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6FCCA" w14:textId="77777777" w:rsidR="00AE64BE" w:rsidRDefault="00AE64BE" w:rsidP="00EE38DA">
      <w:pPr>
        <w:jc w:val="center"/>
        <w:outlineLvl w:val="0"/>
        <w:rPr>
          <w:b/>
          <w:smallCaps/>
          <w:spacing w:val="20"/>
          <w:sz w:val="28"/>
          <w:szCs w:val="28"/>
        </w:rPr>
      </w:pPr>
    </w:p>
    <w:p w14:paraId="12C6933C" w14:textId="00EC0880" w:rsidR="00AE64BE" w:rsidRDefault="00AE64BE" w:rsidP="00EE38DA">
      <w:pPr>
        <w:jc w:val="center"/>
        <w:outlineLvl w:val="0"/>
        <w:rPr>
          <w:b/>
          <w:smallCaps/>
          <w:spacing w:val="20"/>
          <w:sz w:val="28"/>
          <w:szCs w:val="28"/>
        </w:rPr>
      </w:pPr>
    </w:p>
    <w:p w14:paraId="30F3D87D" w14:textId="7A0EB811" w:rsidR="00AE64BE" w:rsidRDefault="00AE64BE" w:rsidP="00EE38DA">
      <w:pPr>
        <w:jc w:val="center"/>
        <w:outlineLvl w:val="0"/>
        <w:rPr>
          <w:b/>
          <w:smallCaps/>
          <w:spacing w:val="20"/>
          <w:sz w:val="28"/>
          <w:szCs w:val="28"/>
        </w:rPr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48D743E" wp14:editId="21B84C68">
                <wp:simplePos x="0" y="0"/>
                <wp:positionH relativeFrom="margin">
                  <wp:align>right</wp:align>
                </wp:positionH>
                <wp:positionV relativeFrom="paragraph">
                  <wp:posOffset>10648</wp:posOffset>
                </wp:positionV>
                <wp:extent cx="3336290" cy="266700"/>
                <wp:effectExtent l="0" t="0" r="0" b="0"/>
                <wp:wrapSquare wrapText="bothSides"/>
                <wp:docPr id="610586331" name="Cuadro de texto 610586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3043F" w14:textId="77777777" w:rsidR="00AE64BE" w:rsidRPr="00B30160" w:rsidRDefault="00AE64BE" w:rsidP="00AE64BE">
                            <w:pPr>
                              <w:jc w:val="right"/>
                              <w:rPr>
                                <w:rFonts w:ascii="Arial Negrita" w:hAnsi="Arial Negrita"/>
                                <w:color w:val="07BFBA"/>
                              </w:rPr>
                            </w:pPr>
                            <w:r w:rsidRPr="00B30160">
                              <w:rPr>
                                <w:rFonts w:ascii="Arial Negrita" w:hAnsi="Arial Negrita"/>
                                <w:color w:val="07BFBA"/>
                              </w:rPr>
                              <w:t xml:space="preserve">Próxima publicación: </w:t>
                            </w:r>
                            <w:r>
                              <w:rPr>
                                <w:rFonts w:ascii="Arial Negrita" w:hAnsi="Arial Negrita"/>
                                <w:b/>
                                <w:bCs/>
                                <w:color w:val="07BFBA"/>
                              </w:rPr>
                              <w:t>1</w:t>
                            </w:r>
                            <w:r w:rsidRPr="00B30160">
                              <w:rPr>
                                <w:rFonts w:ascii="Arial Negrita" w:hAnsi="Arial Negrita"/>
                                <w:b/>
                                <w:bCs/>
                                <w:color w:val="07BFBA"/>
                              </w:rPr>
                              <w:t xml:space="preserve"> de </w:t>
                            </w:r>
                            <w:r>
                              <w:rPr>
                                <w:rFonts w:ascii="Arial Negrita" w:hAnsi="Arial Negrita"/>
                                <w:b/>
                                <w:bCs/>
                                <w:color w:val="07BFBA"/>
                              </w:rPr>
                              <w:t>noviembre</w:t>
                            </w:r>
                          </w:p>
                          <w:p w14:paraId="6866C445" w14:textId="77777777" w:rsidR="00AE64BE" w:rsidRDefault="00AE64BE" w:rsidP="00AE64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8D743E" id="_x0000_t202" coordsize="21600,21600" o:spt="202" path="m,l,21600r21600,l21600,xe">
                <v:stroke joinstyle="miter"/>
                <v:path gradientshapeok="t" o:connecttype="rect"/>
              </v:shapetype>
              <v:shape id="Cuadro de texto 610586331" o:spid="_x0000_s1026" type="#_x0000_t202" style="position:absolute;left:0;text-align:left;margin-left:211.5pt;margin-top:.85pt;width:262.7pt;height:21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" filled="f" stroked="f">
                <v:textbox>
                  <w:txbxContent>
                    <w:p w14:paraId="6623043F" w14:textId="77777777" w:rsidR="00AE64BE" w:rsidRPr="00B30160" w:rsidRDefault="00AE64BE" w:rsidP="00AE64BE">
                      <w:pPr>
                        <w:jc w:val="right"/>
                        <w:rPr>
                          <w:rFonts w:ascii="Arial Negrita" w:hAnsi="Arial Negrita"/>
                          <w:color w:val="07BFBA"/>
                        </w:rPr>
                      </w:pPr>
                      <w:r w:rsidRPr="00B30160">
                        <w:rPr>
                          <w:rFonts w:ascii="Arial Negrita" w:hAnsi="Arial Negrita"/>
                          <w:color w:val="07BFBA"/>
                        </w:rPr>
                        <w:t xml:space="preserve">Próxima publicación: </w:t>
                      </w:r>
                      <w:r>
                        <w:rPr>
                          <w:rFonts w:ascii="Arial Negrita" w:hAnsi="Arial Negrita"/>
                          <w:b/>
                          <w:bCs/>
                          <w:color w:val="07BFBA"/>
                        </w:rPr>
                        <w:t>1</w:t>
                      </w:r>
                      <w:r w:rsidRPr="00B30160">
                        <w:rPr>
                          <w:rFonts w:ascii="Arial Negrita" w:hAnsi="Arial Negrita"/>
                          <w:b/>
                          <w:bCs/>
                          <w:color w:val="07BFBA"/>
                        </w:rPr>
                        <w:t xml:space="preserve"> de </w:t>
                      </w:r>
                      <w:r>
                        <w:rPr>
                          <w:rFonts w:ascii="Arial Negrita" w:hAnsi="Arial Negrita"/>
                          <w:b/>
                          <w:bCs/>
                          <w:color w:val="07BFBA"/>
                        </w:rPr>
                        <w:t>noviembre</w:t>
                      </w:r>
                    </w:p>
                    <w:p w14:paraId="6866C445" w14:textId="77777777" w:rsidR="00AE64BE" w:rsidRDefault="00AE64BE" w:rsidP="00AE64BE"/>
                  </w:txbxContent>
                </v:textbox>
                <w10:wrap type="square" anchorx="margin"/>
              </v:shape>
            </w:pict>
          </mc:Fallback>
        </mc:AlternateContent>
      </w:r>
    </w:p>
    <w:p w14:paraId="64CF28F9" w14:textId="77777777" w:rsidR="00AE64BE" w:rsidRDefault="00AE64BE" w:rsidP="00EE38DA">
      <w:pPr>
        <w:jc w:val="center"/>
        <w:outlineLvl w:val="0"/>
        <w:rPr>
          <w:b/>
          <w:smallCaps/>
          <w:spacing w:val="20"/>
          <w:sz w:val="28"/>
          <w:szCs w:val="28"/>
        </w:rPr>
      </w:pPr>
    </w:p>
    <w:p w14:paraId="6308A23D" w14:textId="77777777" w:rsidR="00AE64BE" w:rsidRDefault="00AE64BE" w:rsidP="00EE38DA">
      <w:pPr>
        <w:jc w:val="center"/>
        <w:outlineLvl w:val="0"/>
        <w:rPr>
          <w:b/>
          <w:smallCaps/>
          <w:spacing w:val="20"/>
          <w:sz w:val="28"/>
          <w:szCs w:val="28"/>
        </w:rPr>
      </w:pPr>
    </w:p>
    <w:p w14:paraId="091BD0AD" w14:textId="7A63D5A9" w:rsidR="00331F49" w:rsidRPr="00AE64BE" w:rsidRDefault="00102A77" w:rsidP="00EE38DA">
      <w:pPr>
        <w:jc w:val="center"/>
        <w:outlineLvl w:val="0"/>
        <w:rPr>
          <w:rFonts w:ascii="Arial Negrita" w:hAnsi="Arial Negrita"/>
          <w:b/>
          <w:caps/>
          <w:szCs w:val="28"/>
        </w:rPr>
      </w:pPr>
      <w:r w:rsidRPr="00AE64BE">
        <w:rPr>
          <w:rFonts w:ascii="Arial Negrita" w:hAnsi="Arial Negrita"/>
          <w:b/>
          <w:caps/>
          <w:szCs w:val="28"/>
        </w:rPr>
        <w:t>INDICADORES DE CONFIANZA EMPRESARIAL</w:t>
      </w:r>
    </w:p>
    <w:p w14:paraId="091BD0AE" w14:textId="5036DFE5" w:rsidR="0077710E" w:rsidRPr="00AE64BE" w:rsidRDefault="008F2BCE" w:rsidP="00C25449">
      <w:pPr>
        <w:spacing w:before="40"/>
        <w:jc w:val="center"/>
        <w:outlineLvl w:val="0"/>
        <w:rPr>
          <w:szCs w:val="28"/>
        </w:rPr>
      </w:pPr>
      <w:r w:rsidRPr="00AE64BE">
        <w:rPr>
          <w:szCs w:val="28"/>
        </w:rPr>
        <w:t>Septiembre</w:t>
      </w:r>
      <w:r w:rsidR="00102A77" w:rsidRPr="00AE64BE">
        <w:rPr>
          <w:szCs w:val="28"/>
        </w:rPr>
        <w:t xml:space="preserve"> de 2023</w:t>
      </w:r>
    </w:p>
    <w:p w14:paraId="091BD0AF" w14:textId="2D7E730C" w:rsidR="00B14BB8" w:rsidRDefault="00C12AF8" w:rsidP="00AE64BE">
      <w:pPr>
        <w:spacing w:before="240"/>
        <w:ind w:right="51"/>
        <w:rPr>
          <w:szCs w:val="22"/>
        </w:rPr>
      </w:pPr>
      <w:bookmarkStart w:id="0" w:name="_Hlk136255686"/>
      <w:r w:rsidRPr="00AE64BE">
        <w:t>L</w:t>
      </w:r>
      <w:r w:rsidR="00283A66" w:rsidRPr="00AE64BE">
        <w:t xml:space="preserve">os Indicadores de Confianza Empresarial (ICE) </w:t>
      </w:r>
      <w:r w:rsidR="00657653" w:rsidRPr="00AE64BE">
        <w:t>se elaboran con los resultados de la</w:t>
      </w:r>
      <w:r w:rsidR="00283A66" w:rsidRPr="00AE64BE">
        <w:t xml:space="preserve"> Encuesta Mensual de Opinión Empresarial (EMOE)</w:t>
      </w:r>
      <w:bookmarkEnd w:id="0"/>
      <w:r w:rsidR="00657653" w:rsidRPr="00AE64BE">
        <w:t>. Estos</w:t>
      </w:r>
      <w:r w:rsidRPr="00AE64BE">
        <w:t xml:space="preserve"> p</w:t>
      </w:r>
      <w:r w:rsidR="00B14BB8" w:rsidRPr="00AE64BE">
        <w:t>ermiten conocer, casi inmediatamente después de terminado el mes de referencia, la opinión de</w:t>
      </w:r>
      <w:r w:rsidR="00512D03" w:rsidRPr="00AE64BE">
        <w:t xml:space="preserve"> las y </w:t>
      </w:r>
      <w:r w:rsidR="00B14BB8" w:rsidRPr="00AE64BE">
        <w:t>los directivos empresariales de los sectores</w:t>
      </w:r>
      <w:r w:rsidR="00336255" w:rsidRPr="00AE64BE">
        <w:t>:</w:t>
      </w:r>
      <w:r w:rsidR="00B14BB8" w:rsidRPr="00AE64BE">
        <w:t xml:space="preserve"> </w:t>
      </w:r>
      <w:r w:rsidR="00336255" w:rsidRPr="00AE64BE">
        <w:t>Industrias m</w:t>
      </w:r>
      <w:r w:rsidR="00B14BB8" w:rsidRPr="00AE64BE">
        <w:t>anufacturer</w:t>
      </w:r>
      <w:r w:rsidR="00336255" w:rsidRPr="00AE64BE">
        <w:t>as</w:t>
      </w:r>
      <w:r w:rsidR="00B14BB8" w:rsidRPr="00AE64BE">
        <w:t>, Construcción, Comercio y</w:t>
      </w:r>
      <w:r w:rsidR="005F6CA4" w:rsidRPr="00AE64BE">
        <w:t xml:space="preserve"> </w:t>
      </w:r>
      <w:r w:rsidR="00B14BB8" w:rsidRPr="00AE64BE">
        <w:t xml:space="preserve">Servicios </w:t>
      </w:r>
      <w:r w:rsidR="00FE1793" w:rsidRPr="00AE64BE">
        <w:t>p</w:t>
      </w:r>
      <w:r w:rsidR="00B14BB8" w:rsidRPr="00AE64BE">
        <w:t xml:space="preserve">rivados no </w:t>
      </w:r>
      <w:r w:rsidR="00FE1793" w:rsidRPr="00AE64BE">
        <w:t>f</w:t>
      </w:r>
      <w:r w:rsidR="00B14BB8" w:rsidRPr="00AE64BE">
        <w:t>inancieros</w:t>
      </w:r>
      <w:r w:rsidR="00771D92" w:rsidRPr="00AE64BE">
        <w:t>,</w:t>
      </w:r>
      <w:r w:rsidR="00B14BB8" w:rsidRPr="00AE64BE">
        <w:t xml:space="preserve"> sobre la situación económica </w:t>
      </w:r>
      <w:r w:rsidR="00B42CEC" w:rsidRPr="00AE64BE">
        <w:t>d</w:t>
      </w:r>
      <w:r w:rsidR="00B14BB8" w:rsidRPr="00AE64BE">
        <w:t xml:space="preserve">el país </w:t>
      </w:r>
      <w:r w:rsidR="009F186B" w:rsidRPr="00AE64BE">
        <w:t>y d</w:t>
      </w:r>
      <w:r w:rsidR="00B14BB8" w:rsidRPr="00AE64BE">
        <w:t>e sus empresas</w:t>
      </w:r>
      <w:r w:rsidR="00B14BB8" w:rsidRPr="00AE64BE">
        <w:rPr>
          <w:szCs w:val="22"/>
        </w:rPr>
        <w:t>.</w:t>
      </w:r>
    </w:p>
    <w:p w14:paraId="091BD0B0" w14:textId="61E6E443" w:rsidR="00331F49" w:rsidRDefault="00F84DB2" w:rsidP="00AE64BE">
      <w:pPr>
        <w:spacing w:before="100" w:beforeAutospacing="1"/>
        <w:ind w:right="51"/>
        <w:rPr>
          <w:szCs w:val="22"/>
        </w:rPr>
      </w:pPr>
      <w:r w:rsidRPr="00AE64BE">
        <w:t xml:space="preserve">En </w:t>
      </w:r>
      <w:r w:rsidR="00067436" w:rsidRPr="00AE64BE">
        <w:t>septiembre</w:t>
      </w:r>
      <w:r w:rsidR="00B14BB8" w:rsidRPr="00AE64BE">
        <w:t xml:space="preserve"> de </w:t>
      </w:r>
      <w:r w:rsidR="002915C5" w:rsidRPr="00AE64BE">
        <w:t>2023</w:t>
      </w:r>
      <w:r w:rsidR="000C3AE9" w:rsidRPr="00AE64BE">
        <w:t xml:space="preserve"> y en su comparación mensual</w:t>
      </w:r>
      <w:r w:rsidR="00C77265" w:rsidRPr="00AE64BE">
        <w:t>,</w:t>
      </w:r>
      <w:r w:rsidR="00B14BB8" w:rsidRPr="00AE64BE">
        <w:t xml:space="preserve"> el </w:t>
      </w:r>
      <w:r w:rsidR="009B3890" w:rsidRPr="00AE64BE">
        <w:t>ICE</w:t>
      </w:r>
      <w:r w:rsidR="00CE09C8" w:rsidRPr="00AE64BE" w:rsidDel="00C1518A">
        <w:t xml:space="preserve"> </w:t>
      </w:r>
      <w:r w:rsidR="0007631E" w:rsidRPr="00AE64BE">
        <w:t>de Construcción creció 0.7</w:t>
      </w:r>
      <w:r w:rsidR="00AE64BE">
        <w:t> </w:t>
      </w:r>
      <w:r w:rsidR="0007631E" w:rsidRPr="00AE64BE">
        <w:t xml:space="preserve">puntos y los </w:t>
      </w:r>
      <w:r w:rsidR="00AF2130" w:rsidRPr="00AE64BE">
        <w:t xml:space="preserve">de </w:t>
      </w:r>
      <w:r w:rsidR="004F3C5A" w:rsidRPr="00AE64BE">
        <w:t xml:space="preserve">Industrias </w:t>
      </w:r>
      <w:r w:rsidR="00AF2130" w:rsidRPr="00AE64BE">
        <w:t>manufacturer</w:t>
      </w:r>
      <w:r w:rsidR="004F3C5A" w:rsidRPr="00AE64BE">
        <w:t>as</w:t>
      </w:r>
      <w:r w:rsidR="00AF2130" w:rsidRPr="00AE64BE">
        <w:t xml:space="preserve"> </w:t>
      </w:r>
      <w:r w:rsidR="007E623A" w:rsidRPr="00AE64BE">
        <w:t xml:space="preserve">y de Servicios privados no financieros </w:t>
      </w:r>
      <w:r w:rsidR="00BB3C0A" w:rsidRPr="00AE64BE">
        <w:t>aument</w:t>
      </w:r>
      <w:r w:rsidR="00842B7B" w:rsidRPr="00AE64BE">
        <w:t>aron</w:t>
      </w:r>
      <w:r w:rsidR="00AF2130" w:rsidRPr="00AE64BE">
        <w:t xml:space="preserve"> </w:t>
      </w:r>
      <w:r w:rsidR="00142B79" w:rsidRPr="00AE64BE">
        <w:t>0</w:t>
      </w:r>
      <w:r w:rsidR="00AF2130" w:rsidRPr="00AE64BE">
        <w:t>.</w:t>
      </w:r>
      <w:r w:rsidR="00AD44E1" w:rsidRPr="00AE64BE">
        <w:t>1</w:t>
      </w:r>
      <w:r w:rsidR="00AF2130" w:rsidRPr="00AE64BE">
        <w:t xml:space="preserve"> puntos</w:t>
      </w:r>
      <w:r w:rsidR="007E623A" w:rsidRPr="00AE64BE">
        <w:t xml:space="preserve">. </w:t>
      </w:r>
      <w:r w:rsidR="009F09D5" w:rsidRPr="00AE64BE">
        <w:t>E</w:t>
      </w:r>
      <w:r w:rsidR="00BB3C0A" w:rsidRPr="00AE64BE">
        <w:t>l</w:t>
      </w:r>
      <w:r w:rsidR="00B33D0B" w:rsidRPr="00AE64BE">
        <w:t xml:space="preserve"> </w:t>
      </w:r>
      <w:r w:rsidR="00A611BD" w:rsidRPr="00AE64BE">
        <w:t>de Comercio</w:t>
      </w:r>
      <w:r w:rsidR="00910E83" w:rsidRPr="00AE64BE">
        <w:t xml:space="preserve"> </w:t>
      </w:r>
      <w:r w:rsidR="00BB3C0A" w:rsidRPr="00AE64BE">
        <w:t>disminuyó</w:t>
      </w:r>
      <w:r w:rsidR="009B4CD5" w:rsidRPr="00AE64BE">
        <w:t xml:space="preserve"> </w:t>
      </w:r>
      <w:r w:rsidR="00AD44E1" w:rsidRPr="00AE64BE">
        <w:t>0.</w:t>
      </w:r>
      <w:r w:rsidR="00BB3C0A" w:rsidRPr="00AE64BE">
        <w:t>8</w:t>
      </w:r>
      <w:r w:rsidR="004A0D2F" w:rsidRPr="00AE64BE">
        <w:t> </w:t>
      </w:r>
      <w:r w:rsidR="00E25F6C" w:rsidRPr="00AE64BE">
        <w:t>puntos</w:t>
      </w:r>
      <w:r w:rsidR="00953A87" w:rsidRPr="00AE64BE">
        <w:rPr>
          <w:szCs w:val="22"/>
        </w:rPr>
        <w:t>.</w:t>
      </w:r>
    </w:p>
    <w:p w14:paraId="3CB33566" w14:textId="77777777" w:rsidR="00AE64BE" w:rsidRDefault="00AE64BE" w:rsidP="00AE64BE">
      <w:pPr>
        <w:spacing w:before="120"/>
        <w:ind w:right="51"/>
        <w:rPr>
          <w:szCs w:val="22"/>
        </w:rPr>
      </w:pPr>
    </w:p>
    <w:p w14:paraId="64931E40" w14:textId="77777777" w:rsidR="00AE64BE" w:rsidRDefault="00AE64BE" w:rsidP="00AE64BE">
      <w:pPr>
        <w:jc w:val="center"/>
        <w:rPr>
          <w:b/>
          <w:smallCaps/>
          <w:sz w:val="22"/>
        </w:rPr>
      </w:pPr>
      <w:r w:rsidRPr="00443B05">
        <w:rPr>
          <w:b/>
          <w:smallCaps/>
          <w:sz w:val="22"/>
        </w:rPr>
        <w:t xml:space="preserve">Indicador de </w:t>
      </w:r>
      <w:r>
        <w:rPr>
          <w:b/>
          <w:smallCaps/>
          <w:sz w:val="22"/>
        </w:rPr>
        <w:t>C</w:t>
      </w:r>
      <w:r w:rsidRPr="00443B05">
        <w:rPr>
          <w:b/>
          <w:smallCaps/>
          <w:sz w:val="22"/>
        </w:rPr>
        <w:t xml:space="preserve">onfianza </w:t>
      </w:r>
      <w:r>
        <w:rPr>
          <w:b/>
          <w:smallCaps/>
          <w:sz w:val="22"/>
        </w:rPr>
        <w:t>E</w:t>
      </w:r>
      <w:r w:rsidRPr="00443B05">
        <w:rPr>
          <w:b/>
          <w:smallCaps/>
          <w:sz w:val="22"/>
        </w:rPr>
        <w:t xml:space="preserve">mpresarial </w:t>
      </w:r>
      <w:r>
        <w:rPr>
          <w:b/>
          <w:smallCaps/>
          <w:sz w:val="22"/>
        </w:rPr>
        <w:t xml:space="preserve">del sector </w:t>
      </w:r>
      <w:r w:rsidRPr="00443B05">
        <w:rPr>
          <w:b/>
          <w:smallCaps/>
          <w:sz w:val="22"/>
        </w:rPr>
        <w:t>manufacturero</w:t>
      </w:r>
    </w:p>
    <w:p w14:paraId="7AFC6373" w14:textId="77777777" w:rsidR="00AE64BE" w:rsidRPr="00CA6912" w:rsidRDefault="00AE64BE" w:rsidP="00AE64BE">
      <w:pPr>
        <w:jc w:val="center"/>
        <w:rPr>
          <w:bCs/>
          <w:sz w:val="18"/>
          <w:szCs w:val="18"/>
        </w:rPr>
      </w:pPr>
      <w:r w:rsidRPr="007E5597">
        <w:rPr>
          <w:bCs/>
          <w:sz w:val="18"/>
          <w:szCs w:val="18"/>
        </w:rPr>
        <w:t>(Puntos)</w:t>
      </w:r>
    </w:p>
    <w:p w14:paraId="3F8029B0" w14:textId="77777777" w:rsidR="00AE64BE" w:rsidRDefault="00AE64BE" w:rsidP="00AE64BE">
      <w:pPr>
        <w:jc w:val="center"/>
        <w:rPr>
          <w:b/>
          <w:smallCaps/>
          <w:sz w:val="22"/>
          <w:szCs w:val="22"/>
        </w:rPr>
      </w:pPr>
      <w:r>
        <w:rPr>
          <w:noProof/>
        </w:rPr>
        <w:drawing>
          <wp:inline distT="0" distB="0" distL="0" distR="0" wp14:anchorId="5D4C7860" wp14:editId="59B2E340">
            <wp:extent cx="4320000" cy="2520000"/>
            <wp:effectExtent l="0" t="0" r="23495" b="13970"/>
            <wp:docPr id="452748533" name="Gráfico 45274853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2CC28F8" w14:textId="77777777" w:rsidR="00AE64BE" w:rsidRPr="00443B05" w:rsidRDefault="00AE64BE" w:rsidP="00AE64BE">
      <w:pPr>
        <w:spacing w:before="20"/>
        <w:ind w:left="1701"/>
        <w:rPr>
          <w:sz w:val="14"/>
          <w:szCs w:val="14"/>
        </w:rPr>
      </w:pPr>
      <w:r w:rsidRPr="00FD6542">
        <w:rPr>
          <w:sz w:val="16"/>
          <w:szCs w:val="16"/>
        </w:rPr>
        <w:t xml:space="preserve">Fuente: </w:t>
      </w:r>
      <w:r w:rsidRPr="00FD6542">
        <w:rPr>
          <w:smallCaps/>
          <w:sz w:val="16"/>
          <w:szCs w:val="16"/>
        </w:rPr>
        <w:t>INEGI</w:t>
      </w:r>
      <w:r>
        <w:rPr>
          <w:smallCaps/>
          <w:sz w:val="16"/>
          <w:szCs w:val="16"/>
        </w:rPr>
        <w:t xml:space="preserve">. </w:t>
      </w:r>
      <w:r w:rsidRPr="006862BB">
        <w:rPr>
          <w:sz w:val="16"/>
          <w:szCs w:val="16"/>
        </w:rPr>
        <w:t>Encuesta Mensual de Opinión Empresarial (EMOE)</w:t>
      </w:r>
      <w:r>
        <w:rPr>
          <w:sz w:val="16"/>
          <w:szCs w:val="16"/>
        </w:rPr>
        <w:t>,</w:t>
      </w:r>
      <w:r w:rsidRPr="006862BB">
        <w:rPr>
          <w:sz w:val="16"/>
          <w:szCs w:val="16"/>
        </w:rPr>
        <w:t xml:space="preserve"> 2023.</w:t>
      </w:r>
    </w:p>
    <w:p w14:paraId="12169F1D" w14:textId="77777777" w:rsidR="00AE64BE" w:rsidRPr="00AE64BE" w:rsidRDefault="00AE64BE" w:rsidP="00AE64BE">
      <w:pPr>
        <w:spacing w:before="120"/>
        <w:ind w:right="51"/>
        <w:rPr>
          <w:szCs w:val="22"/>
        </w:rPr>
      </w:pPr>
    </w:p>
    <w:p w14:paraId="091BD0B1" w14:textId="65B400CF" w:rsidR="00331F49" w:rsidRDefault="000C3AE9" w:rsidP="00AE64BE">
      <w:pPr>
        <w:spacing w:before="240"/>
        <w:ind w:right="51"/>
        <w:rPr>
          <w:szCs w:val="22"/>
        </w:rPr>
      </w:pPr>
      <w:r w:rsidRPr="00AE64BE">
        <w:t>E</w:t>
      </w:r>
      <w:r w:rsidR="006E0644" w:rsidRPr="00AE64BE">
        <w:t xml:space="preserve">n </w:t>
      </w:r>
      <w:r w:rsidR="00F07788" w:rsidRPr="00AE64BE">
        <w:t xml:space="preserve">el </w:t>
      </w:r>
      <w:r w:rsidR="00067436" w:rsidRPr="00AE64BE">
        <w:t>noven</w:t>
      </w:r>
      <w:r w:rsidR="002579EB" w:rsidRPr="00AE64BE">
        <w:t>o</w:t>
      </w:r>
      <w:r w:rsidR="00F07788" w:rsidRPr="00AE64BE">
        <w:t xml:space="preserve"> mes de 202</w:t>
      </w:r>
      <w:r w:rsidR="00102A77" w:rsidRPr="00AE64BE">
        <w:t>3</w:t>
      </w:r>
      <w:r w:rsidR="00C82829" w:rsidRPr="00AE64BE">
        <w:t xml:space="preserve"> y</w:t>
      </w:r>
      <w:r w:rsidR="006E0644" w:rsidRPr="00AE64BE">
        <w:t xml:space="preserve"> e</w:t>
      </w:r>
      <w:r w:rsidR="00331F49" w:rsidRPr="00AE64BE">
        <w:t xml:space="preserve">n su comparación anual, </w:t>
      </w:r>
      <w:r w:rsidR="009B3890" w:rsidRPr="00AE64BE">
        <w:t xml:space="preserve">los ICE </w:t>
      </w:r>
      <w:r w:rsidR="00B14BB8" w:rsidRPr="00AE64BE">
        <w:t>registr</w:t>
      </w:r>
      <w:r w:rsidR="009B3890" w:rsidRPr="00AE64BE">
        <w:t>aron</w:t>
      </w:r>
      <w:r w:rsidR="00B14BB8" w:rsidRPr="00AE64BE">
        <w:t xml:space="preserve"> el siguiente comportamiento:</w:t>
      </w:r>
      <w:r w:rsidR="00334143" w:rsidRPr="00AE64BE">
        <w:t xml:space="preserve"> </w:t>
      </w:r>
      <w:r w:rsidR="004F3C5A" w:rsidRPr="00AE64BE">
        <w:t xml:space="preserve">el de Servicios privados no financieros incrementó 15.6 puntos; </w:t>
      </w:r>
      <w:r w:rsidR="00142B79" w:rsidRPr="00AE64BE">
        <w:t>el</w:t>
      </w:r>
      <w:r w:rsidR="00334143" w:rsidRPr="00AE64BE">
        <w:t xml:space="preserve"> </w:t>
      </w:r>
      <w:r w:rsidR="00142B79" w:rsidRPr="00AE64BE">
        <w:t>de</w:t>
      </w:r>
      <w:r w:rsidR="00334143" w:rsidRPr="00AE64BE">
        <w:t xml:space="preserve"> </w:t>
      </w:r>
      <w:r w:rsidR="00A611BD" w:rsidRPr="00AE64BE">
        <w:t>Industrias manufactureras</w:t>
      </w:r>
      <w:r w:rsidR="004F3C5A" w:rsidRPr="00AE64BE">
        <w:t>,</w:t>
      </w:r>
      <w:r w:rsidR="00A611BD" w:rsidRPr="00AE64BE">
        <w:t xml:space="preserve"> </w:t>
      </w:r>
      <w:r w:rsidR="00BB3C0A" w:rsidRPr="00AE64BE">
        <w:t>2.9</w:t>
      </w:r>
      <w:r w:rsidR="00A611BD" w:rsidRPr="00AE64BE">
        <w:t>; el de Construcción</w:t>
      </w:r>
      <w:r w:rsidR="00910E83" w:rsidRPr="00AE64BE">
        <w:t xml:space="preserve">, </w:t>
      </w:r>
      <w:r w:rsidR="00BB3C0A" w:rsidRPr="00AE64BE">
        <w:t>2</w:t>
      </w:r>
      <w:r w:rsidR="009F5B63" w:rsidRPr="00AE64BE">
        <w:t>.</w:t>
      </w:r>
      <w:r w:rsidR="00AD44E1" w:rsidRPr="00AE64BE">
        <w:t>2</w:t>
      </w:r>
      <w:r w:rsidR="004F3C5A" w:rsidRPr="00AE64BE">
        <w:t xml:space="preserve"> y </w:t>
      </w:r>
      <w:r w:rsidR="00A611BD" w:rsidRPr="00AE64BE">
        <w:t xml:space="preserve">el de Comercio, </w:t>
      </w:r>
      <w:r w:rsidR="00AD44E1" w:rsidRPr="00AE64BE">
        <w:t>2.</w:t>
      </w:r>
      <w:r w:rsidR="00BB3C0A" w:rsidRPr="00AE64BE">
        <w:t>1</w:t>
      </w:r>
      <w:r w:rsidR="00331F49" w:rsidRPr="00AE64BE">
        <w:rPr>
          <w:szCs w:val="22"/>
        </w:rPr>
        <w:t>.</w:t>
      </w:r>
    </w:p>
    <w:p w14:paraId="232DEA59" w14:textId="77777777" w:rsidR="00AE64BE" w:rsidRDefault="00AE64BE" w:rsidP="00AE64BE">
      <w:pPr>
        <w:spacing w:before="240"/>
        <w:ind w:right="51"/>
        <w:rPr>
          <w:szCs w:val="22"/>
        </w:rPr>
      </w:pPr>
    </w:p>
    <w:p w14:paraId="6F2CCEAF" w14:textId="77777777" w:rsidR="00AE64BE" w:rsidRDefault="00AE64BE" w:rsidP="00AE64BE">
      <w:pPr>
        <w:spacing w:before="240"/>
        <w:ind w:right="51"/>
        <w:rPr>
          <w:szCs w:val="22"/>
        </w:rPr>
      </w:pPr>
    </w:p>
    <w:p w14:paraId="67AC93C8" w14:textId="77777777" w:rsidR="00AE64BE" w:rsidRDefault="00AE64BE" w:rsidP="00AE64BE">
      <w:pPr>
        <w:keepNext/>
        <w:keepLines/>
        <w:tabs>
          <w:tab w:val="left" w:pos="708"/>
          <w:tab w:val="center" w:pos="3348"/>
        </w:tabs>
        <w:jc w:val="center"/>
        <w:rPr>
          <w:b/>
          <w:smallCaps/>
          <w:spacing w:val="4"/>
          <w:sz w:val="22"/>
          <w:szCs w:val="22"/>
        </w:rPr>
      </w:pPr>
    </w:p>
    <w:p w14:paraId="28AB792A" w14:textId="208349A2" w:rsidR="00AE64BE" w:rsidRPr="00443B05" w:rsidRDefault="00AE64BE" w:rsidP="00AE64BE">
      <w:pPr>
        <w:keepNext/>
        <w:keepLines/>
        <w:tabs>
          <w:tab w:val="left" w:pos="708"/>
          <w:tab w:val="center" w:pos="3348"/>
        </w:tabs>
        <w:jc w:val="center"/>
        <w:rPr>
          <w:b/>
          <w:smallCaps/>
          <w:spacing w:val="4"/>
          <w:sz w:val="22"/>
          <w:szCs w:val="22"/>
        </w:rPr>
      </w:pPr>
      <w:r w:rsidRPr="00443B05">
        <w:rPr>
          <w:b/>
          <w:smallCaps/>
          <w:spacing w:val="4"/>
          <w:sz w:val="22"/>
          <w:szCs w:val="22"/>
        </w:rPr>
        <w:t xml:space="preserve">Indicador de </w:t>
      </w:r>
      <w:r>
        <w:rPr>
          <w:b/>
          <w:smallCaps/>
          <w:spacing w:val="4"/>
          <w:sz w:val="22"/>
          <w:szCs w:val="22"/>
        </w:rPr>
        <w:t>C</w:t>
      </w:r>
      <w:r w:rsidRPr="00443B05">
        <w:rPr>
          <w:b/>
          <w:smallCaps/>
          <w:spacing w:val="4"/>
          <w:sz w:val="22"/>
          <w:szCs w:val="22"/>
        </w:rPr>
        <w:t xml:space="preserve">onfianza </w:t>
      </w:r>
      <w:r>
        <w:rPr>
          <w:b/>
          <w:smallCaps/>
          <w:spacing w:val="4"/>
          <w:sz w:val="22"/>
          <w:szCs w:val="22"/>
        </w:rPr>
        <w:t>E</w:t>
      </w:r>
      <w:r w:rsidRPr="00443B05">
        <w:rPr>
          <w:b/>
          <w:smallCaps/>
          <w:spacing w:val="4"/>
          <w:sz w:val="22"/>
          <w:szCs w:val="22"/>
        </w:rPr>
        <w:t>mpresarial</w:t>
      </w:r>
      <w:r>
        <w:rPr>
          <w:b/>
          <w:smallCaps/>
          <w:spacing w:val="4"/>
          <w:sz w:val="22"/>
          <w:szCs w:val="22"/>
        </w:rPr>
        <w:t xml:space="preserve"> del sector</w:t>
      </w:r>
      <w:r w:rsidRPr="00443B05">
        <w:rPr>
          <w:b/>
          <w:smallCaps/>
          <w:spacing w:val="4"/>
          <w:sz w:val="22"/>
          <w:szCs w:val="22"/>
        </w:rPr>
        <w:t xml:space="preserve"> manufacturero y sus componentes</w:t>
      </w:r>
    </w:p>
    <w:p w14:paraId="555414DA" w14:textId="77777777" w:rsidR="00AE64BE" w:rsidRPr="00CA6912" w:rsidRDefault="00AE64BE" w:rsidP="00AE64BE">
      <w:pPr>
        <w:keepNext/>
        <w:keepLines/>
        <w:tabs>
          <w:tab w:val="left" w:pos="708"/>
          <w:tab w:val="center" w:pos="3348"/>
        </w:tabs>
        <w:jc w:val="center"/>
        <w:rPr>
          <w:bCs/>
          <w:sz w:val="18"/>
          <w:szCs w:val="18"/>
        </w:rPr>
      </w:pPr>
      <w:r w:rsidRPr="00C46468">
        <w:rPr>
          <w:b/>
          <w:smallCaps/>
          <w:sz w:val="20"/>
          <w:szCs w:val="20"/>
        </w:rPr>
        <w:t>cifras desestacionalizadas</w:t>
      </w: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5061"/>
        <w:gridCol w:w="982"/>
        <w:gridCol w:w="1006"/>
        <w:gridCol w:w="1006"/>
        <w:gridCol w:w="564"/>
        <w:gridCol w:w="1345"/>
      </w:tblGrid>
      <w:tr w:rsidR="00AE64BE" w:rsidRPr="0036480B" w14:paraId="696A2EC5" w14:textId="77777777" w:rsidTr="00DF1E6C">
        <w:tc>
          <w:tcPr>
            <w:tcW w:w="2539" w:type="pct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15B0CBCF" w14:textId="77777777" w:rsidR="00AE64BE" w:rsidRPr="00443B05" w:rsidRDefault="00AE64BE" w:rsidP="00DF1E6C">
            <w:pPr>
              <w:keepNext/>
              <w:keepLines/>
              <w:spacing w:before="20" w:after="20"/>
              <w:ind w:left="176"/>
              <w:rPr>
                <w:spacing w:val="4"/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Indicador</w:t>
            </w:r>
            <w:r>
              <w:rPr>
                <w:sz w:val="18"/>
                <w:szCs w:val="18"/>
              </w:rPr>
              <w:t xml:space="preserve"> </w:t>
            </w:r>
            <w:r w:rsidRPr="007E5597">
              <w:rPr>
                <w:sz w:val="18"/>
                <w:szCs w:val="18"/>
              </w:rPr>
              <w:t>y componentes</w:t>
            </w:r>
          </w:p>
        </w:tc>
        <w:tc>
          <w:tcPr>
            <w:tcW w:w="493" w:type="pct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3A878B28" w14:textId="77777777" w:rsidR="00AE64BE" w:rsidRPr="007E490A" w:rsidRDefault="00AE64BE" w:rsidP="00DF1E6C">
            <w:pPr>
              <w:keepNext/>
              <w:keepLines/>
              <w:spacing w:before="20" w:after="20"/>
              <w:ind w:left="-104" w:right="-97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Septiembre</w:t>
            </w:r>
            <w:r>
              <w:rPr>
                <w:spacing w:val="-4"/>
                <w:sz w:val="18"/>
                <w:szCs w:val="18"/>
              </w:rPr>
              <w:br/>
              <w:t>de 2023</w:t>
            </w:r>
          </w:p>
        </w:tc>
        <w:tc>
          <w:tcPr>
            <w:tcW w:w="1010" w:type="pct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7CF257E4" w14:textId="77777777" w:rsidR="00AE64BE" w:rsidRPr="007E490A" w:rsidRDefault="00AE64BE" w:rsidP="00DF1E6C">
            <w:pPr>
              <w:keepNext/>
              <w:keepLines/>
              <w:spacing w:before="20" w:after="20"/>
              <w:ind w:left="-108" w:right="-96"/>
              <w:jc w:val="center"/>
              <w:rPr>
                <w:spacing w:val="-4"/>
                <w:sz w:val="18"/>
                <w:szCs w:val="18"/>
              </w:rPr>
            </w:pPr>
            <w:r w:rsidRPr="007E490A">
              <w:rPr>
                <w:spacing w:val="-4"/>
                <w:sz w:val="18"/>
                <w:szCs w:val="18"/>
              </w:rPr>
              <w:t>Diferencias</w:t>
            </w:r>
            <w:r w:rsidRPr="007E490A">
              <w:rPr>
                <w:spacing w:val="-4"/>
                <w:sz w:val="18"/>
                <w:szCs w:val="18"/>
                <w:vertAlign w:val="superscript"/>
              </w:rPr>
              <w:t>1/</w:t>
            </w:r>
            <w:r w:rsidRPr="007E490A">
              <w:rPr>
                <w:spacing w:val="-4"/>
                <w:sz w:val="18"/>
                <w:szCs w:val="18"/>
              </w:rPr>
              <w:t xml:space="preserve"> en</w:t>
            </w:r>
            <w:r w:rsidRPr="007E490A">
              <w:rPr>
                <w:spacing w:val="-4"/>
                <w:sz w:val="18"/>
                <w:szCs w:val="18"/>
              </w:rPr>
              <w:br/>
              <w:t>puntos respecto a:</w:t>
            </w:r>
          </w:p>
        </w:tc>
        <w:tc>
          <w:tcPr>
            <w:tcW w:w="959" w:type="pct"/>
            <w:gridSpan w:val="2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7822C846" w14:textId="77777777" w:rsidR="00AE64BE" w:rsidRPr="007E490A" w:rsidRDefault="00AE64BE" w:rsidP="00DF1E6C">
            <w:pPr>
              <w:keepNext/>
              <w:keepLines/>
              <w:tabs>
                <w:tab w:val="center" w:pos="3348"/>
              </w:tabs>
              <w:spacing w:before="20" w:after="20"/>
              <w:ind w:left="-96" w:right="-79"/>
              <w:jc w:val="center"/>
              <w:rPr>
                <w:spacing w:val="-4"/>
                <w:sz w:val="18"/>
                <w:szCs w:val="18"/>
              </w:rPr>
            </w:pPr>
            <w:r w:rsidRPr="007E490A">
              <w:rPr>
                <w:spacing w:val="-4"/>
                <w:sz w:val="18"/>
                <w:szCs w:val="18"/>
              </w:rPr>
              <w:t xml:space="preserve">Número de meses consecutivos por </w:t>
            </w:r>
            <w:r>
              <w:rPr>
                <w:spacing w:val="-4"/>
                <w:sz w:val="18"/>
                <w:szCs w:val="18"/>
              </w:rPr>
              <w:br/>
            </w:r>
            <w:r w:rsidRPr="007E490A">
              <w:rPr>
                <w:spacing w:val="-4"/>
                <w:sz w:val="18"/>
                <w:szCs w:val="18"/>
              </w:rPr>
              <w:t xml:space="preserve">arriba o por debajo </w:t>
            </w:r>
            <w:r>
              <w:rPr>
                <w:spacing w:val="-4"/>
                <w:sz w:val="18"/>
                <w:szCs w:val="18"/>
              </w:rPr>
              <w:br/>
            </w:r>
            <w:r w:rsidRPr="007E490A">
              <w:rPr>
                <w:spacing w:val="-4"/>
                <w:sz w:val="18"/>
                <w:szCs w:val="18"/>
              </w:rPr>
              <w:t xml:space="preserve">del umbral de </w:t>
            </w:r>
            <w:r>
              <w:rPr>
                <w:spacing w:val="-4"/>
                <w:sz w:val="18"/>
                <w:szCs w:val="18"/>
              </w:rPr>
              <w:br/>
            </w:r>
            <w:r w:rsidRPr="007E490A">
              <w:rPr>
                <w:spacing w:val="-4"/>
                <w:sz w:val="18"/>
                <w:szCs w:val="18"/>
              </w:rPr>
              <w:t>50 puntos</w:t>
            </w:r>
          </w:p>
        </w:tc>
      </w:tr>
      <w:tr w:rsidR="00AE64BE" w:rsidRPr="0036480B" w14:paraId="4B3DEA8F" w14:textId="77777777" w:rsidTr="00DF1E6C">
        <w:tc>
          <w:tcPr>
            <w:tcW w:w="2539" w:type="pct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299139D3" w14:textId="77777777" w:rsidR="00AE64BE" w:rsidRPr="00443B05" w:rsidRDefault="00AE64BE" w:rsidP="00DF1E6C">
            <w:pPr>
              <w:keepNext/>
              <w:keepLines/>
              <w:spacing w:before="20" w:after="20"/>
              <w:ind w:left="176"/>
              <w:rPr>
                <w:sz w:val="18"/>
                <w:szCs w:val="18"/>
              </w:rPr>
            </w:pPr>
          </w:p>
        </w:tc>
        <w:tc>
          <w:tcPr>
            <w:tcW w:w="493" w:type="pct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4364099A" w14:textId="77777777" w:rsidR="00AE64BE" w:rsidRDefault="00AE64BE" w:rsidP="00DF1E6C">
            <w:pPr>
              <w:keepNext/>
              <w:keepLines/>
              <w:spacing w:before="20" w:after="20"/>
              <w:ind w:left="-120" w:right="-61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6FD12A64" w14:textId="77777777" w:rsidR="00AE64BE" w:rsidRPr="007E490A" w:rsidRDefault="00AE64BE" w:rsidP="00DF1E6C">
            <w:pPr>
              <w:keepNext/>
              <w:keepLines/>
              <w:spacing w:before="20" w:after="20"/>
              <w:ind w:left="-135" w:right="-108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agosto</w:t>
            </w:r>
            <w:r w:rsidRPr="00B436C4">
              <w:rPr>
                <w:spacing w:val="-4"/>
                <w:sz w:val="18"/>
                <w:szCs w:val="18"/>
              </w:rPr>
              <w:br/>
              <w:t>de 2023</w:t>
            </w:r>
          </w:p>
        </w:tc>
        <w:tc>
          <w:tcPr>
            <w:tcW w:w="505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4654292D" w14:textId="77777777" w:rsidR="00AE64BE" w:rsidRPr="007E490A" w:rsidRDefault="00AE64BE" w:rsidP="00DF1E6C">
            <w:pPr>
              <w:keepNext/>
              <w:keepLines/>
              <w:spacing w:before="20" w:after="20"/>
              <w:ind w:left="-106" w:right="-95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septiembre</w:t>
            </w:r>
            <w:r w:rsidRPr="00B436C4">
              <w:rPr>
                <w:spacing w:val="-4"/>
                <w:sz w:val="18"/>
                <w:szCs w:val="18"/>
              </w:rPr>
              <w:br/>
              <w:t>de 202</w:t>
            </w:r>
            <w:r>
              <w:rPr>
                <w:spacing w:val="-4"/>
                <w:sz w:val="18"/>
                <w:szCs w:val="18"/>
              </w:rPr>
              <w:t>2</w:t>
            </w:r>
          </w:p>
        </w:tc>
        <w:tc>
          <w:tcPr>
            <w:tcW w:w="959" w:type="pct"/>
            <w:gridSpan w:val="2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25BC7E16" w14:textId="77777777" w:rsidR="00AE64BE" w:rsidRPr="00443B05" w:rsidRDefault="00AE64BE" w:rsidP="00DF1E6C">
            <w:pPr>
              <w:keepNext/>
              <w:keepLines/>
              <w:tabs>
                <w:tab w:val="center" w:pos="3348"/>
              </w:tabs>
              <w:spacing w:before="60" w:after="60"/>
              <w:ind w:left="-93" w:right="-80"/>
              <w:jc w:val="center"/>
              <w:rPr>
                <w:sz w:val="18"/>
                <w:szCs w:val="18"/>
              </w:rPr>
            </w:pPr>
          </w:p>
        </w:tc>
      </w:tr>
      <w:tr w:rsidR="00AE64BE" w:rsidRPr="0036480B" w14:paraId="308D1564" w14:textId="77777777" w:rsidTr="00DF1E6C">
        <w:trPr>
          <w:trHeight w:val="226"/>
        </w:trPr>
        <w:tc>
          <w:tcPr>
            <w:tcW w:w="2539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215C3E40" w14:textId="77777777" w:rsidR="00AE64BE" w:rsidRPr="00443B05" w:rsidRDefault="00AE64BE" w:rsidP="00DF1E6C">
            <w:pPr>
              <w:tabs>
                <w:tab w:val="left" w:pos="708"/>
              </w:tabs>
              <w:spacing w:before="20"/>
              <w:ind w:right="-107"/>
              <w:jc w:val="left"/>
              <w:rPr>
                <w:b/>
                <w:spacing w:val="4"/>
                <w:sz w:val="18"/>
                <w:szCs w:val="18"/>
              </w:rPr>
            </w:pPr>
            <w:r w:rsidRPr="006D734B">
              <w:rPr>
                <w:b/>
                <w:spacing w:val="-6"/>
                <w:sz w:val="18"/>
                <w:szCs w:val="18"/>
              </w:rPr>
              <w:t>Indicador</w:t>
            </w:r>
            <w:r w:rsidRPr="00443B05">
              <w:rPr>
                <w:b/>
                <w:spacing w:val="4"/>
                <w:sz w:val="18"/>
                <w:szCs w:val="18"/>
              </w:rPr>
              <w:t xml:space="preserve"> de Confianza Empresarial </w:t>
            </w:r>
            <w:r>
              <w:rPr>
                <w:b/>
                <w:spacing w:val="4"/>
                <w:sz w:val="18"/>
                <w:szCs w:val="18"/>
              </w:rPr>
              <w:t>del sector Industrias m</w:t>
            </w:r>
            <w:r w:rsidRPr="00443B05">
              <w:rPr>
                <w:b/>
                <w:spacing w:val="4"/>
                <w:sz w:val="18"/>
                <w:szCs w:val="18"/>
              </w:rPr>
              <w:t>anufacturer</w:t>
            </w:r>
            <w:r>
              <w:rPr>
                <w:b/>
                <w:spacing w:val="4"/>
                <w:sz w:val="18"/>
                <w:szCs w:val="18"/>
              </w:rPr>
              <w:t>as</w:t>
            </w:r>
          </w:p>
        </w:tc>
        <w:tc>
          <w:tcPr>
            <w:tcW w:w="493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6ACCEFF8" w14:textId="77777777" w:rsidR="00AE64BE" w:rsidRPr="00D3016B" w:rsidRDefault="00AE64BE" w:rsidP="00DF1E6C">
            <w:pPr>
              <w:tabs>
                <w:tab w:val="decimal" w:pos="393"/>
              </w:tabs>
              <w:jc w:val="lef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53.8</w:t>
            </w:r>
          </w:p>
        </w:tc>
        <w:tc>
          <w:tcPr>
            <w:tcW w:w="505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nil"/>
            </w:tcBorders>
            <w:vAlign w:val="center"/>
          </w:tcPr>
          <w:p w14:paraId="531EEB50" w14:textId="77777777" w:rsidR="00AE64BE" w:rsidRPr="00D3016B" w:rsidRDefault="00AE64BE" w:rsidP="00DF1E6C">
            <w:pPr>
              <w:tabs>
                <w:tab w:val="decimal" w:pos="391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0.1</w:t>
            </w:r>
          </w:p>
        </w:tc>
        <w:tc>
          <w:tcPr>
            <w:tcW w:w="505" w:type="pct"/>
            <w:tcBorders>
              <w:top w:val="single" w:sz="4" w:space="0" w:color="404040" w:themeColor="text1" w:themeTint="BF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64363D64" w14:textId="77777777" w:rsidR="00AE64BE" w:rsidRPr="00D3016B" w:rsidRDefault="00AE64BE" w:rsidP="00DF1E6C">
            <w:pPr>
              <w:tabs>
                <w:tab w:val="decimal" w:pos="357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2.9</w:t>
            </w:r>
          </w:p>
        </w:tc>
        <w:tc>
          <w:tcPr>
            <w:tcW w:w="283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FDE23A9" w14:textId="77777777" w:rsidR="00AE64BE" w:rsidRPr="00E26B3D" w:rsidRDefault="00AE64BE" w:rsidP="00DF1E6C">
            <w:pPr>
              <w:tabs>
                <w:tab w:val="decimal" w:pos="284"/>
              </w:tabs>
              <w:ind w:right="-108"/>
              <w:jc w:val="lef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676" w:type="pct"/>
            <w:tcBorders>
              <w:top w:val="single" w:sz="4" w:space="0" w:color="404040" w:themeColor="text1" w:themeTint="BF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580AC74F" w14:textId="77777777" w:rsidR="00AE64BE" w:rsidRPr="00863F6A" w:rsidRDefault="00AE64BE" w:rsidP="00DF1E6C">
            <w:pPr>
              <w:tabs>
                <w:tab w:val="decimal" w:pos="774"/>
              </w:tabs>
              <w:jc w:val="lef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sz w:val="18"/>
                <w:szCs w:val="18"/>
              </w:rPr>
              <w:t>p</w:t>
            </w:r>
            <w:r w:rsidRPr="00863F6A">
              <w:rPr>
                <w:b/>
                <w:bCs/>
                <w:sz w:val="18"/>
                <w:szCs w:val="18"/>
              </w:rPr>
              <w:t xml:space="preserve">or </w:t>
            </w:r>
            <w:r>
              <w:rPr>
                <w:b/>
                <w:bCs/>
                <w:sz w:val="18"/>
                <w:szCs w:val="18"/>
              </w:rPr>
              <w:t>arriba</w:t>
            </w:r>
          </w:p>
        </w:tc>
      </w:tr>
      <w:tr w:rsidR="00AE64BE" w:rsidRPr="0036480B" w14:paraId="5E407058" w14:textId="77777777" w:rsidTr="00DF1E6C">
        <w:trPr>
          <w:trHeight w:val="237"/>
        </w:trPr>
        <w:tc>
          <w:tcPr>
            <w:tcW w:w="2539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2F7A6230" w14:textId="77777777" w:rsidR="00AE64BE" w:rsidRPr="00443B05" w:rsidRDefault="00AE64BE" w:rsidP="00DF1E6C">
            <w:pPr>
              <w:numPr>
                <w:ilvl w:val="0"/>
                <w:numId w:val="21"/>
              </w:numPr>
              <w:spacing w:before="20"/>
              <w:ind w:left="321" w:hanging="266"/>
              <w:jc w:val="left"/>
              <w:rPr>
                <w:spacing w:val="4"/>
                <w:sz w:val="18"/>
                <w:szCs w:val="18"/>
              </w:rPr>
            </w:pPr>
            <w:r w:rsidRPr="00443B05">
              <w:rPr>
                <w:sz w:val="18"/>
                <w:szCs w:val="18"/>
                <w:lang w:val="es-MX"/>
              </w:rPr>
              <w:t>Momento adecuado para invertir</w:t>
            </w:r>
          </w:p>
        </w:tc>
        <w:tc>
          <w:tcPr>
            <w:tcW w:w="493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0515A282" w14:textId="77777777" w:rsidR="00AE64BE" w:rsidRPr="00D3016B" w:rsidRDefault="00AE64BE" w:rsidP="00DF1E6C">
            <w:pPr>
              <w:tabs>
                <w:tab w:val="decimal" w:pos="393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45.6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2A080B40" w14:textId="77777777" w:rsidR="00AE64BE" w:rsidRPr="00D3016B" w:rsidRDefault="00AE64BE" w:rsidP="00DF1E6C">
            <w:pPr>
              <w:tabs>
                <w:tab w:val="decimal" w:pos="391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0.9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11A46EAB" w14:textId="77777777" w:rsidR="00AE64BE" w:rsidRPr="00D3016B" w:rsidRDefault="00AE64BE" w:rsidP="00DF1E6C">
            <w:pPr>
              <w:tabs>
                <w:tab w:val="decimal" w:pos="357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6.4</w:t>
            </w:r>
          </w:p>
        </w:tc>
        <w:tc>
          <w:tcPr>
            <w:tcW w:w="283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6C36567B" w14:textId="77777777" w:rsidR="00AE64BE" w:rsidRPr="00E26B3D" w:rsidRDefault="00AE64BE" w:rsidP="00DF1E6C">
            <w:pPr>
              <w:tabs>
                <w:tab w:val="decimal" w:pos="284"/>
              </w:tabs>
              <w:ind w:right="-108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7BA0AE02" w14:textId="77777777" w:rsidR="00AE64BE" w:rsidRPr="00863F6A" w:rsidRDefault="00AE64BE" w:rsidP="00DF1E6C">
            <w:pPr>
              <w:tabs>
                <w:tab w:val="decimal" w:pos="774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863F6A">
              <w:rPr>
                <w:sz w:val="18"/>
                <w:szCs w:val="18"/>
              </w:rPr>
              <w:t>or debajo</w:t>
            </w:r>
          </w:p>
        </w:tc>
      </w:tr>
      <w:tr w:rsidR="00AE64BE" w:rsidRPr="0036480B" w14:paraId="59D3E85B" w14:textId="77777777" w:rsidTr="00DF1E6C">
        <w:trPr>
          <w:trHeight w:val="226"/>
        </w:trPr>
        <w:tc>
          <w:tcPr>
            <w:tcW w:w="2539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6922D647" w14:textId="77777777" w:rsidR="00AE64BE" w:rsidRPr="00443B05" w:rsidRDefault="00AE64BE" w:rsidP="00DF1E6C">
            <w:pPr>
              <w:numPr>
                <w:ilvl w:val="0"/>
                <w:numId w:val="21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443B05">
              <w:rPr>
                <w:sz w:val="18"/>
                <w:szCs w:val="18"/>
                <w:lang w:val="es-MX"/>
              </w:rPr>
              <w:t>Situación económica presente del país</w:t>
            </w:r>
          </w:p>
        </w:tc>
        <w:tc>
          <w:tcPr>
            <w:tcW w:w="493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78835AB9" w14:textId="77777777" w:rsidR="00AE64BE" w:rsidRPr="00D3016B" w:rsidRDefault="00AE64BE" w:rsidP="00DF1E6C">
            <w:pPr>
              <w:tabs>
                <w:tab w:val="decimal" w:pos="393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53.6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623C71DA" w14:textId="77777777" w:rsidR="00AE64BE" w:rsidRPr="00D3016B" w:rsidRDefault="00AE64BE" w:rsidP="00DF1E6C">
            <w:pPr>
              <w:tabs>
                <w:tab w:val="decimal" w:pos="391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43E8A1C5" w14:textId="77777777" w:rsidR="00AE64BE" w:rsidRPr="00D3016B" w:rsidRDefault="00AE64BE" w:rsidP="00DF1E6C">
            <w:pPr>
              <w:tabs>
                <w:tab w:val="decimal" w:pos="357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5.1</w:t>
            </w:r>
          </w:p>
        </w:tc>
        <w:tc>
          <w:tcPr>
            <w:tcW w:w="283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4E92D9C8" w14:textId="77777777" w:rsidR="00AE64BE" w:rsidRPr="00E26B3D" w:rsidRDefault="00AE64BE" w:rsidP="00DF1E6C">
            <w:pPr>
              <w:tabs>
                <w:tab w:val="decimal" w:pos="284"/>
              </w:tabs>
              <w:ind w:right="-10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72B9B7FA" w14:textId="77777777" w:rsidR="00AE64BE" w:rsidRPr="00863F6A" w:rsidRDefault="00AE64BE" w:rsidP="00DF1E6C">
            <w:pPr>
              <w:tabs>
                <w:tab w:val="decimal" w:pos="774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863F6A">
              <w:rPr>
                <w:sz w:val="18"/>
                <w:szCs w:val="18"/>
              </w:rPr>
              <w:t xml:space="preserve">or </w:t>
            </w:r>
            <w:r>
              <w:rPr>
                <w:sz w:val="18"/>
                <w:szCs w:val="18"/>
              </w:rPr>
              <w:t>arriba</w:t>
            </w:r>
          </w:p>
        </w:tc>
      </w:tr>
      <w:tr w:rsidR="00AE64BE" w:rsidRPr="0036480B" w14:paraId="3F928F54" w14:textId="77777777" w:rsidTr="00DF1E6C">
        <w:trPr>
          <w:trHeight w:val="237"/>
        </w:trPr>
        <w:tc>
          <w:tcPr>
            <w:tcW w:w="2539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3185D2B0" w14:textId="77777777" w:rsidR="00AE64BE" w:rsidRPr="00443B05" w:rsidRDefault="00AE64BE" w:rsidP="00DF1E6C">
            <w:pPr>
              <w:numPr>
                <w:ilvl w:val="0"/>
                <w:numId w:val="21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443B05">
              <w:rPr>
                <w:sz w:val="18"/>
                <w:szCs w:val="18"/>
                <w:lang w:val="es-MX"/>
              </w:rPr>
              <w:t>Situación económica futura del país</w:t>
            </w:r>
            <w:r w:rsidRPr="001B7EF3">
              <w:rPr>
                <w:sz w:val="18"/>
                <w:szCs w:val="18"/>
                <w:vertAlign w:val="superscript"/>
                <w:lang w:val="es-MX"/>
              </w:rPr>
              <w:t>2/</w:t>
            </w:r>
          </w:p>
        </w:tc>
        <w:tc>
          <w:tcPr>
            <w:tcW w:w="493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75F0656D" w14:textId="77777777" w:rsidR="00AE64BE" w:rsidRPr="00D3016B" w:rsidRDefault="00AE64BE" w:rsidP="00DF1E6C">
            <w:pPr>
              <w:tabs>
                <w:tab w:val="decimal" w:pos="393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56.4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22700F58" w14:textId="77777777" w:rsidR="00AE64BE" w:rsidRPr="00D3016B" w:rsidRDefault="00AE64BE" w:rsidP="00DF1E6C">
            <w:pPr>
              <w:tabs>
                <w:tab w:val="decimal" w:pos="391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4009697A" w14:textId="77777777" w:rsidR="00AE64BE" w:rsidRPr="00D3016B" w:rsidRDefault="00AE64BE" w:rsidP="00DF1E6C">
            <w:pPr>
              <w:tabs>
                <w:tab w:val="decimal" w:pos="357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3.4</w:t>
            </w:r>
          </w:p>
        </w:tc>
        <w:tc>
          <w:tcPr>
            <w:tcW w:w="283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4420443D" w14:textId="77777777" w:rsidR="00AE64BE" w:rsidRPr="00E26B3D" w:rsidRDefault="00AE64BE" w:rsidP="00DF1E6C">
            <w:pPr>
              <w:tabs>
                <w:tab w:val="decimal" w:pos="284"/>
              </w:tabs>
              <w:ind w:right="-108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24E6A69D" w14:textId="77777777" w:rsidR="00AE64BE" w:rsidRPr="00863F6A" w:rsidRDefault="00AE64BE" w:rsidP="00DF1E6C">
            <w:pPr>
              <w:tabs>
                <w:tab w:val="decimal" w:pos="774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863F6A">
              <w:rPr>
                <w:sz w:val="18"/>
                <w:szCs w:val="18"/>
              </w:rPr>
              <w:t>or arriba</w:t>
            </w:r>
          </w:p>
        </w:tc>
      </w:tr>
      <w:tr w:rsidR="00AE64BE" w:rsidRPr="0036480B" w14:paraId="342B2507" w14:textId="77777777" w:rsidTr="00DF1E6C">
        <w:trPr>
          <w:trHeight w:val="247"/>
        </w:trPr>
        <w:tc>
          <w:tcPr>
            <w:tcW w:w="2539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74916F7D" w14:textId="77777777" w:rsidR="00AE64BE" w:rsidRPr="00443B05" w:rsidRDefault="00AE64BE" w:rsidP="00DF1E6C">
            <w:pPr>
              <w:numPr>
                <w:ilvl w:val="0"/>
                <w:numId w:val="21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443B05">
              <w:rPr>
                <w:sz w:val="18"/>
                <w:szCs w:val="18"/>
                <w:lang w:val="es-MX"/>
              </w:rPr>
              <w:t>Situación económica presente de la empresa</w:t>
            </w:r>
            <w:r w:rsidRPr="001B7EF3">
              <w:rPr>
                <w:sz w:val="18"/>
                <w:szCs w:val="18"/>
                <w:vertAlign w:val="superscript"/>
                <w:lang w:val="es-MX"/>
              </w:rPr>
              <w:t>2/</w:t>
            </w:r>
          </w:p>
        </w:tc>
        <w:tc>
          <w:tcPr>
            <w:tcW w:w="493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0A6F16C9" w14:textId="77777777" w:rsidR="00AE64BE" w:rsidRPr="00D3016B" w:rsidRDefault="00AE64BE" w:rsidP="00DF1E6C">
            <w:pPr>
              <w:tabs>
                <w:tab w:val="decimal" w:pos="393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54.7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vAlign w:val="center"/>
          </w:tcPr>
          <w:p w14:paraId="62C9C09C" w14:textId="77777777" w:rsidR="00AE64BE" w:rsidRPr="00D3016B" w:rsidRDefault="00AE64BE" w:rsidP="00DF1E6C">
            <w:pPr>
              <w:tabs>
                <w:tab w:val="decimal" w:pos="391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70EF0539" w14:textId="77777777" w:rsidR="00AE64BE" w:rsidRPr="00D3016B" w:rsidRDefault="00AE64BE" w:rsidP="00DF1E6C">
            <w:pPr>
              <w:tabs>
                <w:tab w:val="decimal" w:pos="357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-0.1</w:t>
            </w:r>
          </w:p>
        </w:tc>
        <w:tc>
          <w:tcPr>
            <w:tcW w:w="283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1CA852C5" w14:textId="77777777" w:rsidR="00AE64BE" w:rsidRPr="00E26B3D" w:rsidRDefault="00AE64BE" w:rsidP="00DF1E6C">
            <w:pPr>
              <w:tabs>
                <w:tab w:val="decimal" w:pos="284"/>
              </w:tabs>
              <w:ind w:right="-10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07C1B2C" w14:textId="77777777" w:rsidR="00AE64BE" w:rsidRPr="00863F6A" w:rsidRDefault="00AE64BE" w:rsidP="00DF1E6C">
            <w:pPr>
              <w:tabs>
                <w:tab w:val="decimal" w:pos="774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863F6A">
              <w:rPr>
                <w:sz w:val="18"/>
                <w:szCs w:val="18"/>
              </w:rPr>
              <w:t xml:space="preserve">or </w:t>
            </w:r>
            <w:r>
              <w:rPr>
                <w:sz w:val="18"/>
                <w:szCs w:val="18"/>
              </w:rPr>
              <w:t>arriba</w:t>
            </w:r>
          </w:p>
        </w:tc>
      </w:tr>
      <w:tr w:rsidR="00AE64BE" w:rsidRPr="0036480B" w14:paraId="53EA6AF0" w14:textId="77777777" w:rsidTr="00DF1E6C">
        <w:trPr>
          <w:trHeight w:val="132"/>
        </w:trPr>
        <w:tc>
          <w:tcPr>
            <w:tcW w:w="2539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7638404D" w14:textId="77777777" w:rsidR="00AE64BE" w:rsidRPr="00443B05" w:rsidRDefault="00AE64BE" w:rsidP="00DF1E6C">
            <w:pPr>
              <w:numPr>
                <w:ilvl w:val="0"/>
                <w:numId w:val="21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443B05">
              <w:rPr>
                <w:sz w:val="18"/>
                <w:szCs w:val="18"/>
                <w:lang w:val="es-MX"/>
              </w:rPr>
              <w:t>Situación económica futura de la empresa</w:t>
            </w:r>
            <w:r w:rsidRPr="001B7EF3">
              <w:rPr>
                <w:sz w:val="18"/>
                <w:szCs w:val="18"/>
                <w:vertAlign w:val="superscript"/>
                <w:lang w:val="es-MX"/>
              </w:rPr>
              <w:t>2/</w:t>
            </w:r>
          </w:p>
        </w:tc>
        <w:tc>
          <w:tcPr>
            <w:tcW w:w="493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6707CF9B" w14:textId="77777777" w:rsidR="00AE64BE" w:rsidRPr="00D3016B" w:rsidRDefault="00AE64BE" w:rsidP="00DF1E6C">
            <w:pPr>
              <w:tabs>
                <w:tab w:val="decimal" w:pos="393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58.4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nil"/>
            </w:tcBorders>
            <w:vAlign w:val="center"/>
          </w:tcPr>
          <w:p w14:paraId="31B458AF" w14:textId="77777777" w:rsidR="00AE64BE" w:rsidRPr="00D3016B" w:rsidRDefault="00AE64BE" w:rsidP="00DF1E6C">
            <w:pPr>
              <w:tabs>
                <w:tab w:val="decimal" w:pos="391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6EBAF036" w14:textId="77777777" w:rsidR="00AE64BE" w:rsidRPr="00D3016B" w:rsidRDefault="00AE64BE" w:rsidP="00DF1E6C">
            <w:pPr>
              <w:tabs>
                <w:tab w:val="decimal" w:pos="357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-0.8</w:t>
            </w:r>
          </w:p>
        </w:tc>
        <w:tc>
          <w:tcPr>
            <w:tcW w:w="283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nil"/>
            </w:tcBorders>
            <w:shd w:val="clear" w:color="auto" w:fill="auto"/>
            <w:vAlign w:val="center"/>
          </w:tcPr>
          <w:p w14:paraId="149E4221" w14:textId="77777777" w:rsidR="00AE64BE" w:rsidRPr="00E26B3D" w:rsidRDefault="00AE64BE" w:rsidP="00DF1E6C">
            <w:pPr>
              <w:tabs>
                <w:tab w:val="decimal" w:pos="284"/>
              </w:tabs>
              <w:ind w:right="-108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237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165B9EDE" w14:textId="77777777" w:rsidR="00AE64BE" w:rsidRPr="00863F6A" w:rsidRDefault="00AE64BE" w:rsidP="00DF1E6C">
            <w:pPr>
              <w:tabs>
                <w:tab w:val="decimal" w:pos="774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863F6A">
              <w:rPr>
                <w:sz w:val="18"/>
                <w:szCs w:val="18"/>
              </w:rPr>
              <w:t>or arriba</w:t>
            </w:r>
          </w:p>
        </w:tc>
      </w:tr>
    </w:tbl>
    <w:p w14:paraId="63154D2E" w14:textId="77777777" w:rsidR="00AE64BE" w:rsidRDefault="00AE64BE" w:rsidP="00AE64BE">
      <w:pPr>
        <w:spacing w:before="20" w:line="180" w:lineRule="exact"/>
        <w:ind w:left="658" w:right="40" w:hanging="550"/>
        <w:outlineLvl w:val="0"/>
        <w:rPr>
          <w:sz w:val="16"/>
          <w:szCs w:val="16"/>
        </w:rPr>
      </w:pPr>
      <w:r w:rsidRPr="001B7EF3">
        <w:rPr>
          <w:sz w:val="16"/>
          <w:szCs w:val="16"/>
        </w:rPr>
        <w:t>Nota</w:t>
      </w:r>
      <w:r w:rsidRPr="00443B05">
        <w:rPr>
          <w:sz w:val="14"/>
          <w:szCs w:val="14"/>
        </w:rPr>
        <w:t>:</w:t>
      </w:r>
      <w:r w:rsidRPr="00443B05">
        <w:rPr>
          <w:sz w:val="14"/>
          <w:szCs w:val="14"/>
        </w:rPr>
        <w:tab/>
      </w:r>
      <w:r w:rsidRPr="001B7EF3">
        <w:rPr>
          <w:sz w:val="16"/>
          <w:szCs w:val="16"/>
        </w:rPr>
        <w:t xml:space="preserve">Los indicadores se generan con los datos referidos al mes de la entrevista. </w:t>
      </w:r>
    </w:p>
    <w:p w14:paraId="433ECF4D" w14:textId="77777777" w:rsidR="00AE64BE" w:rsidRPr="00443B05" w:rsidRDefault="00AE64BE" w:rsidP="00AE64BE">
      <w:pPr>
        <w:spacing w:line="180" w:lineRule="exact"/>
        <w:ind w:left="658" w:right="40" w:hanging="550"/>
        <w:outlineLvl w:val="0"/>
        <w:rPr>
          <w:sz w:val="14"/>
          <w:szCs w:val="14"/>
        </w:rPr>
      </w:pPr>
      <w:r w:rsidRPr="009C6AF2">
        <w:rPr>
          <w:sz w:val="18"/>
          <w:szCs w:val="18"/>
          <w:vertAlign w:val="superscript"/>
        </w:rPr>
        <w:t>1/</w:t>
      </w:r>
      <w:r w:rsidRPr="00443B05">
        <w:rPr>
          <w:sz w:val="14"/>
          <w:szCs w:val="14"/>
        </w:rPr>
        <w:tab/>
      </w:r>
      <w:r w:rsidRPr="001B7EF3">
        <w:rPr>
          <w:sz w:val="16"/>
          <w:szCs w:val="16"/>
        </w:rPr>
        <w:t>Las diferencias en puntos se obtienen de los respectivos indicadores considerando todos sus decimales</w:t>
      </w:r>
      <w:r w:rsidRPr="00443B05">
        <w:rPr>
          <w:sz w:val="14"/>
          <w:szCs w:val="14"/>
        </w:rPr>
        <w:t>.</w:t>
      </w:r>
    </w:p>
    <w:p w14:paraId="5BA3A4E6" w14:textId="77777777" w:rsidR="00AE64BE" w:rsidRPr="00443B05" w:rsidRDefault="00AE64BE" w:rsidP="00AE64BE">
      <w:pPr>
        <w:spacing w:line="180" w:lineRule="exact"/>
        <w:ind w:left="658" w:right="40" w:hanging="550"/>
        <w:outlineLvl w:val="0"/>
        <w:rPr>
          <w:spacing w:val="4"/>
          <w:sz w:val="14"/>
          <w:szCs w:val="14"/>
        </w:rPr>
      </w:pPr>
      <w:r w:rsidRPr="009C6AF2">
        <w:rPr>
          <w:sz w:val="18"/>
          <w:szCs w:val="18"/>
          <w:vertAlign w:val="superscript"/>
        </w:rPr>
        <w:t>2/</w:t>
      </w:r>
      <w:r w:rsidRPr="00443B05">
        <w:rPr>
          <w:spacing w:val="4"/>
          <w:sz w:val="14"/>
          <w:szCs w:val="14"/>
        </w:rPr>
        <w:tab/>
      </w:r>
      <w:r w:rsidRPr="001B7EF3">
        <w:rPr>
          <w:sz w:val="16"/>
          <w:szCs w:val="16"/>
        </w:rPr>
        <w:t>Componente no sujeto a desestacionalización</w:t>
      </w:r>
    </w:p>
    <w:p w14:paraId="2FF9E2EC" w14:textId="77777777" w:rsidR="00AE64BE" w:rsidRPr="00443B05" w:rsidRDefault="00AE64BE" w:rsidP="00AE64BE">
      <w:pPr>
        <w:spacing w:line="160" w:lineRule="exact"/>
        <w:ind w:left="658" w:right="40" w:hanging="550"/>
        <w:outlineLvl w:val="0"/>
        <w:rPr>
          <w:sz w:val="14"/>
          <w:szCs w:val="14"/>
        </w:rPr>
      </w:pPr>
      <w:r w:rsidRPr="001B7EF3">
        <w:rPr>
          <w:sz w:val="16"/>
          <w:szCs w:val="16"/>
        </w:rPr>
        <w:t>Fuente</w:t>
      </w:r>
      <w:r w:rsidRPr="00443B05">
        <w:rPr>
          <w:sz w:val="14"/>
          <w:szCs w:val="14"/>
        </w:rPr>
        <w:t>:</w:t>
      </w:r>
      <w:r w:rsidRPr="001B7EF3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B7EF3">
        <w:rPr>
          <w:sz w:val="16"/>
          <w:szCs w:val="16"/>
        </w:rPr>
        <w:t>INEGI</w:t>
      </w:r>
      <w:r>
        <w:rPr>
          <w:smallCaps/>
          <w:sz w:val="16"/>
          <w:szCs w:val="16"/>
        </w:rPr>
        <w:t xml:space="preserve">. </w:t>
      </w:r>
      <w:r w:rsidRPr="006862BB">
        <w:rPr>
          <w:sz w:val="16"/>
          <w:szCs w:val="16"/>
        </w:rPr>
        <w:t>Encuesta Mensual de Opinión Empresarial (EMOE)</w:t>
      </w:r>
      <w:r>
        <w:rPr>
          <w:sz w:val="16"/>
          <w:szCs w:val="16"/>
        </w:rPr>
        <w:t>,</w:t>
      </w:r>
      <w:r w:rsidRPr="006862BB">
        <w:rPr>
          <w:sz w:val="16"/>
          <w:szCs w:val="16"/>
        </w:rPr>
        <w:t xml:space="preserve"> 2023.</w:t>
      </w:r>
    </w:p>
    <w:p w14:paraId="57EB1C15" w14:textId="77777777" w:rsidR="00AE64BE" w:rsidRDefault="00AE64BE" w:rsidP="00AE64BE">
      <w:pPr>
        <w:spacing w:before="240"/>
        <w:ind w:right="51"/>
        <w:rPr>
          <w:szCs w:val="22"/>
        </w:rPr>
      </w:pPr>
    </w:p>
    <w:p w14:paraId="14526DC2" w14:textId="77777777" w:rsidR="00AE64BE" w:rsidRPr="00CA6912" w:rsidRDefault="00AE64BE" w:rsidP="00AE64BE">
      <w:pPr>
        <w:keepNext/>
        <w:keepLines/>
        <w:tabs>
          <w:tab w:val="left" w:pos="708"/>
          <w:tab w:val="center" w:pos="3348"/>
        </w:tabs>
        <w:jc w:val="center"/>
        <w:rPr>
          <w:bCs/>
          <w:sz w:val="18"/>
          <w:szCs w:val="18"/>
        </w:rPr>
      </w:pPr>
      <w:r w:rsidRPr="00607F3E">
        <w:rPr>
          <w:b/>
          <w:smallCaps/>
          <w:spacing w:val="4"/>
          <w:sz w:val="22"/>
          <w:szCs w:val="22"/>
        </w:rPr>
        <w:t xml:space="preserve">Indicador de </w:t>
      </w:r>
      <w:r>
        <w:rPr>
          <w:b/>
          <w:smallCaps/>
          <w:spacing w:val="4"/>
          <w:sz w:val="22"/>
          <w:szCs w:val="22"/>
        </w:rPr>
        <w:t>C</w:t>
      </w:r>
      <w:r w:rsidRPr="00607F3E">
        <w:rPr>
          <w:b/>
          <w:smallCaps/>
          <w:spacing w:val="4"/>
          <w:sz w:val="22"/>
          <w:szCs w:val="22"/>
        </w:rPr>
        <w:t xml:space="preserve">onfianza </w:t>
      </w:r>
      <w:r>
        <w:rPr>
          <w:b/>
          <w:smallCaps/>
          <w:spacing w:val="4"/>
          <w:sz w:val="22"/>
          <w:szCs w:val="22"/>
        </w:rPr>
        <w:t>E</w:t>
      </w:r>
      <w:r w:rsidRPr="00607F3E">
        <w:rPr>
          <w:b/>
          <w:smallCaps/>
          <w:spacing w:val="4"/>
          <w:sz w:val="22"/>
          <w:szCs w:val="22"/>
        </w:rPr>
        <w:t>mpresarial de</w:t>
      </w:r>
      <w:r>
        <w:rPr>
          <w:b/>
          <w:smallCaps/>
          <w:spacing w:val="4"/>
          <w:sz w:val="22"/>
          <w:szCs w:val="22"/>
        </w:rPr>
        <w:t>l sector</w:t>
      </w:r>
      <w:r w:rsidRPr="00607F3E">
        <w:rPr>
          <w:b/>
          <w:smallCaps/>
          <w:spacing w:val="4"/>
          <w:sz w:val="22"/>
          <w:szCs w:val="22"/>
        </w:rPr>
        <w:t xml:space="preserve"> </w:t>
      </w:r>
      <w:r>
        <w:rPr>
          <w:b/>
          <w:smallCaps/>
          <w:spacing w:val="4"/>
          <w:sz w:val="22"/>
          <w:szCs w:val="22"/>
        </w:rPr>
        <w:t>C</w:t>
      </w:r>
      <w:r w:rsidRPr="00607F3E">
        <w:rPr>
          <w:b/>
          <w:smallCaps/>
          <w:spacing w:val="4"/>
          <w:sz w:val="22"/>
          <w:szCs w:val="22"/>
        </w:rPr>
        <w:t>onstrucción y sus componentes</w:t>
      </w:r>
    </w:p>
    <w:tbl>
      <w:tblPr>
        <w:tblStyle w:val="Tablaconcuadrcula"/>
        <w:tblW w:w="4984" w:type="pct"/>
        <w:tblLayout w:type="fixed"/>
        <w:tblLook w:val="04A0" w:firstRow="1" w:lastRow="0" w:firstColumn="1" w:lastColumn="0" w:noHBand="0" w:noVBand="1"/>
      </w:tblPr>
      <w:tblGrid>
        <w:gridCol w:w="5024"/>
        <w:gridCol w:w="983"/>
        <w:gridCol w:w="1007"/>
        <w:gridCol w:w="1009"/>
        <w:gridCol w:w="550"/>
        <w:gridCol w:w="1359"/>
      </w:tblGrid>
      <w:tr w:rsidR="00AE64BE" w:rsidRPr="00773FF2" w14:paraId="5DB4FB6B" w14:textId="77777777" w:rsidTr="00DF1E6C">
        <w:tc>
          <w:tcPr>
            <w:tcW w:w="2529" w:type="pct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394956F0" w14:textId="77777777" w:rsidR="00AE64BE" w:rsidRPr="00773FF2" w:rsidRDefault="00AE64BE" w:rsidP="00DF1E6C">
            <w:pPr>
              <w:spacing w:before="20" w:after="20"/>
              <w:ind w:left="176"/>
              <w:rPr>
                <w:spacing w:val="4"/>
                <w:sz w:val="18"/>
                <w:szCs w:val="18"/>
              </w:rPr>
            </w:pPr>
            <w:r w:rsidRPr="007E5597">
              <w:rPr>
                <w:sz w:val="18"/>
                <w:szCs w:val="18"/>
              </w:rPr>
              <w:t>Indicador y componentes</w:t>
            </w:r>
          </w:p>
        </w:tc>
        <w:tc>
          <w:tcPr>
            <w:tcW w:w="495" w:type="pct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4D98F626" w14:textId="77777777" w:rsidR="00AE64BE" w:rsidRPr="00773FF2" w:rsidRDefault="00AE64BE" w:rsidP="00DF1E6C">
            <w:pPr>
              <w:spacing w:before="20" w:after="20"/>
              <w:ind w:left="-135" w:right="-108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Septiembre </w:t>
            </w:r>
            <w:r w:rsidRPr="00773FF2">
              <w:rPr>
                <w:spacing w:val="-4"/>
                <w:sz w:val="18"/>
                <w:szCs w:val="18"/>
              </w:rPr>
              <w:br/>
              <w:t>de 202</w:t>
            </w:r>
            <w:r>
              <w:rPr>
                <w:spacing w:val="-4"/>
                <w:sz w:val="18"/>
                <w:szCs w:val="18"/>
              </w:rPr>
              <w:t>3</w:t>
            </w:r>
          </w:p>
        </w:tc>
        <w:tc>
          <w:tcPr>
            <w:tcW w:w="1015" w:type="pct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027FC28" w14:textId="77777777" w:rsidR="00AE64BE" w:rsidRPr="00773FF2" w:rsidRDefault="00AE64BE" w:rsidP="00DF1E6C">
            <w:pPr>
              <w:spacing w:before="20" w:after="20"/>
              <w:ind w:left="-108" w:right="-96"/>
              <w:jc w:val="center"/>
              <w:rPr>
                <w:spacing w:val="-4"/>
                <w:sz w:val="18"/>
                <w:szCs w:val="18"/>
              </w:rPr>
            </w:pPr>
            <w:r w:rsidRPr="00773FF2">
              <w:rPr>
                <w:spacing w:val="-4"/>
                <w:sz w:val="18"/>
                <w:szCs w:val="18"/>
              </w:rPr>
              <w:t>Diferencias</w:t>
            </w:r>
            <w:r w:rsidRPr="00773FF2">
              <w:rPr>
                <w:spacing w:val="-4"/>
                <w:sz w:val="18"/>
                <w:szCs w:val="18"/>
                <w:vertAlign w:val="superscript"/>
              </w:rPr>
              <w:t>1/</w:t>
            </w:r>
            <w:r w:rsidRPr="00773FF2">
              <w:rPr>
                <w:spacing w:val="-4"/>
                <w:sz w:val="18"/>
                <w:szCs w:val="18"/>
              </w:rPr>
              <w:t xml:space="preserve"> en </w:t>
            </w:r>
            <w:r w:rsidRPr="00773FF2">
              <w:rPr>
                <w:spacing w:val="-4"/>
                <w:sz w:val="18"/>
                <w:szCs w:val="18"/>
              </w:rPr>
              <w:br/>
              <w:t>puntos respecto a:</w:t>
            </w:r>
          </w:p>
        </w:tc>
        <w:tc>
          <w:tcPr>
            <w:tcW w:w="961" w:type="pct"/>
            <w:gridSpan w:val="2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190130AC" w14:textId="77777777" w:rsidR="00AE64BE" w:rsidRPr="00773FF2" w:rsidRDefault="00AE64BE" w:rsidP="00DF1E6C">
            <w:pPr>
              <w:spacing w:before="20" w:after="20"/>
              <w:ind w:left="-108" w:right="-96"/>
              <w:jc w:val="center"/>
              <w:rPr>
                <w:spacing w:val="-4"/>
                <w:sz w:val="18"/>
                <w:szCs w:val="18"/>
              </w:rPr>
            </w:pPr>
            <w:r w:rsidRPr="00773FF2">
              <w:rPr>
                <w:spacing w:val="-4"/>
                <w:sz w:val="18"/>
                <w:szCs w:val="18"/>
              </w:rPr>
              <w:t xml:space="preserve">Número de meses consecutivos por </w:t>
            </w:r>
            <w:r w:rsidRPr="00773FF2">
              <w:rPr>
                <w:spacing w:val="-4"/>
                <w:sz w:val="18"/>
                <w:szCs w:val="18"/>
              </w:rPr>
              <w:br/>
              <w:t xml:space="preserve">arriba o por debajo </w:t>
            </w:r>
            <w:r w:rsidRPr="00773FF2">
              <w:rPr>
                <w:spacing w:val="-4"/>
                <w:sz w:val="18"/>
                <w:szCs w:val="18"/>
              </w:rPr>
              <w:br/>
              <w:t xml:space="preserve">del umbral de </w:t>
            </w:r>
            <w:r w:rsidRPr="00773FF2">
              <w:rPr>
                <w:spacing w:val="-4"/>
                <w:sz w:val="18"/>
                <w:szCs w:val="18"/>
              </w:rPr>
              <w:br/>
              <w:t>50 puntos</w:t>
            </w:r>
          </w:p>
        </w:tc>
      </w:tr>
      <w:tr w:rsidR="00AE64BE" w:rsidRPr="00773FF2" w14:paraId="65F874D7" w14:textId="77777777" w:rsidTr="00DF1E6C">
        <w:tc>
          <w:tcPr>
            <w:tcW w:w="2529" w:type="pct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31E2447" w14:textId="77777777" w:rsidR="00AE64BE" w:rsidRPr="00773FF2" w:rsidRDefault="00AE64BE" w:rsidP="00DF1E6C">
            <w:pPr>
              <w:spacing w:before="20" w:after="20"/>
              <w:ind w:left="176"/>
              <w:rPr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36626CC5" w14:textId="77777777" w:rsidR="00AE64BE" w:rsidRPr="00773FF2" w:rsidRDefault="00AE64BE" w:rsidP="00DF1E6C">
            <w:pPr>
              <w:spacing w:before="20" w:after="20"/>
              <w:ind w:left="-135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78F38527" w14:textId="77777777" w:rsidR="00AE64BE" w:rsidRPr="00773FF2" w:rsidRDefault="00AE64BE" w:rsidP="00DF1E6C">
            <w:pPr>
              <w:spacing w:before="20" w:after="20"/>
              <w:ind w:left="-135" w:right="-108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agost</w:t>
            </w:r>
            <w:r w:rsidRPr="00B436C4">
              <w:rPr>
                <w:spacing w:val="-4"/>
                <w:sz w:val="18"/>
                <w:szCs w:val="18"/>
              </w:rPr>
              <w:t>o</w:t>
            </w:r>
            <w:r w:rsidRPr="00B436C4">
              <w:rPr>
                <w:spacing w:val="-4"/>
                <w:sz w:val="18"/>
                <w:szCs w:val="18"/>
              </w:rPr>
              <w:br/>
              <w:t>de 2023</w:t>
            </w:r>
          </w:p>
        </w:tc>
        <w:tc>
          <w:tcPr>
            <w:tcW w:w="508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314813DE" w14:textId="77777777" w:rsidR="00AE64BE" w:rsidRPr="00773FF2" w:rsidRDefault="00AE64BE" w:rsidP="00DF1E6C">
            <w:pPr>
              <w:spacing w:before="20" w:after="20"/>
              <w:ind w:left="-135" w:right="-108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septiembre</w:t>
            </w:r>
            <w:r w:rsidRPr="00B436C4">
              <w:rPr>
                <w:spacing w:val="-4"/>
                <w:sz w:val="18"/>
                <w:szCs w:val="18"/>
              </w:rPr>
              <w:br/>
              <w:t>de 202</w:t>
            </w:r>
            <w:r>
              <w:rPr>
                <w:spacing w:val="-4"/>
                <w:sz w:val="18"/>
                <w:szCs w:val="18"/>
              </w:rPr>
              <w:t>2</w:t>
            </w:r>
          </w:p>
        </w:tc>
        <w:tc>
          <w:tcPr>
            <w:tcW w:w="961" w:type="pct"/>
            <w:gridSpan w:val="2"/>
            <w:vMerge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352EF84D" w14:textId="77777777" w:rsidR="00AE64BE" w:rsidRPr="00773FF2" w:rsidRDefault="00AE64BE" w:rsidP="00DF1E6C">
            <w:pPr>
              <w:tabs>
                <w:tab w:val="center" w:pos="3348"/>
              </w:tabs>
              <w:spacing w:before="60" w:after="60"/>
              <w:ind w:left="-93" w:right="-80"/>
              <w:jc w:val="center"/>
              <w:rPr>
                <w:b/>
                <w:sz w:val="18"/>
                <w:szCs w:val="18"/>
              </w:rPr>
            </w:pPr>
          </w:p>
        </w:tc>
      </w:tr>
      <w:tr w:rsidR="00AE64BE" w:rsidRPr="00773FF2" w14:paraId="58D5B39E" w14:textId="77777777" w:rsidTr="00DF1E6C">
        <w:trPr>
          <w:trHeight w:val="226"/>
        </w:trPr>
        <w:tc>
          <w:tcPr>
            <w:tcW w:w="2529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7A75844" w14:textId="77777777" w:rsidR="00AE64BE" w:rsidRPr="00773FF2" w:rsidRDefault="00AE64BE" w:rsidP="00DF1E6C">
            <w:pPr>
              <w:spacing w:before="20"/>
              <w:ind w:right="-116"/>
              <w:jc w:val="left"/>
              <w:rPr>
                <w:b/>
                <w:spacing w:val="-4"/>
                <w:sz w:val="18"/>
                <w:szCs w:val="18"/>
              </w:rPr>
            </w:pPr>
            <w:r w:rsidRPr="00773FF2">
              <w:rPr>
                <w:b/>
                <w:spacing w:val="-4"/>
                <w:sz w:val="18"/>
                <w:szCs w:val="18"/>
              </w:rPr>
              <w:t>Indicador de Confianza Empresarial de</w:t>
            </w:r>
            <w:r>
              <w:rPr>
                <w:b/>
                <w:spacing w:val="-4"/>
                <w:sz w:val="18"/>
                <w:szCs w:val="18"/>
              </w:rPr>
              <w:t xml:space="preserve">l sector </w:t>
            </w:r>
            <w:r w:rsidRPr="00773FF2">
              <w:rPr>
                <w:b/>
                <w:spacing w:val="-4"/>
                <w:sz w:val="18"/>
                <w:szCs w:val="18"/>
              </w:rPr>
              <w:t>Construcción</w:t>
            </w:r>
          </w:p>
        </w:tc>
        <w:tc>
          <w:tcPr>
            <w:tcW w:w="495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39F1DB5B" w14:textId="77777777" w:rsidR="00AE64BE" w:rsidRPr="00D3016B" w:rsidRDefault="00AE64BE" w:rsidP="00DF1E6C">
            <w:pPr>
              <w:tabs>
                <w:tab w:val="decimal" w:pos="386"/>
              </w:tabs>
              <w:jc w:val="lef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53.2</w:t>
            </w:r>
          </w:p>
        </w:tc>
        <w:tc>
          <w:tcPr>
            <w:tcW w:w="507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nil"/>
            </w:tcBorders>
            <w:vAlign w:val="center"/>
          </w:tcPr>
          <w:p w14:paraId="0E7903CF" w14:textId="77777777" w:rsidR="00AE64BE" w:rsidRPr="00D3016B" w:rsidRDefault="00AE64BE" w:rsidP="00DF1E6C">
            <w:pPr>
              <w:tabs>
                <w:tab w:val="decimal" w:pos="388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0.7</w:t>
            </w:r>
          </w:p>
        </w:tc>
        <w:tc>
          <w:tcPr>
            <w:tcW w:w="508" w:type="pct"/>
            <w:tcBorders>
              <w:top w:val="single" w:sz="4" w:space="0" w:color="404040" w:themeColor="text1" w:themeTint="BF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5393D631" w14:textId="77777777" w:rsidR="00AE64BE" w:rsidRPr="00D3016B" w:rsidRDefault="00AE64BE" w:rsidP="00DF1E6C">
            <w:pPr>
              <w:tabs>
                <w:tab w:val="decimal" w:pos="368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2.2</w:t>
            </w:r>
          </w:p>
        </w:tc>
        <w:tc>
          <w:tcPr>
            <w:tcW w:w="277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698D0644" w14:textId="77777777" w:rsidR="00AE64BE" w:rsidRPr="00C26054" w:rsidRDefault="00AE64BE" w:rsidP="00DF1E6C">
            <w:pPr>
              <w:jc w:val="righ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sz w:val="18"/>
                <w:szCs w:val="18"/>
                <w:lang w:val="es-MX" w:eastAsia="es-MX"/>
              </w:rPr>
              <w:t>9</w:t>
            </w:r>
          </w:p>
        </w:tc>
        <w:tc>
          <w:tcPr>
            <w:tcW w:w="684" w:type="pct"/>
            <w:tcBorders>
              <w:top w:val="single" w:sz="4" w:space="0" w:color="404040" w:themeColor="text1" w:themeTint="BF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62365131" w14:textId="77777777" w:rsidR="00AE64BE" w:rsidRPr="00773FF2" w:rsidRDefault="00AE64BE" w:rsidP="00DF1E6C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</w:t>
            </w:r>
            <w:r w:rsidRPr="00773FF2">
              <w:rPr>
                <w:b/>
                <w:bCs/>
                <w:sz w:val="18"/>
                <w:szCs w:val="18"/>
              </w:rPr>
              <w:t xml:space="preserve">or </w:t>
            </w:r>
            <w:r>
              <w:rPr>
                <w:b/>
                <w:bCs/>
                <w:sz w:val="18"/>
                <w:szCs w:val="18"/>
              </w:rPr>
              <w:t>arriba</w:t>
            </w:r>
          </w:p>
        </w:tc>
      </w:tr>
      <w:tr w:rsidR="00AE64BE" w:rsidRPr="00773FF2" w14:paraId="420267A0" w14:textId="77777777" w:rsidTr="00DF1E6C">
        <w:trPr>
          <w:trHeight w:val="237"/>
        </w:trPr>
        <w:tc>
          <w:tcPr>
            <w:tcW w:w="2529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1958A70B" w14:textId="77777777" w:rsidR="00AE64BE" w:rsidRPr="00773FF2" w:rsidRDefault="00AE64BE" w:rsidP="00DF1E6C">
            <w:pPr>
              <w:numPr>
                <w:ilvl w:val="0"/>
                <w:numId w:val="32"/>
              </w:numPr>
              <w:tabs>
                <w:tab w:val="clear" w:pos="1080"/>
              </w:tabs>
              <w:spacing w:before="20"/>
              <w:ind w:left="321" w:hanging="266"/>
              <w:jc w:val="left"/>
              <w:rPr>
                <w:spacing w:val="4"/>
                <w:sz w:val="18"/>
                <w:szCs w:val="18"/>
              </w:rPr>
            </w:pPr>
            <w:r w:rsidRPr="00773FF2">
              <w:rPr>
                <w:sz w:val="18"/>
                <w:szCs w:val="18"/>
                <w:lang w:val="es-MX"/>
              </w:rPr>
              <w:t>Momento adecuado para invertir</w:t>
            </w:r>
            <w:r w:rsidRPr="00773FF2">
              <w:rPr>
                <w:sz w:val="20"/>
                <w:szCs w:val="20"/>
                <w:vertAlign w:val="superscript"/>
                <w:lang w:val="es-MX"/>
              </w:rPr>
              <w:t>2/</w:t>
            </w:r>
          </w:p>
        </w:tc>
        <w:tc>
          <w:tcPr>
            <w:tcW w:w="49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790D0106" w14:textId="77777777" w:rsidR="00AE64BE" w:rsidRPr="00D3016B" w:rsidRDefault="00AE64BE" w:rsidP="00DF1E6C">
            <w:pPr>
              <w:tabs>
                <w:tab w:val="decimal" w:pos="386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39.6</w:t>
            </w:r>
          </w:p>
        </w:tc>
        <w:tc>
          <w:tcPr>
            <w:tcW w:w="507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2ED2D95" w14:textId="77777777" w:rsidR="00AE64BE" w:rsidRPr="00D3016B" w:rsidRDefault="00AE64BE" w:rsidP="00DF1E6C">
            <w:pPr>
              <w:tabs>
                <w:tab w:val="decimal" w:pos="388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5FFA5DE8" w14:textId="77777777" w:rsidR="00AE64BE" w:rsidRPr="00D3016B" w:rsidRDefault="00AE64BE" w:rsidP="00DF1E6C">
            <w:pPr>
              <w:tabs>
                <w:tab w:val="decimal" w:pos="368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10.0</w:t>
            </w:r>
          </w:p>
        </w:tc>
        <w:tc>
          <w:tcPr>
            <w:tcW w:w="277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22F170A4" w14:textId="77777777" w:rsidR="00AE64BE" w:rsidRPr="00C26054" w:rsidRDefault="00AE64BE" w:rsidP="00DF1E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237B0884" w14:textId="77777777" w:rsidR="00AE64BE" w:rsidRPr="00773FF2" w:rsidRDefault="00AE64BE" w:rsidP="00DF1E6C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773FF2">
              <w:rPr>
                <w:sz w:val="18"/>
                <w:szCs w:val="18"/>
              </w:rPr>
              <w:t>or debajo</w:t>
            </w:r>
          </w:p>
        </w:tc>
      </w:tr>
      <w:tr w:rsidR="00AE64BE" w:rsidRPr="00773FF2" w14:paraId="47DFF27F" w14:textId="77777777" w:rsidTr="00DF1E6C">
        <w:trPr>
          <w:trHeight w:val="226"/>
        </w:trPr>
        <w:tc>
          <w:tcPr>
            <w:tcW w:w="2529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714E3D63" w14:textId="77777777" w:rsidR="00AE64BE" w:rsidRPr="00773FF2" w:rsidRDefault="00AE64BE" w:rsidP="00DF1E6C">
            <w:pPr>
              <w:numPr>
                <w:ilvl w:val="0"/>
                <w:numId w:val="32"/>
              </w:numPr>
              <w:tabs>
                <w:tab w:val="clear" w:pos="1080"/>
              </w:tabs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773FF2">
              <w:rPr>
                <w:sz w:val="18"/>
                <w:szCs w:val="18"/>
                <w:lang w:val="es-MX"/>
              </w:rPr>
              <w:t>Situación económica presente del país</w:t>
            </w:r>
          </w:p>
        </w:tc>
        <w:tc>
          <w:tcPr>
            <w:tcW w:w="49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6195FE1E" w14:textId="77777777" w:rsidR="00AE64BE" w:rsidRPr="00D3016B" w:rsidRDefault="00AE64BE" w:rsidP="00DF1E6C">
            <w:pPr>
              <w:tabs>
                <w:tab w:val="decimal" w:pos="386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50.7</w:t>
            </w:r>
          </w:p>
        </w:tc>
        <w:tc>
          <w:tcPr>
            <w:tcW w:w="507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5242A82D" w14:textId="77777777" w:rsidR="00AE64BE" w:rsidRPr="00D3016B" w:rsidRDefault="00AE64BE" w:rsidP="00DF1E6C">
            <w:pPr>
              <w:tabs>
                <w:tab w:val="decimal" w:pos="388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-0.3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623ABA09" w14:textId="77777777" w:rsidR="00AE64BE" w:rsidRPr="00D3016B" w:rsidRDefault="00AE64BE" w:rsidP="00DF1E6C">
            <w:pPr>
              <w:tabs>
                <w:tab w:val="decimal" w:pos="368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2.7</w:t>
            </w:r>
          </w:p>
        </w:tc>
        <w:tc>
          <w:tcPr>
            <w:tcW w:w="277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1FFD67F" w14:textId="77777777" w:rsidR="00AE64BE" w:rsidRPr="00C26054" w:rsidRDefault="00AE64BE" w:rsidP="00DF1E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4ED476D7" w14:textId="77777777" w:rsidR="00AE64BE" w:rsidRPr="00773FF2" w:rsidRDefault="00AE64BE" w:rsidP="00DF1E6C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773FF2">
              <w:rPr>
                <w:sz w:val="18"/>
                <w:szCs w:val="18"/>
              </w:rPr>
              <w:t xml:space="preserve">or </w:t>
            </w:r>
            <w:r>
              <w:rPr>
                <w:sz w:val="18"/>
                <w:szCs w:val="18"/>
              </w:rPr>
              <w:t>arriba</w:t>
            </w:r>
          </w:p>
        </w:tc>
      </w:tr>
      <w:tr w:rsidR="00AE64BE" w:rsidRPr="00773FF2" w14:paraId="0AEF52F7" w14:textId="77777777" w:rsidTr="00DF1E6C">
        <w:trPr>
          <w:trHeight w:val="237"/>
        </w:trPr>
        <w:tc>
          <w:tcPr>
            <w:tcW w:w="2529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7566BB30" w14:textId="77777777" w:rsidR="00AE64BE" w:rsidRPr="00773FF2" w:rsidRDefault="00AE64BE" w:rsidP="00DF1E6C">
            <w:pPr>
              <w:numPr>
                <w:ilvl w:val="0"/>
                <w:numId w:val="32"/>
              </w:numPr>
              <w:tabs>
                <w:tab w:val="clear" w:pos="1080"/>
              </w:tabs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773FF2">
              <w:rPr>
                <w:sz w:val="18"/>
                <w:szCs w:val="18"/>
                <w:lang w:val="es-MX"/>
              </w:rPr>
              <w:t>Situación económica futura del país</w:t>
            </w:r>
          </w:p>
        </w:tc>
        <w:tc>
          <w:tcPr>
            <w:tcW w:w="49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1282477" w14:textId="77777777" w:rsidR="00AE64BE" w:rsidRPr="00D3016B" w:rsidRDefault="00AE64BE" w:rsidP="00DF1E6C">
            <w:pPr>
              <w:tabs>
                <w:tab w:val="decimal" w:pos="386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58.9</w:t>
            </w:r>
          </w:p>
        </w:tc>
        <w:tc>
          <w:tcPr>
            <w:tcW w:w="507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7C0B9ECD" w14:textId="77777777" w:rsidR="00AE64BE" w:rsidRPr="00D3016B" w:rsidRDefault="00AE64BE" w:rsidP="00DF1E6C">
            <w:pPr>
              <w:tabs>
                <w:tab w:val="decimal" w:pos="388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64D819CE" w14:textId="77777777" w:rsidR="00AE64BE" w:rsidRPr="00D3016B" w:rsidRDefault="00AE64BE" w:rsidP="00DF1E6C">
            <w:pPr>
              <w:tabs>
                <w:tab w:val="decimal" w:pos="368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-0.7</w:t>
            </w:r>
          </w:p>
        </w:tc>
        <w:tc>
          <w:tcPr>
            <w:tcW w:w="277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5162D877" w14:textId="77777777" w:rsidR="00AE64BE" w:rsidRPr="00C26054" w:rsidRDefault="00AE64BE" w:rsidP="00DF1E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581724E5" w14:textId="77777777" w:rsidR="00AE64BE" w:rsidRPr="00773FF2" w:rsidRDefault="00AE64BE" w:rsidP="00DF1E6C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773FF2">
              <w:rPr>
                <w:sz w:val="18"/>
                <w:szCs w:val="18"/>
              </w:rPr>
              <w:t>or arriba</w:t>
            </w:r>
          </w:p>
        </w:tc>
      </w:tr>
      <w:tr w:rsidR="00AE64BE" w:rsidRPr="00773FF2" w14:paraId="5E4D7E9B" w14:textId="77777777" w:rsidTr="00DF1E6C">
        <w:trPr>
          <w:trHeight w:val="247"/>
        </w:trPr>
        <w:tc>
          <w:tcPr>
            <w:tcW w:w="2529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1A4E852E" w14:textId="77777777" w:rsidR="00AE64BE" w:rsidRPr="00773FF2" w:rsidRDefault="00AE64BE" w:rsidP="00DF1E6C">
            <w:pPr>
              <w:numPr>
                <w:ilvl w:val="0"/>
                <w:numId w:val="32"/>
              </w:numPr>
              <w:tabs>
                <w:tab w:val="clear" w:pos="1080"/>
              </w:tabs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773FF2">
              <w:rPr>
                <w:sz w:val="18"/>
                <w:szCs w:val="18"/>
                <w:lang w:val="es-MX"/>
              </w:rPr>
              <w:t>Situación económica presente de la empresa</w:t>
            </w:r>
          </w:p>
        </w:tc>
        <w:tc>
          <w:tcPr>
            <w:tcW w:w="49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5157F912" w14:textId="77777777" w:rsidR="00AE64BE" w:rsidRPr="00D3016B" w:rsidRDefault="00AE64BE" w:rsidP="00DF1E6C">
            <w:pPr>
              <w:tabs>
                <w:tab w:val="decimal" w:pos="386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53.7</w:t>
            </w:r>
          </w:p>
        </w:tc>
        <w:tc>
          <w:tcPr>
            <w:tcW w:w="507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vAlign w:val="center"/>
          </w:tcPr>
          <w:p w14:paraId="36FB0CB1" w14:textId="77777777" w:rsidR="00AE64BE" w:rsidRPr="00D3016B" w:rsidRDefault="00AE64BE" w:rsidP="00DF1E6C">
            <w:pPr>
              <w:tabs>
                <w:tab w:val="decimal" w:pos="388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0.6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5822C461" w14:textId="77777777" w:rsidR="00AE64BE" w:rsidRPr="00D3016B" w:rsidRDefault="00AE64BE" w:rsidP="00DF1E6C">
            <w:pPr>
              <w:tabs>
                <w:tab w:val="decimal" w:pos="368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277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48D4B486" w14:textId="77777777" w:rsidR="00AE64BE" w:rsidRPr="00C26054" w:rsidRDefault="00AE64BE" w:rsidP="00DF1E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231E591D" w14:textId="77777777" w:rsidR="00AE64BE" w:rsidRPr="00773FF2" w:rsidRDefault="00AE64BE" w:rsidP="00DF1E6C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773FF2">
              <w:rPr>
                <w:sz w:val="18"/>
                <w:szCs w:val="18"/>
              </w:rPr>
              <w:t xml:space="preserve">or </w:t>
            </w:r>
            <w:r>
              <w:rPr>
                <w:sz w:val="18"/>
                <w:szCs w:val="18"/>
              </w:rPr>
              <w:t>arriba</w:t>
            </w:r>
          </w:p>
        </w:tc>
      </w:tr>
      <w:tr w:rsidR="00AE64BE" w:rsidRPr="00773FF2" w14:paraId="44E8E047" w14:textId="77777777" w:rsidTr="00DF1E6C">
        <w:trPr>
          <w:trHeight w:val="132"/>
        </w:trPr>
        <w:tc>
          <w:tcPr>
            <w:tcW w:w="2529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5DFEEEAD" w14:textId="77777777" w:rsidR="00AE64BE" w:rsidRPr="00773FF2" w:rsidRDefault="00AE64BE" w:rsidP="00DF1E6C">
            <w:pPr>
              <w:numPr>
                <w:ilvl w:val="0"/>
                <w:numId w:val="32"/>
              </w:numPr>
              <w:tabs>
                <w:tab w:val="clear" w:pos="1080"/>
              </w:tabs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773FF2">
              <w:rPr>
                <w:sz w:val="18"/>
                <w:szCs w:val="18"/>
                <w:lang w:val="es-MX"/>
              </w:rPr>
              <w:t>Situación económica futura de la empresa</w:t>
            </w:r>
          </w:p>
        </w:tc>
        <w:tc>
          <w:tcPr>
            <w:tcW w:w="495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1817520B" w14:textId="77777777" w:rsidR="00AE64BE" w:rsidRPr="00D3016B" w:rsidRDefault="00AE64BE" w:rsidP="00DF1E6C">
            <w:pPr>
              <w:tabs>
                <w:tab w:val="decimal" w:pos="386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63.7</w:t>
            </w:r>
          </w:p>
        </w:tc>
        <w:tc>
          <w:tcPr>
            <w:tcW w:w="507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nil"/>
            </w:tcBorders>
            <w:vAlign w:val="center"/>
          </w:tcPr>
          <w:p w14:paraId="51B338C0" w14:textId="77777777" w:rsidR="00AE64BE" w:rsidRPr="00D3016B" w:rsidRDefault="00AE64BE" w:rsidP="00DF1E6C">
            <w:pPr>
              <w:tabs>
                <w:tab w:val="decimal" w:pos="388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-2.2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639505E6" w14:textId="77777777" w:rsidR="00AE64BE" w:rsidRPr="00D3016B" w:rsidRDefault="00AE64BE" w:rsidP="00DF1E6C">
            <w:pPr>
              <w:tabs>
                <w:tab w:val="decimal" w:pos="368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-1.7</w:t>
            </w:r>
          </w:p>
        </w:tc>
        <w:tc>
          <w:tcPr>
            <w:tcW w:w="277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nil"/>
            </w:tcBorders>
            <w:shd w:val="clear" w:color="auto" w:fill="auto"/>
            <w:vAlign w:val="center"/>
          </w:tcPr>
          <w:p w14:paraId="671034D3" w14:textId="77777777" w:rsidR="00AE64BE" w:rsidRPr="00C26054" w:rsidRDefault="00AE64BE" w:rsidP="00DF1E6C">
            <w:pPr>
              <w:jc w:val="right"/>
              <w:rPr>
                <w:sz w:val="18"/>
                <w:szCs w:val="18"/>
              </w:rPr>
            </w:pPr>
            <w:r w:rsidRPr="00C2605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48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73C76E8C" w14:textId="77777777" w:rsidR="00AE64BE" w:rsidRPr="00773FF2" w:rsidRDefault="00AE64BE" w:rsidP="00DF1E6C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773FF2">
              <w:rPr>
                <w:sz w:val="18"/>
                <w:szCs w:val="18"/>
              </w:rPr>
              <w:t>or arriba</w:t>
            </w:r>
          </w:p>
        </w:tc>
      </w:tr>
    </w:tbl>
    <w:p w14:paraId="34F0E187" w14:textId="77777777" w:rsidR="00AE64BE" w:rsidRPr="009C6AF2" w:rsidRDefault="00AE64BE" w:rsidP="00AE64BE">
      <w:pPr>
        <w:spacing w:before="20"/>
        <w:ind w:left="658" w:right="39" w:hanging="548"/>
        <w:outlineLvl w:val="0"/>
        <w:rPr>
          <w:sz w:val="16"/>
          <w:szCs w:val="16"/>
        </w:rPr>
      </w:pPr>
      <w:r w:rsidRPr="009C6AF2">
        <w:rPr>
          <w:sz w:val="16"/>
          <w:szCs w:val="16"/>
        </w:rPr>
        <w:t>Nota:</w:t>
      </w:r>
      <w:r w:rsidRPr="009C6AF2">
        <w:rPr>
          <w:sz w:val="16"/>
          <w:szCs w:val="16"/>
        </w:rPr>
        <w:tab/>
        <w:t xml:space="preserve">Los indicadores se generan con los datos referidos al mes de la entrevista. </w:t>
      </w:r>
    </w:p>
    <w:p w14:paraId="1808DACD" w14:textId="77777777" w:rsidR="00AE64BE" w:rsidRPr="009C6AF2" w:rsidRDefault="00AE64BE" w:rsidP="00AE64BE">
      <w:pPr>
        <w:spacing w:line="180" w:lineRule="exact"/>
        <w:ind w:left="658" w:right="40" w:hanging="550"/>
        <w:outlineLvl w:val="0"/>
        <w:rPr>
          <w:sz w:val="16"/>
          <w:szCs w:val="16"/>
        </w:rPr>
      </w:pPr>
      <w:r w:rsidRPr="009C6AF2">
        <w:rPr>
          <w:sz w:val="18"/>
          <w:szCs w:val="18"/>
          <w:vertAlign w:val="superscript"/>
        </w:rPr>
        <w:t>1/</w:t>
      </w:r>
      <w:r w:rsidRPr="009C6AF2">
        <w:rPr>
          <w:sz w:val="16"/>
          <w:szCs w:val="16"/>
        </w:rPr>
        <w:tab/>
        <w:t>Las diferencias en puntos se obtienen de los respectivos indicadores considerando todos sus decimales.</w:t>
      </w:r>
    </w:p>
    <w:p w14:paraId="26BEAD63" w14:textId="77777777" w:rsidR="00AE64BE" w:rsidRPr="009C6AF2" w:rsidRDefault="00AE64BE" w:rsidP="00AE64BE">
      <w:pPr>
        <w:spacing w:line="180" w:lineRule="exact"/>
        <w:ind w:left="658" w:right="40" w:hanging="550"/>
        <w:outlineLvl w:val="0"/>
        <w:rPr>
          <w:spacing w:val="4"/>
          <w:sz w:val="16"/>
          <w:szCs w:val="16"/>
        </w:rPr>
      </w:pPr>
      <w:r w:rsidRPr="009C6AF2">
        <w:rPr>
          <w:spacing w:val="4"/>
          <w:sz w:val="18"/>
          <w:szCs w:val="18"/>
          <w:vertAlign w:val="superscript"/>
        </w:rPr>
        <w:t>2/</w:t>
      </w:r>
      <w:r w:rsidRPr="009C6AF2">
        <w:rPr>
          <w:spacing w:val="4"/>
          <w:sz w:val="16"/>
          <w:szCs w:val="16"/>
        </w:rPr>
        <w:tab/>
      </w:r>
      <w:r w:rsidRPr="009C6AF2">
        <w:rPr>
          <w:sz w:val="16"/>
          <w:szCs w:val="16"/>
        </w:rPr>
        <w:t>Componente ajustado por efecto estacional</w:t>
      </w:r>
    </w:p>
    <w:p w14:paraId="7C0E6A4E" w14:textId="77777777" w:rsidR="00AE64BE" w:rsidRPr="009C6AF2" w:rsidRDefault="00AE64BE" w:rsidP="00AE64BE">
      <w:pPr>
        <w:spacing w:before="20"/>
        <w:ind w:left="658" w:right="39" w:hanging="548"/>
        <w:outlineLvl w:val="0"/>
        <w:rPr>
          <w:sz w:val="16"/>
          <w:szCs w:val="16"/>
        </w:rPr>
      </w:pPr>
      <w:r w:rsidRPr="009C6AF2">
        <w:rPr>
          <w:sz w:val="16"/>
          <w:szCs w:val="16"/>
        </w:rPr>
        <w:t>Fuente:</w:t>
      </w:r>
      <w:r w:rsidRPr="009C6AF2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9C6AF2">
        <w:rPr>
          <w:sz w:val="16"/>
          <w:szCs w:val="16"/>
        </w:rPr>
        <w:t>INEGI</w:t>
      </w:r>
      <w:r>
        <w:rPr>
          <w:smallCaps/>
          <w:sz w:val="16"/>
          <w:szCs w:val="16"/>
        </w:rPr>
        <w:t>.</w:t>
      </w:r>
      <w:r w:rsidRPr="00ED214C">
        <w:rPr>
          <w:sz w:val="16"/>
          <w:szCs w:val="16"/>
        </w:rPr>
        <w:t xml:space="preserve"> Encuesta Mensual de Opinión Empresarial (EMOE)</w:t>
      </w:r>
      <w:r>
        <w:rPr>
          <w:sz w:val="16"/>
          <w:szCs w:val="16"/>
        </w:rPr>
        <w:t>,</w:t>
      </w:r>
      <w:r w:rsidRPr="00ED214C">
        <w:rPr>
          <w:sz w:val="16"/>
          <w:szCs w:val="16"/>
        </w:rPr>
        <w:t xml:space="preserve"> 2023.</w:t>
      </w:r>
    </w:p>
    <w:p w14:paraId="4E02184B" w14:textId="77777777" w:rsidR="00AE64BE" w:rsidRDefault="00AE64BE" w:rsidP="00AE64BE">
      <w:pPr>
        <w:spacing w:before="240"/>
        <w:ind w:right="51"/>
        <w:rPr>
          <w:szCs w:val="22"/>
        </w:rPr>
      </w:pPr>
    </w:p>
    <w:p w14:paraId="4AF437C7" w14:textId="77777777" w:rsidR="00AE64BE" w:rsidRPr="00CA6912" w:rsidRDefault="00AE64BE" w:rsidP="00AE64BE">
      <w:pPr>
        <w:jc w:val="center"/>
        <w:rPr>
          <w:bCs/>
          <w:sz w:val="18"/>
          <w:szCs w:val="18"/>
        </w:rPr>
      </w:pPr>
      <w:r w:rsidRPr="00773FF2">
        <w:rPr>
          <w:b/>
          <w:smallCaps/>
          <w:spacing w:val="4"/>
          <w:sz w:val="22"/>
          <w:szCs w:val="22"/>
        </w:rPr>
        <w:t xml:space="preserve">Indicador de </w:t>
      </w:r>
      <w:r>
        <w:rPr>
          <w:b/>
          <w:smallCaps/>
          <w:spacing w:val="4"/>
          <w:sz w:val="22"/>
          <w:szCs w:val="22"/>
        </w:rPr>
        <w:t>C</w:t>
      </w:r>
      <w:r w:rsidRPr="00773FF2">
        <w:rPr>
          <w:b/>
          <w:smallCaps/>
          <w:spacing w:val="4"/>
          <w:sz w:val="22"/>
          <w:szCs w:val="22"/>
        </w:rPr>
        <w:t xml:space="preserve">onfianza </w:t>
      </w:r>
      <w:r>
        <w:rPr>
          <w:b/>
          <w:smallCaps/>
          <w:spacing w:val="4"/>
          <w:sz w:val="22"/>
          <w:szCs w:val="22"/>
        </w:rPr>
        <w:t>E</w:t>
      </w:r>
      <w:r w:rsidRPr="00773FF2">
        <w:rPr>
          <w:b/>
          <w:smallCaps/>
          <w:spacing w:val="4"/>
          <w:sz w:val="22"/>
          <w:szCs w:val="22"/>
        </w:rPr>
        <w:t>mpresarial de</w:t>
      </w:r>
      <w:r>
        <w:rPr>
          <w:b/>
          <w:smallCaps/>
          <w:spacing w:val="4"/>
          <w:sz w:val="22"/>
          <w:szCs w:val="22"/>
        </w:rPr>
        <w:t xml:space="preserve"> C</w:t>
      </w:r>
      <w:r w:rsidRPr="00773FF2">
        <w:rPr>
          <w:b/>
          <w:smallCaps/>
          <w:spacing w:val="4"/>
          <w:sz w:val="22"/>
          <w:szCs w:val="22"/>
        </w:rPr>
        <w:t>omercio y sus componentes</w:t>
      </w:r>
    </w:p>
    <w:tbl>
      <w:tblPr>
        <w:tblStyle w:val="Tablaconcuadrcula"/>
        <w:tblW w:w="4981" w:type="pct"/>
        <w:tblLayout w:type="fixed"/>
        <w:tblLook w:val="04A0" w:firstRow="1" w:lastRow="0" w:firstColumn="1" w:lastColumn="0" w:noHBand="0" w:noVBand="1"/>
      </w:tblPr>
      <w:tblGrid>
        <w:gridCol w:w="4910"/>
        <w:gridCol w:w="1026"/>
        <w:gridCol w:w="935"/>
        <w:gridCol w:w="1012"/>
        <w:gridCol w:w="592"/>
        <w:gridCol w:w="1451"/>
      </w:tblGrid>
      <w:tr w:rsidR="00AE64BE" w:rsidRPr="00773FF2" w14:paraId="167232E9" w14:textId="77777777" w:rsidTr="00DF1E6C">
        <w:tc>
          <w:tcPr>
            <w:tcW w:w="2473" w:type="pct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160CBC0A" w14:textId="77777777" w:rsidR="00AE64BE" w:rsidRPr="00773FF2" w:rsidRDefault="00AE64BE" w:rsidP="00DF1E6C">
            <w:pPr>
              <w:spacing w:before="20" w:after="20"/>
              <w:ind w:left="176"/>
              <w:rPr>
                <w:spacing w:val="4"/>
                <w:sz w:val="18"/>
                <w:szCs w:val="18"/>
              </w:rPr>
            </w:pPr>
            <w:r w:rsidRPr="005739BD">
              <w:rPr>
                <w:sz w:val="18"/>
                <w:szCs w:val="18"/>
              </w:rPr>
              <w:t xml:space="preserve">Indicador </w:t>
            </w:r>
            <w:r w:rsidRPr="007E5597">
              <w:rPr>
                <w:sz w:val="18"/>
                <w:szCs w:val="18"/>
              </w:rPr>
              <w:t>y componentes</w:t>
            </w:r>
          </w:p>
        </w:tc>
        <w:tc>
          <w:tcPr>
            <w:tcW w:w="517" w:type="pct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19690F2" w14:textId="77777777" w:rsidR="00AE64BE" w:rsidRPr="00773FF2" w:rsidRDefault="00AE64BE" w:rsidP="00DF1E6C">
            <w:pPr>
              <w:spacing w:before="20" w:afterLines="20" w:after="48"/>
              <w:ind w:left="-135" w:right="-108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Septiembre</w:t>
            </w:r>
            <w:r w:rsidRPr="00773FF2">
              <w:rPr>
                <w:spacing w:val="-4"/>
                <w:sz w:val="18"/>
                <w:szCs w:val="18"/>
              </w:rPr>
              <w:br/>
              <w:t>de 202</w:t>
            </w:r>
            <w:r>
              <w:rPr>
                <w:spacing w:val="-4"/>
                <w:sz w:val="18"/>
                <w:szCs w:val="18"/>
              </w:rPr>
              <w:t>3</w:t>
            </w:r>
          </w:p>
        </w:tc>
        <w:tc>
          <w:tcPr>
            <w:tcW w:w="981" w:type="pct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8434811" w14:textId="77777777" w:rsidR="00AE64BE" w:rsidRPr="00773FF2" w:rsidRDefault="00AE64BE" w:rsidP="00DF1E6C">
            <w:pPr>
              <w:spacing w:before="20" w:after="20"/>
              <w:ind w:left="-108" w:right="-96"/>
              <w:jc w:val="center"/>
              <w:rPr>
                <w:spacing w:val="-4"/>
                <w:sz w:val="18"/>
                <w:szCs w:val="18"/>
              </w:rPr>
            </w:pPr>
            <w:r w:rsidRPr="00773FF2">
              <w:rPr>
                <w:spacing w:val="-4"/>
                <w:sz w:val="18"/>
                <w:szCs w:val="18"/>
              </w:rPr>
              <w:t>Diferencias</w:t>
            </w:r>
            <w:r w:rsidRPr="00773FF2">
              <w:rPr>
                <w:spacing w:val="-4"/>
                <w:sz w:val="18"/>
                <w:szCs w:val="18"/>
                <w:vertAlign w:val="superscript"/>
              </w:rPr>
              <w:t xml:space="preserve">1/ </w:t>
            </w:r>
            <w:r w:rsidRPr="00773FF2">
              <w:rPr>
                <w:spacing w:val="-4"/>
                <w:sz w:val="18"/>
                <w:szCs w:val="18"/>
              </w:rPr>
              <w:t xml:space="preserve">en </w:t>
            </w:r>
            <w:r w:rsidRPr="00773FF2">
              <w:rPr>
                <w:spacing w:val="-4"/>
                <w:sz w:val="18"/>
                <w:szCs w:val="18"/>
              </w:rPr>
              <w:br/>
              <w:t>puntos respecto a:</w:t>
            </w:r>
          </w:p>
        </w:tc>
        <w:tc>
          <w:tcPr>
            <w:tcW w:w="1029" w:type="pct"/>
            <w:gridSpan w:val="2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183077D7" w14:textId="77777777" w:rsidR="00AE64BE" w:rsidRPr="00773FF2" w:rsidRDefault="00AE64BE" w:rsidP="00DF1E6C">
            <w:pPr>
              <w:tabs>
                <w:tab w:val="center" w:pos="3348"/>
              </w:tabs>
              <w:spacing w:before="20" w:after="20"/>
              <w:ind w:left="-125" w:right="-79"/>
              <w:jc w:val="center"/>
              <w:rPr>
                <w:spacing w:val="-4"/>
                <w:sz w:val="18"/>
                <w:szCs w:val="18"/>
              </w:rPr>
            </w:pPr>
            <w:r w:rsidRPr="00773FF2">
              <w:rPr>
                <w:spacing w:val="-4"/>
                <w:sz w:val="18"/>
                <w:szCs w:val="18"/>
              </w:rPr>
              <w:t xml:space="preserve">Número de meses consecutivos por </w:t>
            </w:r>
            <w:r w:rsidRPr="00773FF2">
              <w:rPr>
                <w:spacing w:val="-4"/>
                <w:sz w:val="18"/>
                <w:szCs w:val="18"/>
              </w:rPr>
              <w:br/>
              <w:t xml:space="preserve">arriba o por debajo </w:t>
            </w:r>
            <w:r w:rsidRPr="00773FF2">
              <w:rPr>
                <w:spacing w:val="-4"/>
                <w:sz w:val="18"/>
                <w:szCs w:val="18"/>
              </w:rPr>
              <w:br/>
              <w:t xml:space="preserve">del umbral de </w:t>
            </w:r>
            <w:r w:rsidRPr="00773FF2">
              <w:rPr>
                <w:spacing w:val="-4"/>
                <w:sz w:val="18"/>
                <w:szCs w:val="18"/>
              </w:rPr>
              <w:br/>
              <w:t>50 puntos</w:t>
            </w:r>
          </w:p>
        </w:tc>
      </w:tr>
      <w:tr w:rsidR="00AE64BE" w:rsidRPr="00773FF2" w14:paraId="38EA2E1B" w14:textId="77777777" w:rsidTr="00DF1E6C">
        <w:trPr>
          <w:trHeight w:val="294"/>
        </w:trPr>
        <w:tc>
          <w:tcPr>
            <w:tcW w:w="2473" w:type="pct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3617CE87" w14:textId="77777777" w:rsidR="00AE64BE" w:rsidRPr="00773FF2" w:rsidRDefault="00AE64BE" w:rsidP="00DF1E6C">
            <w:pPr>
              <w:spacing w:before="20" w:after="20"/>
              <w:ind w:left="176"/>
              <w:rPr>
                <w:sz w:val="18"/>
                <w:szCs w:val="18"/>
              </w:rPr>
            </w:pPr>
          </w:p>
        </w:tc>
        <w:tc>
          <w:tcPr>
            <w:tcW w:w="517" w:type="pct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4A5AE3E0" w14:textId="77777777" w:rsidR="00AE64BE" w:rsidRPr="00773FF2" w:rsidRDefault="00AE64BE" w:rsidP="00DF1E6C">
            <w:pPr>
              <w:spacing w:before="20" w:afterLines="20" w:after="48"/>
              <w:ind w:left="-135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1BE4EDD5" w14:textId="77777777" w:rsidR="00AE64BE" w:rsidRPr="00773FF2" w:rsidRDefault="00AE64BE" w:rsidP="00DF1E6C">
            <w:pPr>
              <w:spacing w:before="20" w:after="20"/>
              <w:ind w:left="-136" w:right="-108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agost</w:t>
            </w:r>
            <w:r w:rsidRPr="00B436C4">
              <w:rPr>
                <w:spacing w:val="-4"/>
                <w:sz w:val="18"/>
                <w:szCs w:val="18"/>
              </w:rPr>
              <w:t>o</w:t>
            </w:r>
            <w:r w:rsidRPr="00B436C4">
              <w:rPr>
                <w:spacing w:val="-4"/>
                <w:sz w:val="18"/>
                <w:szCs w:val="18"/>
              </w:rPr>
              <w:br/>
              <w:t>de 2023</w:t>
            </w:r>
          </w:p>
        </w:tc>
        <w:tc>
          <w:tcPr>
            <w:tcW w:w="510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3884B59C" w14:textId="77777777" w:rsidR="00AE64BE" w:rsidRPr="00773FF2" w:rsidRDefault="00AE64BE" w:rsidP="00DF1E6C">
            <w:pPr>
              <w:spacing w:before="20" w:after="20"/>
              <w:ind w:left="-136" w:right="-108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septiembre</w:t>
            </w:r>
            <w:r w:rsidRPr="00B436C4">
              <w:rPr>
                <w:spacing w:val="-4"/>
                <w:sz w:val="18"/>
                <w:szCs w:val="18"/>
              </w:rPr>
              <w:br/>
              <w:t>de 202</w:t>
            </w:r>
            <w:r>
              <w:rPr>
                <w:spacing w:val="-4"/>
                <w:sz w:val="18"/>
                <w:szCs w:val="18"/>
              </w:rPr>
              <w:t>2</w:t>
            </w:r>
          </w:p>
        </w:tc>
        <w:tc>
          <w:tcPr>
            <w:tcW w:w="1029" w:type="pct"/>
            <w:gridSpan w:val="2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5637E21C" w14:textId="77777777" w:rsidR="00AE64BE" w:rsidRPr="00773FF2" w:rsidRDefault="00AE64BE" w:rsidP="00DF1E6C">
            <w:pPr>
              <w:tabs>
                <w:tab w:val="center" w:pos="3348"/>
              </w:tabs>
              <w:spacing w:before="60" w:after="60"/>
              <w:ind w:left="-93" w:right="-80"/>
              <w:jc w:val="center"/>
              <w:rPr>
                <w:sz w:val="18"/>
                <w:szCs w:val="18"/>
              </w:rPr>
            </w:pPr>
          </w:p>
        </w:tc>
      </w:tr>
      <w:tr w:rsidR="00AE64BE" w:rsidRPr="00773FF2" w14:paraId="6DFD2C58" w14:textId="77777777" w:rsidTr="00DF1E6C">
        <w:trPr>
          <w:trHeight w:val="226"/>
        </w:trPr>
        <w:tc>
          <w:tcPr>
            <w:tcW w:w="2473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AF784CC" w14:textId="77777777" w:rsidR="00AE64BE" w:rsidRPr="00773FF2" w:rsidRDefault="00AE64BE" w:rsidP="00DF1E6C">
            <w:pPr>
              <w:tabs>
                <w:tab w:val="left" w:pos="708"/>
              </w:tabs>
              <w:spacing w:before="20"/>
              <w:ind w:right="-236"/>
              <w:jc w:val="left"/>
              <w:rPr>
                <w:b/>
                <w:spacing w:val="4"/>
                <w:sz w:val="18"/>
                <w:szCs w:val="18"/>
              </w:rPr>
            </w:pPr>
            <w:r w:rsidRPr="00773FF2">
              <w:rPr>
                <w:b/>
                <w:spacing w:val="4"/>
                <w:sz w:val="18"/>
                <w:szCs w:val="18"/>
              </w:rPr>
              <w:t xml:space="preserve">Indicador de Confianza Empresarial </w:t>
            </w:r>
            <w:r w:rsidRPr="00773FF2">
              <w:rPr>
                <w:b/>
                <w:spacing w:val="-4"/>
                <w:sz w:val="18"/>
                <w:szCs w:val="18"/>
              </w:rPr>
              <w:t>de</w:t>
            </w:r>
            <w:r>
              <w:rPr>
                <w:b/>
                <w:spacing w:val="4"/>
                <w:sz w:val="18"/>
                <w:szCs w:val="18"/>
              </w:rPr>
              <w:t xml:space="preserve"> </w:t>
            </w:r>
            <w:r w:rsidRPr="00773FF2">
              <w:rPr>
                <w:b/>
                <w:spacing w:val="4"/>
                <w:sz w:val="18"/>
                <w:szCs w:val="18"/>
              </w:rPr>
              <w:t>Comercio</w:t>
            </w:r>
          </w:p>
        </w:tc>
        <w:tc>
          <w:tcPr>
            <w:tcW w:w="517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54AE486C" w14:textId="77777777" w:rsidR="00AE64BE" w:rsidRPr="009E2657" w:rsidRDefault="00AE64BE" w:rsidP="00DF1E6C">
            <w:pPr>
              <w:tabs>
                <w:tab w:val="decimal" w:pos="436"/>
              </w:tabs>
              <w:jc w:val="lef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55.7</w:t>
            </w:r>
          </w:p>
        </w:tc>
        <w:tc>
          <w:tcPr>
            <w:tcW w:w="471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nil"/>
            </w:tcBorders>
            <w:vAlign w:val="center"/>
          </w:tcPr>
          <w:p w14:paraId="3D1D278F" w14:textId="77777777" w:rsidR="00AE64BE" w:rsidRPr="009E2657" w:rsidRDefault="00AE64BE" w:rsidP="00DF1E6C">
            <w:pPr>
              <w:tabs>
                <w:tab w:val="decimal" w:pos="330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-0.8</w:t>
            </w:r>
          </w:p>
        </w:tc>
        <w:tc>
          <w:tcPr>
            <w:tcW w:w="510" w:type="pct"/>
            <w:tcBorders>
              <w:top w:val="single" w:sz="4" w:space="0" w:color="404040" w:themeColor="text1" w:themeTint="BF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22836800" w14:textId="77777777" w:rsidR="00AE64BE" w:rsidRPr="009E2657" w:rsidRDefault="00AE64BE" w:rsidP="00DF1E6C">
            <w:pPr>
              <w:tabs>
                <w:tab w:val="decimal" w:pos="376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2.1</w:t>
            </w:r>
          </w:p>
        </w:tc>
        <w:tc>
          <w:tcPr>
            <w:tcW w:w="298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263993AE" w14:textId="77777777" w:rsidR="00AE64BE" w:rsidRPr="009E2657" w:rsidRDefault="00AE64BE" w:rsidP="00DF1E6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731" w:type="pct"/>
            <w:tcBorders>
              <w:top w:val="single" w:sz="4" w:space="0" w:color="404040" w:themeColor="text1" w:themeTint="BF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E33F39" w14:textId="77777777" w:rsidR="00AE64BE" w:rsidRPr="00773FF2" w:rsidRDefault="00AE64BE" w:rsidP="00DF1E6C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</w:t>
            </w:r>
            <w:r w:rsidRPr="00773FF2">
              <w:rPr>
                <w:b/>
                <w:bCs/>
                <w:sz w:val="18"/>
                <w:szCs w:val="18"/>
              </w:rPr>
              <w:t xml:space="preserve">or </w:t>
            </w:r>
            <w:r>
              <w:rPr>
                <w:b/>
                <w:bCs/>
                <w:sz w:val="18"/>
                <w:szCs w:val="18"/>
              </w:rPr>
              <w:t>arriba</w:t>
            </w:r>
          </w:p>
        </w:tc>
      </w:tr>
      <w:tr w:rsidR="00AE64BE" w:rsidRPr="00773FF2" w14:paraId="1A8FF01E" w14:textId="77777777" w:rsidTr="00DF1E6C">
        <w:trPr>
          <w:trHeight w:val="237"/>
        </w:trPr>
        <w:tc>
          <w:tcPr>
            <w:tcW w:w="2473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249B267A" w14:textId="77777777" w:rsidR="00AE64BE" w:rsidRPr="00773FF2" w:rsidRDefault="00AE64BE" w:rsidP="00DF1E6C">
            <w:pPr>
              <w:numPr>
                <w:ilvl w:val="0"/>
                <w:numId w:val="34"/>
              </w:numPr>
              <w:tabs>
                <w:tab w:val="clear" w:pos="1080"/>
              </w:tabs>
              <w:spacing w:before="20"/>
              <w:ind w:left="321" w:hanging="266"/>
              <w:jc w:val="left"/>
              <w:rPr>
                <w:spacing w:val="4"/>
                <w:sz w:val="18"/>
                <w:szCs w:val="18"/>
              </w:rPr>
            </w:pPr>
            <w:r w:rsidRPr="00773FF2">
              <w:rPr>
                <w:sz w:val="18"/>
                <w:szCs w:val="18"/>
                <w:lang w:val="es-MX"/>
              </w:rPr>
              <w:t>Momento adecuado para invertir</w:t>
            </w:r>
          </w:p>
        </w:tc>
        <w:tc>
          <w:tcPr>
            <w:tcW w:w="517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6F1FEF8F" w14:textId="77777777" w:rsidR="00AE64BE" w:rsidRPr="009E2657" w:rsidRDefault="00AE64BE" w:rsidP="00DF1E6C">
            <w:pPr>
              <w:tabs>
                <w:tab w:val="decimal" w:pos="436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43.9</w:t>
            </w:r>
          </w:p>
        </w:tc>
        <w:tc>
          <w:tcPr>
            <w:tcW w:w="471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3736279A" w14:textId="77777777" w:rsidR="00AE64BE" w:rsidRPr="009E2657" w:rsidRDefault="00AE64BE" w:rsidP="00DF1E6C">
            <w:pPr>
              <w:tabs>
                <w:tab w:val="decimal" w:pos="330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-1.8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339A1317" w14:textId="77777777" w:rsidR="00AE64BE" w:rsidRPr="009E2657" w:rsidRDefault="00AE64BE" w:rsidP="00DF1E6C">
            <w:pPr>
              <w:tabs>
                <w:tab w:val="decimal" w:pos="376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4.4</w:t>
            </w:r>
          </w:p>
        </w:tc>
        <w:tc>
          <w:tcPr>
            <w:tcW w:w="298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38DB3285" w14:textId="77777777" w:rsidR="00AE64BE" w:rsidRPr="009E2657" w:rsidRDefault="00AE64BE" w:rsidP="00DF1E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4C2DF800" w14:textId="77777777" w:rsidR="00AE64BE" w:rsidRPr="00773FF2" w:rsidRDefault="00AE64BE" w:rsidP="00DF1E6C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773FF2">
              <w:rPr>
                <w:sz w:val="18"/>
                <w:szCs w:val="18"/>
              </w:rPr>
              <w:t>or debajo</w:t>
            </w:r>
          </w:p>
        </w:tc>
      </w:tr>
      <w:tr w:rsidR="00AE64BE" w:rsidRPr="00773FF2" w14:paraId="0F7AB3AF" w14:textId="77777777" w:rsidTr="00DF1E6C">
        <w:trPr>
          <w:trHeight w:val="226"/>
        </w:trPr>
        <w:tc>
          <w:tcPr>
            <w:tcW w:w="2473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1EFB79C1" w14:textId="77777777" w:rsidR="00AE64BE" w:rsidRPr="00773FF2" w:rsidRDefault="00AE64BE" w:rsidP="00DF1E6C">
            <w:pPr>
              <w:numPr>
                <w:ilvl w:val="0"/>
                <w:numId w:val="34"/>
              </w:numPr>
              <w:tabs>
                <w:tab w:val="clear" w:pos="1080"/>
              </w:tabs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773FF2">
              <w:rPr>
                <w:sz w:val="18"/>
                <w:szCs w:val="18"/>
                <w:lang w:val="es-MX"/>
              </w:rPr>
              <w:t>Situación económica presente del país</w:t>
            </w:r>
          </w:p>
        </w:tc>
        <w:tc>
          <w:tcPr>
            <w:tcW w:w="517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307AA633" w14:textId="77777777" w:rsidR="00AE64BE" w:rsidRPr="009E2657" w:rsidRDefault="00AE64BE" w:rsidP="00DF1E6C">
            <w:pPr>
              <w:tabs>
                <w:tab w:val="decimal" w:pos="436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55.1</w:t>
            </w:r>
          </w:p>
        </w:tc>
        <w:tc>
          <w:tcPr>
            <w:tcW w:w="471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6C46B822" w14:textId="77777777" w:rsidR="00AE64BE" w:rsidRPr="009E2657" w:rsidRDefault="00AE64BE" w:rsidP="00DF1E6C">
            <w:pPr>
              <w:tabs>
                <w:tab w:val="decimal" w:pos="330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-1.0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7012E6BC" w14:textId="77777777" w:rsidR="00AE64BE" w:rsidRPr="009E2657" w:rsidRDefault="00AE64BE" w:rsidP="00DF1E6C">
            <w:pPr>
              <w:tabs>
                <w:tab w:val="decimal" w:pos="376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5.2</w:t>
            </w:r>
          </w:p>
        </w:tc>
        <w:tc>
          <w:tcPr>
            <w:tcW w:w="298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202ABA34" w14:textId="77777777" w:rsidR="00AE64BE" w:rsidRPr="009E2657" w:rsidRDefault="00AE64BE" w:rsidP="00DF1E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223612C4" w14:textId="77777777" w:rsidR="00AE64BE" w:rsidRPr="00773FF2" w:rsidRDefault="00AE64BE" w:rsidP="00DF1E6C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773FF2">
              <w:rPr>
                <w:sz w:val="18"/>
                <w:szCs w:val="18"/>
              </w:rPr>
              <w:t xml:space="preserve">or </w:t>
            </w:r>
            <w:r>
              <w:rPr>
                <w:sz w:val="18"/>
                <w:szCs w:val="18"/>
              </w:rPr>
              <w:t>arriba</w:t>
            </w:r>
          </w:p>
        </w:tc>
      </w:tr>
      <w:tr w:rsidR="00AE64BE" w:rsidRPr="00773FF2" w14:paraId="2E251913" w14:textId="77777777" w:rsidTr="00DF1E6C">
        <w:trPr>
          <w:trHeight w:val="237"/>
        </w:trPr>
        <w:tc>
          <w:tcPr>
            <w:tcW w:w="2473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714C092D" w14:textId="77777777" w:rsidR="00AE64BE" w:rsidRPr="00773FF2" w:rsidRDefault="00AE64BE" w:rsidP="00DF1E6C">
            <w:pPr>
              <w:numPr>
                <w:ilvl w:val="0"/>
                <w:numId w:val="34"/>
              </w:numPr>
              <w:tabs>
                <w:tab w:val="clear" w:pos="1080"/>
              </w:tabs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773FF2">
              <w:rPr>
                <w:sz w:val="18"/>
                <w:szCs w:val="18"/>
                <w:lang w:val="es-MX"/>
              </w:rPr>
              <w:t>Situación económica futura del país</w:t>
            </w:r>
          </w:p>
        </w:tc>
        <w:tc>
          <w:tcPr>
            <w:tcW w:w="517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D0903EE" w14:textId="77777777" w:rsidR="00AE64BE" w:rsidRPr="009E2657" w:rsidRDefault="00AE64BE" w:rsidP="00DF1E6C">
            <w:pPr>
              <w:tabs>
                <w:tab w:val="decimal" w:pos="436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57.6</w:t>
            </w:r>
          </w:p>
        </w:tc>
        <w:tc>
          <w:tcPr>
            <w:tcW w:w="471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2DE86940" w14:textId="77777777" w:rsidR="00AE64BE" w:rsidRPr="009E2657" w:rsidRDefault="00AE64BE" w:rsidP="00DF1E6C">
            <w:pPr>
              <w:tabs>
                <w:tab w:val="decimal" w:pos="330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481A8109" w14:textId="77777777" w:rsidR="00AE64BE" w:rsidRPr="009E2657" w:rsidRDefault="00AE64BE" w:rsidP="00DF1E6C">
            <w:pPr>
              <w:tabs>
                <w:tab w:val="decimal" w:pos="376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-0.5</w:t>
            </w:r>
          </w:p>
        </w:tc>
        <w:tc>
          <w:tcPr>
            <w:tcW w:w="298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3BD5065E" w14:textId="77777777" w:rsidR="00AE64BE" w:rsidRPr="009E2657" w:rsidRDefault="00AE64BE" w:rsidP="00DF1E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766224A7" w14:textId="77777777" w:rsidR="00AE64BE" w:rsidRPr="00773FF2" w:rsidRDefault="00AE64BE" w:rsidP="00DF1E6C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773FF2">
              <w:rPr>
                <w:sz w:val="18"/>
                <w:szCs w:val="18"/>
              </w:rPr>
              <w:t>or arriba</w:t>
            </w:r>
          </w:p>
        </w:tc>
      </w:tr>
      <w:tr w:rsidR="00AE64BE" w:rsidRPr="00773FF2" w14:paraId="2E62BCDA" w14:textId="77777777" w:rsidTr="00DF1E6C">
        <w:trPr>
          <w:trHeight w:val="247"/>
        </w:trPr>
        <w:tc>
          <w:tcPr>
            <w:tcW w:w="2473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603FB1DC" w14:textId="77777777" w:rsidR="00AE64BE" w:rsidRPr="00773FF2" w:rsidRDefault="00AE64BE" w:rsidP="00DF1E6C">
            <w:pPr>
              <w:numPr>
                <w:ilvl w:val="0"/>
                <w:numId w:val="34"/>
              </w:numPr>
              <w:tabs>
                <w:tab w:val="clear" w:pos="1080"/>
              </w:tabs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773FF2">
              <w:rPr>
                <w:sz w:val="18"/>
                <w:szCs w:val="18"/>
                <w:lang w:val="es-MX"/>
              </w:rPr>
              <w:t>Situación económica presente de la empresa</w:t>
            </w:r>
          </w:p>
        </w:tc>
        <w:tc>
          <w:tcPr>
            <w:tcW w:w="517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06973B76" w14:textId="77777777" w:rsidR="00AE64BE" w:rsidRPr="009E2657" w:rsidRDefault="00AE64BE" w:rsidP="00DF1E6C">
            <w:pPr>
              <w:tabs>
                <w:tab w:val="decimal" w:pos="436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58.2</w:t>
            </w:r>
          </w:p>
        </w:tc>
        <w:tc>
          <w:tcPr>
            <w:tcW w:w="471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vAlign w:val="center"/>
          </w:tcPr>
          <w:p w14:paraId="72D0DEFA" w14:textId="77777777" w:rsidR="00AE64BE" w:rsidRPr="009E2657" w:rsidRDefault="00AE64BE" w:rsidP="00DF1E6C">
            <w:pPr>
              <w:tabs>
                <w:tab w:val="decimal" w:pos="330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-1.3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5207171A" w14:textId="77777777" w:rsidR="00AE64BE" w:rsidRPr="009E2657" w:rsidRDefault="00AE64BE" w:rsidP="00DF1E6C">
            <w:pPr>
              <w:tabs>
                <w:tab w:val="decimal" w:pos="376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0.6</w:t>
            </w:r>
          </w:p>
        </w:tc>
        <w:tc>
          <w:tcPr>
            <w:tcW w:w="298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750E2B11" w14:textId="77777777" w:rsidR="00AE64BE" w:rsidRPr="009E2657" w:rsidRDefault="00AE64BE" w:rsidP="00DF1E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3B971739" w14:textId="77777777" w:rsidR="00AE64BE" w:rsidRPr="00773FF2" w:rsidRDefault="00AE64BE" w:rsidP="00DF1E6C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773FF2">
              <w:rPr>
                <w:sz w:val="18"/>
                <w:szCs w:val="18"/>
              </w:rPr>
              <w:t xml:space="preserve">or </w:t>
            </w:r>
            <w:r>
              <w:rPr>
                <w:sz w:val="18"/>
                <w:szCs w:val="18"/>
              </w:rPr>
              <w:t>arriba</w:t>
            </w:r>
          </w:p>
        </w:tc>
      </w:tr>
      <w:tr w:rsidR="00AE64BE" w:rsidRPr="00773FF2" w14:paraId="44F1C6A9" w14:textId="77777777" w:rsidTr="00DF1E6C">
        <w:trPr>
          <w:trHeight w:val="132"/>
        </w:trPr>
        <w:tc>
          <w:tcPr>
            <w:tcW w:w="2473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1CF3B430" w14:textId="77777777" w:rsidR="00AE64BE" w:rsidRPr="00773FF2" w:rsidRDefault="00AE64BE" w:rsidP="00DF1E6C">
            <w:pPr>
              <w:numPr>
                <w:ilvl w:val="0"/>
                <w:numId w:val="34"/>
              </w:numPr>
              <w:tabs>
                <w:tab w:val="clear" w:pos="1080"/>
              </w:tabs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773FF2">
              <w:rPr>
                <w:sz w:val="18"/>
                <w:szCs w:val="18"/>
                <w:lang w:val="es-MX"/>
              </w:rPr>
              <w:t>Situación económica futura de la empresa</w:t>
            </w:r>
          </w:p>
        </w:tc>
        <w:tc>
          <w:tcPr>
            <w:tcW w:w="517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4C5469BB" w14:textId="77777777" w:rsidR="00AE64BE" w:rsidRPr="009E2657" w:rsidRDefault="00AE64BE" w:rsidP="00DF1E6C">
            <w:pPr>
              <w:tabs>
                <w:tab w:val="decimal" w:pos="436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64.1</w:t>
            </w:r>
          </w:p>
        </w:tc>
        <w:tc>
          <w:tcPr>
            <w:tcW w:w="471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nil"/>
            </w:tcBorders>
            <w:vAlign w:val="center"/>
          </w:tcPr>
          <w:p w14:paraId="5D691209" w14:textId="77777777" w:rsidR="00AE64BE" w:rsidRPr="009E2657" w:rsidRDefault="00AE64BE" w:rsidP="00DF1E6C">
            <w:pPr>
              <w:tabs>
                <w:tab w:val="decimal" w:pos="330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22E5BAB7" w14:textId="77777777" w:rsidR="00AE64BE" w:rsidRPr="009E2657" w:rsidRDefault="00AE64BE" w:rsidP="00DF1E6C">
            <w:pPr>
              <w:tabs>
                <w:tab w:val="decimal" w:pos="376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0.6</w:t>
            </w:r>
          </w:p>
        </w:tc>
        <w:tc>
          <w:tcPr>
            <w:tcW w:w="298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nil"/>
            </w:tcBorders>
            <w:shd w:val="clear" w:color="auto" w:fill="auto"/>
            <w:vAlign w:val="center"/>
          </w:tcPr>
          <w:p w14:paraId="6238B0FB" w14:textId="77777777" w:rsidR="00AE64BE" w:rsidRPr="009E2657" w:rsidRDefault="00AE64BE" w:rsidP="00DF1E6C">
            <w:pPr>
              <w:jc w:val="right"/>
              <w:rPr>
                <w:sz w:val="18"/>
                <w:szCs w:val="18"/>
              </w:rPr>
            </w:pPr>
            <w:r w:rsidRPr="009E265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48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33EA775C" w14:textId="77777777" w:rsidR="00AE64BE" w:rsidRPr="00773FF2" w:rsidRDefault="00AE64BE" w:rsidP="00DF1E6C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773FF2">
              <w:rPr>
                <w:sz w:val="18"/>
                <w:szCs w:val="18"/>
              </w:rPr>
              <w:t>or arriba</w:t>
            </w:r>
          </w:p>
        </w:tc>
      </w:tr>
    </w:tbl>
    <w:p w14:paraId="0A5F0AC1" w14:textId="77777777" w:rsidR="00AE64BE" w:rsidRPr="00773FF2" w:rsidRDefault="00AE64BE" w:rsidP="00AE64BE">
      <w:pPr>
        <w:spacing w:before="20"/>
        <w:ind w:left="658" w:right="40" w:hanging="550"/>
        <w:outlineLvl w:val="0"/>
        <w:rPr>
          <w:sz w:val="14"/>
          <w:szCs w:val="14"/>
        </w:rPr>
      </w:pPr>
      <w:r w:rsidRPr="009C6AF2">
        <w:rPr>
          <w:sz w:val="16"/>
          <w:szCs w:val="16"/>
        </w:rPr>
        <w:t>Nota</w:t>
      </w:r>
      <w:r w:rsidRPr="00773FF2">
        <w:rPr>
          <w:sz w:val="14"/>
          <w:szCs w:val="14"/>
        </w:rPr>
        <w:t>:</w:t>
      </w:r>
      <w:r w:rsidRPr="00773FF2">
        <w:rPr>
          <w:sz w:val="14"/>
          <w:szCs w:val="14"/>
        </w:rPr>
        <w:tab/>
      </w:r>
      <w:r w:rsidRPr="009C6AF2">
        <w:rPr>
          <w:sz w:val="16"/>
          <w:szCs w:val="16"/>
        </w:rPr>
        <w:t>Los indicadores se generan con los datos referidos al mes de la entrevista</w:t>
      </w:r>
      <w:r w:rsidRPr="00773FF2">
        <w:rPr>
          <w:sz w:val="14"/>
          <w:szCs w:val="14"/>
        </w:rPr>
        <w:t xml:space="preserve">. </w:t>
      </w:r>
    </w:p>
    <w:p w14:paraId="7B2C3AEB" w14:textId="77777777" w:rsidR="00AE64BE" w:rsidRPr="009C6AF2" w:rsidRDefault="00AE64BE" w:rsidP="00AE64BE">
      <w:pPr>
        <w:spacing w:line="180" w:lineRule="exact"/>
        <w:ind w:left="658" w:right="40" w:hanging="550"/>
        <w:outlineLvl w:val="0"/>
        <w:rPr>
          <w:sz w:val="16"/>
          <w:szCs w:val="16"/>
        </w:rPr>
      </w:pPr>
      <w:r w:rsidRPr="009C6AF2">
        <w:rPr>
          <w:sz w:val="18"/>
          <w:szCs w:val="18"/>
          <w:vertAlign w:val="superscript"/>
        </w:rPr>
        <w:t>1/</w:t>
      </w:r>
      <w:r w:rsidRPr="00773FF2">
        <w:rPr>
          <w:sz w:val="14"/>
          <w:szCs w:val="14"/>
        </w:rPr>
        <w:tab/>
      </w:r>
      <w:r w:rsidRPr="009C6AF2">
        <w:rPr>
          <w:sz w:val="16"/>
          <w:szCs w:val="16"/>
        </w:rPr>
        <w:t>Las diferencias en puntos se obtienen de los respectivos indicadores considerando todos sus decimales.</w:t>
      </w:r>
    </w:p>
    <w:p w14:paraId="6ADD3B09" w14:textId="77777777" w:rsidR="00AE64BE" w:rsidRPr="009C6AF2" w:rsidRDefault="00AE64BE" w:rsidP="00AE64BE">
      <w:pPr>
        <w:spacing w:before="20" w:line="180" w:lineRule="exact"/>
        <w:ind w:left="658" w:right="40" w:hanging="550"/>
        <w:outlineLvl w:val="0"/>
        <w:rPr>
          <w:sz w:val="16"/>
          <w:szCs w:val="16"/>
        </w:rPr>
      </w:pPr>
      <w:r w:rsidRPr="009C6AF2">
        <w:rPr>
          <w:sz w:val="16"/>
          <w:szCs w:val="16"/>
        </w:rPr>
        <w:t>Fuente:</w:t>
      </w:r>
      <w:r>
        <w:rPr>
          <w:sz w:val="16"/>
          <w:szCs w:val="16"/>
        </w:rPr>
        <w:t xml:space="preserve"> </w:t>
      </w:r>
      <w:r w:rsidRPr="009C6AF2">
        <w:rPr>
          <w:sz w:val="16"/>
          <w:szCs w:val="16"/>
        </w:rPr>
        <w:tab/>
        <w:t>INEGI</w:t>
      </w:r>
      <w:r w:rsidRPr="000210B0">
        <w:rPr>
          <w:smallCaps/>
          <w:sz w:val="16"/>
          <w:szCs w:val="16"/>
        </w:rPr>
        <w:t>.</w:t>
      </w:r>
      <w:r w:rsidRPr="000210B0">
        <w:rPr>
          <w:sz w:val="16"/>
          <w:szCs w:val="16"/>
        </w:rPr>
        <w:t xml:space="preserve"> Encuesta Mensual de Opinión Empresarial (EMOE)</w:t>
      </w:r>
      <w:r>
        <w:rPr>
          <w:sz w:val="16"/>
          <w:szCs w:val="16"/>
        </w:rPr>
        <w:t>,</w:t>
      </w:r>
      <w:r w:rsidRPr="000210B0">
        <w:rPr>
          <w:sz w:val="16"/>
          <w:szCs w:val="16"/>
        </w:rPr>
        <w:t xml:space="preserve"> 2023.</w:t>
      </w:r>
    </w:p>
    <w:p w14:paraId="48C6438A" w14:textId="77777777" w:rsidR="00AE64BE" w:rsidRDefault="00AE64BE" w:rsidP="00AE64BE">
      <w:pPr>
        <w:keepNext/>
        <w:keepLines/>
        <w:tabs>
          <w:tab w:val="left" w:pos="708"/>
          <w:tab w:val="center" w:pos="3348"/>
        </w:tabs>
        <w:jc w:val="center"/>
        <w:rPr>
          <w:b/>
          <w:smallCaps/>
          <w:sz w:val="22"/>
          <w:szCs w:val="22"/>
        </w:rPr>
      </w:pPr>
    </w:p>
    <w:p w14:paraId="65FD8CF9" w14:textId="33A47FC4" w:rsidR="00AE64BE" w:rsidRPr="00CA6912" w:rsidRDefault="00AE64BE" w:rsidP="00AE64BE">
      <w:pPr>
        <w:keepNext/>
        <w:keepLines/>
        <w:tabs>
          <w:tab w:val="left" w:pos="708"/>
          <w:tab w:val="center" w:pos="3348"/>
        </w:tabs>
        <w:jc w:val="center"/>
        <w:rPr>
          <w:bCs/>
          <w:sz w:val="18"/>
          <w:szCs w:val="18"/>
        </w:rPr>
      </w:pPr>
      <w:r w:rsidRPr="000738E1">
        <w:rPr>
          <w:b/>
          <w:smallCaps/>
          <w:sz w:val="22"/>
          <w:szCs w:val="22"/>
        </w:rPr>
        <w:t xml:space="preserve">Indicador de </w:t>
      </w:r>
      <w:r>
        <w:rPr>
          <w:b/>
          <w:smallCaps/>
          <w:sz w:val="22"/>
          <w:szCs w:val="22"/>
        </w:rPr>
        <w:t>C</w:t>
      </w:r>
      <w:r w:rsidRPr="000738E1">
        <w:rPr>
          <w:b/>
          <w:smallCaps/>
          <w:sz w:val="22"/>
          <w:szCs w:val="22"/>
        </w:rPr>
        <w:t xml:space="preserve">onfianza </w:t>
      </w:r>
      <w:r>
        <w:rPr>
          <w:b/>
          <w:smallCaps/>
          <w:sz w:val="22"/>
          <w:szCs w:val="22"/>
        </w:rPr>
        <w:t>E</w:t>
      </w:r>
      <w:r w:rsidRPr="000738E1">
        <w:rPr>
          <w:b/>
          <w:smallCaps/>
          <w:sz w:val="22"/>
          <w:szCs w:val="22"/>
        </w:rPr>
        <w:t xml:space="preserve">mpresarial de </w:t>
      </w:r>
      <w:r>
        <w:rPr>
          <w:b/>
          <w:smallCaps/>
          <w:sz w:val="22"/>
          <w:szCs w:val="22"/>
        </w:rPr>
        <w:t>S</w:t>
      </w:r>
      <w:r w:rsidRPr="000738E1">
        <w:rPr>
          <w:b/>
          <w:smallCaps/>
          <w:sz w:val="22"/>
          <w:szCs w:val="22"/>
        </w:rPr>
        <w:t>ervicios privados no financieros</w:t>
      </w:r>
      <w:r>
        <w:rPr>
          <w:b/>
          <w:smallCaps/>
          <w:sz w:val="22"/>
          <w:szCs w:val="22"/>
        </w:rPr>
        <w:t xml:space="preserve"> </w:t>
      </w:r>
      <w:r w:rsidRPr="00773FF2">
        <w:rPr>
          <w:b/>
          <w:smallCaps/>
          <w:spacing w:val="4"/>
          <w:sz w:val="22"/>
          <w:szCs w:val="22"/>
        </w:rPr>
        <w:t>y sus componentes</w:t>
      </w: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5027"/>
        <w:gridCol w:w="1016"/>
        <w:gridCol w:w="1006"/>
        <w:gridCol w:w="1006"/>
        <w:gridCol w:w="564"/>
        <w:gridCol w:w="1345"/>
      </w:tblGrid>
      <w:tr w:rsidR="00AE64BE" w:rsidRPr="00187FDC" w14:paraId="11FA9B0D" w14:textId="77777777" w:rsidTr="00DF1E6C">
        <w:tc>
          <w:tcPr>
            <w:tcW w:w="2522" w:type="pct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4B1628FD" w14:textId="77777777" w:rsidR="00AE64BE" w:rsidRPr="00187FDC" w:rsidRDefault="00AE64BE" w:rsidP="00DF1E6C">
            <w:pPr>
              <w:keepNext/>
              <w:keepLines/>
              <w:spacing w:before="20" w:after="20"/>
              <w:ind w:left="176"/>
              <w:rPr>
                <w:spacing w:val="4"/>
                <w:sz w:val="18"/>
                <w:szCs w:val="18"/>
              </w:rPr>
            </w:pPr>
            <w:r w:rsidRPr="005739BD">
              <w:rPr>
                <w:sz w:val="18"/>
                <w:szCs w:val="18"/>
              </w:rPr>
              <w:t xml:space="preserve">Indicador </w:t>
            </w:r>
            <w:r w:rsidRPr="007E5597">
              <w:rPr>
                <w:sz w:val="18"/>
                <w:szCs w:val="18"/>
              </w:rPr>
              <w:t>y componentes</w:t>
            </w:r>
          </w:p>
        </w:tc>
        <w:tc>
          <w:tcPr>
            <w:tcW w:w="510" w:type="pct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2C2F4768" w14:textId="77777777" w:rsidR="00AE64BE" w:rsidRDefault="00AE64BE" w:rsidP="00DF1E6C">
            <w:pPr>
              <w:keepNext/>
              <w:keepLines/>
              <w:spacing w:before="20" w:after="20"/>
              <w:ind w:left="-104" w:right="-97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Septiembre</w:t>
            </w:r>
          </w:p>
          <w:p w14:paraId="2CD31DED" w14:textId="77777777" w:rsidR="00AE64BE" w:rsidRPr="00187FDC" w:rsidRDefault="00AE64BE" w:rsidP="00DF1E6C">
            <w:pPr>
              <w:keepNext/>
              <w:keepLines/>
              <w:spacing w:before="20" w:after="20"/>
              <w:ind w:left="-104" w:right="-97"/>
              <w:jc w:val="center"/>
              <w:rPr>
                <w:spacing w:val="-4"/>
                <w:sz w:val="18"/>
                <w:szCs w:val="18"/>
              </w:rPr>
            </w:pPr>
            <w:r w:rsidRPr="00187FDC">
              <w:rPr>
                <w:spacing w:val="-4"/>
                <w:sz w:val="18"/>
                <w:szCs w:val="18"/>
              </w:rPr>
              <w:t>de 202</w:t>
            </w:r>
            <w:r>
              <w:rPr>
                <w:spacing w:val="-4"/>
                <w:sz w:val="18"/>
                <w:szCs w:val="18"/>
              </w:rPr>
              <w:t>3</w:t>
            </w:r>
          </w:p>
        </w:tc>
        <w:tc>
          <w:tcPr>
            <w:tcW w:w="1010" w:type="pct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3A2FC8F7" w14:textId="77777777" w:rsidR="00AE64BE" w:rsidRPr="00187FDC" w:rsidRDefault="00AE64BE" w:rsidP="00DF1E6C">
            <w:pPr>
              <w:keepNext/>
              <w:keepLines/>
              <w:spacing w:before="20" w:after="20"/>
              <w:ind w:left="-108" w:right="-96"/>
              <w:jc w:val="center"/>
              <w:rPr>
                <w:spacing w:val="-4"/>
                <w:sz w:val="18"/>
                <w:szCs w:val="18"/>
              </w:rPr>
            </w:pPr>
            <w:r w:rsidRPr="00187FDC">
              <w:rPr>
                <w:spacing w:val="-4"/>
                <w:sz w:val="18"/>
                <w:szCs w:val="18"/>
              </w:rPr>
              <w:t>Diferencias</w:t>
            </w:r>
            <w:r w:rsidRPr="00187FDC">
              <w:rPr>
                <w:spacing w:val="-4"/>
                <w:sz w:val="18"/>
                <w:szCs w:val="18"/>
                <w:vertAlign w:val="superscript"/>
              </w:rPr>
              <w:t>1/</w:t>
            </w:r>
            <w:r w:rsidRPr="00187FDC">
              <w:rPr>
                <w:spacing w:val="-4"/>
                <w:sz w:val="18"/>
                <w:szCs w:val="18"/>
              </w:rPr>
              <w:t xml:space="preserve"> en</w:t>
            </w:r>
            <w:r w:rsidRPr="00187FDC">
              <w:rPr>
                <w:spacing w:val="-4"/>
                <w:sz w:val="18"/>
                <w:szCs w:val="18"/>
              </w:rPr>
              <w:br/>
              <w:t>puntos respecto a:</w:t>
            </w:r>
          </w:p>
        </w:tc>
        <w:tc>
          <w:tcPr>
            <w:tcW w:w="959" w:type="pct"/>
            <w:gridSpan w:val="2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563D8A97" w14:textId="77777777" w:rsidR="00AE64BE" w:rsidRPr="00187FDC" w:rsidRDefault="00AE64BE" w:rsidP="00DF1E6C">
            <w:pPr>
              <w:keepNext/>
              <w:keepLines/>
              <w:tabs>
                <w:tab w:val="center" w:pos="3348"/>
              </w:tabs>
              <w:spacing w:before="20" w:after="20"/>
              <w:ind w:left="-96" w:right="-79"/>
              <w:jc w:val="center"/>
              <w:rPr>
                <w:spacing w:val="-4"/>
                <w:sz w:val="18"/>
                <w:szCs w:val="18"/>
              </w:rPr>
            </w:pPr>
            <w:r w:rsidRPr="00187FDC">
              <w:rPr>
                <w:spacing w:val="-4"/>
                <w:sz w:val="18"/>
                <w:szCs w:val="18"/>
              </w:rPr>
              <w:t xml:space="preserve">Número de meses consecutivos por </w:t>
            </w:r>
            <w:r w:rsidRPr="00187FDC">
              <w:rPr>
                <w:spacing w:val="-4"/>
                <w:sz w:val="18"/>
                <w:szCs w:val="18"/>
              </w:rPr>
              <w:br/>
              <w:t xml:space="preserve">arriba o por debajo </w:t>
            </w:r>
            <w:r w:rsidRPr="00187FDC">
              <w:rPr>
                <w:spacing w:val="-4"/>
                <w:sz w:val="18"/>
                <w:szCs w:val="18"/>
              </w:rPr>
              <w:br/>
              <w:t xml:space="preserve">del umbral de </w:t>
            </w:r>
            <w:r w:rsidRPr="00187FDC">
              <w:rPr>
                <w:spacing w:val="-4"/>
                <w:sz w:val="18"/>
                <w:szCs w:val="18"/>
              </w:rPr>
              <w:br/>
              <w:t>50 puntos</w:t>
            </w:r>
          </w:p>
        </w:tc>
      </w:tr>
      <w:tr w:rsidR="00AE64BE" w:rsidRPr="00187FDC" w14:paraId="394E723B" w14:textId="77777777" w:rsidTr="00DF1E6C">
        <w:tc>
          <w:tcPr>
            <w:tcW w:w="2522" w:type="pct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561AED2E" w14:textId="77777777" w:rsidR="00AE64BE" w:rsidRPr="00187FDC" w:rsidRDefault="00AE64BE" w:rsidP="00DF1E6C">
            <w:pPr>
              <w:keepNext/>
              <w:keepLines/>
              <w:spacing w:before="20" w:after="20"/>
              <w:ind w:left="176"/>
              <w:rPr>
                <w:sz w:val="18"/>
                <w:szCs w:val="18"/>
              </w:rPr>
            </w:pPr>
          </w:p>
        </w:tc>
        <w:tc>
          <w:tcPr>
            <w:tcW w:w="510" w:type="pct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6209E509" w14:textId="77777777" w:rsidR="00AE64BE" w:rsidRPr="00187FDC" w:rsidRDefault="00AE64BE" w:rsidP="00DF1E6C">
            <w:pPr>
              <w:keepNext/>
              <w:keepLines/>
              <w:spacing w:before="20" w:after="20"/>
              <w:ind w:left="-120" w:right="-61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30A4769E" w14:textId="77777777" w:rsidR="00AE64BE" w:rsidRPr="00187FDC" w:rsidRDefault="00AE64BE" w:rsidP="00DF1E6C">
            <w:pPr>
              <w:keepNext/>
              <w:keepLines/>
              <w:spacing w:before="20" w:after="20"/>
              <w:ind w:left="-135" w:right="-108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agost</w:t>
            </w:r>
            <w:r w:rsidRPr="00B436C4">
              <w:rPr>
                <w:spacing w:val="-4"/>
                <w:sz w:val="18"/>
                <w:szCs w:val="18"/>
              </w:rPr>
              <w:t>o</w:t>
            </w:r>
            <w:r w:rsidRPr="00B436C4">
              <w:rPr>
                <w:spacing w:val="-4"/>
                <w:sz w:val="18"/>
                <w:szCs w:val="18"/>
              </w:rPr>
              <w:br/>
              <w:t>de 2023</w:t>
            </w:r>
          </w:p>
        </w:tc>
        <w:tc>
          <w:tcPr>
            <w:tcW w:w="505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306757E7" w14:textId="77777777" w:rsidR="00AE64BE" w:rsidRPr="00187FDC" w:rsidRDefault="00AE64BE" w:rsidP="00DF1E6C">
            <w:pPr>
              <w:keepNext/>
              <w:keepLines/>
              <w:spacing w:before="20" w:after="20"/>
              <w:ind w:left="-106" w:right="-95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septiembre</w:t>
            </w:r>
            <w:r w:rsidRPr="00B436C4">
              <w:rPr>
                <w:spacing w:val="-4"/>
                <w:sz w:val="18"/>
                <w:szCs w:val="18"/>
              </w:rPr>
              <w:br/>
              <w:t>de 202</w:t>
            </w:r>
            <w:r>
              <w:rPr>
                <w:spacing w:val="-4"/>
                <w:sz w:val="18"/>
                <w:szCs w:val="18"/>
              </w:rPr>
              <w:t>2</w:t>
            </w:r>
          </w:p>
        </w:tc>
        <w:tc>
          <w:tcPr>
            <w:tcW w:w="959" w:type="pct"/>
            <w:gridSpan w:val="2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7A3FDDB" w14:textId="77777777" w:rsidR="00AE64BE" w:rsidRPr="00187FDC" w:rsidRDefault="00AE64BE" w:rsidP="00DF1E6C">
            <w:pPr>
              <w:keepNext/>
              <w:keepLines/>
              <w:tabs>
                <w:tab w:val="center" w:pos="3348"/>
              </w:tabs>
              <w:spacing w:before="60" w:after="60"/>
              <w:ind w:left="-93" w:right="-80"/>
              <w:jc w:val="center"/>
              <w:rPr>
                <w:sz w:val="18"/>
                <w:szCs w:val="18"/>
              </w:rPr>
            </w:pPr>
          </w:p>
        </w:tc>
      </w:tr>
      <w:tr w:rsidR="00AE64BE" w:rsidRPr="00187FDC" w14:paraId="2241CEEA" w14:textId="77777777" w:rsidTr="00DF1E6C">
        <w:trPr>
          <w:trHeight w:val="226"/>
        </w:trPr>
        <w:tc>
          <w:tcPr>
            <w:tcW w:w="2522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118119B4" w14:textId="77777777" w:rsidR="00AE64BE" w:rsidRPr="00187FDC" w:rsidRDefault="00AE64BE" w:rsidP="00DF1E6C">
            <w:pPr>
              <w:tabs>
                <w:tab w:val="left" w:pos="708"/>
              </w:tabs>
              <w:spacing w:before="20"/>
              <w:ind w:right="-236"/>
              <w:jc w:val="left"/>
              <w:rPr>
                <w:b/>
                <w:spacing w:val="4"/>
                <w:sz w:val="18"/>
                <w:szCs w:val="18"/>
              </w:rPr>
            </w:pPr>
            <w:r w:rsidRPr="00187FDC">
              <w:rPr>
                <w:b/>
                <w:spacing w:val="-6"/>
                <w:sz w:val="18"/>
                <w:szCs w:val="18"/>
              </w:rPr>
              <w:t>Indicador</w:t>
            </w:r>
            <w:r w:rsidRPr="00187FDC">
              <w:rPr>
                <w:b/>
                <w:spacing w:val="4"/>
                <w:sz w:val="18"/>
                <w:szCs w:val="18"/>
              </w:rPr>
              <w:t xml:space="preserve"> de Confianza Empresarial de Servicios</w:t>
            </w:r>
            <w:r>
              <w:rPr>
                <w:b/>
                <w:spacing w:val="4"/>
                <w:sz w:val="18"/>
                <w:szCs w:val="18"/>
              </w:rPr>
              <w:t xml:space="preserve"> privados no financieros</w:t>
            </w:r>
          </w:p>
        </w:tc>
        <w:tc>
          <w:tcPr>
            <w:tcW w:w="510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20C3C0D2" w14:textId="77777777" w:rsidR="00AE64BE" w:rsidRPr="00187FDC" w:rsidRDefault="00AE64BE" w:rsidP="00DF1E6C">
            <w:pPr>
              <w:tabs>
                <w:tab w:val="decimal" w:pos="420"/>
              </w:tabs>
              <w:jc w:val="lef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58.7</w:t>
            </w:r>
          </w:p>
        </w:tc>
        <w:tc>
          <w:tcPr>
            <w:tcW w:w="505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nil"/>
            </w:tcBorders>
            <w:vAlign w:val="center"/>
          </w:tcPr>
          <w:p w14:paraId="10C8F522" w14:textId="77777777" w:rsidR="00AE64BE" w:rsidRPr="00187FDC" w:rsidRDefault="00AE64BE" w:rsidP="00DF1E6C">
            <w:pPr>
              <w:tabs>
                <w:tab w:val="decimal" w:pos="391"/>
              </w:tabs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0.1</w:t>
            </w:r>
          </w:p>
        </w:tc>
        <w:tc>
          <w:tcPr>
            <w:tcW w:w="505" w:type="pct"/>
            <w:tcBorders>
              <w:top w:val="single" w:sz="4" w:space="0" w:color="404040" w:themeColor="text1" w:themeTint="BF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870DFB7" w14:textId="77777777" w:rsidR="00AE64BE" w:rsidRPr="00187FDC" w:rsidRDefault="00AE64BE" w:rsidP="00DF1E6C">
            <w:pPr>
              <w:tabs>
                <w:tab w:val="decimal" w:pos="392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15.6</w:t>
            </w:r>
          </w:p>
        </w:tc>
        <w:tc>
          <w:tcPr>
            <w:tcW w:w="283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6D431218" w14:textId="77777777" w:rsidR="00AE64BE" w:rsidRPr="00187FDC" w:rsidRDefault="00AE64BE" w:rsidP="00DF1E6C">
            <w:pPr>
              <w:jc w:val="righ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676" w:type="pct"/>
            <w:tcBorders>
              <w:top w:val="single" w:sz="4" w:space="0" w:color="404040" w:themeColor="text1" w:themeTint="BF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411A1FC6" w14:textId="77777777" w:rsidR="00AE64BE" w:rsidRPr="00187FDC" w:rsidRDefault="00AE64BE" w:rsidP="00DF1E6C">
            <w:pPr>
              <w:jc w:val="lef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sz w:val="18"/>
                <w:szCs w:val="18"/>
              </w:rPr>
              <w:t>p</w:t>
            </w:r>
            <w:r w:rsidRPr="00187FDC">
              <w:rPr>
                <w:b/>
                <w:bCs/>
                <w:sz w:val="18"/>
                <w:szCs w:val="18"/>
              </w:rPr>
              <w:t xml:space="preserve">or </w:t>
            </w:r>
            <w:r>
              <w:rPr>
                <w:b/>
                <w:bCs/>
                <w:sz w:val="18"/>
                <w:szCs w:val="18"/>
              </w:rPr>
              <w:t>arriba</w:t>
            </w:r>
          </w:p>
        </w:tc>
      </w:tr>
      <w:tr w:rsidR="00AE64BE" w:rsidRPr="00187FDC" w14:paraId="70CFD442" w14:textId="77777777" w:rsidTr="00DF1E6C">
        <w:trPr>
          <w:trHeight w:val="237"/>
        </w:trPr>
        <w:tc>
          <w:tcPr>
            <w:tcW w:w="2522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51ABB4A2" w14:textId="77777777" w:rsidR="00AE64BE" w:rsidRPr="00187FDC" w:rsidRDefault="00AE64BE" w:rsidP="00DF1E6C">
            <w:pPr>
              <w:numPr>
                <w:ilvl w:val="0"/>
                <w:numId w:val="37"/>
              </w:numPr>
              <w:spacing w:before="20"/>
              <w:ind w:left="321" w:hanging="266"/>
              <w:jc w:val="left"/>
              <w:rPr>
                <w:spacing w:val="4"/>
                <w:sz w:val="18"/>
                <w:szCs w:val="18"/>
              </w:rPr>
            </w:pPr>
            <w:r w:rsidRPr="00187FDC">
              <w:rPr>
                <w:sz w:val="18"/>
                <w:szCs w:val="18"/>
                <w:lang w:val="es-MX"/>
              </w:rPr>
              <w:t>Momento adecuado para invertir</w:t>
            </w:r>
          </w:p>
        </w:tc>
        <w:tc>
          <w:tcPr>
            <w:tcW w:w="510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433D8B96" w14:textId="77777777" w:rsidR="00AE64BE" w:rsidRPr="00187FDC" w:rsidRDefault="00AE64BE" w:rsidP="00DF1E6C">
            <w:pPr>
              <w:tabs>
                <w:tab w:val="decimal" w:pos="420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52.9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2B20C014" w14:textId="77777777" w:rsidR="00AE64BE" w:rsidRPr="00187FDC" w:rsidRDefault="00AE64BE" w:rsidP="00DF1E6C">
            <w:pPr>
              <w:tabs>
                <w:tab w:val="decimal" w:pos="391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227576CA" w14:textId="77777777" w:rsidR="00AE64BE" w:rsidRPr="00187FDC" w:rsidRDefault="00AE64BE" w:rsidP="00DF1E6C">
            <w:pPr>
              <w:tabs>
                <w:tab w:val="decimal" w:pos="392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22.7</w:t>
            </w:r>
          </w:p>
        </w:tc>
        <w:tc>
          <w:tcPr>
            <w:tcW w:w="283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F5AEDB7" w14:textId="77777777" w:rsidR="00AE64BE" w:rsidRPr="004F4984" w:rsidRDefault="00AE64BE" w:rsidP="00DF1E6C">
            <w:pPr>
              <w:jc w:val="right"/>
              <w:rPr>
                <w:sz w:val="18"/>
                <w:szCs w:val="18"/>
                <w:lang w:val="es-MX" w:eastAsia="es-MX"/>
              </w:rPr>
            </w:pPr>
            <w:r>
              <w:rPr>
                <w:sz w:val="18"/>
                <w:szCs w:val="18"/>
                <w:lang w:val="es-MX" w:eastAsia="es-MX"/>
              </w:rPr>
              <w:t>3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2E5E4027" w14:textId="77777777" w:rsidR="00AE64BE" w:rsidRPr="00187FDC" w:rsidRDefault="00AE64BE" w:rsidP="00DF1E6C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187FDC">
              <w:rPr>
                <w:sz w:val="18"/>
                <w:szCs w:val="18"/>
              </w:rPr>
              <w:t xml:space="preserve">or </w:t>
            </w:r>
            <w:r>
              <w:rPr>
                <w:sz w:val="18"/>
                <w:szCs w:val="18"/>
              </w:rPr>
              <w:t>arriba</w:t>
            </w:r>
          </w:p>
        </w:tc>
      </w:tr>
      <w:tr w:rsidR="00AE64BE" w:rsidRPr="00187FDC" w14:paraId="01687540" w14:textId="77777777" w:rsidTr="00DF1E6C">
        <w:trPr>
          <w:trHeight w:val="226"/>
        </w:trPr>
        <w:tc>
          <w:tcPr>
            <w:tcW w:w="2522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700EDBBD" w14:textId="77777777" w:rsidR="00AE64BE" w:rsidRPr="00187FDC" w:rsidRDefault="00AE64BE" w:rsidP="00DF1E6C">
            <w:pPr>
              <w:numPr>
                <w:ilvl w:val="0"/>
                <w:numId w:val="37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187FDC">
              <w:rPr>
                <w:sz w:val="18"/>
                <w:szCs w:val="18"/>
                <w:lang w:val="es-MX"/>
              </w:rPr>
              <w:t>Situación económica presente del país</w:t>
            </w:r>
          </w:p>
        </w:tc>
        <w:tc>
          <w:tcPr>
            <w:tcW w:w="510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0510D3EE" w14:textId="77777777" w:rsidR="00AE64BE" w:rsidRPr="00187FDC" w:rsidRDefault="00AE64BE" w:rsidP="00DF1E6C">
            <w:pPr>
              <w:tabs>
                <w:tab w:val="decimal" w:pos="420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57.7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719F0515" w14:textId="77777777" w:rsidR="00AE64BE" w:rsidRPr="00187FDC" w:rsidRDefault="00AE64BE" w:rsidP="00DF1E6C">
            <w:pPr>
              <w:tabs>
                <w:tab w:val="decimal" w:pos="391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-0.6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7C92FC99" w14:textId="77777777" w:rsidR="00AE64BE" w:rsidRPr="00187FDC" w:rsidRDefault="00AE64BE" w:rsidP="00DF1E6C">
            <w:pPr>
              <w:tabs>
                <w:tab w:val="decimal" w:pos="392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15.4</w:t>
            </w:r>
          </w:p>
        </w:tc>
        <w:tc>
          <w:tcPr>
            <w:tcW w:w="283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2DF17118" w14:textId="77777777" w:rsidR="00AE64BE" w:rsidRPr="004F4984" w:rsidRDefault="00AE64BE" w:rsidP="00DF1E6C">
            <w:pPr>
              <w:jc w:val="right"/>
              <w:rPr>
                <w:sz w:val="18"/>
                <w:szCs w:val="18"/>
                <w:lang w:val="es-MX" w:eastAsia="es-MX"/>
              </w:rPr>
            </w:pPr>
            <w:r>
              <w:rPr>
                <w:sz w:val="18"/>
                <w:szCs w:val="18"/>
                <w:lang w:val="es-MX" w:eastAsia="es-MX"/>
              </w:rPr>
              <w:t>7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228C74C5" w14:textId="77777777" w:rsidR="00AE64BE" w:rsidRPr="00187FDC" w:rsidRDefault="00AE64BE" w:rsidP="00DF1E6C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187FDC">
              <w:rPr>
                <w:sz w:val="18"/>
                <w:szCs w:val="18"/>
              </w:rPr>
              <w:t xml:space="preserve">or </w:t>
            </w:r>
            <w:r>
              <w:rPr>
                <w:sz w:val="18"/>
                <w:szCs w:val="18"/>
              </w:rPr>
              <w:t>arriba</w:t>
            </w:r>
          </w:p>
        </w:tc>
      </w:tr>
      <w:tr w:rsidR="00AE64BE" w:rsidRPr="00187FDC" w14:paraId="6494ADB6" w14:textId="77777777" w:rsidTr="00DF1E6C">
        <w:trPr>
          <w:trHeight w:val="237"/>
        </w:trPr>
        <w:tc>
          <w:tcPr>
            <w:tcW w:w="2522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1F66B6E6" w14:textId="77777777" w:rsidR="00AE64BE" w:rsidRPr="00187FDC" w:rsidRDefault="00AE64BE" w:rsidP="00DF1E6C">
            <w:pPr>
              <w:numPr>
                <w:ilvl w:val="0"/>
                <w:numId w:val="37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187FDC">
              <w:rPr>
                <w:sz w:val="18"/>
                <w:szCs w:val="18"/>
                <w:lang w:val="es-MX"/>
              </w:rPr>
              <w:t>Situación económica futura del país</w:t>
            </w:r>
          </w:p>
        </w:tc>
        <w:tc>
          <w:tcPr>
            <w:tcW w:w="510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42835432" w14:textId="77777777" w:rsidR="00AE64BE" w:rsidRPr="00187FDC" w:rsidRDefault="00AE64BE" w:rsidP="00DF1E6C">
            <w:pPr>
              <w:tabs>
                <w:tab w:val="decimal" w:pos="420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59.9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4341E1CF" w14:textId="77777777" w:rsidR="00AE64BE" w:rsidRPr="00187FDC" w:rsidRDefault="00AE64BE" w:rsidP="00DF1E6C">
            <w:pPr>
              <w:tabs>
                <w:tab w:val="decimal" w:pos="391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0.4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5180AA0D" w14:textId="77777777" w:rsidR="00AE64BE" w:rsidRPr="00187FDC" w:rsidRDefault="00AE64BE" w:rsidP="00DF1E6C">
            <w:pPr>
              <w:tabs>
                <w:tab w:val="decimal" w:pos="392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13.9</w:t>
            </w:r>
          </w:p>
        </w:tc>
        <w:tc>
          <w:tcPr>
            <w:tcW w:w="283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5008851F" w14:textId="77777777" w:rsidR="00AE64BE" w:rsidRPr="004F4984" w:rsidRDefault="00AE64BE" w:rsidP="00DF1E6C">
            <w:pPr>
              <w:jc w:val="right"/>
              <w:rPr>
                <w:sz w:val="18"/>
                <w:szCs w:val="18"/>
                <w:lang w:val="es-MX" w:eastAsia="es-MX"/>
              </w:rPr>
            </w:pPr>
            <w:r>
              <w:rPr>
                <w:sz w:val="18"/>
                <w:szCs w:val="18"/>
                <w:lang w:val="es-MX" w:eastAsia="es-MX"/>
              </w:rPr>
              <w:t>8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71E7CC47" w14:textId="77777777" w:rsidR="00AE64BE" w:rsidRPr="00187FDC" w:rsidRDefault="00AE64BE" w:rsidP="00DF1E6C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187FDC">
              <w:rPr>
                <w:sz w:val="18"/>
                <w:szCs w:val="18"/>
              </w:rPr>
              <w:t xml:space="preserve">or </w:t>
            </w:r>
            <w:r>
              <w:rPr>
                <w:sz w:val="18"/>
                <w:szCs w:val="18"/>
              </w:rPr>
              <w:t>arriba</w:t>
            </w:r>
          </w:p>
        </w:tc>
      </w:tr>
      <w:tr w:rsidR="00AE64BE" w:rsidRPr="00187FDC" w14:paraId="48078D64" w14:textId="77777777" w:rsidTr="00DF1E6C">
        <w:trPr>
          <w:trHeight w:val="247"/>
        </w:trPr>
        <w:tc>
          <w:tcPr>
            <w:tcW w:w="2522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36D90AF1" w14:textId="77777777" w:rsidR="00AE64BE" w:rsidRPr="00187FDC" w:rsidRDefault="00AE64BE" w:rsidP="00DF1E6C">
            <w:pPr>
              <w:numPr>
                <w:ilvl w:val="0"/>
                <w:numId w:val="37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187FDC">
              <w:rPr>
                <w:sz w:val="18"/>
                <w:szCs w:val="18"/>
                <w:lang w:val="es-MX"/>
              </w:rPr>
              <w:t>Situación económica presente de la empresa</w:t>
            </w:r>
          </w:p>
        </w:tc>
        <w:tc>
          <w:tcPr>
            <w:tcW w:w="510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3F8581A3" w14:textId="77777777" w:rsidR="00AE64BE" w:rsidRPr="00187FDC" w:rsidRDefault="00AE64BE" w:rsidP="00DF1E6C">
            <w:pPr>
              <w:tabs>
                <w:tab w:val="decimal" w:pos="420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59.0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vAlign w:val="center"/>
          </w:tcPr>
          <w:p w14:paraId="7FCB2BFE" w14:textId="77777777" w:rsidR="00AE64BE" w:rsidRPr="00187FDC" w:rsidRDefault="00AE64BE" w:rsidP="00DF1E6C">
            <w:pPr>
              <w:tabs>
                <w:tab w:val="decimal" w:pos="391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0.7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3063B10D" w14:textId="77777777" w:rsidR="00AE64BE" w:rsidRPr="00187FDC" w:rsidRDefault="00AE64BE" w:rsidP="00DF1E6C">
            <w:pPr>
              <w:tabs>
                <w:tab w:val="decimal" w:pos="392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11.8</w:t>
            </w:r>
          </w:p>
        </w:tc>
        <w:tc>
          <w:tcPr>
            <w:tcW w:w="283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7B8C0A46" w14:textId="77777777" w:rsidR="00AE64BE" w:rsidRPr="004F4984" w:rsidRDefault="00AE64BE" w:rsidP="00DF1E6C">
            <w:pPr>
              <w:jc w:val="right"/>
              <w:rPr>
                <w:sz w:val="18"/>
                <w:szCs w:val="18"/>
                <w:lang w:val="es-MX" w:eastAsia="es-MX"/>
              </w:rPr>
            </w:pPr>
            <w:r>
              <w:rPr>
                <w:sz w:val="18"/>
                <w:szCs w:val="18"/>
                <w:lang w:val="es-MX" w:eastAsia="es-MX"/>
              </w:rPr>
              <w:t>7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4673155E" w14:textId="77777777" w:rsidR="00AE64BE" w:rsidRPr="00187FDC" w:rsidRDefault="00AE64BE" w:rsidP="00DF1E6C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187FDC">
              <w:rPr>
                <w:sz w:val="18"/>
                <w:szCs w:val="18"/>
              </w:rPr>
              <w:t xml:space="preserve">or </w:t>
            </w:r>
            <w:r>
              <w:rPr>
                <w:sz w:val="18"/>
                <w:szCs w:val="18"/>
              </w:rPr>
              <w:t>arriba</w:t>
            </w:r>
          </w:p>
        </w:tc>
      </w:tr>
      <w:tr w:rsidR="00AE64BE" w:rsidRPr="00187FDC" w14:paraId="08DCB8DB" w14:textId="77777777" w:rsidTr="00DF1E6C">
        <w:trPr>
          <w:trHeight w:val="132"/>
        </w:trPr>
        <w:tc>
          <w:tcPr>
            <w:tcW w:w="2522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64C811CA" w14:textId="77777777" w:rsidR="00AE64BE" w:rsidRPr="00187FDC" w:rsidRDefault="00AE64BE" w:rsidP="00DF1E6C">
            <w:pPr>
              <w:numPr>
                <w:ilvl w:val="0"/>
                <w:numId w:val="37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187FDC">
              <w:rPr>
                <w:sz w:val="18"/>
                <w:szCs w:val="18"/>
                <w:lang w:val="es-MX"/>
              </w:rPr>
              <w:t>Situación económica futura de la empresa</w:t>
            </w:r>
          </w:p>
        </w:tc>
        <w:tc>
          <w:tcPr>
            <w:tcW w:w="510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6A5F51C4" w14:textId="77777777" w:rsidR="00AE64BE" w:rsidRPr="00187FDC" w:rsidRDefault="00AE64BE" w:rsidP="00DF1E6C">
            <w:pPr>
              <w:tabs>
                <w:tab w:val="decimal" w:pos="420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64.2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nil"/>
            </w:tcBorders>
            <w:vAlign w:val="center"/>
          </w:tcPr>
          <w:p w14:paraId="65D0AECF" w14:textId="77777777" w:rsidR="00AE64BE" w:rsidRPr="00187FDC" w:rsidRDefault="00AE64BE" w:rsidP="00DF1E6C">
            <w:pPr>
              <w:tabs>
                <w:tab w:val="decimal" w:pos="391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11CF168A" w14:textId="77777777" w:rsidR="00AE64BE" w:rsidRPr="00187FDC" w:rsidRDefault="00AE64BE" w:rsidP="00DF1E6C">
            <w:pPr>
              <w:tabs>
                <w:tab w:val="decimal" w:pos="392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14.4</w:t>
            </w:r>
          </w:p>
        </w:tc>
        <w:tc>
          <w:tcPr>
            <w:tcW w:w="283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nil"/>
            </w:tcBorders>
            <w:shd w:val="clear" w:color="auto" w:fill="auto"/>
            <w:vAlign w:val="center"/>
          </w:tcPr>
          <w:p w14:paraId="50A06FB8" w14:textId="77777777" w:rsidR="00AE64BE" w:rsidRPr="004F4984" w:rsidRDefault="00AE64BE" w:rsidP="00DF1E6C">
            <w:pPr>
              <w:jc w:val="right"/>
              <w:rPr>
                <w:sz w:val="18"/>
                <w:szCs w:val="18"/>
                <w:lang w:val="es-MX" w:eastAsia="es-MX"/>
              </w:rPr>
            </w:pPr>
            <w:r>
              <w:rPr>
                <w:sz w:val="18"/>
                <w:szCs w:val="18"/>
                <w:lang w:val="es-MX" w:eastAsia="es-MX"/>
              </w:rPr>
              <w:t>8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35EAB98A" w14:textId="77777777" w:rsidR="00AE64BE" w:rsidRPr="00187FDC" w:rsidRDefault="00AE64BE" w:rsidP="00DF1E6C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187FDC">
              <w:rPr>
                <w:sz w:val="18"/>
                <w:szCs w:val="18"/>
              </w:rPr>
              <w:t xml:space="preserve">or </w:t>
            </w:r>
            <w:r>
              <w:rPr>
                <w:sz w:val="18"/>
                <w:szCs w:val="18"/>
              </w:rPr>
              <w:t>arriba</w:t>
            </w:r>
          </w:p>
        </w:tc>
      </w:tr>
    </w:tbl>
    <w:p w14:paraId="16AC553F" w14:textId="77777777" w:rsidR="00AE64BE" w:rsidRPr="009C6AF2" w:rsidRDefault="00AE64BE" w:rsidP="00AE64BE">
      <w:pPr>
        <w:spacing w:line="180" w:lineRule="exact"/>
        <w:ind w:left="658" w:right="40" w:hanging="550"/>
        <w:outlineLvl w:val="0"/>
        <w:rPr>
          <w:sz w:val="16"/>
          <w:szCs w:val="16"/>
        </w:rPr>
      </w:pPr>
      <w:r w:rsidRPr="009C6AF2">
        <w:rPr>
          <w:sz w:val="16"/>
          <w:szCs w:val="16"/>
        </w:rPr>
        <w:t>Nota:</w:t>
      </w:r>
      <w:r w:rsidRPr="009C6AF2">
        <w:rPr>
          <w:sz w:val="16"/>
          <w:szCs w:val="16"/>
        </w:rPr>
        <w:tab/>
        <w:t xml:space="preserve">Los indicadores se generan con los datos referidos al mes de la entrevista. </w:t>
      </w:r>
    </w:p>
    <w:p w14:paraId="6C4F0164" w14:textId="77777777" w:rsidR="00AE64BE" w:rsidRPr="009C6AF2" w:rsidRDefault="00AE64BE" w:rsidP="00AE64BE">
      <w:pPr>
        <w:spacing w:line="180" w:lineRule="exact"/>
        <w:ind w:left="658" w:right="40" w:hanging="550"/>
        <w:outlineLvl w:val="0"/>
        <w:rPr>
          <w:sz w:val="16"/>
          <w:szCs w:val="16"/>
        </w:rPr>
      </w:pPr>
      <w:r w:rsidRPr="009C6AF2">
        <w:rPr>
          <w:sz w:val="18"/>
          <w:szCs w:val="18"/>
          <w:vertAlign w:val="superscript"/>
        </w:rPr>
        <w:t>1/</w:t>
      </w:r>
      <w:r w:rsidRPr="00187FDC">
        <w:rPr>
          <w:sz w:val="14"/>
          <w:szCs w:val="14"/>
        </w:rPr>
        <w:tab/>
      </w:r>
      <w:r w:rsidRPr="009C6AF2">
        <w:rPr>
          <w:sz w:val="16"/>
          <w:szCs w:val="16"/>
        </w:rPr>
        <w:t>Las diferencias en puntos se obtienen de los respectivos indicadores considerando todos sus decimales.</w:t>
      </w:r>
    </w:p>
    <w:p w14:paraId="2DF53950" w14:textId="77777777" w:rsidR="00AE64BE" w:rsidRPr="009C6AF2" w:rsidRDefault="00AE64BE" w:rsidP="00AE64BE">
      <w:pPr>
        <w:spacing w:line="180" w:lineRule="exact"/>
        <w:ind w:left="658" w:right="40" w:hanging="550"/>
        <w:outlineLvl w:val="0"/>
        <w:rPr>
          <w:sz w:val="16"/>
          <w:szCs w:val="16"/>
        </w:rPr>
      </w:pPr>
      <w:r w:rsidRPr="009C6AF2">
        <w:rPr>
          <w:sz w:val="16"/>
          <w:szCs w:val="16"/>
        </w:rPr>
        <w:t>Fuente:</w:t>
      </w:r>
      <w:r w:rsidRPr="009C6AF2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9C6AF2">
        <w:rPr>
          <w:sz w:val="16"/>
          <w:szCs w:val="16"/>
        </w:rPr>
        <w:t>INEGI</w:t>
      </w:r>
      <w:r>
        <w:rPr>
          <w:smallCaps/>
          <w:sz w:val="16"/>
          <w:szCs w:val="16"/>
        </w:rPr>
        <w:t>.</w:t>
      </w:r>
      <w:r w:rsidRPr="00447557">
        <w:rPr>
          <w:sz w:val="16"/>
          <w:szCs w:val="16"/>
        </w:rPr>
        <w:t xml:space="preserve"> Encuesta Mensual de Opinión Empresarial (EMOE)</w:t>
      </w:r>
      <w:r>
        <w:rPr>
          <w:sz w:val="16"/>
          <w:szCs w:val="16"/>
        </w:rPr>
        <w:t>,</w:t>
      </w:r>
      <w:r w:rsidRPr="00447557">
        <w:rPr>
          <w:sz w:val="16"/>
          <w:szCs w:val="16"/>
        </w:rPr>
        <w:t xml:space="preserve"> 2023.</w:t>
      </w:r>
    </w:p>
    <w:p w14:paraId="397A91F5" w14:textId="77777777" w:rsidR="00AE64BE" w:rsidRDefault="00AE64BE" w:rsidP="00AE64BE">
      <w:pPr>
        <w:spacing w:before="240"/>
        <w:ind w:right="51"/>
        <w:rPr>
          <w:szCs w:val="22"/>
        </w:rPr>
      </w:pPr>
    </w:p>
    <w:p w14:paraId="091BD0B2" w14:textId="3564DFCA" w:rsidR="00B14BB8" w:rsidRDefault="00B14BB8" w:rsidP="00AE64BE">
      <w:pPr>
        <w:spacing w:before="240"/>
        <w:ind w:right="51"/>
      </w:pPr>
      <w:r w:rsidRPr="00AE64BE">
        <w:t xml:space="preserve">Con cifras originales, el Indicador Global de Opinión Empresarial de Confianza (IGOEC) </w:t>
      </w:r>
      <w:r w:rsidR="0078178D" w:rsidRPr="00AE64BE">
        <w:t>—</w:t>
      </w:r>
      <w:r w:rsidRPr="00AE64BE">
        <w:t>que es el promedio ponderado de los indicadores de los cuatro sectores que lo integran</w:t>
      </w:r>
      <w:r w:rsidR="0078178D" w:rsidRPr="00AE64BE">
        <w:t>—</w:t>
      </w:r>
      <w:r w:rsidRPr="00AE64BE">
        <w:t xml:space="preserve"> </w:t>
      </w:r>
      <w:r w:rsidR="00E12029" w:rsidRPr="00AE64BE">
        <w:t>fue de</w:t>
      </w:r>
      <w:r w:rsidRPr="00AE64BE">
        <w:t xml:space="preserve"> </w:t>
      </w:r>
      <w:r w:rsidR="00220685" w:rsidRPr="00AE64BE">
        <w:t>5</w:t>
      </w:r>
      <w:r w:rsidR="002644F0" w:rsidRPr="00AE64BE">
        <w:t>6.</w:t>
      </w:r>
      <w:r w:rsidR="00BB3C0A" w:rsidRPr="00AE64BE">
        <w:t>4</w:t>
      </w:r>
      <w:r w:rsidR="002F31B4" w:rsidRPr="00AE64BE">
        <w:t> </w:t>
      </w:r>
      <w:r w:rsidRPr="00AE64BE">
        <w:t>puntos</w:t>
      </w:r>
      <w:r w:rsidR="00952CFE" w:rsidRPr="00AE64BE">
        <w:t xml:space="preserve"> en </w:t>
      </w:r>
      <w:r w:rsidR="00067436" w:rsidRPr="00AE64BE">
        <w:t>septiembre</w:t>
      </w:r>
      <w:r w:rsidR="00952CFE" w:rsidRPr="00AE64BE">
        <w:t xml:space="preserve"> de 202</w:t>
      </w:r>
      <w:r w:rsidR="00102A77" w:rsidRPr="00AE64BE">
        <w:t>3</w:t>
      </w:r>
      <w:r w:rsidR="006F7C9A" w:rsidRPr="00AE64BE">
        <w:t xml:space="preserve"> </w:t>
      </w:r>
      <w:r w:rsidR="00B33D0B" w:rsidRPr="00AE64BE">
        <w:t xml:space="preserve">y representó </w:t>
      </w:r>
      <w:r w:rsidR="006357EB" w:rsidRPr="00AE64BE">
        <w:t>un</w:t>
      </w:r>
      <w:r w:rsidR="00174820" w:rsidRPr="00AE64BE">
        <w:t xml:space="preserve"> </w:t>
      </w:r>
      <w:r w:rsidR="008F3467" w:rsidRPr="00AE64BE">
        <w:t>a</w:t>
      </w:r>
      <w:r w:rsidR="00174820" w:rsidRPr="00AE64BE">
        <w:t>lza</w:t>
      </w:r>
      <w:r w:rsidRPr="00AE64BE">
        <w:t xml:space="preserve"> </w:t>
      </w:r>
      <w:r w:rsidR="006357EB" w:rsidRPr="00AE64BE">
        <w:t xml:space="preserve">de </w:t>
      </w:r>
      <w:r w:rsidR="00AD44E1" w:rsidRPr="00AE64BE">
        <w:t>8.</w:t>
      </w:r>
      <w:r w:rsidR="00BB3C0A" w:rsidRPr="00AE64BE">
        <w:t>5</w:t>
      </w:r>
      <w:r w:rsidRPr="00AE64BE">
        <w:t xml:space="preserve"> </w:t>
      </w:r>
      <w:r w:rsidR="00BB7E2B" w:rsidRPr="00AE64BE">
        <w:t>con relación</w:t>
      </w:r>
      <w:r w:rsidRPr="00AE64BE">
        <w:t xml:space="preserve"> al mismo mes de</w:t>
      </w:r>
      <w:r w:rsidR="001370F9" w:rsidRPr="00AE64BE">
        <w:t xml:space="preserve"> 202</w:t>
      </w:r>
      <w:r w:rsidR="00102A77" w:rsidRPr="00AE64BE">
        <w:t>2</w:t>
      </w:r>
      <w:r w:rsidRPr="00AE64BE">
        <w:t>.</w:t>
      </w:r>
    </w:p>
    <w:p w14:paraId="657AB8C3" w14:textId="77777777" w:rsidR="00AE64BE" w:rsidRDefault="00AE64BE" w:rsidP="00AE64BE">
      <w:pPr>
        <w:spacing w:before="240"/>
        <w:ind w:right="51"/>
      </w:pPr>
    </w:p>
    <w:p w14:paraId="488CF887" w14:textId="77777777" w:rsidR="00AE64BE" w:rsidRDefault="00AE64BE" w:rsidP="00AE64BE">
      <w:pPr>
        <w:spacing w:before="240"/>
        <w:ind w:right="51"/>
      </w:pPr>
    </w:p>
    <w:p w14:paraId="71508781" w14:textId="77777777" w:rsidR="00AE64BE" w:rsidRDefault="00AE64BE" w:rsidP="00AE64BE">
      <w:pPr>
        <w:spacing w:before="240"/>
        <w:ind w:right="51"/>
      </w:pPr>
    </w:p>
    <w:p w14:paraId="641E02DA" w14:textId="77777777" w:rsidR="00AE64BE" w:rsidRDefault="00AE64BE" w:rsidP="00AE64BE">
      <w:pPr>
        <w:spacing w:before="240"/>
        <w:ind w:right="51"/>
      </w:pPr>
    </w:p>
    <w:p w14:paraId="7CCD6FE4" w14:textId="77777777" w:rsidR="00AE64BE" w:rsidRPr="00AE64BE" w:rsidRDefault="00AE64BE" w:rsidP="00AE64BE">
      <w:pPr>
        <w:pStyle w:val="NormalWeb"/>
        <w:ind w:left="-426" w:right="-518"/>
        <w:contextualSpacing/>
        <w:jc w:val="center"/>
        <w:rPr>
          <w:rFonts w:ascii="Arial" w:hAnsi="Arial" w:cs="Arial"/>
          <w:lang w:val="es-ES_tradnl"/>
        </w:rPr>
      </w:pPr>
      <w:r w:rsidRPr="00AE64BE">
        <w:rPr>
          <w:rFonts w:ascii="Arial" w:hAnsi="Arial" w:cs="Arial"/>
          <w:lang w:val="es-ES_tradnl"/>
        </w:rPr>
        <w:t xml:space="preserve">Para consultas de medios y periodistas, escribir a: </w:t>
      </w:r>
      <w:hyperlink r:id="rId9" w:history="1">
        <w:r w:rsidRPr="00AE64BE">
          <w:rPr>
            <w:rStyle w:val="Hipervnculo"/>
            <w:rFonts w:ascii="Arial" w:eastAsiaTheme="majorEastAsia" w:hAnsi="Arial" w:cs="Arial"/>
          </w:rPr>
          <w:t>comunicacionsocial@inegi.org.mx</w:t>
        </w:r>
      </w:hyperlink>
      <w:r w:rsidRPr="00AE64BE">
        <w:rPr>
          <w:rFonts w:ascii="Arial" w:hAnsi="Arial" w:cs="Arial"/>
          <w:lang w:val="es-ES_tradnl"/>
        </w:rPr>
        <w:t xml:space="preserve">    </w:t>
      </w:r>
    </w:p>
    <w:p w14:paraId="704A7304" w14:textId="77777777" w:rsidR="00AE64BE" w:rsidRPr="00AE64BE" w:rsidRDefault="00AE64BE" w:rsidP="00AE64BE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lang w:val="es-ES_tradnl"/>
        </w:rPr>
      </w:pPr>
      <w:r w:rsidRPr="00AE64BE">
        <w:rPr>
          <w:rFonts w:ascii="Arial" w:hAnsi="Arial" w:cs="Arial"/>
          <w:lang w:val="es-ES_tradnl"/>
        </w:rPr>
        <w:t>o llamar al teléfono (55) 52-78-10-00, extensiones 321064, 321134 y 321241</w:t>
      </w:r>
    </w:p>
    <w:p w14:paraId="732B54AA" w14:textId="77777777" w:rsidR="00AE64BE" w:rsidRPr="00AE64BE" w:rsidRDefault="00AE64BE" w:rsidP="00AE64BE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  <w:r w:rsidRPr="00AE64BE">
        <w:rPr>
          <w:rFonts w:ascii="Arial" w:hAnsi="Arial" w:cs="Arial"/>
        </w:rPr>
        <w:t>Dirección de Atención a Medios/ Dirección General Adjunta de Comunicación</w:t>
      </w:r>
    </w:p>
    <w:p w14:paraId="605BF378" w14:textId="0BDBA6B4" w:rsidR="00AE64BE" w:rsidRDefault="00AE64BE" w:rsidP="00AE64BE">
      <w:pPr>
        <w:pStyle w:val="Piedepgina"/>
        <w:jc w:val="center"/>
        <w:rPr>
          <w:b/>
          <w:color w:val="002060"/>
        </w:rPr>
      </w:pPr>
      <w:r w:rsidRPr="00AE64BE">
        <w:rPr>
          <w:noProof/>
          <w:lang w:eastAsia="es-MX"/>
        </w:rPr>
        <w:drawing>
          <wp:inline distT="0" distB="0" distL="0" distR="0" wp14:anchorId="62988833" wp14:editId="24441D47">
            <wp:extent cx="372725" cy="360438"/>
            <wp:effectExtent l="0" t="0" r="0" b="0"/>
            <wp:docPr id="9" name="Imagen 9" descr="Icono&#10;&#10;Descripción generada automáticamente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Icono&#10;&#10;Descripción generada automáticamente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8" b="1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25" cy="360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E64BE">
        <w:rPr>
          <w:noProof/>
          <w:lang w:eastAsia="es-MX"/>
        </w:rPr>
        <w:t xml:space="preserve"> </w:t>
      </w:r>
      <w:r w:rsidRPr="00AE64BE">
        <w:rPr>
          <w:noProof/>
          <w:lang w:eastAsia="es-MX"/>
        </w:rPr>
        <w:drawing>
          <wp:inline distT="0" distB="0" distL="0" distR="0" wp14:anchorId="7BB32713" wp14:editId="32F60C56">
            <wp:extent cx="365760" cy="365760"/>
            <wp:effectExtent l="0" t="0" r="2540" b="2540"/>
            <wp:docPr id="664841240" name="Imagen 664841240" descr="Icono&#10;&#10;Descripción generada automáticamente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841240" name="Imagen 664841240" descr="Icono&#10;&#10;Descripción generada automáticamente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64BE">
        <w:rPr>
          <w:noProof/>
          <w:lang w:eastAsia="es-MX"/>
        </w:rPr>
        <w:t xml:space="preserve"> </w:t>
      </w:r>
      <w:r w:rsidRPr="00AE64BE">
        <w:rPr>
          <w:noProof/>
          <w:lang w:eastAsia="es-MX"/>
        </w:rPr>
        <w:drawing>
          <wp:inline distT="0" distB="0" distL="0" distR="0" wp14:anchorId="4501E2A0" wp14:editId="6B6C4092">
            <wp:extent cx="365760" cy="365760"/>
            <wp:effectExtent l="0" t="0" r="2540" b="2540"/>
            <wp:docPr id="4" name="Imagen 4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64BE">
        <w:rPr>
          <w:noProof/>
          <w:lang w:eastAsia="es-MX"/>
        </w:rPr>
        <w:t xml:space="preserve"> </w:t>
      </w:r>
      <w:r w:rsidRPr="00AE64BE">
        <w:rPr>
          <w:noProof/>
          <w:lang w:eastAsia="es-MX"/>
        </w:rPr>
        <w:drawing>
          <wp:inline distT="0" distB="0" distL="0" distR="0" wp14:anchorId="213B7741" wp14:editId="2C5F9F3A">
            <wp:extent cx="365760" cy="365760"/>
            <wp:effectExtent l="0" t="0" r="2540" b="2540"/>
            <wp:docPr id="5" name="Imagen 5" descr="Logotipo&#10;&#10;Descripción generada automáticamente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Logotipo&#10;&#10;Descripción generada automáticamente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64BE">
        <w:rPr>
          <w:noProof/>
          <w:lang w:eastAsia="es-MX"/>
        </w:rPr>
        <w:t xml:space="preserve">  </w:t>
      </w:r>
      <w:r w:rsidRPr="00AE64BE">
        <w:rPr>
          <w:noProof/>
          <w:lang w:eastAsia="es-MX"/>
        </w:rPr>
        <w:drawing>
          <wp:inline distT="0" distB="0" distL="0" distR="0" wp14:anchorId="12E9CD98" wp14:editId="23526E56">
            <wp:extent cx="1436914" cy="152592"/>
            <wp:effectExtent l="0" t="0" r="0" b="0"/>
            <wp:docPr id="33" name="Imagen 33" descr="Icono&#10;&#10;Descripción generada automáticamente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n 33" descr="Icono&#10;&#10;Descripción generada automáticamente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956" cy="181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64BE">
        <w:rPr>
          <w:b/>
          <w:color w:val="002060"/>
        </w:rPr>
        <w:t xml:space="preserve"> </w:t>
      </w:r>
      <w:r>
        <w:rPr>
          <w:b/>
          <w:color w:val="002060"/>
        </w:rPr>
        <w:br w:type="page"/>
      </w:r>
    </w:p>
    <w:p w14:paraId="0496FB05" w14:textId="77777777" w:rsidR="00AE64BE" w:rsidRPr="00AE64BE" w:rsidRDefault="00AE64BE" w:rsidP="00AE64BE">
      <w:pPr>
        <w:pStyle w:val="Piedepgina"/>
        <w:jc w:val="center"/>
        <w:rPr>
          <w:b/>
          <w:color w:val="002060"/>
        </w:rPr>
      </w:pPr>
    </w:p>
    <w:p w14:paraId="47951E5D" w14:textId="77777777" w:rsidR="00AE64BE" w:rsidRPr="005E0B4F" w:rsidRDefault="00AE64BE" w:rsidP="00AE64BE">
      <w:pPr>
        <w:spacing w:before="120"/>
        <w:ind w:left="-425" w:right="-516"/>
        <w:contextualSpacing/>
        <w:jc w:val="center"/>
        <w:rPr>
          <w:b/>
          <w:bCs/>
          <w:iCs/>
          <w:smallCaps/>
        </w:rPr>
      </w:pPr>
      <w:r w:rsidRPr="005E0B4F">
        <w:rPr>
          <w:b/>
          <w:bCs/>
          <w:noProof/>
          <w:lang w:eastAsia="es-MX"/>
        </w:rPr>
        <w:t>NOTA TÉCNICA</w:t>
      </w:r>
    </w:p>
    <w:p w14:paraId="091BD0B4" w14:textId="305CEC3D" w:rsidR="00C859CA" w:rsidRDefault="00C859CA" w:rsidP="004A0D2F">
      <w:pPr>
        <w:pStyle w:val="Prrafodelista"/>
        <w:keepLines/>
        <w:widowControl w:val="0"/>
        <w:spacing w:before="600"/>
        <w:ind w:left="0"/>
      </w:pPr>
      <w:r w:rsidRPr="00443B05">
        <w:t xml:space="preserve">El Instituto Nacional de Estadística y Geografía </w:t>
      </w:r>
      <w:r w:rsidR="00316866">
        <w:t xml:space="preserve">(INEGI) </w:t>
      </w:r>
      <w:r w:rsidRPr="00443B05">
        <w:t>da a conocer</w:t>
      </w:r>
      <w:r>
        <w:t xml:space="preserve"> </w:t>
      </w:r>
      <w:r w:rsidRPr="00443B05">
        <w:t xml:space="preserve">los Indicadores de Confianza Empresarial (ICE) que </w:t>
      </w:r>
      <w:r>
        <w:t xml:space="preserve">se integran </w:t>
      </w:r>
      <w:r w:rsidRPr="00443B05">
        <w:t xml:space="preserve">por la percepción que tienen </w:t>
      </w:r>
      <w:r w:rsidR="00002494">
        <w:t xml:space="preserve">las y </w:t>
      </w:r>
      <w:r w:rsidRPr="00443B05">
        <w:t>los directivos empresariales de</w:t>
      </w:r>
      <w:r w:rsidR="00042AA2">
        <w:t xml:space="preserve"> </w:t>
      </w:r>
      <w:r w:rsidRPr="00443B05">
        <w:t>l</w:t>
      </w:r>
      <w:r w:rsidR="00042AA2">
        <w:t>os</w:t>
      </w:r>
      <w:r w:rsidRPr="00443B05">
        <w:t xml:space="preserve"> sector</w:t>
      </w:r>
      <w:r w:rsidR="00042AA2">
        <w:t>es: Industrias</w:t>
      </w:r>
      <w:r w:rsidRPr="00443B05">
        <w:t xml:space="preserve"> </w:t>
      </w:r>
      <w:r w:rsidR="00042AA2">
        <w:t>m</w:t>
      </w:r>
      <w:r w:rsidRPr="00443B05">
        <w:t>anufacturer</w:t>
      </w:r>
      <w:r w:rsidR="00042AA2">
        <w:t>as</w:t>
      </w:r>
      <w:r w:rsidRPr="00443B05">
        <w:t xml:space="preserve">, </w:t>
      </w:r>
      <w:r>
        <w:t>C</w:t>
      </w:r>
      <w:r w:rsidRPr="00443B05">
        <w:t>onstrucción</w:t>
      </w:r>
      <w:r>
        <w:t>,</w:t>
      </w:r>
      <w:r w:rsidR="00042AA2">
        <w:t xml:space="preserve"> </w:t>
      </w:r>
      <w:r>
        <w:t>C</w:t>
      </w:r>
      <w:r w:rsidRPr="00443B05">
        <w:t xml:space="preserve">omercio </w:t>
      </w:r>
      <w:r>
        <w:t>y</w:t>
      </w:r>
      <w:r w:rsidR="00771D92">
        <w:t xml:space="preserve"> </w:t>
      </w:r>
      <w:r>
        <w:t xml:space="preserve">Servicios </w:t>
      </w:r>
      <w:r w:rsidR="00FE1793">
        <w:t>p</w:t>
      </w:r>
      <w:r>
        <w:t xml:space="preserve">rivados no </w:t>
      </w:r>
      <w:r w:rsidR="00FE1793">
        <w:t>f</w:t>
      </w:r>
      <w:r>
        <w:t>inancieros</w:t>
      </w:r>
      <w:r w:rsidR="00D31318">
        <w:t>,</w:t>
      </w:r>
      <w:r>
        <w:t xml:space="preserve"> </w:t>
      </w:r>
      <w:r w:rsidRPr="00443B05">
        <w:t xml:space="preserve">sobre la situación económica </w:t>
      </w:r>
      <w:r w:rsidR="006F1EA1">
        <w:t>d</w:t>
      </w:r>
      <w:r w:rsidRPr="00443B05">
        <w:t>el país y sus empresas, así como sus expectativas</w:t>
      </w:r>
      <w:r w:rsidR="005F1609">
        <w:t xml:space="preserve"> para el futuro</w:t>
      </w:r>
      <w:r w:rsidRPr="00443B05">
        <w:t>. Su periodicidad es mensual y se elabora</w:t>
      </w:r>
      <w:r w:rsidR="00512D03">
        <w:t>n</w:t>
      </w:r>
      <w:r w:rsidRPr="00443B05">
        <w:t xml:space="preserve"> con base en los resultados de la Encuesta Mensual de Opinión Empresarial (EMOE).</w:t>
      </w:r>
    </w:p>
    <w:p w14:paraId="697BA2CB" w14:textId="77777777" w:rsidR="00AE64BE" w:rsidRDefault="00AE64BE" w:rsidP="00AE64BE">
      <w:pPr>
        <w:pStyle w:val="Prrafodelista"/>
        <w:keepLines/>
        <w:widowControl w:val="0"/>
        <w:ind w:left="0"/>
      </w:pPr>
    </w:p>
    <w:p w14:paraId="091BD0B5" w14:textId="251F0A22" w:rsidR="00E36AC8" w:rsidRPr="00ED523F" w:rsidRDefault="00351B93" w:rsidP="00AE64BE">
      <w:pPr>
        <w:pStyle w:val="Textoindependiente"/>
        <w:keepNext/>
        <w:keepLines/>
        <w:widowControl w:val="0"/>
        <w:tabs>
          <w:tab w:val="left" w:pos="426"/>
        </w:tabs>
        <w:spacing w:before="0"/>
        <w:jc w:val="center"/>
        <w:rPr>
          <w:b/>
          <w:smallCaps/>
          <w:color w:val="auto"/>
          <w:szCs w:val="22"/>
        </w:rPr>
      </w:pPr>
      <w:r w:rsidRPr="006862BB">
        <w:rPr>
          <w:b/>
          <w:smallCaps/>
          <w:color w:val="auto"/>
          <w:szCs w:val="22"/>
        </w:rPr>
        <w:t>1)</w:t>
      </w:r>
      <w:r w:rsidRPr="006862BB">
        <w:rPr>
          <w:b/>
          <w:smallCaps/>
          <w:color w:val="auto"/>
          <w:szCs w:val="22"/>
        </w:rPr>
        <w:tab/>
      </w:r>
      <w:r w:rsidR="00E36AC8" w:rsidRPr="006862BB">
        <w:rPr>
          <w:b/>
          <w:smallCaps/>
          <w:color w:val="auto"/>
          <w:szCs w:val="22"/>
        </w:rPr>
        <w:t>Cifras desestacionalizadas</w:t>
      </w:r>
      <w:r w:rsidR="0098209D" w:rsidRPr="006862BB">
        <w:rPr>
          <w:bCs/>
          <w:color w:val="auto"/>
          <w:spacing w:val="4"/>
          <w:vertAlign w:val="superscript"/>
        </w:rPr>
        <w:footnoteReference w:id="2"/>
      </w:r>
    </w:p>
    <w:p w14:paraId="4DAB80C1" w14:textId="77777777" w:rsidR="00AE64BE" w:rsidRDefault="00AE64BE" w:rsidP="00AE64BE"/>
    <w:p w14:paraId="091BD0B6" w14:textId="32FDCCED" w:rsidR="00331F49" w:rsidRPr="00443B05" w:rsidRDefault="00504B07" w:rsidP="00AE64BE">
      <w:r>
        <w:t>E</w:t>
      </w:r>
      <w:r w:rsidR="009717D3">
        <w:t xml:space="preserve">n </w:t>
      </w:r>
      <w:r w:rsidR="00351B93">
        <w:t>septiembre</w:t>
      </w:r>
      <w:r w:rsidR="009717D3">
        <w:t xml:space="preserve"> de 202</w:t>
      </w:r>
      <w:r w:rsidR="00102A77">
        <w:t>3</w:t>
      </w:r>
      <w:r w:rsidR="009717D3">
        <w:t>, e</w:t>
      </w:r>
      <w:r w:rsidR="00331F49" w:rsidRPr="00443B05">
        <w:t xml:space="preserve">l </w:t>
      </w:r>
      <w:r w:rsidR="00331F49" w:rsidRPr="00443B05">
        <w:rPr>
          <w:b/>
        </w:rPr>
        <w:t>I</w:t>
      </w:r>
      <w:r w:rsidR="0078178D">
        <w:rPr>
          <w:b/>
        </w:rPr>
        <w:t>CE</w:t>
      </w:r>
      <w:r w:rsidR="00042AA2">
        <w:rPr>
          <w:b/>
        </w:rPr>
        <w:t xml:space="preserve"> de</w:t>
      </w:r>
      <w:r w:rsidR="00173756">
        <w:rPr>
          <w:b/>
        </w:rPr>
        <w:t>l sector</w:t>
      </w:r>
      <w:r w:rsidR="00042AA2">
        <w:rPr>
          <w:b/>
        </w:rPr>
        <w:t xml:space="preserve"> Industrias</w:t>
      </w:r>
      <w:r w:rsidR="0078178D">
        <w:rPr>
          <w:b/>
        </w:rPr>
        <w:t xml:space="preserve"> </w:t>
      </w:r>
      <w:r w:rsidR="00042AA2">
        <w:rPr>
          <w:b/>
        </w:rPr>
        <w:t>m</w:t>
      </w:r>
      <w:r w:rsidR="00331F49" w:rsidRPr="00443B05">
        <w:rPr>
          <w:b/>
        </w:rPr>
        <w:t>anufacturer</w:t>
      </w:r>
      <w:r w:rsidR="00042AA2">
        <w:rPr>
          <w:b/>
        </w:rPr>
        <w:t>as</w:t>
      </w:r>
      <w:r w:rsidR="00331F49" w:rsidRPr="00443B05">
        <w:t xml:space="preserve"> </w:t>
      </w:r>
      <w:r w:rsidR="009439D2">
        <w:t>f</w:t>
      </w:r>
      <w:r w:rsidR="003C4D6D">
        <w:t>ue de</w:t>
      </w:r>
      <w:r w:rsidR="00331F49" w:rsidRPr="00443B05">
        <w:t xml:space="preserve"> </w:t>
      </w:r>
      <w:r w:rsidR="00EA439E">
        <w:t>5</w:t>
      </w:r>
      <w:r w:rsidR="00910E83">
        <w:t>3.</w:t>
      </w:r>
      <w:r w:rsidR="00BB3C0A">
        <w:t>8</w:t>
      </w:r>
      <w:r w:rsidR="004061C5">
        <w:t xml:space="preserve"> </w:t>
      </w:r>
      <w:r w:rsidR="00331F49" w:rsidRPr="00443B05">
        <w:t xml:space="preserve">puntos, </w:t>
      </w:r>
      <w:r w:rsidR="00220685">
        <w:t>0</w:t>
      </w:r>
      <w:r w:rsidR="00EA439E">
        <w:t>.</w:t>
      </w:r>
      <w:r w:rsidR="00FA669A">
        <w:t>1</w:t>
      </w:r>
      <w:r w:rsidR="009A0E79">
        <w:t xml:space="preserve"> </w:t>
      </w:r>
      <w:r w:rsidR="00BB3C0A">
        <w:t>más</w:t>
      </w:r>
      <w:r w:rsidR="003C4D6D">
        <w:t xml:space="preserve"> que </w:t>
      </w:r>
      <w:r w:rsidR="00AC3AFD">
        <w:t>en</w:t>
      </w:r>
      <w:r w:rsidR="00624765">
        <w:t xml:space="preserve"> </w:t>
      </w:r>
      <w:r w:rsidR="00BB3C0A">
        <w:t>agost</w:t>
      </w:r>
      <w:r w:rsidR="00C12AF8">
        <w:t>o</w:t>
      </w:r>
      <w:r w:rsidR="002915C5">
        <w:t xml:space="preserve"> pasado</w:t>
      </w:r>
      <w:r w:rsidR="00662924">
        <w:t xml:space="preserve">. </w:t>
      </w:r>
      <w:r w:rsidR="007F14F2">
        <w:t>Con este dato</w:t>
      </w:r>
      <w:r w:rsidR="006E0644">
        <w:t>,</w:t>
      </w:r>
      <w:r w:rsidR="007F14F2">
        <w:t xml:space="preserve"> e</w:t>
      </w:r>
      <w:r w:rsidR="00B5276C">
        <w:t>l</w:t>
      </w:r>
      <w:r w:rsidR="00A37C9B">
        <w:t xml:space="preserve"> indicador </w:t>
      </w:r>
      <w:r w:rsidR="002F31B4">
        <w:t>se coloca</w:t>
      </w:r>
      <w:r w:rsidR="00F064C6">
        <w:t xml:space="preserve">, por </w:t>
      </w:r>
      <w:r w:rsidR="006F29F2">
        <w:t>2</w:t>
      </w:r>
      <w:r w:rsidR="00BB3C0A">
        <w:t>8</w:t>
      </w:r>
      <w:r w:rsidR="006F29F2">
        <w:t xml:space="preserve"> </w:t>
      </w:r>
      <w:r w:rsidR="00F064C6">
        <w:t>mes</w:t>
      </w:r>
      <w:r w:rsidR="00910E83">
        <w:t>es</w:t>
      </w:r>
      <w:r w:rsidR="00F064C6">
        <w:t xml:space="preserve"> consecutivo</w:t>
      </w:r>
      <w:r w:rsidR="00910E83">
        <w:t>s</w:t>
      </w:r>
      <w:r w:rsidR="00F064C6">
        <w:t>,</w:t>
      </w:r>
      <w:r w:rsidR="002F31B4">
        <w:t xml:space="preserve"> por </w:t>
      </w:r>
      <w:r w:rsidR="00EA439E">
        <w:t>arriba</w:t>
      </w:r>
      <w:r w:rsidR="002F31B4">
        <w:t xml:space="preserve"> </w:t>
      </w:r>
      <w:r w:rsidR="00A93A95">
        <w:t>del umbral de los 50 puntos</w:t>
      </w:r>
      <w:r w:rsidR="007F14F2">
        <w:t>.</w:t>
      </w:r>
    </w:p>
    <w:p w14:paraId="091BD0B7" w14:textId="77777777" w:rsidR="00607F3E" w:rsidRPr="00607F3E" w:rsidRDefault="00607F3E" w:rsidP="009465E5">
      <w:pPr>
        <w:pStyle w:val="p0"/>
        <w:keepLines w:val="0"/>
        <w:jc w:val="center"/>
        <w:rPr>
          <w:rFonts w:ascii="Arial" w:hAnsi="Arial"/>
          <w:color w:val="auto"/>
          <w:sz w:val="20"/>
          <w:szCs w:val="22"/>
        </w:rPr>
      </w:pPr>
      <w:r w:rsidRPr="00A504F3">
        <w:rPr>
          <w:rFonts w:ascii="Arial" w:hAnsi="Arial"/>
          <w:color w:val="auto"/>
          <w:sz w:val="20"/>
          <w:szCs w:val="22"/>
        </w:rPr>
        <w:t xml:space="preserve">Gráfica </w:t>
      </w:r>
      <w:r w:rsidR="005524CE" w:rsidRPr="00A504F3">
        <w:rPr>
          <w:rFonts w:ascii="Arial" w:hAnsi="Arial"/>
          <w:color w:val="auto"/>
          <w:sz w:val="20"/>
          <w:szCs w:val="22"/>
        </w:rPr>
        <w:t>1</w:t>
      </w:r>
    </w:p>
    <w:p w14:paraId="091BD0B8" w14:textId="3BC13EAC" w:rsidR="00443B05" w:rsidRDefault="00443B05" w:rsidP="00607F3E">
      <w:pPr>
        <w:jc w:val="center"/>
        <w:rPr>
          <w:b/>
          <w:smallCaps/>
          <w:sz w:val="22"/>
        </w:rPr>
      </w:pPr>
      <w:r w:rsidRPr="00443B05">
        <w:rPr>
          <w:b/>
          <w:smallCaps/>
          <w:sz w:val="22"/>
        </w:rPr>
        <w:t xml:space="preserve">Indicador de </w:t>
      </w:r>
      <w:r w:rsidR="00B4487F">
        <w:rPr>
          <w:b/>
          <w:smallCaps/>
          <w:sz w:val="22"/>
        </w:rPr>
        <w:t>C</w:t>
      </w:r>
      <w:r w:rsidRPr="00443B05">
        <w:rPr>
          <w:b/>
          <w:smallCaps/>
          <w:sz w:val="22"/>
        </w:rPr>
        <w:t xml:space="preserve">onfianza </w:t>
      </w:r>
      <w:r w:rsidR="00B4487F">
        <w:rPr>
          <w:b/>
          <w:smallCaps/>
          <w:sz w:val="22"/>
        </w:rPr>
        <w:t>E</w:t>
      </w:r>
      <w:r w:rsidRPr="00443B05">
        <w:rPr>
          <w:b/>
          <w:smallCaps/>
          <w:sz w:val="22"/>
        </w:rPr>
        <w:t xml:space="preserve">mpresarial </w:t>
      </w:r>
      <w:r w:rsidR="006E3869">
        <w:rPr>
          <w:b/>
          <w:smallCaps/>
          <w:sz w:val="22"/>
        </w:rPr>
        <w:t xml:space="preserve">del sector </w:t>
      </w:r>
      <w:r w:rsidRPr="00443B05">
        <w:rPr>
          <w:b/>
          <w:smallCaps/>
          <w:sz w:val="22"/>
        </w:rPr>
        <w:t>manufacturero</w:t>
      </w:r>
    </w:p>
    <w:p w14:paraId="61249325" w14:textId="77777777" w:rsidR="00FE11D9" w:rsidRPr="00CA6912" w:rsidRDefault="00FE11D9" w:rsidP="00FE11D9">
      <w:pPr>
        <w:jc w:val="center"/>
        <w:rPr>
          <w:bCs/>
          <w:sz w:val="18"/>
          <w:szCs w:val="18"/>
        </w:rPr>
      </w:pPr>
      <w:r w:rsidRPr="007E5597">
        <w:rPr>
          <w:bCs/>
          <w:sz w:val="18"/>
          <w:szCs w:val="18"/>
        </w:rPr>
        <w:t>(Puntos)</w:t>
      </w:r>
    </w:p>
    <w:p w14:paraId="6339CC0C" w14:textId="6C47D2AE" w:rsidR="00F064C6" w:rsidRDefault="009F09D5" w:rsidP="00607F3E">
      <w:pPr>
        <w:jc w:val="center"/>
        <w:rPr>
          <w:b/>
          <w:smallCaps/>
          <w:sz w:val="22"/>
          <w:szCs w:val="22"/>
        </w:rPr>
      </w:pPr>
      <w:r>
        <w:rPr>
          <w:noProof/>
        </w:rPr>
        <w:drawing>
          <wp:inline distT="0" distB="0" distL="0" distR="0" wp14:anchorId="1A6A52ED" wp14:editId="5862BADB">
            <wp:extent cx="4320000" cy="2520000"/>
            <wp:effectExtent l="0" t="0" r="23495" b="13970"/>
            <wp:docPr id="164395195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091BD0BA" w14:textId="52F2AB1D" w:rsidR="00443B05" w:rsidRPr="00443B05" w:rsidRDefault="00443B05" w:rsidP="0003797E">
      <w:pPr>
        <w:spacing w:before="20"/>
        <w:ind w:left="1701"/>
        <w:rPr>
          <w:sz w:val="14"/>
          <w:szCs w:val="14"/>
        </w:rPr>
      </w:pPr>
      <w:r w:rsidRPr="00FD6542">
        <w:rPr>
          <w:sz w:val="16"/>
          <w:szCs w:val="16"/>
        </w:rPr>
        <w:t xml:space="preserve">Fuente: </w:t>
      </w:r>
      <w:r w:rsidRPr="00FD6542">
        <w:rPr>
          <w:smallCaps/>
          <w:sz w:val="16"/>
          <w:szCs w:val="16"/>
        </w:rPr>
        <w:t>INEGI</w:t>
      </w:r>
      <w:r w:rsidR="00351B93">
        <w:rPr>
          <w:smallCaps/>
          <w:sz w:val="16"/>
          <w:szCs w:val="16"/>
        </w:rPr>
        <w:t xml:space="preserve">. </w:t>
      </w:r>
      <w:r w:rsidR="00351B93" w:rsidRPr="006862BB">
        <w:rPr>
          <w:sz w:val="16"/>
          <w:szCs w:val="16"/>
        </w:rPr>
        <w:t>Encuesta Mensual de Opinión Empresarial (EMOE)</w:t>
      </w:r>
      <w:r w:rsidR="004F3C5A">
        <w:rPr>
          <w:sz w:val="16"/>
          <w:szCs w:val="16"/>
        </w:rPr>
        <w:t>,</w:t>
      </w:r>
      <w:r w:rsidR="00351B93" w:rsidRPr="006862BB">
        <w:rPr>
          <w:sz w:val="16"/>
          <w:szCs w:val="16"/>
        </w:rPr>
        <w:t xml:space="preserve"> 2023.</w:t>
      </w:r>
    </w:p>
    <w:p w14:paraId="091BD0BB" w14:textId="2C16A652" w:rsidR="00CA3E20" w:rsidRDefault="00443B05" w:rsidP="009465E5">
      <w:pPr>
        <w:widowControl w:val="0"/>
        <w:spacing w:before="240"/>
      </w:pPr>
      <w:r w:rsidRPr="00443B05">
        <w:t>El cuadro siguiente muestra el comportamiento del I</w:t>
      </w:r>
      <w:r w:rsidR="00A37C9B">
        <w:t xml:space="preserve">CE </w:t>
      </w:r>
      <w:r w:rsidR="00F75136">
        <w:t>m</w:t>
      </w:r>
      <w:r w:rsidRPr="00443B05">
        <w:t>anufacturero y el de sus componentes</w:t>
      </w:r>
      <w:r w:rsidR="00490747">
        <w:t>,</w:t>
      </w:r>
      <w:r w:rsidRPr="00443B05">
        <w:t xml:space="preserve"> </w:t>
      </w:r>
      <w:r w:rsidR="00A3481E">
        <w:t xml:space="preserve">en </w:t>
      </w:r>
      <w:r w:rsidR="00BB3C0A">
        <w:t>septiembre</w:t>
      </w:r>
      <w:r w:rsidR="00220685">
        <w:t xml:space="preserve"> de este año</w:t>
      </w:r>
      <w:r w:rsidRPr="00443B05">
        <w:t>.</w:t>
      </w:r>
    </w:p>
    <w:p w14:paraId="091BD0BC" w14:textId="77777777" w:rsidR="00607F3E" w:rsidRPr="004867D2" w:rsidRDefault="00607F3E" w:rsidP="009465E5">
      <w:pPr>
        <w:pStyle w:val="bulnot"/>
        <w:keepNext/>
        <w:keepLines/>
        <w:widowControl w:val="0"/>
        <w:spacing w:before="240"/>
        <w:ind w:left="0" w:right="0" w:firstLine="0"/>
        <w:jc w:val="center"/>
        <w:rPr>
          <w:rFonts w:cs="Arial"/>
          <w:b w:val="0"/>
          <w:i/>
          <w:iCs/>
          <w:snapToGrid w:val="0"/>
          <w:color w:val="auto"/>
          <w:spacing w:val="0"/>
          <w:sz w:val="20"/>
          <w:szCs w:val="22"/>
        </w:rPr>
      </w:pPr>
      <w:r w:rsidRPr="004867D2">
        <w:rPr>
          <w:rFonts w:cs="Arial"/>
          <w:b w:val="0"/>
          <w:snapToGrid w:val="0"/>
          <w:color w:val="auto"/>
          <w:spacing w:val="0"/>
          <w:sz w:val="20"/>
          <w:szCs w:val="22"/>
        </w:rPr>
        <w:lastRenderedPageBreak/>
        <w:t>Cuadro 1</w:t>
      </w:r>
    </w:p>
    <w:p w14:paraId="091BD0BD" w14:textId="20A7BD9D" w:rsidR="00443B05" w:rsidRPr="00443B05" w:rsidRDefault="00443B05" w:rsidP="00B7588B">
      <w:pPr>
        <w:keepNext/>
        <w:keepLines/>
        <w:tabs>
          <w:tab w:val="left" w:pos="708"/>
          <w:tab w:val="center" w:pos="3348"/>
        </w:tabs>
        <w:jc w:val="center"/>
        <w:rPr>
          <w:b/>
          <w:smallCaps/>
          <w:spacing w:val="4"/>
          <w:sz w:val="22"/>
          <w:szCs w:val="22"/>
        </w:rPr>
      </w:pPr>
      <w:r w:rsidRPr="00443B05">
        <w:rPr>
          <w:b/>
          <w:smallCaps/>
          <w:spacing w:val="4"/>
          <w:sz w:val="22"/>
          <w:szCs w:val="22"/>
        </w:rPr>
        <w:t xml:space="preserve">Indicador de </w:t>
      </w:r>
      <w:r w:rsidR="00B4487F">
        <w:rPr>
          <w:b/>
          <w:smallCaps/>
          <w:spacing w:val="4"/>
          <w:sz w:val="22"/>
          <w:szCs w:val="22"/>
        </w:rPr>
        <w:t>C</w:t>
      </w:r>
      <w:r w:rsidRPr="00443B05">
        <w:rPr>
          <w:b/>
          <w:smallCaps/>
          <w:spacing w:val="4"/>
          <w:sz w:val="22"/>
          <w:szCs w:val="22"/>
        </w:rPr>
        <w:t xml:space="preserve">onfianza </w:t>
      </w:r>
      <w:r w:rsidR="00B4487F">
        <w:rPr>
          <w:b/>
          <w:smallCaps/>
          <w:spacing w:val="4"/>
          <w:sz w:val="22"/>
          <w:szCs w:val="22"/>
        </w:rPr>
        <w:t>E</w:t>
      </w:r>
      <w:r w:rsidRPr="00443B05">
        <w:rPr>
          <w:b/>
          <w:smallCaps/>
          <w:spacing w:val="4"/>
          <w:sz w:val="22"/>
          <w:szCs w:val="22"/>
        </w:rPr>
        <w:t>mpresarial</w:t>
      </w:r>
      <w:r w:rsidR="006E3869">
        <w:rPr>
          <w:b/>
          <w:smallCaps/>
          <w:spacing w:val="4"/>
          <w:sz w:val="22"/>
          <w:szCs w:val="22"/>
        </w:rPr>
        <w:t xml:space="preserve"> del sector</w:t>
      </w:r>
      <w:r w:rsidRPr="00443B05">
        <w:rPr>
          <w:b/>
          <w:smallCaps/>
          <w:spacing w:val="4"/>
          <w:sz w:val="22"/>
          <w:szCs w:val="22"/>
        </w:rPr>
        <w:t xml:space="preserve"> manufacturero y sus componentes</w:t>
      </w:r>
    </w:p>
    <w:p w14:paraId="7332F19C" w14:textId="05BDDCE1" w:rsidR="00FE11D9" w:rsidRPr="00CA6912" w:rsidRDefault="00715185" w:rsidP="007E5597">
      <w:pPr>
        <w:keepNext/>
        <w:keepLines/>
        <w:tabs>
          <w:tab w:val="left" w:pos="708"/>
          <w:tab w:val="center" w:pos="3348"/>
        </w:tabs>
        <w:jc w:val="center"/>
        <w:rPr>
          <w:bCs/>
          <w:sz w:val="18"/>
          <w:szCs w:val="18"/>
        </w:rPr>
      </w:pPr>
      <w:r w:rsidRPr="00C46468">
        <w:rPr>
          <w:b/>
          <w:smallCaps/>
          <w:sz w:val="20"/>
          <w:szCs w:val="20"/>
        </w:rPr>
        <w:t>c</w:t>
      </w:r>
      <w:r w:rsidR="00443B05" w:rsidRPr="00C46468">
        <w:rPr>
          <w:b/>
          <w:smallCaps/>
          <w:sz w:val="20"/>
          <w:szCs w:val="20"/>
        </w:rPr>
        <w:t>ifras desestacionalizadas</w:t>
      </w: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5061"/>
        <w:gridCol w:w="982"/>
        <w:gridCol w:w="1006"/>
        <w:gridCol w:w="1006"/>
        <w:gridCol w:w="564"/>
        <w:gridCol w:w="1345"/>
      </w:tblGrid>
      <w:tr w:rsidR="00923FD3" w:rsidRPr="0036480B" w14:paraId="091BD0C3" w14:textId="77777777" w:rsidTr="00FE11D9">
        <w:tc>
          <w:tcPr>
            <w:tcW w:w="2539" w:type="pct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0BF" w14:textId="57155AEC" w:rsidR="00923FD3" w:rsidRPr="00443B05" w:rsidRDefault="00923FD3" w:rsidP="00923FD3">
            <w:pPr>
              <w:keepNext/>
              <w:keepLines/>
              <w:spacing w:before="20" w:after="20"/>
              <w:ind w:left="176"/>
              <w:rPr>
                <w:spacing w:val="4"/>
                <w:sz w:val="18"/>
                <w:szCs w:val="18"/>
              </w:rPr>
            </w:pPr>
            <w:bookmarkStart w:id="1" w:name="OLE_LINK1"/>
            <w:r w:rsidRPr="00443B05">
              <w:rPr>
                <w:sz w:val="18"/>
                <w:szCs w:val="18"/>
              </w:rPr>
              <w:t>Indicador</w:t>
            </w:r>
            <w:r w:rsidR="006862BB">
              <w:rPr>
                <w:sz w:val="18"/>
                <w:szCs w:val="18"/>
              </w:rPr>
              <w:t xml:space="preserve"> </w:t>
            </w:r>
            <w:r w:rsidR="006862BB" w:rsidRPr="007E5597">
              <w:rPr>
                <w:sz w:val="18"/>
                <w:szCs w:val="18"/>
              </w:rPr>
              <w:t>y componentes</w:t>
            </w:r>
          </w:p>
        </w:tc>
        <w:tc>
          <w:tcPr>
            <w:tcW w:w="493" w:type="pct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0C0" w14:textId="327C1E85" w:rsidR="00923FD3" w:rsidRPr="007E490A" w:rsidRDefault="00351B93" w:rsidP="00D73246">
            <w:pPr>
              <w:keepNext/>
              <w:keepLines/>
              <w:spacing w:before="20" w:after="20"/>
              <w:ind w:left="-104" w:right="-97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Septiembre</w:t>
            </w:r>
            <w:r w:rsidR="004A0AD6">
              <w:rPr>
                <w:spacing w:val="-4"/>
                <w:sz w:val="18"/>
                <w:szCs w:val="18"/>
              </w:rPr>
              <w:br/>
              <w:t xml:space="preserve">de </w:t>
            </w:r>
            <w:r w:rsidR="008A154C">
              <w:rPr>
                <w:spacing w:val="-4"/>
                <w:sz w:val="18"/>
                <w:szCs w:val="18"/>
              </w:rPr>
              <w:t>202</w:t>
            </w:r>
            <w:r w:rsidR="00102A77">
              <w:rPr>
                <w:spacing w:val="-4"/>
                <w:sz w:val="18"/>
                <w:szCs w:val="18"/>
              </w:rPr>
              <w:t>3</w:t>
            </w:r>
          </w:p>
        </w:tc>
        <w:tc>
          <w:tcPr>
            <w:tcW w:w="1010" w:type="pct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0C1" w14:textId="6E789254" w:rsidR="00923FD3" w:rsidRPr="007E490A" w:rsidRDefault="00923FD3" w:rsidP="0036406A">
            <w:pPr>
              <w:keepNext/>
              <w:keepLines/>
              <w:spacing w:before="20" w:after="20"/>
              <w:ind w:left="-108" w:right="-96"/>
              <w:jc w:val="center"/>
              <w:rPr>
                <w:spacing w:val="-4"/>
                <w:sz w:val="18"/>
                <w:szCs w:val="18"/>
              </w:rPr>
            </w:pPr>
            <w:r w:rsidRPr="007E490A">
              <w:rPr>
                <w:spacing w:val="-4"/>
                <w:sz w:val="18"/>
                <w:szCs w:val="18"/>
              </w:rPr>
              <w:t>Diferencia</w:t>
            </w:r>
            <w:r w:rsidR="001F6B34" w:rsidRPr="007E490A">
              <w:rPr>
                <w:spacing w:val="-4"/>
                <w:sz w:val="18"/>
                <w:szCs w:val="18"/>
              </w:rPr>
              <w:t>s</w:t>
            </w:r>
            <w:r w:rsidR="001F6B34" w:rsidRPr="007E490A">
              <w:rPr>
                <w:spacing w:val="-4"/>
                <w:sz w:val="18"/>
                <w:szCs w:val="18"/>
                <w:vertAlign w:val="superscript"/>
              </w:rPr>
              <w:t>1/</w:t>
            </w:r>
            <w:r w:rsidR="001F6B34" w:rsidRPr="007E490A">
              <w:rPr>
                <w:spacing w:val="-4"/>
                <w:sz w:val="18"/>
                <w:szCs w:val="18"/>
              </w:rPr>
              <w:t xml:space="preserve"> </w:t>
            </w:r>
            <w:r w:rsidR="00801E3A" w:rsidRPr="007E490A">
              <w:rPr>
                <w:spacing w:val="-4"/>
                <w:sz w:val="18"/>
                <w:szCs w:val="18"/>
              </w:rPr>
              <w:t>en</w:t>
            </w:r>
            <w:r w:rsidR="00CC5350" w:rsidRPr="007E490A">
              <w:rPr>
                <w:spacing w:val="-4"/>
                <w:sz w:val="18"/>
                <w:szCs w:val="18"/>
              </w:rPr>
              <w:br/>
            </w:r>
            <w:r w:rsidR="00801E3A" w:rsidRPr="007E490A">
              <w:rPr>
                <w:spacing w:val="-4"/>
                <w:sz w:val="18"/>
                <w:szCs w:val="18"/>
              </w:rPr>
              <w:t xml:space="preserve">puntos </w:t>
            </w:r>
            <w:r w:rsidR="001F6B34" w:rsidRPr="007E490A">
              <w:rPr>
                <w:spacing w:val="-4"/>
                <w:sz w:val="18"/>
                <w:szCs w:val="18"/>
              </w:rPr>
              <w:t>respecto a:</w:t>
            </w:r>
          </w:p>
        </w:tc>
        <w:tc>
          <w:tcPr>
            <w:tcW w:w="959" w:type="pct"/>
            <w:gridSpan w:val="2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0C2" w14:textId="77777777" w:rsidR="00923FD3" w:rsidRPr="007E490A" w:rsidRDefault="00923FD3" w:rsidP="0036406A">
            <w:pPr>
              <w:keepNext/>
              <w:keepLines/>
              <w:tabs>
                <w:tab w:val="center" w:pos="3348"/>
              </w:tabs>
              <w:spacing w:before="20" w:after="20"/>
              <w:ind w:left="-96" w:right="-79"/>
              <w:jc w:val="center"/>
              <w:rPr>
                <w:spacing w:val="-4"/>
                <w:sz w:val="18"/>
                <w:szCs w:val="18"/>
              </w:rPr>
            </w:pPr>
            <w:r w:rsidRPr="007E490A">
              <w:rPr>
                <w:spacing w:val="-4"/>
                <w:sz w:val="18"/>
                <w:szCs w:val="18"/>
              </w:rPr>
              <w:t xml:space="preserve">Número de meses consecutivos por </w:t>
            </w:r>
            <w:r w:rsidR="00744A9D">
              <w:rPr>
                <w:spacing w:val="-4"/>
                <w:sz w:val="18"/>
                <w:szCs w:val="18"/>
              </w:rPr>
              <w:br/>
            </w:r>
            <w:r w:rsidRPr="007E490A">
              <w:rPr>
                <w:spacing w:val="-4"/>
                <w:sz w:val="18"/>
                <w:szCs w:val="18"/>
              </w:rPr>
              <w:t xml:space="preserve">arriba o por debajo </w:t>
            </w:r>
            <w:r w:rsidR="00744A9D">
              <w:rPr>
                <w:spacing w:val="-4"/>
                <w:sz w:val="18"/>
                <w:szCs w:val="18"/>
              </w:rPr>
              <w:br/>
            </w:r>
            <w:r w:rsidRPr="007E490A">
              <w:rPr>
                <w:spacing w:val="-4"/>
                <w:sz w:val="18"/>
                <w:szCs w:val="18"/>
              </w:rPr>
              <w:t xml:space="preserve">del umbral de </w:t>
            </w:r>
            <w:r w:rsidR="00744A9D">
              <w:rPr>
                <w:spacing w:val="-4"/>
                <w:sz w:val="18"/>
                <w:szCs w:val="18"/>
              </w:rPr>
              <w:br/>
            </w:r>
            <w:r w:rsidRPr="007E490A">
              <w:rPr>
                <w:spacing w:val="-4"/>
                <w:sz w:val="18"/>
                <w:szCs w:val="18"/>
              </w:rPr>
              <w:t>50 puntos</w:t>
            </w:r>
          </w:p>
        </w:tc>
      </w:tr>
      <w:tr w:rsidR="00697144" w:rsidRPr="0036480B" w14:paraId="091BD0C9" w14:textId="77777777" w:rsidTr="00FE11D9">
        <w:tc>
          <w:tcPr>
            <w:tcW w:w="2539" w:type="pct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1BD0C4" w14:textId="77777777" w:rsidR="00697144" w:rsidRPr="00443B05" w:rsidRDefault="00697144" w:rsidP="00697144">
            <w:pPr>
              <w:keepNext/>
              <w:keepLines/>
              <w:spacing w:before="20" w:after="20"/>
              <w:ind w:left="176"/>
              <w:rPr>
                <w:sz w:val="18"/>
                <w:szCs w:val="18"/>
              </w:rPr>
            </w:pPr>
          </w:p>
        </w:tc>
        <w:tc>
          <w:tcPr>
            <w:tcW w:w="493" w:type="pct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1BD0C5" w14:textId="77777777" w:rsidR="00697144" w:rsidRDefault="00697144" w:rsidP="00697144">
            <w:pPr>
              <w:keepNext/>
              <w:keepLines/>
              <w:spacing w:before="20" w:after="20"/>
              <w:ind w:left="-120" w:right="-61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0C6" w14:textId="59B357E8" w:rsidR="00697144" w:rsidRPr="007E490A" w:rsidRDefault="00351B93" w:rsidP="00697144">
            <w:pPr>
              <w:keepNext/>
              <w:keepLines/>
              <w:spacing w:before="20" w:after="20"/>
              <w:ind w:left="-135" w:right="-108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agosto</w:t>
            </w:r>
            <w:r w:rsidR="00697144" w:rsidRPr="00B436C4">
              <w:rPr>
                <w:spacing w:val="-4"/>
                <w:sz w:val="18"/>
                <w:szCs w:val="18"/>
              </w:rPr>
              <w:br/>
              <w:t>de 2023</w:t>
            </w:r>
          </w:p>
        </w:tc>
        <w:tc>
          <w:tcPr>
            <w:tcW w:w="505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0C7" w14:textId="38D027E0" w:rsidR="00697144" w:rsidRPr="007E490A" w:rsidRDefault="00351B93" w:rsidP="00697144">
            <w:pPr>
              <w:keepNext/>
              <w:keepLines/>
              <w:spacing w:before="20" w:after="20"/>
              <w:ind w:left="-106" w:right="-95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septiembre</w:t>
            </w:r>
            <w:r w:rsidR="00697144" w:rsidRPr="00B436C4">
              <w:rPr>
                <w:spacing w:val="-4"/>
                <w:sz w:val="18"/>
                <w:szCs w:val="18"/>
              </w:rPr>
              <w:br/>
              <w:t>de 202</w:t>
            </w:r>
            <w:r w:rsidR="00697144">
              <w:rPr>
                <w:spacing w:val="-4"/>
                <w:sz w:val="18"/>
                <w:szCs w:val="18"/>
              </w:rPr>
              <w:t>2</w:t>
            </w:r>
          </w:p>
        </w:tc>
        <w:tc>
          <w:tcPr>
            <w:tcW w:w="959" w:type="pct"/>
            <w:gridSpan w:val="2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1BD0C8" w14:textId="77777777" w:rsidR="00697144" w:rsidRPr="00443B05" w:rsidRDefault="00697144" w:rsidP="00697144">
            <w:pPr>
              <w:keepNext/>
              <w:keepLines/>
              <w:tabs>
                <w:tab w:val="center" w:pos="3348"/>
              </w:tabs>
              <w:spacing w:before="60" w:after="60"/>
              <w:ind w:left="-93" w:right="-80"/>
              <w:jc w:val="center"/>
              <w:rPr>
                <w:sz w:val="18"/>
                <w:szCs w:val="18"/>
              </w:rPr>
            </w:pPr>
          </w:p>
        </w:tc>
      </w:tr>
      <w:tr w:rsidR="00BB3C0A" w:rsidRPr="0036480B" w14:paraId="091BD0D0" w14:textId="77777777" w:rsidTr="00FE11D9">
        <w:trPr>
          <w:trHeight w:val="226"/>
        </w:trPr>
        <w:tc>
          <w:tcPr>
            <w:tcW w:w="2539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0CA" w14:textId="698BC64E" w:rsidR="00BB3C0A" w:rsidRPr="00443B05" w:rsidRDefault="00BB3C0A" w:rsidP="00BB3C0A">
            <w:pPr>
              <w:tabs>
                <w:tab w:val="left" w:pos="708"/>
              </w:tabs>
              <w:spacing w:before="20"/>
              <w:ind w:right="-107"/>
              <w:jc w:val="left"/>
              <w:rPr>
                <w:b/>
                <w:spacing w:val="4"/>
                <w:sz w:val="18"/>
                <w:szCs w:val="18"/>
              </w:rPr>
            </w:pPr>
            <w:r w:rsidRPr="006D734B">
              <w:rPr>
                <w:b/>
                <w:spacing w:val="-6"/>
                <w:sz w:val="18"/>
                <w:szCs w:val="18"/>
              </w:rPr>
              <w:t>Indicador</w:t>
            </w:r>
            <w:r w:rsidRPr="00443B05">
              <w:rPr>
                <w:b/>
                <w:spacing w:val="4"/>
                <w:sz w:val="18"/>
                <w:szCs w:val="18"/>
              </w:rPr>
              <w:t xml:space="preserve"> de Confianza Empresarial </w:t>
            </w:r>
            <w:r>
              <w:rPr>
                <w:b/>
                <w:spacing w:val="4"/>
                <w:sz w:val="18"/>
                <w:szCs w:val="18"/>
              </w:rPr>
              <w:t>del sector Industrias m</w:t>
            </w:r>
            <w:r w:rsidRPr="00443B05">
              <w:rPr>
                <w:b/>
                <w:spacing w:val="4"/>
                <w:sz w:val="18"/>
                <w:szCs w:val="18"/>
              </w:rPr>
              <w:t>anufacturer</w:t>
            </w:r>
            <w:r>
              <w:rPr>
                <w:b/>
                <w:spacing w:val="4"/>
                <w:sz w:val="18"/>
                <w:szCs w:val="18"/>
              </w:rPr>
              <w:t>as</w:t>
            </w:r>
          </w:p>
        </w:tc>
        <w:tc>
          <w:tcPr>
            <w:tcW w:w="493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091BD0CB" w14:textId="1D7CF861" w:rsidR="00BB3C0A" w:rsidRPr="00D3016B" w:rsidRDefault="00BB3C0A" w:rsidP="00BB3C0A">
            <w:pPr>
              <w:tabs>
                <w:tab w:val="decimal" w:pos="393"/>
              </w:tabs>
              <w:jc w:val="lef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53.8</w:t>
            </w:r>
          </w:p>
        </w:tc>
        <w:tc>
          <w:tcPr>
            <w:tcW w:w="505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nil"/>
            </w:tcBorders>
            <w:vAlign w:val="center"/>
          </w:tcPr>
          <w:p w14:paraId="091BD0CC" w14:textId="762248FD" w:rsidR="00BB3C0A" w:rsidRPr="00D3016B" w:rsidRDefault="00BB3C0A" w:rsidP="00BB3C0A">
            <w:pPr>
              <w:tabs>
                <w:tab w:val="decimal" w:pos="391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0.1</w:t>
            </w:r>
          </w:p>
        </w:tc>
        <w:tc>
          <w:tcPr>
            <w:tcW w:w="505" w:type="pct"/>
            <w:tcBorders>
              <w:top w:val="single" w:sz="4" w:space="0" w:color="404040" w:themeColor="text1" w:themeTint="BF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0CD" w14:textId="508A54DF" w:rsidR="00BB3C0A" w:rsidRPr="00D3016B" w:rsidRDefault="00BB3C0A" w:rsidP="00BB3C0A">
            <w:pPr>
              <w:tabs>
                <w:tab w:val="decimal" w:pos="357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2.9</w:t>
            </w:r>
          </w:p>
        </w:tc>
        <w:tc>
          <w:tcPr>
            <w:tcW w:w="283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0CE" w14:textId="7B6F7BCD" w:rsidR="00BB3C0A" w:rsidRPr="00E26B3D" w:rsidRDefault="00BB3C0A" w:rsidP="00BB3C0A">
            <w:pPr>
              <w:tabs>
                <w:tab w:val="decimal" w:pos="284"/>
              </w:tabs>
              <w:ind w:right="-108"/>
              <w:jc w:val="lef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676" w:type="pct"/>
            <w:tcBorders>
              <w:top w:val="single" w:sz="4" w:space="0" w:color="404040" w:themeColor="text1" w:themeTint="BF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0CF" w14:textId="51354AAA" w:rsidR="00BB3C0A" w:rsidRPr="00863F6A" w:rsidRDefault="00BB3C0A" w:rsidP="00BB3C0A">
            <w:pPr>
              <w:tabs>
                <w:tab w:val="decimal" w:pos="774"/>
              </w:tabs>
              <w:jc w:val="lef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sz w:val="18"/>
                <w:szCs w:val="18"/>
              </w:rPr>
              <w:t>p</w:t>
            </w:r>
            <w:r w:rsidRPr="00863F6A">
              <w:rPr>
                <w:b/>
                <w:bCs/>
                <w:sz w:val="18"/>
                <w:szCs w:val="18"/>
              </w:rPr>
              <w:t xml:space="preserve">or </w:t>
            </w:r>
            <w:r>
              <w:rPr>
                <w:b/>
                <w:bCs/>
                <w:sz w:val="18"/>
                <w:szCs w:val="18"/>
              </w:rPr>
              <w:t>arriba</w:t>
            </w:r>
          </w:p>
        </w:tc>
      </w:tr>
      <w:tr w:rsidR="00BB3C0A" w:rsidRPr="0036480B" w14:paraId="091BD0D7" w14:textId="77777777" w:rsidTr="00FE11D9">
        <w:trPr>
          <w:trHeight w:val="237"/>
        </w:trPr>
        <w:tc>
          <w:tcPr>
            <w:tcW w:w="2539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0D1" w14:textId="77777777" w:rsidR="00BB3C0A" w:rsidRPr="00443B05" w:rsidRDefault="00BB3C0A" w:rsidP="00AE64BE">
            <w:pPr>
              <w:numPr>
                <w:ilvl w:val="0"/>
                <w:numId w:val="40"/>
              </w:numPr>
              <w:tabs>
                <w:tab w:val="clear" w:pos="609"/>
              </w:tabs>
              <w:spacing w:before="20"/>
              <w:ind w:left="317" w:hanging="284"/>
              <w:jc w:val="left"/>
              <w:rPr>
                <w:spacing w:val="4"/>
                <w:sz w:val="18"/>
                <w:szCs w:val="18"/>
              </w:rPr>
            </w:pPr>
            <w:r w:rsidRPr="00443B05">
              <w:rPr>
                <w:sz w:val="18"/>
                <w:szCs w:val="18"/>
                <w:lang w:val="es-MX"/>
              </w:rPr>
              <w:t>Momento adecuado para invertir</w:t>
            </w:r>
          </w:p>
        </w:tc>
        <w:tc>
          <w:tcPr>
            <w:tcW w:w="493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091BD0D2" w14:textId="6315B4F5" w:rsidR="00BB3C0A" w:rsidRPr="00D3016B" w:rsidRDefault="00BB3C0A" w:rsidP="00BB3C0A">
            <w:pPr>
              <w:tabs>
                <w:tab w:val="decimal" w:pos="393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45.6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0D3" w14:textId="79F200CC" w:rsidR="00BB3C0A" w:rsidRPr="00D3016B" w:rsidRDefault="00BB3C0A" w:rsidP="00BB3C0A">
            <w:pPr>
              <w:tabs>
                <w:tab w:val="decimal" w:pos="391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0.9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0D4" w14:textId="56D22477" w:rsidR="00BB3C0A" w:rsidRPr="00D3016B" w:rsidRDefault="00BB3C0A" w:rsidP="00BB3C0A">
            <w:pPr>
              <w:tabs>
                <w:tab w:val="decimal" w:pos="357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6.4</w:t>
            </w:r>
          </w:p>
        </w:tc>
        <w:tc>
          <w:tcPr>
            <w:tcW w:w="283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0D5" w14:textId="74AC49CC" w:rsidR="00BB3C0A" w:rsidRPr="00E26B3D" w:rsidRDefault="00BB3C0A" w:rsidP="00BB3C0A">
            <w:pPr>
              <w:tabs>
                <w:tab w:val="decimal" w:pos="284"/>
              </w:tabs>
              <w:ind w:right="-108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0D6" w14:textId="139F9796" w:rsidR="00BB3C0A" w:rsidRPr="00863F6A" w:rsidRDefault="00BB3C0A" w:rsidP="00BB3C0A">
            <w:pPr>
              <w:tabs>
                <w:tab w:val="decimal" w:pos="774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863F6A">
              <w:rPr>
                <w:sz w:val="18"/>
                <w:szCs w:val="18"/>
              </w:rPr>
              <w:t>or debajo</w:t>
            </w:r>
          </w:p>
        </w:tc>
      </w:tr>
      <w:tr w:rsidR="00BB3C0A" w:rsidRPr="0036480B" w14:paraId="091BD0DE" w14:textId="77777777" w:rsidTr="00FE11D9">
        <w:trPr>
          <w:trHeight w:val="226"/>
        </w:trPr>
        <w:tc>
          <w:tcPr>
            <w:tcW w:w="2539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0D8" w14:textId="77777777" w:rsidR="00BB3C0A" w:rsidRPr="00443B05" w:rsidRDefault="00BB3C0A" w:rsidP="00AE64BE">
            <w:pPr>
              <w:numPr>
                <w:ilvl w:val="0"/>
                <w:numId w:val="40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443B05">
              <w:rPr>
                <w:sz w:val="18"/>
                <w:szCs w:val="18"/>
                <w:lang w:val="es-MX"/>
              </w:rPr>
              <w:t>Situación económica presente del país</w:t>
            </w:r>
          </w:p>
        </w:tc>
        <w:tc>
          <w:tcPr>
            <w:tcW w:w="493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091BD0D9" w14:textId="31EED69D" w:rsidR="00BB3C0A" w:rsidRPr="00D3016B" w:rsidRDefault="00BB3C0A" w:rsidP="00BB3C0A">
            <w:pPr>
              <w:tabs>
                <w:tab w:val="decimal" w:pos="393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53.6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0DA" w14:textId="0DCAC457" w:rsidR="00BB3C0A" w:rsidRPr="00D3016B" w:rsidRDefault="00BB3C0A" w:rsidP="00BB3C0A">
            <w:pPr>
              <w:tabs>
                <w:tab w:val="decimal" w:pos="391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0DB" w14:textId="0662BB32" w:rsidR="00BB3C0A" w:rsidRPr="00D3016B" w:rsidRDefault="00BB3C0A" w:rsidP="00BB3C0A">
            <w:pPr>
              <w:tabs>
                <w:tab w:val="decimal" w:pos="357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5.1</w:t>
            </w:r>
          </w:p>
        </w:tc>
        <w:tc>
          <w:tcPr>
            <w:tcW w:w="283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0DC" w14:textId="32A9CD81" w:rsidR="00BB3C0A" w:rsidRPr="00E26B3D" w:rsidRDefault="00BB3C0A" w:rsidP="00BB3C0A">
            <w:pPr>
              <w:tabs>
                <w:tab w:val="decimal" w:pos="284"/>
              </w:tabs>
              <w:ind w:right="-10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0DD" w14:textId="51FE4731" w:rsidR="00BB3C0A" w:rsidRPr="00863F6A" w:rsidRDefault="00BB3C0A" w:rsidP="00BB3C0A">
            <w:pPr>
              <w:tabs>
                <w:tab w:val="decimal" w:pos="774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863F6A">
              <w:rPr>
                <w:sz w:val="18"/>
                <w:szCs w:val="18"/>
              </w:rPr>
              <w:t xml:space="preserve">or </w:t>
            </w:r>
            <w:r>
              <w:rPr>
                <w:sz w:val="18"/>
                <w:szCs w:val="18"/>
              </w:rPr>
              <w:t>arriba</w:t>
            </w:r>
          </w:p>
        </w:tc>
      </w:tr>
      <w:tr w:rsidR="00BB3C0A" w:rsidRPr="0036480B" w14:paraId="091BD0E5" w14:textId="77777777" w:rsidTr="00FE11D9">
        <w:trPr>
          <w:trHeight w:val="237"/>
        </w:trPr>
        <w:tc>
          <w:tcPr>
            <w:tcW w:w="2539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0DF" w14:textId="77777777" w:rsidR="00BB3C0A" w:rsidRPr="00443B05" w:rsidRDefault="00BB3C0A" w:rsidP="00AE64BE">
            <w:pPr>
              <w:numPr>
                <w:ilvl w:val="0"/>
                <w:numId w:val="40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443B05">
              <w:rPr>
                <w:sz w:val="18"/>
                <w:szCs w:val="18"/>
                <w:lang w:val="es-MX"/>
              </w:rPr>
              <w:t>Situación económica futura del país</w:t>
            </w:r>
            <w:r w:rsidRPr="001B7EF3">
              <w:rPr>
                <w:sz w:val="18"/>
                <w:szCs w:val="18"/>
                <w:vertAlign w:val="superscript"/>
                <w:lang w:val="es-MX"/>
              </w:rPr>
              <w:t>2/</w:t>
            </w:r>
          </w:p>
        </w:tc>
        <w:tc>
          <w:tcPr>
            <w:tcW w:w="493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091BD0E0" w14:textId="5D57E51F" w:rsidR="00BB3C0A" w:rsidRPr="00D3016B" w:rsidRDefault="00BB3C0A" w:rsidP="00BB3C0A">
            <w:pPr>
              <w:tabs>
                <w:tab w:val="decimal" w:pos="393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56.4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0E1" w14:textId="11AA4F02" w:rsidR="00BB3C0A" w:rsidRPr="00D3016B" w:rsidRDefault="00BB3C0A" w:rsidP="00BB3C0A">
            <w:pPr>
              <w:tabs>
                <w:tab w:val="decimal" w:pos="391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0E2" w14:textId="6BF4DFBD" w:rsidR="00BB3C0A" w:rsidRPr="00D3016B" w:rsidRDefault="00BB3C0A" w:rsidP="00BB3C0A">
            <w:pPr>
              <w:tabs>
                <w:tab w:val="decimal" w:pos="357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3.4</w:t>
            </w:r>
          </w:p>
        </w:tc>
        <w:tc>
          <w:tcPr>
            <w:tcW w:w="283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0E3" w14:textId="524C2217" w:rsidR="00BB3C0A" w:rsidRPr="00E26B3D" w:rsidRDefault="00BB3C0A" w:rsidP="00BB3C0A">
            <w:pPr>
              <w:tabs>
                <w:tab w:val="decimal" w:pos="284"/>
              </w:tabs>
              <w:ind w:right="-108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0E4" w14:textId="2A57A80E" w:rsidR="00BB3C0A" w:rsidRPr="00863F6A" w:rsidRDefault="00BB3C0A" w:rsidP="00BB3C0A">
            <w:pPr>
              <w:tabs>
                <w:tab w:val="decimal" w:pos="774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863F6A">
              <w:rPr>
                <w:sz w:val="18"/>
                <w:szCs w:val="18"/>
              </w:rPr>
              <w:t>or arriba</w:t>
            </w:r>
          </w:p>
        </w:tc>
      </w:tr>
      <w:tr w:rsidR="00BB3C0A" w:rsidRPr="0036480B" w14:paraId="091BD0EC" w14:textId="77777777" w:rsidTr="00FE11D9">
        <w:trPr>
          <w:trHeight w:val="247"/>
        </w:trPr>
        <w:tc>
          <w:tcPr>
            <w:tcW w:w="2539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0E6" w14:textId="77777777" w:rsidR="00BB3C0A" w:rsidRPr="00443B05" w:rsidRDefault="00BB3C0A" w:rsidP="00AE64BE">
            <w:pPr>
              <w:numPr>
                <w:ilvl w:val="0"/>
                <w:numId w:val="40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443B05">
              <w:rPr>
                <w:sz w:val="18"/>
                <w:szCs w:val="18"/>
                <w:lang w:val="es-MX"/>
              </w:rPr>
              <w:t>Situación económica presente de la empresa</w:t>
            </w:r>
            <w:r w:rsidRPr="001B7EF3">
              <w:rPr>
                <w:sz w:val="18"/>
                <w:szCs w:val="18"/>
                <w:vertAlign w:val="superscript"/>
                <w:lang w:val="es-MX"/>
              </w:rPr>
              <w:t>2/</w:t>
            </w:r>
          </w:p>
        </w:tc>
        <w:tc>
          <w:tcPr>
            <w:tcW w:w="493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091BD0E7" w14:textId="03D923F0" w:rsidR="00BB3C0A" w:rsidRPr="00D3016B" w:rsidRDefault="00BB3C0A" w:rsidP="00BB3C0A">
            <w:pPr>
              <w:tabs>
                <w:tab w:val="decimal" w:pos="393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54.7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vAlign w:val="center"/>
          </w:tcPr>
          <w:p w14:paraId="091BD0E8" w14:textId="23E84503" w:rsidR="00BB3C0A" w:rsidRPr="00D3016B" w:rsidRDefault="00BB3C0A" w:rsidP="00BB3C0A">
            <w:pPr>
              <w:tabs>
                <w:tab w:val="decimal" w:pos="391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0E9" w14:textId="0E0CB71D" w:rsidR="00BB3C0A" w:rsidRPr="00D3016B" w:rsidRDefault="00BB3C0A" w:rsidP="00BB3C0A">
            <w:pPr>
              <w:tabs>
                <w:tab w:val="decimal" w:pos="357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-0.1</w:t>
            </w:r>
          </w:p>
        </w:tc>
        <w:tc>
          <w:tcPr>
            <w:tcW w:w="283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0EA" w14:textId="50356755" w:rsidR="00BB3C0A" w:rsidRPr="00E26B3D" w:rsidRDefault="00BB3C0A" w:rsidP="00BB3C0A">
            <w:pPr>
              <w:tabs>
                <w:tab w:val="decimal" w:pos="284"/>
              </w:tabs>
              <w:ind w:right="-10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0EB" w14:textId="6D6646E8" w:rsidR="00BB3C0A" w:rsidRPr="00863F6A" w:rsidRDefault="00BB3C0A" w:rsidP="00BB3C0A">
            <w:pPr>
              <w:tabs>
                <w:tab w:val="decimal" w:pos="774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863F6A">
              <w:rPr>
                <w:sz w:val="18"/>
                <w:szCs w:val="18"/>
              </w:rPr>
              <w:t xml:space="preserve">or </w:t>
            </w:r>
            <w:r>
              <w:rPr>
                <w:sz w:val="18"/>
                <w:szCs w:val="18"/>
              </w:rPr>
              <w:t>arriba</w:t>
            </w:r>
          </w:p>
        </w:tc>
      </w:tr>
      <w:tr w:rsidR="00BB3C0A" w:rsidRPr="0036480B" w14:paraId="091BD0F3" w14:textId="77777777" w:rsidTr="00FE11D9">
        <w:trPr>
          <w:trHeight w:val="132"/>
        </w:trPr>
        <w:tc>
          <w:tcPr>
            <w:tcW w:w="2539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0ED" w14:textId="77777777" w:rsidR="00BB3C0A" w:rsidRPr="00443B05" w:rsidRDefault="00BB3C0A" w:rsidP="00AE64BE">
            <w:pPr>
              <w:numPr>
                <w:ilvl w:val="0"/>
                <w:numId w:val="40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443B05">
              <w:rPr>
                <w:sz w:val="18"/>
                <w:szCs w:val="18"/>
                <w:lang w:val="es-MX"/>
              </w:rPr>
              <w:t>Situación económica futura de la empresa</w:t>
            </w:r>
            <w:r w:rsidRPr="001B7EF3">
              <w:rPr>
                <w:sz w:val="18"/>
                <w:szCs w:val="18"/>
                <w:vertAlign w:val="superscript"/>
                <w:lang w:val="es-MX"/>
              </w:rPr>
              <w:t>2/</w:t>
            </w:r>
          </w:p>
        </w:tc>
        <w:tc>
          <w:tcPr>
            <w:tcW w:w="493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1BD0EE" w14:textId="6BA77510" w:rsidR="00BB3C0A" w:rsidRPr="00D3016B" w:rsidRDefault="00BB3C0A" w:rsidP="00BB3C0A">
            <w:pPr>
              <w:tabs>
                <w:tab w:val="decimal" w:pos="393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58.4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nil"/>
            </w:tcBorders>
            <w:vAlign w:val="center"/>
          </w:tcPr>
          <w:p w14:paraId="091BD0EF" w14:textId="28275E59" w:rsidR="00BB3C0A" w:rsidRPr="00D3016B" w:rsidRDefault="00BB3C0A" w:rsidP="00BB3C0A">
            <w:pPr>
              <w:tabs>
                <w:tab w:val="decimal" w:pos="391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0F0" w14:textId="0C8D6F9F" w:rsidR="00BB3C0A" w:rsidRPr="00D3016B" w:rsidRDefault="00BB3C0A" w:rsidP="00BB3C0A">
            <w:pPr>
              <w:tabs>
                <w:tab w:val="decimal" w:pos="357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-0.8</w:t>
            </w:r>
          </w:p>
        </w:tc>
        <w:tc>
          <w:tcPr>
            <w:tcW w:w="283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nil"/>
            </w:tcBorders>
            <w:shd w:val="clear" w:color="auto" w:fill="auto"/>
            <w:vAlign w:val="center"/>
          </w:tcPr>
          <w:p w14:paraId="091BD0F1" w14:textId="0314DA77" w:rsidR="00BB3C0A" w:rsidRPr="00E26B3D" w:rsidRDefault="00BB3C0A" w:rsidP="00BB3C0A">
            <w:pPr>
              <w:tabs>
                <w:tab w:val="decimal" w:pos="284"/>
              </w:tabs>
              <w:ind w:right="-108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237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0F2" w14:textId="41DD762E" w:rsidR="00BB3C0A" w:rsidRPr="00863F6A" w:rsidRDefault="00BB3C0A" w:rsidP="00BB3C0A">
            <w:pPr>
              <w:tabs>
                <w:tab w:val="decimal" w:pos="774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863F6A">
              <w:rPr>
                <w:sz w:val="18"/>
                <w:szCs w:val="18"/>
              </w:rPr>
              <w:t>or arriba</w:t>
            </w:r>
          </w:p>
        </w:tc>
      </w:tr>
    </w:tbl>
    <w:bookmarkEnd w:id="1"/>
    <w:p w14:paraId="091BD0F4" w14:textId="77777777" w:rsidR="00443B05" w:rsidRDefault="00443B05" w:rsidP="009C6AF2">
      <w:pPr>
        <w:spacing w:before="20" w:line="180" w:lineRule="exact"/>
        <w:ind w:left="658" w:right="40" w:hanging="550"/>
        <w:outlineLvl w:val="0"/>
        <w:rPr>
          <w:sz w:val="16"/>
          <w:szCs w:val="16"/>
        </w:rPr>
      </w:pPr>
      <w:r w:rsidRPr="001B7EF3">
        <w:rPr>
          <w:sz w:val="16"/>
          <w:szCs w:val="16"/>
        </w:rPr>
        <w:t>Nota</w:t>
      </w:r>
      <w:r w:rsidRPr="00443B05">
        <w:rPr>
          <w:sz w:val="14"/>
          <w:szCs w:val="14"/>
        </w:rPr>
        <w:t>:</w:t>
      </w:r>
      <w:r w:rsidRPr="00443B05">
        <w:rPr>
          <w:sz w:val="14"/>
          <w:szCs w:val="14"/>
        </w:rPr>
        <w:tab/>
      </w:r>
      <w:r w:rsidRPr="001B7EF3">
        <w:rPr>
          <w:sz w:val="16"/>
          <w:szCs w:val="16"/>
        </w:rPr>
        <w:t xml:space="preserve">Los indicadores se generan con los datos referidos al mes de la entrevista. </w:t>
      </w:r>
    </w:p>
    <w:p w14:paraId="091BD0F5" w14:textId="77777777" w:rsidR="00443B05" w:rsidRPr="00443B05" w:rsidRDefault="00443B05" w:rsidP="009C6AF2">
      <w:pPr>
        <w:spacing w:line="180" w:lineRule="exact"/>
        <w:ind w:left="658" w:right="40" w:hanging="550"/>
        <w:outlineLvl w:val="0"/>
        <w:rPr>
          <w:sz w:val="14"/>
          <w:szCs w:val="14"/>
        </w:rPr>
      </w:pPr>
      <w:r w:rsidRPr="009C6AF2">
        <w:rPr>
          <w:sz w:val="18"/>
          <w:szCs w:val="18"/>
          <w:vertAlign w:val="superscript"/>
        </w:rPr>
        <w:t>1/</w:t>
      </w:r>
      <w:r w:rsidRPr="00443B05">
        <w:rPr>
          <w:sz w:val="14"/>
          <w:szCs w:val="14"/>
        </w:rPr>
        <w:tab/>
      </w:r>
      <w:r w:rsidRPr="001B7EF3">
        <w:rPr>
          <w:sz w:val="16"/>
          <w:szCs w:val="16"/>
        </w:rPr>
        <w:t>Las diferencias en puntos se obtienen de los respectivos indicadores considerando todos sus decimales</w:t>
      </w:r>
      <w:r w:rsidRPr="00443B05">
        <w:rPr>
          <w:sz w:val="14"/>
          <w:szCs w:val="14"/>
        </w:rPr>
        <w:t>.</w:t>
      </w:r>
    </w:p>
    <w:p w14:paraId="091BD0F6" w14:textId="2371B142" w:rsidR="00443B05" w:rsidRPr="00443B05" w:rsidRDefault="00066F23" w:rsidP="0003797E">
      <w:pPr>
        <w:spacing w:line="180" w:lineRule="exact"/>
        <w:ind w:left="658" w:right="40" w:hanging="550"/>
        <w:outlineLvl w:val="0"/>
        <w:rPr>
          <w:spacing w:val="4"/>
          <w:sz w:val="14"/>
          <w:szCs w:val="14"/>
        </w:rPr>
      </w:pPr>
      <w:r w:rsidRPr="009C6AF2">
        <w:rPr>
          <w:sz w:val="18"/>
          <w:szCs w:val="18"/>
          <w:vertAlign w:val="superscript"/>
        </w:rPr>
        <w:t>2</w:t>
      </w:r>
      <w:r w:rsidR="00443B05" w:rsidRPr="009C6AF2">
        <w:rPr>
          <w:sz w:val="18"/>
          <w:szCs w:val="18"/>
          <w:vertAlign w:val="superscript"/>
        </w:rPr>
        <w:t>/</w:t>
      </w:r>
      <w:r w:rsidR="00443B05" w:rsidRPr="00443B05">
        <w:rPr>
          <w:spacing w:val="4"/>
          <w:sz w:val="14"/>
          <w:szCs w:val="14"/>
        </w:rPr>
        <w:tab/>
      </w:r>
      <w:r w:rsidR="00443B05" w:rsidRPr="001B7EF3">
        <w:rPr>
          <w:sz w:val="16"/>
          <w:szCs w:val="16"/>
        </w:rPr>
        <w:t>Componente no sujeto a desestacionalización</w:t>
      </w:r>
    </w:p>
    <w:p w14:paraId="091BD0F7" w14:textId="74041741" w:rsidR="00443B05" w:rsidRPr="00443B05" w:rsidRDefault="00443B05" w:rsidP="006F61BE">
      <w:pPr>
        <w:spacing w:line="160" w:lineRule="exact"/>
        <w:ind w:left="658" w:right="40" w:hanging="550"/>
        <w:outlineLvl w:val="0"/>
        <w:rPr>
          <w:sz w:val="14"/>
          <w:szCs w:val="14"/>
        </w:rPr>
      </w:pPr>
      <w:r w:rsidRPr="001B7EF3">
        <w:rPr>
          <w:sz w:val="16"/>
          <w:szCs w:val="16"/>
        </w:rPr>
        <w:t>Fuente</w:t>
      </w:r>
      <w:r w:rsidRPr="00443B05">
        <w:rPr>
          <w:sz w:val="14"/>
          <w:szCs w:val="14"/>
        </w:rPr>
        <w:t>:</w:t>
      </w:r>
      <w:r w:rsidRPr="001B7EF3">
        <w:rPr>
          <w:sz w:val="16"/>
          <w:szCs w:val="16"/>
        </w:rPr>
        <w:tab/>
      </w:r>
      <w:r w:rsidR="006B5B52">
        <w:rPr>
          <w:sz w:val="16"/>
          <w:szCs w:val="16"/>
        </w:rPr>
        <w:t xml:space="preserve"> </w:t>
      </w:r>
      <w:r w:rsidRPr="001B7EF3">
        <w:rPr>
          <w:sz w:val="16"/>
          <w:szCs w:val="16"/>
        </w:rPr>
        <w:t>INEGI</w:t>
      </w:r>
      <w:r w:rsidR="00351B93">
        <w:rPr>
          <w:smallCaps/>
          <w:sz w:val="16"/>
          <w:szCs w:val="16"/>
        </w:rPr>
        <w:t xml:space="preserve">. </w:t>
      </w:r>
      <w:r w:rsidR="00351B93" w:rsidRPr="006862BB">
        <w:rPr>
          <w:sz w:val="16"/>
          <w:szCs w:val="16"/>
        </w:rPr>
        <w:t>Encuesta Mensual de Opinión Empresarial (EMOE</w:t>
      </w:r>
      <w:r w:rsidR="004F3C5A" w:rsidRPr="006862BB">
        <w:rPr>
          <w:sz w:val="16"/>
          <w:szCs w:val="16"/>
        </w:rPr>
        <w:t>)</w:t>
      </w:r>
      <w:r w:rsidR="004F3C5A">
        <w:rPr>
          <w:sz w:val="16"/>
          <w:szCs w:val="16"/>
        </w:rPr>
        <w:t>,</w:t>
      </w:r>
      <w:r w:rsidR="004F3C5A" w:rsidRPr="006862BB">
        <w:rPr>
          <w:sz w:val="16"/>
          <w:szCs w:val="16"/>
        </w:rPr>
        <w:t xml:space="preserve"> </w:t>
      </w:r>
      <w:r w:rsidR="00351B93" w:rsidRPr="006862BB">
        <w:rPr>
          <w:sz w:val="16"/>
          <w:szCs w:val="16"/>
        </w:rPr>
        <w:t>2023.</w:t>
      </w:r>
    </w:p>
    <w:p w14:paraId="091BD0F8" w14:textId="61842C21" w:rsidR="00D20964" w:rsidRDefault="00D20964" w:rsidP="00675DC2">
      <w:pPr>
        <w:keepNext/>
        <w:keepLines/>
        <w:spacing w:before="480"/>
      </w:pPr>
      <w:r w:rsidRPr="00E74469">
        <w:t xml:space="preserve">El </w:t>
      </w:r>
      <w:r w:rsidRPr="00E74469">
        <w:rPr>
          <w:b/>
        </w:rPr>
        <w:t>I</w:t>
      </w:r>
      <w:r w:rsidR="00A37C9B">
        <w:rPr>
          <w:b/>
        </w:rPr>
        <w:t xml:space="preserve">CE </w:t>
      </w:r>
      <w:r w:rsidRPr="00E74469">
        <w:rPr>
          <w:b/>
        </w:rPr>
        <w:t>de</w:t>
      </w:r>
      <w:r w:rsidR="00D6212F">
        <w:rPr>
          <w:b/>
        </w:rPr>
        <w:t xml:space="preserve">l sector </w:t>
      </w:r>
      <w:r w:rsidRPr="00E74469">
        <w:rPr>
          <w:b/>
        </w:rPr>
        <w:t>Construcción</w:t>
      </w:r>
      <w:r w:rsidR="00F3257D" w:rsidRPr="00FF584B">
        <w:rPr>
          <w:rStyle w:val="Refdenotaalpie"/>
          <w:bCs/>
        </w:rPr>
        <w:footnoteReference w:id="3"/>
      </w:r>
      <w:r w:rsidRPr="005C68EC">
        <w:t xml:space="preserve"> </w:t>
      </w:r>
      <w:r w:rsidR="003A4B4F">
        <w:t>fue de</w:t>
      </w:r>
      <w:r w:rsidRPr="00D74501">
        <w:t xml:space="preserve"> </w:t>
      </w:r>
      <w:r w:rsidR="00D3016B">
        <w:t>5</w:t>
      </w:r>
      <w:r w:rsidR="00BB3C0A">
        <w:t>3.</w:t>
      </w:r>
      <w:r w:rsidR="00875929">
        <w:t>2</w:t>
      </w:r>
      <w:r w:rsidR="00B24F60" w:rsidRPr="00D74501">
        <w:t xml:space="preserve"> </w:t>
      </w:r>
      <w:r w:rsidRPr="00D74501">
        <w:t xml:space="preserve">puntos </w:t>
      </w:r>
      <w:r w:rsidR="00702411" w:rsidRPr="00D74501">
        <w:t xml:space="preserve">en </w:t>
      </w:r>
      <w:r w:rsidR="00351B93">
        <w:t>septiembre</w:t>
      </w:r>
      <w:r w:rsidR="00117993">
        <w:t xml:space="preserve"> </w:t>
      </w:r>
      <w:r w:rsidR="00F45E16">
        <w:t xml:space="preserve">de </w:t>
      </w:r>
      <w:r w:rsidR="003E188F">
        <w:t>2023</w:t>
      </w:r>
      <w:r w:rsidR="00C82829">
        <w:t>:</w:t>
      </w:r>
      <w:r w:rsidR="0073375F">
        <w:t xml:space="preserve"> </w:t>
      </w:r>
      <w:r w:rsidR="00BB3C0A">
        <w:t>aument</w:t>
      </w:r>
      <w:r w:rsidR="00BB7E2B">
        <w:t>ó</w:t>
      </w:r>
      <w:r w:rsidR="00864EAA" w:rsidRPr="00D74501">
        <w:t xml:space="preserve"> </w:t>
      </w:r>
      <w:r w:rsidR="002C0A97">
        <w:t>0</w:t>
      </w:r>
      <w:r w:rsidR="00FF5FE2">
        <w:t>.</w:t>
      </w:r>
      <w:r w:rsidR="00BB3C0A">
        <w:t>7</w:t>
      </w:r>
      <w:r w:rsidR="00222C39">
        <w:t xml:space="preserve"> </w:t>
      </w:r>
      <w:r w:rsidR="00AF18E9">
        <w:t xml:space="preserve">con </w:t>
      </w:r>
      <w:r w:rsidR="00E658D6" w:rsidRPr="00D74501">
        <w:t>respecto a</w:t>
      </w:r>
      <w:r w:rsidR="008D59D2">
        <w:t xml:space="preserve"> </w:t>
      </w:r>
      <w:r w:rsidR="00351B93">
        <w:t>agost</w:t>
      </w:r>
      <w:r w:rsidR="006F61BE">
        <w:t>o</w:t>
      </w:r>
      <w:r w:rsidR="00102A77">
        <w:t>.</w:t>
      </w:r>
      <w:r w:rsidRPr="00D74501">
        <w:t xml:space="preserve"> </w:t>
      </w:r>
      <w:r w:rsidR="00CF5FF8" w:rsidRPr="00D74501">
        <w:t>Con este dato</w:t>
      </w:r>
      <w:r w:rsidR="000D4244">
        <w:t>,</w:t>
      </w:r>
      <w:r w:rsidR="000D4244" w:rsidRPr="00D74501">
        <w:t xml:space="preserve"> </w:t>
      </w:r>
      <w:r w:rsidR="000762E8">
        <w:t>e</w:t>
      </w:r>
      <w:r w:rsidR="00BB7E2B">
        <w:t>l</w:t>
      </w:r>
      <w:r w:rsidR="000762E8">
        <w:t xml:space="preserve"> indicador </w:t>
      </w:r>
      <w:r w:rsidR="006B5B52">
        <w:t>permanece</w:t>
      </w:r>
      <w:r w:rsidR="00AC6B61">
        <w:t xml:space="preserve"> </w:t>
      </w:r>
      <w:r w:rsidR="00BB3C0A">
        <w:t>nueve</w:t>
      </w:r>
      <w:r w:rsidR="00173756">
        <w:t xml:space="preserve"> </w:t>
      </w:r>
      <w:r w:rsidR="009462FB">
        <w:t>mes</w:t>
      </w:r>
      <w:r w:rsidR="00A611BD">
        <w:t>es</w:t>
      </w:r>
      <w:r w:rsidR="009462FB">
        <w:t xml:space="preserve"> </w:t>
      </w:r>
      <w:r w:rsidR="00635F38">
        <w:t>continuo</w:t>
      </w:r>
      <w:r w:rsidR="00A611BD">
        <w:t>s</w:t>
      </w:r>
      <w:r w:rsidR="009462FB">
        <w:t xml:space="preserve"> </w:t>
      </w:r>
      <w:r w:rsidR="00FF5FE2">
        <w:t xml:space="preserve">por </w:t>
      </w:r>
      <w:r w:rsidR="00D3016B">
        <w:t>encima</w:t>
      </w:r>
      <w:r w:rsidR="00C93185" w:rsidRPr="00D74501">
        <w:t xml:space="preserve"> del umbral de los 50 puntos.</w:t>
      </w:r>
    </w:p>
    <w:p w14:paraId="091BD0F9" w14:textId="77777777" w:rsidR="00607F3E" w:rsidRPr="00607F3E" w:rsidRDefault="00607F3E" w:rsidP="00C859CA">
      <w:pPr>
        <w:pStyle w:val="p0"/>
        <w:keepNext/>
        <w:spacing w:before="360"/>
        <w:jc w:val="center"/>
        <w:rPr>
          <w:rFonts w:ascii="Arial" w:hAnsi="Arial"/>
          <w:color w:val="auto"/>
          <w:sz w:val="20"/>
          <w:szCs w:val="22"/>
        </w:rPr>
      </w:pPr>
      <w:r w:rsidRPr="00801512">
        <w:rPr>
          <w:rFonts w:ascii="Arial" w:hAnsi="Arial"/>
          <w:color w:val="auto"/>
          <w:sz w:val="20"/>
          <w:szCs w:val="22"/>
        </w:rPr>
        <w:t xml:space="preserve">Gráfica </w:t>
      </w:r>
      <w:r w:rsidR="005524CE" w:rsidRPr="00801512">
        <w:rPr>
          <w:rFonts w:ascii="Arial" w:hAnsi="Arial"/>
          <w:color w:val="auto"/>
          <w:sz w:val="20"/>
          <w:szCs w:val="22"/>
        </w:rPr>
        <w:t>2</w:t>
      </w:r>
    </w:p>
    <w:p w14:paraId="0DD24BBC" w14:textId="77777777" w:rsidR="00FE11D9" w:rsidRDefault="00D20964" w:rsidP="00060C54">
      <w:pPr>
        <w:keepNext/>
        <w:keepLines/>
        <w:jc w:val="center"/>
        <w:rPr>
          <w:b/>
          <w:smallCaps/>
          <w:sz w:val="22"/>
        </w:rPr>
      </w:pPr>
      <w:r w:rsidRPr="00C552DF">
        <w:rPr>
          <w:b/>
          <w:smallCaps/>
          <w:sz w:val="22"/>
        </w:rPr>
        <w:t xml:space="preserve">Indicador de </w:t>
      </w:r>
      <w:r w:rsidR="00B4487F">
        <w:rPr>
          <w:b/>
          <w:smallCaps/>
          <w:sz w:val="22"/>
        </w:rPr>
        <w:t>C</w:t>
      </w:r>
      <w:r w:rsidRPr="00C552DF">
        <w:rPr>
          <w:b/>
          <w:smallCaps/>
          <w:sz w:val="22"/>
        </w:rPr>
        <w:t xml:space="preserve">onfianza </w:t>
      </w:r>
      <w:r w:rsidR="00B4487F">
        <w:rPr>
          <w:b/>
          <w:smallCaps/>
          <w:sz w:val="22"/>
        </w:rPr>
        <w:t>E</w:t>
      </w:r>
      <w:r w:rsidRPr="00C552DF">
        <w:rPr>
          <w:b/>
          <w:smallCaps/>
          <w:sz w:val="22"/>
        </w:rPr>
        <w:t>mpresarial de</w:t>
      </w:r>
      <w:r w:rsidR="005C641B">
        <w:rPr>
          <w:b/>
          <w:smallCaps/>
          <w:sz w:val="22"/>
        </w:rPr>
        <w:t xml:space="preserve">l sector </w:t>
      </w:r>
      <w:r w:rsidR="00B4487F">
        <w:rPr>
          <w:b/>
          <w:smallCaps/>
          <w:sz w:val="22"/>
        </w:rPr>
        <w:t>C</w:t>
      </w:r>
      <w:r w:rsidRPr="00C552DF">
        <w:rPr>
          <w:b/>
          <w:smallCaps/>
          <w:sz w:val="22"/>
        </w:rPr>
        <w:t>onstrucción</w:t>
      </w:r>
    </w:p>
    <w:p w14:paraId="091BD0FA" w14:textId="4C2B0037" w:rsidR="00FA794E" w:rsidRPr="00FE11D9" w:rsidRDefault="00FE11D9" w:rsidP="00FE11D9">
      <w:pPr>
        <w:jc w:val="center"/>
        <w:rPr>
          <w:bCs/>
          <w:sz w:val="18"/>
          <w:szCs w:val="18"/>
        </w:rPr>
      </w:pPr>
      <w:r w:rsidRPr="007E5597">
        <w:rPr>
          <w:bCs/>
          <w:sz w:val="18"/>
          <w:szCs w:val="18"/>
        </w:rPr>
        <w:t>(Puntos)</w:t>
      </w:r>
    </w:p>
    <w:p w14:paraId="62861F1E" w14:textId="561B44B8" w:rsidR="005264FE" w:rsidRDefault="009F09D5" w:rsidP="00060C54">
      <w:pPr>
        <w:keepNext/>
        <w:keepLines/>
        <w:jc w:val="center"/>
        <w:rPr>
          <w:b/>
          <w:smallCaps/>
          <w:sz w:val="22"/>
          <w:szCs w:val="22"/>
        </w:rPr>
      </w:pPr>
      <w:r>
        <w:rPr>
          <w:noProof/>
        </w:rPr>
        <w:drawing>
          <wp:inline distT="0" distB="0" distL="0" distR="0" wp14:anchorId="6F282BD8" wp14:editId="3C25DA48">
            <wp:extent cx="4320000" cy="2520000"/>
            <wp:effectExtent l="0" t="0" r="23495" b="13970"/>
            <wp:docPr id="133270240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091BD0FC" w14:textId="11E89380" w:rsidR="00D20964" w:rsidRPr="00443B05" w:rsidRDefault="00D20964" w:rsidP="000F70D8">
      <w:pPr>
        <w:ind w:left="1412" w:firstLine="226"/>
        <w:rPr>
          <w:sz w:val="14"/>
          <w:szCs w:val="14"/>
        </w:rPr>
      </w:pPr>
      <w:r w:rsidRPr="009C6AF2">
        <w:rPr>
          <w:sz w:val="16"/>
          <w:szCs w:val="16"/>
        </w:rPr>
        <w:t xml:space="preserve">Fuente: </w:t>
      </w:r>
      <w:r w:rsidRPr="009C6AF2">
        <w:rPr>
          <w:smallCaps/>
          <w:sz w:val="16"/>
          <w:szCs w:val="16"/>
        </w:rPr>
        <w:t>INEGI</w:t>
      </w:r>
      <w:r w:rsidR="00351B93">
        <w:rPr>
          <w:smallCaps/>
          <w:sz w:val="16"/>
          <w:szCs w:val="16"/>
        </w:rPr>
        <w:t>.</w:t>
      </w:r>
      <w:r w:rsidR="00351B93" w:rsidRPr="006862BB">
        <w:rPr>
          <w:sz w:val="16"/>
          <w:szCs w:val="16"/>
        </w:rPr>
        <w:t xml:space="preserve"> Encuesta Mensual de Opinión Empresarial (EMOE</w:t>
      </w:r>
      <w:r w:rsidR="005739BD" w:rsidRPr="006862BB">
        <w:rPr>
          <w:sz w:val="16"/>
          <w:szCs w:val="16"/>
        </w:rPr>
        <w:t>)</w:t>
      </w:r>
      <w:r w:rsidR="005739BD">
        <w:rPr>
          <w:sz w:val="16"/>
          <w:szCs w:val="16"/>
        </w:rPr>
        <w:t>,</w:t>
      </w:r>
      <w:r w:rsidR="005739BD" w:rsidRPr="006862BB">
        <w:rPr>
          <w:sz w:val="16"/>
          <w:szCs w:val="16"/>
        </w:rPr>
        <w:t xml:space="preserve"> </w:t>
      </w:r>
      <w:r w:rsidR="00351B93" w:rsidRPr="006862BB">
        <w:rPr>
          <w:sz w:val="16"/>
          <w:szCs w:val="16"/>
        </w:rPr>
        <w:t>2023.</w:t>
      </w:r>
    </w:p>
    <w:p w14:paraId="091BD0FD" w14:textId="24EAF916" w:rsidR="00D20964" w:rsidRDefault="00347D14" w:rsidP="009465E5">
      <w:pPr>
        <w:keepNext/>
        <w:keepLines/>
        <w:widowControl w:val="0"/>
        <w:spacing w:before="240"/>
      </w:pPr>
      <w:r>
        <w:lastRenderedPageBreak/>
        <w:t xml:space="preserve">La </w:t>
      </w:r>
      <w:r w:rsidR="0073375F">
        <w:t>variación</w:t>
      </w:r>
      <w:r w:rsidR="00D20964" w:rsidRPr="00E74469">
        <w:t xml:space="preserve"> mensual del </w:t>
      </w:r>
      <w:r w:rsidR="000373FC">
        <w:t>i</w:t>
      </w:r>
      <w:r w:rsidR="00D20964" w:rsidRPr="00E74469">
        <w:t xml:space="preserve">ndicador </w:t>
      </w:r>
      <w:r w:rsidR="00440D1C" w:rsidRPr="00E74469">
        <w:t xml:space="preserve">se derivó </w:t>
      </w:r>
      <w:r w:rsidR="000B346B" w:rsidRPr="00E74469">
        <w:t>de</w:t>
      </w:r>
      <w:r w:rsidR="00C26054">
        <w:t xml:space="preserve"> </w:t>
      </w:r>
      <w:r w:rsidR="00875929">
        <w:t>increm</w:t>
      </w:r>
      <w:r w:rsidR="009F5B63">
        <w:t>ento</w:t>
      </w:r>
      <w:r w:rsidR="006F29F2">
        <w:t xml:space="preserve">s </w:t>
      </w:r>
      <w:r w:rsidR="00FF5FE2">
        <w:t>en</w:t>
      </w:r>
      <w:r w:rsidR="00394D88" w:rsidRPr="00E74469">
        <w:t xml:space="preserve"> </w:t>
      </w:r>
      <w:r w:rsidR="00875929">
        <w:t>tres</w:t>
      </w:r>
      <w:r w:rsidR="006F29F2">
        <w:t xml:space="preserve"> </w:t>
      </w:r>
      <w:r w:rsidR="00A77C4F" w:rsidRPr="00E74469">
        <w:t>componentes</w:t>
      </w:r>
      <w:r w:rsidR="006F29F2">
        <w:t xml:space="preserve"> y de </w:t>
      </w:r>
      <w:r w:rsidR="009F5B63">
        <w:t>caída</w:t>
      </w:r>
      <w:r w:rsidR="002B4A32">
        <w:t>s</w:t>
      </w:r>
      <w:r w:rsidR="009F5B63">
        <w:t xml:space="preserve"> </w:t>
      </w:r>
      <w:r w:rsidR="00875929">
        <w:t xml:space="preserve">en </w:t>
      </w:r>
      <w:r w:rsidR="009F5B63">
        <w:t>l</w:t>
      </w:r>
      <w:r w:rsidR="00875929">
        <w:t>os dos</w:t>
      </w:r>
      <w:r w:rsidR="006F29F2">
        <w:t xml:space="preserve"> restante</w:t>
      </w:r>
      <w:r w:rsidR="00875929">
        <w:t>s</w:t>
      </w:r>
      <w:r w:rsidR="00B74400">
        <w:t>,</w:t>
      </w:r>
      <w:r w:rsidR="004A2A6B">
        <w:t xml:space="preserve"> </w:t>
      </w:r>
      <w:r w:rsidR="000B346B" w:rsidRPr="00E74469">
        <w:t xml:space="preserve">como se </w:t>
      </w:r>
      <w:r w:rsidR="0046207E" w:rsidRPr="00E74469">
        <w:t xml:space="preserve">observa </w:t>
      </w:r>
      <w:r w:rsidR="000B346B" w:rsidRPr="00E74469">
        <w:t>en el cuadro siguiente</w:t>
      </w:r>
      <w:r w:rsidR="000B346B" w:rsidRPr="00773FF2">
        <w:t>:</w:t>
      </w:r>
    </w:p>
    <w:p w14:paraId="091BD0FE" w14:textId="77777777" w:rsidR="00607F3E" w:rsidRPr="00607F3E" w:rsidRDefault="00607F3E" w:rsidP="009465E5">
      <w:pPr>
        <w:pStyle w:val="bulnot"/>
        <w:widowControl w:val="0"/>
        <w:spacing w:before="240"/>
        <w:ind w:left="0" w:right="0" w:firstLine="0"/>
        <w:jc w:val="center"/>
        <w:rPr>
          <w:color w:val="auto"/>
        </w:rPr>
      </w:pPr>
      <w:r w:rsidRPr="00607F3E">
        <w:rPr>
          <w:rFonts w:cs="Arial"/>
          <w:b w:val="0"/>
          <w:snapToGrid w:val="0"/>
          <w:color w:val="auto"/>
          <w:spacing w:val="0"/>
          <w:sz w:val="20"/>
          <w:szCs w:val="22"/>
        </w:rPr>
        <w:t xml:space="preserve">Cuadro </w:t>
      </w:r>
      <w:r w:rsidRPr="00607F3E">
        <w:rPr>
          <w:b w:val="0"/>
          <w:snapToGrid w:val="0"/>
          <w:color w:val="auto"/>
          <w:sz w:val="20"/>
          <w:szCs w:val="22"/>
        </w:rPr>
        <w:t>2</w:t>
      </w:r>
    </w:p>
    <w:p w14:paraId="10CF0601" w14:textId="5FCF568A" w:rsidR="00FE11D9" w:rsidRPr="00CA6912" w:rsidRDefault="00D20964" w:rsidP="007E5597">
      <w:pPr>
        <w:keepNext/>
        <w:keepLines/>
        <w:tabs>
          <w:tab w:val="left" w:pos="708"/>
          <w:tab w:val="center" w:pos="3348"/>
        </w:tabs>
        <w:jc w:val="center"/>
        <w:rPr>
          <w:bCs/>
          <w:sz w:val="18"/>
          <w:szCs w:val="18"/>
        </w:rPr>
      </w:pPr>
      <w:r w:rsidRPr="00607F3E">
        <w:rPr>
          <w:b/>
          <w:smallCaps/>
          <w:spacing w:val="4"/>
          <w:sz w:val="22"/>
          <w:szCs w:val="22"/>
        </w:rPr>
        <w:t xml:space="preserve">Indicador de </w:t>
      </w:r>
      <w:r w:rsidR="00B4487F">
        <w:rPr>
          <w:b/>
          <w:smallCaps/>
          <w:spacing w:val="4"/>
          <w:sz w:val="22"/>
          <w:szCs w:val="22"/>
        </w:rPr>
        <w:t>C</w:t>
      </w:r>
      <w:r w:rsidRPr="00607F3E">
        <w:rPr>
          <w:b/>
          <w:smallCaps/>
          <w:spacing w:val="4"/>
          <w:sz w:val="22"/>
          <w:szCs w:val="22"/>
        </w:rPr>
        <w:t xml:space="preserve">onfianza </w:t>
      </w:r>
      <w:r w:rsidR="00B4487F">
        <w:rPr>
          <w:b/>
          <w:smallCaps/>
          <w:spacing w:val="4"/>
          <w:sz w:val="22"/>
          <w:szCs w:val="22"/>
        </w:rPr>
        <w:t>E</w:t>
      </w:r>
      <w:r w:rsidRPr="00607F3E">
        <w:rPr>
          <w:b/>
          <w:smallCaps/>
          <w:spacing w:val="4"/>
          <w:sz w:val="22"/>
          <w:szCs w:val="22"/>
        </w:rPr>
        <w:t xml:space="preserve">mpresarial </w:t>
      </w:r>
      <w:r w:rsidR="00804E96" w:rsidRPr="00607F3E">
        <w:rPr>
          <w:b/>
          <w:smallCaps/>
          <w:spacing w:val="4"/>
          <w:sz w:val="22"/>
          <w:szCs w:val="22"/>
        </w:rPr>
        <w:t>de</w:t>
      </w:r>
      <w:r w:rsidR="005C641B">
        <w:rPr>
          <w:b/>
          <w:smallCaps/>
          <w:spacing w:val="4"/>
          <w:sz w:val="22"/>
          <w:szCs w:val="22"/>
        </w:rPr>
        <w:t>l sector</w:t>
      </w:r>
      <w:r w:rsidR="00804E96" w:rsidRPr="00607F3E">
        <w:rPr>
          <w:b/>
          <w:smallCaps/>
          <w:spacing w:val="4"/>
          <w:sz w:val="22"/>
          <w:szCs w:val="22"/>
        </w:rPr>
        <w:t xml:space="preserve"> </w:t>
      </w:r>
      <w:r w:rsidR="00B4487F">
        <w:rPr>
          <w:b/>
          <w:smallCaps/>
          <w:spacing w:val="4"/>
          <w:sz w:val="22"/>
          <w:szCs w:val="22"/>
        </w:rPr>
        <w:t>C</w:t>
      </w:r>
      <w:r w:rsidR="00804E96" w:rsidRPr="00607F3E">
        <w:rPr>
          <w:b/>
          <w:smallCaps/>
          <w:spacing w:val="4"/>
          <w:sz w:val="22"/>
          <w:szCs w:val="22"/>
        </w:rPr>
        <w:t>onstrucción</w:t>
      </w:r>
      <w:r w:rsidRPr="00607F3E">
        <w:rPr>
          <w:b/>
          <w:smallCaps/>
          <w:spacing w:val="4"/>
          <w:sz w:val="22"/>
          <w:szCs w:val="22"/>
        </w:rPr>
        <w:t xml:space="preserve"> y sus componentes</w:t>
      </w:r>
    </w:p>
    <w:tbl>
      <w:tblPr>
        <w:tblStyle w:val="Tablaconcuadrcula"/>
        <w:tblW w:w="4984" w:type="pct"/>
        <w:tblLayout w:type="fixed"/>
        <w:tblLook w:val="04A0" w:firstRow="1" w:lastRow="0" w:firstColumn="1" w:lastColumn="0" w:noHBand="0" w:noVBand="1"/>
      </w:tblPr>
      <w:tblGrid>
        <w:gridCol w:w="5024"/>
        <w:gridCol w:w="983"/>
        <w:gridCol w:w="1007"/>
        <w:gridCol w:w="1009"/>
        <w:gridCol w:w="550"/>
        <w:gridCol w:w="1359"/>
      </w:tblGrid>
      <w:tr w:rsidR="001F6B34" w:rsidRPr="00773FF2" w14:paraId="091BD104" w14:textId="77777777" w:rsidTr="00A36457">
        <w:tc>
          <w:tcPr>
            <w:tcW w:w="2529" w:type="pct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100" w14:textId="1C5D4052" w:rsidR="001F6B34" w:rsidRPr="00773FF2" w:rsidRDefault="001F6B34" w:rsidP="000766D8">
            <w:pPr>
              <w:spacing w:before="20" w:after="20"/>
              <w:ind w:left="176"/>
              <w:rPr>
                <w:spacing w:val="4"/>
                <w:sz w:val="18"/>
                <w:szCs w:val="18"/>
              </w:rPr>
            </w:pPr>
            <w:r w:rsidRPr="007E5597">
              <w:rPr>
                <w:sz w:val="18"/>
                <w:szCs w:val="18"/>
              </w:rPr>
              <w:t>Indicador</w:t>
            </w:r>
            <w:r w:rsidR="00ED214C" w:rsidRPr="007E5597">
              <w:rPr>
                <w:sz w:val="18"/>
                <w:szCs w:val="18"/>
              </w:rPr>
              <w:t xml:space="preserve"> y componentes</w:t>
            </w:r>
          </w:p>
        </w:tc>
        <w:tc>
          <w:tcPr>
            <w:tcW w:w="495" w:type="pct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101" w14:textId="44923187" w:rsidR="001F6B34" w:rsidRPr="00773FF2" w:rsidRDefault="008D59D2" w:rsidP="00D73246">
            <w:pPr>
              <w:spacing w:before="20" w:after="20"/>
              <w:ind w:left="-135" w:right="-108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Septiembre</w:t>
            </w:r>
            <w:r w:rsidR="00DA68E8">
              <w:rPr>
                <w:spacing w:val="-4"/>
                <w:sz w:val="18"/>
                <w:szCs w:val="18"/>
              </w:rPr>
              <w:t xml:space="preserve"> </w:t>
            </w:r>
            <w:r w:rsidR="001F6B34" w:rsidRPr="00773FF2">
              <w:rPr>
                <w:spacing w:val="-4"/>
                <w:sz w:val="18"/>
                <w:szCs w:val="18"/>
              </w:rPr>
              <w:br/>
              <w:t xml:space="preserve">de </w:t>
            </w:r>
            <w:r w:rsidR="008A154C" w:rsidRPr="00773FF2">
              <w:rPr>
                <w:spacing w:val="-4"/>
                <w:sz w:val="18"/>
                <w:szCs w:val="18"/>
              </w:rPr>
              <w:t>202</w:t>
            </w:r>
            <w:r w:rsidR="00102A77">
              <w:rPr>
                <w:spacing w:val="-4"/>
                <w:sz w:val="18"/>
                <w:szCs w:val="18"/>
              </w:rPr>
              <w:t>3</w:t>
            </w:r>
          </w:p>
        </w:tc>
        <w:tc>
          <w:tcPr>
            <w:tcW w:w="1015" w:type="pct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102" w14:textId="06A86DC4" w:rsidR="001F6B34" w:rsidRPr="00773FF2" w:rsidRDefault="001F6B34" w:rsidP="0036406A">
            <w:pPr>
              <w:spacing w:before="20" w:after="20"/>
              <w:ind w:left="-108" w:right="-96"/>
              <w:jc w:val="center"/>
              <w:rPr>
                <w:spacing w:val="-4"/>
                <w:sz w:val="18"/>
                <w:szCs w:val="18"/>
              </w:rPr>
            </w:pPr>
            <w:r w:rsidRPr="00773FF2">
              <w:rPr>
                <w:spacing w:val="-4"/>
                <w:sz w:val="18"/>
                <w:szCs w:val="18"/>
              </w:rPr>
              <w:t>Diferencias</w:t>
            </w:r>
            <w:r w:rsidRPr="00773FF2">
              <w:rPr>
                <w:spacing w:val="-4"/>
                <w:sz w:val="18"/>
                <w:szCs w:val="18"/>
                <w:vertAlign w:val="superscript"/>
              </w:rPr>
              <w:t>1/</w:t>
            </w:r>
            <w:r w:rsidRPr="00773FF2">
              <w:rPr>
                <w:spacing w:val="-4"/>
                <w:sz w:val="18"/>
                <w:szCs w:val="18"/>
              </w:rPr>
              <w:t xml:space="preserve"> </w:t>
            </w:r>
            <w:r w:rsidR="00801E3A" w:rsidRPr="00773FF2">
              <w:rPr>
                <w:spacing w:val="-4"/>
                <w:sz w:val="18"/>
                <w:szCs w:val="18"/>
              </w:rPr>
              <w:t xml:space="preserve">en </w:t>
            </w:r>
            <w:r w:rsidR="00801E3A" w:rsidRPr="00773FF2">
              <w:rPr>
                <w:spacing w:val="-4"/>
                <w:sz w:val="18"/>
                <w:szCs w:val="18"/>
              </w:rPr>
              <w:br/>
              <w:t xml:space="preserve">puntos </w:t>
            </w:r>
            <w:r w:rsidRPr="00773FF2">
              <w:rPr>
                <w:spacing w:val="-4"/>
                <w:sz w:val="18"/>
                <w:szCs w:val="18"/>
              </w:rPr>
              <w:t>respecto a:</w:t>
            </w:r>
          </w:p>
        </w:tc>
        <w:tc>
          <w:tcPr>
            <w:tcW w:w="961" w:type="pct"/>
            <w:gridSpan w:val="2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103" w14:textId="77777777" w:rsidR="001F6B34" w:rsidRPr="00773FF2" w:rsidRDefault="00CC5350" w:rsidP="0036406A">
            <w:pPr>
              <w:spacing w:before="20" w:after="20"/>
              <w:ind w:left="-108" w:right="-96"/>
              <w:jc w:val="center"/>
              <w:rPr>
                <w:spacing w:val="-4"/>
                <w:sz w:val="18"/>
                <w:szCs w:val="18"/>
              </w:rPr>
            </w:pPr>
            <w:r w:rsidRPr="00773FF2">
              <w:rPr>
                <w:spacing w:val="-4"/>
                <w:sz w:val="18"/>
                <w:szCs w:val="18"/>
              </w:rPr>
              <w:t xml:space="preserve">Número de meses consecutivos por </w:t>
            </w:r>
            <w:r w:rsidR="00744A9D" w:rsidRPr="00773FF2">
              <w:rPr>
                <w:spacing w:val="-4"/>
                <w:sz w:val="18"/>
                <w:szCs w:val="18"/>
              </w:rPr>
              <w:br/>
            </w:r>
            <w:r w:rsidRPr="00773FF2">
              <w:rPr>
                <w:spacing w:val="-4"/>
                <w:sz w:val="18"/>
                <w:szCs w:val="18"/>
              </w:rPr>
              <w:t xml:space="preserve">arriba o por debajo </w:t>
            </w:r>
            <w:r w:rsidR="00744A9D" w:rsidRPr="00773FF2">
              <w:rPr>
                <w:spacing w:val="-4"/>
                <w:sz w:val="18"/>
                <w:szCs w:val="18"/>
              </w:rPr>
              <w:br/>
            </w:r>
            <w:r w:rsidRPr="00773FF2">
              <w:rPr>
                <w:spacing w:val="-4"/>
                <w:sz w:val="18"/>
                <w:szCs w:val="18"/>
              </w:rPr>
              <w:t xml:space="preserve">del umbral de </w:t>
            </w:r>
            <w:r w:rsidR="00744A9D" w:rsidRPr="00773FF2">
              <w:rPr>
                <w:spacing w:val="-4"/>
                <w:sz w:val="18"/>
                <w:szCs w:val="18"/>
              </w:rPr>
              <w:br/>
            </w:r>
            <w:r w:rsidRPr="00773FF2">
              <w:rPr>
                <w:spacing w:val="-4"/>
                <w:sz w:val="18"/>
                <w:szCs w:val="18"/>
              </w:rPr>
              <w:t>50 puntos</w:t>
            </w:r>
          </w:p>
        </w:tc>
      </w:tr>
      <w:tr w:rsidR="00697144" w:rsidRPr="00773FF2" w14:paraId="091BD10A" w14:textId="77777777" w:rsidTr="00BB03FB">
        <w:tc>
          <w:tcPr>
            <w:tcW w:w="2529" w:type="pct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1BD105" w14:textId="77777777" w:rsidR="00697144" w:rsidRPr="00773FF2" w:rsidRDefault="00697144" w:rsidP="00697144">
            <w:pPr>
              <w:spacing w:before="20" w:after="20"/>
              <w:ind w:left="176"/>
              <w:rPr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1BD106" w14:textId="77777777" w:rsidR="00697144" w:rsidRPr="00773FF2" w:rsidRDefault="00697144" w:rsidP="00697144">
            <w:pPr>
              <w:spacing w:before="20" w:after="20"/>
              <w:ind w:left="-135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107" w14:textId="18439CE8" w:rsidR="00697144" w:rsidRPr="00773FF2" w:rsidRDefault="008D59D2" w:rsidP="00697144">
            <w:pPr>
              <w:spacing w:before="20" w:after="20"/>
              <w:ind w:left="-135" w:right="-108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agost</w:t>
            </w:r>
            <w:r w:rsidR="00697144" w:rsidRPr="00B436C4">
              <w:rPr>
                <w:spacing w:val="-4"/>
                <w:sz w:val="18"/>
                <w:szCs w:val="18"/>
              </w:rPr>
              <w:t>o</w:t>
            </w:r>
            <w:r w:rsidR="00697144" w:rsidRPr="00B436C4">
              <w:rPr>
                <w:spacing w:val="-4"/>
                <w:sz w:val="18"/>
                <w:szCs w:val="18"/>
              </w:rPr>
              <w:br/>
              <w:t>de 2023</w:t>
            </w:r>
          </w:p>
        </w:tc>
        <w:tc>
          <w:tcPr>
            <w:tcW w:w="508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108" w14:textId="2F26267A" w:rsidR="00697144" w:rsidRPr="00773FF2" w:rsidRDefault="008D59D2" w:rsidP="00697144">
            <w:pPr>
              <w:spacing w:before="20" w:after="20"/>
              <w:ind w:left="-135" w:right="-108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septiembre</w:t>
            </w:r>
            <w:r w:rsidR="00697144" w:rsidRPr="00B436C4">
              <w:rPr>
                <w:spacing w:val="-4"/>
                <w:sz w:val="18"/>
                <w:szCs w:val="18"/>
              </w:rPr>
              <w:br/>
              <w:t>de 202</w:t>
            </w:r>
            <w:r w:rsidR="00697144">
              <w:rPr>
                <w:spacing w:val="-4"/>
                <w:sz w:val="18"/>
                <w:szCs w:val="18"/>
              </w:rPr>
              <w:t>2</w:t>
            </w:r>
          </w:p>
        </w:tc>
        <w:tc>
          <w:tcPr>
            <w:tcW w:w="961" w:type="pct"/>
            <w:gridSpan w:val="2"/>
            <w:vMerge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1BD109" w14:textId="77777777" w:rsidR="00697144" w:rsidRPr="00773FF2" w:rsidRDefault="00697144" w:rsidP="00697144">
            <w:pPr>
              <w:tabs>
                <w:tab w:val="center" w:pos="3348"/>
              </w:tabs>
              <w:spacing w:before="60" w:after="60"/>
              <w:ind w:left="-93" w:right="-80"/>
              <w:jc w:val="center"/>
              <w:rPr>
                <w:b/>
                <w:sz w:val="18"/>
                <w:szCs w:val="18"/>
              </w:rPr>
            </w:pPr>
          </w:p>
        </w:tc>
      </w:tr>
      <w:tr w:rsidR="00BB3C0A" w:rsidRPr="00773FF2" w14:paraId="091BD111" w14:textId="77777777" w:rsidTr="00BB3C0A">
        <w:trPr>
          <w:trHeight w:val="226"/>
        </w:trPr>
        <w:tc>
          <w:tcPr>
            <w:tcW w:w="2529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0B" w14:textId="4B5D3355" w:rsidR="00BB3C0A" w:rsidRPr="00773FF2" w:rsidRDefault="00BB3C0A" w:rsidP="00BB3C0A">
            <w:pPr>
              <w:spacing w:before="20"/>
              <w:ind w:right="-116"/>
              <w:jc w:val="left"/>
              <w:rPr>
                <w:b/>
                <w:spacing w:val="-4"/>
                <w:sz w:val="18"/>
                <w:szCs w:val="18"/>
              </w:rPr>
            </w:pPr>
            <w:r w:rsidRPr="00773FF2">
              <w:rPr>
                <w:b/>
                <w:spacing w:val="-4"/>
                <w:sz w:val="18"/>
                <w:szCs w:val="18"/>
              </w:rPr>
              <w:t>Indicador de Confianza Empresarial de</w:t>
            </w:r>
            <w:r>
              <w:rPr>
                <w:b/>
                <w:spacing w:val="-4"/>
                <w:sz w:val="18"/>
                <w:szCs w:val="18"/>
              </w:rPr>
              <w:t xml:space="preserve">l sector </w:t>
            </w:r>
            <w:r w:rsidRPr="00773FF2">
              <w:rPr>
                <w:b/>
                <w:spacing w:val="-4"/>
                <w:sz w:val="18"/>
                <w:szCs w:val="18"/>
              </w:rPr>
              <w:t>Construcción</w:t>
            </w:r>
          </w:p>
        </w:tc>
        <w:tc>
          <w:tcPr>
            <w:tcW w:w="495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091BD10C" w14:textId="30B09DD8" w:rsidR="00BB3C0A" w:rsidRPr="00D3016B" w:rsidRDefault="00BB3C0A" w:rsidP="00BB3C0A">
            <w:pPr>
              <w:tabs>
                <w:tab w:val="decimal" w:pos="386"/>
              </w:tabs>
              <w:jc w:val="lef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53.2</w:t>
            </w:r>
          </w:p>
        </w:tc>
        <w:tc>
          <w:tcPr>
            <w:tcW w:w="507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nil"/>
            </w:tcBorders>
            <w:vAlign w:val="center"/>
          </w:tcPr>
          <w:p w14:paraId="091BD10D" w14:textId="7173107E" w:rsidR="00BB3C0A" w:rsidRPr="00D3016B" w:rsidRDefault="00BB3C0A" w:rsidP="00BB3C0A">
            <w:pPr>
              <w:tabs>
                <w:tab w:val="decimal" w:pos="388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0.7</w:t>
            </w:r>
          </w:p>
        </w:tc>
        <w:tc>
          <w:tcPr>
            <w:tcW w:w="508" w:type="pct"/>
            <w:tcBorders>
              <w:top w:val="single" w:sz="4" w:space="0" w:color="404040" w:themeColor="text1" w:themeTint="BF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0E" w14:textId="22E25FB6" w:rsidR="00BB3C0A" w:rsidRPr="00D3016B" w:rsidRDefault="00BB3C0A" w:rsidP="00BB3C0A">
            <w:pPr>
              <w:tabs>
                <w:tab w:val="decimal" w:pos="368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2.2</w:t>
            </w:r>
          </w:p>
        </w:tc>
        <w:tc>
          <w:tcPr>
            <w:tcW w:w="277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10F" w14:textId="3DED7A34" w:rsidR="00BB3C0A" w:rsidRPr="00C26054" w:rsidRDefault="00BB3C0A" w:rsidP="00BB3C0A">
            <w:pPr>
              <w:jc w:val="righ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sz w:val="18"/>
                <w:szCs w:val="18"/>
                <w:lang w:val="es-MX" w:eastAsia="es-MX"/>
              </w:rPr>
              <w:t>9</w:t>
            </w:r>
          </w:p>
        </w:tc>
        <w:tc>
          <w:tcPr>
            <w:tcW w:w="684" w:type="pct"/>
            <w:tcBorders>
              <w:top w:val="single" w:sz="4" w:space="0" w:color="404040" w:themeColor="text1" w:themeTint="BF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10" w14:textId="567CCAFC" w:rsidR="00BB3C0A" w:rsidRPr="00773FF2" w:rsidRDefault="00BB3C0A" w:rsidP="00BB3C0A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</w:t>
            </w:r>
            <w:r w:rsidRPr="00773FF2">
              <w:rPr>
                <w:b/>
                <w:bCs/>
                <w:sz w:val="18"/>
                <w:szCs w:val="18"/>
              </w:rPr>
              <w:t xml:space="preserve">or </w:t>
            </w:r>
            <w:r>
              <w:rPr>
                <w:b/>
                <w:bCs/>
                <w:sz w:val="18"/>
                <w:szCs w:val="18"/>
              </w:rPr>
              <w:t>arriba</w:t>
            </w:r>
          </w:p>
        </w:tc>
      </w:tr>
      <w:tr w:rsidR="00BB3C0A" w:rsidRPr="00773FF2" w14:paraId="091BD118" w14:textId="77777777" w:rsidTr="00BB3C0A">
        <w:trPr>
          <w:trHeight w:val="237"/>
        </w:trPr>
        <w:tc>
          <w:tcPr>
            <w:tcW w:w="2529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12" w14:textId="77777777" w:rsidR="00BB3C0A" w:rsidRPr="00773FF2" w:rsidRDefault="00BB3C0A" w:rsidP="00AE64BE">
            <w:pPr>
              <w:numPr>
                <w:ilvl w:val="0"/>
                <w:numId w:val="41"/>
              </w:numPr>
              <w:spacing w:before="20"/>
              <w:ind w:left="317" w:hanging="284"/>
              <w:jc w:val="left"/>
              <w:rPr>
                <w:spacing w:val="4"/>
                <w:sz w:val="18"/>
                <w:szCs w:val="18"/>
              </w:rPr>
            </w:pPr>
            <w:r w:rsidRPr="00773FF2">
              <w:rPr>
                <w:sz w:val="18"/>
                <w:szCs w:val="18"/>
                <w:lang w:val="es-MX"/>
              </w:rPr>
              <w:t>Momento adecuado para invertir</w:t>
            </w:r>
            <w:r w:rsidRPr="00773FF2">
              <w:rPr>
                <w:sz w:val="20"/>
                <w:szCs w:val="20"/>
                <w:vertAlign w:val="superscript"/>
                <w:lang w:val="es-MX"/>
              </w:rPr>
              <w:t>2/</w:t>
            </w:r>
          </w:p>
        </w:tc>
        <w:tc>
          <w:tcPr>
            <w:tcW w:w="49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13" w14:textId="4E2AF19F" w:rsidR="00BB3C0A" w:rsidRPr="00D3016B" w:rsidRDefault="00BB3C0A" w:rsidP="00BB3C0A">
            <w:pPr>
              <w:tabs>
                <w:tab w:val="decimal" w:pos="386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39.6</w:t>
            </w:r>
          </w:p>
        </w:tc>
        <w:tc>
          <w:tcPr>
            <w:tcW w:w="507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114" w14:textId="4BAF18C8" w:rsidR="00BB3C0A" w:rsidRPr="00D3016B" w:rsidRDefault="00BB3C0A" w:rsidP="00BB3C0A">
            <w:pPr>
              <w:tabs>
                <w:tab w:val="decimal" w:pos="388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15" w14:textId="6DC9DEC8" w:rsidR="00BB3C0A" w:rsidRPr="00D3016B" w:rsidRDefault="00BB3C0A" w:rsidP="00BB3C0A">
            <w:pPr>
              <w:tabs>
                <w:tab w:val="decimal" w:pos="368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10.0</w:t>
            </w:r>
          </w:p>
        </w:tc>
        <w:tc>
          <w:tcPr>
            <w:tcW w:w="277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116" w14:textId="7A257A00" w:rsidR="00BB3C0A" w:rsidRPr="00C26054" w:rsidRDefault="00BB3C0A" w:rsidP="00BB3C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17" w14:textId="1DB53470" w:rsidR="00BB3C0A" w:rsidRPr="00773FF2" w:rsidRDefault="00BB3C0A" w:rsidP="00BB3C0A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773FF2">
              <w:rPr>
                <w:sz w:val="18"/>
                <w:szCs w:val="18"/>
              </w:rPr>
              <w:t>or debajo</w:t>
            </w:r>
          </w:p>
        </w:tc>
      </w:tr>
      <w:tr w:rsidR="00BB3C0A" w:rsidRPr="00773FF2" w14:paraId="091BD11F" w14:textId="77777777" w:rsidTr="00BB3C0A">
        <w:trPr>
          <w:trHeight w:val="226"/>
        </w:trPr>
        <w:tc>
          <w:tcPr>
            <w:tcW w:w="2529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19" w14:textId="77777777" w:rsidR="00BB3C0A" w:rsidRPr="00773FF2" w:rsidRDefault="00BB3C0A" w:rsidP="00AE64BE">
            <w:pPr>
              <w:numPr>
                <w:ilvl w:val="0"/>
                <w:numId w:val="41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773FF2">
              <w:rPr>
                <w:sz w:val="18"/>
                <w:szCs w:val="18"/>
                <w:lang w:val="es-MX"/>
              </w:rPr>
              <w:t>Situación económica presente del país</w:t>
            </w:r>
          </w:p>
        </w:tc>
        <w:tc>
          <w:tcPr>
            <w:tcW w:w="49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1A" w14:textId="35E2F391" w:rsidR="00BB3C0A" w:rsidRPr="00D3016B" w:rsidRDefault="00BB3C0A" w:rsidP="00BB3C0A">
            <w:pPr>
              <w:tabs>
                <w:tab w:val="decimal" w:pos="386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50.7</w:t>
            </w:r>
          </w:p>
        </w:tc>
        <w:tc>
          <w:tcPr>
            <w:tcW w:w="507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11B" w14:textId="42E12162" w:rsidR="00BB3C0A" w:rsidRPr="00D3016B" w:rsidRDefault="00BB3C0A" w:rsidP="00BB3C0A">
            <w:pPr>
              <w:tabs>
                <w:tab w:val="decimal" w:pos="388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-0.3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1C" w14:textId="616C3088" w:rsidR="00BB3C0A" w:rsidRPr="00D3016B" w:rsidRDefault="00BB3C0A" w:rsidP="00BB3C0A">
            <w:pPr>
              <w:tabs>
                <w:tab w:val="decimal" w:pos="368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2.7</w:t>
            </w:r>
          </w:p>
        </w:tc>
        <w:tc>
          <w:tcPr>
            <w:tcW w:w="277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11D" w14:textId="733B7E6E" w:rsidR="00BB3C0A" w:rsidRPr="00C26054" w:rsidRDefault="00BB3C0A" w:rsidP="00BB3C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1E" w14:textId="45C1E3B2" w:rsidR="00BB3C0A" w:rsidRPr="00773FF2" w:rsidRDefault="00BB3C0A" w:rsidP="00BB3C0A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773FF2">
              <w:rPr>
                <w:sz w:val="18"/>
                <w:szCs w:val="18"/>
              </w:rPr>
              <w:t xml:space="preserve">or </w:t>
            </w:r>
            <w:r>
              <w:rPr>
                <w:sz w:val="18"/>
                <w:szCs w:val="18"/>
              </w:rPr>
              <w:t>arriba</w:t>
            </w:r>
          </w:p>
        </w:tc>
      </w:tr>
      <w:tr w:rsidR="00BB3C0A" w:rsidRPr="00773FF2" w14:paraId="091BD126" w14:textId="77777777" w:rsidTr="00BB3C0A">
        <w:trPr>
          <w:trHeight w:val="237"/>
        </w:trPr>
        <w:tc>
          <w:tcPr>
            <w:tcW w:w="2529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20" w14:textId="77777777" w:rsidR="00BB3C0A" w:rsidRPr="00773FF2" w:rsidRDefault="00BB3C0A" w:rsidP="00AE64BE">
            <w:pPr>
              <w:numPr>
                <w:ilvl w:val="0"/>
                <w:numId w:val="41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773FF2">
              <w:rPr>
                <w:sz w:val="18"/>
                <w:szCs w:val="18"/>
                <w:lang w:val="es-MX"/>
              </w:rPr>
              <w:t>Situación económica futura del país</w:t>
            </w:r>
          </w:p>
        </w:tc>
        <w:tc>
          <w:tcPr>
            <w:tcW w:w="49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21" w14:textId="1520C0F9" w:rsidR="00BB3C0A" w:rsidRPr="00D3016B" w:rsidRDefault="00BB3C0A" w:rsidP="00BB3C0A">
            <w:pPr>
              <w:tabs>
                <w:tab w:val="decimal" w:pos="386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58.9</w:t>
            </w:r>
          </w:p>
        </w:tc>
        <w:tc>
          <w:tcPr>
            <w:tcW w:w="507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122" w14:textId="6CCBBEED" w:rsidR="00BB3C0A" w:rsidRPr="00D3016B" w:rsidRDefault="00BB3C0A" w:rsidP="00BB3C0A">
            <w:pPr>
              <w:tabs>
                <w:tab w:val="decimal" w:pos="388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23" w14:textId="45AE9ED4" w:rsidR="00BB3C0A" w:rsidRPr="00D3016B" w:rsidRDefault="00BB3C0A" w:rsidP="00BB3C0A">
            <w:pPr>
              <w:tabs>
                <w:tab w:val="decimal" w:pos="368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-0.7</w:t>
            </w:r>
          </w:p>
        </w:tc>
        <w:tc>
          <w:tcPr>
            <w:tcW w:w="277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124" w14:textId="37879B33" w:rsidR="00BB3C0A" w:rsidRPr="00C26054" w:rsidRDefault="00BB3C0A" w:rsidP="00BB3C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25" w14:textId="7B1D4DFA" w:rsidR="00BB3C0A" w:rsidRPr="00773FF2" w:rsidRDefault="00BB3C0A" w:rsidP="00BB3C0A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773FF2">
              <w:rPr>
                <w:sz w:val="18"/>
                <w:szCs w:val="18"/>
              </w:rPr>
              <w:t>or arriba</w:t>
            </w:r>
          </w:p>
        </w:tc>
      </w:tr>
      <w:tr w:rsidR="00BB3C0A" w:rsidRPr="00773FF2" w14:paraId="091BD12D" w14:textId="77777777" w:rsidTr="00BB3C0A">
        <w:trPr>
          <w:trHeight w:val="247"/>
        </w:trPr>
        <w:tc>
          <w:tcPr>
            <w:tcW w:w="2529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27" w14:textId="77777777" w:rsidR="00BB3C0A" w:rsidRPr="00773FF2" w:rsidRDefault="00BB3C0A" w:rsidP="00AE64BE">
            <w:pPr>
              <w:numPr>
                <w:ilvl w:val="0"/>
                <w:numId w:val="41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773FF2">
              <w:rPr>
                <w:sz w:val="18"/>
                <w:szCs w:val="18"/>
                <w:lang w:val="es-MX"/>
              </w:rPr>
              <w:t>Situación económica presente de la empresa</w:t>
            </w:r>
          </w:p>
        </w:tc>
        <w:tc>
          <w:tcPr>
            <w:tcW w:w="49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091BD128" w14:textId="1AB14D17" w:rsidR="00BB3C0A" w:rsidRPr="00D3016B" w:rsidRDefault="00BB3C0A" w:rsidP="00BB3C0A">
            <w:pPr>
              <w:tabs>
                <w:tab w:val="decimal" w:pos="386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53.7</w:t>
            </w:r>
          </w:p>
        </w:tc>
        <w:tc>
          <w:tcPr>
            <w:tcW w:w="507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vAlign w:val="center"/>
          </w:tcPr>
          <w:p w14:paraId="091BD129" w14:textId="2468799D" w:rsidR="00BB3C0A" w:rsidRPr="00D3016B" w:rsidRDefault="00BB3C0A" w:rsidP="00BB3C0A">
            <w:pPr>
              <w:tabs>
                <w:tab w:val="decimal" w:pos="388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0.6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2A" w14:textId="57191C90" w:rsidR="00BB3C0A" w:rsidRPr="00D3016B" w:rsidRDefault="00BB3C0A" w:rsidP="00BB3C0A">
            <w:pPr>
              <w:tabs>
                <w:tab w:val="decimal" w:pos="368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277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12B" w14:textId="59141637" w:rsidR="00BB3C0A" w:rsidRPr="00C26054" w:rsidRDefault="00BB3C0A" w:rsidP="00BB3C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2C" w14:textId="56F98CCE" w:rsidR="00BB3C0A" w:rsidRPr="00773FF2" w:rsidRDefault="00BB3C0A" w:rsidP="00BB3C0A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773FF2">
              <w:rPr>
                <w:sz w:val="18"/>
                <w:szCs w:val="18"/>
              </w:rPr>
              <w:t xml:space="preserve">or </w:t>
            </w:r>
            <w:r>
              <w:rPr>
                <w:sz w:val="18"/>
                <w:szCs w:val="18"/>
              </w:rPr>
              <w:t>arriba</w:t>
            </w:r>
          </w:p>
        </w:tc>
      </w:tr>
      <w:tr w:rsidR="00BB3C0A" w:rsidRPr="00773FF2" w14:paraId="091BD134" w14:textId="77777777" w:rsidTr="00BB3C0A">
        <w:trPr>
          <w:trHeight w:val="132"/>
        </w:trPr>
        <w:tc>
          <w:tcPr>
            <w:tcW w:w="2529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2E" w14:textId="77777777" w:rsidR="00BB3C0A" w:rsidRPr="00773FF2" w:rsidRDefault="00BB3C0A" w:rsidP="00AE64BE">
            <w:pPr>
              <w:numPr>
                <w:ilvl w:val="0"/>
                <w:numId w:val="41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773FF2">
              <w:rPr>
                <w:sz w:val="18"/>
                <w:szCs w:val="18"/>
                <w:lang w:val="es-MX"/>
              </w:rPr>
              <w:t>Situación económica futura de la empresa</w:t>
            </w:r>
          </w:p>
        </w:tc>
        <w:tc>
          <w:tcPr>
            <w:tcW w:w="495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1BD12F" w14:textId="62E7005D" w:rsidR="00BB3C0A" w:rsidRPr="00D3016B" w:rsidRDefault="00BB3C0A" w:rsidP="00BB3C0A">
            <w:pPr>
              <w:tabs>
                <w:tab w:val="decimal" w:pos="386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63.7</w:t>
            </w:r>
          </w:p>
        </w:tc>
        <w:tc>
          <w:tcPr>
            <w:tcW w:w="507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nil"/>
            </w:tcBorders>
            <w:vAlign w:val="center"/>
          </w:tcPr>
          <w:p w14:paraId="091BD130" w14:textId="24649F23" w:rsidR="00BB3C0A" w:rsidRPr="00D3016B" w:rsidRDefault="00BB3C0A" w:rsidP="00BB3C0A">
            <w:pPr>
              <w:tabs>
                <w:tab w:val="decimal" w:pos="388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-2.2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31" w14:textId="1C277997" w:rsidR="00BB3C0A" w:rsidRPr="00D3016B" w:rsidRDefault="00BB3C0A" w:rsidP="00BB3C0A">
            <w:pPr>
              <w:tabs>
                <w:tab w:val="decimal" w:pos="368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-1.7</w:t>
            </w:r>
          </w:p>
        </w:tc>
        <w:tc>
          <w:tcPr>
            <w:tcW w:w="277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nil"/>
            </w:tcBorders>
            <w:shd w:val="clear" w:color="auto" w:fill="auto"/>
            <w:vAlign w:val="center"/>
          </w:tcPr>
          <w:p w14:paraId="091BD132" w14:textId="434B5F10" w:rsidR="00BB3C0A" w:rsidRPr="00C26054" w:rsidRDefault="00BB3C0A" w:rsidP="00BB3C0A">
            <w:pPr>
              <w:jc w:val="right"/>
              <w:rPr>
                <w:sz w:val="18"/>
                <w:szCs w:val="18"/>
              </w:rPr>
            </w:pPr>
            <w:r w:rsidRPr="00C2605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48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33" w14:textId="7E99F35D" w:rsidR="00BB3C0A" w:rsidRPr="00773FF2" w:rsidRDefault="00BB3C0A" w:rsidP="00BB3C0A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773FF2">
              <w:rPr>
                <w:sz w:val="18"/>
                <w:szCs w:val="18"/>
              </w:rPr>
              <w:t>or arriba</w:t>
            </w:r>
          </w:p>
        </w:tc>
      </w:tr>
    </w:tbl>
    <w:p w14:paraId="091BD135" w14:textId="77777777" w:rsidR="00D20964" w:rsidRPr="009C6AF2" w:rsidRDefault="00D20964" w:rsidP="000766D8">
      <w:pPr>
        <w:spacing w:before="20"/>
        <w:ind w:left="658" w:right="39" w:hanging="548"/>
        <w:outlineLvl w:val="0"/>
        <w:rPr>
          <w:sz w:val="16"/>
          <w:szCs w:val="16"/>
        </w:rPr>
      </w:pPr>
      <w:r w:rsidRPr="009C6AF2">
        <w:rPr>
          <w:sz w:val="16"/>
          <w:szCs w:val="16"/>
        </w:rPr>
        <w:t>Nota:</w:t>
      </w:r>
      <w:r w:rsidRPr="009C6AF2">
        <w:rPr>
          <w:sz w:val="16"/>
          <w:szCs w:val="16"/>
        </w:rPr>
        <w:tab/>
        <w:t xml:space="preserve">Los indicadores se generan con los datos referidos al mes de la entrevista. </w:t>
      </w:r>
    </w:p>
    <w:p w14:paraId="091BD136" w14:textId="77777777" w:rsidR="00D20964" w:rsidRPr="009C6AF2" w:rsidRDefault="00D20964" w:rsidP="009C6AF2">
      <w:pPr>
        <w:spacing w:line="180" w:lineRule="exact"/>
        <w:ind w:left="658" w:right="40" w:hanging="550"/>
        <w:outlineLvl w:val="0"/>
        <w:rPr>
          <w:sz w:val="16"/>
          <w:szCs w:val="16"/>
        </w:rPr>
      </w:pPr>
      <w:r w:rsidRPr="009C6AF2">
        <w:rPr>
          <w:sz w:val="18"/>
          <w:szCs w:val="18"/>
          <w:vertAlign w:val="superscript"/>
        </w:rPr>
        <w:t>1/</w:t>
      </w:r>
      <w:r w:rsidRPr="009C6AF2">
        <w:rPr>
          <w:sz w:val="16"/>
          <w:szCs w:val="16"/>
        </w:rPr>
        <w:tab/>
        <w:t>Las diferencias en puntos se obtienen de los respectivos indicadores considerando todos sus decimales.</w:t>
      </w:r>
    </w:p>
    <w:p w14:paraId="091BD137" w14:textId="517CDCA1" w:rsidR="00D20964" w:rsidRPr="009C6AF2" w:rsidRDefault="00804E96" w:rsidP="009C6AF2">
      <w:pPr>
        <w:spacing w:line="180" w:lineRule="exact"/>
        <w:ind w:left="658" w:right="40" w:hanging="550"/>
        <w:outlineLvl w:val="0"/>
        <w:rPr>
          <w:spacing w:val="4"/>
          <w:sz w:val="16"/>
          <w:szCs w:val="16"/>
        </w:rPr>
      </w:pPr>
      <w:r w:rsidRPr="009C6AF2">
        <w:rPr>
          <w:spacing w:val="4"/>
          <w:sz w:val="18"/>
          <w:szCs w:val="18"/>
          <w:vertAlign w:val="superscript"/>
        </w:rPr>
        <w:t>2</w:t>
      </w:r>
      <w:r w:rsidR="00D20964" w:rsidRPr="009C6AF2">
        <w:rPr>
          <w:spacing w:val="4"/>
          <w:sz w:val="18"/>
          <w:szCs w:val="18"/>
          <w:vertAlign w:val="superscript"/>
        </w:rPr>
        <w:t>/</w:t>
      </w:r>
      <w:r w:rsidR="00D20964" w:rsidRPr="009C6AF2">
        <w:rPr>
          <w:spacing w:val="4"/>
          <w:sz w:val="16"/>
          <w:szCs w:val="16"/>
        </w:rPr>
        <w:tab/>
      </w:r>
      <w:r w:rsidR="00D20964" w:rsidRPr="009C6AF2">
        <w:rPr>
          <w:sz w:val="16"/>
          <w:szCs w:val="16"/>
        </w:rPr>
        <w:t xml:space="preserve">Componente </w:t>
      </w:r>
      <w:r w:rsidR="00E97919" w:rsidRPr="009C6AF2">
        <w:rPr>
          <w:sz w:val="16"/>
          <w:szCs w:val="16"/>
        </w:rPr>
        <w:t>ajustado por efecto estacional</w:t>
      </w:r>
    </w:p>
    <w:p w14:paraId="091BD138" w14:textId="352AD679" w:rsidR="00D20964" w:rsidRPr="009C6AF2" w:rsidRDefault="00D20964" w:rsidP="000766D8">
      <w:pPr>
        <w:spacing w:before="20"/>
        <w:ind w:left="658" w:right="39" w:hanging="548"/>
        <w:outlineLvl w:val="0"/>
        <w:rPr>
          <w:sz w:val="16"/>
          <w:szCs w:val="16"/>
        </w:rPr>
      </w:pPr>
      <w:r w:rsidRPr="009C6AF2">
        <w:rPr>
          <w:sz w:val="16"/>
          <w:szCs w:val="16"/>
        </w:rPr>
        <w:t>Fuente:</w:t>
      </w:r>
      <w:r w:rsidRPr="009C6AF2">
        <w:rPr>
          <w:sz w:val="16"/>
          <w:szCs w:val="16"/>
        </w:rPr>
        <w:tab/>
      </w:r>
      <w:r w:rsidR="006B5B52">
        <w:rPr>
          <w:sz w:val="16"/>
          <w:szCs w:val="16"/>
        </w:rPr>
        <w:t xml:space="preserve"> </w:t>
      </w:r>
      <w:r w:rsidRPr="009C6AF2">
        <w:rPr>
          <w:sz w:val="16"/>
          <w:szCs w:val="16"/>
        </w:rPr>
        <w:t>INEGI</w:t>
      </w:r>
      <w:r w:rsidR="00351B93">
        <w:rPr>
          <w:smallCaps/>
          <w:sz w:val="16"/>
          <w:szCs w:val="16"/>
        </w:rPr>
        <w:t>.</w:t>
      </w:r>
      <w:r w:rsidR="00351B93" w:rsidRPr="00ED214C">
        <w:rPr>
          <w:sz w:val="16"/>
          <w:szCs w:val="16"/>
        </w:rPr>
        <w:t xml:space="preserve"> Encuesta Mensual de Opinión Empresarial (EMOE</w:t>
      </w:r>
      <w:r w:rsidR="005739BD" w:rsidRPr="00ED214C">
        <w:rPr>
          <w:sz w:val="16"/>
          <w:szCs w:val="16"/>
        </w:rPr>
        <w:t>)</w:t>
      </w:r>
      <w:r w:rsidR="005739BD">
        <w:rPr>
          <w:sz w:val="16"/>
          <w:szCs w:val="16"/>
        </w:rPr>
        <w:t>,</w:t>
      </w:r>
      <w:r w:rsidR="005739BD" w:rsidRPr="00ED214C">
        <w:rPr>
          <w:sz w:val="16"/>
          <w:szCs w:val="16"/>
        </w:rPr>
        <w:t xml:space="preserve"> </w:t>
      </w:r>
      <w:r w:rsidR="00351B93" w:rsidRPr="00ED214C">
        <w:rPr>
          <w:sz w:val="16"/>
          <w:szCs w:val="16"/>
        </w:rPr>
        <w:t>2023.</w:t>
      </w:r>
    </w:p>
    <w:p w14:paraId="091BD139" w14:textId="3766D99D" w:rsidR="00D20964" w:rsidRPr="00773FF2" w:rsidRDefault="004E0F18" w:rsidP="00715185">
      <w:pPr>
        <w:spacing w:before="240"/>
      </w:pPr>
      <w:r>
        <w:t xml:space="preserve">Durante </w:t>
      </w:r>
      <w:r w:rsidR="008D59D2">
        <w:t>septiembre</w:t>
      </w:r>
      <w:r>
        <w:t xml:space="preserve"> de </w:t>
      </w:r>
      <w:r w:rsidR="003E188F">
        <w:t>este año</w:t>
      </w:r>
      <w:r>
        <w:t>, e</w:t>
      </w:r>
      <w:r w:rsidR="00E97919" w:rsidRPr="00773FF2">
        <w:t>l</w:t>
      </w:r>
      <w:r w:rsidR="00D20964" w:rsidRPr="00773FF2">
        <w:t xml:space="preserve"> </w:t>
      </w:r>
      <w:r w:rsidR="00D20964" w:rsidRPr="00773FF2">
        <w:rPr>
          <w:b/>
        </w:rPr>
        <w:t>I</w:t>
      </w:r>
      <w:r w:rsidR="000762E8">
        <w:rPr>
          <w:b/>
        </w:rPr>
        <w:t xml:space="preserve">CE </w:t>
      </w:r>
      <w:r w:rsidR="00E97919" w:rsidRPr="00773FF2">
        <w:rPr>
          <w:b/>
        </w:rPr>
        <w:t>de</w:t>
      </w:r>
      <w:r w:rsidR="00FB6014">
        <w:rPr>
          <w:b/>
        </w:rPr>
        <w:t xml:space="preserve"> </w:t>
      </w:r>
      <w:r w:rsidR="00E97919" w:rsidRPr="00773FF2">
        <w:rPr>
          <w:b/>
        </w:rPr>
        <w:t>Comercio</w:t>
      </w:r>
      <w:r w:rsidR="00A26512" w:rsidRPr="00FF584B">
        <w:rPr>
          <w:rStyle w:val="Refdenotaalpie"/>
          <w:bCs/>
        </w:rPr>
        <w:footnoteReference w:id="4"/>
      </w:r>
      <w:r w:rsidR="00E97919" w:rsidRPr="00773FF2">
        <w:t xml:space="preserve"> </w:t>
      </w:r>
      <w:r w:rsidR="00BB3C0A">
        <w:t>descendi</w:t>
      </w:r>
      <w:r w:rsidR="009E2657">
        <w:t>ó</w:t>
      </w:r>
      <w:r w:rsidR="00F45E16">
        <w:t xml:space="preserve"> </w:t>
      </w:r>
      <w:r w:rsidR="00D3016B">
        <w:t>0.</w:t>
      </w:r>
      <w:r w:rsidR="00BB3C0A">
        <w:t>8</w:t>
      </w:r>
      <w:r w:rsidR="00EE6579" w:rsidRPr="00711206">
        <w:t xml:space="preserve"> </w:t>
      </w:r>
      <w:r w:rsidR="00E97919" w:rsidRPr="00711206">
        <w:t>punto</w:t>
      </w:r>
      <w:r w:rsidR="00D3016B">
        <w:t>s</w:t>
      </w:r>
      <w:r w:rsidR="00F80F7A">
        <w:t xml:space="preserve"> </w:t>
      </w:r>
      <w:r w:rsidR="006F7C9A">
        <w:t xml:space="preserve">con relación al mes previo </w:t>
      </w:r>
      <w:r w:rsidR="00F80F7A">
        <w:t xml:space="preserve">y </w:t>
      </w:r>
      <w:r w:rsidR="00290E36">
        <w:t>se ubicó en</w:t>
      </w:r>
      <w:r w:rsidRPr="00711206">
        <w:t xml:space="preserve"> </w:t>
      </w:r>
      <w:r w:rsidR="006F18A0">
        <w:t>5</w:t>
      </w:r>
      <w:r w:rsidR="00BB3C0A">
        <w:t>5.7</w:t>
      </w:r>
      <w:r w:rsidR="00EB018A" w:rsidRPr="00711206">
        <w:t>. De esta manera</w:t>
      </w:r>
      <w:r w:rsidR="008E79A3" w:rsidRPr="00711206">
        <w:t>,</w:t>
      </w:r>
      <w:r w:rsidR="00EB018A" w:rsidRPr="00711206">
        <w:t xml:space="preserve"> </w:t>
      </w:r>
      <w:r w:rsidR="000762E8">
        <w:t>e</w:t>
      </w:r>
      <w:r w:rsidR="00A23571">
        <w:t>l</w:t>
      </w:r>
      <w:r w:rsidR="000762E8">
        <w:t xml:space="preserve"> indicador </w:t>
      </w:r>
      <w:r w:rsidR="00EB018A" w:rsidRPr="00711206">
        <w:t>se</w:t>
      </w:r>
      <w:r w:rsidR="009E2657">
        <w:t xml:space="preserve"> </w:t>
      </w:r>
      <w:r w:rsidR="00290E36">
        <w:t>establece</w:t>
      </w:r>
      <w:r w:rsidR="007D18CD">
        <w:t>,</w:t>
      </w:r>
      <w:r w:rsidR="00C8006A">
        <w:t xml:space="preserve"> por </w:t>
      </w:r>
      <w:r w:rsidR="00BB3C0A">
        <w:t>30</w:t>
      </w:r>
      <w:r w:rsidR="0047556B">
        <w:t xml:space="preserve"> mes</w:t>
      </w:r>
      <w:r w:rsidR="00FB6014">
        <w:t>es seguidos</w:t>
      </w:r>
      <w:r w:rsidR="007D18CD">
        <w:t>,</w:t>
      </w:r>
      <w:r w:rsidR="0047556B">
        <w:t xml:space="preserve"> por </w:t>
      </w:r>
      <w:r w:rsidR="006F18A0">
        <w:t>arriba</w:t>
      </w:r>
      <w:r w:rsidR="001769DD" w:rsidRPr="00711206">
        <w:t xml:space="preserve"> del umbral de los 50 puntos.</w:t>
      </w:r>
    </w:p>
    <w:p w14:paraId="091BD13A" w14:textId="77777777" w:rsidR="00607F3E" w:rsidRPr="00D73246" w:rsidRDefault="00D73246" w:rsidP="00715185">
      <w:pPr>
        <w:pStyle w:val="p0"/>
        <w:keepLines w:val="0"/>
        <w:jc w:val="center"/>
        <w:rPr>
          <w:rFonts w:ascii="Arial" w:hAnsi="Arial"/>
          <w:color w:val="auto"/>
          <w:sz w:val="20"/>
          <w:szCs w:val="22"/>
        </w:rPr>
      </w:pPr>
      <w:r>
        <w:rPr>
          <w:rFonts w:ascii="Arial" w:hAnsi="Arial"/>
          <w:color w:val="auto"/>
          <w:sz w:val="20"/>
          <w:szCs w:val="22"/>
        </w:rPr>
        <w:t xml:space="preserve">Gráfica </w:t>
      </w:r>
      <w:r w:rsidR="005524CE">
        <w:rPr>
          <w:rFonts w:ascii="Arial" w:hAnsi="Arial"/>
          <w:color w:val="auto"/>
          <w:sz w:val="20"/>
          <w:szCs w:val="22"/>
        </w:rPr>
        <w:t>3</w:t>
      </w:r>
    </w:p>
    <w:p w14:paraId="5389B1F5" w14:textId="77777777" w:rsidR="008D59D2" w:rsidRDefault="00D20964" w:rsidP="00C25449">
      <w:pPr>
        <w:jc w:val="center"/>
        <w:rPr>
          <w:b/>
          <w:smallCaps/>
          <w:sz w:val="22"/>
        </w:rPr>
      </w:pPr>
      <w:r w:rsidRPr="00C552DF">
        <w:rPr>
          <w:b/>
          <w:smallCaps/>
          <w:sz w:val="22"/>
        </w:rPr>
        <w:t xml:space="preserve">Indicador de </w:t>
      </w:r>
      <w:r w:rsidR="00B4487F">
        <w:rPr>
          <w:b/>
          <w:smallCaps/>
          <w:sz w:val="22"/>
        </w:rPr>
        <w:t>C</w:t>
      </w:r>
      <w:r w:rsidRPr="00C552DF">
        <w:rPr>
          <w:b/>
          <w:smallCaps/>
          <w:sz w:val="22"/>
        </w:rPr>
        <w:t xml:space="preserve">onfianza </w:t>
      </w:r>
      <w:r w:rsidR="00B4487F">
        <w:rPr>
          <w:b/>
          <w:smallCaps/>
          <w:sz w:val="22"/>
        </w:rPr>
        <w:t>E</w:t>
      </w:r>
      <w:r w:rsidRPr="00C552DF">
        <w:rPr>
          <w:b/>
          <w:smallCaps/>
          <w:sz w:val="22"/>
        </w:rPr>
        <w:t xml:space="preserve">mpresarial </w:t>
      </w:r>
      <w:r w:rsidR="00E97919" w:rsidRPr="00C552DF">
        <w:rPr>
          <w:b/>
          <w:smallCaps/>
          <w:sz w:val="22"/>
        </w:rPr>
        <w:t>de</w:t>
      </w:r>
      <w:r w:rsidR="00FB6014">
        <w:rPr>
          <w:b/>
          <w:smallCaps/>
          <w:sz w:val="22"/>
        </w:rPr>
        <w:t xml:space="preserve"> </w:t>
      </w:r>
      <w:r w:rsidR="00B4487F">
        <w:rPr>
          <w:b/>
          <w:smallCaps/>
          <w:sz w:val="22"/>
        </w:rPr>
        <w:t>C</w:t>
      </w:r>
      <w:r w:rsidR="00E97919" w:rsidRPr="00C552DF">
        <w:rPr>
          <w:b/>
          <w:smallCaps/>
          <w:sz w:val="22"/>
        </w:rPr>
        <w:t>omercio</w:t>
      </w:r>
    </w:p>
    <w:p w14:paraId="7D90B50B" w14:textId="77777777" w:rsidR="00FE11D9" w:rsidRPr="00FE11D9" w:rsidRDefault="00FE11D9" w:rsidP="00FE11D9">
      <w:pPr>
        <w:jc w:val="center"/>
        <w:rPr>
          <w:bCs/>
          <w:sz w:val="18"/>
          <w:szCs w:val="18"/>
        </w:rPr>
      </w:pPr>
      <w:r w:rsidRPr="007E5597">
        <w:rPr>
          <w:bCs/>
          <w:sz w:val="18"/>
          <w:szCs w:val="18"/>
        </w:rPr>
        <w:t>(Puntos)</w:t>
      </w:r>
    </w:p>
    <w:p w14:paraId="42AD4A38" w14:textId="2E68EFE7" w:rsidR="005264FE" w:rsidRDefault="009F09D5" w:rsidP="00C25449">
      <w:pPr>
        <w:jc w:val="center"/>
        <w:rPr>
          <w:b/>
          <w:smallCaps/>
          <w:sz w:val="22"/>
          <w:szCs w:val="22"/>
        </w:rPr>
      </w:pPr>
      <w:r>
        <w:rPr>
          <w:noProof/>
        </w:rPr>
        <w:drawing>
          <wp:inline distT="0" distB="0" distL="0" distR="0" wp14:anchorId="0AC83DB9" wp14:editId="605B60BB">
            <wp:extent cx="4320000" cy="2520000"/>
            <wp:effectExtent l="0" t="0" r="23495" b="33020"/>
            <wp:docPr id="10121373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091BD13D" w14:textId="7F1296DB" w:rsidR="00D20964" w:rsidRPr="00C552DF" w:rsidRDefault="00D20964" w:rsidP="006F61BE">
      <w:pPr>
        <w:ind w:left="1412" w:firstLine="289"/>
        <w:rPr>
          <w:sz w:val="14"/>
          <w:szCs w:val="14"/>
        </w:rPr>
      </w:pPr>
      <w:r w:rsidRPr="009C6AF2">
        <w:rPr>
          <w:sz w:val="16"/>
          <w:szCs w:val="16"/>
        </w:rPr>
        <w:t xml:space="preserve">Fuente: </w:t>
      </w:r>
      <w:r w:rsidRPr="009C6AF2">
        <w:rPr>
          <w:smallCaps/>
          <w:sz w:val="16"/>
          <w:szCs w:val="16"/>
        </w:rPr>
        <w:t>INEGI</w:t>
      </w:r>
      <w:r w:rsidR="008D59D2">
        <w:rPr>
          <w:smallCaps/>
          <w:sz w:val="16"/>
          <w:szCs w:val="16"/>
        </w:rPr>
        <w:t>.</w:t>
      </w:r>
      <w:r w:rsidR="008D59D2" w:rsidRPr="00DE6A5C">
        <w:rPr>
          <w:sz w:val="16"/>
          <w:szCs w:val="16"/>
        </w:rPr>
        <w:t xml:space="preserve"> Encuesta Mensual de Opinión Empresarial (EMOE</w:t>
      </w:r>
      <w:r w:rsidR="005739BD" w:rsidRPr="00DE6A5C">
        <w:rPr>
          <w:sz w:val="16"/>
          <w:szCs w:val="16"/>
        </w:rPr>
        <w:t>)</w:t>
      </w:r>
      <w:r w:rsidR="005739BD">
        <w:rPr>
          <w:sz w:val="16"/>
          <w:szCs w:val="16"/>
        </w:rPr>
        <w:t>,</w:t>
      </w:r>
      <w:r w:rsidR="005739BD" w:rsidRPr="00DE6A5C">
        <w:rPr>
          <w:sz w:val="16"/>
          <w:szCs w:val="16"/>
        </w:rPr>
        <w:t xml:space="preserve"> </w:t>
      </w:r>
      <w:r w:rsidR="008D59D2" w:rsidRPr="00DE6A5C">
        <w:rPr>
          <w:sz w:val="16"/>
          <w:szCs w:val="16"/>
        </w:rPr>
        <w:t>2023.</w:t>
      </w:r>
    </w:p>
    <w:p w14:paraId="091BD13E" w14:textId="0E26FC15" w:rsidR="00D20964" w:rsidRPr="00773FF2" w:rsidRDefault="00D20964" w:rsidP="004A0AD6">
      <w:pPr>
        <w:spacing w:before="360"/>
      </w:pPr>
      <w:r w:rsidRPr="00773FF2">
        <w:lastRenderedPageBreak/>
        <w:t>E</w:t>
      </w:r>
      <w:r w:rsidR="00BB1D90" w:rsidRPr="00773FF2">
        <w:t>n e</w:t>
      </w:r>
      <w:r w:rsidRPr="00773FF2">
        <w:t xml:space="preserve">l cuadro siguiente </w:t>
      </w:r>
      <w:r w:rsidR="009E2657">
        <w:t>se muestra</w:t>
      </w:r>
      <w:r w:rsidR="00B80747" w:rsidRPr="00773FF2">
        <w:t xml:space="preserve"> </w:t>
      </w:r>
      <w:r w:rsidRPr="00773FF2">
        <w:t xml:space="preserve">el comportamiento del </w:t>
      </w:r>
      <w:r w:rsidR="00E97919" w:rsidRPr="00773FF2">
        <w:t xml:space="preserve">ICE de Comercio </w:t>
      </w:r>
      <w:r w:rsidRPr="00773FF2">
        <w:t>y sus componentes</w:t>
      </w:r>
      <w:r w:rsidR="00A040BE">
        <w:t>,</w:t>
      </w:r>
      <w:r w:rsidR="009E2657">
        <w:t xml:space="preserve"> d</w:t>
      </w:r>
      <w:r w:rsidR="002A282C">
        <w:t xml:space="preserve">urante </w:t>
      </w:r>
      <w:r w:rsidR="008D59D2">
        <w:t>septiembre</w:t>
      </w:r>
      <w:r w:rsidR="00806A77">
        <w:t xml:space="preserve"> </w:t>
      </w:r>
      <w:r w:rsidR="002A282C">
        <w:t>de</w:t>
      </w:r>
      <w:r w:rsidR="00806A77">
        <w:t xml:space="preserve"> 202</w:t>
      </w:r>
      <w:r w:rsidR="00102A77">
        <w:t>3</w:t>
      </w:r>
      <w:r w:rsidR="0019334A">
        <w:t>.</w:t>
      </w:r>
    </w:p>
    <w:p w14:paraId="091BD13F" w14:textId="77777777" w:rsidR="00D73246" w:rsidRPr="00607F3E" w:rsidRDefault="00D73246" w:rsidP="00226AAB">
      <w:pPr>
        <w:pStyle w:val="bulnot"/>
        <w:widowControl w:val="0"/>
        <w:tabs>
          <w:tab w:val="clear" w:pos="851"/>
        </w:tabs>
        <w:spacing w:before="200"/>
        <w:ind w:left="0" w:right="0" w:firstLine="0"/>
        <w:jc w:val="center"/>
        <w:rPr>
          <w:color w:val="auto"/>
        </w:rPr>
      </w:pPr>
      <w:r w:rsidRPr="00607F3E">
        <w:rPr>
          <w:rFonts w:cs="Arial"/>
          <w:b w:val="0"/>
          <w:snapToGrid w:val="0"/>
          <w:color w:val="auto"/>
          <w:spacing w:val="0"/>
          <w:sz w:val="20"/>
          <w:szCs w:val="22"/>
        </w:rPr>
        <w:t xml:space="preserve">Cuadro </w:t>
      </w:r>
      <w:r>
        <w:rPr>
          <w:rFonts w:cs="Arial"/>
          <w:b w:val="0"/>
          <w:snapToGrid w:val="0"/>
          <w:color w:val="auto"/>
          <w:spacing w:val="0"/>
          <w:sz w:val="20"/>
          <w:szCs w:val="22"/>
        </w:rPr>
        <w:t>3</w:t>
      </w:r>
    </w:p>
    <w:p w14:paraId="377304C5" w14:textId="3037CBD1" w:rsidR="00FE11D9" w:rsidRPr="00CA6912" w:rsidRDefault="00D20964" w:rsidP="00FE11D9">
      <w:pPr>
        <w:jc w:val="center"/>
        <w:rPr>
          <w:bCs/>
          <w:sz w:val="18"/>
          <w:szCs w:val="18"/>
        </w:rPr>
      </w:pPr>
      <w:r w:rsidRPr="00773FF2">
        <w:rPr>
          <w:b/>
          <w:smallCaps/>
          <w:spacing w:val="4"/>
          <w:sz w:val="22"/>
          <w:szCs w:val="22"/>
        </w:rPr>
        <w:t xml:space="preserve">Indicador de </w:t>
      </w:r>
      <w:r w:rsidR="00B4487F">
        <w:rPr>
          <w:b/>
          <w:smallCaps/>
          <w:spacing w:val="4"/>
          <w:sz w:val="22"/>
          <w:szCs w:val="22"/>
        </w:rPr>
        <w:t>C</w:t>
      </w:r>
      <w:r w:rsidRPr="00773FF2">
        <w:rPr>
          <w:b/>
          <w:smallCaps/>
          <w:spacing w:val="4"/>
          <w:sz w:val="22"/>
          <w:szCs w:val="22"/>
        </w:rPr>
        <w:t xml:space="preserve">onfianza </w:t>
      </w:r>
      <w:r w:rsidR="00B4487F">
        <w:rPr>
          <w:b/>
          <w:smallCaps/>
          <w:spacing w:val="4"/>
          <w:sz w:val="22"/>
          <w:szCs w:val="22"/>
        </w:rPr>
        <w:t>E</w:t>
      </w:r>
      <w:r w:rsidRPr="00773FF2">
        <w:rPr>
          <w:b/>
          <w:smallCaps/>
          <w:spacing w:val="4"/>
          <w:sz w:val="22"/>
          <w:szCs w:val="22"/>
        </w:rPr>
        <w:t xml:space="preserve">mpresarial </w:t>
      </w:r>
      <w:r w:rsidR="00E97919" w:rsidRPr="00773FF2">
        <w:rPr>
          <w:b/>
          <w:smallCaps/>
          <w:spacing w:val="4"/>
          <w:sz w:val="22"/>
          <w:szCs w:val="22"/>
        </w:rPr>
        <w:t>de</w:t>
      </w:r>
      <w:r w:rsidR="00FB6014">
        <w:rPr>
          <w:b/>
          <w:smallCaps/>
          <w:spacing w:val="4"/>
          <w:sz w:val="22"/>
          <w:szCs w:val="22"/>
        </w:rPr>
        <w:t xml:space="preserve"> </w:t>
      </w:r>
      <w:r w:rsidR="00B4487F">
        <w:rPr>
          <w:b/>
          <w:smallCaps/>
          <w:spacing w:val="4"/>
          <w:sz w:val="22"/>
          <w:szCs w:val="22"/>
        </w:rPr>
        <w:t>C</w:t>
      </w:r>
      <w:r w:rsidR="00E97919" w:rsidRPr="00773FF2">
        <w:rPr>
          <w:b/>
          <w:smallCaps/>
          <w:spacing w:val="4"/>
          <w:sz w:val="22"/>
          <w:szCs w:val="22"/>
        </w:rPr>
        <w:t xml:space="preserve">omercio </w:t>
      </w:r>
      <w:r w:rsidRPr="00773FF2">
        <w:rPr>
          <w:b/>
          <w:smallCaps/>
          <w:spacing w:val="4"/>
          <w:sz w:val="22"/>
          <w:szCs w:val="22"/>
        </w:rPr>
        <w:t>y sus componentes</w:t>
      </w:r>
    </w:p>
    <w:tbl>
      <w:tblPr>
        <w:tblStyle w:val="Tablaconcuadrcula"/>
        <w:tblW w:w="4981" w:type="pct"/>
        <w:tblLayout w:type="fixed"/>
        <w:tblLook w:val="04A0" w:firstRow="1" w:lastRow="0" w:firstColumn="1" w:lastColumn="0" w:noHBand="0" w:noVBand="1"/>
      </w:tblPr>
      <w:tblGrid>
        <w:gridCol w:w="4910"/>
        <w:gridCol w:w="1026"/>
        <w:gridCol w:w="935"/>
        <w:gridCol w:w="1012"/>
        <w:gridCol w:w="592"/>
        <w:gridCol w:w="1451"/>
      </w:tblGrid>
      <w:tr w:rsidR="00A26512" w:rsidRPr="00773FF2" w14:paraId="091BD145" w14:textId="77777777" w:rsidTr="00A36457">
        <w:tc>
          <w:tcPr>
            <w:tcW w:w="2473" w:type="pct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141" w14:textId="07C1D0FF" w:rsidR="00A26512" w:rsidRPr="00773FF2" w:rsidRDefault="00A26512" w:rsidP="000766D8">
            <w:pPr>
              <w:spacing w:before="20" w:after="20"/>
              <w:ind w:left="176"/>
              <w:rPr>
                <w:spacing w:val="4"/>
                <w:sz w:val="18"/>
                <w:szCs w:val="18"/>
              </w:rPr>
            </w:pPr>
            <w:r w:rsidRPr="005739BD">
              <w:rPr>
                <w:sz w:val="18"/>
                <w:szCs w:val="18"/>
              </w:rPr>
              <w:t>Indicador</w:t>
            </w:r>
            <w:r w:rsidR="000210B0" w:rsidRPr="005739BD">
              <w:rPr>
                <w:sz w:val="18"/>
                <w:szCs w:val="18"/>
              </w:rPr>
              <w:t xml:space="preserve"> </w:t>
            </w:r>
            <w:r w:rsidR="000210B0" w:rsidRPr="007E5597">
              <w:rPr>
                <w:sz w:val="18"/>
                <w:szCs w:val="18"/>
              </w:rPr>
              <w:t>y componentes</w:t>
            </w:r>
          </w:p>
        </w:tc>
        <w:tc>
          <w:tcPr>
            <w:tcW w:w="517" w:type="pct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142" w14:textId="393C79DF" w:rsidR="00A26512" w:rsidRPr="00773FF2" w:rsidRDefault="008D59D2" w:rsidP="00D73246">
            <w:pPr>
              <w:spacing w:before="20" w:afterLines="20" w:after="48"/>
              <w:ind w:left="-135" w:right="-108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Septiembre</w:t>
            </w:r>
            <w:r w:rsidR="00A26512" w:rsidRPr="00773FF2">
              <w:rPr>
                <w:spacing w:val="-4"/>
                <w:sz w:val="18"/>
                <w:szCs w:val="18"/>
              </w:rPr>
              <w:br/>
              <w:t xml:space="preserve">de </w:t>
            </w:r>
            <w:r w:rsidR="008A154C" w:rsidRPr="00773FF2">
              <w:rPr>
                <w:spacing w:val="-4"/>
                <w:sz w:val="18"/>
                <w:szCs w:val="18"/>
              </w:rPr>
              <w:t>202</w:t>
            </w:r>
            <w:r w:rsidR="00102A77">
              <w:rPr>
                <w:spacing w:val="-4"/>
                <w:sz w:val="18"/>
                <w:szCs w:val="18"/>
              </w:rPr>
              <w:t>3</w:t>
            </w:r>
          </w:p>
        </w:tc>
        <w:tc>
          <w:tcPr>
            <w:tcW w:w="981" w:type="pct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143" w14:textId="0EF693D6" w:rsidR="00A26512" w:rsidRPr="00773FF2" w:rsidRDefault="001F6B34" w:rsidP="0036406A">
            <w:pPr>
              <w:spacing w:before="20" w:after="20"/>
              <w:ind w:left="-108" w:right="-96"/>
              <w:jc w:val="center"/>
              <w:rPr>
                <w:spacing w:val="-4"/>
                <w:sz w:val="18"/>
                <w:szCs w:val="18"/>
              </w:rPr>
            </w:pPr>
            <w:r w:rsidRPr="00773FF2">
              <w:rPr>
                <w:spacing w:val="-4"/>
                <w:sz w:val="18"/>
                <w:szCs w:val="18"/>
              </w:rPr>
              <w:t>Diferencia</w:t>
            </w:r>
            <w:r w:rsidR="00EB01DB" w:rsidRPr="00773FF2">
              <w:rPr>
                <w:spacing w:val="-4"/>
                <w:sz w:val="18"/>
                <w:szCs w:val="18"/>
              </w:rPr>
              <w:t>s</w:t>
            </w:r>
            <w:r w:rsidRPr="00773FF2">
              <w:rPr>
                <w:spacing w:val="-4"/>
                <w:sz w:val="18"/>
                <w:szCs w:val="18"/>
                <w:vertAlign w:val="superscript"/>
              </w:rPr>
              <w:t>1/</w:t>
            </w:r>
            <w:r w:rsidR="00801E3A" w:rsidRPr="00773FF2">
              <w:rPr>
                <w:spacing w:val="-4"/>
                <w:sz w:val="18"/>
                <w:szCs w:val="18"/>
                <w:vertAlign w:val="superscript"/>
              </w:rPr>
              <w:t xml:space="preserve"> </w:t>
            </w:r>
            <w:r w:rsidR="00801E3A" w:rsidRPr="00773FF2">
              <w:rPr>
                <w:spacing w:val="-4"/>
                <w:sz w:val="18"/>
                <w:szCs w:val="18"/>
              </w:rPr>
              <w:t xml:space="preserve">en </w:t>
            </w:r>
            <w:r w:rsidR="00801E3A" w:rsidRPr="00773FF2">
              <w:rPr>
                <w:spacing w:val="-4"/>
                <w:sz w:val="18"/>
                <w:szCs w:val="18"/>
              </w:rPr>
              <w:br/>
              <w:t xml:space="preserve">puntos </w:t>
            </w:r>
            <w:r w:rsidRPr="00773FF2">
              <w:rPr>
                <w:spacing w:val="-4"/>
                <w:sz w:val="18"/>
                <w:szCs w:val="18"/>
              </w:rPr>
              <w:t>respecto a:</w:t>
            </w:r>
          </w:p>
        </w:tc>
        <w:tc>
          <w:tcPr>
            <w:tcW w:w="1029" w:type="pct"/>
            <w:gridSpan w:val="2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144" w14:textId="77777777" w:rsidR="00A26512" w:rsidRPr="00773FF2" w:rsidRDefault="00A26512" w:rsidP="0036406A">
            <w:pPr>
              <w:tabs>
                <w:tab w:val="center" w:pos="3348"/>
              </w:tabs>
              <w:spacing w:before="20" w:after="20"/>
              <w:ind w:left="-125" w:right="-79"/>
              <w:jc w:val="center"/>
              <w:rPr>
                <w:spacing w:val="-4"/>
                <w:sz w:val="18"/>
                <w:szCs w:val="18"/>
              </w:rPr>
            </w:pPr>
            <w:r w:rsidRPr="00773FF2">
              <w:rPr>
                <w:spacing w:val="-4"/>
                <w:sz w:val="18"/>
                <w:szCs w:val="18"/>
              </w:rPr>
              <w:t xml:space="preserve">Número de meses consecutivos por </w:t>
            </w:r>
            <w:r w:rsidR="00744A9D" w:rsidRPr="00773FF2">
              <w:rPr>
                <w:spacing w:val="-4"/>
                <w:sz w:val="18"/>
                <w:szCs w:val="18"/>
              </w:rPr>
              <w:br/>
            </w:r>
            <w:r w:rsidRPr="00773FF2">
              <w:rPr>
                <w:spacing w:val="-4"/>
                <w:sz w:val="18"/>
                <w:szCs w:val="18"/>
              </w:rPr>
              <w:t xml:space="preserve">arriba o por debajo </w:t>
            </w:r>
            <w:r w:rsidR="00744A9D" w:rsidRPr="00773FF2">
              <w:rPr>
                <w:spacing w:val="-4"/>
                <w:sz w:val="18"/>
                <w:szCs w:val="18"/>
              </w:rPr>
              <w:br/>
            </w:r>
            <w:r w:rsidRPr="00773FF2">
              <w:rPr>
                <w:spacing w:val="-4"/>
                <w:sz w:val="18"/>
                <w:szCs w:val="18"/>
              </w:rPr>
              <w:t xml:space="preserve">del umbral de </w:t>
            </w:r>
            <w:r w:rsidR="00744A9D" w:rsidRPr="00773FF2">
              <w:rPr>
                <w:spacing w:val="-4"/>
                <w:sz w:val="18"/>
                <w:szCs w:val="18"/>
              </w:rPr>
              <w:br/>
            </w:r>
            <w:r w:rsidRPr="00773FF2">
              <w:rPr>
                <w:spacing w:val="-4"/>
                <w:sz w:val="18"/>
                <w:szCs w:val="18"/>
              </w:rPr>
              <w:t>50 puntos</w:t>
            </w:r>
          </w:p>
        </w:tc>
      </w:tr>
      <w:tr w:rsidR="00697144" w:rsidRPr="00773FF2" w14:paraId="091BD14B" w14:textId="77777777" w:rsidTr="00BB03FB">
        <w:trPr>
          <w:trHeight w:val="294"/>
        </w:trPr>
        <w:tc>
          <w:tcPr>
            <w:tcW w:w="2473" w:type="pct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1BD146" w14:textId="77777777" w:rsidR="00697144" w:rsidRPr="00773FF2" w:rsidRDefault="00697144" w:rsidP="00697144">
            <w:pPr>
              <w:spacing w:before="20" w:after="20"/>
              <w:ind w:left="176"/>
              <w:rPr>
                <w:sz w:val="18"/>
                <w:szCs w:val="18"/>
              </w:rPr>
            </w:pPr>
          </w:p>
        </w:tc>
        <w:tc>
          <w:tcPr>
            <w:tcW w:w="517" w:type="pct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1BD147" w14:textId="77777777" w:rsidR="00697144" w:rsidRPr="00773FF2" w:rsidRDefault="00697144" w:rsidP="00697144">
            <w:pPr>
              <w:spacing w:before="20" w:afterLines="20" w:after="48"/>
              <w:ind w:left="-135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148" w14:textId="18144722" w:rsidR="00697144" w:rsidRPr="00773FF2" w:rsidRDefault="008D59D2" w:rsidP="00697144">
            <w:pPr>
              <w:spacing w:before="20" w:after="20"/>
              <w:ind w:left="-136" w:right="-108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agost</w:t>
            </w:r>
            <w:r w:rsidR="00697144" w:rsidRPr="00B436C4">
              <w:rPr>
                <w:spacing w:val="-4"/>
                <w:sz w:val="18"/>
                <w:szCs w:val="18"/>
              </w:rPr>
              <w:t>o</w:t>
            </w:r>
            <w:r w:rsidR="00697144" w:rsidRPr="00B436C4">
              <w:rPr>
                <w:spacing w:val="-4"/>
                <w:sz w:val="18"/>
                <w:szCs w:val="18"/>
              </w:rPr>
              <w:br/>
              <w:t>de 2023</w:t>
            </w:r>
          </w:p>
        </w:tc>
        <w:tc>
          <w:tcPr>
            <w:tcW w:w="510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149" w14:textId="058F3F70" w:rsidR="00697144" w:rsidRPr="00773FF2" w:rsidRDefault="008D59D2" w:rsidP="00697144">
            <w:pPr>
              <w:spacing w:before="20" w:after="20"/>
              <w:ind w:left="-136" w:right="-108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septiembre</w:t>
            </w:r>
            <w:r w:rsidR="00697144" w:rsidRPr="00B436C4">
              <w:rPr>
                <w:spacing w:val="-4"/>
                <w:sz w:val="18"/>
                <w:szCs w:val="18"/>
              </w:rPr>
              <w:br/>
              <w:t>de 202</w:t>
            </w:r>
            <w:r w:rsidR="00697144">
              <w:rPr>
                <w:spacing w:val="-4"/>
                <w:sz w:val="18"/>
                <w:szCs w:val="18"/>
              </w:rPr>
              <w:t>2</w:t>
            </w:r>
          </w:p>
        </w:tc>
        <w:tc>
          <w:tcPr>
            <w:tcW w:w="1029" w:type="pct"/>
            <w:gridSpan w:val="2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1BD14A" w14:textId="77777777" w:rsidR="00697144" w:rsidRPr="00773FF2" w:rsidRDefault="00697144" w:rsidP="00697144">
            <w:pPr>
              <w:tabs>
                <w:tab w:val="center" w:pos="3348"/>
              </w:tabs>
              <w:spacing w:before="60" w:after="60"/>
              <w:ind w:left="-93" w:right="-80"/>
              <w:jc w:val="center"/>
              <w:rPr>
                <w:sz w:val="18"/>
                <w:szCs w:val="18"/>
              </w:rPr>
            </w:pPr>
          </w:p>
        </w:tc>
      </w:tr>
      <w:tr w:rsidR="00BB3C0A" w:rsidRPr="00773FF2" w14:paraId="091BD152" w14:textId="77777777" w:rsidTr="00BB3C0A">
        <w:trPr>
          <w:trHeight w:val="226"/>
        </w:trPr>
        <w:tc>
          <w:tcPr>
            <w:tcW w:w="2473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4C" w14:textId="732F5927" w:rsidR="00BB3C0A" w:rsidRPr="00773FF2" w:rsidRDefault="00BB3C0A" w:rsidP="00BB3C0A">
            <w:pPr>
              <w:tabs>
                <w:tab w:val="left" w:pos="708"/>
              </w:tabs>
              <w:spacing w:before="20"/>
              <w:ind w:right="-236"/>
              <w:jc w:val="left"/>
              <w:rPr>
                <w:b/>
                <w:spacing w:val="4"/>
                <w:sz w:val="18"/>
                <w:szCs w:val="18"/>
              </w:rPr>
            </w:pPr>
            <w:r w:rsidRPr="00773FF2">
              <w:rPr>
                <w:b/>
                <w:spacing w:val="4"/>
                <w:sz w:val="18"/>
                <w:szCs w:val="18"/>
              </w:rPr>
              <w:t xml:space="preserve">Indicador de Confianza Empresarial </w:t>
            </w:r>
            <w:r w:rsidRPr="00773FF2">
              <w:rPr>
                <w:b/>
                <w:spacing w:val="-4"/>
                <w:sz w:val="18"/>
                <w:szCs w:val="18"/>
              </w:rPr>
              <w:t>de</w:t>
            </w:r>
            <w:r>
              <w:rPr>
                <w:b/>
                <w:spacing w:val="4"/>
                <w:sz w:val="18"/>
                <w:szCs w:val="18"/>
              </w:rPr>
              <w:t xml:space="preserve"> </w:t>
            </w:r>
            <w:r w:rsidRPr="00773FF2">
              <w:rPr>
                <w:b/>
                <w:spacing w:val="4"/>
                <w:sz w:val="18"/>
                <w:szCs w:val="18"/>
              </w:rPr>
              <w:t>Comercio</w:t>
            </w:r>
          </w:p>
        </w:tc>
        <w:tc>
          <w:tcPr>
            <w:tcW w:w="517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091BD14D" w14:textId="06B840E2" w:rsidR="00BB3C0A" w:rsidRPr="009E2657" w:rsidRDefault="00BB3C0A" w:rsidP="00BB3C0A">
            <w:pPr>
              <w:tabs>
                <w:tab w:val="decimal" w:pos="436"/>
              </w:tabs>
              <w:jc w:val="lef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55.7</w:t>
            </w:r>
          </w:p>
        </w:tc>
        <w:tc>
          <w:tcPr>
            <w:tcW w:w="471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nil"/>
            </w:tcBorders>
            <w:vAlign w:val="center"/>
          </w:tcPr>
          <w:p w14:paraId="091BD14E" w14:textId="74F666FA" w:rsidR="00BB3C0A" w:rsidRPr="009E2657" w:rsidRDefault="00BB3C0A" w:rsidP="00BB3C0A">
            <w:pPr>
              <w:tabs>
                <w:tab w:val="decimal" w:pos="330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-0.8</w:t>
            </w:r>
          </w:p>
        </w:tc>
        <w:tc>
          <w:tcPr>
            <w:tcW w:w="510" w:type="pct"/>
            <w:tcBorders>
              <w:top w:val="single" w:sz="4" w:space="0" w:color="404040" w:themeColor="text1" w:themeTint="BF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4F" w14:textId="5135FB58" w:rsidR="00BB3C0A" w:rsidRPr="009E2657" w:rsidRDefault="00BB3C0A" w:rsidP="00BB3C0A">
            <w:pPr>
              <w:tabs>
                <w:tab w:val="decimal" w:pos="376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2.1</w:t>
            </w:r>
          </w:p>
        </w:tc>
        <w:tc>
          <w:tcPr>
            <w:tcW w:w="298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150" w14:textId="08362485" w:rsidR="00BB3C0A" w:rsidRPr="009E2657" w:rsidRDefault="00BB3C0A" w:rsidP="00BB3C0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731" w:type="pct"/>
            <w:tcBorders>
              <w:top w:val="single" w:sz="4" w:space="0" w:color="404040" w:themeColor="text1" w:themeTint="BF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51" w14:textId="5D6CBDC5" w:rsidR="00BB3C0A" w:rsidRPr="00773FF2" w:rsidRDefault="00BB3C0A" w:rsidP="00BB3C0A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</w:t>
            </w:r>
            <w:r w:rsidRPr="00773FF2">
              <w:rPr>
                <w:b/>
                <w:bCs/>
                <w:sz w:val="18"/>
                <w:szCs w:val="18"/>
              </w:rPr>
              <w:t xml:space="preserve">or </w:t>
            </w:r>
            <w:r>
              <w:rPr>
                <w:b/>
                <w:bCs/>
                <w:sz w:val="18"/>
                <w:szCs w:val="18"/>
              </w:rPr>
              <w:t>arriba</w:t>
            </w:r>
          </w:p>
        </w:tc>
      </w:tr>
      <w:tr w:rsidR="00BB3C0A" w:rsidRPr="00773FF2" w14:paraId="091BD159" w14:textId="77777777" w:rsidTr="00BB3C0A">
        <w:trPr>
          <w:trHeight w:val="237"/>
        </w:trPr>
        <w:tc>
          <w:tcPr>
            <w:tcW w:w="2473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53" w14:textId="77777777" w:rsidR="00BB3C0A" w:rsidRPr="00773FF2" w:rsidRDefault="00BB3C0A" w:rsidP="0050547D">
            <w:pPr>
              <w:numPr>
                <w:ilvl w:val="0"/>
                <w:numId w:val="42"/>
              </w:numPr>
              <w:spacing w:before="20"/>
              <w:ind w:left="317" w:hanging="284"/>
              <w:jc w:val="left"/>
              <w:rPr>
                <w:spacing w:val="4"/>
                <w:sz w:val="18"/>
                <w:szCs w:val="18"/>
              </w:rPr>
            </w:pPr>
            <w:r w:rsidRPr="00773FF2">
              <w:rPr>
                <w:sz w:val="18"/>
                <w:szCs w:val="18"/>
                <w:lang w:val="es-MX"/>
              </w:rPr>
              <w:t>Momento adecuado para invertir</w:t>
            </w:r>
          </w:p>
        </w:tc>
        <w:tc>
          <w:tcPr>
            <w:tcW w:w="517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54" w14:textId="35AAB7B9" w:rsidR="00BB3C0A" w:rsidRPr="009E2657" w:rsidRDefault="00BB3C0A" w:rsidP="00BB3C0A">
            <w:pPr>
              <w:tabs>
                <w:tab w:val="decimal" w:pos="436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43.9</w:t>
            </w:r>
          </w:p>
        </w:tc>
        <w:tc>
          <w:tcPr>
            <w:tcW w:w="471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155" w14:textId="326123F1" w:rsidR="00BB3C0A" w:rsidRPr="009E2657" w:rsidRDefault="00BB3C0A" w:rsidP="00BB3C0A">
            <w:pPr>
              <w:tabs>
                <w:tab w:val="decimal" w:pos="330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-1.8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56" w14:textId="1E1638C4" w:rsidR="00BB3C0A" w:rsidRPr="009E2657" w:rsidRDefault="00BB3C0A" w:rsidP="00BB3C0A">
            <w:pPr>
              <w:tabs>
                <w:tab w:val="decimal" w:pos="376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4.4</w:t>
            </w:r>
          </w:p>
        </w:tc>
        <w:tc>
          <w:tcPr>
            <w:tcW w:w="298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157" w14:textId="18073BA2" w:rsidR="00BB3C0A" w:rsidRPr="009E2657" w:rsidRDefault="00BB3C0A" w:rsidP="00BB3C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58" w14:textId="74B4E27D" w:rsidR="00BB3C0A" w:rsidRPr="00773FF2" w:rsidRDefault="00BB3C0A" w:rsidP="00BB3C0A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773FF2">
              <w:rPr>
                <w:sz w:val="18"/>
                <w:szCs w:val="18"/>
              </w:rPr>
              <w:t>or debajo</w:t>
            </w:r>
          </w:p>
        </w:tc>
      </w:tr>
      <w:tr w:rsidR="00BB3C0A" w:rsidRPr="00773FF2" w14:paraId="091BD160" w14:textId="77777777" w:rsidTr="00BB3C0A">
        <w:trPr>
          <w:trHeight w:val="226"/>
        </w:trPr>
        <w:tc>
          <w:tcPr>
            <w:tcW w:w="2473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5A" w14:textId="77777777" w:rsidR="00BB3C0A" w:rsidRPr="00773FF2" w:rsidRDefault="00BB3C0A" w:rsidP="0050547D">
            <w:pPr>
              <w:numPr>
                <w:ilvl w:val="0"/>
                <w:numId w:val="42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773FF2">
              <w:rPr>
                <w:sz w:val="18"/>
                <w:szCs w:val="18"/>
                <w:lang w:val="es-MX"/>
              </w:rPr>
              <w:t>Situación económica presente del país</w:t>
            </w:r>
          </w:p>
        </w:tc>
        <w:tc>
          <w:tcPr>
            <w:tcW w:w="517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5B" w14:textId="0B96F0D4" w:rsidR="00BB3C0A" w:rsidRPr="009E2657" w:rsidRDefault="00BB3C0A" w:rsidP="00BB3C0A">
            <w:pPr>
              <w:tabs>
                <w:tab w:val="decimal" w:pos="436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55.1</w:t>
            </w:r>
          </w:p>
        </w:tc>
        <w:tc>
          <w:tcPr>
            <w:tcW w:w="471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15C" w14:textId="2D4835C2" w:rsidR="00BB3C0A" w:rsidRPr="009E2657" w:rsidRDefault="00BB3C0A" w:rsidP="00BB3C0A">
            <w:pPr>
              <w:tabs>
                <w:tab w:val="decimal" w:pos="330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-1.0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5D" w14:textId="15EFBEFC" w:rsidR="00BB3C0A" w:rsidRPr="009E2657" w:rsidRDefault="00BB3C0A" w:rsidP="00BB3C0A">
            <w:pPr>
              <w:tabs>
                <w:tab w:val="decimal" w:pos="376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5.2</w:t>
            </w:r>
          </w:p>
        </w:tc>
        <w:tc>
          <w:tcPr>
            <w:tcW w:w="298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15E" w14:textId="2E67A71C" w:rsidR="00BB3C0A" w:rsidRPr="009E2657" w:rsidRDefault="00BB3C0A" w:rsidP="00BB3C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5F" w14:textId="18BD2B04" w:rsidR="00BB3C0A" w:rsidRPr="00773FF2" w:rsidRDefault="00BB3C0A" w:rsidP="00BB3C0A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773FF2">
              <w:rPr>
                <w:sz w:val="18"/>
                <w:szCs w:val="18"/>
              </w:rPr>
              <w:t xml:space="preserve">or </w:t>
            </w:r>
            <w:r>
              <w:rPr>
                <w:sz w:val="18"/>
                <w:szCs w:val="18"/>
              </w:rPr>
              <w:t>arriba</w:t>
            </w:r>
          </w:p>
        </w:tc>
      </w:tr>
      <w:tr w:rsidR="00BB3C0A" w:rsidRPr="00773FF2" w14:paraId="091BD167" w14:textId="77777777" w:rsidTr="00BB3C0A">
        <w:trPr>
          <w:trHeight w:val="237"/>
        </w:trPr>
        <w:tc>
          <w:tcPr>
            <w:tcW w:w="2473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61" w14:textId="77777777" w:rsidR="00BB3C0A" w:rsidRPr="00773FF2" w:rsidRDefault="00BB3C0A" w:rsidP="0050547D">
            <w:pPr>
              <w:numPr>
                <w:ilvl w:val="0"/>
                <w:numId w:val="42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773FF2">
              <w:rPr>
                <w:sz w:val="18"/>
                <w:szCs w:val="18"/>
                <w:lang w:val="es-MX"/>
              </w:rPr>
              <w:t>Situación económica futura del país</w:t>
            </w:r>
          </w:p>
        </w:tc>
        <w:tc>
          <w:tcPr>
            <w:tcW w:w="517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62" w14:textId="77F8F989" w:rsidR="00BB3C0A" w:rsidRPr="009E2657" w:rsidRDefault="00BB3C0A" w:rsidP="00BB3C0A">
            <w:pPr>
              <w:tabs>
                <w:tab w:val="decimal" w:pos="436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57.6</w:t>
            </w:r>
          </w:p>
        </w:tc>
        <w:tc>
          <w:tcPr>
            <w:tcW w:w="471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163" w14:textId="35E39A6F" w:rsidR="00BB3C0A" w:rsidRPr="009E2657" w:rsidRDefault="00BB3C0A" w:rsidP="00BB3C0A">
            <w:pPr>
              <w:tabs>
                <w:tab w:val="decimal" w:pos="330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64" w14:textId="130FF903" w:rsidR="00BB3C0A" w:rsidRPr="009E2657" w:rsidRDefault="00BB3C0A" w:rsidP="00BB3C0A">
            <w:pPr>
              <w:tabs>
                <w:tab w:val="decimal" w:pos="376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-0.5</w:t>
            </w:r>
          </w:p>
        </w:tc>
        <w:tc>
          <w:tcPr>
            <w:tcW w:w="298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165" w14:textId="5E49A29E" w:rsidR="00BB3C0A" w:rsidRPr="009E2657" w:rsidRDefault="00BB3C0A" w:rsidP="00BB3C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66" w14:textId="78B18CD2" w:rsidR="00BB3C0A" w:rsidRPr="00773FF2" w:rsidRDefault="00BB3C0A" w:rsidP="00BB3C0A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773FF2">
              <w:rPr>
                <w:sz w:val="18"/>
                <w:szCs w:val="18"/>
              </w:rPr>
              <w:t>or arriba</w:t>
            </w:r>
          </w:p>
        </w:tc>
      </w:tr>
      <w:tr w:rsidR="00BB3C0A" w:rsidRPr="00773FF2" w14:paraId="091BD16E" w14:textId="77777777" w:rsidTr="00BB3C0A">
        <w:trPr>
          <w:trHeight w:val="247"/>
        </w:trPr>
        <w:tc>
          <w:tcPr>
            <w:tcW w:w="2473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68" w14:textId="77777777" w:rsidR="00BB3C0A" w:rsidRPr="00773FF2" w:rsidRDefault="00BB3C0A" w:rsidP="0050547D">
            <w:pPr>
              <w:numPr>
                <w:ilvl w:val="0"/>
                <w:numId w:val="42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773FF2">
              <w:rPr>
                <w:sz w:val="18"/>
                <w:szCs w:val="18"/>
                <w:lang w:val="es-MX"/>
              </w:rPr>
              <w:t>Situación económica presente de la empresa</w:t>
            </w:r>
          </w:p>
        </w:tc>
        <w:tc>
          <w:tcPr>
            <w:tcW w:w="517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091BD169" w14:textId="6C2658C2" w:rsidR="00BB3C0A" w:rsidRPr="009E2657" w:rsidRDefault="00BB3C0A" w:rsidP="00BB3C0A">
            <w:pPr>
              <w:tabs>
                <w:tab w:val="decimal" w:pos="436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58.2</w:t>
            </w:r>
          </w:p>
        </w:tc>
        <w:tc>
          <w:tcPr>
            <w:tcW w:w="471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vAlign w:val="center"/>
          </w:tcPr>
          <w:p w14:paraId="091BD16A" w14:textId="1842D191" w:rsidR="00BB3C0A" w:rsidRPr="009E2657" w:rsidRDefault="00BB3C0A" w:rsidP="00BB3C0A">
            <w:pPr>
              <w:tabs>
                <w:tab w:val="decimal" w:pos="330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-1.3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6B" w14:textId="628C1A43" w:rsidR="00BB3C0A" w:rsidRPr="009E2657" w:rsidRDefault="00BB3C0A" w:rsidP="00BB3C0A">
            <w:pPr>
              <w:tabs>
                <w:tab w:val="decimal" w:pos="376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0.6</w:t>
            </w:r>
          </w:p>
        </w:tc>
        <w:tc>
          <w:tcPr>
            <w:tcW w:w="298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16C" w14:textId="2813D8B6" w:rsidR="00BB3C0A" w:rsidRPr="009E2657" w:rsidRDefault="00BB3C0A" w:rsidP="00BB3C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6D" w14:textId="25D9C4B6" w:rsidR="00BB3C0A" w:rsidRPr="00773FF2" w:rsidRDefault="00BB3C0A" w:rsidP="00BB3C0A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773FF2">
              <w:rPr>
                <w:sz w:val="18"/>
                <w:szCs w:val="18"/>
              </w:rPr>
              <w:t xml:space="preserve">or </w:t>
            </w:r>
            <w:r>
              <w:rPr>
                <w:sz w:val="18"/>
                <w:szCs w:val="18"/>
              </w:rPr>
              <w:t>arriba</w:t>
            </w:r>
          </w:p>
        </w:tc>
      </w:tr>
      <w:tr w:rsidR="00BB3C0A" w:rsidRPr="00773FF2" w14:paraId="091BD175" w14:textId="77777777" w:rsidTr="00BB3C0A">
        <w:trPr>
          <w:trHeight w:val="132"/>
        </w:trPr>
        <w:tc>
          <w:tcPr>
            <w:tcW w:w="2473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6F" w14:textId="77777777" w:rsidR="00BB3C0A" w:rsidRPr="00773FF2" w:rsidRDefault="00BB3C0A" w:rsidP="0050547D">
            <w:pPr>
              <w:numPr>
                <w:ilvl w:val="0"/>
                <w:numId w:val="42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773FF2">
              <w:rPr>
                <w:sz w:val="18"/>
                <w:szCs w:val="18"/>
                <w:lang w:val="es-MX"/>
              </w:rPr>
              <w:t>Situación económica futura de la empresa</w:t>
            </w:r>
          </w:p>
        </w:tc>
        <w:tc>
          <w:tcPr>
            <w:tcW w:w="517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1BD170" w14:textId="0E690923" w:rsidR="00BB3C0A" w:rsidRPr="009E2657" w:rsidRDefault="00BB3C0A" w:rsidP="00BB3C0A">
            <w:pPr>
              <w:tabs>
                <w:tab w:val="decimal" w:pos="436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64.1</w:t>
            </w:r>
          </w:p>
        </w:tc>
        <w:tc>
          <w:tcPr>
            <w:tcW w:w="471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nil"/>
            </w:tcBorders>
            <w:vAlign w:val="center"/>
          </w:tcPr>
          <w:p w14:paraId="091BD171" w14:textId="2B941C24" w:rsidR="00BB3C0A" w:rsidRPr="009E2657" w:rsidRDefault="00BB3C0A" w:rsidP="00BB3C0A">
            <w:pPr>
              <w:tabs>
                <w:tab w:val="decimal" w:pos="330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72" w14:textId="17F52253" w:rsidR="00BB3C0A" w:rsidRPr="009E2657" w:rsidRDefault="00BB3C0A" w:rsidP="00BB3C0A">
            <w:pPr>
              <w:tabs>
                <w:tab w:val="decimal" w:pos="376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0.6</w:t>
            </w:r>
          </w:p>
        </w:tc>
        <w:tc>
          <w:tcPr>
            <w:tcW w:w="298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nil"/>
            </w:tcBorders>
            <w:shd w:val="clear" w:color="auto" w:fill="auto"/>
            <w:vAlign w:val="center"/>
          </w:tcPr>
          <w:p w14:paraId="091BD173" w14:textId="2F5512C0" w:rsidR="00BB3C0A" w:rsidRPr="009E2657" w:rsidRDefault="00BB3C0A" w:rsidP="00BB3C0A">
            <w:pPr>
              <w:jc w:val="right"/>
              <w:rPr>
                <w:sz w:val="18"/>
                <w:szCs w:val="18"/>
              </w:rPr>
            </w:pPr>
            <w:r w:rsidRPr="009E265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48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74" w14:textId="6566C350" w:rsidR="00BB3C0A" w:rsidRPr="00773FF2" w:rsidRDefault="00BB3C0A" w:rsidP="00BB3C0A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773FF2">
              <w:rPr>
                <w:sz w:val="18"/>
                <w:szCs w:val="18"/>
              </w:rPr>
              <w:t>or arriba</w:t>
            </w:r>
          </w:p>
        </w:tc>
      </w:tr>
    </w:tbl>
    <w:p w14:paraId="091BD176" w14:textId="77777777" w:rsidR="00D20964" w:rsidRPr="00773FF2" w:rsidRDefault="00D20964" w:rsidP="000766D8">
      <w:pPr>
        <w:spacing w:before="20"/>
        <w:ind w:left="658" w:right="40" w:hanging="550"/>
        <w:outlineLvl w:val="0"/>
        <w:rPr>
          <w:sz w:val="14"/>
          <w:szCs w:val="14"/>
        </w:rPr>
      </w:pPr>
      <w:r w:rsidRPr="009C6AF2">
        <w:rPr>
          <w:sz w:val="16"/>
          <w:szCs w:val="16"/>
        </w:rPr>
        <w:t>Nota</w:t>
      </w:r>
      <w:r w:rsidRPr="00773FF2">
        <w:rPr>
          <w:sz w:val="14"/>
          <w:szCs w:val="14"/>
        </w:rPr>
        <w:t>:</w:t>
      </w:r>
      <w:r w:rsidRPr="00773FF2">
        <w:rPr>
          <w:sz w:val="14"/>
          <w:szCs w:val="14"/>
        </w:rPr>
        <w:tab/>
      </w:r>
      <w:r w:rsidRPr="009C6AF2">
        <w:rPr>
          <w:sz w:val="16"/>
          <w:szCs w:val="16"/>
        </w:rPr>
        <w:t>Los indicadores se generan con los datos referidos al mes de la entrevista</w:t>
      </w:r>
      <w:r w:rsidRPr="00773FF2">
        <w:rPr>
          <w:sz w:val="14"/>
          <w:szCs w:val="14"/>
        </w:rPr>
        <w:t xml:space="preserve">. </w:t>
      </w:r>
    </w:p>
    <w:p w14:paraId="091BD177" w14:textId="77777777" w:rsidR="00D20964" w:rsidRPr="009C6AF2" w:rsidRDefault="00D20964" w:rsidP="009C6AF2">
      <w:pPr>
        <w:spacing w:line="180" w:lineRule="exact"/>
        <w:ind w:left="658" w:right="40" w:hanging="550"/>
        <w:outlineLvl w:val="0"/>
        <w:rPr>
          <w:sz w:val="16"/>
          <w:szCs w:val="16"/>
        </w:rPr>
      </w:pPr>
      <w:r w:rsidRPr="009C6AF2">
        <w:rPr>
          <w:sz w:val="18"/>
          <w:szCs w:val="18"/>
          <w:vertAlign w:val="superscript"/>
        </w:rPr>
        <w:t>1/</w:t>
      </w:r>
      <w:r w:rsidRPr="00773FF2">
        <w:rPr>
          <w:sz w:val="14"/>
          <w:szCs w:val="14"/>
        </w:rPr>
        <w:tab/>
      </w:r>
      <w:r w:rsidRPr="009C6AF2">
        <w:rPr>
          <w:sz w:val="16"/>
          <w:szCs w:val="16"/>
        </w:rPr>
        <w:t>Las diferencias en puntos se obtienen de los respectivos indicadores considerando todos sus decimales.</w:t>
      </w:r>
    </w:p>
    <w:p w14:paraId="091BD178" w14:textId="78C0ECFD" w:rsidR="00D20964" w:rsidRPr="009C6AF2" w:rsidRDefault="00D20964" w:rsidP="009C6AF2">
      <w:pPr>
        <w:spacing w:before="20" w:line="180" w:lineRule="exact"/>
        <w:ind w:left="658" w:right="40" w:hanging="550"/>
        <w:outlineLvl w:val="0"/>
        <w:rPr>
          <w:sz w:val="16"/>
          <w:szCs w:val="16"/>
        </w:rPr>
      </w:pPr>
      <w:r w:rsidRPr="009C6AF2">
        <w:rPr>
          <w:sz w:val="16"/>
          <w:szCs w:val="16"/>
        </w:rPr>
        <w:t>Fuente:</w:t>
      </w:r>
      <w:r w:rsidR="006B5B52">
        <w:rPr>
          <w:sz w:val="16"/>
          <w:szCs w:val="16"/>
        </w:rPr>
        <w:t xml:space="preserve"> </w:t>
      </w:r>
      <w:r w:rsidRPr="009C6AF2">
        <w:rPr>
          <w:sz w:val="16"/>
          <w:szCs w:val="16"/>
        </w:rPr>
        <w:tab/>
        <w:t>INEGI</w:t>
      </w:r>
      <w:r w:rsidR="008D59D2" w:rsidRPr="000210B0">
        <w:rPr>
          <w:smallCaps/>
          <w:sz w:val="16"/>
          <w:szCs w:val="16"/>
        </w:rPr>
        <w:t>.</w:t>
      </w:r>
      <w:r w:rsidR="008D59D2" w:rsidRPr="000210B0">
        <w:rPr>
          <w:sz w:val="16"/>
          <w:szCs w:val="16"/>
        </w:rPr>
        <w:t xml:space="preserve"> Encuesta Mensual de Opinión Empresarial (EMOE</w:t>
      </w:r>
      <w:r w:rsidR="005739BD" w:rsidRPr="000210B0">
        <w:rPr>
          <w:sz w:val="16"/>
          <w:szCs w:val="16"/>
        </w:rPr>
        <w:t>)</w:t>
      </w:r>
      <w:r w:rsidR="005739BD">
        <w:rPr>
          <w:sz w:val="16"/>
          <w:szCs w:val="16"/>
        </w:rPr>
        <w:t>,</w:t>
      </w:r>
      <w:r w:rsidR="005739BD" w:rsidRPr="000210B0">
        <w:rPr>
          <w:sz w:val="16"/>
          <w:szCs w:val="16"/>
        </w:rPr>
        <w:t xml:space="preserve"> </w:t>
      </w:r>
      <w:r w:rsidR="008D59D2" w:rsidRPr="000210B0">
        <w:rPr>
          <w:sz w:val="16"/>
          <w:szCs w:val="16"/>
        </w:rPr>
        <w:t>2023.</w:t>
      </w:r>
    </w:p>
    <w:p w14:paraId="091BD179" w14:textId="1DBBB0F4" w:rsidR="00105AC7" w:rsidRPr="008340A3" w:rsidRDefault="00105AC7" w:rsidP="006F61BE">
      <w:pPr>
        <w:widowControl w:val="0"/>
        <w:spacing w:before="240"/>
      </w:pPr>
      <w:r w:rsidRPr="008340A3">
        <w:t xml:space="preserve">En el mes de </w:t>
      </w:r>
      <w:r w:rsidR="00BB7E2B">
        <w:t>referencia</w:t>
      </w:r>
      <w:r w:rsidRPr="008340A3">
        <w:t xml:space="preserve">, el </w:t>
      </w:r>
      <w:r w:rsidR="00EE1FBC" w:rsidRPr="008340A3">
        <w:rPr>
          <w:b/>
        </w:rPr>
        <w:t>I</w:t>
      </w:r>
      <w:r w:rsidR="000762E8">
        <w:rPr>
          <w:b/>
        </w:rPr>
        <w:t xml:space="preserve">CE </w:t>
      </w:r>
      <w:r w:rsidR="00EE1FBC" w:rsidRPr="008340A3">
        <w:rPr>
          <w:b/>
        </w:rPr>
        <w:t xml:space="preserve">de Servicios </w:t>
      </w:r>
      <w:r w:rsidR="00CE5A20">
        <w:rPr>
          <w:b/>
        </w:rPr>
        <w:t>p</w:t>
      </w:r>
      <w:r w:rsidR="00EE1FBC" w:rsidRPr="008340A3">
        <w:rPr>
          <w:b/>
        </w:rPr>
        <w:t xml:space="preserve">rivados no </w:t>
      </w:r>
      <w:r w:rsidR="00CE5A20">
        <w:rPr>
          <w:b/>
        </w:rPr>
        <w:t>f</w:t>
      </w:r>
      <w:r w:rsidR="00EE1FBC" w:rsidRPr="008340A3">
        <w:rPr>
          <w:b/>
        </w:rPr>
        <w:t>inancieros</w:t>
      </w:r>
      <w:r w:rsidRPr="00AE39C9">
        <w:rPr>
          <w:rStyle w:val="Refdenotaalpie"/>
          <w:bCs/>
        </w:rPr>
        <w:footnoteReference w:id="5"/>
      </w:r>
      <w:r w:rsidRPr="008340A3">
        <w:t xml:space="preserve"> </w:t>
      </w:r>
      <w:r w:rsidR="00B460E0">
        <w:t>ascendi</w:t>
      </w:r>
      <w:r w:rsidR="004B3206">
        <w:t>ó</w:t>
      </w:r>
      <w:r w:rsidR="00A96939">
        <w:t xml:space="preserve"> </w:t>
      </w:r>
      <w:r w:rsidR="00932ADF">
        <w:t>0.</w:t>
      </w:r>
      <w:r w:rsidR="00A864F2">
        <w:t>1</w:t>
      </w:r>
      <w:r w:rsidR="00C0332A">
        <w:t> </w:t>
      </w:r>
      <w:r w:rsidR="00A96939">
        <w:t>punto</w:t>
      </w:r>
      <w:r w:rsidR="0057489A">
        <w:t>s</w:t>
      </w:r>
      <w:r w:rsidRPr="008340A3">
        <w:t xml:space="preserve"> </w:t>
      </w:r>
      <w:r w:rsidR="00C0332A">
        <w:t>con relación a</w:t>
      </w:r>
      <w:r w:rsidR="00174820">
        <w:t xml:space="preserve">l mes inmediato anterior </w:t>
      </w:r>
      <w:r w:rsidR="00FB6043">
        <w:t>y se</w:t>
      </w:r>
      <w:r w:rsidRPr="008340A3">
        <w:t xml:space="preserve"> </w:t>
      </w:r>
      <w:r w:rsidR="00EE1FBC" w:rsidRPr="008340A3">
        <w:t>ubic</w:t>
      </w:r>
      <w:r w:rsidR="00FB6043">
        <w:t>ó</w:t>
      </w:r>
      <w:r w:rsidRPr="008340A3">
        <w:t xml:space="preserve"> en </w:t>
      </w:r>
      <w:r w:rsidR="00B74400">
        <w:t>5</w:t>
      </w:r>
      <w:r w:rsidR="00B460E0">
        <w:t>8.</w:t>
      </w:r>
      <w:r w:rsidR="00A864F2">
        <w:t>7</w:t>
      </w:r>
      <w:r w:rsidRPr="008340A3">
        <w:t xml:space="preserve">. </w:t>
      </w:r>
      <w:r w:rsidR="008340A3">
        <w:t>Con este dato</w:t>
      </w:r>
      <w:r w:rsidRPr="008340A3">
        <w:t xml:space="preserve">, </w:t>
      </w:r>
      <w:r w:rsidR="000762E8">
        <w:t xml:space="preserve">el indicador </w:t>
      </w:r>
      <w:r w:rsidR="008F336F">
        <w:t xml:space="preserve">se </w:t>
      </w:r>
      <w:r w:rsidR="000567CD">
        <w:t>coloca</w:t>
      </w:r>
      <w:r w:rsidR="00173756">
        <w:t>,</w:t>
      </w:r>
      <w:r w:rsidR="00794D40">
        <w:t xml:space="preserve"> </w:t>
      </w:r>
      <w:r w:rsidR="008340A3">
        <w:t>po</w:t>
      </w:r>
      <w:r w:rsidRPr="008340A3">
        <w:t xml:space="preserve">r </w:t>
      </w:r>
      <w:r w:rsidR="00932ADF">
        <w:t>s</w:t>
      </w:r>
      <w:r w:rsidR="00A864F2">
        <w:t>éptimo</w:t>
      </w:r>
      <w:r w:rsidR="002D7E67">
        <w:t xml:space="preserve"> mes</w:t>
      </w:r>
      <w:r w:rsidR="002D6E90">
        <w:t xml:space="preserve"> consecutivo</w:t>
      </w:r>
      <w:r w:rsidR="00173756">
        <w:t>,</w:t>
      </w:r>
      <w:r w:rsidR="002D7E67">
        <w:t xml:space="preserve"> </w:t>
      </w:r>
      <w:r w:rsidR="002910A9">
        <w:t xml:space="preserve">por </w:t>
      </w:r>
      <w:r w:rsidR="00B74400">
        <w:t>encima</w:t>
      </w:r>
      <w:r w:rsidRPr="008340A3">
        <w:t xml:space="preserve"> del umbral de los 50 puntos</w:t>
      </w:r>
      <w:r w:rsidR="00EE1FBC" w:rsidRPr="008340A3">
        <w:t>.</w:t>
      </w:r>
    </w:p>
    <w:p w14:paraId="091BD17A" w14:textId="77777777" w:rsidR="00273C71" w:rsidRPr="008340A3" w:rsidRDefault="00273C71" w:rsidP="00014C74">
      <w:pPr>
        <w:pStyle w:val="p0"/>
        <w:keepLines w:val="0"/>
        <w:jc w:val="center"/>
        <w:rPr>
          <w:rFonts w:ascii="Arial" w:hAnsi="Arial"/>
          <w:color w:val="auto"/>
          <w:sz w:val="20"/>
          <w:szCs w:val="22"/>
        </w:rPr>
      </w:pPr>
      <w:r w:rsidRPr="008340A3">
        <w:rPr>
          <w:rFonts w:ascii="Arial" w:hAnsi="Arial"/>
          <w:color w:val="auto"/>
          <w:sz w:val="20"/>
          <w:szCs w:val="22"/>
        </w:rPr>
        <w:t xml:space="preserve">Gráfica </w:t>
      </w:r>
      <w:r w:rsidR="005524CE" w:rsidRPr="008340A3">
        <w:rPr>
          <w:rFonts w:ascii="Arial" w:hAnsi="Arial"/>
          <w:color w:val="auto"/>
          <w:sz w:val="20"/>
          <w:szCs w:val="22"/>
        </w:rPr>
        <w:t>4</w:t>
      </w:r>
    </w:p>
    <w:p w14:paraId="091BD17B" w14:textId="78B7DFC9" w:rsidR="00187FDC" w:rsidRDefault="00187FDC" w:rsidP="00187FDC">
      <w:pPr>
        <w:keepNext/>
        <w:keepLines/>
        <w:tabs>
          <w:tab w:val="left" w:pos="708"/>
          <w:tab w:val="center" w:pos="3348"/>
        </w:tabs>
        <w:jc w:val="center"/>
        <w:rPr>
          <w:b/>
          <w:smallCaps/>
          <w:sz w:val="22"/>
          <w:szCs w:val="22"/>
        </w:rPr>
      </w:pPr>
      <w:r w:rsidRPr="008340A3">
        <w:rPr>
          <w:b/>
          <w:smallCaps/>
          <w:sz w:val="22"/>
          <w:szCs w:val="22"/>
        </w:rPr>
        <w:t xml:space="preserve">Indicador de </w:t>
      </w:r>
      <w:r w:rsidR="00B4487F">
        <w:rPr>
          <w:b/>
          <w:smallCaps/>
          <w:sz w:val="22"/>
          <w:szCs w:val="22"/>
        </w:rPr>
        <w:t>C</w:t>
      </w:r>
      <w:r w:rsidRPr="008340A3">
        <w:rPr>
          <w:b/>
          <w:smallCaps/>
          <w:sz w:val="22"/>
          <w:szCs w:val="22"/>
        </w:rPr>
        <w:t xml:space="preserve">onfianza </w:t>
      </w:r>
      <w:r w:rsidR="00B4487F">
        <w:rPr>
          <w:b/>
          <w:smallCaps/>
          <w:sz w:val="22"/>
          <w:szCs w:val="22"/>
        </w:rPr>
        <w:t>E</w:t>
      </w:r>
      <w:r w:rsidRPr="008340A3">
        <w:rPr>
          <w:b/>
          <w:smallCaps/>
          <w:sz w:val="22"/>
          <w:szCs w:val="22"/>
        </w:rPr>
        <w:t xml:space="preserve">mpresarial de </w:t>
      </w:r>
      <w:r w:rsidR="00B4487F">
        <w:rPr>
          <w:b/>
          <w:smallCaps/>
          <w:sz w:val="22"/>
          <w:szCs w:val="22"/>
        </w:rPr>
        <w:t>S</w:t>
      </w:r>
      <w:r w:rsidRPr="008340A3">
        <w:rPr>
          <w:b/>
          <w:smallCaps/>
          <w:sz w:val="22"/>
          <w:szCs w:val="22"/>
        </w:rPr>
        <w:t xml:space="preserve">ervicios </w:t>
      </w:r>
      <w:r w:rsidR="003E235B" w:rsidRPr="008340A3">
        <w:rPr>
          <w:b/>
          <w:smallCaps/>
          <w:sz w:val="22"/>
          <w:szCs w:val="22"/>
        </w:rPr>
        <w:br/>
      </w:r>
      <w:r w:rsidRPr="008340A3">
        <w:rPr>
          <w:b/>
          <w:smallCaps/>
          <w:sz w:val="22"/>
          <w:szCs w:val="22"/>
        </w:rPr>
        <w:t>privados no financieros</w:t>
      </w:r>
    </w:p>
    <w:p w14:paraId="32CD5872" w14:textId="77777777" w:rsidR="001D0B33" w:rsidRPr="00FE11D9" w:rsidRDefault="001D0B33" w:rsidP="001D0B33">
      <w:pPr>
        <w:jc w:val="center"/>
        <w:rPr>
          <w:bCs/>
          <w:sz w:val="18"/>
          <w:szCs w:val="18"/>
        </w:rPr>
      </w:pPr>
      <w:r w:rsidRPr="007E5597">
        <w:rPr>
          <w:bCs/>
          <w:sz w:val="18"/>
          <w:szCs w:val="18"/>
        </w:rPr>
        <w:t>(Puntos)</w:t>
      </w:r>
    </w:p>
    <w:p w14:paraId="3C4881FB" w14:textId="6AF8FC3C" w:rsidR="00D31200" w:rsidRPr="00187FDC" w:rsidRDefault="009F09D5" w:rsidP="00187FDC">
      <w:pPr>
        <w:keepNext/>
        <w:keepLines/>
        <w:tabs>
          <w:tab w:val="left" w:pos="708"/>
          <w:tab w:val="center" w:pos="3348"/>
        </w:tabs>
        <w:jc w:val="center"/>
        <w:rPr>
          <w:b/>
          <w:smallCaps/>
          <w:spacing w:val="4"/>
          <w:sz w:val="22"/>
          <w:szCs w:val="22"/>
        </w:rPr>
      </w:pPr>
      <w:r>
        <w:rPr>
          <w:noProof/>
        </w:rPr>
        <w:drawing>
          <wp:inline distT="0" distB="0" distL="0" distR="0" wp14:anchorId="6CF1686E" wp14:editId="7616A27C">
            <wp:extent cx="4320000" cy="2520000"/>
            <wp:effectExtent l="0" t="0" r="23495" b="33020"/>
            <wp:docPr id="102152024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57E9EF48-6E09-4309-8E47-8A0DEB736BF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091BD17D" w14:textId="5C16343B" w:rsidR="009C6AF2" w:rsidRPr="00070539" w:rsidRDefault="009C6AF2" w:rsidP="006F61BE">
      <w:pPr>
        <w:ind w:left="1412" w:firstLine="226"/>
        <w:rPr>
          <w:sz w:val="16"/>
          <w:szCs w:val="16"/>
          <w:highlight w:val="yellow"/>
        </w:rPr>
      </w:pPr>
      <w:r w:rsidRPr="009C6AF2">
        <w:rPr>
          <w:sz w:val="16"/>
          <w:szCs w:val="16"/>
        </w:rPr>
        <w:t xml:space="preserve">Fuente: </w:t>
      </w:r>
      <w:r w:rsidRPr="00070539">
        <w:rPr>
          <w:smallCaps/>
          <w:sz w:val="16"/>
          <w:szCs w:val="16"/>
        </w:rPr>
        <w:t>INEGI</w:t>
      </w:r>
      <w:r w:rsidR="008D59D2">
        <w:rPr>
          <w:smallCaps/>
          <w:sz w:val="16"/>
          <w:szCs w:val="16"/>
        </w:rPr>
        <w:t>.</w:t>
      </w:r>
      <w:r w:rsidR="008D59D2" w:rsidRPr="00447557">
        <w:rPr>
          <w:sz w:val="16"/>
          <w:szCs w:val="16"/>
        </w:rPr>
        <w:t xml:space="preserve"> Encuesta Mensual de Opinión Empresarial (EMOE</w:t>
      </w:r>
      <w:r w:rsidR="005739BD" w:rsidRPr="00447557">
        <w:rPr>
          <w:sz w:val="16"/>
          <w:szCs w:val="16"/>
        </w:rPr>
        <w:t>)</w:t>
      </w:r>
      <w:r w:rsidR="005739BD">
        <w:rPr>
          <w:sz w:val="16"/>
          <w:szCs w:val="16"/>
        </w:rPr>
        <w:t>,</w:t>
      </w:r>
      <w:r w:rsidR="005739BD" w:rsidRPr="00447557">
        <w:rPr>
          <w:sz w:val="16"/>
          <w:szCs w:val="16"/>
        </w:rPr>
        <w:t xml:space="preserve"> </w:t>
      </w:r>
      <w:r w:rsidR="008D59D2" w:rsidRPr="00447557">
        <w:rPr>
          <w:sz w:val="16"/>
          <w:szCs w:val="16"/>
        </w:rPr>
        <w:t>2023.</w:t>
      </w:r>
    </w:p>
    <w:p w14:paraId="091BD17E" w14:textId="335A967F" w:rsidR="00184B86" w:rsidRPr="000738E1" w:rsidRDefault="00184B86" w:rsidP="00014C74">
      <w:pPr>
        <w:keepNext/>
        <w:keepLines/>
        <w:spacing w:before="240"/>
      </w:pPr>
      <w:r w:rsidRPr="000738E1">
        <w:lastRenderedPageBreak/>
        <w:t xml:space="preserve">El cuadro siguiente muestra el comportamiento del </w:t>
      </w:r>
      <w:r w:rsidR="007B0423" w:rsidRPr="000738E1">
        <w:t>ICE</w:t>
      </w:r>
      <w:r w:rsidRPr="000738E1">
        <w:t xml:space="preserve"> de Servicios </w:t>
      </w:r>
      <w:r w:rsidR="00CE5A20">
        <w:t>p</w:t>
      </w:r>
      <w:r w:rsidR="00812464" w:rsidRPr="000738E1">
        <w:t xml:space="preserve">rivados no </w:t>
      </w:r>
      <w:r w:rsidR="00CE5A20">
        <w:t>f</w:t>
      </w:r>
      <w:r w:rsidR="00812464" w:rsidRPr="000738E1">
        <w:t xml:space="preserve">inancieros </w:t>
      </w:r>
      <w:r w:rsidRPr="000738E1">
        <w:t xml:space="preserve">y el de sus componentes durante </w:t>
      </w:r>
      <w:r w:rsidR="008D59D2">
        <w:t>septiembre</w:t>
      </w:r>
      <w:r w:rsidRPr="000738E1">
        <w:t xml:space="preserve"> de 202</w:t>
      </w:r>
      <w:r w:rsidR="00F8295B">
        <w:t>3</w:t>
      </w:r>
      <w:r w:rsidRPr="000738E1">
        <w:t>.</w:t>
      </w:r>
    </w:p>
    <w:p w14:paraId="65C4D0F4" w14:textId="77777777" w:rsidR="0050547D" w:rsidRDefault="0050547D" w:rsidP="00014C74">
      <w:pPr>
        <w:pStyle w:val="bulnot"/>
        <w:keepNext/>
        <w:keepLines/>
        <w:widowControl w:val="0"/>
        <w:spacing w:before="240"/>
        <w:ind w:left="0" w:right="0" w:firstLine="0"/>
        <w:jc w:val="center"/>
        <w:rPr>
          <w:rFonts w:cs="Arial"/>
          <w:b w:val="0"/>
          <w:snapToGrid w:val="0"/>
          <w:color w:val="auto"/>
          <w:spacing w:val="0"/>
          <w:sz w:val="20"/>
          <w:szCs w:val="22"/>
        </w:rPr>
      </w:pPr>
    </w:p>
    <w:p w14:paraId="091BD17F" w14:textId="4F074A93" w:rsidR="00184B86" w:rsidRPr="000738E1" w:rsidRDefault="00184B86" w:rsidP="00014C74">
      <w:pPr>
        <w:pStyle w:val="bulnot"/>
        <w:keepNext/>
        <w:keepLines/>
        <w:widowControl w:val="0"/>
        <w:spacing w:before="240"/>
        <w:ind w:left="0" w:right="0" w:firstLine="0"/>
        <w:jc w:val="center"/>
        <w:rPr>
          <w:rFonts w:cs="Arial"/>
          <w:b w:val="0"/>
          <w:i/>
          <w:iCs/>
          <w:snapToGrid w:val="0"/>
          <w:color w:val="auto"/>
          <w:spacing w:val="0"/>
          <w:sz w:val="20"/>
          <w:szCs w:val="22"/>
        </w:rPr>
      </w:pPr>
      <w:r w:rsidRPr="000738E1">
        <w:rPr>
          <w:rFonts w:cs="Arial"/>
          <w:b w:val="0"/>
          <w:snapToGrid w:val="0"/>
          <w:color w:val="auto"/>
          <w:spacing w:val="0"/>
          <w:sz w:val="20"/>
          <w:szCs w:val="22"/>
        </w:rPr>
        <w:t>Cuadro 4</w:t>
      </w:r>
    </w:p>
    <w:p w14:paraId="0F60A2FC" w14:textId="6792E90A" w:rsidR="001D0B33" w:rsidRPr="00CA6912" w:rsidRDefault="00187FDC" w:rsidP="007E5597">
      <w:pPr>
        <w:keepNext/>
        <w:keepLines/>
        <w:tabs>
          <w:tab w:val="left" w:pos="708"/>
          <w:tab w:val="center" w:pos="3348"/>
        </w:tabs>
        <w:jc w:val="center"/>
        <w:rPr>
          <w:bCs/>
          <w:sz w:val="18"/>
          <w:szCs w:val="18"/>
        </w:rPr>
      </w:pPr>
      <w:r w:rsidRPr="000738E1">
        <w:rPr>
          <w:b/>
          <w:smallCaps/>
          <w:sz w:val="22"/>
          <w:szCs w:val="22"/>
        </w:rPr>
        <w:t xml:space="preserve">Indicador de </w:t>
      </w:r>
      <w:r w:rsidR="00B4487F">
        <w:rPr>
          <w:b/>
          <w:smallCaps/>
          <w:sz w:val="22"/>
          <w:szCs w:val="22"/>
        </w:rPr>
        <w:t>C</w:t>
      </w:r>
      <w:r w:rsidRPr="000738E1">
        <w:rPr>
          <w:b/>
          <w:smallCaps/>
          <w:sz w:val="22"/>
          <w:szCs w:val="22"/>
        </w:rPr>
        <w:t xml:space="preserve">onfianza </w:t>
      </w:r>
      <w:r w:rsidR="00B4487F">
        <w:rPr>
          <w:b/>
          <w:smallCaps/>
          <w:sz w:val="22"/>
          <w:szCs w:val="22"/>
        </w:rPr>
        <w:t>E</w:t>
      </w:r>
      <w:r w:rsidRPr="000738E1">
        <w:rPr>
          <w:b/>
          <w:smallCaps/>
          <w:sz w:val="22"/>
          <w:szCs w:val="22"/>
        </w:rPr>
        <w:t xml:space="preserve">mpresarial de </w:t>
      </w:r>
      <w:r w:rsidR="00B4487F">
        <w:rPr>
          <w:b/>
          <w:smallCaps/>
          <w:sz w:val="22"/>
          <w:szCs w:val="22"/>
        </w:rPr>
        <w:t>S</w:t>
      </w:r>
      <w:r w:rsidRPr="000738E1">
        <w:rPr>
          <w:b/>
          <w:smallCaps/>
          <w:sz w:val="22"/>
          <w:szCs w:val="22"/>
        </w:rPr>
        <w:t>ervicios privados no financieros</w:t>
      </w:r>
      <w:r w:rsidR="00507E81">
        <w:rPr>
          <w:b/>
          <w:smallCaps/>
          <w:sz w:val="22"/>
          <w:szCs w:val="22"/>
        </w:rPr>
        <w:t xml:space="preserve"> </w:t>
      </w:r>
      <w:r w:rsidR="00507E81" w:rsidRPr="00773FF2">
        <w:rPr>
          <w:b/>
          <w:smallCaps/>
          <w:spacing w:val="4"/>
          <w:sz w:val="22"/>
          <w:szCs w:val="22"/>
        </w:rPr>
        <w:t>y sus componentes</w:t>
      </w: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5027"/>
        <w:gridCol w:w="1016"/>
        <w:gridCol w:w="1006"/>
        <w:gridCol w:w="1006"/>
        <w:gridCol w:w="564"/>
        <w:gridCol w:w="1345"/>
      </w:tblGrid>
      <w:tr w:rsidR="00184B86" w:rsidRPr="00187FDC" w14:paraId="091BD185" w14:textId="77777777" w:rsidTr="001D0B33">
        <w:tc>
          <w:tcPr>
            <w:tcW w:w="2522" w:type="pct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181" w14:textId="19F5660F" w:rsidR="00184B86" w:rsidRPr="00187FDC" w:rsidRDefault="00184B86" w:rsidP="001B7EF3">
            <w:pPr>
              <w:keepNext/>
              <w:keepLines/>
              <w:spacing w:before="20" w:after="20"/>
              <w:ind w:left="176"/>
              <w:rPr>
                <w:spacing w:val="4"/>
                <w:sz w:val="18"/>
                <w:szCs w:val="18"/>
              </w:rPr>
            </w:pPr>
            <w:r w:rsidRPr="005739BD">
              <w:rPr>
                <w:sz w:val="18"/>
                <w:szCs w:val="18"/>
              </w:rPr>
              <w:t>Indicador</w:t>
            </w:r>
            <w:r w:rsidR="00447557" w:rsidRPr="005739BD">
              <w:rPr>
                <w:sz w:val="18"/>
                <w:szCs w:val="18"/>
              </w:rPr>
              <w:t xml:space="preserve"> </w:t>
            </w:r>
            <w:r w:rsidR="00447557" w:rsidRPr="007E5597">
              <w:rPr>
                <w:sz w:val="18"/>
                <w:szCs w:val="18"/>
              </w:rPr>
              <w:t>y componentes</w:t>
            </w:r>
          </w:p>
        </w:tc>
        <w:tc>
          <w:tcPr>
            <w:tcW w:w="510" w:type="pct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3D174841" w14:textId="4326D35F" w:rsidR="00304D5B" w:rsidRDefault="008D59D2" w:rsidP="001B7EF3">
            <w:pPr>
              <w:keepNext/>
              <w:keepLines/>
              <w:spacing w:before="20" w:after="20"/>
              <w:ind w:left="-104" w:right="-97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Septiembre</w:t>
            </w:r>
          </w:p>
          <w:p w14:paraId="091BD182" w14:textId="108AEF9E" w:rsidR="00184B86" w:rsidRPr="00187FDC" w:rsidRDefault="00184B86" w:rsidP="001B7EF3">
            <w:pPr>
              <w:keepNext/>
              <w:keepLines/>
              <w:spacing w:before="20" w:after="20"/>
              <w:ind w:left="-104" w:right="-97"/>
              <w:jc w:val="center"/>
              <w:rPr>
                <w:spacing w:val="-4"/>
                <w:sz w:val="18"/>
                <w:szCs w:val="18"/>
              </w:rPr>
            </w:pPr>
            <w:r w:rsidRPr="00187FDC">
              <w:rPr>
                <w:spacing w:val="-4"/>
                <w:sz w:val="18"/>
                <w:szCs w:val="18"/>
              </w:rPr>
              <w:t>de 202</w:t>
            </w:r>
            <w:r w:rsidR="00F8295B">
              <w:rPr>
                <w:spacing w:val="-4"/>
                <w:sz w:val="18"/>
                <w:szCs w:val="18"/>
              </w:rPr>
              <w:t>3</w:t>
            </w:r>
          </w:p>
        </w:tc>
        <w:tc>
          <w:tcPr>
            <w:tcW w:w="1010" w:type="pct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183" w14:textId="531ABC43" w:rsidR="00184B86" w:rsidRPr="00187FDC" w:rsidRDefault="00184B86" w:rsidP="001B7EF3">
            <w:pPr>
              <w:keepNext/>
              <w:keepLines/>
              <w:spacing w:before="20" w:after="20"/>
              <w:ind w:left="-108" w:right="-96"/>
              <w:jc w:val="center"/>
              <w:rPr>
                <w:spacing w:val="-4"/>
                <w:sz w:val="18"/>
                <w:szCs w:val="18"/>
              </w:rPr>
            </w:pPr>
            <w:r w:rsidRPr="00187FDC">
              <w:rPr>
                <w:spacing w:val="-4"/>
                <w:sz w:val="18"/>
                <w:szCs w:val="18"/>
              </w:rPr>
              <w:t>Diferencias</w:t>
            </w:r>
            <w:r w:rsidRPr="00187FDC">
              <w:rPr>
                <w:spacing w:val="-4"/>
                <w:sz w:val="18"/>
                <w:szCs w:val="18"/>
                <w:vertAlign w:val="superscript"/>
              </w:rPr>
              <w:t>1/</w:t>
            </w:r>
            <w:r w:rsidRPr="00187FDC">
              <w:rPr>
                <w:spacing w:val="-4"/>
                <w:sz w:val="18"/>
                <w:szCs w:val="18"/>
              </w:rPr>
              <w:t xml:space="preserve"> en</w:t>
            </w:r>
            <w:r w:rsidRPr="00187FDC">
              <w:rPr>
                <w:spacing w:val="-4"/>
                <w:sz w:val="18"/>
                <w:szCs w:val="18"/>
              </w:rPr>
              <w:br/>
              <w:t>puntos respecto a:</w:t>
            </w:r>
          </w:p>
        </w:tc>
        <w:tc>
          <w:tcPr>
            <w:tcW w:w="959" w:type="pct"/>
            <w:gridSpan w:val="2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184" w14:textId="77777777" w:rsidR="00184B86" w:rsidRPr="00187FDC" w:rsidRDefault="00184B86" w:rsidP="001B7EF3">
            <w:pPr>
              <w:keepNext/>
              <w:keepLines/>
              <w:tabs>
                <w:tab w:val="center" w:pos="3348"/>
              </w:tabs>
              <w:spacing w:before="20" w:after="20"/>
              <w:ind w:left="-96" w:right="-79"/>
              <w:jc w:val="center"/>
              <w:rPr>
                <w:spacing w:val="-4"/>
                <w:sz w:val="18"/>
                <w:szCs w:val="18"/>
              </w:rPr>
            </w:pPr>
            <w:r w:rsidRPr="00187FDC">
              <w:rPr>
                <w:spacing w:val="-4"/>
                <w:sz w:val="18"/>
                <w:szCs w:val="18"/>
              </w:rPr>
              <w:t xml:space="preserve">Número de meses consecutivos por </w:t>
            </w:r>
            <w:r w:rsidRPr="00187FDC">
              <w:rPr>
                <w:spacing w:val="-4"/>
                <w:sz w:val="18"/>
                <w:szCs w:val="18"/>
              </w:rPr>
              <w:br/>
              <w:t xml:space="preserve">arriba o por debajo </w:t>
            </w:r>
            <w:r w:rsidRPr="00187FDC">
              <w:rPr>
                <w:spacing w:val="-4"/>
                <w:sz w:val="18"/>
                <w:szCs w:val="18"/>
              </w:rPr>
              <w:br/>
              <w:t xml:space="preserve">del umbral de </w:t>
            </w:r>
            <w:r w:rsidRPr="00187FDC">
              <w:rPr>
                <w:spacing w:val="-4"/>
                <w:sz w:val="18"/>
                <w:szCs w:val="18"/>
              </w:rPr>
              <w:br/>
              <w:t>50 puntos</w:t>
            </w:r>
          </w:p>
        </w:tc>
      </w:tr>
      <w:tr w:rsidR="00697144" w:rsidRPr="00187FDC" w14:paraId="091BD18B" w14:textId="77777777" w:rsidTr="001D0B33">
        <w:tc>
          <w:tcPr>
            <w:tcW w:w="2522" w:type="pct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1BD186" w14:textId="77777777" w:rsidR="00697144" w:rsidRPr="00187FDC" w:rsidRDefault="00697144" w:rsidP="00697144">
            <w:pPr>
              <w:keepNext/>
              <w:keepLines/>
              <w:spacing w:before="20" w:after="20"/>
              <w:ind w:left="176"/>
              <w:rPr>
                <w:sz w:val="18"/>
                <w:szCs w:val="18"/>
              </w:rPr>
            </w:pPr>
          </w:p>
        </w:tc>
        <w:tc>
          <w:tcPr>
            <w:tcW w:w="510" w:type="pct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1BD187" w14:textId="77777777" w:rsidR="00697144" w:rsidRPr="00187FDC" w:rsidRDefault="00697144" w:rsidP="00697144">
            <w:pPr>
              <w:keepNext/>
              <w:keepLines/>
              <w:spacing w:before="20" w:after="20"/>
              <w:ind w:left="-120" w:right="-61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188" w14:textId="7E61B6D0" w:rsidR="00697144" w:rsidRPr="00187FDC" w:rsidRDefault="008D59D2" w:rsidP="00697144">
            <w:pPr>
              <w:keepNext/>
              <w:keepLines/>
              <w:spacing w:before="20" w:after="20"/>
              <w:ind w:left="-135" w:right="-108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agost</w:t>
            </w:r>
            <w:r w:rsidR="00697144" w:rsidRPr="00B436C4">
              <w:rPr>
                <w:spacing w:val="-4"/>
                <w:sz w:val="18"/>
                <w:szCs w:val="18"/>
              </w:rPr>
              <w:t>o</w:t>
            </w:r>
            <w:r w:rsidR="00697144" w:rsidRPr="00B436C4">
              <w:rPr>
                <w:spacing w:val="-4"/>
                <w:sz w:val="18"/>
                <w:szCs w:val="18"/>
              </w:rPr>
              <w:br/>
              <w:t>de 2023</w:t>
            </w:r>
          </w:p>
        </w:tc>
        <w:tc>
          <w:tcPr>
            <w:tcW w:w="505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189" w14:textId="43F03030" w:rsidR="00697144" w:rsidRPr="00187FDC" w:rsidRDefault="008D59D2" w:rsidP="00697144">
            <w:pPr>
              <w:keepNext/>
              <w:keepLines/>
              <w:spacing w:before="20" w:after="20"/>
              <w:ind w:left="-106" w:right="-95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septiembre</w:t>
            </w:r>
            <w:r w:rsidR="00697144" w:rsidRPr="00B436C4">
              <w:rPr>
                <w:spacing w:val="-4"/>
                <w:sz w:val="18"/>
                <w:szCs w:val="18"/>
              </w:rPr>
              <w:br/>
              <w:t>de 202</w:t>
            </w:r>
            <w:r w:rsidR="00697144">
              <w:rPr>
                <w:spacing w:val="-4"/>
                <w:sz w:val="18"/>
                <w:szCs w:val="18"/>
              </w:rPr>
              <w:t>2</w:t>
            </w:r>
          </w:p>
        </w:tc>
        <w:tc>
          <w:tcPr>
            <w:tcW w:w="959" w:type="pct"/>
            <w:gridSpan w:val="2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1BD18A" w14:textId="77777777" w:rsidR="00697144" w:rsidRPr="00187FDC" w:rsidRDefault="00697144" w:rsidP="00697144">
            <w:pPr>
              <w:keepNext/>
              <w:keepLines/>
              <w:tabs>
                <w:tab w:val="center" w:pos="3348"/>
              </w:tabs>
              <w:spacing w:before="60" w:after="60"/>
              <w:ind w:left="-93" w:right="-80"/>
              <w:jc w:val="center"/>
              <w:rPr>
                <w:sz w:val="18"/>
                <w:szCs w:val="18"/>
              </w:rPr>
            </w:pPr>
          </w:p>
        </w:tc>
      </w:tr>
      <w:tr w:rsidR="00A864F2" w:rsidRPr="00187FDC" w14:paraId="091BD192" w14:textId="77777777" w:rsidTr="001D0B33">
        <w:trPr>
          <w:trHeight w:val="226"/>
        </w:trPr>
        <w:tc>
          <w:tcPr>
            <w:tcW w:w="2522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8C" w14:textId="36BF4D45" w:rsidR="00A864F2" w:rsidRPr="00187FDC" w:rsidRDefault="00A864F2" w:rsidP="00A864F2">
            <w:pPr>
              <w:tabs>
                <w:tab w:val="left" w:pos="708"/>
              </w:tabs>
              <w:spacing w:before="20"/>
              <w:ind w:right="-236"/>
              <w:jc w:val="left"/>
              <w:rPr>
                <w:b/>
                <w:spacing w:val="4"/>
                <w:sz w:val="18"/>
                <w:szCs w:val="18"/>
              </w:rPr>
            </w:pPr>
            <w:r w:rsidRPr="00187FDC">
              <w:rPr>
                <w:b/>
                <w:spacing w:val="-6"/>
                <w:sz w:val="18"/>
                <w:szCs w:val="18"/>
              </w:rPr>
              <w:t>Indicador</w:t>
            </w:r>
            <w:r w:rsidRPr="00187FDC">
              <w:rPr>
                <w:b/>
                <w:spacing w:val="4"/>
                <w:sz w:val="18"/>
                <w:szCs w:val="18"/>
              </w:rPr>
              <w:t xml:space="preserve"> de Confianza Empresarial de Servicios</w:t>
            </w:r>
            <w:r>
              <w:rPr>
                <w:b/>
                <w:spacing w:val="4"/>
                <w:sz w:val="18"/>
                <w:szCs w:val="18"/>
              </w:rPr>
              <w:t xml:space="preserve"> privados no financieros</w:t>
            </w:r>
          </w:p>
        </w:tc>
        <w:tc>
          <w:tcPr>
            <w:tcW w:w="510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091BD18D" w14:textId="480353B0" w:rsidR="00A864F2" w:rsidRPr="00187FDC" w:rsidRDefault="00A864F2" w:rsidP="00A864F2">
            <w:pPr>
              <w:tabs>
                <w:tab w:val="decimal" w:pos="420"/>
              </w:tabs>
              <w:jc w:val="lef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58.7</w:t>
            </w:r>
          </w:p>
        </w:tc>
        <w:tc>
          <w:tcPr>
            <w:tcW w:w="505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nil"/>
            </w:tcBorders>
            <w:vAlign w:val="center"/>
          </w:tcPr>
          <w:p w14:paraId="091BD18E" w14:textId="3986A427" w:rsidR="00A864F2" w:rsidRPr="00187FDC" w:rsidRDefault="00A864F2" w:rsidP="00A864F2">
            <w:pPr>
              <w:tabs>
                <w:tab w:val="decimal" w:pos="391"/>
              </w:tabs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0.1</w:t>
            </w:r>
          </w:p>
        </w:tc>
        <w:tc>
          <w:tcPr>
            <w:tcW w:w="505" w:type="pct"/>
            <w:tcBorders>
              <w:top w:val="single" w:sz="4" w:space="0" w:color="404040" w:themeColor="text1" w:themeTint="BF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8F" w14:textId="228AA95F" w:rsidR="00A864F2" w:rsidRPr="00187FDC" w:rsidRDefault="00A864F2" w:rsidP="00A864F2">
            <w:pPr>
              <w:tabs>
                <w:tab w:val="decimal" w:pos="392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15.6</w:t>
            </w:r>
          </w:p>
        </w:tc>
        <w:tc>
          <w:tcPr>
            <w:tcW w:w="283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190" w14:textId="527C9997" w:rsidR="00A864F2" w:rsidRPr="00187FDC" w:rsidRDefault="00A864F2" w:rsidP="00A864F2">
            <w:pPr>
              <w:jc w:val="righ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676" w:type="pct"/>
            <w:tcBorders>
              <w:top w:val="single" w:sz="4" w:space="0" w:color="404040" w:themeColor="text1" w:themeTint="BF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91" w14:textId="0D347B48" w:rsidR="00A864F2" w:rsidRPr="00187FDC" w:rsidRDefault="00A864F2" w:rsidP="00A864F2">
            <w:pPr>
              <w:jc w:val="lef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sz w:val="18"/>
                <w:szCs w:val="18"/>
              </w:rPr>
              <w:t>p</w:t>
            </w:r>
            <w:r w:rsidRPr="00187FDC">
              <w:rPr>
                <w:b/>
                <w:bCs/>
                <w:sz w:val="18"/>
                <w:szCs w:val="18"/>
              </w:rPr>
              <w:t xml:space="preserve">or </w:t>
            </w:r>
            <w:r>
              <w:rPr>
                <w:b/>
                <w:bCs/>
                <w:sz w:val="18"/>
                <w:szCs w:val="18"/>
              </w:rPr>
              <w:t>arriba</w:t>
            </w:r>
          </w:p>
        </w:tc>
      </w:tr>
      <w:tr w:rsidR="00A864F2" w:rsidRPr="00187FDC" w14:paraId="091BD199" w14:textId="77777777" w:rsidTr="001D0B33">
        <w:trPr>
          <w:trHeight w:val="237"/>
        </w:trPr>
        <w:tc>
          <w:tcPr>
            <w:tcW w:w="2522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93" w14:textId="77777777" w:rsidR="00A864F2" w:rsidRPr="00187FDC" w:rsidRDefault="00A864F2" w:rsidP="0050547D">
            <w:pPr>
              <w:numPr>
                <w:ilvl w:val="0"/>
                <w:numId w:val="43"/>
              </w:numPr>
              <w:tabs>
                <w:tab w:val="clear" w:pos="609"/>
                <w:tab w:val="num" w:pos="309"/>
              </w:tabs>
              <w:spacing w:before="20"/>
              <w:ind w:hanging="584"/>
              <w:jc w:val="left"/>
              <w:rPr>
                <w:spacing w:val="4"/>
                <w:sz w:val="18"/>
                <w:szCs w:val="18"/>
              </w:rPr>
            </w:pPr>
            <w:r w:rsidRPr="00187FDC">
              <w:rPr>
                <w:sz w:val="18"/>
                <w:szCs w:val="18"/>
                <w:lang w:val="es-MX"/>
              </w:rPr>
              <w:t>Momento adecuado para invertir</w:t>
            </w:r>
          </w:p>
        </w:tc>
        <w:tc>
          <w:tcPr>
            <w:tcW w:w="510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091BD194" w14:textId="0869BBF7" w:rsidR="00A864F2" w:rsidRPr="00187FDC" w:rsidRDefault="00A864F2" w:rsidP="00A864F2">
            <w:pPr>
              <w:tabs>
                <w:tab w:val="decimal" w:pos="420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52.9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195" w14:textId="0C445239" w:rsidR="00A864F2" w:rsidRPr="00187FDC" w:rsidRDefault="00A864F2" w:rsidP="00A864F2">
            <w:pPr>
              <w:tabs>
                <w:tab w:val="decimal" w:pos="391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96" w14:textId="5989C09B" w:rsidR="00A864F2" w:rsidRPr="00187FDC" w:rsidRDefault="00A864F2" w:rsidP="00A864F2">
            <w:pPr>
              <w:tabs>
                <w:tab w:val="decimal" w:pos="392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22.7</w:t>
            </w:r>
          </w:p>
        </w:tc>
        <w:tc>
          <w:tcPr>
            <w:tcW w:w="283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197" w14:textId="22E471DB" w:rsidR="00A864F2" w:rsidRPr="004F4984" w:rsidRDefault="00A864F2" w:rsidP="00A864F2">
            <w:pPr>
              <w:jc w:val="right"/>
              <w:rPr>
                <w:sz w:val="18"/>
                <w:szCs w:val="18"/>
                <w:lang w:val="es-MX" w:eastAsia="es-MX"/>
              </w:rPr>
            </w:pPr>
            <w:r>
              <w:rPr>
                <w:sz w:val="18"/>
                <w:szCs w:val="18"/>
                <w:lang w:val="es-MX" w:eastAsia="es-MX"/>
              </w:rPr>
              <w:t>3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98" w14:textId="382933B6" w:rsidR="00A864F2" w:rsidRPr="00187FDC" w:rsidRDefault="00A864F2" w:rsidP="00A864F2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187FDC">
              <w:rPr>
                <w:sz w:val="18"/>
                <w:szCs w:val="18"/>
              </w:rPr>
              <w:t xml:space="preserve">or </w:t>
            </w:r>
            <w:r>
              <w:rPr>
                <w:sz w:val="18"/>
                <w:szCs w:val="18"/>
              </w:rPr>
              <w:t>arriba</w:t>
            </w:r>
          </w:p>
        </w:tc>
      </w:tr>
      <w:tr w:rsidR="00A864F2" w:rsidRPr="00187FDC" w14:paraId="091BD1A0" w14:textId="77777777" w:rsidTr="001D0B33">
        <w:trPr>
          <w:trHeight w:val="226"/>
        </w:trPr>
        <w:tc>
          <w:tcPr>
            <w:tcW w:w="2522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9A" w14:textId="77777777" w:rsidR="00A864F2" w:rsidRPr="00187FDC" w:rsidRDefault="00A864F2" w:rsidP="0050547D">
            <w:pPr>
              <w:numPr>
                <w:ilvl w:val="0"/>
                <w:numId w:val="43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187FDC">
              <w:rPr>
                <w:sz w:val="18"/>
                <w:szCs w:val="18"/>
                <w:lang w:val="es-MX"/>
              </w:rPr>
              <w:t>Situación económica presente del país</w:t>
            </w:r>
          </w:p>
        </w:tc>
        <w:tc>
          <w:tcPr>
            <w:tcW w:w="510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091BD19B" w14:textId="15382302" w:rsidR="00A864F2" w:rsidRPr="00187FDC" w:rsidRDefault="00A864F2" w:rsidP="00A864F2">
            <w:pPr>
              <w:tabs>
                <w:tab w:val="decimal" w:pos="420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57.7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19C" w14:textId="18B76986" w:rsidR="00A864F2" w:rsidRPr="00187FDC" w:rsidRDefault="00A864F2" w:rsidP="00A864F2">
            <w:pPr>
              <w:tabs>
                <w:tab w:val="decimal" w:pos="391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-0.6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9D" w14:textId="7F7BF7CC" w:rsidR="00A864F2" w:rsidRPr="00187FDC" w:rsidRDefault="00A864F2" w:rsidP="00A864F2">
            <w:pPr>
              <w:tabs>
                <w:tab w:val="decimal" w:pos="392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15.4</w:t>
            </w:r>
          </w:p>
        </w:tc>
        <w:tc>
          <w:tcPr>
            <w:tcW w:w="283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19E" w14:textId="1A865945" w:rsidR="00A864F2" w:rsidRPr="004F4984" w:rsidRDefault="00A864F2" w:rsidP="00A864F2">
            <w:pPr>
              <w:jc w:val="right"/>
              <w:rPr>
                <w:sz w:val="18"/>
                <w:szCs w:val="18"/>
                <w:lang w:val="es-MX" w:eastAsia="es-MX"/>
              </w:rPr>
            </w:pPr>
            <w:r>
              <w:rPr>
                <w:sz w:val="18"/>
                <w:szCs w:val="18"/>
                <w:lang w:val="es-MX" w:eastAsia="es-MX"/>
              </w:rPr>
              <w:t>7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9F" w14:textId="651C973F" w:rsidR="00A864F2" w:rsidRPr="00187FDC" w:rsidRDefault="00A864F2" w:rsidP="00A864F2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187FDC">
              <w:rPr>
                <w:sz w:val="18"/>
                <w:szCs w:val="18"/>
              </w:rPr>
              <w:t xml:space="preserve">or </w:t>
            </w:r>
            <w:r>
              <w:rPr>
                <w:sz w:val="18"/>
                <w:szCs w:val="18"/>
              </w:rPr>
              <w:t>arriba</w:t>
            </w:r>
          </w:p>
        </w:tc>
      </w:tr>
      <w:tr w:rsidR="00A864F2" w:rsidRPr="00187FDC" w14:paraId="091BD1A7" w14:textId="77777777" w:rsidTr="001D0B33">
        <w:trPr>
          <w:trHeight w:val="237"/>
        </w:trPr>
        <w:tc>
          <w:tcPr>
            <w:tcW w:w="2522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A1" w14:textId="77777777" w:rsidR="00A864F2" w:rsidRPr="00187FDC" w:rsidRDefault="00A864F2" w:rsidP="0050547D">
            <w:pPr>
              <w:numPr>
                <w:ilvl w:val="0"/>
                <w:numId w:val="43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187FDC">
              <w:rPr>
                <w:sz w:val="18"/>
                <w:szCs w:val="18"/>
                <w:lang w:val="es-MX"/>
              </w:rPr>
              <w:t>Situación económica futura del país</w:t>
            </w:r>
          </w:p>
        </w:tc>
        <w:tc>
          <w:tcPr>
            <w:tcW w:w="510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091BD1A2" w14:textId="5803CAE9" w:rsidR="00A864F2" w:rsidRPr="00187FDC" w:rsidRDefault="00A864F2" w:rsidP="00A864F2">
            <w:pPr>
              <w:tabs>
                <w:tab w:val="decimal" w:pos="420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59.9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1A3" w14:textId="33FA2330" w:rsidR="00A864F2" w:rsidRPr="00187FDC" w:rsidRDefault="00A864F2" w:rsidP="00A864F2">
            <w:pPr>
              <w:tabs>
                <w:tab w:val="decimal" w:pos="391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0.4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A4" w14:textId="025AD9B0" w:rsidR="00A864F2" w:rsidRPr="00187FDC" w:rsidRDefault="00A864F2" w:rsidP="00A864F2">
            <w:pPr>
              <w:tabs>
                <w:tab w:val="decimal" w:pos="392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13.9</w:t>
            </w:r>
          </w:p>
        </w:tc>
        <w:tc>
          <w:tcPr>
            <w:tcW w:w="283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1A5" w14:textId="482D292B" w:rsidR="00A864F2" w:rsidRPr="004F4984" w:rsidRDefault="00A864F2" w:rsidP="00A864F2">
            <w:pPr>
              <w:jc w:val="right"/>
              <w:rPr>
                <w:sz w:val="18"/>
                <w:szCs w:val="18"/>
                <w:lang w:val="es-MX" w:eastAsia="es-MX"/>
              </w:rPr>
            </w:pPr>
            <w:r>
              <w:rPr>
                <w:sz w:val="18"/>
                <w:szCs w:val="18"/>
                <w:lang w:val="es-MX" w:eastAsia="es-MX"/>
              </w:rPr>
              <w:t>8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A6" w14:textId="2D3AA4EB" w:rsidR="00A864F2" w:rsidRPr="00187FDC" w:rsidRDefault="00A864F2" w:rsidP="00A864F2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187FDC">
              <w:rPr>
                <w:sz w:val="18"/>
                <w:szCs w:val="18"/>
              </w:rPr>
              <w:t xml:space="preserve">or </w:t>
            </w:r>
            <w:r>
              <w:rPr>
                <w:sz w:val="18"/>
                <w:szCs w:val="18"/>
              </w:rPr>
              <w:t>arriba</w:t>
            </w:r>
          </w:p>
        </w:tc>
      </w:tr>
      <w:tr w:rsidR="00A864F2" w:rsidRPr="00187FDC" w14:paraId="091BD1AE" w14:textId="77777777" w:rsidTr="001D0B33">
        <w:trPr>
          <w:trHeight w:val="247"/>
        </w:trPr>
        <w:tc>
          <w:tcPr>
            <w:tcW w:w="2522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A8" w14:textId="77777777" w:rsidR="00A864F2" w:rsidRPr="00187FDC" w:rsidRDefault="00A864F2" w:rsidP="0050547D">
            <w:pPr>
              <w:numPr>
                <w:ilvl w:val="0"/>
                <w:numId w:val="43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187FDC">
              <w:rPr>
                <w:sz w:val="18"/>
                <w:szCs w:val="18"/>
                <w:lang w:val="es-MX"/>
              </w:rPr>
              <w:t>Situación económica presente de la empresa</w:t>
            </w:r>
          </w:p>
        </w:tc>
        <w:tc>
          <w:tcPr>
            <w:tcW w:w="510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091BD1A9" w14:textId="14A4BEF9" w:rsidR="00A864F2" w:rsidRPr="00187FDC" w:rsidRDefault="00A864F2" w:rsidP="00A864F2">
            <w:pPr>
              <w:tabs>
                <w:tab w:val="decimal" w:pos="420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59.0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vAlign w:val="center"/>
          </w:tcPr>
          <w:p w14:paraId="091BD1AA" w14:textId="0335C76D" w:rsidR="00A864F2" w:rsidRPr="00187FDC" w:rsidRDefault="00A864F2" w:rsidP="00A864F2">
            <w:pPr>
              <w:tabs>
                <w:tab w:val="decimal" w:pos="391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0.7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AB" w14:textId="7815D78E" w:rsidR="00A864F2" w:rsidRPr="00187FDC" w:rsidRDefault="00A864F2" w:rsidP="00A864F2">
            <w:pPr>
              <w:tabs>
                <w:tab w:val="decimal" w:pos="392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11.8</w:t>
            </w:r>
          </w:p>
        </w:tc>
        <w:tc>
          <w:tcPr>
            <w:tcW w:w="283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1AC" w14:textId="67EBB150" w:rsidR="00A864F2" w:rsidRPr="004F4984" w:rsidRDefault="00A864F2" w:rsidP="00A864F2">
            <w:pPr>
              <w:jc w:val="right"/>
              <w:rPr>
                <w:sz w:val="18"/>
                <w:szCs w:val="18"/>
                <w:lang w:val="es-MX" w:eastAsia="es-MX"/>
              </w:rPr>
            </w:pPr>
            <w:r>
              <w:rPr>
                <w:sz w:val="18"/>
                <w:szCs w:val="18"/>
                <w:lang w:val="es-MX" w:eastAsia="es-MX"/>
              </w:rPr>
              <w:t>7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AD" w14:textId="545F914D" w:rsidR="00A864F2" w:rsidRPr="00187FDC" w:rsidRDefault="00A864F2" w:rsidP="00A864F2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187FDC">
              <w:rPr>
                <w:sz w:val="18"/>
                <w:szCs w:val="18"/>
              </w:rPr>
              <w:t xml:space="preserve">or </w:t>
            </w:r>
            <w:r>
              <w:rPr>
                <w:sz w:val="18"/>
                <w:szCs w:val="18"/>
              </w:rPr>
              <w:t>arriba</w:t>
            </w:r>
          </w:p>
        </w:tc>
      </w:tr>
      <w:tr w:rsidR="00A864F2" w:rsidRPr="00187FDC" w14:paraId="091BD1B5" w14:textId="77777777" w:rsidTr="001D0B33">
        <w:trPr>
          <w:trHeight w:val="132"/>
        </w:trPr>
        <w:tc>
          <w:tcPr>
            <w:tcW w:w="2522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AF" w14:textId="77777777" w:rsidR="00A864F2" w:rsidRPr="00187FDC" w:rsidRDefault="00A864F2" w:rsidP="0050547D">
            <w:pPr>
              <w:numPr>
                <w:ilvl w:val="0"/>
                <w:numId w:val="43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187FDC">
              <w:rPr>
                <w:sz w:val="18"/>
                <w:szCs w:val="18"/>
                <w:lang w:val="es-MX"/>
              </w:rPr>
              <w:t>Situación económica futura de la empresa</w:t>
            </w:r>
          </w:p>
        </w:tc>
        <w:tc>
          <w:tcPr>
            <w:tcW w:w="510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1BD1B0" w14:textId="5BF8F482" w:rsidR="00A864F2" w:rsidRPr="00187FDC" w:rsidRDefault="00A864F2" w:rsidP="00A864F2">
            <w:pPr>
              <w:tabs>
                <w:tab w:val="decimal" w:pos="420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64.2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nil"/>
            </w:tcBorders>
            <w:vAlign w:val="center"/>
          </w:tcPr>
          <w:p w14:paraId="091BD1B1" w14:textId="54F025D7" w:rsidR="00A864F2" w:rsidRPr="00187FDC" w:rsidRDefault="00A864F2" w:rsidP="00A864F2">
            <w:pPr>
              <w:tabs>
                <w:tab w:val="decimal" w:pos="391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B2" w14:textId="4575273C" w:rsidR="00A864F2" w:rsidRPr="00187FDC" w:rsidRDefault="00A864F2" w:rsidP="00A864F2">
            <w:pPr>
              <w:tabs>
                <w:tab w:val="decimal" w:pos="392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14.4</w:t>
            </w:r>
          </w:p>
        </w:tc>
        <w:tc>
          <w:tcPr>
            <w:tcW w:w="283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nil"/>
            </w:tcBorders>
            <w:shd w:val="clear" w:color="auto" w:fill="auto"/>
            <w:vAlign w:val="center"/>
          </w:tcPr>
          <w:p w14:paraId="091BD1B3" w14:textId="4F577CB0" w:rsidR="00A864F2" w:rsidRPr="004F4984" w:rsidRDefault="00A864F2" w:rsidP="00A864F2">
            <w:pPr>
              <w:jc w:val="right"/>
              <w:rPr>
                <w:sz w:val="18"/>
                <w:szCs w:val="18"/>
                <w:lang w:val="es-MX" w:eastAsia="es-MX"/>
              </w:rPr>
            </w:pPr>
            <w:r>
              <w:rPr>
                <w:sz w:val="18"/>
                <w:szCs w:val="18"/>
                <w:lang w:val="es-MX" w:eastAsia="es-MX"/>
              </w:rPr>
              <w:t>8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B4" w14:textId="36148C57" w:rsidR="00A864F2" w:rsidRPr="00187FDC" w:rsidRDefault="00A864F2" w:rsidP="00A864F2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187FDC">
              <w:rPr>
                <w:sz w:val="18"/>
                <w:szCs w:val="18"/>
              </w:rPr>
              <w:t xml:space="preserve">or </w:t>
            </w:r>
            <w:r>
              <w:rPr>
                <w:sz w:val="18"/>
                <w:szCs w:val="18"/>
              </w:rPr>
              <w:t>arriba</w:t>
            </w:r>
          </w:p>
        </w:tc>
      </w:tr>
    </w:tbl>
    <w:p w14:paraId="091BD1B6" w14:textId="77777777" w:rsidR="00184B86" w:rsidRPr="009C6AF2" w:rsidRDefault="00184B86" w:rsidP="009C6AF2">
      <w:pPr>
        <w:spacing w:line="180" w:lineRule="exact"/>
        <w:ind w:left="658" w:right="40" w:hanging="550"/>
        <w:outlineLvl w:val="0"/>
        <w:rPr>
          <w:sz w:val="16"/>
          <w:szCs w:val="16"/>
        </w:rPr>
      </w:pPr>
      <w:r w:rsidRPr="009C6AF2">
        <w:rPr>
          <w:sz w:val="16"/>
          <w:szCs w:val="16"/>
        </w:rPr>
        <w:t>Nota:</w:t>
      </w:r>
      <w:r w:rsidRPr="009C6AF2">
        <w:rPr>
          <w:sz w:val="16"/>
          <w:szCs w:val="16"/>
        </w:rPr>
        <w:tab/>
        <w:t xml:space="preserve">Los indicadores se generan con los datos referidos al mes de la entrevista. </w:t>
      </w:r>
    </w:p>
    <w:p w14:paraId="091BD1B7" w14:textId="77777777" w:rsidR="00184B86" w:rsidRPr="009C6AF2" w:rsidRDefault="00184B86" w:rsidP="009C6AF2">
      <w:pPr>
        <w:spacing w:line="180" w:lineRule="exact"/>
        <w:ind w:left="658" w:right="40" w:hanging="550"/>
        <w:outlineLvl w:val="0"/>
        <w:rPr>
          <w:sz w:val="16"/>
          <w:szCs w:val="16"/>
        </w:rPr>
      </w:pPr>
      <w:r w:rsidRPr="009C6AF2">
        <w:rPr>
          <w:sz w:val="18"/>
          <w:szCs w:val="18"/>
          <w:vertAlign w:val="superscript"/>
        </w:rPr>
        <w:t>1/</w:t>
      </w:r>
      <w:r w:rsidRPr="00187FDC">
        <w:rPr>
          <w:sz w:val="14"/>
          <w:szCs w:val="14"/>
        </w:rPr>
        <w:tab/>
      </w:r>
      <w:r w:rsidRPr="009C6AF2">
        <w:rPr>
          <w:sz w:val="16"/>
          <w:szCs w:val="16"/>
        </w:rPr>
        <w:t>Las diferencias en puntos se obtienen de los respectivos indicadores considerando todos sus decimales.</w:t>
      </w:r>
    </w:p>
    <w:p w14:paraId="091BD1B8" w14:textId="294B572C" w:rsidR="00184B86" w:rsidRPr="009C6AF2" w:rsidRDefault="00184B86" w:rsidP="009C6AF2">
      <w:pPr>
        <w:spacing w:line="180" w:lineRule="exact"/>
        <w:ind w:left="658" w:right="40" w:hanging="550"/>
        <w:outlineLvl w:val="0"/>
        <w:rPr>
          <w:sz w:val="16"/>
          <w:szCs w:val="16"/>
        </w:rPr>
      </w:pPr>
      <w:r w:rsidRPr="009C6AF2">
        <w:rPr>
          <w:sz w:val="16"/>
          <w:szCs w:val="16"/>
        </w:rPr>
        <w:t>Fuente:</w:t>
      </w:r>
      <w:r w:rsidRPr="009C6AF2">
        <w:rPr>
          <w:sz w:val="16"/>
          <w:szCs w:val="16"/>
        </w:rPr>
        <w:tab/>
      </w:r>
      <w:r w:rsidR="005A720E">
        <w:rPr>
          <w:sz w:val="16"/>
          <w:szCs w:val="16"/>
        </w:rPr>
        <w:t xml:space="preserve"> </w:t>
      </w:r>
      <w:r w:rsidRPr="009C6AF2">
        <w:rPr>
          <w:sz w:val="16"/>
          <w:szCs w:val="16"/>
        </w:rPr>
        <w:t>INEGI</w:t>
      </w:r>
      <w:r w:rsidR="008D59D2">
        <w:rPr>
          <w:smallCaps/>
          <w:sz w:val="16"/>
          <w:szCs w:val="16"/>
        </w:rPr>
        <w:t>.</w:t>
      </w:r>
      <w:r w:rsidR="008D59D2" w:rsidRPr="00447557">
        <w:rPr>
          <w:sz w:val="16"/>
          <w:szCs w:val="16"/>
        </w:rPr>
        <w:t xml:space="preserve"> Encuesta Mensual de Opinión Empresarial (EMOE</w:t>
      </w:r>
      <w:r w:rsidR="005739BD" w:rsidRPr="00447557">
        <w:rPr>
          <w:sz w:val="16"/>
          <w:szCs w:val="16"/>
        </w:rPr>
        <w:t>)</w:t>
      </w:r>
      <w:r w:rsidR="005739BD">
        <w:rPr>
          <w:sz w:val="16"/>
          <w:szCs w:val="16"/>
        </w:rPr>
        <w:t>,</w:t>
      </w:r>
      <w:r w:rsidR="005739BD" w:rsidRPr="00447557">
        <w:rPr>
          <w:sz w:val="16"/>
          <w:szCs w:val="16"/>
        </w:rPr>
        <w:t xml:space="preserve"> </w:t>
      </w:r>
      <w:r w:rsidR="008D59D2" w:rsidRPr="00447557">
        <w:rPr>
          <w:sz w:val="16"/>
          <w:szCs w:val="16"/>
        </w:rPr>
        <w:t>2023.</w:t>
      </w:r>
    </w:p>
    <w:p w14:paraId="17130082" w14:textId="77777777" w:rsidR="0050547D" w:rsidRDefault="0050547D" w:rsidP="00014C74">
      <w:pPr>
        <w:widowControl w:val="0"/>
        <w:spacing w:before="240"/>
      </w:pPr>
    </w:p>
    <w:p w14:paraId="091BD1B9" w14:textId="2C7B73B7" w:rsidR="00443B05" w:rsidRPr="00443B05" w:rsidRDefault="00443B05" w:rsidP="00014C74">
      <w:pPr>
        <w:widowControl w:val="0"/>
        <w:spacing w:before="240"/>
      </w:pPr>
      <w:r w:rsidRPr="00773FF2">
        <w:t xml:space="preserve">Las </w:t>
      </w:r>
      <w:r w:rsidR="005E083B" w:rsidRPr="00773FF2">
        <w:t xml:space="preserve">siguientes </w:t>
      </w:r>
      <w:r w:rsidRPr="00773FF2">
        <w:t xml:space="preserve">gráficas </w:t>
      </w:r>
      <w:r w:rsidR="00150098" w:rsidRPr="00773FF2">
        <w:t>reflej</w:t>
      </w:r>
      <w:r w:rsidR="00DD41C5" w:rsidRPr="00773FF2">
        <w:t xml:space="preserve">an </w:t>
      </w:r>
      <w:r w:rsidR="00D20964" w:rsidRPr="00773FF2">
        <w:t xml:space="preserve">las </w:t>
      </w:r>
      <w:r w:rsidRPr="00773FF2">
        <w:t xml:space="preserve">tendencias de los componentes que integran </w:t>
      </w:r>
      <w:r w:rsidR="00F32206">
        <w:t>e</w:t>
      </w:r>
      <w:r w:rsidRPr="00773FF2">
        <w:t>l I</w:t>
      </w:r>
      <w:r w:rsidR="00E5595C">
        <w:t xml:space="preserve">CE </w:t>
      </w:r>
      <w:r w:rsidR="00AB57AA">
        <w:t>por</w:t>
      </w:r>
      <w:r w:rsidR="00D20964" w:rsidRPr="00773FF2">
        <w:t xml:space="preserve"> sector</w:t>
      </w:r>
      <w:r w:rsidRPr="00773FF2">
        <w:t>:</w:t>
      </w:r>
    </w:p>
    <w:p w14:paraId="53758388" w14:textId="77777777" w:rsidR="0050547D" w:rsidRDefault="0050547D">
      <w:pPr>
        <w:jc w:val="left"/>
        <w:rPr>
          <w:sz w:val="20"/>
          <w:szCs w:val="22"/>
        </w:rPr>
      </w:pPr>
      <w:r>
        <w:rPr>
          <w:sz w:val="20"/>
          <w:szCs w:val="22"/>
        </w:rPr>
        <w:br w:type="page"/>
      </w:r>
    </w:p>
    <w:p w14:paraId="091BD1BA" w14:textId="731A4FD5" w:rsidR="00675DC2" w:rsidRDefault="00675DC2" w:rsidP="00014C74">
      <w:pPr>
        <w:widowControl w:val="0"/>
        <w:ind w:left="-227" w:right="-227"/>
        <w:jc w:val="center"/>
        <w:rPr>
          <w:b/>
          <w:smallCaps/>
          <w:spacing w:val="-4"/>
          <w:sz w:val="22"/>
          <w:szCs w:val="21"/>
          <w:lang w:val="es-MX"/>
        </w:rPr>
      </w:pPr>
      <w:r>
        <w:rPr>
          <w:sz w:val="20"/>
          <w:szCs w:val="22"/>
        </w:rPr>
        <w:lastRenderedPageBreak/>
        <w:t xml:space="preserve">Gráfica </w:t>
      </w:r>
      <w:r w:rsidR="005524CE">
        <w:rPr>
          <w:sz w:val="20"/>
          <w:szCs w:val="22"/>
        </w:rPr>
        <w:t>5</w:t>
      </w:r>
    </w:p>
    <w:p w14:paraId="091BD1BB" w14:textId="62EA3309" w:rsidR="00675DC2" w:rsidRDefault="00675DC2" w:rsidP="00014C74">
      <w:pPr>
        <w:widowControl w:val="0"/>
        <w:jc w:val="center"/>
        <w:rPr>
          <w:b/>
          <w:smallCaps/>
          <w:spacing w:val="-4"/>
          <w:sz w:val="22"/>
          <w:szCs w:val="21"/>
          <w:lang w:val="es-MX"/>
        </w:rPr>
      </w:pPr>
      <w:r w:rsidRPr="00C552DF">
        <w:rPr>
          <w:b/>
          <w:smallCaps/>
          <w:spacing w:val="-4"/>
          <w:sz w:val="22"/>
          <w:szCs w:val="21"/>
          <w:lang w:val="es-MX"/>
        </w:rPr>
        <w:t xml:space="preserve">Indicador de </w:t>
      </w:r>
      <w:r w:rsidR="00B4487F">
        <w:rPr>
          <w:b/>
          <w:smallCaps/>
          <w:spacing w:val="-4"/>
          <w:sz w:val="22"/>
          <w:szCs w:val="21"/>
          <w:lang w:val="es-MX"/>
        </w:rPr>
        <w:t>C</w:t>
      </w:r>
      <w:r w:rsidRPr="00C552DF">
        <w:rPr>
          <w:b/>
          <w:smallCaps/>
          <w:spacing w:val="-4"/>
          <w:sz w:val="22"/>
          <w:szCs w:val="21"/>
          <w:lang w:val="es-MX"/>
        </w:rPr>
        <w:t xml:space="preserve">onfianza </w:t>
      </w:r>
      <w:r w:rsidR="00B4487F">
        <w:rPr>
          <w:b/>
          <w:smallCaps/>
          <w:spacing w:val="-4"/>
          <w:sz w:val="22"/>
          <w:szCs w:val="21"/>
          <w:lang w:val="es-MX"/>
        </w:rPr>
        <w:t>E</w:t>
      </w:r>
      <w:r w:rsidRPr="00C552DF">
        <w:rPr>
          <w:b/>
          <w:smallCaps/>
          <w:spacing w:val="-4"/>
          <w:sz w:val="22"/>
          <w:szCs w:val="21"/>
          <w:lang w:val="es-MX"/>
        </w:rPr>
        <w:t>mpresarial por sector y componentes</w:t>
      </w:r>
    </w:p>
    <w:p w14:paraId="091BD1BC" w14:textId="77777777" w:rsidR="00675DC2" w:rsidRDefault="00675DC2" w:rsidP="00014C74">
      <w:pPr>
        <w:widowControl w:val="0"/>
        <w:jc w:val="center"/>
        <w:rPr>
          <w:b/>
          <w:smallCaps/>
          <w:sz w:val="20"/>
          <w:szCs w:val="20"/>
          <w:lang w:val="es-MX"/>
        </w:rPr>
      </w:pPr>
      <w:r w:rsidRPr="00C46468">
        <w:rPr>
          <w:b/>
          <w:smallCaps/>
          <w:sz w:val="20"/>
          <w:szCs w:val="20"/>
        </w:rPr>
        <w:t xml:space="preserve">series </w:t>
      </w:r>
      <w:r w:rsidRPr="00C46468">
        <w:rPr>
          <w:b/>
          <w:smallCaps/>
          <w:sz w:val="20"/>
          <w:szCs w:val="20"/>
          <w:lang w:val="es-MX"/>
        </w:rPr>
        <w:t>de tendencia-ciclo</w:t>
      </w:r>
    </w:p>
    <w:p w14:paraId="608C0812" w14:textId="77777777" w:rsidR="001D0B33" w:rsidRPr="00FE11D9" w:rsidRDefault="001D0B33" w:rsidP="001D0B33">
      <w:pPr>
        <w:jc w:val="center"/>
        <w:rPr>
          <w:bCs/>
          <w:sz w:val="18"/>
          <w:szCs w:val="18"/>
        </w:rPr>
      </w:pPr>
      <w:r w:rsidRPr="007E5597">
        <w:rPr>
          <w:bCs/>
          <w:sz w:val="18"/>
          <w:szCs w:val="18"/>
        </w:rPr>
        <w:t>(Puntos)</w:t>
      </w:r>
    </w:p>
    <w:tbl>
      <w:tblPr>
        <w:tblStyle w:val="Tablaconcuadrcula"/>
        <w:tblW w:w="5000" w:type="pct"/>
        <w:jc w:val="center"/>
        <w:tblBorders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82"/>
        <w:gridCol w:w="4982"/>
      </w:tblGrid>
      <w:tr w:rsidR="00675DC2" w:rsidRPr="00443B05" w14:paraId="091BD1BF" w14:textId="77777777" w:rsidTr="00932ADF">
        <w:trPr>
          <w:trHeight w:val="392"/>
          <w:jc w:val="center"/>
        </w:trPr>
        <w:tc>
          <w:tcPr>
            <w:tcW w:w="2500" w:type="pct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091BD1BD" w14:textId="00D2273C" w:rsidR="00675DC2" w:rsidRPr="00443B05" w:rsidRDefault="00675DC2" w:rsidP="00014C74">
            <w:pPr>
              <w:pStyle w:val="p0"/>
              <w:keepLines w:val="0"/>
              <w:spacing w:before="80"/>
              <w:jc w:val="center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 xml:space="preserve">Indicador de </w:t>
            </w:r>
            <w:r w:rsidR="00BB399B">
              <w:rPr>
                <w:rFonts w:ascii="Arial" w:hAnsi="Arial"/>
                <w:color w:val="auto"/>
                <w:sz w:val="20"/>
              </w:rPr>
              <w:t>C</w:t>
            </w:r>
            <w:r>
              <w:rPr>
                <w:rFonts w:ascii="Arial" w:hAnsi="Arial"/>
                <w:color w:val="auto"/>
                <w:sz w:val="20"/>
              </w:rPr>
              <w:t xml:space="preserve">onfianza </w:t>
            </w:r>
            <w:r w:rsidR="00BB399B">
              <w:rPr>
                <w:rFonts w:ascii="Arial" w:hAnsi="Arial"/>
                <w:color w:val="auto"/>
                <w:sz w:val="20"/>
              </w:rPr>
              <w:t>E</w:t>
            </w:r>
            <w:r>
              <w:rPr>
                <w:rFonts w:ascii="Arial" w:hAnsi="Arial"/>
                <w:color w:val="auto"/>
                <w:sz w:val="20"/>
              </w:rPr>
              <w:t>mpresarial por sector</w:t>
            </w:r>
          </w:p>
        </w:tc>
        <w:tc>
          <w:tcPr>
            <w:tcW w:w="2500" w:type="pct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091BD1BE" w14:textId="77777777" w:rsidR="00675DC2" w:rsidRPr="00443B05" w:rsidRDefault="00675DC2" w:rsidP="00014C74">
            <w:pPr>
              <w:pStyle w:val="p0"/>
              <w:keepLines w:val="0"/>
              <w:spacing w:before="80"/>
              <w:jc w:val="center"/>
              <w:rPr>
                <w:rFonts w:ascii="Arial" w:hAnsi="Arial"/>
                <w:color w:val="auto"/>
                <w:sz w:val="20"/>
              </w:rPr>
            </w:pPr>
            <w:r w:rsidRPr="00443B05">
              <w:rPr>
                <w:rFonts w:ascii="Arial" w:hAnsi="Arial"/>
                <w:color w:val="auto"/>
                <w:sz w:val="20"/>
                <w:lang w:val="es-MX"/>
              </w:rPr>
              <w:t>Momento adecuado para invertir</w:t>
            </w:r>
          </w:p>
        </w:tc>
      </w:tr>
      <w:tr w:rsidR="00675DC2" w:rsidRPr="00443B05" w14:paraId="091BD1C2" w14:textId="77777777" w:rsidTr="009F09D5">
        <w:tblPrEx>
          <w:tblCellMar>
            <w:left w:w="70" w:type="dxa"/>
            <w:right w:w="70" w:type="dxa"/>
          </w:tblCellMar>
        </w:tblPrEx>
        <w:trPr>
          <w:trHeight w:val="3197"/>
          <w:jc w:val="center"/>
        </w:trPr>
        <w:tc>
          <w:tcPr>
            <w:tcW w:w="250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1BD1C0" w14:textId="313A8428" w:rsidR="00675DC2" w:rsidRPr="00443B05" w:rsidRDefault="009F09D5" w:rsidP="00014C74">
            <w:pPr>
              <w:pStyle w:val="p0"/>
              <w:keepLines w:val="0"/>
              <w:spacing w:before="20"/>
              <w:jc w:val="center"/>
              <w:rPr>
                <w:rFonts w:ascii="Arial" w:hAnsi="Arial"/>
                <w:color w:val="auto"/>
              </w:rPr>
            </w:pPr>
            <w:r>
              <w:rPr>
                <w:noProof/>
              </w:rPr>
              <w:drawing>
                <wp:inline distT="0" distB="0" distL="0" distR="0" wp14:anchorId="2CECBE5C" wp14:editId="257EE2FA">
                  <wp:extent cx="3132808" cy="2017549"/>
                  <wp:effectExtent l="0" t="0" r="0" b="1905"/>
                  <wp:docPr id="1566564991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4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4"/>
                    </a:graphicData>
                  </a:graphic>
                </wp:inline>
              </w:drawing>
            </w:r>
          </w:p>
        </w:tc>
        <w:tc>
          <w:tcPr>
            <w:tcW w:w="250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1BD1C1" w14:textId="31FA01F9" w:rsidR="00675DC2" w:rsidRPr="00443B05" w:rsidRDefault="009F09D5" w:rsidP="00014C74">
            <w:pPr>
              <w:pStyle w:val="p0"/>
              <w:keepLines w:val="0"/>
              <w:spacing w:before="20"/>
              <w:jc w:val="center"/>
              <w:rPr>
                <w:rFonts w:ascii="Arial" w:hAnsi="Arial"/>
                <w:color w:val="auto"/>
              </w:rPr>
            </w:pPr>
            <w:r>
              <w:rPr>
                <w:noProof/>
              </w:rPr>
              <w:drawing>
                <wp:inline distT="0" distB="0" distL="0" distR="0" wp14:anchorId="5F2A7204" wp14:editId="0FD65E00">
                  <wp:extent cx="3132000" cy="2016942"/>
                  <wp:effectExtent l="0" t="0" r="0" b="2540"/>
                  <wp:docPr id="1426744293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5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5"/>
                    </a:graphicData>
                  </a:graphic>
                </wp:inline>
              </w:drawing>
            </w:r>
          </w:p>
        </w:tc>
      </w:tr>
      <w:tr w:rsidR="00675DC2" w:rsidRPr="00443B05" w14:paraId="091BD1C5" w14:textId="77777777" w:rsidTr="00932ADF">
        <w:trPr>
          <w:trHeight w:val="392"/>
          <w:jc w:val="center"/>
        </w:trPr>
        <w:tc>
          <w:tcPr>
            <w:tcW w:w="2500" w:type="pct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91BD1C3" w14:textId="77777777" w:rsidR="00675DC2" w:rsidRPr="00443B05" w:rsidRDefault="00675DC2" w:rsidP="00014C74">
            <w:pPr>
              <w:pStyle w:val="p0"/>
              <w:keepLines w:val="0"/>
              <w:spacing w:before="80"/>
              <w:jc w:val="center"/>
              <w:rPr>
                <w:rFonts w:ascii="Arial" w:hAnsi="Arial"/>
                <w:color w:val="auto"/>
                <w:sz w:val="20"/>
                <w:lang w:val="es-MX"/>
              </w:rPr>
            </w:pPr>
            <w:r w:rsidRPr="00443B05">
              <w:rPr>
                <w:rFonts w:ascii="Arial" w:hAnsi="Arial"/>
                <w:color w:val="auto"/>
                <w:sz w:val="20"/>
                <w:lang w:val="es-MX"/>
              </w:rPr>
              <w:t>Situación económica presente del país</w:t>
            </w:r>
          </w:p>
        </w:tc>
        <w:tc>
          <w:tcPr>
            <w:tcW w:w="2500" w:type="pct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91BD1C4" w14:textId="77777777" w:rsidR="00675DC2" w:rsidRPr="00443B05" w:rsidRDefault="00675DC2" w:rsidP="00014C74">
            <w:pPr>
              <w:pStyle w:val="p0"/>
              <w:keepLines w:val="0"/>
              <w:spacing w:before="80"/>
              <w:jc w:val="center"/>
              <w:rPr>
                <w:rFonts w:ascii="Arial" w:hAnsi="Arial"/>
                <w:color w:val="auto"/>
                <w:sz w:val="20"/>
                <w:lang w:val="es-MX"/>
              </w:rPr>
            </w:pPr>
            <w:r w:rsidRPr="00443B05">
              <w:rPr>
                <w:rFonts w:ascii="Arial" w:hAnsi="Arial"/>
                <w:color w:val="auto"/>
                <w:sz w:val="20"/>
                <w:lang w:val="es-MX"/>
              </w:rPr>
              <w:t>Situación económica futura del país</w:t>
            </w:r>
          </w:p>
        </w:tc>
      </w:tr>
      <w:tr w:rsidR="00675DC2" w:rsidRPr="00443B05" w14:paraId="091BD1C8" w14:textId="77777777" w:rsidTr="009F09D5">
        <w:tblPrEx>
          <w:tblCellMar>
            <w:left w:w="70" w:type="dxa"/>
            <w:right w:w="70" w:type="dxa"/>
          </w:tblCellMar>
        </w:tblPrEx>
        <w:trPr>
          <w:trHeight w:val="3197"/>
          <w:jc w:val="center"/>
        </w:trPr>
        <w:tc>
          <w:tcPr>
            <w:tcW w:w="250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1BD1C6" w14:textId="01DC709C" w:rsidR="00675DC2" w:rsidRPr="00443B05" w:rsidRDefault="009F09D5" w:rsidP="00014C74">
            <w:pPr>
              <w:pStyle w:val="p0"/>
              <w:keepLines w:val="0"/>
              <w:spacing w:before="20"/>
              <w:jc w:val="center"/>
              <w:rPr>
                <w:rFonts w:ascii="Arial" w:hAnsi="Arial"/>
                <w:noProof/>
                <w:color w:val="auto"/>
                <w:lang w:val="es-MX" w:eastAsia="es-MX"/>
              </w:rPr>
            </w:pPr>
            <w:r>
              <w:rPr>
                <w:noProof/>
              </w:rPr>
              <w:drawing>
                <wp:inline distT="0" distB="0" distL="0" distR="0" wp14:anchorId="00D8D084" wp14:editId="2DE0DCED">
                  <wp:extent cx="3133224" cy="2016000"/>
                  <wp:effectExtent l="0" t="0" r="0" b="3810"/>
                  <wp:docPr id="1429080061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6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6"/>
                    </a:graphicData>
                  </a:graphic>
                </wp:inline>
              </w:drawing>
            </w:r>
          </w:p>
        </w:tc>
        <w:tc>
          <w:tcPr>
            <w:tcW w:w="250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1BD1C7" w14:textId="730202BE" w:rsidR="00675DC2" w:rsidRPr="00443B05" w:rsidRDefault="009F09D5" w:rsidP="00014C74">
            <w:pPr>
              <w:pStyle w:val="p0"/>
              <w:keepLines w:val="0"/>
              <w:spacing w:before="20"/>
              <w:jc w:val="center"/>
              <w:rPr>
                <w:rFonts w:ascii="Arial" w:hAnsi="Arial"/>
                <w:color w:val="auto"/>
              </w:rPr>
            </w:pPr>
            <w:r>
              <w:rPr>
                <w:noProof/>
              </w:rPr>
              <w:drawing>
                <wp:inline distT="0" distB="0" distL="0" distR="0" wp14:anchorId="2F302C8F" wp14:editId="74BD344F">
                  <wp:extent cx="3133224" cy="2016000"/>
                  <wp:effectExtent l="0" t="0" r="0" b="3810"/>
                  <wp:docPr id="1549331751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7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7"/>
                    </a:graphicData>
                  </a:graphic>
                </wp:inline>
              </w:drawing>
            </w:r>
          </w:p>
        </w:tc>
      </w:tr>
      <w:tr w:rsidR="00675DC2" w:rsidRPr="00443B05" w14:paraId="091BD1CB" w14:textId="77777777" w:rsidTr="00932ADF">
        <w:trPr>
          <w:trHeight w:val="392"/>
          <w:jc w:val="center"/>
        </w:trPr>
        <w:tc>
          <w:tcPr>
            <w:tcW w:w="2500" w:type="pct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91BD1C9" w14:textId="77777777" w:rsidR="00675DC2" w:rsidRPr="00443B05" w:rsidRDefault="00675DC2" w:rsidP="00014C74">
            <w:pPr>
              <w:pStyle w:val="p0"/>
              <w:keepLines w:val="0"/>
              <w:spacing w:before="80"/>
              <w:jc w:val="center"/>
              <w:rPr>
                <w:rFonts w:ascii="Arial" w:hAnsi="Arial"/>
                <w:color w:val="auto"/>
                <w:sz w:val="20"/>
                <w:lang w:val="es-MX"/>
              </w:rPr>
            </w:pPr>
            <w:r w:rsidRPr="00443B05">
              <w:rPr>
                <w:rFonts w:ascii="Arial" w:hAnsi="Arial"/>
                <w:color w:val="auto"/>
                <w:sz w:val="20"/>
                <w:lang w:val="es-MX"/>
              </w:rPr>
              <w:t>Situación económica presente de la empresa</w:t>
            </w:r>
          </w:p>
        </w:tc>
        <w:tc>
          <w:tcPr>
            <w:tcW w:w="2500" w:type="pct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91BD1CA" w14:textId="77777777" w:rsidR="00675DC2" w:rsidRPr="00443B05" w:rsidRDefault="00675DC2" w:rsidP="00014C74">
            <w:pPr>
              <w:pStyle w:val="p0"/>
              <w:keepLines w:val="0"/>
              <w:spacing w:before="80"/>
              <w:jc w:val="center"/>
              <w:rPr>
                <w:rFonts w:ascii="Arial" w:hAnsi="Arial"/>
                <w:color w:val="auto"/>
                <w:sz w:val="20"/>
                <w:lang w:val="es-MX"/>
              </w:rPr>
            </w:pPr>
            <w:r w:rsidRPr="00443B05">
              <w:rPr>
                <w:rFonts w:ascii="Arial" w:hAnsi="Arial"/>
                <w:color w:val="auto"/>
                <w:sz w:val="20"/>
                <w:lang w:val="es-MX"/>
              </w:rPr>
              <w:t>Situación económica futura de la empresa</w:t>
            </w:r>
          </w:p>
        </w:tc>
      </w:tr>
      <w:tr w:rsidR="00675DC2" w:rsidRPr="00443B05" w14:paraId="091BD1CE" w14:textId="77777777" w:rsidTr="009F09D5">
        <w:tblPrEx>
          <w:tblCellMar>
            <w:left w:w="70" w:type="dxa"/>
            <w:right w:w="70" w:type="dxa"/>
          </w:tblCellMar>
        </w:tblPrEx>
        <w:trPr>
          <w:trHeight w:val="3197"/>
          <w:jc w:val="center"/>
        </w:trPr>
        <w:tc>
          <w:tcPr>
            <w:tcW w:w="250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91BD1CC" w14:textId="26D94B1C" w:rsidR="00675DC2" w:rsidRPr="00443B05" w:rsidRDefault="009F09D5" w:rsidP="00014C74">
            <w:pPr>
              <w:pStyle w:val="p0"/>
              <w:keepLines w:val="0"/>
              <w:spacing w:before="20"/>
              <w:jc w:val="center"/>
              <w:rPr>
                <w:rFonts w:ascii="Arial" w:hAnsi="Arial"/>
                <w:color w:val="auto"/>
              </w:rPr>
            </w:pPr>
            <w:r>
              <w:rPr>
                <w:noProof/>
              </w:rPr>
              <w:drawing>
                <wp:inline distT="0" distB="0" distL="0" distR="0" wp14:anchorId="7923490F" wp14:editId="198CA447">
                  <wp:extent cx="3133224" cy="2016000"/>
                  <wp:effectExtent l="0" t="0" r="0" b="3810"/>
                  <wp:docPr id="1320755345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8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8"/>
                    </a:graphicData>
                  </a:graphic>
                </wp:inline>
              </w:drawing>
            </w:r>
          </w:p>
        </w:tc>
        <w:tc>
          <w:tcPr>
            <w:tcW w:w="250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91BD1CD" w14:textId="4685A46C" w:rsidR="00675DC2" w:rsidRPr="00443B05" w:rsidRDefault="009F09D5" w:rsidP="00014C74">
            <w:pPr>
              <w:pStyle w:val="p0"/>
              <w:keepLines w:val="0"/>
              <w:spacing w:before="20"/>
              <w:jc w:val="center"/>
              <w:rPr>
                <w:rFonts w:ascii="Arial" w:hAnsi="Arial"/>
                <w:color w:val="auto"/>
              </w:rPr>
            </w:pPr>
            <w:r>
              <w:rPr>
                <w:noProof/>
              </w:rPr>
              <w:drawing>
                <wp:inline distT="0" distB="0" distL="0" distR="0" wp14:anchorId="100199A1" wp14:editId="4386E8B9">
                  <wp:extent cx="3133457" cy="2016000"/>
                  <wp:effectExtent l="0" t="0" r="0" b="3810"/>
                  <wp:docPr id="698570757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9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9"/>
                    </a:graphicData>
                  </a:graphic>
                </wp:inline>
              </w:drawing>
            </w:r>
          </w:p>
        </w:tc>
      </w:tr>
      <w:tr w:rsidR="00675DC2" w:rsidRPr="00A23571" w14:paraId="091BD1D0" w14:textId="77777777" w:rsidTr="00A86AF6">
        <w:trPr>
          <w:trHeight w:val="179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91BD1CF" w14:textId="4FF3BC81" w:rsidR="00675DC2" w:rsidRPr="00BF11CB" w:rsidRDefault="00675DC2" w:rsidP="00014C74">
            <w:pPr>
              <w:pStyle w:val="p0"/>
              <w:keepLines w:val="0"/>
              <w:tabs>
                <w:tab w:val="left" w:pos="3122"/>
              </w:tabs>
              <w:spacing w:before="20"/>
              <w:ind w:left="676" w:right="1333" w:hanging="607"/>
              <w:rPr>
                <w:rFonts w:ascii="Arial" w:hAnsi="Arial"/>
                <w:noProof/>
                <w:color w:val="auto"/>
                <w:sz w:val="16"/>
                <w:szCs w:val="16"/>
                <w:lang w:val="es-MX" w:eastAsia="es-MX"/>
              </w:rPr>
            </w:pPr>
            <w:r w:rsidRPr="00BF11CB">
              <w:rPr>
                <w:rFonts w:ascii="Arial" w:hAnsi="Arial"/>
                <w:color w:val="auto"/>
                <w:sz w:val="16"/>
                <w:szCs w:val="16"/>
                <w:lang w:val="es-MX"/>
              </w:rPr>
              <w:t>Fuente:</w:t>
            </w:r>
            <w:r w:rsidRPr="00BF11CB">
              <w:rPr>
                <w:rFonts w:ascii="Arial" w:hAnsi="Arial"/>
                <w:color w:val="auto"/>
                <w:sz w:val="16"/>
                <w:szCs w:val="16"/>
                <w:lang w:val="es-MX"/>
              </w:rPr>
              <w:tab/>
              <w:t>INEGI</w:t>
            </w:r>
            <w:r w:rsidR="008D59D2" w:rsidRPr="00BF11CB">
              <w:rPr>
                <w:rFonts w:ascii="Arial" w:hAnsi="Arial"/>
                <w:smallCaps/>
                <w:sz w:val="16"/>
                <w:szCs w:val="16"/>
              </w:rPr>
              <w:t>.</w:t>
            </w:r>
            <w:r w:rsidR="008D59D2" w:rsidRPr="00BF11CB">
              <w:rPr>
                <w:rFonts w:ascii="Arial" w:hAnsi="Arial"/>
                <w:sz w:val="16"/>
                <w:szCs w:val="16"/>
              </w:rPr>
              <w:t xml:space="preserve"> </w:t>
            </w:r>
            <w:r w:rsidR="008D59D2" w:rsidRPr="00BF11CB">
              <w:rPr>
                <w:rFonts w:ascii="Arial" w:hAnsi="Arial"/>
                <w:color w:val="auto"/>
                <w:sz w:val="16"/>
                <w:szCs w:val="16"/>
              </w:rPr>
              <w:t>Encuesta Mensual de Opinión Empresarial (EMOE</w:t>
            </w:r>
            <w:r w:rsidR="005739BD" w:rsidRPr="00BF11CB">
              <w:rPr>
                <w:rFonts w:ascii="Arial" w:hAnsi="Arial"/>
                <w:color w:val="auto"/>
                <w:sz w:val="16"/>
                <w:szCs w:val="16"/>
              </w:rPr>
              <w:t>)</w:t>
            </w:r>
            <w:r w:rsidR="005739BD">
              <w:rPr>
                <w:rFonts w:ascii="Arial" w:hAnsi="Arial"/>
                <w:color w:val="auto"/>
                <w:sz w:val="16"/>
                <w:szCs w:val="16"/>
              </w:rPr>
              <w:t>,</w:t>
            </w:r>
            <w:r w:rsidR="005739BD" w:rsidRPr="00BF11CB">
              <w:rPr>
                <w:rFonts w:ascii="Arial" w:hAnsi="Arial"/>
                <w:color w:val="auto"/>
                <w:sz w:val="16"/>
                <w:szCs w:val="16"/>
              </w:rPr>
              <w:t xml:space="preserve"> </w:t>
            </w:r>
            <w:r w:rsidR="008D59D2" w:rsidRPr="00BF11CB">
              <w:rPr>
                <w:rFonts w:ascii="Arial" w:hAnsi="Arial"/>
                <w:color w:val="auto"/>
                <w:sz w:val="16"/>
                <w:szCs w:val="16"/>
              </w:rPr>
              <w:t>2023.</w:t>
            </w:r>
          </w:p>
        </w:tc>
      </w:tr>
    </w:tbl>
    <w:p w14:paraId="091BD1D2" w14:textId="69A0D0B3" w:rsidR="00654F5C" w:rsidRPr="008C5282" w:rsidRDefault="00E12E91" w:rsidP="00E12E91">
      <w:pPr>
        <w:pStyle w:val="Textoindependiente"/>
        <w:keepNext/>
        <w:keepLines/>
        <w:widowControl w:val="0"/>
        <w:tabs>
          <w:tab w:val="left" w:pos="426"/>
        </w:tabs>
        <w:spacing w:before="0"/>
        <w:jc w:val="center"/>
        <w:rPr>
          <w:b/>
          <w:smallCaps/>
          <w:color w:val="auto"/>
          <w:szCs w:val="22"/>
        </w:rPr>
      </w:pPr>
      <w:r>
        <w:rPr>
          <w:b/>
          <w:smallCaps/>
          <w:color w:val="auto"/>
          <w:szCs w:val="22"/>
        </w:rPr>
        <w:lastRenderedPageBreak/>
        <w:t>2)</w:t>
      </w:r>
      <w:r>
        <w:rPr>
          <w:b/>
          <w:smallCaps/>
          <w:color w:val="auto"/>
          <w:szCs w:val="22"/>
        </w:rPr>
        <w:tab/>
        <w:t xml:space="preserve"> </w:t>
      </w:r>
      <w:r w:rsidR="00F06E9A" w:rsidRPr="008C5282">
        <w:rPr>
          <w:b/>
          <w:smallCaps/>
          <w:color w:val="auto"/>
          <w:szCs w:val="22"/>
        </w:rPr>
        <w:t>C</w:t>
      </w:r>
      <w:r w:rsidR="00654F5C" w:rsidRPr="008C5282">
        <w:rPr>
          <w:b/>
          <w:smallCaps/>
          <w:color w:val="auto"/>
          <w:szCs w:val="22"/>
        </w:rPr>
        <w:t>ifras originales</w:t>
      </w:r>
    </w:p>
    <w:p w14:paraId="091BD1D3" w14:textId="6F560964" w:rsidR="00675DC2" w:rsidRPr="00651DFE" w:rsidRDefault="00675DC2" w:rsidP="00675DC2">
      <w:pPr>
        <w:pStyle w:val="Prrafodelista"/>
        <w:keepLines/>
        <w:widowControl w:val="0"/>
        <w:spacing w:before="360" w:after="60"/>
        <w:ind w:left="0"/>
      </w:pPr>
      <w:r>
        <w:t xml:space="preserve">En </w:t>
      </w:r>
      <w:r w:rsidR="008D59D2">
        <w:t>septiembre</w:t>
      </w:r>
      <w:r>
        <w:t xml:space="preserve"> de 202</w:t>
      </w:r>
      <w:r w:rsidR="00F8295B">
        <w:t>3</w:t>
      </w:r>
      <w:r>
        <w:t>,</w:t>
      </w:r>
      <w:r w:rsidRPr="00651DFE">
        <w:t xml:space="preserve"> el Indicador Global de Opinión Empresarial de Confianza (IGOEC) </w:t>
      </w:r>
      <w:r>
        <w:t>registró</w:t>
      </w:r>
      <w:r w:rsidRPr="00651DFE">
        <w:t xml:space="preserve"> un nivel de </w:t>
      </w:r>
      <w:r w:rsidR="00085E39">
        <w:t>5</w:t>
      </w:r>
      <w:r w:rsidR="002644F0">
        <w:t>6.</w:t>
      </w:r>
      <w:r w:rsidR="008D113B">
        <w:t>4</w:t>
      </w:r>
      <w:r w:rsidR="004B3652">
        <w:t xml:space="preserve"> </w:t>
      </w:r>
      <w:r w:rsidRPr="00651DFE">
        <w:t>puntos con cifras originales</w:t>
      </w:r>
      <w:r>
        <w:t>,</w:t>
      </w:r>
      <w:r w:rsidRPr="00651DFE">
        <w:t xml:space="preserve"> </w:t>
      </w:r>
      <w:r w:rsidR="00A040BE">
        <w:t xml:space="preserve">que </w:t>
      </w:r>
      <w:r w:rsidR="002B4A32">
        <w:t xml:space="preserve">representó </w:t>
      </w:r>
      <w:r w:rsidR="005C3A25">
        <w:t>un</w:t>
      </w:r>
      <w:r w:rsidR="00304D5B">
        <w:t xml:space="preserve"> </w:t>
      </w:r>
      <w:r w:rsidR="005C3A25">
        <w:t>a</w:t>
      </w:r>
      <w:r w:rsidR="00380CCC">
        <w:t>umento</w:t>
      </w:r>
      <w:r w:rsidR="00E02DF6">
        <w:t xml:space="preserve"> </w:t>
      </w:r>
      <w:r>
        <w:t>d</w:t>
      </w:r>
      <w:r w:rsidRPr="00651DFE">
        <w:t xml:space="preserve">e </w:t>
      </w:r>
      <w:r w:rsidR="009F2947">
        <w:t>8.</w:t>
      </w:r>
      <w:r w:rsidR="008D113B">
        <w:t>5</w:t>
      </w:r>
      <w:r w:rsidR="00290E36">
        <w:t xml:space="preserve"> </w:t>
      </w:r>
      <w:r>
        <w:t>puntos con relación</w:t>
      </w:r>
      <w:r w:rsidRPr="00651DFE">
        <w:t xml:space="preserve"> a</w:t>
      </w:r>
      <w:r w:rsidR="00F8295B">
        <w:t>l mismo mes</w:t>
      </w:r>
      <w:r w:rsidRPr="00651DFE">
        <w:t xml:space="preserve"> de</w:t>
      </w:r>
      <w:r>
        <w:t xml:space="preserve"> 202</w:t>
      </w:r>
      <w:r w:rsidR="00F8295B">
        <w:t>2</w:t>
      </w:r>
      <w:r w:rsidRPr="00651DFE">
        <w:t xml:space="preserve">. </w:t>
      </w:r>
    </w:p>
    <w:p w14:paraId="091BD1D4" w14:textId="77777777" w:rsidR="00675DC2" w:rsidRDefault="00675DC2" w:rsidP="00675DC2">
      <w:pPr>
        <w:spacing w:before="360"/>
        <w:jc w:val="center"/>
        <w:rPr>
          <w:b/>
          <w:smallCaps/>
          <w:sz w:val="22"/>
        </w:rPr>
      </w:pPr>
      <w:r>
        <w:rPr>
          <w:sz w:val="20"/>
          <w:szCs w:val="22"/>
        </w:rPr>
        <w:t xml:space="preserve">Gráfica </w:t>
      </w:r>
      <w:r w:rsidR="005524CE">
        <w:rPr>
          <w:sz w:val="20"/>
          <w:szCs w:val="22"/>
        </w:rPr>
        <w:t>6</w:t>
      </w:r>
    </w:p>
    <w:p w14:paraId="091BD1D5" w14:textId="3CC85F3D" w:rsidR="00675DC2" w:rsidRDefault="00675DC2" w:rsidP="00675DC2">
      <w:pPr>
        <w:jc w:val="center"/>
        <w:rPr>
          <w:b/>
          <w:smallCaps/>
          <w:sz w:val="20"/>
          <w:szCs w:val="20"/>
        </w:rPr>
      </w:pPr>
      <w:r w:rsidRPr="00651DFE">
        <w:rPr>
          <w:b/>
          <w:smallCaps/>
          <w:sz w:val="22"/>
        </w:rPr>
        <w:t xml:space="preserve">Indicador </w:t>
      </w:r>
      <w:r w:rsidR="00B4487F">
        <w:rPr>
          <w:b/>
          <w:smallCaps/>
          <w:sz w:val="22"/>
        </w:rPr>
        <w:t>G</w:t>
      </w:r>
      <w:r w:rsidRPr="00651DFE">
        <w:rPr>
          <w:b/>
          <w:smallCaps/>
          <w:sz w:val="22"/>
        </w:rPr>
        <w:t xml:space="preserve">lobal de </w:t>
      </w:r>
      <w:r w:rsidR="00B4487F">
        <w:rPr>
          <w:b/>
          <w:smallCaps/>
          <w:sz w:val="22"/>
        </w:rPr>
        <w:t>O</w:t>
      </w:r>
      <w:r w:rsidRPr="00651DFE">
        <w:rPr>
          <w:b/>
          <w:smallCaps/>
          <w:sz w:val="22"/>
        </w:rPr>
        <w:t xml:space="preserve">pinión </w:t>
      </w:r>
      <w:r w:rsidR="00B4487F">
        <w:rPr>
          <w:b/>
          <w:smallCaps/>
          <w:sz w:val="22"/>
        </w:rPr>
        <w:t>E</w:t>
      </w:r>
      <w:r w:rsidRPr="00651DFE">
        <w:rPr>
          <w:b/>
          <w:smallCaps/>
          <w:sz w:val="22"/>
        </w:rPr>
        <w:t xml:space="preserve">mpresarial de </w:t>
      </w:r>
      <w:r w:rsidR="00B4487F">
        <w:rPr>
          <w:b/>
          <w:smallCaps/>
          <w:sz w:val="22"/>
        </w:rPr>
        <w:t>C</w:t>
      </w:r>
      <w:r w:rsidRPr="00651DFE">
        <w:rPr>
          <w:b/>
          <w:smallCaps/>
          <w:sz w:val="22"/>
        </w:rPr>
        <w:t xml:space="preserve">onfianza </w:t>
      </w:r>
      <w:r w:rsidRPr="00651DFE">
        <w:rPr>
          <w:b/>
          <w:smallCaps/>
          <w:sz w:val="22"/>
        </w:rPr>
        <w:br/>
      </w:r>
      <w:r w:rsidRPr="00C46468">
        <w:rPr>
          <w:b/>
          <w:smallCaps/>
          <w:sz w:val="20"/>
          <w:szCs w:val="20"/>
        </w:rPr>
        <w:t>serie original</w:t>
      </w:r>
    </w:p>
    <w:p w14:paraId="489FBC13" w14:textId="77777777" w:rsidR="001D0B33" w:rsidRPr="00FE11D9" w:rsidRDefault="001D0B33" w:rsidP="001D0B33">
      <w:pPr>
        <w:jc w:val="center"/>
        <w:rPr>
          <w:bCs/>
          <w:sz w:val="18"/>
          <w:szCs w:val="18"/>
        </w:rPr>
      </w:pPr>
      <w:r w:rsidRPr="007E5597">
        <w:rPr>
          <w:bCs/>
          <w:sz w:val="18"/>
          <w:szCs w:val="18"/>
        </w:rPr>
        <w:t>(Puntos)</w:t>
      </w:r>
    </w:p>
    <w:p w14:paraId="091BD1D6" w14:textId="40203E9D" w:rsidR="00675DC2" w:rsidRPr="004C4E00" w:rsidRDefault="001A0495" w:rsidP="00675DC2">
      <w:pPr>
        <w:jc w:val="center"/>
        <w:rPr>
          <w:b/>
          <w:smallCaps/>
          <w:sz w:val="22"/>
          <w:szCs w:val="22"/>
          <w:highlight w:val="yellow"/>
        </w:rPr>
      </w:pPr>
      <w:r>
        <w:rPr>
          <w:noProof/>
        </w:rPr>
        <w:drawing>
          <wp:inline distT="0" distB="0" distL="0" distR="0" wp14:anchorId="300EEAFF" wp14:editId="36D4D075">
            <wp:extent cx="4320000" cy="2520000"/>
            <wp:effectExtent l="0" t="0" r="23495" b="13970"/>
            <wp:docPr id="1093471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B1C2B0CE-6D02-4DBE-823C-D8618D7B888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091BD1D7" w14:textId="6355A1E8" w:rsidR="00675DC2" w:rsidRPr="00993EE7" w:rsidRDefault="00675DC2" w:rsidP="006F61BE">
      <w:pPr>
        <w:spacing w:before="20"/>
        <w:ind w:left="1412" w:firstLine="254"/>
        <w:rPr>
          <w:sz w:val="16"/>
          <w:szCs w:val="16"/>
        </w:rPr>
      </w:pPr>
      <w:r w:rsidRPr="00993EE7">
        <w:rPr>
          <w:sz w:val="16"/>
          <w:szCs w:val="16"/>
        </w:rPr>
        <w:t xml:space="preserve">Fuente: </w:t>
      </w:r>
      <w:r w:rsidRPr="006851A6">
        <w:rPr>
          <w:smallCaps/>
          <w:sz w:val="16"/>
          <w:szCs w:val="16"/>
        </w:rPr>
        <w:t>INEGI</w:t>
      </w:r>
      <w:r w:rsidR="008D59D2" w:rsidRPr="006851A6">
        <w:rPr>
          <w:smallCaps/>
          <w:sz w:val="16"/>
          <w:szCs w:val="16"/>
        </w:rPr>
        <w:t>.</w:t>
      </w:r>
      <w:r w:rsidR="008D59D2" w:rsidRPr="006851A6">
        <w:rPr>
          <w:sz w:val="16"/>
          <w:szCs w:val="16"/>
        </w:rPr>
        <w:t xml:space="preserve"> Encuesta Mensual de Opinión Empresarial (EMOE)</w:t>
      </w:r>
      <w:r w:rsidR="005739BD">
        <w:rPr>
          <w:sz w:val="16"/>
          <w:szCs w:val="16"/>
        </w:rPr>
        <w:t>,</w:t>
      </w:r>
      <w:r w:rsidR="008D59D2" w:rsidRPr="006851A6">
        <w:rPr>
          <w:sz w:val="16"/>
          <w:szCs w:val="16"/>
        </w:rPr>
        <w:t xml:space="preserve"> 2023.</w:t>
      </w:r>
    </w:p>
    <w:p w14:paraId="091BD1D8" w14:textId="77777777" w:rsidR="00675DC2" w:rsidRDefault="00675DC2" w:rsidP="00675DC2">
      <w:pPr>
        <w:jc w:val="left"/>
        <w:rPr>
          <w:b/>
          <w:smallCaps/>
          <w:sz w:val="22"/>
          <w:highlight w:val="yellow"/>
        </w:rPr>
      </w:pPr>
      <w:r>
        <w:rPr>
          <w:b/>
          <w:smallCaps/>
          <w:sz w:val="22"/>
          <w:highlight w:val="yellow"/>
        </w:rPr>
        <w:br w:type="page"/>
      </w:r>
    </w:p>
    <w:p w14:paraId="6134CD72" w14:textId="77777777" w:rsidR="0050547D" w:rsidRDefault="0050547D" w:rsidP="0050547D">
      <w:pPr>
        <w:widowControl w:val="0"/>
        <w:spacing w:before="120"/>
        <w:jc w:val="center"/>
        <w:outlineLvl w:val="0"/>
        <w:rPr>
          <w:snapToGrid w:val="0"/>
          <w:sz w:val="20"/>
          <w:szCs w:val="22"/>
        </w:rPr>
      </w:pPr>
    </w:p>
    <w:p w14:paraId="091BD1D9" w14:textId="6C67B26C" w:rsidR="00AA3A06" w:rsidRPr="00AA3A06" w:rsidRDefault="00AA3A06" w:rsidP="0050547D">
      <w:pPr>
        <w:widowControl w:val="0"/>
        <w:spacing w:before="120"/>
        <w:jc w:val="center"/>
        <w:outlineLvl w:val="0"/>
        <w:rPr>
          <w:smallCaps/>
          <w:sz w:val="22"/>
        </w:rPr>
      </w:pPr>
      <w:r w:rsidRPr="00AA3A06">
        <w:rPr>
          <w:snapToGrid w:val="0"/>
          <w:sz w:val="20"/>
          <w:szCs w:val="22"/>
        </w:rPr>
        <w:t xml:space="preserve">Cuadro </w:t>
      </w:r>
      <w:r w:rsidR="001B51BE" w:rsidRPr="00070539">
        <w:rPr>
          <w:snapToGrid w:val="0"/>
          <w:sz w:val="20"/>
          <w:szCs w:val="22"/>
        </w:rPr>
        <w:t>5</w:t>
      </w:r>
      <w:r w:rsidR="007F57D6">
        <w:rPr>
          <w:snapToGrid w:val="0"/>
          <w:sz w:val="20"/>
          <w:szCs w:val="22"/>
        </w:rPr>
        <w:t xml:space="preserve"> </w:t>
      </w:r>
    </w:p>
    <w:p w14:paraId="1E840E1E" w14:textId="32B3C82A" w:rsidR="002C13E1" w:rsidRDefault="007C7550" w:rsidP="00C12C89">
      <w:pPr>
        <w:keepNext/>
        <w:keepLines/>
        <w:widowControl w:val="0"/>
        <w:jc w:val="center"/>
        <w:outlineLvl w:val="0"/>
        <w:rPr>
          <w:b/>
          <w:smallCaps/>
          <w:sz w:val="22"/>
        </w:rPr>
      </w:pPr>
      <w:r w:rsidRPr="007B6478">
        <w:rPr>
          <w:b/>
          <w:smallCaps/>
          <w:sz w:val="22"/>
        </w:rPr>
        <w:t xml:space="preserve">Indicador </w:t>
      </w:r>
      <w:r w:rsidR="00B4487F">
        <w:rPr>
          <w:b/>
          <w:smallCaps/>
          <w:sz w:val="22"/>
        </w:rPr>
        <w:t>G</w:t>
      </w:r>
      <w:r w:rsidR="008A5222" w:rsidRPr="007B6478">
        <w:rPr>
          <w:b/>
          <w:smallCaps/>
          <w:sz w:val="22"/>
        </w:rPr>
        <w:t xml:space="preserve">lobal de </w:t>
      </w:r>
      <w:r w:rsidR="00B4487F">
        <w:rPr>
          <w:b/>
          <w:smallCaps/>
          <w:sz w:val="22"/>
        </w:rPr>
        <w:t>O</w:t>
      </w:r>
      <w:r w:rsidR="00DA6CDE" w:rsidRPr="007B6478">
        <w:rPr>
          <w:b/>
          <w:smallCaps/>
          <w:sz w:val="22"/>
        </w:rPr>
        <w:t>pinión</w:t>
      </w:r>
      <w:r w:rsidR="00AB63CF" w:rsidRPr="007B6478">
        <w:rPr>
          <w:b/>
          <w:smallCaps/>
          <w:sz w:val="22"/>
        </w:rPr>
        <w:t xml:space="preserve"> </w:t>
      </w:r>
      <w:r w:rsidR="00B4487F">
        <w:rPr>
          <w:b/>
          <w:smallCaps/>
          <w:sz w:val="22"/>
        </w:rPr>
        <w:t>E</w:t>
      </w:r>
      <w:r w:rsidR="00AB63CF" w:rsidRPr="007B6478">
        <w:rPr>
          <w:b/>
          <w:smallCaps/>
          <w:sz w:val="22"/>
        </w:rPr>
        <w:t>mpresarial</w:t>
      </w:r>
      <w:r w:rsidR="002C13E1">
        <w:rPr>
          <w:b/>
          <w:smallCaps/>
          <w:sz w:val="22"/>
        </w:rPr>
        <w:t xml:space="preserve"> </w:t>
      </w:r>
      <w:r w:rsidR="00DA6CDE" w:rsidRPr="007B6478">
        <w:rPr>
          <w:b/>
          <w:smallCaps/>
          <w:sz w:val="22"/>
        </w:rPr>
        <w:t xml:space="preserve">de </w:t>
      </w:r>
      <w:r w:rsidR="00B4487F">
        <w:rPr>
          <w:b/>
          <w:smallCaps/>
          <w:sz w:val="22"/>
        </w:rPr>
        <w:t>C</w:t>
      </w:r>
      <w:r w:rsidR="00DA6CDE" w:rsidRPr="007B6478">
        <w:rPr>
          <w:b/>
          <w:smallCaps/>
          <w:sz w:val="22"/>
        </w:rPr>
        <w:t xml:space="preserve">onfianza </w:t>
      </w:r>
    </w:p>
    <w:p w14:paraId="091BD1DA" w14:textId="6353BCEF" w:rsidR="00AB63CF" w:rsidRDefault="008A5222" w:rsidP="00C12C89">
      <w:pPr>
        <w:keepNext/>
        <w:keepLines/>
        <w:widowControl w:val="0"/>
        <w:jc w:val="center"/>
        <w:outlineLvl w:val="0"/>
        <w:rPr>
          <w:b/>
          <w:smallCaps/>
          <w:sz w:val="22"/>
        </w:rPr>
      </w:pPr>
      <w:r w:rsidRPr="007B6478">
        <w:rPr>
          <w:b/>
          <w:smallCaps/>
          <w:sz w:val="22"/>
        </w:rPr>
        <w:t xml:space="preserve">e indicadores </w:t>
      </w:r>
      <w:r w:rsidR="00AB63CF" w:rsidRPr="007B6478">
        <w:rPr>
          <w:b/>
          <w:smallCaps/>
          <w:sz w:val="22"/>
        </w:rPr>
        <w:t>por sector</w:t>
      </w:r>
      <w:r w:rsidRPr="007B6478">
        <w:rPr>
          <w:b/>
          <w:smallCaps/>
          <w:sz w:val="22"/>
        </w:rPr>
        <w:t xml:space="preserve"> y</w:t>
      </w:r>
      <w:r w:rsidRPr="007E5597">
        <w:rPr>
          <w:b/>
          <w:smallCaps/>
          <w:sz w:val="22"/>
        </w:rPr>
        <w:t xml:space="preserve"> sus</w:t>
      </w:r>
      <w:r w:rsidRPr="007B6478">
        <w:rPr>
          <w:b/>
          <w:smallCaps/>
          <w:sz w:val="22"/>
        </w:rPr>
        <w:t xml:space="preserve"> componentes</w:t>
      </w:r>
    </w:p>
    <w:p w14:paraId="0D4F67CC" w14:textId="7BF22601" w:rsidR="005739BD" w:rsidRPr="007267B6" w:rsidRDefault="005739BD" w:rsidP="00C12C89">
      <w:pPr>
        <w:keepNext/>
        <w:keepLines/>
        <w:widowControl w:val="0"/>
        <w:jc w:val="center"/>
        <w:outlineLvl w:val="0"/>
        <w:rPr>
          <w:bCs/>
          <w:sz w:val="18"/>
          <w:szCs w:val="20"/>
        </w:rPr>
      </w:pPr>
      <w:r w:rsidRPr="007267B6">
        <w:rPr>
          <w:bCs/>
          <w:sz w:val="18"/>
          <w:szCs w:val="20"/>
        </w:rPr>
        <w:t>(Puntos)</w:t>
      </w:r>
    </w:p>
    <w:tbl>
      <w:tblPr>
        <w:tblW w:w="45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9"/>
        <w:gridCol w:w="1216"/>
        <w:gridCol w:w="1216"/>
        <w:gridCol w:w="1217"/>
      </w:tblGrid>
      <w:tr w:rsidR="00EF19D6" w:rsidRPr="007A19AB" w14:paraId="091BD1DE" w14:textId="77777777" w:rsidTr="002644F0">
        <w:trPr>
          <w:cantSplit/>
          <w:trHeight w:val="300"/>
          <w:jc w:val="center"/>
        </w:trPr>
        <w:tc>
          <w:tcPr>
            <w:tcW w:w="5319" w:type="dxa"/>
            <w:vMerge w:val="restar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091BD1DB" w14:textId="77777777" w:rsidR="00EF19D6" w:rsidRPr="00443B05" w:rsidRDefault="00EF19D6" w:rsidP="00C12C89">
            <w:pPr>
              <w:keepNext/>
              <w:keepLines/>
              <w:widowControl w:val="0"/>
              <w:spacing w:before="20" w:after="20"/>
              <w:ind w:left="176"/>
              <w:rPr>
                <w:sz w:val="18"/>
                <w:szCs w:val="18"/>
              </w:rPr>
            </w:pPr>
            <w:bookmarkStart w:id="2" w:name="OLE_LINK3"/>
            <w:r w:rsidRPr="00443B05">
              <w:rPr>
                <w:sz w:val="18"/>
                <w:szCs w:val="18"/>
              </w:rPr>
              <w:t>Indicadores</w:t>
            </w:r>
            <w:r w:rsidR="0067388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/</w:t>
            </w:r>
            <w:r w:rsidR="0067388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Componentes</w:t>
            </w:r>
          </w:p>
        </w:tc>
        <w:tc>
          <w:tcPr>
            <w:tcW w:w="2432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091BD1DC" w14:textId="6FDEB35B" w:rsidR="00EF19D6" w:rsidRPr="00443B05" w:rsidRDefault="008D59D2" w:rsidP="00C12C89">
            <w:pPr>
              <w:keepNext/>
              <w:keepLines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1217" w:type="dxa"/>
            <w:vMerge w:val="restar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091BD1DD" w14:textId="687B14A9" w:rsidR="00EF19D6" w:rsidRPr="00443B05" w:rsidRDefault="00EF19D6" w:rsidP="00C12C89">
            <w:pPr>
              <w:keepNext/>
              <w:keepLines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Diferencia</w:t>
            </w:r>
            <w:r w:rsidR="005739BD">
              <w:rPr>
                <w:sz w:val="18"/>
                <w:szCs w:val="18"/>
              </w:rPr>
              <w:t xml:space="preserve"> anual</w:t>
            </w:r>
            <w:r w:rsidRPr="009D4821">
              <w:rPr>
                <w:position w:val="6"/>
                <w:sz w:val="18"/>
                <w:szCs w:val="18"/>
                <w:vertAlign w:val="superscript"/>
              </w:rPr>
              <w:t>1/</w:t>
            </w:r>
          </w:p>
        </w:tc>
      </w:tr>
      <w:tr w:rsidR="00AB63CF" w:rsidRPr="007A19AB" w14:paraId="091BD1E3" w14:textId="77777777" w:rsidTr="002644F0">
        <w:trPr>
          <w:cantSplit/>
          <w:trHeight w:val="300"/>
          <w:jc w:val="center"/>
        </w:trPr>
        <w:tc>
          <w:tcPr>
            <w:tcW w:w="5319" w:type="dxa"/>
            <w:vMerge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pct10" w:color="auto" w:fill="auto"/>
            <w:vAlign w:val="center"/>
          </w:tcPr>
          <w:p w14:paraId="091BD1DF" w14:textId="77777777" w:rsidR="00AB63CF" w:rsidRPr="00443B05" w:rsidRDefault="00AB63CF" w:rsidP="00C12C89">
            <w:pPr>
              <w:keepNext/>
              <w:keepLines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091BD1E0" w14:textId="75636EDF" w:rsidR="00AB63CF" w:rsidRPr="00443B05" w:rsidRDefault="008A154C" w:rsidP="00C12C89">
            <w:pPr>
              <w:keepNext/>
              <w:keepLines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F8295B">
              <w:rPr>
                <w:sz w:val="18"/>
                <w:szCs w:val="18"/>
              </w:rPr>
              <w:t>2</w:t>
            </w:r>
          </w:p>
        </w:tc>
        <w:tc>
          <w:tcPr>
            <w:tcW w:w="1216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091BD1E1" w14:textId="04ADE636" w:rsidR="00AB63CF" w:rsidRPr="00443B05" w:rsidRDefault="008A154C" w:rsidP="00C12C89">
            <w:pPr>
              <w:keepNext/>
              <w:keepLines/>
              <w:widowControl w:val="0"/>
              <w:spacing w:before="20" w:after="20"/>
              <w:ind w:left="-70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F8295B">
              <w:rPr>
                <w:sz w:val="18"/>
                <w:szCs w:val="18"/>
              </w:rPr>
              <w:t>3</w:t>
            </w:r>
            <w:r w:rsidR="00AB63CF" w:rsidRPr="009D4821">
              <w:rPr>
                <w:position w:val="6"/>
                <w:sz w:val="18"/>
                <w:szCs w:val="18"/>
                <w:vertAlign w:val="superscript"/>
              </w:rPr>
              <w:t>p/</w:t>
            </w:r>
          </w:p>
        </w:tc>
        <w:tc>
          <w:tcPr>
            <w:tcW w:w="1217" w:type="dxa"/>
            <w:vMerge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pct10" w:color="auto" w:fill="auto"/>
            <w:vAlign w:val="center"/>
          </w:tcPr>
          <w:p w14:paraId="091BD1E2" w14:textId="77777777" w:rsidR="00AB63CF" w:rsidRPr="00443B05" w:rsidRDefault="00AB63CF" w:rsidP="00C12C89">
            <w:pPr>
              <w:keepNext/>
              <w:keepLines/>
              <w:widowControl w:val="0"/>
              <w:spacing w:line="240" w:lineRule="atLeast"/>
              <w:ind w:left="-64" w:right="-45"/>
              <w:jc w:val="center"/>
              <w:rPr>
                <w:sz w:val="18"/>
                <w:szCs w:val="18"/>
              </w:rPr>
            </w:pPr>
          </w:p>
        </w:tc>
      </w:tr>
      <w:tr w:rsidR="00E12E91" w:rsidRPr="007B6478" w14:paraId="091BD1E8" w14:textId="77777777" w:rsidTr="00E12E91">
        <w:trPr>
          <w:cantSplit/>
          <w:trHeight w:val="340"/>
          <w:jc w:val="center"/>
        </w:trPr>
        <w:tc>
          <w:tcPr>
            <w:tcW w:w="5319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BE5F1" w:themeFill="accent1" w:themeFillTint="33"/>
            <w:vAlign w:val="center"/>
          </w:tcPr>
          <w:p w14:paraId="091BD1E4" w14:textId="77777777" w:rsidR="00E12E91" w:rsidRPr="002443AC" w:rsidRDefault="00E12E91" w:rsidP="00E12E91">
            <w:pPr>
              <w:keepNext/>
              <w:keepLines/>
              <w:widowControl w:val="0"/>
              <w:tabs>
                <w:tab w:val="left" w:pos="322"/>
              </w:tabs>
              <w:spacing w:before="20" w:after="20"/>
              <w:ind w:left="420" w:hanging="363"/>
              <w:jc w:val="left"/>
              <w:rPr>
                <w:b/>
                <w:sz w:val="18"/>
                <w:szCs w:val="18"/>
              </w:rPr>
            </w:pPr>
            <w:r w:rsidRPr="002443AC">
              <w:rPr>
                <w:b/>
                <w:sz w:val="18"/>
                <w:szCs w:val="18"/>
              </w:rPr>
              <w:t>Indicador Global de Opinión Empresarial de Confianza</w:t>
            </w:r>
          </w:p>
        </w:tc>
        <w:tc>
          <w:tcPr>
            <w:tcW w:w="1216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</w:tcBorders>
            <w:shd w:val="clear" w:color="auto" w:fill="DBE5F1" w:themeFill="accent1" w:themeFillTint="33"/>
            <w:vAlign w:val="center"/>
          </w:tcPr>
          <w:p w14:paraId="091BD1E5" w14:textId="55FA1612" w:rsidR="00E12E91" w:rsidRPr="00BD05D9" w:rsidRDefault="00E12E91" w:rsidP="00E12E91">
            <w:pPr>
              <w:keepNext/>
              <w:keepLines/>
              <w:tabs>
                <w:tab w:val="decimal" w:pos="615"/>
              </w:tabs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48.0</w:t>
            </w:r>
          </w:p>
        </w:tc>
        <w:tc>
          <w:tcPr>
            <w:tcW w:w="1216" w:type="dxa"/>
            <w:tcBorders>
              <w:top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BE5F1" w:themeFill="accent1" w:themeFillTint="33"/>
            <w:vAlign w:val="center"/>
          </w:tcPr>
          <w:p w14:paraId="091BD1E6" w14:textId="4AC6AC8F" w:rsidR="00E12E91" w:rsidRPr="00BD05D9" w:rsidRDefault="00E12E91" w:rsidP="00E12E91">
            <w:pPr>
              <w:keepNext/>
              <w:keepLines/>
              <w:tabs>
                <w:tab w:val="decimal" w:pos="645"/>
              </w:tabs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56.4</w:t>
            </w:r>
          </w:p>
        </w:tc>
        <w:tc>
          <w:tcPr>
            <w:tcW w:w="121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BE5F1" w:themeFill="accent1" w:themeFillTint="33"/>
            <w:vAlign w:val="center"/>
          </w:tcPr>
          <w:p w14:paraId="091BD1E7" w14:textId="4410AED5" w:rsidR="00E12E91" w:rsidRPr="00BD05D9" w:rsidRDefault="00E12E91" w:rsidP="00E12E91">
            <w:pPr>
              <w:keepNext/>
              <w:keepLines/>
              <w:tabs>
                <w:tab w:val="decimal" w:pos="600"/>
              </w:tabs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8.5</w:t>
            </w:r>
          </w:p>
        </w:tc>
      </w:tr>
      <w:tr w:rsidR="008A5222" w:rsidRPr="008A5222" w14:paraId="091BD1ED" w14:textId="77777777" w:rsidTr="002644F0">
        <w:trPr>
          <w:cantSplit/>
          <w:trHeight w:val="20"/>
          <w:jc w:val="center"/>
        </w:trPr>
        <w:tc>
          <w:tcPr>
            <w:tcW w:w="5319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auto"/>
            <w:vAlign w:val="center"/>
          </w:tcPr>
          <w:p w14:paraId="091BD1E9" w14:textId="77777777" w:rsidR="008A5222" w:rsidRPr="00A55957" w:rsidRDefault="008A5222" w:rsidP="00C12C89">
            <w:pPr>
              <w:keepNext/>
              <w:keepLines/>
              <w:widowControl w:val="0"/>
              <w:tabs>
                <w:tab w:val="left" w:pos="322"/>
              </w:tabs>
              <w:spacing w:before="20" w:after="20"/>
              <w:ind w:left="533"/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1216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auto"/>
            <w:vAlign w:val="center"/>
          </w:tcPr>
          <w:p w14:paraId="091BD1EA" w14:textId="77777777" w:rsidR="008A5222" w:rsidRPr="00BD05D9" w:rsidRDefault="008A5222" w:rsidP="00523772">
            <w:pPr>
              <w:keepNext/>
              <w:keepLines/>
              <w:tabs>
                <w:tab w:val="decimal" w:pos="615"/>
              </w:tabs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auto"/>
            <w:vAlign w:val="center"/>
          </w:tcPr>
          <w:p w14:paraId="091BD1EB" w14:textId="77777777" w:rsidR="008A5222" w:rsidRPr="00BD05D9" w:rsidRDefault="008A5222" w:rsidP="00B33EC2">
            <w:pPr>
              <w:keepNext/>
              <w:keepLines/>
              <w:tabs>
                <w:tab w:val="decimal" w:pos="645"/>
              </w:tabs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auto"/>
            <w:vAlign w:val="center"/>
          </w:tcPr>
          <w:p w14:paraId="091BD1EC" w14:textId="77777777" w:rsidR="008A5222" w:rsidRPr="00BD05D9" w:rsidRDefault="008A5222" w:rsidP="00561AD5">
            <w:pPr>
              <w:keepNext/>
              <w:keepLines/>
              <w:tabs>
                <w:tab w:val="left" w:pos="238"/>
                <w:tab w:val="decimal" w:pos="600"/>
              </w:tabs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E12E91" w:rsidRPr="00C413B3" w14:paraId="091BD1F2" w14:textId="77777777" w:rsidTr="00E12E91">
        <w:trPr>
          <w:cantSplit/>
          <w:trHeight w:val="20"/>
          <w:jc w:val="center"/>
        </w:trPr>
        <w:tc>
          <w:tcPr>
            <w:tcW w:w="5319" w:type="dxa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91BD1EE" w14:textId="2D019BCA" w:rsidR="00E12E91" w:rsidRPr="00443B05" w:rsidRDefault="00E12E91" w:rsidP="00E12E91">
            <w:pPr>
              <w:keepNext/>
              <w:keepLines/>
              <w:widowControl w:val="0"/>
              <w:spacing w:before="20" w:after="20"/>
              <w:ind w:left="74" w:hanging="17"/>
              <w:jc w:val="left"/>
              <w:rPr>
                <w:b/>
                <w:sz w:val="18"/>
                <w:szCs w:val="18"/>
              </w:rPr>
            </w:pPr>
            <w:r w:rsidRPr="00443B05">
              <w:rPr>
                <w:b/>
                <w:sz w:val="18"/>
                <w:szCs w:val="18"/>
              </w:rPr>
              <w:t xml:space="preserve">Indicador de Confianza Empresarial </w:t>
            </w:r>
            <w:r>
              <w:rPr>
                <w:b/>
                <w:sz w:val="18"/>
                <w:szCs w:val="18"/>
              </w:rPr>
              <w:t>de Industrias m</w:t>
            </w:r>
            <w:r w:rsidRPr="00443B05">
              <w:rPr>
                <w:b/>
                <w:sz w:val="18"/>
                <w:szCs w:val="18"/>
              </w:rPr>
              <w:t>anufacturer</w:t>
            </w:r>
            <w:r>
              <w:rPr>
                <w:b/>
                <w:sz w:val="18"/>
                <w:szCs w:val="18"/>
              </w:rPr>
              <w:t>as</w:t>
            </w:r>
          </w:p>
        </w:tc>
        <w:tc>
          <w:tcPr>
            <w:tcW w:w="1216" w:type="dxa"/>
            <w:tcBorders>
              <w:top w:val="single" w:sz="4" w:space="0" w:color="404040"/>
              <w:left w:val="single" w:sz="4" w:space="0" w:color="404040"/>
            </w:tcBorders>
            <w:shd w:val="clear" w:color="auto" w:fill="auto"/>
            <w:vAlign w:val="center"/>
          </w:tcPr>
          <w:p w14:paraId="091BD1EF" w14:textId="677ADCFB" w:rsidR="00E12E91" w:rsidRPr="00BD05D9" w:rsidRDefault="00E12E91" w:rsidP="00E12E91">
            <w:pPr>
              <w:keepNext/>
              <w:keepLines/>
              <w:tabs>
                <w:tab w:val="decimal" w:pos="615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50.9</w:t>
            </w:r>
          </w:p>
        </w:tc>
        <w:tc>
          <w:tcPr>
            <w:tcW w:w="1216" w:type="dxa"/>
            <w:tcBorders>
              <w:top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91BD1F0" w14:textId="177E8ED7" w:rsidR="00E12E91" w:rsidRPr="00BD05D9" w:rsidRDefault="00E12E91" w:rsidP="00E12E91">
            <w:pPr>
              <w:keepNext/>
              <w:keepLines/>
              <w:tabs>
                <w:tab w:val="decimal" w:pos="645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53.7</w:t>
            </w:r>
          </w:p>
        </w:tc>
        <w:tc>
          <w:tcPr>
            <w:tcW w:w="1217" w:type="dxa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91BD1F1" w14:textId="777BCEF4" w:rsidR="00E12E91" w:rsidRPr="00BD05D9" w:rsidRDefault="00E12E91" w:rsidP="00E12E91">
            <w:pPr>
              <w:keepNext/>
              <w:keepLines/>
              <w:tabs>
                <w:tab w:val="decimal" w:pos="600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2.8</w:t>
            </w:r>
          </w:p>
        </w:tc>
      </w:tr>
      <w:tr w:rsidR="00E12E91" w:rsidRPr="00C413B3" w14:paraId="091BD1F7" w14:textId="77777777" w:rsidTr="00E12E91">
        <w:trPr>
          <w:cantSplit/>
          <w:trHeight w:val="20"/>
          <w:jc w:val="center"/>
        </w:trPr>
        <w:tc>
          <w:tcPr>
            <w:tcW w:w="5319" w:type="dxa"/>
            <w:tcBorders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91BD1F3" w14:textId="77777777" w:rsidR="00E12E91" w:rsidRPr="00443B05" w:rsidRDefault="00E12E91" w:rsidP="00E12E91">
            <w:pPr>
              <w:widowControl w:val="0"/>
              <w:numPr>
                <w:ilvl w:val="0"/>
                <w:numId w:val="22"/>
              </w:numPr>
              <w:tabs>
                <w:tab w:val="left" w:pos="322"/>
              </w:tabs>
              <w:spacing w:before="20" w:after="20"/>
              <w:ind w:left="533" w:hanging="363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Momento adecuado para invertir</w:t>
            </w:r>
          </w:p>
        </w:tc>
        <w:tc>
          <w:tcPr>
            <w:tcW w:w="1216" w:type="dxa"/>
            <w:tcBorders>
              <w:left w:val="single" w:sz="4" w:space="0" w:color="404040"/>
            </w:tcBorders>
            <w:shd w:val="clear" w:color="auto" w:fill="auto"/>
            <w:vAlign w:val="center"/>
          </w:tcPr>
          <w:p w14:paraId="091BD1F4" w14:textId="4157B887" w:rsidR="00E12E91" w:rsidRPr="00BD05D9" w:rsidRDefault="00E12E91" w:rsidP="00E12E91">
            <w:pPr>
              <w:tabs>
                <w:tab w:val="decimal" w:pos="615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38.9</w:t>
            </w:r>
          </w:p>
        </w:tc>
        <w:tc>
          <w:tcPr>
            <w:tcW w:w="1216" w:type="dxa"/>
            <w:tcBorders>
              <w:right w:val="single" w:sz="4" w:space="0" w:color="404040"/>
            </w:tcBorders>
            <w:shd w:val="clear" w:color="auto" w:fill="auto"/>
            <w:vAlign w:val="center"/>
          </w:tcPr>
          <w:p w14:paraId="091BD1F5" w14:textId="34AF30A2" w:rsidR="00E12E91" w:rsidRPr="00BD05D9" w:rsidRDefault="00E12E91" w:rsidP="00E12E91">
            <w:pPr>
              <w:tabs>
                <w:tab w:val="decimal" w:pos="645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45.1</w:t>
            </w:r>
          </w:p>
        </w:tc>
        <w:tc>
          <w:tcPr>
            <w:tcW w:w="1217" w:type="dxa"/>
            <w:tcBorders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91BD1F6" w14:textId="7C192239" w:rsidR="00E12E91" w:rsidRPr="00BD05D9" w:rsidRDefault="00E12E91" w:rsidP="00E12E91">
            <w:pPr>
              <w:keepNext/>
              <w:keepLines/>
              <w:tabs>
                <w:tab w:val="decimal" w:pos="600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6.3</w:t>
            </w:r>
          </w:p>
        </w:tc>
      </w:tr>
      <w:tr w:rsidR="00E12E91" w:rsidRPr="00C413B3" w14:paraId="091BD1FC" w14:textId="77777777" w:rsidTr="00E12E91">
        <w:trPr>
          <w:cantSplit/>
          <w:trHeight w:val="20"/>
          <w:jc w:val="center"/>
        </w:trPr>
        <w:tc>
          <w:tcPr>
            <w:tcW w:w="5319" w:type="dxa"/>
            <w:tcBorders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91BD1F8" w14:textId="77777777" w:rsidR="00E12E91" w:rsidRPr="00443B05" w:rsidRDefault="00E12E91" w:rsidP="00E12E91">
            <w:pPr>
              <w:widowControl w:val="0"/>
              <w:numPr>
                <w:ilvl w:val="0"/>
                <w:numId w:val="22"/>
              </w:numPr>
              <w:tabs>
                <w:tab w:val="left" w:pos="322"/>
              </w:tabs>
              <w:spacing w:before="20" w:after="20"/>
              <w:ind w:left="533" w:hanging="363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Situación económica presente del país</w:t>
            </w:r>
          </w:p>
        </w:tc>
        <w:tc>
          <w:tcPr>
            <w:tcW w:w="1216" w:type="dxa"/>
            <w:tcBorders>
              <w:left w:val="single" w:sz="4" w:space="0" w:color="404040"/>
            </w:tcBorders>
            <w:shd w:val="clear" w:color="auto" w:fill="auto"/>
            <w:vAlign w:val="center"/>
          </w:tcPr>
          <w:p w14:paraId="091BD1F9" w14:textId="7F26BE0B" w:rsidR="00E12E91" w:rsidRPr="00BD05D9" w:rsidRDefault="00E12E91" w:rsidP="00E12E91">
            <w:pPr>
              <w:tabs>
                <w:tab w:val="decimal" w:pos="615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48.6</w:t>
            </w:r>
          </w:p>
        </w:tc>
        <w:tc>
          <w:tcPr>
            <w:tcW w:w="1216" w:type="dxa"/>
            <w:tcBorders>
              <w:right w:val="single" w:sz="4" w:space="0" w:color="404040"/>
            </w:tcBorders>
            <w:shd w:val="clear" w:color="auto" w:fill="auto"/>
            <w:vAlign w:val="center"/>
          </w:tcPr>
          <w:p w14:paraId="091BD1FA" w14:textId="4B9F8A96" w:rsidR="00E12E91" w:rsidRPr="00BD05D9" w:rsidRDefault="00E12E91" w:rsidP="00E12E91">
            <w:pPr>
              <w:tabs>
                <w:tab w:val="decimal" w:pos="645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53.6</w:t>
            </w:r>
          </w:p>
        </w:tc>
        <w:tc>
          <w:tcPr>
            <w:tcW w:w="1217" w:type="dxa"/>
            <w:tcBorders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91BD1FB" w14:textId="56A5F45E" w:rsidR="00E12E91" w:rsidRPr="000567CD" w:rsidRDefault="00E12E91" w:rsidP="00E12E91">
            <w:pPr>
              <w:keepNext/>
              <w:keepLines/>
              <w:tabs>
                <w:tab w:val="decimal" w:pos="600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5.0</w:t>
            </w:r>
          </w:p>
        </w:tc>
      </w:tr>
      <w:tr w:rsidR="00E12E91" w:rsidRPr="00C413B3" w14:paraId="091BD201" w14:textId="77777777" w:rsidTr="00E12E91">
        <w:trPr>
          <w:cantSplit/>
          <w:trHeight w:val="20"/>
          <w:jc w:val="center"/>
        </w:trPr>
        <w:tc>
          <w:tcPr>
            <w:tcW w:w="5319" w:type="dxa"/>
            <w:tcBorders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91BD1FD" w14:textId="77777777" w:rsidR="00E12E91" w:rsidRPr="00443B05" w:rsidRDefault="00E12E91" w:rsidP="00E12E91">
            <w:pPr>
              <w:widowControl w:val="0"/>
              <w:numPr>
                <w:ilvl w:val="0"/>
                <w:numId w:val="22"/>
              </w:numPr>
              <w:spacing w:before="20" w:after="20"/>
              <w:ind w:left="533" w:hanging="363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Situación económica futura del país</w:t>
            </w:r>
          </w:p>
        </w:tc>
        <w:tc>
          <w:tcPr>
            <w:tcW w:w="1216" w:type="dxa"/>
            <w:tcBorders>
              <w:left w:val="single" w:sz="4" w:space="0" w:color="404040"/>
            </w:tcBorders>
            <w:shd w:val="clear" w:color="auto" w:fill="auto"/>
            <w:vAlign w:val="center"/>
          </w:tcPr>
          <w:p w14:paraId="091BD1FE" w14:textId="0C53892E" w:rsidR="00E12E91" w:rsidRPr="00BD05D9" w:rsidRDefault="00E12E91" w:rsidP="00E12E91">
            <w:pPr>
              <w:tabs>
                <w:tab w:val="decimal" w:pos="615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53.0</w:t>
            </w:r>
          </w:p>
        </w:tc>
        <w:tc>
          <w:tcPr>
            <w:tcW w:w="1216" w:type="dxa"/>
            <w:tcBorders>
              <w:right w:val="single" w:sz="4" w:space="0" w:color="404040"/>
            </w:tcBorders>
            <w:shd w:val="clear" w:color="auto" w:fill="auto"/>
            <w:vAlign w:val="center"/>
          </w:tcPr>
          <w:p w14:paraId="091BD1FF" w14:textId="6D2CCD33" w:rsidR="00E12E91" w:rsidRPr="00BD05D9" w:rsidRDefault="00E12E91" w:rsidP="00E12E91">
            <w:pPr>
              <w:tabs>
                <w:tab w:val="decimal" w:pos="645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56.4</w:t>
            </w:r>
          </w:p>
        </w:tc>
        <w:tc>
          <w:tcPr>
            <w:tcW w:w="1217" w:type="dxa"/>
            <w:tcBorders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91BD200" w14:textId="3C984DF2" w:rsidR="00E12E91" w:rsidRPr="000567CD" w:rsidRDefault="00E12E91" w:rsidP="00E12E91">
            <w:pPr>
              <w:keepNext/>
              <w:keepLines/>
              <w:tabs>
                <w:tab w:val="decimal" w:pos="600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3.4</w:t>
            </w:r>
          </w:p>
        </w:tc>
      </w:tr>
      <w:tr w:rsidR="00E12E91" w:rsidRPr="00C413B3" w14:paraId="091BD206" w14:textId="77777777" w:rsidTr="00E12E91">
        <w:trPr>
          <w:cantSplit/>
          <w:trHeight w:val="20"/>
          <w:jc w:val="center"/>
        </w:trPr>
        <w:tc>
          <w:tcPr>
            <w:tcW w:w="5319" w:type="dxa"/>
            <w:tcBorders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91BD202" w14:textId="77777777" w:rsidR="00E12E91" w:rsidRPr="00443B05" w:rsidRDefault="00E12E91" w:rsidP="00E12E91">
            <w:pPr>
              <w:widowControl w:val="0"/>
              <w:numPr>
                <w:ilvl w:val="0"/>
                <w:numId w:val="22"/>
              </w:numPr>
              <w:tabs>
                <w:tab w:val="left" w:pos="322"/>
              </w:tabs>
              <w:spacing w:before="20" w:after="20"/>
              <w:ind w:left="533" w:right="-61" w:hanging="363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Situación económica presente de la empresa</w:t>
            </w:r>
          </w:p>
        </w:tc>
        <w:tc>
          <w:tcPr>
            <w:tcW w:w="1216" w:type="dxa"/>
            <w:tcBorders>
              <w:left w:val="single" w:sz="4" w:space="0" w:color="404040"/>
            </w:tcBorders>
            <w:shd w:val="clear" w:color="auto" w:fill="auto"/>
            <w:vAlign w:val="center"/>
          </w:tcPr>
          <w:p w14:paraId="091BD203" w14:textId="3C698B0C" w:rsidR="00E12E91" w:rsidRPr="00BD05D9" w:rsidRDefault="00E12E91" w:rsidP="00E12E91">
            <w:pPr>
              <w:tabs>
                <w:tab w:val="decimal" w:pos="615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54.8</w:t>
            </w:r>
          </w:p>
        </w:tc>
        <w:tc>
          <w:tcPr>
            <w:tcW w:w="1216" w:type="dxa"/>
            <w:tcBorders>
              <w:right w:val="single" w:sz="4" w:space="0" w:color="404040"/>
            </w:tcBorders>
            <w:shd w:val="clear" w:color="auto" w:fill="auto"/>
            <w:vAlign w:val="center"/>
          </w:tcPr>
          <w:p w14:paraId="091BD204" w14:textId="29997D72" w:rsidR="00E12E91" w:rsidRPr="00BD05D9" w:rsidRDefault="00E12E91" w:rsidP="00E12E91">
            <w:pPr>
              <w:tabs>
                <w:tab w:val="decimal" w:pos="645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54.7</w:t>
            </w:r>
          </w:p>
        </w:tc>
        <w:tc>
          <w:tcPr>
            <w:tcW w:w="1217" w:type="dxa"/>
            <w:tcBorders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91BD205" w14:textId="2128EAB9" w:rsidR="00E12E91" w:rsidRPr="000567CD" w:rsidRDefault="00E12E91" w:rsidP="00E12E91">
            <w:pPr>
              <w:keepNext/>
              <w:keepLines/>
              <w:tabs>
                <w:tab w:val="decimal" w:pos="600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-0.1</w:t>
            </w:r>
          </w:p>
        </w:tc>
      </w:tr>
      <w:tr w:rsidR="00E12E91" w:rsidRPr="00C413B3" w14:paraId="091BD20B" w14:textId="77777777" w:rsidTr="00E12E91">
        <w:trPr>
          <w:cantSplit/>
          <w:trHeight w:val="20"/>
          <w:jc w:val="center"/>
        </w:trPr>
        <w:tc>
          <w:tcPr>
            <w:tcW w:w="5319" w:type="dxa"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91BD207" w14:textId="77777777" w:rsidR="00E12E91" w:rsidRPr="00443B05" w:rsidRDefault="00E12E91" w:rsidP="00E12E91">
            <w:pPr>
              <w:widowControl w:val="0"/>
              <w:numPr>
                <w:ilvl w:val="0"/>
                <w:numId w:val="22"/>
              </w:numPr>
              <w:tabs>
                <w:tab w:val="left" w:pos="322"/>
              </w:tabs>
              <w:spacing w:before="20" w:after="20"/>
              <w:ind w:left="533" w:hanging="363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Situación económica futura de la empresa</w:t>
            </w:r>
          </w:p>
        </w:tc>
        <w:tc>
          <w:tcPr>
            <w:tcW w:w="1216" w:type="dxa"/>
            <w:tcBorders>
              <w:left w:val="single" w:sz="4" w:space="0" w:color="404040"/>
              <w:bottom w:val="single" w:sz="4" w:space="0" w:color="404040"/>
            </w:tcBorders>
            <w:shd w:val="clear" w:color="auto" w:fill="auto"/>
            <w:vAlign w:val="center"/>
          </w:tcPr>
          <w:p w14:paraId="091BD208" w14:textId="4F2CF0D0" w:rsidR="00E12E91" w:rsidRPr="00BD05D9" w:rsidRDefault="00E12E91" w:rsidP="00E12E91">
            <w:pPr>
              <w:tabs>
                <w:tab w:val="decimal" w:pos="615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59.2</w:t>
            </w:r>
          </w:p>
        </w:tc>
        <w:tc>
          <w:tcPr>
            <w:tcW w:w="1216" w:type="dxa"/>
            <w:tcBorders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91BD209" w14:textId="6B44D718" w:rsidR="00E12E91" w:rsidRPr="00BD05D9" w:rsidRDefault="00E12E91" w:rsidP="00E12E91">
            <w:pPr>
              <w:tabs>
                <w:tab w:val="decimal" w:pos="645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58.4</w:t>
            </w:r>
          </w:p>
        </w:tc>
        <w:tc>
          <w:tcPr>
            <w:tcW w:w="1217" w:type="dxa"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91BD20A" w14:textId="5ABD5FFF" w:rsidR="00E12E91" w:rsidRPr="000567CD" w:rsidRDefault="00E12E91" w:rsidP="00E12E91">
            <w:pPr>
              <w:keepNext/>
              <w:keepLines/>
              <w:tabs>
                <w:tab w:val="decimal" w:pos="600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-0.8</w:t>
            </w:r>
          </w:p>
        </w:tc>
      </w:tr>
      <w:tr w:rsidR="00AB63CF" w:rsidRPr="00C413B3" w14:paraId="091BD210" w14:textId="77777777" w:rsidTr="002644F0">
        <w:trPr>
          <w:cantSplit/>
          <w:trHeight w:val="20"/>
          <w:jc w:val="center"/>
        </w:trPr>
        <w:tc>
          <w:tcPr>
            <w:tcW w:w="5319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auto"/>
            <w:vAlign w:val="center"/>
          </w:tcPr>
          <w:p w14:paraId="091BD20C" w14:textId="77777777" w:rsidR="00AB63CF" w:rsidRPr="00C413B3" w:rsidRDefault="00AB63CF" w:rsidP="00AB63CF">
            <w:pPr>
              <w:widowControl w:val="0"/>
              <w:tabs>
                <w:tab w:val="left" w:pos="322"/>
              </w:tabs>
              <w:spacing w:before="20" w:after="20"/>
              <w:ind w:left="533"/>
              <w:jc w:val="left"/>
              <w:rPr>
                <w:sz w:val="12"/>
                <w:szCs w:val="12"/>
              </w:rPr>
            </w:pPr>
          </w:p>
        </w:tc>
        <w:tc>
          <w:tcPr>
            <w:tcW w:w="1216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auto"/>
            <w:vAlign w:val="center"/>
          </w:tcPr>
          <w:p w14:paraId="091BD20D" w14:textId="77777777" w:rsidR="00AB63CF" w:rsidRPr="00BD05D9" w:rsidRDefault="00AB63CF" w:rsidP="00523772">
            <w:pPr>
              <w:tabs>
                <w:tab w:val="decimal" w:pos="615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auto"/>
            <w:vAlign w:val="center"/>
          </w:tcPr>
          <w:p w14:paraId="091BD20E" w14:textId="77777777" w:rsidR="00AB63CF" w:rsidRPr="00BD05D9" w:rsidRDefault="00AB63CF" w:rsidP="00B33EC2">
            <w:pPr>
              <w:tabs>
                <w:tab w:val="decimal" w:pos="645"/>
              </w:tabs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auto"/>
            <w:vAlign w:val="center"/>
          </w:tcPr>
          <w:p w14:paraId="091BD20F" w14:textId="77777777" w:rsidR="00AB63CF" w:rsidRPr="00BD05D9" w:rsidRDefault="00AB63CF" w:rsidP="00561AD5">
            <w:pPr>
              <w:tabs>
                <w:tab w:val="left" w:pos="315"/>
                <w:tab w:val="decimal" w:pos="600"/>
              </w:tabs>
              <w:jc w:val="left"/>
              <w:rPr>
                <w:bCs/>
                <w:sz w:val="18"/>
                <w:szCs w:val="18"/>
              </w:rPr>
            </w:pPr>
          </w:p>
        </w:tc>
      </w:tr>
      <w:tr w:rsidR="00E12E91" w:rsidRPr="00C413B3" w14:paraId="091BD215" w14:textId="77777777" w:rsidTr="00E12E91">
        <w:trPr>
          <w:cantSplit/>
          <w:trHeight w:val="20"/>
          <w:jc w:val="center"/>
        </w:trPr>
        <w:tc>
          <w:tcPr>
            <w:tcW w:w="5319" w:type="dxa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91BD211" w14:textId="31C2532D" w:rsidR="00E12E91" w:rsidRPr="00AB63CF" w:rsidRDefault="00E12E91" w:rsidP="00E12E91">
            <w:pPr>
              <w:widowControl w:val="0"/>
              <w:tabs>
                <w:tab w:val="left" w:pos="322"/>
              </w:tabs>
              <w:spacing w:before="20" w:after="20"/>
              <w:ind w:left="420" w:hanging="363"/>
              <w:jc w:val="left"/>
              <w:rPr>
                <w:b/>
                <w:sz w:val="18"/>
                <w:szCs w:val="18"/>
              </w:rPr>
            </w:pPr>
            <w:r w:rsidRPr="00AB63CF">
              <w:rPr>
                <w:b/>
                <w:sz w:val="18"/>
                <w:szCs w:val="18"/>
              </w:rPr>
              <w:t xml:space="preserve">Indicador de Confianza Empresarial </w:t>
            </w:r>
            <w:r>
              <w:rPr>
                <w:b/>
                <w:sz w:val="18"/>
                <w:szCs w:val="18"/>
              </w:rPr>
              <w:t>de Construcción</w:t>
            </w:r>
          </w:p>
        </w:tc>
        <w:tc>
          <w:tcPr>
            <w:tcW w:w="1216" w:type="dxa"/>
            <w:tcBorders>
              <w:top w:val="single" w:sz="4" w:space="0" w:color="404040"/>
              <w:left w:val="single" w:sz="4" w:space="0" w:color="404040"/>
            </w:tcBorders>
            <w:shd w:val="clear" w:color="auto" w:fill="auto"/>
            <w:vAlign w:val="center"/>
          </w:tcPr>
          <w:p w14:paraId="091BD212" w14:textId="57328B4F" w:rsidR="00E12E91" w:rsidRPr="00BD05D9" w:rsidRDefault="00E12E91" w:rsidP="00E12E91">
            <w:pPr>
              <w:tabs>
                <w:tab w:val="decimal" w:pos="615"/>
              </w:tabs>
              <w:jc w:val="lef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51.0</w:t>
            </w:r>
          </w:p>
        </w:tc>
        <w:tc>
          <w:tcPr>
            <w:tcW w:w="1216" w:type="dxa"/>
            <w:tcBorders>
              <w:top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91BD213" w14:textId="190BF85E" w:rsidR="00E12E91" w:rsidRPr="00BD05D9" w:rsidRDefault="00E12E91" w:rsidP="00E12E91">
            <w:pPr>
              <w:tabs>
                <w:tab w:val="decimal" w:pos="645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53.2</w:t>
            </w:r>
          </w:p>
        </w:tc>
        <w:tc>
          <w:tcPr>
            <w:tcW w:w="1217" w:type="dxa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91BD214" w14:textId="79B18093" w:rsidR="00E12E91" w:rsidRPr="000567CD" w:rsidRDefault="00E12E91" w:rsidP="00E12E91">
            <w:pPr>
              <w:keepNext/>
              <w:keepLines/>
              <w:tabs>
                <w:tab w:val="decimal" w:pos="600"/>
              </w:tabs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2.2</w:t>
            </w:r>
          </w:p>
        </w:tc>
      </w:tr>
      <w:tr w:rsidR="00E12E91" w:rsidRPr="00C413B3" w14:paraId="091BD21A" w14:textId="77777777" w:rsidTr="00E12E91">
        <w:trPr>
          <w:cantSplit/>
          <w:trHeight w:val="20"/>
          <w:jc w:val="center"/>
        </w:trPr>
        <w:tc>
          <w:tcPr>
            <w:tcW w:w="5319" w:type="dxa"/>
            <w:tcBorders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91BD216" w14:textId="77777777" w:rsidR="00E12E91" w:rsidRPr="00443B05" w:rsidRDefault="00E12E91" w:rsidP="00E12E91">
            <w:pPr>
              <w:widowControl w:val="0"/>
              <w:numPr>
                <w:ilvl w:val="0"/>
                <w:numId w:val="28"/>
              </w:numPr>
              <w:tabs>
                <w:tab w:val="left" w:pos="322"/>
              </w:tabs>
              <w:spacing w:before="20" w:after="20"/>
              <w:ind w:left="533" w:hanging="363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Momento adecuado para invertir</w:t>
            </w:r>
          </w:p>
        </w:tc>
        <w:tc>
          <w:tcPr>
            <w:tcW w:w="1216" w:type="dxa"/>
            <w:tcBorders>
              <w:left w:val="single" w:sz="4" w:space="0" w:color="404040"/>
            </w:tcBorders>
            <w:shd w:val="clear" w:color="auto" w:fill="auto"/>
            <w:vAlign w:val="center"/>
          </w:tcPr>
          <w:p w14:paraId="091BD217" w14:textId="3F5DF2BB" w:rsidR="00E12E91" w:rsidRPr="00BD05D9" w:rsidRDefault="00E12E91" w:rsidP="00E12E91">
            <w:pPr>
              <w:tabs>
                <w:tab w:val="decimal" w:pos="615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29.8</w:t>
            </w:r>
          </w:p>
        </w:tc>
        <w:tc>
          <w:tcPr>
            <w:tcW w:w="1216" w:type="dxa"/>
            <w:tcBorders>
              <w:right w:val="single" w:sz="4" w:space="0" w:color="404040"/>
            </w:tcBorders>
            <w:shd w:val="clear" w:color="auto" w:fill="auto"/>
            <w:vAlign w:val="center"/>
          </w:tcPr>
          <w:p w14:paraId="091BD218" w14:textId="35735821" w:rsidR="00E12E91" w:rsidRPr="00BD05D9" w:rsidRDefault="00E12E91" w:rsidP="00E12E91">
            <w:pPr>
              <w:tabs>
                <w:tab w:val="decimal" w:pos="645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39.2</w:t>
            </w:r>
          </w:p>
        </w:tc>
        <w:tc>
          <w:tcPr>
            <w:tcW w:w="1217" w:type="dxa"/>
            <w:tcBorders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91BD219" w14:textId="58343CE4" w:rsidR="00E12E91" w:rsidRPr="000567CD" w:rsidRDefault="00E12E91" w:rsidP="00E12E91">
            <w:pPr>
              <w:keepNext/>
              <w:keepLines/>
              <w:tabs>
                <w:tab w:val="decimal" w:pos="600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9.4</w:t>
            </w:r>
          </w:p>
        </w:tc>
      </w:tr>
      <w:tr w:rsidR="00E12E91" w:rsidRPr="00C413B3" w14:paraId="091BD21F" w14:textId="77777777" w:rsidTr="00E12E91">
        <w:trPr>
          <w:cantSplit/>
          <w:trHeight w:val="20"/>
          <w:jc w:val="center"/>
        </w:trPr>
        <w:tc>
          <w:tcPr>
            <w:tcW w:w="5319" w:type="dxa"/>
            <w:tcBorders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91BD21B" w14:textId="77777777" w:rsidR="00E12E91" w:rsidRPr="00443B05" w:rsidRDefault="00E12E91" w:rsidP="00E12E91">
            <w:pPr>
              <w:widowControl w:val="0"/>
              <w:numPr>
                <w:ilvl w:val="0"/>
                <w:numId w:val="28"/>
              </w:numPr>
              <w:tabs>
                <w:tab w:val="left" w:pos="322"/>
              </w:tabs>
              <w:spacing w:before="20" w:after="20"/>
              <w:ind w:left="533" w:hanging="363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Situación económica presente del país</w:t>
            </w:r>
          </w:p>
        </w:tc>
        <w:tc>
          <w:tcPr>
            <w:tcW w:w="1216" w:type="dxa"/>
            <w:tcBorders>
              <w:left w:val="single" w:sz="4" w:space="0" w:color="404040"/>
            </w:tcBorders>
            <w:shd w:val="clear" w:color="auto" w:fill="auto"/>
            <w:vAlign w:val="center"/>
          </w:tcPr>
          <w:p w14:paraId="091BD21C" w14:textId="0C4454BC" w:rsidR="00E12E91" w:rsidRPr="00BD05D9" w:rsidRDefault="00E12E91" w:rsidP="00E12E91">
            <w:pPr>
              <w:tabs>
                <w:tab w:val="decimal" w:pos="615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47.9</w:t>
            </w:r>
          </w:p>
        </w:tc>
        <w:tc>
          <w:tcPr>
            <w:tcW w:w="1216" w:type="dxa"/>
            <w:tcBorders>
              <w:right w:val="single" w:sz="4" w:space="0" w:color="404040"/>
            </w:tcBorders>
            <w:shd w:val="clear" w:color="auto" w:fill="auto"/>
            <w:vAlign w:val="center"/>
          </w:tcPr>
          <w:p w14:paraId="091BD21D" w14:textId="4A938B6B" w:rsidR="00E12E91" w:rsidRPr="00BD05D9" w:rsidRDefault="00E12E91" w:rsidP="00E12E91">
            <w:pPr>
              <w:tabs>
                <w:tab w:val="decimal" w:pos="645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50.7</w:t>
            </w:r>
          </w:p>
        </w:tc>
        <w:tc>
          <w:tcPr>
            <w:tcW w:w="1217" w:type="dxa"/>
            <w:tcBorders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91BD21E" w14:textId="70BD1CDC" w:rsidR="00E12E91" w:rsidRPr="000567CD" w:rsidRDefault="00E12E91" w:rsidP="00E12E91">
            <w:pPr>
              <w:keepNext/>
              <w:keepLines/>
              <w:tabs>
                <w:tab w:val="decimal" w:pos="600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2.7</w:t>
            </w:r>
          </w:p>
        </w:tc>
      </w:tr>
      <w:tr w:rsidR="00E12E91" w:rsidRPr="00C413B3" w14:paraId="091BD224" w14:textId="77777777" w:rsidTr="00E12E91">
        <w:trPr>
          <w:cantSplit/>
          <w:trHeight w:val="20"/>
          <w:jc w:val="center"/>
        </w:trPr>
        <w:tc>
          <w:tcPr>
            <w:tcW w:w="5319" w:type="dxa"/>
            <w:tcBorders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91BD220" w14:textId="77777777" w:rsidR="00E12E91" w:rsidRPr="00443B05" w:rsidRDefault="00E12E91" w:rsidP="00E12E91">
            <w:pPr>
              <w:widowControl w:val="0"/>
              <w:numPr>
                <w:ilvl w:val="0"/>
                <w:numId w:val="28"/>
              </w:numPr>
              <w:spacing w:before="20" w:after="20"/>
              <w:ind w:left="533" w:hanging="363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Situación económica futura del país</w:t>
            </w:r>
          </w:p>
        </w:tc>
        <w:tc>
          <w:tcPr>
            <w:tcW w:w="1216" w:type="dxa"/>
            <w:tcBorders>
              <w:left w:val="single" w:sz="4" w:space="0" w:color="404040"/>
            </w:tcBorders>
            <w:shd w:val="clear" w:color="auto" w:fill="auto"/>
            <w:vAlign w:val="center"/>
          </w:tcPr>
          <w:p w14:paraId="091BD221" w14:textId="546549D1" w:rsidR="00E12E91" w:rsidRPr="00BD05D9" w:rsidRDefault="00E12E91" w:rsidP="00E12E91">
            <w:pPr>
              <w:tabs>
                <w:tab w:val="decimal" w:pos="615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59.6</w:t>
            </w:r>
          </w:p>
        </w:tc>
        <w:tc>
          <w:tcPr>
            <w:tcW w:w="1216" w:type="dxa"/>
            <w:tcBorders>
              <w:right w:val="single" w:sz="4" w:space="0" w:color="404040"/>
            </w:tcBorders>
            <w:shd w:val="clear" w:color="auto" w:fill="auto"/>
            <w:vAlign w:val="center"/>
          </w:tcPr>
          <w:p w14:paraId="091BD222" w14:textId="0A173FF9" w:rsidR="00E12E91" w:rsidRPr="00BD05D9" w:rsidRDefault="00E12E91" w:rsidP="00E12E91">
            <w:pPr>
              <w:tabs>
                <w:tab w:val="decimal" w:pos="645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58.9</w:t>
            </w:r>
          </w:p>
        </w:tc>
        <w:tc>
          <w:tcPr>
            <w:tcW w:w="1217" w:type="dxa"/>
            <w:tcBorders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91BD223" w14:textId="00ED00DA" w:rsidR="00E12E91" w:rsidRPr="000567CD" w:rsidRDefault="00E12E91" w:rsidP="00E12E91">
            <w:pPr>
              <w:keepNext/>
              <w:keepLines/>
              <w:tabs>
                <w:tab w:val="decimal" w:pos="600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-0.7</w:t>
            </w:r>
          </w:p>
        </w:tc>
      </w:tr>
      <w:tr w:rsidR="00E12E91" w:rsidRPr="00C413B3" w14:paraId="091BD229" w14:textId="77777777" w:rsidTr="00E12E91">
        <w:trPr>
          <w:cantSplit/>
          <w:trHeight w:val="20"/>
          <w:jc w:val="center"/>
        </w:trPr>
        <w:tc>
          <w:tcPr>
            <w:tcW w:w="5319" w:type="dxa"/>
            <w:tcBorders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91BD225" w14:textId="77777777" w:rsidR="00E12E91" w:rsidRPr="00443B05" w:rsidRDefault="00E12E91" w:rsidP="00E12E91">
            <w:pPr>
              <w:widowControl w:val="0"/>
              <w:numPr>
                <w:ilvl w:val="0"/>
                <w:numId w:val="28"/>
              </w:numPr>
              <w:tabs>
                <w:tab w:val="left" w:pos="322"/>
              </w:tabs>
              <w:spacing w:before="20" w:after="20"/>
              <w:ind w:left="533" w:right="-61" w:hanging="363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Situación económica presente de la empresa</w:t>
            </w:r>
          </w:p>
        </w:tc>
        <w:tc>
          <w:tcPr>
            <w:tcW w:w="1216" w:type="dxa"/>
            <w:tcBorders>
              <w:left w:val="single" w:sz="4" w:space="0" w:color="404040"/>
            </w:tcBorders>
            <w:shd w:val="clear" w:color="auto" w:fill="auto"/>
            <w:vAlign w:val="center"/>
          </w:tcPr>
          <w:p w14:paraId="091BD226" w14:textId="699C5ECD" w:rsidR="00E12E91" w:rsidRPr="00BD05D9" w:rsidRDefault="00E12E91" w:rsidP="00E12E91">
            <w:pPr>
              <w:tabs>
                <w:tab w:val="decimal" w:pos="615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52.2</w:t>
            </w:r>
          </w:p>
        </w:tc>
        <w:tc>
          <w:tcPr>
            <w:tcW w:w="1216" w:type="dxa"/>
            <w:tcBorders>
              <w:right w:val="single" w:sz="4" w:space="0" w:color="404040"/>
            </w:tcBorders>
            <w:shd w:val="clear" w:color="auto" w:fill="auto"/>
            <w:vAlign w:val="center"/>
          </w:tcPr>
          <w:p w14:paraId="091BD227" w14:textId="7583200E" w:rsidR="00E12E91" w:rsidRPr="00BD05D9" w:rsidRDefault="00E12E91" w:rsidP="00E12E91">
            <w:pPr>
              <w:tabs>
                <w:tab w:val="decimal" w:pos="645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53.7</w:t>
            </w:r>
          </w:p>
        </w:tc>
        <w:tc>
          <w:tcPr>
            <w:tcW w:w="1217" w:type="dxa"/>
            <w:tcBorders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91BD228" w14:textId="1D0F7DF7" w:rsidR="00E12E91" w:rsidRPr="000567CD" w:rsidRDefault="00E12E91" w:rsidP="00E12E91">
            <w:pPr>
              <w:keepNext/>
              <w:keepLines/>
              <w:tabs>
                <w:tab w:val="decimal" w:pos="600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</w:t>
            </w:r>
          </w:p>
        </w:tc>
      </w:tr>
      <w:tr w:rsidR="00E12E91" w:rsidRPr="00C413B3" w14:paraId="091BD22E" w14:textId="77777777" w:rsidTr="00E12E91">
        <w:trPr>
          <w:cantSplit/>
          <w:trHeight w:val="20"/>
          <w:jc w:val="center"/>
        </w:trPr>
        <w:tc>
          <w:tcPr>
            <w:tcW w:w="5319" w:type="dxa"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91BD22A" w14:textId="77777777" w:rsidR="00E12E91" w:rsidRPr="00443B05" w:rsidRDefault="00E12E91" w:rsidP="00E12E91">
            <w:pPr>
              <w:widowControl w:val="0"/>
              <w:numPr>
                <w:ilvl w:val="0"/>
                <w:numId w:val="28"/>
              </w:numPr>
              <w:tabs>
                <w:tab w:val="left" w:pos="322"/>
              </w:tabs>
              <w:spacing w:before="20" w:after="20"/>
              <w:ind w:left="533" w:hanging="363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Situación económica futura de la empresa</w:t>
            </w:r>
          </w:p>
        </w:tc>
        <w:tc>
          <w:tcPr>
            <w:tcW w:w="1216" w:type="dxa"/>
            <w:tcBorders>
              <w:left w:val="single" w:sz="4" w:space="0" w:color="404040"/>
              <w:bottom w:val="single" w:sz="4" w:space="0" w:color="404040"/>
            </w:tcBorders>
            <w:shd w:val="clear" w:color="auto" w:fill="auto"/>
            <w:vAlign w:val="center"/>
          </w:tcPr>
          <w:p w14:paraId="091BD22B" w14:textId="60E5C13E" w:rsidR="00E12E91" w:rsidRPr="00BD05D9" w:rsidRDefault="00E12E91" w:rsidP="00E12E91">
            <w:pPr>
              <w:tabs>
                <w:tab w:val="decimal" w:pos="615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65.4</w:t>
            </w:r>
          </w:p>
        </w:tc>
        <w:tc>
          <w:tcPr>
            <w:tcW w:w="1216" w:type="dxa"/>
            <w:tcBorders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91BD22C" w14:textId="71C93724" w:rsidR="00E12E91" w:rsidRPr="00BD05D9" w:rsidRDefault="00E12E91" w:rsidP="00E12E91">
            <w:pPr>
              <w:tabs>
                <w:tab w:val="decimal" w:pos="645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63.7</w:t>
            </w:r>
          </w:p>
        </w:tc>
        <w:tc>
          <w:tcPr>
            <w:tcW w:w="1217" w:type="dxa"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91BD22D" w14:textId="15846823" w:rsidR="00E12E91" w:rsidRPr="000567CD" w:rsidRDefault="00E12E91" w:rsidP="00E12E91">
            <w:pPr>
              <w:keepNext/>
              <w:keepLines/>
              <w:tabs>
                <w:tab w:val="decimal" w:pos="600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-1.7</w:t>
            </w:r>
          </w:p>
        </w:tc>
      </w:tr>
      <w:tr w:rsidR="00AB63CF" w:rsidRPr="00C413B3" w14:paraId="091BD233" w14:textId="77777777" w:rsidTr="002644F0">
        <w:trPr>
          <w:cantSplit/>
          <w:trHeight w:val="57"/>
          <w:jc w:val="center"/>
        </w:trPr>
        <w:tc>
          <w:tcPr>
            <w:tcW w:w="5319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auto"/>
            <w:vAlign w:val="center"/>
          </w:tcPr>
          <w:p w14:paraId="091BD22F" w14:textId="77777777" w:rsidR="00AB63CF" w:rsidRPr="00960498" w:rsidRDefault="00AB63CF" w:rsidP="00AB63CF">
            <w:pPr>
              <w:widowControl w:val="0"/>
              <w:tabs>
                <w:tab w:val="left" w:pos="322"/>
              </w:tabs>
              <w:spacing w:before="20" w:after="20"/>
              <w:ind w:left="533"/>
              <w:jc w:val="left"/>
              <w:rPr>
                <w:sz w:val="12"/>
                <w:szCs w:val="12"/>
              </w:rPr>
            </w:pPr>
          </w:p>
        </w:tc>
        <w:tc>
          <w:tcPr>
            <w:tcW w:w="1216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auto"/>
            <w:vAlign w:val="center"/>
          </w:tcPr>
          <w:p w14:paraId="091BD230" w14:textId="77777777" w:rsidR="00AB63CF" w:rsidRPr="00BD05D9" w:rsidRDefault="00AB63CF" w:rsidP="00523772">
            <w:pPr>
              <w:tabs>
                <w:tab w:val="decimal" w:pos="615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auto"/>
            <w:vAlign w:val="center"/>
          </w:tcPr>
          <w:p w14:paraId="091BD231" w14:textId="77777777" w:rsidR="00AB63CF" w:rsidRPr="00BD05D9" w:rsidRDefault="00AB63CF" w:rsidP="00B33EC2">
            <w:pPr>
              <w:tabs>
                <w:tab w:val="decimal" w:pos="645"/>
              </w:tabs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auto"/>
            <w:vAlign w:val="center"/>
          </w:tcPr>
          <w:p w14:paraId="091BD232" w14:textId="77777777" w:rsidR="00AB63CF" w:rsidRPr="00BD05D9" w:rsidRDefault="00AB63CF" w:rsidP="00561AD5">
            <w:pPr>
              <w:tabs>
                <w:tab w:val="left" w:pos="315"/>
                <w:tab w:val="decimal" w:pos="600"/>
              </w:tabs>
              <w:jc w:val="left"/>
              <w:rPr>
                <w:bCs/>
                <w:sz w:val="18"/>
                <w:szCs w:val="18"/>
              </w:rPr>
            </w:pPr>
          </w:p>
        </w:tc>
      </w:tr>
      <w:tr w:rsidR="00E12E91" w:rsidRPr="00C413B3" w14:paraId="091BD238" w14:textId="77777777" w:rsidTr="00E12E91">
        <w:trPr>
          <w:cantSplit/>
          <w:trHeight w:val="20"/>
          <w:jc w:val="center"/>
        </w:trPr>
        <w:tc>
          <w:tcPr>
            <w:tcW w:w="5319" w:type="dxa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91BD234" w14:textId="7A7C2B32" w:rsidR="00E12E91" w:rsidRPr="00AB63CF" w:rsidRDefault="00E12E91" w:rsidP="00E12E91">
            <w:pPr>
              <w:widowControl w:val="0"/>
              <w:tabs>
                <w:tab w:val="left" w:pos="322"/>
              </w:tabs>
              <w:spacing w:before="20" w:after="20"/>
              <w:ind w:left="420" w:hanging="363"/>
              <w:jc w:val="left"/>
              <w:rPr>
                <w:b/>
                <w:sz w:val="18"/>
                <w:szCs w:val="18"/>
              </w:rPr>
            </w:pPr>
            <w:r w:rsidRPr="00AB63CF">
              <w:rPr>
                <w:b/>
                <w:sz w:val="18"/>
                <w:szCs w:val="18"/>
              </w:rPr>
              <w:t xml:space="preserve">Indicador de Confianza Empresarial </w:t>
            </w:r>
            <w:r>
              <w:rPr>
                <w:b/>
                <w:sz w:val="18"/>
                <w:szCs w:val="18"/>
              </w:rPr>
              <w:t>de Comercio</w:t>
            </w:r>
          </w:p>
        </w:tc>
        <w:tc>
          <w:tcPr>
            <w:tcW w:w="1216" w:type="dxa"/>
            <w:tcBorders>
              <w:top w:val="single" w:sz="4" w:space="0" w:color="404040"/>
              <w:left w:val="single" w:sz="4" w:space="0" w:color="404040"/>
            </w:tcBorders>
            <w:shd w:val="clear" w:color="auto" w:fill="auto"/>
            <w:vAlign w:val="center"/>
          </w:tcPr>
          <w:p w14:paraId="091BD235" w14:textId="4C8D2F5A" w:rsidR="00E12E91" w:rsidRPr="00BD05D9" w:rsidRDefault="00E12E91" w:rsidP="00E12E91">
            <w:pPr>
              <w:tabs>
                <w:tab w:val="decimal" w:pos="615"/>
              </w:tabs>
              <w:jc w:val="lef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53.7</w:t>
            </w:r>
          </w:p>
        </w:tc>
        <w:tc>
          <w:tcPr>
            <w:tcW w:w="1216" w:type="dxa"/>
            <w:tcBorders>
              <w:top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91BD236" w14:textId="435CC5F1" w:rsidR="00E12E91" w:rsidRPr="00BD05D9" w:rsidRDefault="00E12E91" w:rsidP="00E12E91">
            <w:pPr>
              <w:tabs>
                <w:tab w:val="decimal" w:pos="645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55.7</w:t>
            </w:r>
          </w:p>
        </w:tc>
        <w:tc>
          <w:tcPr>
            <w:tcW w:w="1217" w:type="dxa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91BD237" w14:textId="1E192785" w:rsidR="00E12E91" w:rsidRPr="000567CD" w:rsidRDefault="00E12E91" w:rsidP="00E12E91">
            <w:pPr>
              <w:keepNext/>
              <w:keepLines/>
              <w:tabs>
                <w:tab w:val="decimal" w:pos="600"/>
              </w:tabs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2.1</w:t>
            </w:r>
          </w:p>
        </w:tc>
      </w:tr>
      <w:tr w:rsidR="00E12E91" w:rsidRPr="00C413B3" w14:paraId="091BD23D" w14:textId="77777777" w:rsidTr="00E12E91">
        <w:trPr>
          <w:cantSplit/>
          <w:trHeight w:val="20"/>
          <w:jc w:val="center"/>
        </w:trPr>
        <w:tc>
          <w:tcPr>
            <w:tcW w:w="5319" w:type="dxa"/>
            <w:tcBorders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91BD239" w14:textId="77777777" w:rsidR="00E12E91" w:rsidRPr="00443B05" w:rsidRDefault="00E12E91" w:rsidP="00E12E91">
            <w:pPr>
              <w:widowControl w:val="0"/>
              <w:numPr>
                <w:ilvl w:val="0"/>
                <w:numId w:val="29"/>
              </w:numPr>
              <w:tabs>
                <w:tab w:val="left" w:pos="322"/>
              </w:tabs>
              <w:spacing w:before="20" w:after="20"/>
              <w:ind w:left="533" w:hanging="363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Momento adecuado para invertir</w:t>
            </w:r>
          </w:p>
        </w:tc>
        <w:tc>
          <w:tcPr>
            <w:tcW w:w="1216" w:type="dxa"/>
            <w:tcBorders>
              <w:left w:val="single" w:sz="4" w:space="0" w:color="404040"/>
            </w:tcBorders>
            <w:shd w:val="clear" w:color="auto" w:fill="auto"/>
            <w:vAlign w:val="center"/>
          </w:tcPr>
          <w:p w14:paraId="091BD23A" w14:textId="1A371C44" w:rsidR="00E12E91" w:rsidRPr="00BD05D9" w:rsidRDefault="00E12E91" w:rsidP="00E12E91">
            <w:pPr>
              <w:tabs>
                <w:tab w:val="decimal" w:pos="615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39.4</w:t>
            </w:r>
          </w:p>
        </w:tc>
        <w:tc>
          <w:tcPr>
            <w:tcW w:w="1216" w:type="dxa"/>
            <w:tcBorders>
              <w:right w:val="single" w:sz="4" w:space="0" w:color="404040"/>
            </w:tcBorders>
            <w:shd w:val="clear" w:color="auto" w:fill="auto"/>
            <w:vAlign w:val="center"/>
          </w:tcPr>
          <w:p w14:paraId="091BD23B" w14:textId="0332EF1C" w:rsidR="00E12E91" w:rsidRPr="00BD05D9" w:rsidRDefault="00E12E91" w:rsidP="00E12E91">
            <w:pPr>
              <w:tabs>
                <w:tab w:val="decimal" w:pos="645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43.9</w:t>
            </w:r>
          </w:p>
        </w:tc>
        <w:tc>
          <w:tcPr>
            <w:tcW w:w="1217" w:type="dxa"/>
            <w:tcBorders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91BD23C" w14:textId="5EB7E0FF" w:rsidR="00E12E91" w:rsidRPr="000567CD" w:rsidRDefault="00E12E91" w:rsidP="00E12E91">
            <w:pPr>
              <w:keepNext/>
              <w:keepLines/>
              <w:tabs>
                <w:tab w:val="decimal" w:pos="600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4.4</w:t>
            </w:r>
          </w:p>
        </w:tc>
      </w:tr>
      <w:tr w:rsidR="00E12E91" w:rsidRPr="00C413B3" w14:paraId="091BD242" w14:textId="77777777" w:rsidTr="00E12E91">
        <w:trPr>
          <w:cantSplit/>
          <w:trHeight w:val="20"/>
          <w:jc w:val="center"/>
        </w:trPr>
        <w:tc>
          <w:tcPr>
            <w:tcW w:w="5319" w:type="dxa"/>
            <w:tcBorders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91BD23E" w14:textId="77777777" w:rsidR="00E12E91" w:rsidRPr="00443B05" w:rsidRDefault="00E12E91" w:rsidP="00E12E91">
            <w:pPr>
              <w:widowControl w:val="0"/>
              <w:numPr>
                <w:ilvl w:val="0"/>
                <w:numId w:val="29"/>
              </w:numPr>
              <w:tabs>
                <w:tab w:val="left" w:pos="322"/>
              </w:tabs>
              <w:spacing w:before="20" w:after="20"/>
              <w:ind w:left="533" w:hanging="363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Situación económica presente del país</w:t>
            </w:r>
          </w:p>
        </w:tc>
        <w:tc>
          <w:tcPr>
            <w:tcW w:w="1216" w:type="dxa"/>
            <w:tcBorders>
              <w:left w:val="single" w:sz="4" w:space="0" w:color="404040"/>
            </w:tcBorders>
            <w:shd w:val="clear" w:color="auto" w:fill="auto"/>
            <w:vAlign w:val="center"/>
          </w:tcPr>
          <w:p w14:paraId="091BD23F" w14:textId="53DE3B0C" w:rsidR="00E12E91" w:rsidRPr="00BD05D9" w:rsidRDefault="00E12E91" w:rsidP="00E12E91">
            <w:pPr>
              <w:tabs>
                <w:tab w:val="decimal" w:pos="615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49.8</w:t>
            </w:r>
          </w:p>
        </w:tc>
        <w:tc>
          <w:tcPr>
            <w:tcW w:w="1216" w:type="dxa"/>
            <w:tcBorders>
              <w:right w:val="single" w:sz="4" w:space="0" w:color="404040"/>
            </w:tcBorders>
            <w:shd w:val="clear" w:color="auto" w:fill="auto"/>
            <w:vAlign w:val="center"/>
          </w:tcPr>
          <w:p w14:paraId="091BD240" w14:textId="0C0D7797" w:rsidR="00E12E91" w:rsidRPr="00BD05D9" w:rsidRDefault="00E12E91" w:rsidP="00E12E91">
            <w:pPr>
              <w:tabs>
                <w:tab w:val="decimal" w:pos="645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55.1</w:t>
            </w:r>
          </w:p>
        </w:tc>
        <w:tc>
          <w:tcPr>
            <w:tcW w:w="1217" w:type="dxa"/>
            <w:tcBorders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91BD241" w14:textId="679D8CFC" w:rsidR="00E12E91" w:rsidRPr="000567CD" w:rsidRDefault="00E12E91" w:rsidP="00E12E91">
            <w:pPr>
              <w:keepNext/>
              <w:keepLines/>
              <w:tabs>
                <w:tab w:val="decimal" w:pos="600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5.2</w:t>
            </w:r>
          </w:p>
        </w:tc>
      </w:tr>
      <w:tr w:rsidR="00E12E91" w:rsidRPr="00C413B3" w14:paraId="091BD247" w14:textId="77777777" w:rsidTr="00E12E91">
        <w:trPr>
          <w:cantSplit/>
          <w:trHeight w:val="20"/>
          <w:jc w:val="center"/>
        </w:trPr>
        <w:tc>
          <w:tcPr>
            <w:tcW w:w="5319" w:type="dxa"/>
            <w:tcBorders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91BD243" w14:textId="77777777" w:rsidR="00E12E91" w:rsidRPr="00443B05" w:rsidRDefault="00E12E91" w:rsidP="00E12E91">
            <w:pPr>
              <w:widowControl w:val="0"/>
              <w:numPr>
                <w:ilvl w:val="0"/>
                <w:numId w:val="29"/>
              </w:numPr>
              <w:spacing w:before="20" w:after="20"/>
              <w:ind w:left="533" w:hanging="363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Situación económica futura del país</w:t>
            </w:r>
          </w:p>
        </w:tc>
        <w:tc>
          <w:tcPr>
            <w:tcW w:w="1216" w:type="dxa"/>
            <w:tcBorders>
              <w:left w:val="single" w:sz="4" w:space="0" w:color="404040"/>
            </w:tcBorders>
            <w:shd w:val="clear" w:color="auto" w:fill="auto"/>
            <w:vAlign w:val="center"/>
          </w:tcPr>
          <w:p w14:paraId="091BD244" w14:textId="2417205F" w:rsidR="00E12E91" w:rsidRPr="00BD05D9" w:rsidRDefault="00E12E91" w:rsidP="00E12E91">
            <w:pPr>
              <w:tabs>
                <w:tab w:val="decimal" w:pos="615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58.0</w:t>
            </w:r>
          </w:p>
        </w:tc>
        <w:tc>
          <w:tcPr>
            <w:tcW w:w="1216" w:type="dxa"/>
            <w:tcBorders>
              <w:right w:val="single" w:sz="4" w:space="0" w:color="404040"/>
            </w:tcBorders>
            <w:shd w:val="clear" w:color="auto" w:fill="auto"/>
            <w:vAlign w:val="center"/>
          </w:tcPr>
          <w:p w14:paraId="091BD245" w14:textId="4195F106" w:rsidR="00E12E91" w:rsidRPr="00BD05D9" w:rsidRDefault="00E12E91" w:rsidP="00E12E91">
            <w:pPr>
              <w:tabs>
                <w:tab w:val="decimal" w:pos="645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57.6</w:t>
            </w:r>
          </w:p>
        </w:tc>
        <w:tc>
          <w:tcPr>
            <w:tcW w:w="1217" w:type="dxa"/>
            <w:tcBorders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91BD246" w14:textId="795ED40E" w:rsidR="00E12E91" w:rsidRPr="000567CD" w:rsidRDefault="00E12E91" w:rsidP="00E12E91">
            <w:pPr>
              <w:keepNext/>
              <w:keepLines/>
              <w:tabs>
                <w:tab w:val="decimal" w:pos="600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-0.5</w:t>
            </w:r>
          </w:p>
        </w:tc>
      </w:tr>
      <w:tr w:rsidR="00E12E91" w:rsidRPr="00C413B3" w14:paraId="091BD24C" w14:textId="77777777" w:rsidTr="00E12E91">
        <w:trPr>
          <w:cantSplit/>
          <w:trHeight w:val="20"/>
          <w:jc w:val="center"/>
        </w:trPr>
        <w:tc>
          <w:tcPr>
            <w:tcW w:w="5319" w:type="dxa"/>
            <w:tcBorders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91BD248" w14:textId="77777777" w:rsidR="00E12E91" w:rsidRPr="00443B05" w:rsidRDefault="00E12E91" w:rsidP="00E12E91">
            <w:pPr>
              <w:widowControl w:val="0"/>
              <w:numPr>
                <w:ilvl w:val="0"/>
                <w:numId w:val="29"/>
              </w:numPr>
              <w:tabs>
                <w:tab w:val="left" w:pos="322"/>
              </w:tabs>
              <w:spacing w:before="20" w:after="20"/>
              <w:ind w:left="533" w:right="-61" w:hanging="363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Situación económica presente de la empresa</w:t>
            </w:r>
          </w:p>
        </w:tc>
        <w:tc>
          <w:tcPr>
            <w:tcW w:w="1216" w:type="dxa"/>
            <w:tcBorders>
              <w:left w:val="single" w:sz="4" w:space="0" w:color="404040"/>
            </w:tcBorders>
            <w:shd w:val="clear" w:color="auto" w:fill="auto"/>
            <w:vAlign w:val="center"/>
          </w:tcPr>
          <w:p w14:paraId="091BD249" w14:textId="26E675C5" w:rsidR="00E12E91" w:rsidRPr="00BD05D9" w:rsidRDefault="00E12E91" w:rsidP="00E12E91">
            <w:pPr>
              <w:tabs>
                <w:tab w:val="decimal" w:pos="615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57.6</w:t>
            </w:r>
          </w:p>
        </w:tc>
        <w:tc>
          <w:tcPr>
            <w:tcW w:w="1216" w:type="dxa"/>
            <w:tcBorders>
              <w:right w:val="single" w:sz="4" w:space="0" w:color="404040"/>
            </w:tcBorders>
            <w:shd w:val="clear" w:color="auto" w:fill="auto"/>
            <w:vAlign w:val="center"/>
          </w:tcPr>
          <w:p w14:paraId="091BD24A" w14:textId="3BAC0173" w:rsidR="00E12E91" w:rsidRPr="00BD05D9" w:rsidRDefault="00E12E91" w:rsidP="00E12E91">
            <w:pPr>
              <w:tabs>
                <w:tab w:val="decimal" w:pos="645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58.2</w:t>
            </w:r>
          </w:p>
        </w:tc>
        <w:tc>
          <w:tcPr>
            <w:tcW w:w="1217" w:type="dxa"/>
            <w:tcBorders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91BD24B" w14:textId="7F92C4BE" w:rsidR="00E12E91" w:rsidRPr="000567CD" w:rsidRDefault="00E12E91" w:rsidP="00E12E91">
            <w:pPr>
              <w:keepNext/>
              <w:keepLines/>
              <w:tabs>
                <w:tab w:val="decimal" w:pos="600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0.6</w:t>
            </w:r>
          </w:p>
        </w:tc>
      </w:tr>
      <w:tr w:rsidR="00E12E91" w:rsidRPr="00C413B3" w14:paraId="091BD251" w14:textId="77777777" w:rsidTr="00E12E91">
        <w:trPr>
          <w:cantSplit/>
          <w:trHeight w:val="20"/>
          <w:jc w:val="center"/>
        </w:trPr>
        <w:tc>
          <w:tcPr>
            <w:tcW w:w="5319" w:type="dxa"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91BD24D" w14:textId="77777777" w:rsidR="00E12E91" w:rsidRPr="00443B05" w:rsidRDefault="00E12E91" w:rsidP="00E12E91">
            <w:pPr>
              <w:widowControl w:val="0"/>
              <w:numPr>
                <w:ilvl w:val="0"/>
                <w:numId w:val="29"/>
              </w:numPr>
              <w:tabs>
                <w:tab w:val="left" w:pos="322"/>
              </w:tabs>
              <w:spacing w:before="20" w:after="20"/>
              <w:ind w:left="533" w:hanging="363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Situación económica futura de la empresa</w:t>
            </w:r>
          </w:p>
        </w:tc>
        <w:tc>
          <w:tcPr>
            <w:tcW w:w="1216" w:type="dxa"/>
            <w:tcBorders>
              <w:left w:val="single" w:sz="4" w:space="0" w:color="404040"/>
              <w:bottom w:val="single" w:sz="4" w:space="0" w:color="404040"/>
            </w:tcBorders>
            <w:shd w:val="clear" w:color="auto" w:fill="auto"/>
            <w:vAlign w:val="center"/>
          </w:tcPr>
          <w:p w14:paraId="091BD24E" w14:textId="61E9DD5E" w:rsidR="00E12E91" w:rsidRPr="00BD05D9" w:rsidRDefault="00E12E91" w:rsidP="00E12E91">
            <w:pPr>
              <w:tabs>
                <w:tab w:val="decimal" w:pos="615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63.4</w:t>
            </w:r>
          </w:p>
        </w:tc>
        <w:tc>
          <w:tcPr>
            <w:tcW w:w="1216" w:type="dxa"/>
            <w:tcBorders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91BD24F" w14:textId="61E09530" w:rsidR="00E12E91" w:rsidRPr="00BD05D9" w:rsidRDefault="00E12E91" w:rsidP="00E12E91">
            <w:pPr>
              <w:tabs>
                <w:tab w:val="decimal" w:pos="645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64.1</w:t>
            </w:r>
          </w:p>
        </w:tc>
        <w:tc>
          <w:tcPr>
            <w:tcW w:w="1217" w:type="dxa"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91BD250" w14:textId="419EA031" w:rsidR="00E12E91" w:rsidRPr="000567CD" w:rsidRDefault="00E12E91" w:rsidP="00E12E91">
            <w:pPr>
              <w:keepNext/>
              <w:keepLines/>
              <w:tabs>
                <w:tab w:val="decimal" w:pos="600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0.6</w:t>
            </w:r>
          </w:p>
        </w:tc>
      </w:tr>
      <w:tr w:rsidR="001F3082" w:rsidRPr="00C413B3" w14:paraId="091BD256" w14:textId="77777777" w:rsidTr="002644F0">
        <w:trPr>
          <w:cantSplit/>
          <w:trHeight w:val="20"/>
          <w:jc w:val="center"/>
        </w:trPr>
        <w:tc>
          <w:tcPr>
            <w:tcW w:w="5319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auto"/>
            <w:vAlign w:val="center"/>
          </w:tcPr>
          <w:p w14:paraId="091BD252" w14:textId="77777777" w:rsidR="001F3082" w:rsidRPr="00443B05" w:rsidRDefault="001F3082" w:rsidP="00044DA6">
            <w:pPr>
              <w:widowControl w:val="0"/>
              <w:tabs>
                <w:tab w:val="left" w:pos="322"/>
              </w:tabs>
              <w:spacing w:before="20" w:after="20"/>
              <w:ind w:left="170"/>
              <w:jc w:val="left"/>
              <w:rPr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auto"/>
            <w:vAlign w:val="center"/>
          </w:tcPr>
          <w:p w14:paraId="091BD253" w14:textId="77777777" w:rsidR="001F3082" w:rsidRPr="00BD05D9" w:rsidRDefault="001F3082" w:rsidP="00523772">
            <w:pPr>
              <w:tabs>
                <w:tab w:val="decimal" w:pos="615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auto"/>
            <w:vAlign w:val="center"/>
          </w:tcPr>
          <w:p w14:paraId="091BD254" w14:textId="77777777" w:rsidR="001F3082" w:rsidRPr="00BD05D9" w:rsidRDefault="001F3082" w:rsidP="00B33EC2">
            <w:pPr>
              <w:tabs>
                <w:tab w:val="decimal" w:pos="573"/>
                <w:tab w:val="decimal" w:pos="645"/>
              </w:tabs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auto"/>
            <w:vAlign w:val="center"/>
          </w:tcPr>
          <w:p w14:paraId="091BD255" w14:textId="77777777" w:rsidR="001F3082" w:rsidRPr="00BD05D9" w:rsidRDefault="001F3082" w:rsidP="00561AD5">
            <w:pPr>
              <w:tabs>
                <w:tab w:val="decimal" w:pos="600"/>
              </w:tabs>
              <w:jc w:val="left"/>
              <w:rPr>
                <w:sz w:val="18"/>
                <w:szCs w:val="18"/>
              </w:rPr>
            </w:pPr>
          </w:p>
        </w:tc>
      </w:tr>
      <w:tr w:rsidR="00E12E91" w:rsidRPr="00C413B3" w14:paraId="091BD25B" w14:textId="77777777" w:rsidTr="00E12E91">
        <w:trPr>
          <w:cantSplit/>
          <w:trHeight w:val="20"/>
          <w:jc w:val="center"/>
        </w:trPr>
        <w:tc>
          <w:tcPr>
            <w:tcW w:w="5319" w:type="dxa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91BD257" w14:textId="30549DE2" w:rsidR="00E12E91" w:rsidRPr="00312A9E" w:rsidRDefault="00E12E91" w:rsidP="00E12E91">
            <w:pPr>
              <w:keepNext/>
              <w:keepLines/>
              <w:widowControl w:val="0"/>
              <w:spacing w:before="20" w:after="20"/>
              <w:ind w:left="74" w:right="70" w:hanging="17"/>
              <w:jc w:val="left"/>
              <w:rPr>
                <w:b/>
                <w:sz w:val="18"/>
                <w:szCs w:val="18"/>
              </w:rPr>
            </w:pPr>
            <w:r w:rsidRPr="00312A9E">
              <w:rPr>
                <w:b/>
                <w:sz w:val="18"/>
                <w:szCs w:val="18"/>
              </w:rPr>
              <w:t xml:space="preserve">Indicador de Confianza Empresarial de Servicios </w:t>
            </w:r>
            <w:r>
              <w:rPr>
                <w:b/>
                <w:sz w:val="18"/>
                <w:szCs w:val="18"/>
              </w:rPr>
              <w:t>p</w:t>
            </w:r>
            <w:r w:rsidRPr="00312A9E">
              <w:rPr>
                <w:b/>
                <w:sz w:val="18"/>
                <w:szCs w:val="18"/>
              </w:rPr>
              <w:t xml:space="preserve">rivados no </w:t>
            </w:r>
            <w:r>
              <w:rPr>
                <w:b/>
                <w:sz w:val="18"/>
                <w:szCs w:val="18"/>
              </w:rPr>
              <w:t>f</w:t>
            </w:r>
            <w:r w:rsidRPr="00312A9E">
              <w:rPr>
                <w:b/>
                <w:sz w:val="18"/>
                <w:szCs w:val="18"/>
              </w:rPr>
              <w:t>inancieros</w:t>
            </w:r>
            <w:r w:rsidRPr="00312A9E">
              <w:rPr>
                <w:b/>
                <w:sz w:val="18"/>
                <w:szCs w:val="18"/>
                <w:vertAlign w:val="superscript"/>
              </w:rPr>
              <w:t>2/</w:t>
            </w:r>
          </w:p>
        </w:tc>
        <w:tc>
          <w:tcPr>
            <w:tcW w:w="1216" w:type="dxa"/>
            <w:tcBorders>
              <w:top w:val="single" w:sz="4" w:space="0" w:color="404040"/>
              <w:left w:val="single" w:sz="4" w:space="0" w:color="404040"/>
            </w:tcBorders>
            <w:shd w:val="clear" w:color="auto" w:fill="auto"/>
            <w:vAlign w:val="center"/>
          </w:tcPr>
          <w:p w14:paraId="091BD258" w14:textId="26E6DD79" w:rsidR="00E12E91" w:rsidRPr="00BD05D9" w:rsidRDefault="00E12E91" w:rsidP="00E12E91">
            <w:pPr>
              <w:tabs>
                <w:tab w:val="decimal" w:pos="615"/>
              </w:tabs>
              <w:jc w:val="lef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43.1</w:t>
            </w:r>
          </w:p>
        </w:tc>
        <w:tc>
          <w:tcPr>
            <w:tcW w:w="1216" w:type="dxa"/>
            <w:tcBorders>
              <w:top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91BD259" w14:textId="6DB95C2D" w:rsidR="00E12E91" w:rsidRPr="00BD05D9" w:rsidRDefault="00E12E91" w:rsidP="00E12E91">
            <w:pPr>
              <w:tabs>
                <w:tab w:val="decimal" w:pos="645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58.7</w:t>
            </w:r>
          </w:p>
        </w:tc>
        <w:tc>
          <w:tcPr>
            <w:tcW w:w="1217" w:type="dxa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91BD25A" w14:textId="00E663B3" w:rsidR="00E12E91" w:rsidRPr="000567CD" w:rsidRDefault="00E12E91" w:rsidP="00E12E91">
            <w:pPr>
              <w:keepNext/>
              <w:keepLines/>
              <w:tabs>
                <w:tab w:val="decimal" w:pos="600"/>
              </w:tabs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15.6</w:t>
            </w:r>
          </w:p>
        </w:tc>
      </w:tr>
      <w:tr w:rsidR="00E12E91" w:rsidRPr="00C413B3" w14:paraId="091BD260" w14:textId="77777777" w:rsidTr="00E12E91">
        <w:trPr>
          <w:cantSplit/>
          <w:trHeight w:val="20"/>
          <w:jc w:val="center"/>
        </w:trPr>
        <w:tc>
          <w:tcPr>
            <w:tcW w:w="5319" w:type="dxa"/>
            <w:tcBorders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91BD25C" w14:textId="77777777" w:rsidR="00E12E91" w:rsidRPr="00312A9E" w:rsidRDefault="00E12E91" w:rsidP="00E12E91">
            <w:pPr>
              <w:pStyle w:val="Prrafodelista"/>
              <w:widowControl w:val="0"/>
              <w:numPr>
                <w:ilvl w:val="0"/>
                <w:numId w:val="35"/>
              </w:numPr>
              <w:tabs>
                <w:tab w:val="left" w:pos="322"/>
              </w:tabs>
              <w:spacing w:before="20" w:after="20"/>
              <w:ind w:left="533" w:hanging="363"/>
              <w:jc w:val="left"/>
              <w:rPr>
                <w:sz w:val="18"/>
                <w:szCs w:val="18"/>
              </w:rPr>
            </w:pPr>
            <w:r w:rsidRPr="00312A9E">
              <w:rPr>
                <w:sz w:val="18"/>
                <w:szCs w:val="18"/>
              </w:rPr>
              <w:t>Momento adecuado para invertir</w:t>
            </w:r>
          </w:p>
        </w:tc>
        <w:tc>
          <w:tcPr>
            <w:tcW w:w="1216" w:type="dxa"/>
            <w:tcBorders>
              <w:left w:val="single" w:sz="4" w:space="0" w:color="404040"/>
            </w:tcBorders>
            <w:shd w:val="clear" w:color="auto" w:fill="auto"/>
            <w:vAlign w:val="center"/>
          </w:tcPr>
          <w:p w14:paraId="091BD25D" w14:textId="7C976F59" w:rsidR="00E12E91" w:rsidRPr="00BD05D9" w:rsidRDefault="00E12E91" w:rsidP="00E12E91">
            <w:pPr>
              <w:tabs>
                <w:tab w:val="decimal" w:pos="615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30.2</w:t>
            </w:r>
          </w:p>
        </w:tc>
        <w:tc>
          <w:tcPr>
            <w:tcW w:w="1216" w:type="dxa"/>
            <w:tcBorders>
              <w:right w:val="single" w:sz="4" w:space="0" w:color="404040"/>
            </w:tcBorders>
            <w:shd w:val="clear" w:color="auto" w:fill="auto"/>
            <w:vAlign w:val="center"/>
          </w:tcPr>
          <w:p w14:paraId="091BD25E" w14:textId="4BAAA180" w:rsidR="00E12E91" w:rsidRPr="00BD05D9" w:rsidRDefault="00E12E91" w:rsidP="00E12E91">
            <w:pPr>
              <w:tabs>
                <w:tab w:val="decimal" w:pos="645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52.9</w:t>
            </w:r>
          </w:p>
        </w:tc>
        <w:tc>
          <w:tcPr>
            <w:tcW w:w="1217" w:type="dxa"/>
            <w:tcBorders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91BD25F" w14:textId="37BF4C68" w:rsidR="00E12E91" w:rsidRPr="000567CD" w:rsidRDefault="00E12E91" w:rsidP="00E12E91">
            <w:pPr>
              <w:keepNext/>
              <w:keepLines/>
              <w:tabs>
                <w:tab w:val="decimal" w:pos="600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22.7</w:t>
            </w:r>
          </w:p>
        </w:tc>
      </w:tr>
      <w:tr w:rsidR="00E12E91" w:rsidRPr="00C413B3" w14:paraId="091BD265" w14:textId="77777777" w:rsidTr="00E12E91">
        <w:trPr>
          <w:cantSplit/>
          <w:trHeight w:val="20"/>
          <w:jc w:val="center"/>
        </w:trPr>
        <w:tc>
          <w:tcPr>
            <w:tcW w:w="5319" w:type="dxa"/>
            <w:tcBorders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91BD261" w14:textId="77777777" w:rsidR="00E12E91" w:rsidRPr="00312A9E" w:rsidRDefault="00E12E91" w:rsidP="00E12E91">
            <w:pPr>
              <w:pStyle w:val="Prrafodelista"/>
              <w:widowControl w:val="0"/>
              <w:numPr>
                <w:ilvl w:val="0"/>
                <w:numId w:val="35"/>
              </w:numPr>
              <w:tabs>
                <w:tab w:val="left" w:pos="322"/>
              </w:tabs>
              <w:spacing w:before="20" w:after="20"/>
              <w:ind w:left="533" w:hanging="363"/>
              <w:jc w:val="left"/>
              <w:rPr>
                <w:sz w:val="18"/>
                <w:szCs w:val="18"/>
              </w:rPr>
            </w:pPr>
            <w:r w:rsidRPr="00312A9E">
              <w:rPr>
                <w:sz w:val="18"/>
                <w:szCs w:val="18"/>
              </w:rPr>
              <w:t>Situación económica presente del país</w:t>
            </w:r>
          </w:p>
        </w:tc>
        <w:tc>
          <w:tcPr>
            <w:tcW w:w="1216" w:type="dxa"/>
            <w:tcBorders>
              <w:left w:val="single" w:sz="4" w:space="0" w:color="404040"/>
            </w:tcBorders>
            <w:shd w:val="clear" w:color="auto" w:fill="auto"/>
            <w:vAlign w:val="center"/>
          </w:tcPr>
          <w:p w14:paraId="091BD262" w14:textId="61D15DF7" w:rsidR="00E12E91" w:rsidRPr="00BD05D9" w:rsidRDefault="00E12E91" w:rsidP="00E12E91">
            <w:pPr>
              <w:tabs>
                <w:tab w:val="decimal" w:pos="615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42.4</w:t>
            </w:r>
          </w:p>
        </w:tc>
        <w:tc>
          <w:tcPr>
            <w:tcW w:w="1216" w:type="dxa"/>
            <w:tcBorders>
              <w:right w:val="single" w:sz="4" w:space="0" w:color="404040"/>
            </w:tcBorders>
            <w:shd w:val="clear" w:color="auto" w:fill="auto"/>
            <w:vAlign w:val="center"/>
          </w:tcPr>
          <w:p w14:paraId="091BD263" w14:textId="28A557D8" w:rsidR="00E12E91" w:rsidRPr="00BD05D9" w:rsidRDefault="00E12E91" w:rsidP="00E12E91">
            <w:pPr>
              <w:tabs>
                <w:tab w:val="decimal" w:pos="645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57.7</w:t>
            </w:r>
          </w:p>
        </w:tc>
        <w:tc>
          <w:tcPr>
            <w:tcW w:w="1217" w:type="dxa"/>
            <w:tcBorders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91BD264" w14:textId="15218C87" w:rsidR="00E12E91" w:rsidRPr="000567CD" w:rsidRDefault="00E12E91" w:rsidP="00E12E91">
            <w:pPr>
              <w:keepNext/>
              <w:keepLines/>
              <w:tabs>
                <w:tab w:val="decimal" w:pos="600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15.4</w:t>
            </w:r>
          </w:p>
        </w:tc>
      </w:tr>
      <w:tr w:rsidR="00E12E91" w:rsidRPr="00C413B3" w14:paraId="091BD26A" w14:textId="77777777" w:rsidTr="00E12E91">
        <w:trPr>
          <w:cantSplit/>
          <w:trHeight w:val="20"/>
          <w:jc w:val="center"/>
        </w:trPr>
        <w:tc>
          <w:tcPr>
            <w:tcW w:w="5319" w:type="dxa"/>
            <w:tcBorders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91BD266" w14:textId="77777777" w:rsidR="00E12E91" w:rsidRPr="00312A9E" w:rsidRDefault="00E12E91" w:rsidP="00E12E91">
            <w:pPr>
              <w:pStyle w:val="Prrafodelista"/>
              <w:widowControl w:val="0"/>
              <w:numPr>
                <w:ilvl w:val="0"/>
                <w:numId w:val="35"/>
              </w:numPr>
              <w:spacing w:before="20" w:after="20"/>
              <w:ind w:left="533" w:hanging="363"/>
              <w:jc w:val="left"/>
              <w:rPr>
                <w:sz w:val="18"/>
                <w:szCs w:val="18"/>
              </w:rPr>
            </w:pPr>
            <w:r w:rsidRPr="00312A9E">
              <w:rPr>
                <w:sz w:val="18"/>
                <w:szCs w:val="18"/>
              </w:rPr>
              <w:t>Situación económica futura del país</w:t>
            </w:r>
          </w:p>
        </w:tc>
        <w:tc>
          <w:tcPr>
            <w:tcW w:w="1216" w:type="dxa"/>
            <w:tcBorders>
              <w:left w:val="single" w:sz="4" w:space="0" w:color="404040"/>
            </w:tcBorders>
            <w:shd w:val="clear" w:color="auto" w:fill="auto"/>
            <w:vAlign w:val="center"/>
          </w:tcPr>
          <w:p w14:paraId="091BD267" w14:textId="2CB5F89B" w:rsidR="00E12E91" w:rsidRPr="00BD05D9" w:rsidRDefault="00E12E91" w:rsidP="00E12E91">
            <w:pPr>
              <w:tabs>
                <w:tab w:val="decimal" w:pos="615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46.0</w:t>
            </w:r>
          </w:p>
        </w:tc>
        <w:tc>
          <w:tcPr>
            <w:tcW w:w="1216" w:type="dxa"/>
            <w:tcBorders>
              <w:right w:val="single" w:sz="4" w:space="0" w:color="404040"/>
            </w:tcBorders>
            <w:shd w:val="clear" w:color="auto" w:fill="auto"/>
            <w:vAlign w:val="center"/>
          </w:tcPr>
          <w:p w14:paraId="091BD268" w14:textId="4AE45915" w:rsidR="00E12E91" w:rsidRPr="00BD05D9" w:rsidRDefault="00E12E91" w:rsidP="00E12E91">
            <w:pPr>
              <w:tabs>
                <w:tab w:val="decimal" w:pos="645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59.9</w:t>
            </w:r>
          </w:p>
        </w:tc>
        <w:tc>
          <w:tcPr>
            <w:tcW w:w="1217" w:type="dxa"/>
            <w:tcBorders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91BD269" w14:textId="1B42C032" w:rsidR="00E12E91" w:rsidRPr="000567CD" w:rsidRDefault="00E12E91" w:rsidP="00E12E91">
            <w:pPr>
              <w:keepNext/>
              <w:keepLines/>
              <w:tabs>
                <w:tab w:val="decimal" w:pos="600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13.9</w:t>
            </w:r>
          </w:p>
        </w:tc>
      </w:tr>
      <w:tr w:rsidR="00E12E91" w:rsidRPr="00C413B3" w14:paraId="091BD26F" w14:textId="77777777" w:rsidTr="00E12E91">
        <w:trPr>
          <w:cantSplit/>
          <w:trHeight w:val="20"/>
          <w:jc w:val="center"/>
        </w:trPr>
        <w:tc>
          <w:tcPr>
            <w:tcW w:w="5319" w:type="dxa"/>
            <w:tcBorders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91BD26B" w14:textId="77777777" w:rsidR="00E12E91" w:rsidRPr="00312A9E" w:rsidRDefault="00E12E91" w:rsidP="00E12E91">
            <w:pPr>
              <w:pStyle w:val="Prrafodelista"/>
              <w:widowControl w:val="0"/>
              <w:numPr>
                <w:ilvl w:val="0"/>
                <w:numId w:val="35"/>
              </w:numPr>
              <w:tabs>
                <w:tab w:val="left" w:pos="322"/>
              </w:tabs>
              <w:spacing w:before="20" w:after="20"/>
              <w:ind w:left="533" w:hanging="363"/>
              <w:jc w:val="left"/>
              <w:rPr>
                <w:sz w:val="18"/>
                <w:szCs w:val="18"/>
              </w:rPr>
            </w:pPr>
            <w:r w:rsidRPr="00312A9E">
              <w:rPr>
                <w:sz w:val="18"/>
                <w:szCs w:val="18"/>
              </w:rPr>
              <w:t>Situación económica presente de la empresa</w:t>
            </w:r>
          </w:p>
        </w:tc>
        <w:tc>
          <w:tcPr>
            <w:tcW w:w="1216" w:type="dxa"/>
            <w:tcBorders>
              <w:left w:val="single" w:sz="4" w:space="0" w:color="404040"/>
            </w:tcBorders>
            <w:shd w:val="clear" w:color="auto" w:fill="auto"/>
            <w:vAlign w:val="center"/>
          </w:tcPr>
          <w:p w14:paraId="091BD26C" w14:textId="648FFCB5" w:rsidR="00E12E91" w:rsidRPr="00BD05D9" w:rsidRDefault="00E12E91" w:rsidP="00E12E91">
            <w:pPr>
              <w:tabs>
                <w:tab w:val="decimal" w:pos="615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47.2</w:t>
            </w:r>
          </w:p>
        </w:tc>
        <w:tc>
          <w:tcPr>
            <w:tcW w:w="1216" w:type="dxa"/>
            <w:tcBorders>
              <w:right w:val="single" w:sz="4" w:space="0" w:color="404040"/>
            </w:tcBorders>
            <w:shd w:val="clear" w:color="auto" w:fill="auto"/>
            <w:vAlign w:val="center"/>
          </w:tcPr>
          <w:p w14:paraId="091BD26D" w14:textId="30AEC7C0" w:rsidR="00E12E91" w:rsidRPr="00BD05D9" w:rsidRDefault="00E12E91" w:rsidP="00E12E91">
            <w:pPr>
              <w:tabs>
                <w:tab w:val="decimal" w:pos="645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59.0</w:t>
            </w:r>
          </w:p>
        </w:tc>
        <w:tc>
          <w:tcPr>
            <w:tcW w:w="1217" w:type="dxa"/>
            <w:tcBorders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91BD26E" w14:textId="5FDF641A" w:rsidR="00E12E91" w:rsidRPr="000567CD" w:rsidRDefault="00E12E91" w:rsidP="00E12E91">
            <w:pPr>
              <w:keepNext/>
              <w:keepLines/>
              <w:tabs>
                <w:tab w:val="decimal" w:pos="600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11.8</w:t>
            </w:r>
          </w:p>
        </w:tc>
      </w:tr>
      <w:tr w:rsidR="00E12E91" w:rsidRPr="00C413B3" w14:paraId="091BD274" w14:textId="77777777" w:rsidTr="00E12E91">
        <w:trPr>
          <w:cantSplit/>
          <w:trHeight w:val="20"/>
          <w:jc w:val="center"/>
        </w:trPr>
        <w:tc>
          <w:tcPr>
            <w:tcW w:w="5319" w:type="dxa"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91BD270" w14:textId="77777777" w:rsidR="00E12E91" w:rsidRPr="00312A9E" w:rsidRDefault="00E12E91" w:rsidP="00E12E91">
            <w:pPr>
              <w:pStyle w:val="Prrafodelista"/>
              <w:widowControl w:val="0"/>
              <w:numPr>
                <w:ilvl w:val="0"/>
                <w:numId w:val="35"/>
              </w:numPr>
              <w:tabs>
                <w:tab w:val="left" w:pos="322"/>
              </w:tabs>
              <w:spacing w:before="20" w:after="20"/>
              <w:ind w:left="533" w:hanging="363"/>
              <w:jc w:val="left"/>
              <w:rPr>
                <w:sz w:val="18"/>
                <w:szCs w:val="18"/>
              </w:rPr>
            </w:pPr>
            <w:r w:rsidRPr="00312A9E">
              <w:rPr>
                <w:sz w:val="18"/>
                <w:szCs w:val="18"/>
              </w:rPr>
              <w:t>Situación económica futura de la empresa</w:t>
            </w:r>
          </w:p>
        </w:tc>
        <w:tc>
          <w:tcPr>
            <w:tcW w:w="1216" w:type="dxa"/>
            <w:tcBorders>
              <w:left w:val="single" w:sz="4" w:space="0" w:color="404040"/>
              <w:bottom w:val="single" w:sz="4" w:space="0" w:color="404040"/>
            </w:tcBorders>
            <w:shd w:val="clear" w:color="auto" w:fill="auto"/>
            <w:vAlign w:val="center"/>
          </w:tcPr>
          <w:p w14:paraId="091BD271" w14:textId="3CAF3E75" w:rsidR="00E12E91" w:rsidRPr="00BD05D9" w:rsidRDefault="00E12E91" w:rsidP="00E12E91">
            <w:pPr>
              <w:tabs>
                <w:tab w:val="decimal" w:pos="615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49.8</w:t>
            </w:r>
          </w:p>
        </w:tc>
        <w:tc>
          <w:tcPr>
            <w:tcW w:w="1216" w:type="dxa"/>
            <w:tcBorders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91BD272" w14:textId="4077A4DB" w:rsidR="00E12E91" w:rsidRPr="00BD05D9" w:rsidRDefault="00E12E91" w:rsidP="00E12E91">
            <w:pPr>
              <w:tabs>
                <w:tab w:val="decimal" w:pos="645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64.2</w:t>
            </w:r>
          </w:p>
        </w:tc>
        <w:tc>
          <w:tcPr>
            <w:tcW w:w="1217" w:type="dxa"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91BD273" w14:textId="102D1CD3" w:rsidR="00E12E91" w:rsidRPr="000567CD" w:rsidRDefault="00E12E91" w:rsidP="00E12E91">
            <w:pPr>
              <w:keepNext/>
              <w:keepLines/>
              <w:tabs>
                <w:tab w:val="decimal" w:pos="600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14.4</w:t>
            </w:r>
          </w:p>
        </w:tc>
      </w:tr>
    </w:tbl>
    <w:bookmarkEnd w:id="2"/>
    <w:p w14:paraId="091BD275" w14:textId="77777777" w:rsidR="00EF19D6" w:rsidRPr="00053311" w:rsidRDefault="00EF19D6" w:rsidP="009F5C79">
      <w:pPr>
        <w:widowControl w:val="0"/>
        <w:spacing w:line="180" w:lineRule="exact"/>
        <w:ind w:left="1260" w:right="559" w:hanging="602"/>
        <w:rPr>
          <w:sz w:val="16"/>
          <w:szCs w:val="16"/>
          <w:lang w:val="es-MX"/>
        </w:rPr>
      </w:pPr>
      <w:r w:rsidRPr="00053311">
        <w:rPr>
          <w:sz w:val="16"/>
          <w:szCs w:val="16"/>
          <w:lang w:val="es-MX"/>
        </w:rPr>
        <w:t>Nota:</w:t>
      </w:r>
      <w:r w:rsidRPr="00053311">
        <w:rPr>
          <w:sz w:val="16"/>
          <w:szCs w:val="16"/>
          <w:lang w:val="es-MX"/>
        </w:rPr>
        <w:tab/>
        <w:t>Los indicadores se generan con los datos referidos al mes de la entrevista.</w:t>
      </w:r>
    </w:p>
    <w:p w14:paraId="091BD276" w14:textId="77777777" w:rsidR="00EF19D6" w:rsidRPr="00053311" w:rsidRDefault="00EF19D6" w:rsidP="009F5C79">
      <w:pPr>
        <w:widowControl w:val="0"/>
        <w:spacing w:line="180" w:lineRule="exact"/>
        <w:ind w:left="1260" w:right="559" w:hanging="602"/>
        <w:rPr>
          <w:sz w:val="16"/>
          <w:szCs w:val="16"/>
          <w:lang w:val="es-MX"/>
        </w:rPr>
      </w:pPr>
      <w:r w:rsidRPr="00053311">
        <w:rPr>
          <w:sz w:val="18"/>
          <w:szCs w:val="14"/>
          <w:vertAlign w:val="superscript"/>
          <w:lang w:val="es-MX"/>
        </w:rPr>
        <w:t>1/</w:t>
      </w:r>
      <w:r w:rsidRPr="00443B05">
        <w:rPr>
          <w:sz w:val="14"/>
          <w:szCs w:val="14"/>
          <w:lang w:val="es-MX"/>
        </w:rPr>
        <w:tab/>
      </w:r>
      <w:r w:rsidRPr="00053311">
        <w:rPr>
          <w:sz w:val="16"/>
          <w:szCs w:val="16"/>
          <w:lang w:val="es-MX"/>
        </w:rPr>
        <w:t>Las diferencias en puntos se obtienen de los respectivos indicadores considerando todos sus decimales.</w:t>
      </w:r>
    </w:p>
    <w:p w14:paraId="091BD277" w14:textId="62D974BE" w:rsidR="00951822" w:rsidRDefault="00951822" w:rsidP="009F5C79">
      <w:pPr>
        <w:widowControl w:val="0"/>
        <w:spacing w:line="180" w:lineRule="exact"/>
        <w:ind w:left="1260" w:right="559" w:hanging="602"/>
        <w:rPr>
          <w:sz w:val="14"/>
          <w:szCs w:val="14"/>
          <w:lang w:val="es-MX"/>
        </w:rPr>
      </w:pPr>
      <w:r w:rsidRPr="00053311">
        <w:rPr>
          <w:sz w:val="18"/>
          <w:szCs w:val="14"/>
          <w:vertAlign w:val="superscript"/>
          <w:lang w:val="es-MX"/>
        </w:rPr>
        <w:t>2/</w:t>
      </w:r>
      <w:r w:rsidRPr="00443B05">
        <w:rPr>
          <w:sz w:val="14"/>
          <w:szCs w:val="14"/>
          <w:lang w:val="es-MX"/>
        </w:rPr>
        <w:tab/>
      </w:r>
      <w:r w:rsidRPr="00053311">
        <w:rPr>
          <w:sz w:val="16"/>
          <w:szCs w:val="16"/>
        </w:rPr>
        <w:t xml:space="preserve">No incluye </w:t>
      </w:r>
      <w:r w:rsidR="00315F20">
        <w:rPr>
          <w:sz w:val="16"/>
          <w:szCs w:val="16"/>
        </w:rPr>
        <w:t>los</w:t>
      </w:r>
      <w:r w:rsidRPr="00053311">
        <w:rPr>
          <w:sz w:val="16"/>
          <w:szCs w:val="16"/>
        </w:rPr>
        <w:t xml:space="preserve"> </w:t>
      </w:r>
      <w:r w:rsidR="00DD73E3" w:rsidRPr="00053311">
        <w:rPr>
          <w:sz w:val="16"/>
          <w:szCs w:val="16"/>
        </w:rPr>
        <w:t>s</w:t>
      </w:r>
      <w:r w:rsidRPr="00053311">
        <w:rPr>
          <w:sz w:val="16"/>
          <w:szCs w:val="16"/>
        </w:rPr>
        <w:t>ector</w:t>
      </w:r>
      <w:r w:rsidR="00315F20">
        <w:rPr>
          <w:sz w:val="16"/>
          <w:szCs w:val="16"/>
        </w:rPr>
        <w:t>es:</w:t>
      </w:r>
      <w:r w:rsidRPr="00053311">
        <w:rPr>
          <w:sz w:val="16"/>
          <w:szCs w:val="16"/>
        </w:rPr>
        <w:t xml:space="preserve"> 43, Comercio al por mayor; 46, Comercio al por menor; 52, Servicios financieros y de seguros; 55, Corporativos; 81, Otros servicios, excepto actividades gubernamentales y 93, Actividades legislativas, gubernamentales, de impartición de justicia y de organismos internacionales y extraterritoriales. También se excluyen las unidades dedicadas al desarrollo de actividades sociales.</w:t>
      </w:r>
    </w:p>
    <w:p w14:paraId="091BD278" w14:textId="11CD4553" w:rsidR="00EF19D6" w:rsidRPr="00443B05" w:rsidRDefault="00EF19D6" w:rsidP="009F5C79">
      <w:pPr>
        <w:widowControl w:val="0"/>
        <w:spacing w:line="180" w:lineRule="exact"/>
        <w:ind w:left="1260" w:right="559" w:hanging="602"/>
        <w:rPr>
          <w:sz w:val="14"/>
          <w:szCs w:val="14"/>
          <w:lang w:val="es-MX"/>
        </w:rPr>
      </w:pPr>
      <w:r w:rsidRPr="00053311">
        <w:rPr>
          <w:sz w:val="18"/>
          <w:szCs w:val="14"/>
          <w:vertAlign w:val="superscript"/>
          <w:lang w:val="es-MX"/>
        </w:rPr>
        <w:t>p/</w:t>
      </w:r>
      <w:r w:rsidRPr="00443B05">
        <w:rPr>
          <w:sz w:val="14"/>
          <w:szCs w:val="14"/>
          <w:lang w:val="es-MX"/>
        </w:rPr>
        <w:tab/>
      </w:r>
      <w:r w:rsidRPr="00053311">
        <w:rPr>
          <w:sz w:val="16"/>
          <w:szCs w:val="16"/>
          <w:lang w:val="es-MX"/>
        </w:rPr>
        <w:t>Dato preliminar</w:t>
      </w:r>
    </w:p>
    <w:p w14:paraId="091BD279" w14:textId="33E171E8" w:rsidR="00EF19D6" w:rsidRPr="00053311" w:rsidRDefault="00EF19D6" w:rsidP="009F5C79">
      <w:pPr>
        <w:widowControl w:val="0"/>
        <w:spacing w:line="180" w:lineRule="exact"/>
        <w:ind w:left="1174" w:right="559" w:hanging="516"/>
        <w:rPr>
          <w:smallCaps/>
          <w:sz w:val="16"/>
          <w:szCs w:val="16"/>
        </w:rPr>
      </w:pPr>
      <w:r w:rsidRPr="00053311">
        <w:rPr>
          <w:sz w:val="16"/>
          <w:szCs w:val="16"/>
          <w:lang w:val="es-MX"/>
        </w:rPr>
        <w:t>Fuente:</w:t>
      </w:r>
      <w:r w:rsidR="009F5C79">
        <w:rPr>
          <w:sz w:val="16"/>
          <w:szCs w:val="16"/>
          <w:lang w:val="es-MX"/>
        </w:rPr>
        <w:t xml:space="preserve"> </w:t>
      </w:r>
      <w:r w:rsidRPr="00F47380">
        <w:rPr>
          <w:sz w:val="16"/>
          <w:szCs w:val="16"/>
          <w:lang w:val="es-MX"/>
        </w:rPr>
        <w:t>INEGI</w:t>
      </w:r>
      <w:r w:rsidR="008D59D2" w:rsidRPr="00F47380">
        <w:rPr>
          <w:smallCaps/>
          <w:sz w:val="16"/>
          <w:szCs w:val="16"/>
        </w:rPr>
        <w:t>.</w:t>
      </w:r>
      <w:r w:rsidR="008D59D2" w:rsidRPr="00F47380">
        <w:rPr>
          <w:sz w:val="16"/>
          <w:szCs w:val="16"/>
        </w:rPr>
        <w:t xml:space="preserve"> Encuesta Mensual de Opinión Empresarial (EMOE)</w:t>
      </w:r>
      <w:r w:rsidR="00EA63C3">
        <w:rPr>
          <w:sz w:val="16"/>
          <w:szCs w:val="16"/>
        </w:rPr>
        <w:t>,</w:t>
      </w:r>
      <w:r w:rsidR="008D59D2" w:rsidRPr="00F47380">
        <w:rPr>
          <w:sz w:val="16"/>
          <w:szCs w:val="16"/>
        </w:rPr>
        <w:t xml:space="preserve"> 2023.</w:t>
      </w:r>
    </w:p>
    <w:p w14:paraId="091BD27A" w14:textId="77777777" w:rsidR="00044DA6" w:rsidRDefault="00044DA6">
      <w:pPr>
        <w:jc w:val="left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br w:type="page"/>
      </w:r>
    </w:p>
    <w:p w14:paraId="091BD27B" w14:textId="77777777" w:rsidR="00AA3A06" w:rsidRPr="00AA3A06" w:rsidRDefault="00AA3A06" w:rsidP="00903C8C">
      <w:pPr>
        <w:keepNext/>
        <w:keepLines/>
        <w:widowControl w:val="0"/>
        <w:spacing w:before="240"/>
        <w:jc w:val="center"/>
        <w:outlineLvl w:val="0"/>
        <w:rPr>
          <w:snapToGrid w:val="0"/>
          <w:sz w:val="20"/>
          <w:szCs w:val="22"/>
        </w:rPr>
      </w:pPr>
      <w:r w:rsidRPr="00070539">
        <w:rPr>
          <w:snapToGrid w:val="0"/>
          <w:sz w:val="20"/>
          <w:szCs w:val="22"/>
        </w:rPr>
        <w:lastRenderedPageBreak/>
        <w:t xml:space="preserve">Cuadro </w:t>
      </w:r>
      <w:r w:rsidR="005524CE">
        <w:rPr>
          <w:snapToGrid w:val="0"/>
          <w:sz w:val="20"/>
          <w:szCs w:val="22"/>
        </w:rPr>
        <w:t>6</w:t>
      </w:r>
    </w:p>
    <w:p w14:paraId="6E64543B" w14:textId="0B2A8A38" w:rsidR="00A7546A" w:rsidRDefault="00443B05" w:rsidP="00AA3A06">
      <w:pPr>
        <w:widowControl w:val="0"/>
        <w:jc w:val="center"/>
        <w:rPr>
          <w:b/>
          <w:smallCaps/>
          <w:sz w:val="22"/>
          <w:szCs w:val="22"/>
        </w:rPr>
      </w:pPr>
      <w:r w:rsidRPr="00443B05">
        <w:rPr>
          <w:b/>
          <w:smallCaps/>
          <w:sz w:val="22"/>
          <w:szCs w:val="22"/>
        </w:rPr>
        <w:t xml:space="preserve">Indicador de </w:t>
      </w:r>
      <w:r w:rsidR="00B4487F">
        <w:rPr>
          <w:b/>
          <w:smallCaps/>
          <w:sz w:val="22"/>
          <w:szCs w:val="22"/>
        </w:rPr>
        <w:t>C</w:t>
      </w:r>
      <w:r w:rsidRPr="00443B05">
        <w:rPr>
          <w:b/>
          <w:smallCaps/>
          <w:sz w:val="22"/>
          <w:szCs w:val="22"/>
        </w:rPr>
        <w:t xml:space="preserve">onfianza </w:t>
      </w:r>
      <w:r w:rsidR="00B4487F">
        <w:rPr>
          <w:b/>
          <w:smallCaps/>
          <w:sz w:val="22"/>
          <w:szCs w:val="22"/>
        </w:rPr>
        <w:t>E</w:t>
      </w:r>
      <w:r w:rsidRPr="00443B05">
        <w:rPr>
          <w:b/>
          <w:smallCaps/>
          <w:sz w:val="22"/>
          <w:szCs w:val="22"/>
        </w:rPr>
        <w:t xml:space="preserve">mpresarial </w:t>
      </w:r>
      <w:r w:rsidR="005C641B">
        <w:rPr>
          <w:b/>
          <w:smallCaps/>
          <w:sz w:val="22"/>
          <w:szCs w:val="22"/>
        </w:rPr>
        <w:t>del sector</w:t>
      </w:r>
      <w:r w:rsidR="00A7546A">
        <w:rPr>
          <w:b/>
          <w:smallCaps/>
          <w:sz w:val="22"/>
          <w:szCs w:val="22"/>
        </w:rPr>
        <w:t xml:space="preserve"> </w:t>
      </w:r>
      <w:r w:rsidRPr="00443B05">
        <w:rPr>
          <w:b/>
          <w:smallCaps/>
          <w:sz w:val="22"/>
          <w:szCs w:val="22"/>
        </w:rPr>
        <w:t>manufacturero</w:t>
      </w:r>
    </w:p>
    <w:p w14:paraId="091BD27C" w14:textId="1A003B45" w:rsidR="00443B05" w:rsidRDefault="00443B05" w:rsidP="00AA3A06">
      <w:pPr>
        <w:widowControl w:val="0"/>
        <w:jc w:val="center"/>
        <w:rPr>
          <w:b/>
          <w:smallCaps/>
          <w:sz w:val="22"/>
          <w:lang w:val="es-MX"/>
        </w:rPr>
      </w:pPr>
      <w:r w:rsidRPr="00443B05">
        <w:rPr>
          <w:b/>
          <w:smallCaps/>
          <w:sz w:val="22"/>
          <w:szCs w:val="22"/>
        </w:rPr>
        <w:t xml:space="preserve">por grupos de subsectores </w:t>
      </w:r>
      <w:r w:rsidRPr="00443B05">
        <w:rPr>
          <w:b/>
          <w:smallCaps/>
          <w:sz w:val="22"/>
          <w:lang w:val="es-MX"/>
        </w:rPr>
        <w:t>de actividad</w:t>
      </w:r>
    </w:p>
    <w:p w14:paraId="091BD27D" w14:textId="77777777" w:rsidR="003D3BF3" w:rsidRDefault="00C25449" w:rsidP="003D3BF3">
      <w:pPr>
        <w:widowControl w:val="0"/>
        <w:jc w:val="center"/>
        <w:outlineLvl w:val="0"/>
        <w:rPr>
          <w:b/>
          <w:smallCaps/>
          <w:sz w:val="20"/>
          <w:szCs w:val="20"/>
        </w:rPr>
      </w:pPr>
      <w:r w:rsidRPr="00C46468">
        <w:rPr>
          <w:b/>
          <w:smallCaps/>
          <w:sz w:val="20"/>
          <w:szCs w:val="20"/>
        </w:rPr>
        <w:t>c</w:t>
      </w:r>
      <w:r w:rsidR="003D3BF3" w:rsidRPr="00C46468">
        <w:rPr>
          <w:b/>
          <w:smallCaps/>
          <w:sz w:val="20"/>
          <w:szCs w:val="20"/>
        </w:rPr>
        <w:t>ifras originales</w:t>
      </w:r>
    </w:p>
    <w:p w14:paraId="3AD08DE2" w14:textId="740FA2D0" w:rsidR="00EA63C3" w:rsidRPr="007267B6" w:rsidRDefault="00EA63C3" w:rsidP="003D3BF3">
      <w:pPr>
        <w:widowControl w:val="0"/>
        <w:jc w:val="center"/>
        <w:outlineLvl w:val="0"/>
        <w:rPr>
          <w:bCs/>
          <w:sz w:val="18"/>
          <w:szCs w:val="18"/>
        </w:rPr>
      </w:pPr>
      <w:r w:rsidRPr="007267B6">
        <w:rPr>
          <w:bCs/>
          <w:sz w:val="18"/>
          <w:szCs w:val="18"/>
        </w:rPr>
        <w:t>(Puntos)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9"/>
        <w:gridCol w:w="1051"/>
        <w:gridCol w:w="1052"/>
        <w:gridCol w:w="1052"/>
      </w:tblGrid>
      <w:tr w:rsidR="00482ABB" w:rsidRPr="00443B05" w14:paraId="091BD281" w14:textId="77777777" w:rsidTr="00BB03FB">
        <w:trPr>
          <w:cantSplit/>
          <w:trHeight w:val="285"/>
          <w:jc w:val="center"/>
        </w:trPr>
        <w:tc>
          <w:tcPr>
            <w:tcW w:w="6809" w:type="dxa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27E" w14:textId="77777777" w:rsidR="00482ABB" w:rsidRPr="00443B05" w:rsidRDefault="00482ABB" w:rsidP="00ED138B">
            <w:pPr>
              <w:widowControl w:val="0"/>
              <w:spacing w:before="20" w:after="20"/>
              <w:ind w:left="113"/>
              <w:rPr>
                <w:sz w:val="18"/>
                <w:szCs w:val="18"/>
              </w:rPr>
            </w:pPr>
            <w:bookmarkStart w:id="3" w:name="OLE_LINK4"/>
            <w:bookmarkStart w:id="4" w:name="OLE_LINK5"/>
            <w:r w:rsidRPr="00443B05">
              <w:rPr>
                <w:sz w:val="18"/>
                <w:szCs w:val="18"/>
              </w:rPr>
              <w:t xml:space="preserve">Grupos </w:t>
            </w:r>
          </w:p>
        </w:tc>
        <w:tc>
          <w:tcPr>
            <w:tcW w:w="2103" w:type="dxa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27F" w14:textId="1AA9555C" w:rsidR="00482ABB" w:rsidRPr="00443B05" w:rsidRDefault="008D59D2" w:rsidP="006137ED">
            <w:pPr>
              <w:widowControl w:val="0"/>
              <w:spacing w:before="20" w:after="2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1052" w:type="dxa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280" w14:textId="631A87B5" w:rsidR="00482ABB" w:rsidRPr="00443B05" w:rsidRDefault="00482ABB" w:rsidP="00ED138B">
            <w:pPr>
              <w:widowControl w:val="0"/>
              <w:spacing w:before="20" w:after="20"/>
              <w:ind w:left="-57" w:right="-45"/>
              <w:jc w:val="center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 xml:space="preserve">Diferencia </w:t>
            </w:r>
            <w:r>
              <w:rPr>
                <w:sz w:val="18"/>
                <w:szCs w:val="18"/>
              </w:rPr>
              <w:br/>
            </w:r>
            <w:r w:rsidR="00C076B1">
              <w:rPr>
                <w:sz w:val="18"/>
                <w:szCs w:val="18"/>
              </w:rPr>
              <w:t>anual</w:t>
            </w:r>
            <w:r w:rsidRPr="009D4821">
              <w:rPr>
                <w:position w:val="6"/>
                <w:sz w:val="18"/>
                <w:szCs w:val="18"/>
                <w:vertAlign w:val="superscript"/>
              </w:rPr>
              <w:t>1/</w:t>
            </w:r>
          </w:p>
        </w:tc>
      </w:tr>
      <w:tr w:rsidR="00F06E9A" w:rsidRPr="00443B05" w14:paraId="091BD286" w14:textId="77777777" w:rsidTr="00C854E9">
        <w:trPr>
          <w:cantSplit/>
          <w:trHeight w:val="285"/>
          <w:jc w:val="center"/>
        </w:trPr>
        <w:tc>
          <w:tcPr>
            <w:tcW w:w="6809" w:type="dxa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1BD282" w14:textId="77777777" w:rsidR="00F06E9A" w:rsidRPr="00443B05" w:rsidRDefault="00F06E9A" w:rsidP="00ED138B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283" w14:textId="2C431471" w:rsidR="00F06E9A" w:rsidRPr="00443B05" w:rsidRDefault="008A154C" w:rsidP="00AA3A06">
            <w:pPr>
              <w:widowControl w:val="0"/>
              <w:spacing w:before="20" w:after="20"/>
              <w:ind w:left="-68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F8295B">
              <w:rPr>
                <w:sz w:val="18"/>
                <w:szCs w:val="18"/>
              </w:rPr>
              <w:t>2</w:t>
            </w:r>
          </w:p>
        </w:tc>
        <w:tc>
          <w:tcPr>
            <w:tcW w:w="1052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284" w14:textId="10117BAE" w:rsidR="00F06E9A" w:rsidRPr="00443B05" w:rsidRDefault="008A154C" w:rsidP="00AA3A06">
            <w:pPr>
              <w:widowControl w:val="0"/>
              <w:spacing w:before="20" w:after="20"/>
              <w:ind w:left="-68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F8295B">
              <w:rPr>
                <w:sz w:val="18"/>
                <w:szCs w:val="18"/>
              </w:rPr>
              <w:t>3</w:t>
            </w:r>
            <w:r w:rsidR="00F06E9A" w:rsidRPr="009D4821">
              <w:rPr>
                <w:position w:val="6"/>
                <w:sz w:val="18"/>
                <w:szCs w:val="18"/>
                <w:vertAlign w:val="superscript"/>
              </w:rPr>
              <w:t>p/</w:t>
            </w:r>
          </w:p>
        </w:tc>
        <w:tc>
          <w:tcPr>
            <w:tcW w:w="1052" w:type="dxa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91BD285" w14:textId="77777777" w:rsidR="00F06E9A" w:rsidRPr="00443B05" w:rsidRDefault="00F06E9A" w:rsidP="00ED138B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E12E91" w:rsidRPr="00C413B3" w14:paraId="091BD28B" w14:textId="77777777" w:rsidTr="00E12E91">
        <w:trPr>
          <w:cantSplit/>
          <w:trHeight w:val="20"/>
          <w:jc w:val="center"/>
        </w:trPr>
        <w:tc>
          <w:tcPr>
            <w:tcW w:w="680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1BD287" w14:textId="239033C0" w:rsidR="00E12E91" w:rsidRPr="00443B05" w:rsidRDefault="00E12E91" w:rsidP="00E12E91">
            <w:pPr>
              <w:widowControl w:val="0"/>
              <w:spacing w:before="20" w:after="20"/>
              <w:ind w:left="57"/>
              <w:jc w:val="left"/>
              <w:rPr>
                <w:b/>
                <w:sz w:val="18"/>
                <w:szCs w:val="18"/>
              </w:rPr>
            </w:pPr>
            <w:r w:rsidRPr="00443B05">
              <w:rPr>
                <w:b/>
                <w:bCs/>
                <w:sz w:val="18"/>
                <w:szCs w:val="18"/>
              </w:rPr>
              <w:t xml:space="preserve">Indicador de Confianza Empresarial </w:t>
            </w:r>
            <w:r>
              <w:rPr>
                <w:b/>
                <w:bCs/>
                <w:sz w:val="18"/>
                <w:szCs w:val="18"/>
              </w:rPr>
              <w:t>del sector Industrias m</w:t>
            </w:r>
            <w:r w:rsidRPr="00443B05">
              <w:rPr>
                <w:b/>
                <w:bCs/>
                <w:sz w:val="18"/>
                <w:szCs w:val="18"/>
              </w:rPr>
              <w:t>anufacturer</w:t>
            </w:r>
            <w:r>
              <w:rPr>
                <w:b/>
                <w:bCs/>
                <w:sz w:val="18"/>
                <w:szCs w:val="18"/>
              </w:rPr>
              <w:t>as</w:t>
            </w:r>
          </w:p>
        </w:tc>
        <w:tc>
          <w:tcPr>
            <w:tcW w:w="1051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</w:tcBorders>
            <w:vAlign w:val="center"/>
          </w:tcPr>
          <w:p w14:paraId="091BD288" w14:textId="6BB6922B" w:rsidR="00E12E91" w:rsidRPr="00925462" w:rsidRDefault="00E12E91" w:rsidP="00E12E91">
            <w:pPr>
              <w:tabs>
                <w:tab w:val="decimal" w:pos="529"/>
              </w:tabs>
              <w:jc w:val="lef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50.9</w:t>
            </w:r>
          </w:p>
        </w:tc>
        <w:tc>
          <w:tcPr>
            <w:tcW w:w="1052" w:type="dxa"/>
            <w:tcBorders>
              <w:top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1BD289" w14:textId="1EB1F8FD" w:rsidR="00E12E91" w:rsidRPr="00925462" w:rsidRDefault="00E12E91" w:rsidP="00E12E91">
            <w:pPr>
              <w:tabs>
                <w:tab w:val="decimal" w:pos="540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53.7</w:t>
            </w:r>
          </w:p>
        </w:tc>
        <w:tc>
          <w:tcPr>
            <w:tcW w:w="1052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1BD28A" w14:textId="09CAD8A9" w:rsidR="00E12E91" w:rsidRPr="00925462" w:rsidRDefault="00E12E91" w:rsidP="00E12E91">
            <w:pPr>
              <w:tabs>
                <w:tab w:val="decimal" w:pos="488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2.8</w:t>
            </w:r>
          </w:p>
        </w:tc>
      </w:tr>
      <w:tr w:rsidR="00E12E91" w:rsidRPr="00C413B3" w14:paraId="091BD290" w14:textId="77777777" w:rsidTr="00E12E91">
        <w:trPr>
          <w:cantSplit/>
          <w:trHeight w:val="20"/>
          <w:jc w:val="center"/>
        </w:trPr>
        <w:tc>
          <w:tcPr>
            <w:tcW w:w="6809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1BD28C" w14:textId="77777777" w:rsidR="00E12E91" w:rsidRPr="00443B05" w:rsidRDefault="00E12E91" w:rsidP="00E12E91">
            <w:pPr>
              <w:widowControl w:val="0"/>
              <w:spacing w:before="20" w:after="20"/>
              <w:ind w:left="170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Alimentos, bebidas y tabaco</w:t>
            </w:r>
          </w:p>
        </w:tc>
        <w:tc>
          <w:tcPr>
            <w:tcW w:w="1051" w:type="dxa"/>
            <w:tcBorders>
              <w:left w:val="single" w:sz="4" w:space="0" w:color="404040" w:themeColor="text1" w:themeTint="BF"/>
            </w:tcBorders>
            <w:vAlign w:val="center"/>
          </w:tcPr>
          <w:p w14:paraId="091BD28D" w14:textId="376459C3" w:rsidR="00E12E91" w:rsidRPr="00925462" w:rsidRDefault="00E12E91" w:rsidP="00E12E91">
            <w:pPr>
              <w:tabs>
                <w:tab w:val="decimal" w:pos="529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51.8</w:t>
            </w:r>
          </w:p>
        </w:tc>
        <w:tc>
          <w:tcPr>
            <w:tcW w:w="1052" w:type="dxa"/>
            <w:tcBorders>
              <w:right w:val="single" w:sz="4" w:space="0" w:color="404040" w:themeColor="text1" w:themeTint="BF"/>
            </w:tcBorders>
            <w:vAlign w:val="center"/>
          </w:tcPr>
          <w:p w14:paraId="091BD28E" w14:textId="302A8BF3" w:rsidR="00E12E91" w:rsidRPr="00925462" w:rsidRDefault="00E12E91" w:rsidP="00E12E91">
            <w:pPr>
              <w:tabs>
                <w:tab w:val="decimal" w:pos="540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54.2</w:t>
            </w:r>
          </w:p>
        </w:tc>
        <w:tc>
          <w:tcPr>
            <w:tcW w:w="1052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1BD28F" w14:textId="370D3600" w:rsidR="00E12E91" w:rsidRPr="00925462" w:rsidRDefault="00E12E91" w:rsidP="00E12E91">
            <w:pPr>
              <w:tabs>
                <w:tab w:val="decimal" w:pos="488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2.5</w:t>
            </w:r>
          </w:p>
        </w:tc>
      </w:tr>
      <w:tr w:rsidR="00E12E91" w:rsidRPr="00C413B3" w14:paraId="091BD295" w14:textId="77777777" w:rsidTr="00E12E91">
        <w:trPr>
          <w:cantSplit/>
          <w:trHeight w:val="20"/>
          <w:jc w:val="center"/>
        </w:trPr>
        <w:tc>
          <w:tcPr>
            <w:tcW w:w="6809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1BD291" w14:textId="77777777" w:rsidR="00E12E91" w:rsidRPr="00443B05" w:rsidRDefault="00E12E91" w:rsidP="00E12E91">
            <w:pPr>
              <w:widowControl w:val="0"/>
              <w:spacing w:before="20" w:after="20"/>
              <w:ind w:left="170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Derivados del petróleo y del carbón, industria química, del plástico y del hule</w:t>
            </w:r>
          </w:p>
        </w:tc>
        <w:tc>
          <w:tcPr>
            <w:tcW w:w="1051" w:type="dxa"/>
            <w:tcBorders>
              <w:left w:val="single" w:sz="4" w:space="0" w:color="404040" w:themeColor="text1" w:themeTint="BF"/>
            </w:tcBorders>
            <w:vAlign w:val="center"/>
          </w:tcPr>
          <w:p w14:paraId="091BD292" w14:textId="18BBE244" w:rsidR="00E12E91" w:rsidRPr="00925462" w:rsidRDefault="00E12E91" w:rsidP="00E12E91">
            <w:pPr>
              <w:tabs>
                <w:tab w:val="decimal" w:pos="529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50.1</w:t>
            </w:r>
          </w:p>
        </w:tc>
        <w:tc>
          <w:tcPr>
            <w:tcW w:w="1052" w:type="dxa"/>
            <w:tcBorders>
              <w:right w:val="single" w:sz="4" w:space="0" w:color="404040" w:themeColor="text1" w:themeTint="BF"/>
            </w:tcBorders>
            <w:vAlign w:val="center"/>
          </w:tcPr>
          <w:p w14:paraId="091BD293" w14:textId="1A5E1C92" w:rsidR="00E12E91" w:rsidRPr="00925462" w:rsidRDefault="00E12E91" w:rsidP="00E12E91">
            <w:pPr>
              <w:tabs>
                <w:tab w:val="decimal" w:pos="540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52.8</w:t>
            </w:r>
          </w:p>
        </w:tc>
        <w:tc>
          <w:tcPr>
            <w:tcW w:w="1052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1BD294" w14:textId="2E743461" w:rsidR="00E12E91" w:rsidRPr="00925462" w:rsidRDefault="00E12E91" w:rsidP="00E12E91">
            <w:pPr>
              <w:tabs>
                <w:tab w:val="decimal" w:pos="488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2.7</w:t>
            </w:r>
          </w:p>
        </w:tc>
      </w:tr>
      <w:tr w:rsidR="00E12E91" w:rsidRPr="00C413B3" w14:paraId="091BD29A" w14:textId="77777777" w:rsidTr="00E12E91">
        <w:trPr>
          <w:cantSplit/>
          <w:trHeight w:val="20"/>
          <w:jc w:val="center"/>
        </w:trPr>
        <w:tc>
          <w:tcPr>
            <w:tcW w:w="6809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1BD296" w14:textId="77777777" w:rsidR="00E12E91" w:rsidRPr="00443B05" w:rsidRDefault="00E12E91" w:rsidP="00E12E91">
            <w:pPr>
              <w:widowControl w:val="0"/>
              <w:spacing w:before="20" w:after="20"/>
              <w:ind w:left="170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Minerales no metálicos y metálicas básicas</w:t>
            </w:r>
          </w:p>
        </w:tc>
        <w:tc>
          <w:tcPr>
            <w:tcW w:w="1051" w:type="dxa"/>
            <w:tcBorders>
              <w:left w:val="single" w:sz="4" w:space="0" w:color="404040" w:themeColor="text1" w:themeTint="BF"/>
            </w:tcBorders>
            <w:vAlign w:val="center"/>
          </w:tcPr>
          <w:p w14:paraId="091BD297" w14:textId="14A05894" w:rsidR="00E12E91" w:rsidRPr="00925462" w:rsidRDefault="00E12E91" w:rsidP="00E12E91">
            <w:pPr>
              <w:tabs>
                <w:tab w:val="decimal" w:pos="529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49.5</w:t>
            </w:r>
          </w:p>
        </w:tc>
        <w:tc>
          <w:tcPr>
            <w:tcW w:w="1052" w:type="dxa"/>
            <w:tcBorders>
              <w:right w:val="single" w:sz="4" w:space="0" w:color="404040" w:themeColor="text1" w:themeTint="BF"/>
            </w:tcBorders>
            <w:vAlign w:val="center"/>
          </w:tcPr>
          <w:p w14:paraId="091BD298" w14:textId="60246443" w:rsidR="00E12E91" w:rsidRPr="00925462" w:rsidRDefault="00E12E91" w:rsidP="00E12E91">
            <w:pPr>
              <w:tabs>
                <w:tab w:val="decimal" w:pos="540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52.2</w:t>
            </w:r>
          </w:p>
        </w:tc>
        <w:tc>
          <w:tcPr>
            <w:tcW w:w="1052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1BD299" w14:textId="500D3E16" w:rsidR="00E12E91" w:rsidRPr="00925462" w:rsidRDefault="00E12E91" w:rsidP="00E12E91">
            <w:pPr>
              <w:tabs>
                <w:tab w:val="decimal" w:pos="488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2.7</w:t>
            </w:r>
          </w:p>
        </w:tc>
      </w:tr>
      <w:tr w:rsidR="00E12E91" w:rsidRPr="00C413B3" w14:paraId="091BD29F" w14:textId="77777777" w:rsidTr="00E12E91">
        <w:trPr>
          <w:cantSplit/>
          <w:trHeight w:val="20"/>
          <w:jc w:val="center"/>
        </w:trPr>
        <w:tc>
          <w:tcPr>
            <w:tcW w:w="6809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1BD29B" w14:textId="77777777" w:rsidR="00E12E91" w:rsidRPr="00443B05" w:rsidRDefault="00E12E91" w:rsidP="00E12E91">
            <w:pPr>
              <w:widowControl w:val="0"/>
              <w:spacing w:before="20" w:after="20"/>
              <w:ind w:left="170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Equipo de computación, accesorios electrónicos y aparatos eléctricos</w:t>
            </w:r>
          </w:p>
        </w:tc>
        <w:tc>
          <w:tcPr>
            <w:tcW w:w="1051" w:type="dxa"/>
            <w:tcBorders>
              <w:left w:val="single" w:sz="4" w:space="0" w:color="404040" w:themeColor="text1" w:themeTint="BF"/>
            </w:tcBorders>
            <w:vAlign w:val="center"/>
          </w:tcPr>
          <w:p w14:paraId="091BD29C" w14:textId="3B4EBE0C" w:rsidR="00E12E91" w:rsidRPr="00925462" w:rsidRDefault="00E12E91" w:rsidP="00E12E91">
            <w:pPr>
              <w:tabs>
                <w:tab w:val="decimal" w:pos="529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50.3</w:t>
            </w:r>
          </w:p>
        </w:tc>
        <w:tc>
          <w:tcPr>
            <w:tcW w:w="1052" w:type="dxa"/>
            <w:tcBorders>
              <w:right w:val="single" w:sz="4" w:space="0" w:color="404040" w:themeColor="text1" w:themeTint="BF"/>
            </w:tcBorders>
            <w:vAlign w:val="center"/>
          </w:tcPr>
          <w:p w14:paraId="091BD29D" w14:textId="1185ADCE" w:rsidR="00E12E91" w:rsidRPr="00925462" w:rsidRDefault="00E12E91" w:rsidP="00E12E91">
            <w:pPr>
              <w:tabs>
                <w:tab w:val="decimal" w:pos="540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51.8</w:t>
            </w:r>
          </w:p>
        </w:tc>
        <w:tc>
          <w:tcPr>
            <w:tcW w:w="1052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1BD29E" w14:textId="7935177D" w:rsidR="00E12E91" w:rsidRPr="00925462" w:rsidRDefault="00E12E91" w:rsidP="00E12E91">
            <w:pPr>
              <w:tabs>
                <w:tab w:val="decimal" w:pos="488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</w:t>
            </w:r>
          </w:p>
        </w:tc>
      </w:tr>
      <w:tr w:rsidR="00E12E91" w:rsidRPr="00C413B3" w14:paraId="091BD2A4" w14:textId="77777777" w:rsidTr="00E12E91">
        <w:trPr>
          <w:cantSplit/>
          <w:trHeight w:val="20"/>
          <w:jc w:val="center"/>
        </w:trPr>
        <w:tc>
          <w:tcPr>
            <w:tcW w:w="6809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1BD2A0" w14:textId="77777777" w:rsidR="00E12E91" w:rsidRPr="00443B05" w:rsidRDefault="00E12E91" w:rsidP="00E12E91">
            <w:pPr>
              <w:widowControl w:val="0"/>
              <w:spacing w:before="20" w:after="20"/>
              <w:ind w:left="170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Equipo de transporte</w:t>
            </w:r>
          </w:p>
        </w:tc>
        <w:tc>
          <w:tcPr>
            <w:tcW w:w="1051" w:type="dxa"/>
            <w:tcBorders>
              <w:left w:val="single" w:sz="4" w:space="0" w:color="404040" w:themeColor="text1" w:themeTint="BF"/>
            </w:tcBorders>
            <w:vAlign w:val="center"/>
          </w:tcPr>
          <w:p w14:paraId="091BD2A1" w14:textId="2E48B71D" w:rsidR="00E12E91" w:rsidRPr="00925462" w:rsidRDefault="00E12E91" w:rsidP="00E12E91">
            <w:pPr>
              <w:tabs>
                <w:tab w:val="decimal" w:pos="529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52.2</w:t>
            </w:r>
          </w:p>
        </w:tc>
        <w:tc>
          <w:tcPr>
            <w:tcW w:w="1052" w:type="dxa"/>
            <w:tcBorders>
              <w:right w:val="single" w:sz="4" w:space="0" w:color="404040" w:themeColor="text1" w:themeTint="BF"/>
            </w:tcBorders>
            <w:vAlign w:val="center"/>
          </w:tcPr>
          <w:p w14:paraId="091BD2A2" w14:textId="0D1E6BDE" w:rsidR="00E12E91" w:rsidRPr="00925462" w:rsidRDefault="00E12E91" w:rsidP="00E12E91">
            <w:pPr>
              <w:tabs>
                <w:tab w:val="decimal" w:pos="540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55.6</w:t>
            </w:r>
          </w:p>
        </w:tc>
        <w:tc>
          <w:tcPr>
            <w:tcW w:w="1052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1BD2A3" w14:textId="67DCB11C" w:rsidR="00E12E91" w:rsidRPr="00925462" w:rsidRDefault="00E12E91" w:rsidP="00E12E91">
            <w:pPr>
              <w:tabs>
                <w:tab w:val="decimal" w:pos="488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3.3</w:t>
            </w:r>
          </w:p>
        </w:tc>
      </w:tr>
      <w:tr w:rsidR="00E12E91" w:rsidRPr="00C413B3" w14:paraId="091BD2A9" w14:textId="77777777" w:rsidTr="00E12E91">
        <w:trPr>
          <w:cantSplit/>
          <w:trHeight w:val="20"/>
          <w:jc w:val="center"/>
        </w:trPr>
        <w:tc>
          <w:tcPr>
            <w:tcW w:w="6809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1BD2A5" w14:textId="77777777" w:rsidR="00E12E91" w:rsidRPr="00443B05" w:rsidRDefault="00E12E91" w:rsidP="00E12E91">
            <w:pPr>
              <w:widowControl w:val="0"/>
              <w:spacing w:before="20" w:after="20"/>
              <w:ind w:left="170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Productos metálicos, maquinaria, equipo y muebles</w:t>
            </w:r>
          </w:p>
        </w:tc>
        <w:tc>
          <w:tcPr>
            <w:tcW w:w="1051" w:type="dxa"/>
            <w:tcBorders>
              <w:left w:val="single" w:sz="4" w:space="0" w:color="404040" w:themeColor="text1" w:themeTint="BF"/>
            </w:tcBorders>
            <w:vAlign w:val="center"/>
          </w:tcPr>
          <w:p w14:paraId="091BD2A6" w14:textId="04815CAB" w:rsidR="00E12E91" w:rsidRPr="00925462" w:rsidRDefault="00E12E91" w:rsidP="00E12E91">
            <w:pPr>
              <w:tabs>
                <w:tab w:val="decimal" w:pos="529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52.5</w:t>
            </w:r>
          </w:p>
        </w:tc>
        <w:tc>
          <w:tcPr>
            <w:tcW w:w="1052" w:type="dxa"/>
            <w:tcBorders>
              <w:right w:val="single" w:sz="4" w:space="0" w:color="404040" w:themeColor="text1" w:themeTint="BF"/>
            </w:tcBorders>
            <w:vAlign w:val="center"/>
          </w:tcPr>
          <w:p w14:paraId="091BD2A7" w14:textId="55D3CE48" w:rsidR="00E12E91" w:rsidRPr="00925462" w:rsidRDefault="00E12E91" w:rsidP="00E12E91">
            <w:pPr>
              <w:tabs>
                <w:tab w:val="decimal" w:pos="540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55.1</w:t>
            </w:r>
          </w:p>
        </w:tc>
        <w:tc>
          <w:tcPr>
            <w:tcW w:w="1052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1BD2A8" w14:textId="69413E9A" w:rsidR="00E12E91" w:rsidRPr="00925462" w:rsidRDefault="00E12E91" w:rsidP="00E12E91">
            <w:pPr>
              <w:tabs>
                <w:tab w:val="decimal" w:pos="488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2.7</w:t>
            </w:r>
          </w:p>
        </w:tc>
      </w:tr>
      <w:tr w:rsidR="00E12E91" w:rsidRPr="00C413B3" w14:paraId="091BD2AE" w14:textId="77777777" w:rsidTr="00E12E91">
        <w:trPr>
          <w:cantSplit/>
          <w:trHeight w:val="20"/>
          <w:jc w:val="center"/>
        </w:trPr>
        <w:tc>
          <w:tcPr>
            <w:tcW w:w="6809" w:type="dxa"/>
            <w:tcBorders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1BD2AA" w14:textId="2E717852" w:rsidR="00E12E91" w:rsidRPr="00443B05" w:rsidRDefault="00E12E91" w:rsidP="00E12E91">
            <w:pPr>
              <w:widowControl w:val="0"/>
              <w:spacing w:before="20" w:after="20"/>
              <w:ind w:left="170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Textiles, prendas de vestir, cuero y piel, madera, papel y otras</w:t>
            </w:r>
            <w:r>
              <w:rPr>
                <w:sz w:val="18"/>
                <w:szCs w:val="18"/>
              </w:rPr>
              <w:t xml:space="preserve"> industrias</w:t>
            </w:r>
          </w:p>
        </w:tc>
        <w:tc>
          <w:tcPr>
            <w:tcW w:w="1051" w:type="dxa"/>
            <w:tcBorders>
              <w:left w:val="single" w:sz="4" w:space="0" w:color="404040" w:themeColor="text1" w:themeTint="BF"/>
              <w:bottom w:val="single" w:sz="4" w:space="0" w:color="404040" w:themeColor="text1" w:themeTint="BF"/>
            </w:tcBorders>
            <w:vAlign w:val="center"/>
          </w:tcPr>
          <w:p w14:paraId="091BD2AB" w14:textId="5DC1B38D" w:rsidR="00E12E91" w:rsidRPr="00925462" w:rsidRDefault="00E12E91" w:rsidP="00E12E91">
            <w:pPr>
              <w:tabs>
                <w:tab w:val="decimal" w:pos="529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46.0</w:t>
            </w:r>
          </w:p>
        </w:tc>
        <w:tc>
          <w:tcPr>
            <w:tcW w:w="1052" w:type="dxa"/>
            <w:tcBorders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1BD2AC" w14:textId="30108D04" w:rsidR="00E12E91" w:rsidRPr="00925462" w:rsidRDefault="00E12E91" w:rsidP="00E12E91">
            <w:pPr>
              <w:tabs>
                <w:tab w:val="decimal" w:pos="540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47.8</w:t>
            </w:r>
          </w:p>
        </w:tc>
        <w:tc>
          <w:tcPr>
            <w:tcW w:w="1052" w:type="dxa"/>
            <w:tcBorders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1BD2AD" w14:textId="14641F19" w:rsidR="00E12E91" w:rsidRPr="00925462" w:rsidRDefault="00E12E91" w:rsidP="00E12E91">
            <w:pPr>
              <w:tabs>
                <w:tab w:val="decimal" w:pos="488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1.7</w:t>
            </w:r>
          </w:p>
        </w:tc>
      </w:tr>
    </w:tbl>
    <w:bookmarkEnd w:id="3"/>
    <w:bookmarkEnd w:id="4"/>
    <w:p w14:paraId="091BD2AF" w14:textId="77777777" w:rsidR="00443B05" w:rsidRPr="00053311" w:rsidRDefault="00443B05" w:rsidP="00ED138B">
      <w:pPr>
        <w:widowControl w:val="0"/>
        <w:tabs>
          <w:tab w:val="left" w:pos="9356"/>
        </w:tabs>
        <w:ind w:left="658" w:right="6" w:hanging="532"/>
        <w:rPr>
          <w:sz w:val="16"/>
          <w:szCs w:val="16"/>
        </w:rPr>
      </w:pPr>
      <w:r w:rsidRPr="00053311">
        <w:rPr>
          <w:sz w:val="16"/>
          <w:szCs w:val="16"/>
        </w:rPr>
        <w:t>Nota</w:t>
      </w:r>
      <w:r w:rsidRPr="00443B05">
        <w:rPr>
          <w:sz w:val="14"/>
          <w:szCs w:val="14"/>
        </w:rPr>
        <w:t>:</w:t>
      </w:r>
      <w:r w:rsidRPr="00443B05">
        <w:rPr>
          <w:sz w:val="14"/>
          <w:szCs w:val="14"/>
        </w:rPr>
        <w:tab/>
      </w:r>
      <w:r w:rsidRPr="00053311">
        <w:rPr>
          <w:sz w:val="16"/>
          <w:szCs w:val="16"/>
          <w:lang w:val="es-MX"/>
        </w:rPr>
        <w:t>Los indicadores se generan con los datos referidos al mes de la entrevista.</w:t>
      </w:r>
    </w:p>
    <w:p w14:paraId="091BD2B0" w14:textId="77777777" w:rsidR="00443B05" w:rsidRPr="00443B05" w:rsidRDefault="00443B05" w:rsidP="00053311">
      <w:pPr>
        <w:widowControl w:val="0"/>
        <w:tabs>
          <w:tab w:val="left" w:pos="994"/>
        </w:tabs>
        <w:spacing w:line="180" w:lineRule="exact"/>
        <w:ind w:left="658" w:right="964" w:hanging="533"/>
        <w:rPr>
          <w:sz w:val="14"/>
          <w:szCs w:val="14"/>
        </w:rPr>
      </w:pPr>
      <w:r w:rsidRPr="00053311">
        <w:rPr>
          <w:sz w:val="18"/>
          <w:szCs w:val="14"/>
          <w:vertAlign w:val="superscript"/>
        </w:rPr>
        <w:t>1/</w:t>
      </w:r>
      <w:r w:rsidRPr="00443B05">
        <w:rPr>
          <w:sz w:val="14"/>
          <w:szCs w:val="14"/>
        </w:rPr>
        <w:tab/>
      </w:r>
      <w:r w:rsidRPr="00053311">
        <w:rPr>
          <w:sz w:val="16"/>
          <w:szCs w:val="16"/>
        </w:rPr>
        <w:t>Las diferencias en puntos se obtienen de los respectivos indicadores considerando todos sus decimales</w:t>
      </w:r>
      <w:r w:rsidRPr="00443B05">
        <w:rPr>
          <w:sz w:val="14"/>
          <w:szCs w:val="14"/>
        </w:rPr>
        <w:t>.</w:t>
      </w:r>
    </w:p>
    <w:p w14:paraId="091BD2B1" w14:textId="0AE94843" w:rsidR="00443B05" w:rsidRDefault="00443B05" w:rsidP="00053311">
      <w:pPr>
        <w:widowControl w:val="0"/>
        <w:tabs>
          <w:tab w:val="left" w:pos="994"/>
        </w:tabs>
        <w:spacing w:line="180" w:lineRule="exact"/>
        <w:ind w:left="658" w:right="964" w:hanging="533"/>
        <w:rPr>
          <w:sz w:val="14"/>
          <w:szCs w:val="14"/>
        </w:rPr>
      </w:pPr>
      <w:r w:rsidRPr="00053311">
        <w:rPr>
          <w:sz w:val="18"/>
          <w:szCs w:val="14"/>
          <w:vertAlign w:val="superscript"/>
        </w:rPr>
        <w:t>p/</w:t>
      </w:r>
      <w:r w:rsidRPr="00443B05">
        <w:rPr>
          <w:sz w:val="14"/>
          <w:szCs w:val="14"/>
        </w:rPr>
        <w:tab/>
      </w:r>
      <w:r w:rsidRPr="00053311">
        <w:rPr>
          <w:sz w:val="16"/>
          <w:szCs w:val="16"/>
        </w:rPr>
        <w:t>Dato preliminar</w:t>
      </w:r>
    </w:p>
    <w:p w14:paraId="091BD2B2" w14:textId="6E9F92A1" w:rsidR="00674F64" w:rsidRPr="00443B05" w:rsidRDefault="00674F64" w:rsidP="00053311">
      <w:pPr>
        <w:widowControl w:val="0"/>
        <w:spacing w:line="180" w:lineRule="exact"/>
        <w:ind w:left="658" w:right="6" w:hanging="533"/>
        <w:rPr>
          <w:smallCaps/>
          <w:sz w:val="14"/>
          <w:szCs w:val="14"/>
        </w:rPr>
      </w:pPr>
      <w:r w:rsidRPr="00053311">
        <w:rPr>
          <w:sz w:val="16"/>
          <w:szCs w:val="16"/>
        </w:rPr>
        <w:t>Fuente:</w:t>
      </w:r>
      <w:r w:rsidRPr="00053311">
        <w:rPr>
          <w:sz w:val="16"/>
          <w:szCs w:val="16"/>
        </w:rPr>
        <w:tab/>
      </w:r>
      <w:r w:rsidRPr="00A7546A">
        <w:rPr>
          <w:smallCaps/>
          <w:sz w:val="16"/>
          <w:szCs w:val="16"/>
        </w:rPr>
        <w:t>INEGI</w:t>
      </w:r>
      <w:r w:rsidR="008D59D2" w:rsidRPr="00A7546A">
        <w:rPr>
          <w:smallCaps/>
          <w:sz w:val="16"/>
          <w:szCs w:val="16"/>
        </w:rPr>
        <w:t>.</w:t>
      </w:r>
      <w:r w:rsidR="008D59D2" w:rsidRPr="00A7546A">
        <w:rPr>
          <w:sz w:val="16"/>
          <w:szCs w:val="16"/>
        </w:rPr>
        <w:t xml:space="preserve"> Encuesta Mensual de Opinión Empresarial (EMOE)</w:t>
      </w:r>
      <w:r w:rsidR="00EA63C3">
        <w:rPr>
          <w:sz w:val="16"/>
          <w:szCs w:val="16"/>
        </w:rPr>
        <w:t>,</w:t>
      </w:r>
      <w:r w:rsidR="008D59D2" w:rsidRPr="00A7546A">
        <w:rPr>
          <w:sz w:val="16"/>
          <w:szCs w:val="16"/>
        </w:rPr>
        <w:t xml:space="preserve"> 2023</w:t>
      </w:r>
      <w:r w:rsidR="008D59D2">
        <w:rPr>
          <w:sz w:val="16"/>
          <w:szCs w:val="16"/>
        </w:rPr>
        <w:t>.</w:t>
      </w:r>
    </w:p>
    <w:p w14:paraId="617BAE1F" w14:textId="77777777" w:rsidR="007A328F" w:rsidRDefault="007A328F" w:rsidP="00903C8C">
      <w:pPr>
        <w:widowControl w:val="0"/>
        <w:spacing w:before="240"/>
        <w:jc w:val="center"/>
        <w:rPr>
          <w:b/>
          <w:smallCaps/>
          <w:sz w:val="22"/>
          <w:szCs w:val="22"/>
        </w:rPr>
      </w:pPr>
      <w:r w:rsidRPr="00070539">
        <w:rPr>
          <w:snapToGrid w:val="0"/>
          <w:sz w:val="20"/>
          <w:szCs w:val="22"/>
        </w:rPr>
        <w:t xml:space="preserve">Cuadro </w:t>
      </w:r>
      <w:r>
        <w:rPr>
          <w:snapToGrid w:val="0"/>
          <w:sz w:val="20"/>
          <w:szCs w:val="22"/>
        </w:rPr>
        <w:t>7</w:t>
      </w:r>
    </w:p>
    <w:p w14:paraId="60D3CEF3" w14:textId="06562CAE" w:rsidR="007A328F" w:rsidRPr="00903C8C" w:rsidRDefault="007A328F" w:rsidP="00903C8C">
      <w:pPr>
        <w:widowControl w:val="0"/>
        <w:jc w:val="center"/>
        <w:rPr>
          <w:b/>
          <w:smallCaps/>
          <w:sz w:val="22"/>
          <w:szCs w:val="22"/>
        </w:rPr>
      </w:pPr>
      <w:r w:rsidRPr="007A328F">
        <w:rPr>
          <w:b/>
          <w:smallCaps/>
          <w:sz w:val="22"/>
          <w:szCs w:val="22"/>
        </w:rPr>
        <w:t>Indicador de Confianza Empresarial d</w:t>
      </w:r>
      <w:r w:rsidR="00C975B5">
        <w:rPr>
          <w:b/>
          <w:smallCaps/>
          <w:sz w:val="22"/>
          <w:szCs w:val="22"/>
        </w:rPr>
        <w:t>e</w:t>
      </w:r>
      <w:r w:rsidR="0070155C">
        <w:rPr>
          <w:b/>
          <w:smallCaps/>
          <w:sz w:val="22"/>
          <w:szCs w:val="22"/>
        </w:rPr>
        <w:t>l</w:t>
      </w:r>
      <w:r w:rsidR="00C975B5">
        <w:rPr>
          <w:b/>
          <w:smallCaps/>
          <w:sz w:val="22"/>
          <w:szCs w:val="22"/>
        </w:rPr>
        <w:t xml:space="preserve"> </w:t>
      </w:r>
      <w:r w:rsidRPr="007A328F">
        <w:rPr>
          <w:b/>
          <w:smallCaps/>
          <w:sz w:val="22"/>
          <w:szCs w:val="22"/>
        </w:rPr>
        <w:t>comercio</w:t>
      </w:r>
      <w:r w:rsidR="0027286C">
        <w:rPr>
          <w:b/>
          <w:smallCaps/>
          <w:sz w:val="22"/>
          <w:szCs w:val="22"/>
        </w:rPr>
        <w:t xml:space="preserve"> </w:t>
      </w:r>
      <w:r w:rsidR="009C7E24">
        <w:rPr>
          <w:b/>
          <w:smallCaps/>
          <w:sz w:val="22"/>
          <w:szCs w:val="22"/>
        </w:rPr>
        <w:t>por sectores de actividad</w:t>
      </w:r>
    </w:p>
    <w:p w14:paraId="38B72B80" w14:textId="77777777" w:rsidR="007A328F" w:rsidRDefault="007A328F" w:rsidP="007A328F">
      <w:pPr>
        <w:widowControl w:val="0"/>
        <w:jc w:val="center"/>
        <w:outlineLvl w:val="0"/>
        <w:rPr>
          <w:b/>
          <w:smallCaps/>
          <w:sz w:val="20"/>
          <w:szCs w:val="20"/>
        </w:rPr>
      </w:pPr>
      <w:r w:rsidRPr="00C46468">
        <w:rPr>
          <w:b/>
          <w:smallCaps/>
          <w:sz w:val="20"/>
          <w:szCs w:val="20"/>
        </w:rPr>
        <w:t>cifras originales</w:t>
      </w:r>
    </w:p>
    <w:p w14:paraId="1814FEED" w14:textId="66D84878" w:rsidR="00EA63C3" w:rsidRPr="007267B6" w:rsidRDefault="00EA63C3" w:rsidP="00EA63C3">
      <w:pPr>
        <w:widowControl w:val="0"/>
        <w:jc w:val="center"/>
        <w:outlineLvl w:val="0"/>
        <w:rPr>
          <w:bCs/>
          <w:sz w:val="18"/>
          <w:szCs w:val="18"/>
        </w:rPr>
      </w:pPr>
      <w:r w:rsidRPr="007267B6">
        <w:rPr>
          <w:bCs/>
          <w:sz w:val="18"/>
          <w:szCs w:val="18"/>
        </w:rPr>
        <w:t>(Puntos)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9"/>
        <w:gridCol w:w="1051"/>
        <w:gridCol w:w="1052"/>
        <w:gridCol w:w="1052"/>
      </w:tblGrid>
      <w:tr w:rsidR="007A328F" w:rsidRPr="00443B05" w14:paraId="3DD5E0CC" w14:textId="77777777" w:rsidTr="002644F0">
        <w:trPr>
          <w:cantSplit/>
          <w:trHeight w:val="285"/>
          <w:jc w:val="center"/>
        </w:trPr>
        <w:tc>
          <w:tcPr>
            <w:tcW w:w="6809" w:type="dxa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660CA491" w14:textId="77777777" w:rsidR="007A328F" w:rsidRPr="00443B05" w:rsidRDefault="007A328F" w:rsidP="004A1967">
            <w:pPr>
              <w:widowControl w:val="0"/>
              <w:spacing w:before="20" w:after="20"/>
              <w:ind w:left="113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 xml:space="preserve">Grupos </w:t>
            </w:r>
          </w:p>
        </w:tc>
        <w:tc>
          <w:tcPr>
            <w:tcW w:w="2103" w:type="dxa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E122B11" w14:textId="77DFBF94" w:rsidR="007A328F" w:rsidRPr="00443B05" w:rsidRDefault="008D59D2" w:rsidP="004A1967">
            <w:pPr>
              <w:widowControl w:val="0"/>
              <w:spacing w:before="20" w:after="2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1052" w:type="dxa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6A0ADD3A" w14:textId="6BF3B674" w:rsidR="007A328F" w:rsidRPr="00443B05" w:rsidRDefault="007A328F" w:rsidP="004A1967">
            <w:pPr>
              <w:widowControl w:val="0"/>
              <w:spacing w:before="20" w:after="20"/>
              <w:ind w:left="-57" w:right="-45"/>
              <w:jc w:val="center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 xml:space="preserve">Diferencia </w:t>
            </w:r>
            <w:r>
              <w:rPr>
                <w:sz w:val="18"/>
                <w:szCs w:val="18"/>
              </w:rPr>
              <w:br/>
            </w:r>
            <w:r w:rsidR="00C076B1">
              <w:rPr>
                <w:sz w:val="18"/>
                <w:szCs w:val="18"/>
              </w:rPr>
              <w:t>anual</w:t>
            </w:r>
            <w:r w:rsidRPr="009D4821">
              <w:rPr>
                <w:position w:val="6"/>
                <w:sz w:val="18"/>
                <w:szCs w:val="18"/>
                <w:vertAlign w:val="superscript"/>
              </w:rPr>
              <w:t>1/</w:t>
            </w:r>
          </w:p>
        </w:tc>
      </w:tr>
      <w:tr w:rsidR="007A328F" w:rsidRPr="00443B05" w14:paraId="7A03339E" w14:textId="77777777" w:rsidTr="002644F0">
        <w:trPr>
          <w:cantSplit/>
          <w:trHeight w:val="285"/>
          <w:jc w:val="center"/>
        </w:trPr>
        <w:tc>
          <w:tcPr>
            <w:tcW w:w="6809" w:type="dxa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511DCD12" w14:textId="77777777" w:rsidR="007A328F" w:rsidRPr="00443B05" w:rsidRDefault="007A328F" w:rsidP="004A1967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7F511901" w14:textId="77777777" w:rsidR="007A328F" w:rsidRPr="00443B05" w:rsidRDefault="007A328F" w:rsidP="004A1967">
            <w:pPr>
              <w:widowControl w:val="0"/>
              <w:spacing w:before="20" w:after="20"/>
              <w:ind w:left="-68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1052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65394A06" w14:textId="77777777" w:rsidR="007A328F" w:rsidRPr="00443B05" w:rsidRDefault="007A328F" w:rsidP="004A1967">
            <w:pPr>
              <w:widowControl w:val="0"/>
              <w:spacing w:before="20" w:after="20"/>
              <w:ind w:left="-68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  <w:r w:rsidRPr="009D4821">
              <w:rPr>
                <w:position w:val="6"/>
                <w:sz w:val="18"/>
                <w:szCs w:val="18"/>
                <w:vertAlign w:val="superscript"/>
              </w:rPr>
              <w:t>p/</w:t>
            </w:r>
          </w:p>
        </w:tc>
        <w:tc>
          <w:tcPr>
            <w:tcW w:w="1052" w:type="dxa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</w:tcPr>
          <w:p w14:paraId="61D9C263" w14:textId="77777777" w:rsidR="007A328F" w:rsidRPr="00443B05" w:rsidRDefault="007A328F" w:rsidP="004A1967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E12E91" w:rsidRPr="00433822" w14:paraId="6CA17DBC" w14:textId="77777777" w:rsidTr="00E12E91">
        <w:trPr>
          <w:cantSplit/>
          <w:trHeight w:val="20"/>
          <w:jc w:val="center"/>
        </w:trPr>
        <w:tc>
          <w:tcPr>
            <w:tcW w:w="680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67E02490" w14:textId="08920B16" w:rsidR="00E12E91" w:rsidRPr="00393E6B" w:rsidRDefault="00E12E91" w:rsidP="00E12E91">
            <w:pPr>
              <w:widowControl w:val="0"/>
              <w:spacing w:before="20" w:after="20"/>
              <w:ind w:left="57"/>
              <w:jc w:val="left"/>
              <w:rPr>
                <w:b/>
                <w:spacing w:val="-4"/>
                <w:sz w:val="18"/>
                <w:szCs w:val="18"/>
              </w:rPr>
            </w:pPr>
            <w:r w:rsidRPr="00393E6B">
              <w:rPr>
                <w:b/>
                <w:bCs/>
                <w:spacing w:val="-4"/>
                <w:sz w:val="18"/>
                <w:szCs w:val="18"/>
              </w:rPr>
              <w:t xml:space="preserve">Indicador de Confianza Empresarial </w:t>
            </w:r>
            <w:r w:rsidRPr="007A328F">
              <w:rPr>
                <w:b/>
                <w:bCs/>
                <w:spacing w:val="-4"/>
                <w:sz w:val="18"/>
                <w:szCs w:val="18"/>
              </w:rPr>
              <w:t>de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Comercio</w:t>
            </w:r>
          </w:p>
        </w:tc>
        <w:tc>
          <w:tcPr>
            <w:tcW w:w="1051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</w:tcBorders>
            <w:vAlign w:val="center"/>
          </w:tcPr>
          <w:p w14:paraId="1CE7A55F" w14:textId="4772598F" w:rsidR="00E12E91" w:rsidRPr="00C423A8" w:rsidRDefault="00E12E91" w:rsidP="00E12E91">
            <w:pPr>
              <w:tabs>
                <w:tab w:val="decimal" w:pos="530"/>
              </w:tabs>
              <w:jc w:val="lef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53.7</w:t>
            </w:r>
          </w:p>
        </w:tc>
        <w:tc>
          <w:tcPr>
            <w:tcW w:w="1052" w:type="dxa"/>
            <w:tcBorders>
              <w:top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7DBFE70E" w14:textId="79E1F4D3" w:rsidR="00E12E91" w:rsidRPr="0031067B" w:rsidRDefault="00E12E91" w:rsidP="00E12E91">
            <w:pPr>
              <w:tabs>
                <w:tab w:val="decimal" w:pos="540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55.7</w:t>
            </w:r>
          </w:p>
        </w:tc>
        <w:tc>
          <w:tcPr>
            <w:tcW w:w="1052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460FF11B" w14:textId="2A6091ED" w:rsidR="00E12E91" w:rsidRPr="0031067B" w:rsidRDefault="00E12E91" w:rsidP="00E12E91">
            <w:pPr>
              <w:tabs>
                <w:tab w:val="decimal" w:pos="502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2.1</w:t>
            </w:r>
          </w:p>
        </w:tc>
      </w:tr>
      <w:tr w:rsidR="00E12E91" w:rsidRPr="00433822" w14:paraId="73904F3E" w14:textId="77777777" w:rsidTr="00E12E91">
        <w:trPr>
          <w:cantSplit/>
          <w:trHeight w:val="20"/>
          <w:jc w:val="center"/>
        </w:trPr>
        <w:tc>
          <w:tcPr>
            <w:tcW w:w="6809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A6188D7" w14:textId="4E68332D" w:rsidR="00E12E91" w:rsidRPr="00312A9E" w:rsidRDefault="00E12E91" w:rsidP="00E12E91">
            <w:pPr>
              <w:widowControl w:val="0"/>
              <w:spacing w:before="20" w:after="20"/>
              <w:ind w:left="17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Comercio al por mayor</w:t>
            </w:r>
          </w:p>
        </w:tc>
        <w:tc>
          <w:tcPr>
            <w:tcW w:w="1051" w:type="dxa"/>
            <w:tcBorders>
              <w:left w:val="single" w:sz="4" w:space="0" w:color="404040" w:themeColor="text1" w:themeTint="BF"/>
            </w:tcBorders>
            <w:vAlign w:val="center"/>
          </w:tcPr>
          <w:p w14:paraId="5ACB572D" w14:textId="67D17D7B" w:rsidR="00E12E91" w:rsidRPr="00C423A8" w:rsidRDefault="00E12E91" w:rsidP="00E12E91">
            <w:pPr>
              <w:tabs>
                <w:tab w:val="decimal" w:pos="530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52.8</w:t>
            </w:r>
          </w:p>
        </w:tc>
        <w:tc>
          <w:tcPr>
            <w:tcW w:w="1052" w:type="dxa"/>
            <w:tcBorders>
              <w:right w:val="single" w:sz="4" w:space="0" w:color="404040" w:themeColor="text1" w:themeTint="BF"/>
            </w:tcBorders>
            <w:vAlign w:val="center"/>
          </w:tcPr>
          <w:p w14:paraId="45DC4698" w14:textId="0C92D518" w:rsidR="00E12E91" w:rsidRPr="0031067B" w:rsidRDefault="00E12E91" w:rsidP="00E12E91">
            <w:pPr>
              <w:tabs>
                <w:tab w:val="decimal" w:pos="540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53.8</w:t>
            </w:r>
          </w:p>
        </w:tc>
        <w:tc>
          <w:tcPr>
            <w:tcW w:w="1052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2E8D089E" w14:textId="0BF7B2AB" w:rsidR="00E12E91" w:rsidRPr="0031067B" w:rsidRDefault="00E12E91" w:rsidP="00E12E91">
            <w:pPr>
              <w:tabs>
                <w:tab w:val="decimal" w:pos="502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0.9</w:t>
            </w:r>
          </w:p>
        </w:tc>
      </w:tr>
      <w:tr w:rsidR="00E12E91" w:rsidRPr="00433822" w14:paraId="4869CBDF" w14:textId="77777777" w:rsidTr="00E12E91">
        <w:trPr>
          <w:cantSplit/>
          <w:trHeight w:val="20"/>
          <w:jc w:val="center"/>
        </w:trPr>
        <w:tc>
          <w:tcPr>
            <w:tcW w:w="6809" w:type="dxa"/>
            <w:tcBorders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23CE00F" w14:textId="668D638B" w:rsidR="00E12E91" w:rsidRPr="00312A9E" w:rsidRDefault="00E12E91" w:rsidP="00E12E91">
            <w:pPr>
              <w:widowControl w:val="0"/>
              <w:spacing w:before="20" w:after="20"/>
              <w:ind w:left="17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Comercio al por menor</w:t>
            </w:r>
          </w:p>
        </w:tc>
        <w:tc>
          <w:tcPr>
            <w:tcW w:w="1051" w:type="dxa"/>
            <w:tcBorders>
              <w:left w:val="single" w:sz="4" w:space="0" w:color="404040" w:themeColor="text1" w:themeTint="BF"/>
              <w:bottom w:val="single" w:sz="4" w:space="0" w:color="404040" w:themeColor="text1" w:themeTint="BF"/>
            </w:tcBorders>
            <w:vAlign w:val="center"/>
          </w:tcPr>
          <w:p w14:paraId="746C4D87" w14:textId="3B2C9DE9" w:rsidR="00E12E91" w:rsidRPr="00C423A8" w:rsidRDefault="00E12E91" w:rsidP="00E12E91">
            <w:pPr>
              <w:tabs>
                <w:tab w:val="decimal" w:pos="530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54.7</w:t>
            </w:r>
          </w:p>
        </w:tc>
        <w:tc>
          <w:tcPr>
            <w:tcW w:w="1052" w:type="dxa"/>
            <w:tcBorders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79E72915" w14:textId="1806C7D0" w:rsidR="00E12E91" w:rsidRPr="0031067B" w:rsidRDefault="00E12E91" w:rsidP="00E12E91">
            <w:pPr>
              <w:tabs>
                <w:tab w:val="decimal" w:pos="540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58.1</w:t>
            </w:r>
          </w:p>
        </w:tc>
        <w:tc>
          <w:tcPr>
            <w:tcW w:w="1052" w:type="dxa"/>
            <w:tcBorders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341FF0E8" w14:textId="55FF002A" w:rsidR="00E12E91" w:rsidRPr="0031067B" w:rsidRDefault="00E12E91" w:rsidP="00E12E91">
            <w:pPr>
              <w:tabs>
                <w:tab w:val="decimal" w:pos="502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3.5</w:t>
            </w:r>
          </w:p>
        </w:tc>
      </w:tr>
    </w:tbl>
    <w:p w14:paraId="6DE6B5EC" w14:textId="77777777" w:rsidR="007A328F" w:rsidRPr="00053311" w:rsidRDefault="007A328F" w:rsidP="007A328F">
      <w:pPr>
        <w:widowControl w:val="0"/>
        <w:spacing w:line="180" w:lineRule="exact"/>
        <w:ind w:left="658" w:right="83" w:hanging="533"/>
        <w:rPr>
          <w:sz w:val="16"/>
          <w:szCs w:val="16"/>
        </w:rPr>
      </w:pPr>
      <w:r w:rsidRPr="00053311">
        <w:rPr>
          <w:sz w:val="16"/>
          <w:szCs w:val="16"/>
        </w:rPr>
        <w:t>Nota:</w:t>
      </w:r>
      <w:r w:rsidRPr="00053311">
        <w:rPr>
          <w:sz w:val="16"/>
          <w:szCs w:val="16"/>
        </w:rPr>
        <w:tab/>
      </w:r>
      <w:r w:rsidRPr="00053311">
        <w:rPr>
          <w:sz w:val="16"/>
          <w:szCs w:val="16"/>
          <w:lang w:val="es-MX"/>
        </w:rPr>
        <w:t>Los indicadores se generan con los datos referidos al mes de la entrevista.</w:t>
      </w:r>
    </w:p>
    <w:p w14:paraId="46DE011D" w14:textId="77777777" w:rsidR="007A328F" w:rsidRPr="00312A9E" w:rsidRDefault="007A328F" w:rsidP="007A328F">
      <w:pPr>
        <w:widowControl w:val="0"/>
        <w:spacing w:line="180" w:lineRule="exact"/>
        <w:ind w:left="658" w:right="83" w:hanging="533"/>
        <w:rPr>
          <w:sz w:val="14"/>
          <w:szCs w:val="14"/>
        </w:rPr>
      </w:pPr>
      <w:r w:rsidRPr="00053311">
        <w:rPr>
          <w:sz w:val="18"/>
          <w:szCs w:val="18"/>
          <w:vertAlign w:val="superscript"/>
        </w:rPr>
        <w:t>1/</w:t>
      </w:r>
      <w:r w:rsidRPr="00312A9E">
        <w:rPr>
          <w:sz w:val="14"/>
          <w:szCs w:val="14"/>
        </w:rPr>
        <w:tab/>
      </w:r>
      <w:r w:rsidRPr="00053311">
        <w:rPr>
          <w:sz w:val="16"/>
          <w:szCs w:val="16"/>
        </w:rPr>
        <w:t>Las diferencias en puntos se obtienen de los respectivos indicadores considerando todos sus decimales.</w:t>
      </w:r>
    </w:p>
    <w:p w14:paraId="4AAC46B3" w14:textId="77777777" w:rsidR="007A328F" w:rsidRPr="00312A9E" w:rsidRDefault="007A328F" w:rsidP="007A328F">
      <w:pPr>
        <w:widowControl w:val="0"/>
        <w:spacing w:line="180" w:lineRule="exact"/>
        <w:ind w:left="658" w:right="83" w:hanging="533"/>
        <w:rPr>
          <w:sz w:val="14"/>
          <w:szCs w:val="14"/>
        </w:rPr>
      </w:pPr>
      <w:r w:rsidRPr="00053311">
        <w:rPr>
          <w:sz w:val="18"/>
          <w:szCs w:val="18"/>
          <w:vertAlign w:val="superscript"/>
        </w:rPr>
        <w:t>p/</w:t>
      </w:r>
      <w:r w:rsidRPr="00312A9E">
        <w:rPr>
          <w:sz w:val="14"/>
          <w:szCs w:val="14"/>
        </w:rPr>
        <w:tab/>
      </w:r>
      <w:r w:rsidRPr="009D4821">
        <w:rPr>
          <w:sz w:val="16"/>
          <w:szCs w:val="16"/>
        </w:rPr>
        <w:t>Dato preliminar</w:t>
      </w:r>
    </w:p>
    <w:p w14:paraId="7BB270D7" w14:textId="4A1E3F4D" w:rsidR="00EA63C3" w:rsidRDefault="007A328F" w:rsidP="00903C8C">
      <w:pPr>
        <w:widowControl w:val="0"/>
        <w:spacing w:line="180" w:lineRule="exact"/>
        <w:ind w:left="658" w:right="83" w:hanging="533"/>
        <w:rPr>
          <w:snapToGrid w:val="0"/>
          <w:sz w:val="20"/>
          <w:szCs w:val="22"/>
        </w:rPr>
      </w:pPr>
      <w:r w:rsidRPr="00053311">
        <w:rPr>
          <w:sz w:val="16"/>
          <w:szCs w:val="16"/>
        </w:rPr>
        <w:t>Fuente:</w:t>
      </w:r>
      <w:r w:rsidRPr="00312A9E">
        <w:rPr>
          <w:sz w:val="14"/>
          <w:szCs w:val="14"/>
        </w:rPr>
        <w:tab/>
      </w:r>
      <w:r w:rsidRPr="009F5C79">
        <w:rPr>
          <w:sz w:val="16"/>
          <w:szCs w:val="16"/>
        </w:rPr>
        <w:t>INE</w:t>
      </w:r>
      <w:r w:rsidRPr="00A7546A">
        <w:rPr>
          <w:sz w:val="16"/>
          <w:szCs w:val="16"/>
        </w:rPr>
        <w:t>GI</w:t>
      </w:r>
      <w:r w:rsidR="008D59D2" w:rsidRPr="00A7546A">
        <w:rPr>
          <w:smallCaps/>
          <w:sz w:val="16"/>
          <w:szCs w:val="16"/>
        </w:rPr>
        <w:t>.</w:t>
      </w:r>
      <w:r w:rsidR="008D59D2" w:rsidRPr="00A7546A">
        <w:rPr>
          <w:sz w:val="16"/>
          <w:szCs w:val="16"/>
        </w:rPr>
        <w:t xml:space="preserve"> Encuesta Mensual de Opinión Empresarial (EMOE)</w:t>
      </w:r>
      <w:r w:rsidR="00EA63C3">
        <w:rPr>
          <w:sz w:val="16"/>
          <w:szCs w:val="16"/>
        </w:rPr>
        <w:t>,</w:t>
      </w:r>
      <w:r w:rsidR="008D59D2" w:rsidRPr="00A7546A">
        <w:rPr>
          <w:sz w:val="16"/>
          <w:szCs w:val="16"/>
        </w:rPr>
        <w:t xml:space="preserve"> 2023.</w:t>
      </w:r>
    </w:p>
    <w:p w14:paraId="091BD2B3" w14:textId="213B5180" w:rsidR="00AA3A06" w:rsidRDefault="00AA3A06" w:rsidP="00903C8C">
      <w:pPr>
        <w:widowControl w:val="0"/>
        <w:spacing w:before="240"/>
        <w:jc w:val="center"/>
        <w:rPr>
          <w:b/>
          <w:smallCaps/>
          <w:sz w:val="22"/>
          <w:szCs w:val="22"/>
        </w:rPr>
      </w:pPr>
      <w:r w:rsidRPr="00070539">
        <w:rPr>
          <w:snapToGrid w:val="0"/>
          <w:sz w:val="20"/>
          <w:szCs w:val="22"/>
        </w:rPr>
        <w:t xml:space="preserve">Cuadro </w:t>
      </w:r>
      <w:r w:rsidR="007A328F">
        <w:rPr>
          <w:snapToGrid w:val="0"/>
          <w:sz w:val="20"/>
          <w:szCs w:val="22"/>
        </w:rPr>
        <w:t>8</w:t>
      </w:r>
    </w:p>
    <w:p w14:paraId="56F890CF" w14:textId="218C4D96" w:rsidR="009C4204" w:rsidRDefault="00044DA6" w:rsidP="00AA3A06">
      <w:pPr>
        <w:widowControl w:val="0"/>
        <w:jc w:val="center"/>
        <w:rPr>
          <w:b/>
          <w:smallCaps/>
          <w:sz w:val="22"/>
          <w:szCs w:val="22"/>
        </w:rPr>
      </w:pPr>
      <w:r w:rsidRPr="00312A9E">
        <w:rPr>
          <w:b/>
          <w:smallCaps/>
          <w:sz w:val="22"/>
          <w:szCs w:val="22"/>
        </w:rPr>
        <w:t xml:space="preserve">Indicador de </w:t>
      </w:r>
      <w:r w:rsidR="00B4487F">
        <w:rPr>
          <w:b/>
          <w:smallCaps/>
          <w:sz w:val="22"/>
          <w:szCs w:val="22"/>
        </w:rPr>
        <w:t>C</w:t>
      </w:r>
      <w:r w:rsidRPr="00312A9E">
        <w:rPr>
          <w:b/>
          <w:smallCaps/>
          <w:sz w:val="22"/>
          <w:szCs w:val="22"/>
        </w:rPr>
        <w:t xml:space="preserve">onfianza </w:t>
      </w:r>
      <w:r w:rsidR="00B4487F">
        <w:rPr>
          <w:b/>
          <w:smallCaps/>
          <w:sz w:val="22"/>
          <w:szCs w:val="22"/>
        </w:rPr>
        <w:t>E</w:t>
      </w:r>
      <w:r w:rsidRPr="00312A9E">
        <w:rPr>
          <w:b/>
          <w:smallCaps/>
          <w:sz w:val="22"/>
          <w:szCs w:val="22"/>
        </w:rPr>
        <w:t>mpresarial</w:t>
      </w:r>
      <w:r w:rsidR="009C4204">
        <w:rPr>
          <w:b/>
          <w:smallCaps/>
          <w:sz w:val="22"/>
          <w:szCs w:val="22"/>
        </w:rPr>
        <w:t xml:space="preserve"> </w:t>
      </w:r>
      <w:r w:rsidRPr="00312A9E">
        <w:rPr>
          <w:b/>
          <w:smallCaps/>
          <w:sz w:val="22"/>
          <w:szCs w:val="22"/>
        </w:rPr>
        <w:t xml:space="preserve">de </w:t>
      </w:r>
    </w:p>
    <w:p w14:paraId="091BD2B4" w14:textId="6FC440D8" w:rsidR="00044DA6" w:rsidRPr="00312A9E" w:rsidRDefault="00AE54A2" w:rsidP="00AA3A06">
      <w:pPr>
        <w:widowControl w:val="0"/>
        <w:jc w:val="center"/>
        <w:rPr>
          <w:b/>
          <w:smallCaps/>
          <w:sz w:val="22"/>
          <w:lang w:val="es-MX"/>
        </w:rPr>
      </w:pPr>
      <w:r>
        <w:rPr>
          <w:b/>
          <w:smallCaps/>
          <w:sz w:val="22"/>
          <w:szCs w:val="22"/>
        </w:rPr>
        <w:t>S</w:t>
      </w:r>
      <w:r w:rsidR="00044DA6" w:rsidRPr="00312A9E">
        <w:rPr>
          <w:b/>
          <w:smallCaps/>
          <w:sz w:val="22"/>
          <w:szCs w:val="22"/>
        </w:rPr>
        <w:t>ervicios privados no financieros</w:t>
      </w:r>
      <w:r w:rsidR="00842C82">
        <w:rPr>
          <w:b/>
          <w:smallCaps/>
          <w:sz w:val="22"/>
          <w:szCs w:val="22"/>
        </w:rPr>
        <w:t xml:space="preserve"> </w:t>
      </w:r>
      <w:r w:rsidR="00044DA6" w:rsidRPr="00312A9E">
        <w:rPr>
          <w:b/>
          <w:smallCaps/>
          <w:sz w:val="22"/>
          <w:szCs w:val="22"/>
        </w:rPr>
        <w:t xml:space="preserve">por grupos de sectores </w:t>
      </w:r>
      <w:r w:rsidR="00044DA6" w:rsidRPr="00312A9E">
        <w:rPr>
          <w:b/>
          <w:smallCaps/>
          <w:sz w:val="22"/>
          <w:lang w:val="es-MX"/>
        </w:rPr>
        <w:t>de actividad</w:t>
      </w:r>
    </w:p>
    <w:p w14:paraId="091BD2B5" w14:textId="77777777" w:rsidR="00044DA6" w:rsidRDefault="00C25449" w:rsidP="00044DA6">
      <w:pPr>
        <w:widowControl w:val="0"/>
        <w:jc w:val="center"/>
        <w:outlineLvl w:val="0"/>
        <w:rPr>
          <w:b/>
          <w:smallCaps/>
          <w:sz w:val="20"/>
          <w:szCs w:val="20"/>
        </w:rPr>
      </w:pPr>
      <w:r w:rsidRPr="00C46468">
        <w:rPr>
          <w:b/>
          <w:smallCaps/>
          <w:sz w:val="20"/>
          <w:szCs w:val="20"/>
        </w:rPr>
        <w:t>c</w:t>
      </w:r>
      <w:r w:rsidR="00044DA6" w:rsidRPr="00C46468">
        <w:rPr>
          <w:b/>
          <w:smallCaps/>
          <w:sz w:val="20"/>
          <w:szCs w:val="20"/>
        </w:rPr>
        <w:t>ifras originales</w:t>
      </w:r>
    </w:p>
    <w:p w14:paraId="4DA01D97" w14:textId="694E46EF" w:rsidR="00EA63C3" w:rsidRPr="007267B6" w:rsidRDefault="00EA63C3" w:rsidP="00EA63C3">
      <w:pPr>
        <w:widowControl w:val="0"/>
        <w:jc w:val="center"/>
        <w:outlineLvl w:val="0"/>
        <w:rPr>
          <w:bCs/>
          <w:sz w:val="18"/>
          <w:szCs w:val="18"/>
        </w:rPr>
      </w:pPr>
      <w:r w:rsidRPr="007267B6">
        <w:rPr>
          <w:bCs/>
          <w:sz w:val="18"/>
          <w:szCs w:val="18"/>
        </w:rPr>
        <w:t>(Puntos)</w:t>
      </w:r>
    </w:p>
    <w:tbl>
      <w:tblPr>
        <w:tblW w:w="5000" w:type="pct"/>
        <w:jc w:val="center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9"/>
        <w:gridCol w:w="1051"/>
        <w:gridCol w:w="1052"/>
        <w:gridCol w:w="1052"/>
      </w:tblGrid>
      <w:tr w:rsidR="00044DA6" w:rsidRPr="00443B05" w14:paraId="091BD2B9" w14:textId="77777777" w:rsidTr="00BE2C88">
        <w:trPr>
          <w:cantSplit/>
          <w:trHeight w:val="285"/>
          <w:jc w:val="center"/>
        </w:trPr>
        <w:tc>
          <w:tcPr>
            <w:tcW w:w="6809" w:type="dxa"/>
            <w:vMerge w:val="restart"/>
            <w:shd w:val="clear" w:color="auto" w:fill="CCCCFF"/>
            <w:vAlign w:val="center"/>
          </w:tcPr>
          <w:p w14:paraId="091BD2B6" w14:textId="77777777" w:rsidR="00044DA6" w:rsidRPr="00443B05" w:rsidRDefault="00044DA6" w:rsidP="00044DA6">
            <w:pPr>
              <w:widowControl w:val="0"/>
              <w:spacing w:before="20" w:after="20"/>
              <w:ind w:left="113"/>
              <w:rPr>
                <w:sz w:val="18"/>
                <w:szCs w:val="18"/>
              </w:rPr>
            </w:pPr>
            <w:bookmarkStart w:id="5" w:name="OLE_LINK6"/>
            <w:r w:rsidRPr="00443B05">
              <w:rPr>
                <w:sz w:val="18"/>
                <w:szCs w:val="18"/>
              </w:rPr>
              <w:t xml:space="preserve">Grupos </w:t>
            </w:r>
          </w:p>
        </w:tc>
        <w:tc>
          <w:tcPr>
            <w:tcW w:w="2103" w:type="dxa"/>
            <w:gridSpan w:val="2"/>
            <w:shd w:val="clear" w:color="auto" w:fill="CCCCFF"/>
            <w:vAlign w:val="center"/>
          </w:tcPr>
          <w:p w14:paraId="091BD2B7" w14:textId="31975409" w:rsidR="00044DA6" w:rsidRPr="00443B05" w:rsidRDefault="008D59D2" w:rsidP="00AA3A06">
            <w:pPr>
              <w:widowControl w:val="0"/>
              <w:spacing w:before="20" w:after="2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1052" w:type="dxa"/>
            <w:vMerge w:val="restart"/>
            <w:shd w:val="clear" w:color="auto" w:fill="CCCCFF"/>
            <w:vAlign w:val="center"/>
          </w:tcPr>
          <w:p w14:paraId="091BD2B8" w14:textId="239FD63A" w:rsidR="00044DA6" w:rsidRPr="00443B05" w:rsidRDefault="00044DA6" w:rsidP="00044DA6">
            <w:pPr>
              <w:widowControl w:val="0"/>
              <w:spacing w:before="20" w:after="20"/>
              <w:ind w:left="-57" w:right="-45"/>
              <w:jc w:val="center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 xml:space="preserve">Diferencia </w:t>
            </w:r>
            <w:r>
              <w:rPr>
                <w:sz w:val="18"/>
                <w:szCs w:val="18"/>
              </w:rPr>
              <w:br/>
            </w:r>
            <w:r w:rsidR="002D6136">
              <w:rPr>
                <w:sz w:val="18"/>
                <w:szCs w:val="18"/>
              </w:rPr>
              <w:t>anual</w:t>
            </w:r>
            <w:r w:rsidRPr="009D4821">
              <w:rPr>
                <w:position w:val="6"/>
                <w:sz w:val="18"/>
                <w:szCs w:val="18"/>
                <w:vertAlign w:val="superscript"/>
              </w:rPr>
              <w:t>1/</w:t>
            </w:r>
          </w:p>
        </w:tc>
      </w:tr>
      <w:tr w:rsidR="00044DA6" w:rsidRPr="00443B05" w14:paraId="091BD2BE" w14:textId="77777777" w:rsidTr="00BE2C88">
        <w:trPr>
          <w:cantSplit/>
          <w:trHeight w:val="285"/>
          <w:jc w:val="center"/>
        </w:trPr>
        <w:tc>
          <w:tcPr>
            <w:tcW w:w="6809" w:type="dxa"/>
            <w:vMerge/>
            <w:tcBorders>
              <w:bottom w:val="single" w:sz="4" w:space="0" w:color="404040"/>
            </w:tcBorders>
            <w:shd w:val="clear" w:color="auto" w:fill="CCCCFF"/>
            <w:vAlign w:val="center"/>
          </w:tcPr>
          <w:p w14:paraId="091BD2BA" w14:textId="77777777" w:rsidR="00044DA6" w:rsidRPr="00443B05" w:rsidRDefault="00044DA6" w:rsidP="00044DA6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bottom w:val="single" w:sz="4" w:space="0" w:color="404040"/>
            </w:tcBorders>
            <w:shd w:val="clear" w:color="auto" w:fill="CCCCFF"/>
            <w:vAlign w:val="center"/>
          </w:tcPr>
          <w:p w14:paraId="091BD2BB" w14:textId="5703EA96" w:rsidR="00044DA6" w:rsidRPr="00443B05" w:rsidRDefault="008A154C" w:rsidP="00AA3A06">
            <w:pPr>
              <w:widowControl w:val="0"/>
              <w:spacing w:before="20" w:after="20"/>
              <w:ind w:left="-68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F8295B">
              <w:rPr>
                <w:sz w:val="18"/>
                <w:szCs w:val="18"/>
              </w:rPr>
              <w:t>2</w:t>
            </w:r>
          </w:p>
        </w:tc>
        <w:tc>
          <w:tcPr>
            <w:tcW w:w="1052" w:type="dxa"/>
            <w:tcBorders>
              <w:bottom w:val="single" w:sz="4" w:space="0" w:color="404040"/>
            </w:tcBorders>
            <w:shd w:val="clear" w:color="auto" w:fill="CCCCFF"/>
            <w:vAlign w:val="center"/>
          </w:tcPr>
          <w:p w14:paraId="091BD2BC" w14:textId="028C1D6C" w:rsidR="00044DA6" w:rsidRPr="00443B05" w:rsidRDefault="008A154C" w:rsidP="00AA3A06">
            <w:pPr>
              <w:widowControl w:val="0"/>
              <w:spacing w:before="20" w:after="20"/>
              <w:ind w:left="-68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F8295B">
              <w:rPr>
                <w:sz w:val="18"/>
                <w:szCs w:val="18"/>
              </w:rPr>
              <w:t>3</w:t>
            </w:r>
            <w:r w:rsidR="00044DA6" w:rsidRPr="009D4821">
              <w:rPr>
                <w:position w:val="6"/>
                <w:sz w:val="18"/>
                <w:szCs w:val="18"/>
                <w:vertAlign w:val="superscript"/>
              </w:rPr>
              <w:t>p/</w:t>
            </w:r>
          </w:p>
        </w:tc>
        <w:tc>
          <w:tcPr>
            <w:tcW w:w="1052" w:type="dxa"/>
            <w:vMerge/>
            <w:tcBorders>
              <w:bottom w:val="single" w:sz="4" w:space="0" w:color="404040"/>
            </w:tcBorders>
            <w:shd w:val="clear" w:color="auto" w:fill="CCCCFF"/>
          </w:tcPr>
          <w:p w14:paraId="091BD2BD" w14:textId="77777777" w:rsidR="00044DA6" w:rsidRPr="00443B05" w:rsidRDefault="00044DA6" w:rsidP="00044DA6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E12E91" w:rsidRPr="00433822" w14:paraId="091BD2C3" w14:textId="77777777" w:rsidTr="00E12E91">
        <w:trPr>
          <w:cantSplit/>
          <w:trHeight w:val="20"/>
          <w:jc w:val="center"/>
        </w:trPr>
        <w:tc>
          <w:tcPr>
            <w:tcW w:w="6809" w:type="dxa"/>
            <w:tcBorders>
              <w:bottom w:val="nil"/>
            </w:tcBorders>
            <w:vAlign w:val="center"/>
          </w:tcPr>
          <w:p w14:paraId="091BD2BF" w14:textId="235BD085" w:rsidR="00E12E91" w:rsidRPr="00393E6B" w:rsidRDefault="00E12E91" w:rsidP="00E12E91">
            <w:pPr>
              <w:widowControl w:val="0"/>
              <w:spacing w:before="20" w:after="20"/>
              <w:ind w:left="57"/>
              <w:jc w:val="left"/>
              <w:rPr>
                <w:b/>
                <w:spacing w:val="-4"/>
                <w:sz w:val="18"/>
                <w:szCs w:val="18"/>
              </w:rPr>
            </w:pPr>
            <w:r w:rsidRPr="00393E6B">
              <w:rPr>
                <w:b/>
                <w:bCs/>
                <w:spacing w:val="-4"/>
                <w:sz w:val="18"/>
                <w:szCs w:val="18"/>
              </w:rPr>
              <w:t>Indicador de Confianza Empresarial de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393E6B">
              <w:rPr>
                <w:b/>
                <w:bCs/>
                <w:spacing w:val="-4"/>
                <w:sz w:val="18"/>
                <w:szCs w:val="18"/>
              </w:rPr>
              <w:t xml:space="preserve">Servicios </w:t>
            </w:r>
            <w:r>
              <w:rPr>
                <w:b/>
                <w:bCs/>
                <w:spacing w:val="-4"/>
                <w:sz w:val="18"/>
                <w:szCs w:val="18"/>
              </w:rPr>
              <w:t>p</w:t>
            </w:r>
            <w:r w:rsidRPr="00393E6B">
              <w:rPr>
                <w:b/>
                <w:bCs/>
                <w:spacing w:val="-4"/>
                <w:sz w:val="18"/>
                <w:szCs w:val="18"/>
              </w:rPr>
              <w:t xml:space="preserve">rivados no </w:t>
            </w:r>
            <w:r>
              <w:rPr>
                <w:b/>
                <w:bCs/>
                <w:spacing w:val="-4"/>
                <w:sz w:val="18"/>
                <w:szCs w:val="18"/>
              </w:rPr>
              <w:t>f</w:t>
            </w:r>
            <w:r w:rsidRPr="00393E6B">
              <w:rPr>
                <w:b/>
                <w:bCs/>
                <w:spacing w:val="-4"/>
                <w:sz w:val="18"/>
                <w:szCs w:val="18"/>
              </w:rPr>
              <w:t>inancieros</w:t>
            </w:r>
          </w:p>
        </w:tc>
        <w:tc>
          <w:tcPr>
            <w:tcW w:w="1051" w:type="dxa"/>
            <w:tcBorders>
              <w:bottom w:val="nil"/>
              <w:right w:val="nil"/>
            </w:tcBorders>
            <w:vAlign w:val="center"/>
          </w:tcPr>
          <w:p w14:paraId="091BD2C0" w14:textId="594C0899" w:rsidR="00E12E91" w:rsidRPr="00925462" w:rsidRDefault="00E12E91" w:rsidP="00E12E91">
            <w:pPr>
              <w:tabs>
                <w:tab w:val="decimal" w:pos="542"/>
              </w:tabs>
              <w:jc w:val="lef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43.1</w:t>
            </w:r>
          </w:p>
        </w:tc>
        <w:tc>
          <w:tcPr>
            <w:tcW w:w="1052" w:type="dxa"/>
            <w:tcBorders>
              <w:left w:val="nil"/>
              <w:bottom w:val="nil"/>
            </w:tcBorders>
            <w:vAlign w:val="center"/>
          </w:tcPr>
          <w:p w14:paraId="091BD2C1" w14:textId="00D2AAC9" w:rsidR="00E12E91" w:rsidRPr="00925462" w:rsidRDefault="00E12E91" w:rsidP="00E12E91">
            <w:pPr>
              <w:tabs>
                <w:tab w:val="decimal" w:pos="540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58.7</w:t>
            </w:r>
          </w:p>
        </w:tc>
        <w:tc>
          <w:tcPr>
            <w:tcW w:w="1052" w:type="dxa"/>
            <w:tcBorders>
              <w:bottom w:val="nil"/>
            </w:tcBorders>
            <w:vAlign w:val="center"/>
          </w:tcPr>
          <w:p w14:paraId="091BD2C2" w14:textId="56C6A930" w:rsidR="00E12E91" w:rsidRPr="00925462" w:rsidRDefault="00E12E91" w:rsidP="00E12E91">
            <w:pPr>
              <w:tabs>
                <w:tab w:val="decimal" w:pos="540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15.6</w:t>
            </w:r>
          </w:p>
        </w:tc>
      </w:tr>
      <w:tr w:rsidR="00E12E91" w:rsidRPr="00433822" w14:paraId="091BD2C8" w14:textId="77777777" w:rsidTr="00E12E91">
        <w:trPr>
          <w:cantSplit/>
          <w:trHeight w:val="20"/>
          <w:jc w:val="center"/>
        </w:trPr>
        <w:tc>
          <w:tcPr>
            <w:tcW w:w="6809" w:type="dxa"/>
            <w:tcBorders>
              <w:top w:val="nil"/>
              <w:bottom w:val="nil"/>
            </w:tcBorders>
            <w:vAlign w:val="center"/>
          </w:tcPr>
          <w:p w14:paraId="091BD2C4" w14:textId="77777777" w:rsidR="00E12E91" w:rsidRPr="00312A9E" w:rsidRDefault="00E12E91" w:rsidP="00E12E91">
            <w:pPr>
              <w:widowControl w:val="0"/>
              <w:spacing w:before="20" w:after="20"/>
              <w:ind w:left="170"/>
              <w:jc w:val="left"/>
              <w:rPr>
                <w:sz w:val="18"/>
                <w:szCs w:val="18"/>
              </w:rPr>
            </w:pPr>
            <w:r w:rsidRPr="00312A9E">
              <w:rPr>
                <w:sz w:val="18"/>
                <w:szCs w:val="18"/>
              </w:rPr>
              <w:t>Transportes, correo y almacenamiento</w:t>
            </w:r>
          </w:p>
        </w:tc>
        <w:tc>
          <w:tcPr>
            <w:tcW w:w="1051" w:type="dxa"/>
            <w:tcBorders>
              <w:top w:val="nil"/>
              <w:bottom w:val="nil"/>
              <w:right w:val="nil"/>
            </w:tcBorders>
            <w:vAlign w:val="center"/>
          </w:tcPr>
          <w:p w14:paraId="091BD2C5" w14:textId="5304046C" w:rsidR="00E12E91" w:rsidRPr="00925462" w:rsidRDefault="00E12E91" w:rsidP="00E12E91">
            <w:pPr>
              <w:tabs>
                <w:tab w:val="decimal" w:pos="542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44.3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</w:tcBorders>
            <w:vAlign w:val="center"/>
          </w:tcPr>
          <w:p w14:paraId="091BD2C6" w14:textId="66D8FEE1" w:rsidR="00E12E91" w:rsidRPr="00925462" w:rsidRDefault="00E12E91" w:rsidP="00E12E91">
            <w:pPr>
              <w:tabs>
                <w:tab w:val="decimal" w:pos="540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63.1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vAlign w:val="center"/>
          </w:tcPr>
          <w:p w14:paraId="091BD2C7" w14:textId="5F13A56A" w:rsidR="00E12E91" w:rsidRPr="00925462" w:rsidRDefault="00E12E91" w:rsidP="00E12E91">
            <w:pPr>
              <w:tabs>
                <w:tab w:val="decimal" w:pos="540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18.7</w:t>
            </w:r>
          </w:p>
        </w:tc>
      </w:tr>
      <w:tr w:rsidR="00E12E91" w:rsidRPr="00433822" w14:paraId="091BD2CD" w14:textId="77777777" w:rsidTr="00E12E91">
        <w:trPr>
          <w:cantSplit/>
          <w:trHeight w:val="20"/>
          <w:jc w:val="center"/>
        </w:trPr>
        <w:tc>
          <w:tcPr>
            <w:tcW w:w="6809" w:type="dxa"/>
            <w:tcBorders>
              <w:top w:val="nil"/>
              <w:bottom w:val="nil"/>
            </w:tcBorders>
            <w:vAlign w:val="center"/>
          </w:tcPr>
          <w:p w14:paraId="091BD2C9" w14:textId="77777777" w:rsidR="00E12E91" w:rsidRPr="00312A9E" w:rsidRDefault="00E12E91" w:rsidP="00E12E91">
            <w:pPr>
              <w:widowControl w:val="0"/>
              <w:spacing w:before="20" w:after="20"/>
              <w:ind w:left="170"/>
              <w:jc w:val="left"/>
              <w:rPr>
                <w:sz w:val="18"/>
                <w:szCs w:val="18"/>
              </w:rPr>
            </w:pPr>
            <w:r w:rsidRPr="00312A9E">
              <w:rPr>
                <w:sz w:val="18"/>
                <w:szCs w:val="18"/>
              </w:rPr>
              <w:t>Información en med</w:t>
            </w:r>
            <w:r>
              <w:rPr>
                <w:sz w:val="18"/>
                <w:szCs w:val="18"/>
              </w:rPr>
              <w:t>i</w:t>
            </w:r>
            <w:r w:rsidRPr="00312A9E">
              <w:rPr>
                <w:sz w:val="18"/>
                <w:szCs w:val="18"/>
              </w:rPr>
              <w:t>os masivos</w:t>
            </w:r>
          </w:p>
        </w:tc>
        <w:tc>
          <w:tcPr>
            <w:tcW w:w="1051" w:type="dxa"/>
            <w:tcBorders>
              <w:top w:val="nil"/>
              <w:bottom w:val="nil"/>
              <w:right w:val="nil"/>
            </w:tcBorders>
            <w:vAlign w:val="center"/>
          </w:tcPr>
          <w:p w14:paraId="091BD2CA" w14:textId="7A5F849F" w:rsidR="00E12E91" w:rsidRPr="00925462" w:rsidRDefault="00E12E91" w:rsidP="00E12E91">
            <w:pPr>
              <w:tabs>
                <w:tab w:val="decimal" w:pos="542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38.0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</w:tcBorders>
            <w:vAlign w:val="center"/>
          </w:tcPr>
          <w:p w14:paraId="091BD2CB" w14:textId="045160BD" w:rsidR="00E12E91" w:rsidRPr="00925462" w:rsidRDefault="00E12E91" w:rsidP="00E12E91">
            <w:pPr>
              <w:tabs>
                <w:tab w:val="decimal" w:pos="540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57.2</w:t>
            </w:r>
          </w:p>
        </w:tc>
        <w:tc>
          <w:tcPr>
            <w:tcW w:w="1052" w:type="dxa"/>
            <w:tcBorders>
              <w:top w:val="nil"/>
              <w:bottom w:val="nil"/>
            </w:tcBorders>
            <w:vAlign w:val="center"/>
          </w:tcPr>
          <w:p w14:paraId="091BD2CC" w14:textId="29D7E4E9" w:rsidR="00E12E91" w:rsidRPr="00925462" w:rsidRDefault="00E12E91" w:rsidP="00E12E91">
            <w:pPr>
              <w:tabs>
                <w:tab w:val="decimal" w:pos="540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19.2</w:t>
            </w:r>
          </w:p>
        </w:tc>
      </w:tr>
      <w:tr w:rsidR="00E12E91" w:rsidRPr="00433822" w14:paraId="091BD2D2" w14:textId="77777777" w:rsidTr="00E12E91">
        <w:trPr>
          <w:cantSplit/>
          <w:trHeight w:val="20"/>
          <w:jc w:val="center"/>
        </w:trPr>
        <w:tc>
          <w:tcPr>
            <w:tcW w:w="6809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91BD2CE" w14:textId="47D173EA" w:rsidR="00E12E91" w:rsidRPr="00283A66" w:rsidRDefault="00E12E91" w:rsidP="00E12E91">
            <w:pPr>
              <w:widowControl w:val="0"/>
              <w:spacing w:before="20"/>
              <w:ind w:left="170"/>
              <w:jc w:val="left"/>
              <w:rPr>
                <w:sz w:val="18"/>
                <w:szCs w:val="18"/>
              </w:rPr>
            </w:pPr>
            <w:r w:rsidRPr="00283A66">
              <w:rPr>
                <w:sz w:val="18"/>
                <w:szCs w:val="18"/>
              </w:rPr>
              <w:t xml:space="preserve">Servicios profesionales, científicos y técnicos, y </w:t>
            </w:r>
            <w:r>
              <w:rPr>
                <w:sz w:val="18"/>
                <w:szCs w:val="18"/>
              </w:rPr>
              <w:t>s</w:t>
            </w:r>
            <w:r w:rsidRPr="00EE24EF">
              <w:rPr>
                <w:sz w:val="18"/>
                <w:szCs w:val="18"/>
              </w:rPr>
              <w:t>ervicios de apoyo a los negocios y manejo de residuos, y servicios de remediación</w:t>
            </w:r>
          </w:p>
        </w:tc>
        <w:tc>
          <w:tcPr>
            <w:tcW w:w="1051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91BD2CF" w14:textId="6B67CA3A" w:rsidR="00E12E91" w:rsidRPr="00283A66" w:rsidRDefault="00E12E91" w:rsidP="00E12E91">
            <w:pPr>
              <w:tabs>
                <w:tab w:val="decimal" w:pos="542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44.8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091BD2D0" w14:textId="524633FA" w:rsidR="00E12E91" w:rsidRPr="00283A66" w:rsidRDefault="00E12E91" w:rsidP="00E12E91">
            <w:pPr>
              <w:tabs>
                <w:tab w:val="decimal" w:pos="540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56.6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91BD2D1" w14:textId="6CEFED20" w:rsidR="00E12E91" w:rsidRPr="00283A66" w:rsidRDefault="00E12E91" w:rsidP="00E12E91">
            <w:pPr>
              <w:tabs>
                <w:tab w:val="decimal" w:pos="540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11.9</w:t>
            </w:r>
          </w:p>
        </w:tc>
      </w:tr>
      <w:tr w:rsidR="00E12E91" w:rsidRPr="00433822" w14:paraId="091BD2DC" w14:textId="77777777" w:rsidTr="00E12E91">
        <w:trPr>
          <w:cantSplit/>
          <w:trHeight w:val="20"/>
          <w:jc w:val="center"/>
        </w:trPr>
        <w:tc>
          <w:tcPr>
            <w:tcW w:w="6809" w:type="dxa"/>
            <w:tcBorders>
              <w:top w:val="nil"/>
              <w:bottom w:val="nil"/>
            </w:tcBorders>
            <w:vAlign w:val="center"/>
          </w:tcPr>
          <w:p w14:paraId="091BD2D8" w14:textId="77777777" w:rsidR="00E12E91" w:rsidRPr="00312A9E" w:rsidRDefault="00E12E91" w:rsidP="00E12E91">
            <w:pPr>
              <w:widowControl w:val="0"/>
              <w:spacing w:before="20" w:after="20"/>
              <w:ind w:left="170"/>
              <w:jc w:val="left"/>
              <w:rPr>
                <w:sz w:val="18"/>
                <w:szCs w:val="18"/>
              </w:rPr>
            </w:pPr>
            <w:r w:rsidRPr="00312A9E">
              <w:rPr>
                <w:sz w:val="18"/>
                <w:szCs w:val="18"/>
              </w:rPr>
              <w:t>Servicios de alojamiento temporal y de preparación de alimentos y bebidas</w:t>
            </w:r>
          </w:p>
        </w:tc>
        <w:tc>
          <w:tcPr>
            <w:tcW w:w="1051" w:type="dxa"/>
            <w:tcBorders>
              <w:top w:val="nil"/>
              <w:bottom w:val="nil"/>
              <w:right w:val="nil"/>
            </w:tcBorders>
            <w:vAlign w:val="center"/>
          </w:tcPr>
          <w:p w14:paraId="091BD2D9" w14:textId="1130D56D" w:rsidR="00E12E91" w:rsidRPr="00925462" w:rsidRDefault="00E12E91" w:rsidP="00E12E91">
            <w:pPr>
              <w:tabs>
                <w:tab w:val="decimal" w:pos="542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43.1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</w:tcBorders>
            <w:vAlign w:val="center"/>
          </w:tcPr>
          <w:p w14:paraId="091BD2DA" w14:textId="3AFD52E9" w:rsidR="00E12E91" w:rsidRPr="00925462" w:rsidRDefault="00E12E91" w:rsidP="00E12E91">
            <w:pPr>
              <w:tabs>
                <w:tab w:val="decimal" w:pos="540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60.2</w:t>
            </w:r>
          </w:p>
        </w:tc>
        <w:tc>
          <w:tcPr>
            <w:tcW w:w="1052" w:type="dxa"/>
            <w:tcBorders>
              <w:top w:val="nil"/>
              <w:bottom w:val="nil"/>
            </w:tcBorders>
            <w:vAlign w:val="center"/>
          </w:tcPr>
          <w:p w14:paraId="091BD2DB" w14:textId="1873CC0A" w:rsidR="00E12E91" w:rsidRPr="00925462" w:rsidRDefault="00E12E91" w:rsidP="00E12E91">
            <w:pPr>
              <w:tabs>
                <w:tab w:val="decimal" w:pos="540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17.1</w:t>
            </w:r>
          </w:p>
        </w:tc>
      </w:tr>
      <w:tr w:rsidR="00E12E91" w:rsidRPr="00433822" w14:paraId="091BD2E1" w14:textId="77777777" w:rsidTr="00E12E91">
        <w:trPr>
          <w:cantSplit/>
          <w:trHeight w:val="20"/>
          <w:jc w:val="center"/>
        </w:trPr>
        <w:tc>
          <w:tcPr>
            <w:tcW w:w="6809" w:type="dxa"/>
            <w:tcBorders>
              <w:top w:val="nil"/>
            </w:tcBorders>
            <w:vAlign w:val="center"/>
          </w:tcPr>
          <w:p w14:paraId="091BD2DD" w14:textId="00910873" w:rsidR="00E12E91" w:rsidRPr="00312A9E" w:rsidRDefault="00E12E91" w:rsidP="00E12E91">
            <w:pPr>
              <w:widowControl w:val="0"/>
              <w:spacing w:before="20" w:after="20"/>
              <w:ind w:left="170"/>
              <w:jc w:val="left"/>
              <w:rPr>
                <w:sz w:val="18"/>
                <w:szCs w:val="18"/>
              </w:rPr>
            </w:pPr>
            <w:r w:rsidRPr="00312A9E">
              <w:rPr>
                <w:sz w:val="18"/>
                <w:szCs w:val="18"/>
              </w:rPr>
              <w:t xml:space="preserve">Otros </w:t>
            </w:r>
            <w:r w:rsidR="00B32064">
              <w:rPr>
                <w:sz w:val="18"/>
                <w:szCs w:val="18"/>
              </w:rPr>
              <w:t>s</w:t>
            </w:r>
            <w:r w:rsidRPr="00312A9E">
              <w:rPr>
                <w:sz w:val="18"/>
                <w:szCs w:val="18"/>
              </w:rPr>
              <w:t>ervicios</w:t>
            </w:r>
            <w:r w:rsidRPr="00312A9E">
              <w:rPr>
                <w:sz w:val="18"/>
                <w:szCs w:val="18"/>
                <w:vertAlign w:val="superscript"/>
              </w:rPr>
              <w:t>2/</w:t>
            </w:r>
          </w:p>
        </w:tc>
        <w:tc>
          <w:tcPr>
            <w:tcW w:w="1051" w:type="dxa"/>
            <w:tcBorders>
              <w:top w:val="nil"/>
              <w:right w:val="nil"/>
            </w:tcBorders>
            <w:vAlign w:val="center"/>
          </w:tcPr>
          <w:p w14:paraId="091BD2DE" w14:textId="70134E2D" w:rsidR="00E12E91" w:rsidRPr="00925462" w:rsidRDefault="00E12E91" w:rsidP="00E12E91">
            <w:pPr>
              <w:tabs>
                <w:tab w:val="decimal" w:pos="542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47.1</w:t>
            </w:r>
          </w:p>
        </w:tc>
        <w:tc>
          <w:tcPr>
            <w:tcW w:w="1052" w:type="dxa"/>
            <w:tcBorders>
              <w:top w:val="nil"/>
              <w:left w:val="nil"/>
            </w:tcBorders>
            <w:vAlign w:val="center"/>
          </w:tcPr>
          <w:p w14:paraId="091BD2DF" w14:textId="500CA4BB" w:rsidR="00E12E91" w:rsidRPr="00925462" w:rsidRDefault="00E12E91" w:rsidP="00E12E91">
            <w:pPr>
              <w:tabs>
                <w:tab w:val="decimal" w:pos="540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56.8</w:t>
            </w:r>
          </w:p>
        </w:tc>
        <w:tc>
          <w:tcPr>
            <w:tcW w:w="1052" w:type="dxa"/>
            <w:tcBorders>
              <w:top w:val="nil"/>
            </w:tcBorders>
            <w:vAlign w:val="center"/>
          </w:tcPr>
          <w:p w14:paraId="091BD2E0" w14:textId="17E444A9" w:rsidR="00E12E91" w:rsidRPr="00925462" w:rsidRDefault="00E12E91" w:rsidP="00E12E91">
            <w:pPr>
              <w:tabs>
                <w:tab w:val="decimal" w:pos="540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9.6</w:t>
            </w:r>
          </w:p>
        </w:tc>
      </w:tr>
    </w:tbl>
    <w:bookmarkEnd w:id="5"/>
    <w:p w14:paraId="091BD2E2" w14:textId="77777777" w:rsidR="00044DA6" w:rsidRPr="00053311" w:rsidRDefault="00044DA6" w:rsidP="009F5C79">
      <w:pPr>
        <w:widowControl w:val="0"/>
        <w:spacing w:line="180" w:lineRule="exact"/>
        <w:ind w:left="658" w:right="83" w:hanging="533"/>
        <w:rPr>
          <w:sz w:val="16"/>
          <w:szCs w:val="16"/>
        </w:rPr>
      </w:pPr>
      <w:r w:rsidRPr="00053311">
        <w:rPr>
          <w:sz w:val="16"/>
          <w:szCs w:val="16"/>
        </w:rPr>
        <w:t>Nota:</w:t>
      </w:r>
      <w:r w:rsidRPr="00053311">
        <w:rPr>
          <w:sz w:val="16"/>
          <w:szCs w:val="16"/>
        </w:rPr>
        <w:tab/>
      </w:r>
      <w:r w:rsidRPr="00053311">
        <w:rPr>
          <w:sz w:val="16"/>
          <w:szCs w:val="16"/>
          <w:lang w:val="es-MX"/>
        </w:rPr>
        <w:t>Los indicadores se generan con los datos referidos al mes de la entrevista.</w:t>
      </w:r>
    </w:p>
    <w:p w14:paraId="091BD2E3" w14:textId="77777777" w:rsidR="00044DA6" w:rsidRPr="00312A9E" w:rsidRDefault="00044DA6" w:rsidP="009F5C79">
      <w:pPr>
        <w:widowControl w:val="0"/>
        <w:spacing w:line="180" w:lineRule="exact"/>
        <w:ind w:left="658" w:right="83" w:hanging="533"/>
        <w:rPr>
          <w:sz w:val="14"/>
          <w:szCs w:val="14"/>
        </w:rPr>
      </w:pPr>
      <w:r w:rsidRPr="00053311">
        <w:rPr>
          <w:sz w:val="18"/>
          <w:szCs w:val="18"/>
          <w:vertAlign w:val="superscript"/>
        </w:rPr>
        <w:t>1/</w:t>
      </w:r>
      <w:r w:rsidRPr="00312A9E">
        <w:rPr>
          <w:sz w:val="14"/>
          <w:szCs w:val="14"/>
        </w:rPr>
        <w:tab/>
      </w:r>
      <w:r w:rsidRPr="00053311">
        <w:rPr>
          <w:sz w:val="16"/>
          <w:szCs w:val="16"/>
        </w:rPr>
        <w:t>Las diferencias en puntos se obtienen de los respectivos indicadores considerando todos sus decimales.</w:t>
      </w:r>
    </w:p>
    <w:p w14:paraId="091BD2E4" w14:textId="2233735D" w:rsidR="009E64F3" w:rsidRPr="00EE38DA" w:rsidRDefault="009E64F3" w:rsidP="009F5C79">
      <w:pPr>
        <w:widowControl w:val="0"/>
        <w:spacing w:line="180" w:lineRule="exact"/>
        <w:ind w:left="658" w:right="83" w:hanging="533"/>
        <w:rPr>
          <w:sz w:val="14"/>
          <w:szCs w:val="14"/>
        </w:rPr>
      </w:pPr>
      <w:r w:rsidRPr="00053311">
        <w:rPr>
          <w:sz w:val="18"/>
          <w:szCs w:val="18"/>
          <w:vertAlign w:val="superscript"/>
        </w:rPr>
        <w:t>2/</w:t>
      </w:r>
      <w:r w:rsidRPr="00EE38DA">
        <w:rPr>
          <w:sz w:val="14"/>
          <w:szCs w:val="14"/>
        </w:rPr>
        <w:tab/>
      </w:r>
      <w:r w:rsidRPr="009D4821">
        <w:rPr>
          <w:sz w:val="16"/>
          <w:szCs w:val="16"/>
        </w:rPr>
        <w:t>Incluye los sectores</w:t>
      </w:r>
      <w:r w:rsidR="00C10B85">
        <w:rPr>
          <w:sz w:val="16"/>
          <w:szCs w:val="16"/>
        </w:rPr>
        <w:t>:</w:t>
      </w:r>
      <w:r w:rsidRPr="009D4821">
        <w:rPr>
          <w:sz w:val="16"/>
          <w:szCs w:val="16"/>
        </w:rPr>
        <w:t xml:space="preserve"> </w:t>
      </w:r>
      <w:r w:rsidR="00DD73E3" w:rsidRPr="009D4821">
        <w:rPr>
          <w:sz w:val="16"/>
          <w:szCs w:val="16"/>
        </w:rPr>
        <w:t xml:space="preserve">53, </w:t>
      </w:r>
      <w:r w:rsidRPr="009D4821">
        <w:rPr>
          <w:sz w:val="16"/>
          <w:szCs w:val="16"/>
        </w:rPr>
        <w:t>Servicios inmobiliarios y de alquiler de bienes muebles e intangibles</w:t>
      </w:r>
      <w:r w:rsidR="00890644" w:rsidRPr="009D4821">
        <w:rPr>
          <w:sz w:val="16"/>
          <w:szCs w:val="16"/>
        </w:rPr>
        <w:t>;</w:t>
      </w:r>
      <w:r w:rsidRPr="009D4821">
        <w:rPr>
          <w:sz w:val="16"/>
          <w:szCs w:val="16"/>
        </w:rPr>
        <w:t xml:space="preserve"> </w:t>
      </w:r>
      <w:r w:rsidR="00DD73E3" w:rsidRPr="009D4821">
        <w:rPr>
          <w:sz w:val="16"/>
          <w:szCs w:val="16"/>
        </w:rPr>
        <w:t xml:space="preserve">61, </w:t>
      </w:r>
      <w:r w:rsidRPr="009D4821">
        <w:rPr>
          <w:sz w:val="16"/>
          <w:szCs w:val="16"/>
        </w:rPr>
        <w:t>Servicios educativos</w:t>
      </w:r>
      <w:r w:rsidR="00890644" w:rsidRPr="009D4821">
        <w:rPr>
          <w:sz w:val="16"/>
          <w:szCs w:val="16"/>
        </w:rPr>
        <w:t>;</w:t>
      </w:r>
      <w:r w:rsidRPr="009D4821">
        <w:rPr>
          <w:sz w:val="16"/>
          <w:szCs w:val="16"/>
        </w:rPr>
        <w:t xml:space="preserve"> </w:t>
      </w:r>
      <w:r w:rsidR="00DD73E3" w:rsidRPr="009D4821">
        <w:rPr>
          <w:sz w:val="16"/>
          <w:szCs w:val="16"/>
        </w:rPr>
        <w:t xml:space="preserve">62, </w:t>
      </w:r>
      <w:r w:rsidRPr="009D4821">
        <w:rPr>
          <w:sz w:val="16"/>
          <w:szCs w:val="16"/>
        </w:rPr>
        <w:t xml:space="preserve">Servicios de salud y de asistencia social y </w:t>
      </w:r>
      <w:r w:rsidR="00DD73E3" w:rsidRPr="009D4821">
        <w:rPr>
          <w:sz w:val="16"/>
          <w:szCs w:val="16"/>
        </w:rPr>
        <w:t xml:space="preserve">71, </w:t>
      </w:r>
      <w:r w:rsidRPr="009D4821">
        <w:rPr>
          <w:sz w:val="16"/>
          <w:szCs w:val="16"/>
        </w:rPr>
        <w:t>Servicios de esparcimiento culturales y deportivos, y otros servicios recreativos</w:t>
      </w:r>
      <w:r w:rsidRPr="00EE38DA">
        <w:rPr>
          <w:sz w:val="14"/>
          <w:szCs w:val="14"/>
        </w:rPr>
        <w:t>.</w:t>
      </w:r>
    </w:p>
    <w:p w14:paraId="091BD2E5" w14:textId="3285F447" w:rsidR="00044DA6" w:rsidRPr="00312A9E" w:rsidRDefault="00044DA6" w:rsidP="009F5C79">
      <w:pPr>
        <w:widowControl w:val="0"/>
        <w:spacing w:line="180" w:lineRule="exact"/>
        <w:ind w:left="658" w:right="83" w:hanging="533"/>
        <w:rPr>
          <w:sz w:val="14"/>
          <w:szCs w:val="14"/>
        </w:rPr>
      </w:pPr>
      <w:r w:rsidRPr="00053311">
        <w:rPr>
          <w:sz w:val="18"/>
          <w:szCs w:val="18"/>
          <w:vertAlign w:val="superscript"/>
        </w:rPr>
        <w:t>p/</w:t>
      </w:r>
      <w:r w:rsidRPr="00312A9E">
        <w:rPr>
          <w:sz w:val="14"/>
          <w:szCs w:val="14"/>
        </w:rPr>
        <w:tab/>
      </w:r>
      <w:r w:rsidRPr="009D4821">
        <w:rPr>
          <w:sz w:val="16"/>
          <w:szCs w:val="16"/>
        </w:rPr>
        <w:t>Dato preliminar</w:t>
      </w:r>
    </w:p>
    <w:p w14:paraId="091BD2E6" w14:textId="47C0F1C1" w:rsidR="00044DA6" w:rsidRPr="00053311" w:rsidRDefault="00044DA6" w:rsidP="009F5C79">
      <w:pPr>
        <w:widowControl w:val="0"/>
        <w:spacing w:line="180" w:lineRule="exact"/>
        <w:ind w:left="658" w:right="83" w:hanging="533"/>
        <w:rPr>
          <w:smallCaps/>
          <w:sz w:val="16"/>
          <w:szCs w:val="16"/>
        </w:rPr>
      </w:pPr>
      <w:r w:rsidRPr="00053311">
        <w:rPr>
          <w:sz w:val="16"/>
          <w:szCs w:val="16"/>
        </w:rPr>
        <w:t>Fuente:</w:t>
      </w:r>
      <w:r w:rsidRPr="00312A9E">
        <w:rPr>
          <w:sz w:val="14"/>
          <w:szCs w:val="14"/>
        </w:rPr>
        <w:tab/>
      </w:r>
      <w:r w:rsidRPr="009F5C79">
        <w:rPr>
          <w:sz w:val="16"/>
          <w:szCs w:val="16"/>
        </w:rPr>
        <w:t>INEGI</w:t>
      </w:r>
      <w:r w:rsidR="008D59D2" w:rsidRPr="009C4204">
        <w:rPr>
          <w:smallCaps/>
          <w:sz w:val="16"/>
          <w:szCs w:val="16"/>
        </w:rPr>
        <w:t>.</w:t>
      </w:r>
      <w:r w:rsidR="008D59D2" w:rsidRPr="009C4204">
        <w:rPr>
          <w:sz w:val="16"/>
          <w:szCs w:val="16"/>
        </w:rPr>
        <w:t xml:space="preserve"> Encuesta Mensual de Opinión Empresarial (EMOE)</w:t>
      </w:r>
      <w:r w:rsidR="00EA63C3">
        <w:rPr>
          <w:sz w:val="16"/>
          <w:szCs w:val="16"/>
        </w:rPr>
        <w:t>,</w:t>
      </w:r>
      <w:r w:rsidR="008D59D2" w:rsidRPr="009C4204">
        <w:rPr>
          <w:sz w:val="16"/>
          <w:szCs w:val="16"/>
        </w:rPr>
        <w:t xml:space="preserve"> 2023</w:t>
      </w:r>
      <w:r w:rsidR="008D59D2">
        <w:rPr>
          <w:sz w:val="16"/>
          <w:szCs w:val="16"/>
        </w:rPr>
        <w:t>.</w:t>
      </w:r>
    </w:p>
    <w:p w14:paraId="091BD2EB" w14:textId="77777777" w:rsidR="00443B05" w:rsidRPr="002B6E7F" w:rsidRDefault="00443B05" w:rsidP="00BB03FB">
      <w:pPr>
        <w:keepNext/>
        <w:keepLines/>
        <w:widowControl w:val="0"/>
        <w:tabs>
          <w:tab w:val="left" w:pos="9432"/>
        </w:tabs>
        <w:spacing w:before="360"/>
        <w:rPr>
          <w:b/>
          <w:smallCaps/>
        </w:rPr>
      </w:pPr>
      <w:r w:rsidRPr="002B6E7F">
        <w:rPr>
          <w:b/>
          <w:smallCaps/>
        </w:rPr>
        <w:lastRenderedPageBreak/>
        <w:t>Nota metodológica</w:t>
      </w:r>
    </w:p>
    <w:p w14:paraId="091BD2EC" w14:textId="60C334C5" w:rsidR="0022536A" w:rsidRPr="00443B05" w:rsidRDefault="0022536A" w:rsidP="004F4673">
      <w:pPr>
        <w:pStyle w:val="Default"/>
        <w:keepNext/>
        <w:keepLines/>
        <w:spacing w:before="240"/>
        <w:jc w:val="both"/>
        <w:rPr>
          <w:color w:val="auto"/>
        </w:rPr>
      </w:pPr>
      <w:r w:rsidRPr="00443B05">
        <w:rPr>
          <w:color w:val="auto"/>
        </w:rPr>
        <w:t xml:space="preserve">La </w:t>
      </w:r>
      <w:r w:rsidR="00F6620B">
        <w:rPr>
          <w:color w:val="auto"/>
        </w:rPr>
        <w:t>EMOE</w:t>
      </w:r>
      <w:r w:rsidRPr="00443B05">
        <w:rPr>
          <w:color w:val="auto"/>
        </w:rPr>
        <w:t xml:space="preserve"> </w:t>
      </w:r>
      <w:r w:rsidRPr="00443B05">
        <w:rPr>
          <w:color w:val="auto"/>
          <w:lang w:val="es-ES"/>
        </w:rPr>
        <w:t>genera indicadores a nivel nacional de carácter cualitativo</w:t>
      </w:r>
      <w:r w:rsidR="00681955">
        <w:rPr>
          <w:color w:val="auto"/>
          <w:lang w:val="es-ES"/>
        </w:rPr>
        <w:t>.</w:t>
      </w:r>
      <w:r w:rsidR="000B0742">
        <w:rPr>
          <w:color w:val="auto"/>
          <w:lang w:val="es-ES"/>
        </w:rPr>
        <w:t xml:space="preserve"> Gracias a estos</w:t>
      </w:r>
      <w:r w:rsidR="001D4027">
        <w:rPr>
          <w:color w:val="auto"/>
          <w:lang w:val="es-ES"/>
        </w:rPr>
        <w:t>,</w:t>
      </w:r>
      <w:r w:rsidR="000B0742">
        <w:rPr>
          <w:color w:val="auto"/>
          <w:lang w:val="es-ES"/>
        </w:rPr>
        <w:t xml:space="preserve"> se puede </w:t>
      </w:r>
      <w:r w:rsidRPr="00443B05">
        <w:rPr>
          <w:color w:val="auto"/>
          <w:lang w:val="es-ES"/>
        </w:rPr>
        <w:t>conocer la opinión y percepción de</w:t>
      </w:r>
      <w:r w:rsidR="0010369B">
        <w:rPr>
          <w:color w:val="auto"/>
          <w:lang w:val="es-ES"/>
        </w:rPr>
        <w:t xml:space="preserve"> las y</w:t>
      </w:r>
      <w:r w:rsidRPr="00443B05">
        <w:rPr>
          <w:color w:val="auto"/>
          <w:lang w:val="es-ES"/>
        </w:rPr>
        <w:t xml:space="preserve"> los empresarios</w:t>
      </w:r>
      <w:r w:rsidR="00A040BE">
        <w:rPr>
          <w:color w:val="auto"/>
          <w:lang w:val="es-ES"/>
        </w:rPr>
        <w:t>,</w:t>
      </w:r>
      <w:r w:rsidRPr="00443B05">
        <w:rPr>
          <w:color w:val="auto"/>
          <w:lang w:val="es-ES"/>
        </w:rPr>
        <w:t xml:space="preserve"> </w:t>
      </w:r>
      <w:r w:rsidR="00A040BE" w:rsidRPr="00443B05">
        <w:rPr>
          <w:color w:val="auto"/>
          <w:lang w:val="es-ES"/>
        </w:rPr>
        <w:t>inmediatamente después de terminado el mes de referencia</w:t>
      </w:r>
      <w:r w:rsidR="00A040BE">
        <w:rPr>
          <w:color w:val="auto"/>
          <w:lang w:val="es-ES"/>
        </w:rPr>
        <w:t>,</w:t>
      </w:r>
      <w:r w:rsidR="00A040BE" w:rsidRPr="00443B05">
        <w:rPr>
          <w:color w:val="auto"/>
          <w:lang w:val="es-ES"/>
        </w:rPr>
        <w:t xml:space="preserve"> </w:t>
      </w:r>
      <w:r w:rsidRPr="00443B05">
        <w:rPr>
          <w:color w:val="auto"/>
          <w:lang w:val="es-ES"/>
        </w:rPr>
        <w:t>respecto al desempeño económico del país y de las empresas en los sectores</w:t>
      </w:r>
      <w:r w:rsidR="005C641B">
        <w:rPr>
          <w:color w:val="auto"/>
          <w:lang w:val="es-ES"/>
        </w:rPr>
        <w:t>:</w:t>
      </w:r>
      <w:r w:rsidRPr="00443B05">
        <w:rPr>
          <w:color w:val="auto"/>
          <w:lang w:val="es-ES"/>
        </w:rPr>
        <w:t xml:space="preserve"> </w:t>
      </w:r>
      <w:r w:rsidRPr="008860E0">
        <w:rPr>
          <w:color w:val="auto"/>
          <w:lang w:val="es-ES"/>
        </w:rPr>
        <w:t xml:space="preserve">Industrias </w:t>
      </w:r>
      <w:r w:rsidR="005C641B">
        <w:rPr>
          <w:color w:val="auto"/>
          <w:lang w:val="es-ES"/>
        </w:rPr>
        <w:t>m</w:t>
      </w:r>
      <w:r w:rsidRPr="008860E0">
        <w:rPr>
          <w:color w:val="auto"/>
          <w:lang w:val="es-ES"/>
        </w:rPr>
        <w:t>anufactureras</w:t>
      </w:r>
      <w:r>
        <w:rPr>
          <w:color w:val="auto"/>
          <w:lang w:val="es-ES"/>
        </w:rPr>
        <w:t xml:space="preserve">, </w:t>
      </w:r>
      <w:r w:rsidRPr="00443B05">
        <w:rPr>
          <w:color w:val="auto"/>
          <w:lang w:val="es-ES"/>
        </w:rPr>
        <w:t>Construcción</w:t>
      </w:r>
      <w:r>
        <w:rPr>
          <w:color w:val="auto"/>
          <w:lang w:val="es-ES"/>
        </w:rPr>
        <w:t>,</w:t>
      </w:r>
      <w:r w:rsidRPr="00443B05">
        <w:rPr>
          <w:color w:val="auto"/>
          <w:lang w:val="es-ES"/>
        </w:rPr>
        <w:t xml:space="preserve"> Comercio</w:t>
      </w:r>
      <w:r>
        <w:rPr>
          <w:color w:val="auto"/>
          <w:lang w:val="es-ES"/>
        </w:rPr>
        <w:t xml:space="preserve"> y</w:t>
      </w:r>
      <w:r w:rsidR="005C641B">
        <w:rPr>
          <w:color w:val="auto"/>
          <w:lang w:val="es-ES"/>
        </w:rPr>
        <w:t xml:space="preserve"> </w:t>
      </w:r>
      <w:r>
        <w:rPr>
          <w:color w:val="auto"/>
          <w:lang w:val="es-ES"/>
        </w:rPr>
        <w:t xml:space="preserve">Servicios </w:t>
      </w:r>
      <w:r w:rsidR="00BB399B">
        <w:rPr>
          <w:color w:val="auto"/>
          <w:lang w:val="es-ES"/>
        </w:rPr>
        <w:t>p</w:t>
      </w:r>
      <w:r>
        <w:rPr>
          <w:color w:val="auto"/>
          <w:lang w:val="es-ES"/>
        </w:rPr>
        <w:t xml:space="preserve">rivados no </w:t>
      </w:r>
      <w:r w:rsidR="00BB399B">
        <w:rPr>
          <w:color w:val="auto"/>
          <w:lang w:val="es-ES"/>
        </w:rPr>
        <w:t>f</w:t>
      </w:r>
      <w:r>
        <w:rPr>
          <w:color w:val="auto"/>
          <w:lang w:val="es-ES"/>
        </w:rPr>
        <w:t>inancieros</w:t>
      </w:r>
      <w:r w:rsidRPr="00443B05">
        <w:rPr>
          <w:color w:val="auto"/>
          <w:lang w:val="es-ES"/>
        </w:rPr>
        <w:t xml:space="preserve">. </w:t>
      </w:r>
    </w:p>
    <w:p w14:paraId="091BD2ED" w14:textId="6708EED8" w:rsidR="0022536A" w:rsidRPr="00443B05" w:rsidRDefault="0022536A" w:rsidP="004F4673">
      <w:pPr>
        <w:pStyle w:val="Default"/>
        <w:spacing w:before="240"/>
        <w:jc w:val="both"/>
        <w:rPr>
          <w:color w:val="auto"/>
        </w:rPr>
      </w:pPr>
      <w:r w:rsidRPr="00443B05">
        <w:rPr>
          <w:color w:val="auto"/>
        </w:rPr>
        <w:t>El diseño conceptual y estadístico de la EMOE se realiza para cada uno de los sectores en estudio de manera independiente</w:t>
      </w:r>
      <w:r w:rsidR="00570F08">
        <w:rPr>
          <w:color w:val="auto"/>
        </w:rPr>
        <w:t>. La finalidad es</w:t>
      </w:r>
      <w:r w:rsidRPr="00443B05">
        <w:rPr>
          <w:color w:val="auto"/>
        </w:rPr>
        <w:t xml:space="preserve"> analizar los aspectos particulares de la operación económica de los mismos. En este sentido, se tienen marcos de estudio, estratificacione</w:t>
      </w:r>
      <w:r w:rsidRPr="0055455D">
        <w:rPr>
          <w:color w:val="auto"/>
        </w:rPr>
        <w:t>s</w:t>
      </w:r>
      <w:r w:rsidR="00926F44" w:rsidRPr="0055455D">
        <w:t>, tamaños de muestra y variables económicas, diferenciados en los cuatro sectores</w:t>
      </w:r>
      <w:r w:rsidR="00926F44" w:rsidRPr="000B291E">
        <w:t>.</w:t>
      </w:r>
    </w:p>
    <w:p w14:paraId="091BD2EE" w14:textId="02708B88" w:rsidR="0022536A" w:rsidRPr="00443B05" w:rsidRDefault="0010369B" w:rsidP="004F4673">
      <w:pPr>
        <w:pStyle w:val="Default"/>
        <w:spacing w:before="240"/>
        <w:jc w:val="both"/>
        <w:rPr>
          <w:color w:val="auto"/>
        </w:rPr>
      </w:pPr>
      <w:r>
        <w:rPr>
          <w:color w:val="auto"/>
        </w:rPr>
        <w:t>L</w:t>
      </w:r>
      <w:r w:rsidR="0022536A" w:rsidRPr="00443B05">
        <w:rPr>
          <w:color w:val="auto"/>
        </w:rPr>
        <w:t xml:space="preserve">a información que se presenta en </w:t>
      </w:r>
      <w:r w:rsidR="0022536A" w:rsidRPr="00957652">
        <w:rPr>
          <w:color w:val="auto"/>
        </w:rPr>
        <w:t>est</w:t>
      </w:r>
      <w:r w:rsidR="0022536A">
        <w:rPr>
          <w:color w:val="auto"/>
        </w:rPr>
        <w:t>e documento</w:t>
      </w:r>
      <w:r w:rsidR="0022536A" w:rsidRPr="00957652">
        <w:rPr>
          <w:color w:val="auto"/>
        </w:rPr>
        <w:t xml:space="preserve"> </w:t>
      </w:r>
      <w:r w:rsidR="0022536A" w:rsidRPr="00443B05">
        <w:rPr>
          <w:color w:val="auto"/>
        </w:rPr>
        <w:t xml:space="preserve">se complementa con la que </w:t>
      </w:r>
      <w:r w:rsidR="0022536A" w:rsidRPr="00A114A9">
        <w:rPr>
          <w:color w:val="auto"/>
        </w:rPr>
        <w:t>proporcionan l</w:t>
      </w:r>
      <w:r w:rsidR="00406A5E" w:rsidRPr="00A114A9">
        <w:rPr>
          <w:color w:val="auto"/>
        </w:rPr>
        <w:t>os Indicadores Agregados de Tendencia</w:t>
      </w:r>
      <w:r w:rsidR="00406A5E">
        <w:rPr>
          <w:color w:val="auto"/>
        </w:rPr>
        <w:t xml:space="preserve"> y </w:t>
      </w:r>
      <w:r w:rsidR="0022536A">
        <w:rPr>
          <w:color w:val="auto"/>
        </w:rPr>
        <w:t>Expectativas Empresariales</w:t>
      </w:r>
      <w:r w:rsidR="0022536A" w:rsidRPr="00443B05">
        <w:rPr>
          <w:color w:val="auto"/>
        </w:rPr>
        <w:t>, así como el Indicador de Pedidos Manufactureros (IPM)</w:t>
      </w:r>
      <w:r w:rsidR="008E52F9">
        <w:rPr>
          <w:color w:val="auto"/>
        </w:rPr>
        <w:t>. Este último</w:t>
      </w:r>
      <w:r w:rsidR="0022536A" w:rsidRPr="00443B05">
        <w:rPr>
          <w:color w:val="auto"/>
        </w:rPr>
        <w:t xml:space="preserve"> se elabora con el Banco de México </w:t>
      </w:r>
      <w:r w:rsidR="002F75B2">
        <w:rPr>
          <w:color w:val="auto"/>
        </w:rPr>
        <w:t>e</w:t>
      </w:r>
      <w:r w:rsidR="0022536A" w:rsidRPr="00443B05">
        <w:rPr>
          <w:color w:val="auto"/>
        </w:rPr>
        <w:t xml:space="preserve"> incorpora variables similares a las </w:t>
      </w:r>
      <w:r w:rsidR="0022536A" w:rsidRPr="00065D10">
        <w:rPr>
          <w:color w:val="auto"/>
        </w:rPr>
        <w:t xml:space="preserve">del </w:t>
      </w:r>
      <w:proofErr w:type="spellStart"/>
      <w:r w:rsidR="0022536A" w:rsidRPr="00F509C5">
        <w:rPr>
          <w:color w:val="auto"/>
        </w:rPr>
        <w:t>Purchasing</w:t>
      </w:r>
      <w:proofErr w:type="spellEnd"/>
      <w:r w:rsidR="0022536A" w:rsidRPr="00F509C5">
        <w:rPr>
          <w:color w:val="auto"/>
        </w:rPr>
        <w:t xml:space="preserve"> Managers </w:t>
      </w:r>
      <w:proofErr w:type="spellStart"/>
      <w:r w:rsidR="0022536A" w:rsidRPr="00F509C5">
        <w:rPr>
          <w:color w:val="auto"/>
        </w:rPr>
        <w:t>Index</w:t>
      </w:r>
      <w:proofErr w:type="spellEnd"/>
      <w:r w:rsidR="0022536A" w:rsidRPr="00F509C5">
        <w:rPr>
          <w:color w:val="auto"/>
        </w:rPr>
        <w:t xml:space="preserve"> </w:t>
      </w:r>
      <w:r w:rsidR="0022536A" w:rsidRPr="00065D10">
        <w:rPr>
          <w:color w:val="auto"/>
        </w:rPr>
        <w:t>(</w:t>
      </w:r>
      <w:r w:rsidR="0022536A" w:rsidRPr="00F509C5">
        <w:rPr>
          <w:color w:val="auto"/>
        </w:rPr>
        <w:t>PMI</w:t>
      </w:r>
      <w:r w:rsidR="0022536A" w:rsidRPr="00065D10">
        <w:rPr>
          <w:color w:val="auto"/>
        </w:rPr>
        <w:t xml:space="preserve">) que genera el </w:t>
      </w:r>
      <w:proofErr w:type="spellStart"/>
      <w:r w:rsidR="0022536A" w:rsidRPr="00F509C5">
        <w:rPr>
          <w:color w:val="auto"/>
        </w:rPr>
        <w:t>Institute</w:t>
      </w:r>
      <w:proofErr w:type="spellEnd"/>
      <w:r w:rsidR="0022536A" w:rsidRPr="00F509C5">
        <w:rPr>
          <w:color w:val="auto"/>
        </w:rPr>
        <w:t xml:space="preserve"> </w:t>
      </w:r>
      <w:proofErr w:type="spellStart"/>
      <w:r w:rsidR="0022536A" w:rsidRPr="00F509C5">
        <w:rPr>
          <w:color w:val="auto"/>
        </w:rPr>
        <w:t>for</w:t>
      </w:r>
      <w:proofErr w:type="spellEnd"/>
      <w:r w:rsidR="0022536A" w:rsidRPr="00F509C5">
        <w:rPr>
          <w:color w:val="auto"/>
        </w:rPr>
        <w:t xml:space="preserve"> </w:t>
      </w:r>
      <w:proofErr w:type="spellStart"/>
      <w:r w:rsidR="0022536A" w:rsidRPr="00F509C5">
        <w:rPr>
          <w:color w:val="auto"/>
        </w:rPr>
        <w:t>Supply</w:t>
      </w:r>
      <w:proofErr w:type="spellEnd"/>
      <w:r w:rsidR="0022536A" w:rsidRPr="00F509C5">
        <w:rPr>
          <w:color w:val="auto"/>
        </w:rPr>
        <w:t xml:space="preserve"> Management</w:t>
      </w:r>
      <w:r w:rsidR="0022536A" w:rsidRPr="00065D10">
        <w:rPr>
          <w:color w:val="auto"/>
        </w:rPr>
        <w:t xml:space="preserve"> (</w:t>
      </w:r>
      <w:r w:rsidR="0022536A" w:rsidRPr="00F509C5">
        <w:rPr>
          <w:color w:val="auto"/>
        </w:rPr>
        <w:t>ISM</w:t>
      </w:r>
      <w:r w:rsidR="0022536A" w:rsidRPr="00065D10">
        <w:rPr>
          <w:color w:val="auto"/>
        </w:rPr>
        <w:t>)</w:t>
      </w:r>
      <w:r w:rsidR="0022536A" w:rsidRPr="00443B05">
        <w:rPr>
          <w:color w:val="auto"/>
        </w:rPr>
        <w:t xml:space="preserve"> en los Estados Unidos de </w:t>
      </w:r>
      <w:r w:rsidR="005A720E">
        <w:rPr>
          <w:color w:val="auto"/>
        </w:rPr>
        <w:t>A</w:t>
      </w:r>
      <w:r w:rsidR="0022536A" w:rsidRPr="00443B05">
        <w:rPr>
          <w:color w:val="auto"/>
        </w:rPr>
        <w:t>mérica.</w:t>
      </w:r>
    </w:p>
    <w:p w14:paraId="6FFCBF39" w14:textId="55768789" w:rsidR="004C5864" w:rsidRDefault="0022536A" w:rsidP="00FF5861">
      <w:pPr>
        <w:pStyle w:val="Default"/>
        <w:spacing w:before="240"/>
        <w:jc w:val="both"/>
      </w:pPr>
      <w:r w:rsidRPr="00443B05">
        <w:rPr>
          <w:color w:val="auto"/>
        </w:rPr>
        <w:t xml:space="preserve">En el diseño del cuestionario se </w:t>
      </w:r>
      <w:r w:rsidR="002F75B2">
        <w:rPr>
          <w:color w:val="auto"/>
        </w:rPr>
        <w:t>consideraron</w:t>
      </w:r>
      <w:r w:rsidR="002F75B2" w:rsidRPr="00443B05">
        <w:rPr>
          <w:color w:val="auto"/>
        </w:rPr>
        <w:t xml:space="preserve"> </w:t>
      </w:r>
      <w:r w:rsidRPr="00443B05">
        <w:rPr>
          <w:color w:val="auto"/>
        </w:rPr>
        <w:t>las recomendaciones de</w:t>
      </w:r>
      <w:r w:rsidR="00A263A8">
        <w:rPr>
          <w:color w:val="auto"/>
        </w:rPr>
        <w:t xml:space="preserve">l </w:t>
      </w:r>
      <w:r w:rsidR="00A040BE">
        <w:rPr>
          <w:color w:val="auto"/>
        </w:rPr>
        <w:t>«</w:t>
      </w:r>
      <w:r w:rsidR="00A263A8" w:rsidRPr="00C46468">
        <w:rPr>
          <w:iCs/>
          <w:color w:val="auto"/>
        </w:rPr>
        <w:t xml:space="preserve">Manual de Encuestas </w:t>
      </w:r>
      <w:r w:rsidR="00F9553A">
        <w:rPr>
          <w:iCs/>
          <w:color w:val="auto"/>
        </w:rPr>
        <w:t>de</w:t>
      </w:r>
      <w:r w:rsidR="005F130D" w:rsidRPr="00C46468">
        <w:rPr>
          <w:iCs/>
          <w:color w:val="auto"/>
        </w:rPr>
        <w:t xml:space="preserve"> </w:t>
      </w:r>
      <w:r w:rsidR="00A263A8" w:rsidRPr="00C46468">
        <w:rPr>
          <w:iCs/>
          <w:color w:val="auto"/>
        </w:rPr>
        <w:t>Tendencia Económica</w:t>
      </w:r>
      <w:r w:rsidR="00A040BE">
        <w:rPr>
          <w:iCs/>
          <w:color w:val="auto"/>
        </w:rPr>
        <w:t>»</w:t>
      </w:r>
      <w:r w:rsidR="00BB399B" w:rsidRPr="00A040BE">
        <w:rPr>
          <w:iCs/>
          <w:color w:val="auto"/>
        </w:rPr>
        <w:t xml:space="preserve"> de </w:t>
      </w:r>
      <w:r w:rsidRPr="00A040BE">
        <w:rPr>
          <w:iCs/>
          <w:color w:val="auto"/>
        </w:rPr>
        <w:t>N</w:t>
      </w:r>
      <w:r w:rsidR="00BB399B" w:rsidRPr="00A040BE">
        <w:rPr>
          <w:iCs/>
          <w:color w:val="auto"/>
        </w:rPr>
        <w:t xml:space="preserve">aciones </w:t>
      </w:r>
      <w:r w:rsidRPr="00A040BE">
        <w:rPr>
          <w:iCs/>
          <w:color w:val="auto"/>
        </w:rPr>
        <w:t>U</w:t>
      </w:r>
      <w:r w:rsidR="00BB399B" w:rsidRPr="00A040BE">
        <w:rPr>
          <w:iCs/>
          <w:color w:val="auto"/>
        </w:rPr>
        <w:t>nidas</w:t>
      </w:r>
      <w:r w:rsidR="007524F2" w:rsidRPr="00A040BE">
        <w:rPr>
          <w:iCs/>
          <w:color w:val="auto"/>
        </w:rPr>
        <w:t>,</w:t>
      </w:r>
      <w:r w:rsidRPr="00A040BE">
        <w:rPr>
          <w:iCs/>
          <w:color w:val="auto"/>
        </w:rPr>
        <w:t xml:space="preserve"> </w:t>
      </w:r>
      <w:r w:rsidR="00A263A8" w:rsidRPr="00A040BE">
        <w:rPr>
          <w:iCs/>
          <w:color w:val="auto"/>
        </w:rPr>
        <w:t xml:space="preserve">del </w:t>
      </w:r>
      <w:r w:rsidR="00A040BE">
        <w:rPr>
          <w:iCs/>
          <w:color w:val="auto"/>
        </w:rPr>
        <w:t>«</w:t>
      </w:r>
      <w:r w:rsidR="00A263A8" w:rsidRPr="00C46468">
        <w:rPr>
          <w:iCs/>
          <w:color w:val="auto"/>
        </w:rPr>
        <w:t xml:space="preserve">Manual de Encuestas </w:t>
      </w:r>
      <w:r w:rsidR="00F9553A">
        <w:rPr>
          <w:iCs/>
          <w:color w:val="auto"/>
        </w:rPr>
        <w:t>de</w:t>
      </w:r>
      <w:r w:rsidR="00C30F29" w:rsidRPr="00C46468">
        <w:rPr>
          <w:iCs/>
          <w:color w:val="auto"/>
        </w:rPr>
        <w:t xml:space="preserve"> </w:t>
      </w:r>
      <w:r w:rsidR="00A263A8" w:rsidRPr="00C46468">
        <w:rPr>
          <w:iCs/>
          <w:color w:val="auto"/>
        </w:rPr>
        <w:t>Tendencia de Negocios</w:t>
      </w:r>
      <w:r w:rsidR="00A040BE">
        <w:rPr>
          <w:iCs/>
          <w:color w:val="auto"/>
        </w:rPr>
        <w:t>»</w:t>
      </w:r>
      <w:r w:rsidR="00A263A8" w:rsidRPr="00A040BE">
        <w:rPr>
          <w:iCs/>
          <w:color w:val="auto"/>
        </w:rPr>
        <w:t xml:space="preserve"> </w:t>
      </w:r>
      <w:r w:rsidRPr="00A040BE">
        <w:rPr>
          <w:iCs/>
          <w:color w:val="auto"/>
        </w:rPr>
        <w:t>de la O</w:t>
      </w:r>
      <w:r w:rsidR="00BB399B" w:rsidRPr="00A040BE">
        <w:rPr>
          <w:iCs/>
          <w:color w:val="auto"/>
        </w:rPr>
        <w:t>rganización para la Cooperación y Desarrollo Económicos</w:t>
      </w:r>
      <w:r w:rsidR="00A263A8" w:rsidRPr="00A040BE">
        <w:rPr>
          <w:iCs/>
          <w:color w:val="auto"/>
        </w:rPr>
        <w:t xml:space="preserve"> y</w:t>
      </w:r>
      <w:r w:rsidRPr="00A040BE">
        <w:rPr>
          <w:iCs/>
          <w:color w:val="auto"/>
        </w:rPr>
        <w:t xml:space="preserve"> las emitidas por la </w:t>
      </w:r>
      <w:r w:rsidR="00BB399B" w:rsidRPr="00A040BE">
        <w:rPr>
          <w:iCs/>
          <w:color w:val="auto"/>
        </w:rPr>
        <w:t>Comisión Económica para América Latina y el Caribe</w:t>
      </w:r>
      <w:r w:rsidRPr="00A040BE">
        <w:rPr>
          <w:iCs/>
          <w:color w:val="auto"/>
        </w:rPr>
        <w:t xml:space="preserve"> en </w:t>
      </w:r>
      <w:r w:rsidR="00A040BE">
        <w:rPr>
          <w:iCs/>
          <w:color w:val="auto"/>
        </w:rPr>
        <w:t>«</w:t>
      </w:r>
      <w:r w:rsidRPr="00C46468">
        <w:rPr>
          <w:iCs/>
          <w:color w:val="auto"/>
        </w:rPr>
        <w:t>Encuestas de Opinión Empresarial del Sector Industrial en América Latina</w:t>
      </w:r>
      <w:r w:rsidR="00A040BE">
        <w:rPr>
          <w:iCs/>
          <w:color w:val="auto"/>
        </w:rPr>
        <w:t>»</w:t>
      </w:r>
      <w:r w:rsidRPr="00A040BE">
        <w:rPr>
          <w:iCs/>
          <w:color w:val="auto"/>
        </w:rPr>
        <w:t>, así como las sugerencias del Banco de México.</w:t>
      </w:r>
    </w:p>
    <w:p w14:paraId="091BD2F0" w14:textId="2A28882C" w:rsidR="0022536A" w:rsidRPr="00412AF8" w:rsidRDefault="003D3217" w:rsidP="004F4673">
      <w:pPr>
        <w:pStyle w:val="Default"/>
        <w:spacing w:before="240"/>
        <w:jc w:val="both"/>
        <w:rPr>
          <w:color w:val="auto"/>
          <w:lang w:val="es-ES_tradnl"/>
        </w:rPr>
      </w:pPr>
      <w:r>
        <w:rPr>
          <w:color w:val="auto"/>
          <w:lang w:val="es-ES_tradnl"/>
        </w:rPr>
        <w:t xml:space="preserve">La encuesta utiliza </w:t>
      </w:r>
      <w:r w:rsidR="0022536A" w:rsidRPr="00412AF8">
        <w:rPr>
          <w:color w:val="auto"/>
          <w:lang w:val="es-ES_tradnl"/>
        </w:rPr>
        <w:t xml:space="preserve">el </w:t>
      </w:r>
      <w:r w:rsidR="00C30983" w:rsidRPr="00C30983">
        <w:rPr>
          <w:lang w:eastAsia="en-US"/>
        </w:rPr>
        <w:t>«Sistema de Clasificación Industrial de América del Norte»</w:t>
      </w:r>
      <w:r w:rsidR="00B86FE2">
        <w:rPr>
          <w:color w:val="auto"/>
          <w:lang w:val="es-ES_tradnl"/>
        </w:rPr>
        <w:t> </w:t>
      </w:r>
      <w:r w:rsidR="0022536A" w:rsidRPr="0055455D">
        <w:rPr>
          <w:color w:val="auto"/>
          <w:lang w:val="es-ES_tradnl"/>
        </w:rPr>
        <w:t>201</w:t>
      </w:r>
      <w:r w:rsidR="00997AA0" w:rsidRPr="0055455D">
        <w:rPr>
          <w:color w:val="auto"/>
          <w:lang w:val="es-ES_tradnl"/>
        </w:rPr>
        <w:t>8</w:t>
      </w:r>
      <w:r w:rsidR="0022536A" w:rsidRPr="00412AF8">
        <w:rPr>
          <w:color w:val="auto"/>
          <w:lang w:val="es-ES_tradnl"/>
        </w:rPr>
        <w:t xml:space="preserve"> y la </w:t>
      </w:r>
      <w:r w:rsidR="00626F14">
        <w:rPr>
          <w:color w:val="auto"/>
          <w:lang w:val="es-ES_tradnl"/>
        </w:rPr>
        <w:t>«</w:t>
      </w:r>
      <w:r w:rsidR="0022536A" w:rsidRPr="00412AF8">
        <w:rPr>
          <w:color w:val="auto"/>
          <w:lang w:val="es-ES_tradnl"/>
        </w:rPr>
        <w:t>Norma Técnica del Proceso de Producción de Información Estadística y Geográfica</w:t>
      </w:r>
      <w:r w:rsidR="00626F14">
        <w:rPr>
          <w:color w:val="auto"/>
          <w:lang w:val="es-ES_tradnl"/>
        </w:rPr>
        <w:t>»</w:t>
      </w:r>
      <w:r w:rsidR="009E4A89">
        <w:rPr>
          <w:color w:val="auto"/>
          <w:lang w:val="es-ES_tradnl"/>
        </w:rPr>
        <w:t>. Estas</w:t>
      </w:r>
      <w:r w:rsidR="0022536A" w:rsidRPr="00412AF8">
        <w:rPr>
          <w:color w:val="auto"/>
          <w:lang w:val="es-ES_tradnl"/>
        </w:rPr>
        <w:t xml:space="preserve"> proporcionan un marco normativo regulatorio de la producción de información estadística en México.</w:t>
      </w:r>
    </w:p>
    <w:p w14:paraId="54ACAC9C" w14:textId="562BFC58" w:rsidR="00357401" w:rsidRPr="0055455D" w:rsidRDefault="0022536A" w:rsidP="00E101D5">
      <w:pPr>
        <w:pStyle w:val="Default"/>
        <w:spacing w:before="240"/>
        <w:jc w:val="both"/>
        <w:rPr>
          <w:color w:val="auto"/>
        </w:rPr>
      </w:pPr>
      <w:r w:rsidRPr="00412AF8">
        <w:rPr>
          <w:lang w:val="es-ES_tradnl"/>
        </w:rPr>
        <w:t>La unidad de observación es la empresa</w:t>
      </w:r>
      <w:r w:rsidR="00096CCE">
        <w:rPr>
          <w:lang w:val="es-ES_tradnl"/>
        </w:rPr>
        <w:t xml:space="preserve">. Esta se </w:t>
      </w:r>
      <w:r w:rsidR="00AD1AE4">
        <w:rPr>
          <w:lang w:val="es-ES_tradnl"/>
        </w:rPr>
        <w:t>define</w:t>
      </w:r>
      <w:r w:rsidR="00AD1AE4" w:rsidRPr="00412AF8">
        <w:rPr>
          <w:lang w:val="es-ES_tradnl"/>
        </w:rPr>
        <w:t xml:space="preserve"> </w:t>
      </w:r>
      <w:r w:rsidRPr="00412AF8">
        <w:rPr>
          <w:lang w:val="es-ES_tradnl"/>
        </w:rPr>
        <w:t>como la unidad económica que</w:t>
      </w:r>
      <w:r w:rsidR="00F9214C">
        <w:rPr>
          <w:lang w:val="es-ES_tradnl"/>
        </w:rPr>
        <w:t>,</w:t>
      </w:r>
      <w:r w:rsidRPr="00412AF8">
        <w:rPr>
          <w:lang w:val="es-ES_tradnl"/>
        </w:rPr>
        <w:t xml:space="preserve"> bajo una sola entidad propietaria o controladora</w:t>
      </w:r>
      <w:r w:rsidR="00F9214C">
        <w:rPr>
          <w:lang w:val="es-ES_tradnl"/>
        </w:rPr>
        <w:t>,</w:t>
      </w:r>
      <w:r w:rsidRPr="00412AF8">
        <w:rPr>
          <w:lang w:val="es-ES_tradnl"/>
        </w:rPr>
        <w:t xml:space="preserve"> combina acciones y recursos para realizar actividades de producción de bienes, compraventa de mercancías o prestación de servicios, sea con fines mercantiles o no.</w:t>
      </w:r>
      <w:r>
        <w:rPr>
          <w:lang w:val="es-ES_tradnl"/>
        </w:rPr>
        <w:t xml:space="preserve"> </w:t>
      </w:r>
      <w:r w:rsidR="00AB6C2E" w:rsidRPr="000B291E">
        <w:rPr>
          <w:lang w:val="es-ES_tradnl"/>
        </w:rPr>
        <w:t>Para los cuatro sectores de estudio, la</w:t>
      </w:r>
      <w:r w:rsidR="00AB6C2E" w:rsidRPr="00412AF8">
        <w:rPr>
          <w:lang w:val="es-ES_tradnl"/>
        </w:rPr>
        <w:t xml:space="preserve"> </w:t>
      </w:r>
      <w:r w:rsidRPr="00412AF8">
        <w:rPr>
          <w:lang w:val="es-ES_tradnl"/>
        </w:rPr>
        <w:t>cobertura geográfica es nacional.</w:t>
      </w:r>
      <w:r w:rsidR="00357401" w:rsidRPr="00357401">
        <w:rPr>
          <w:color w:val="auto"/>
        </w:rPr>
        <w:t xml:space="preserve"> </w:t>
      </w:r>
      <w:r w:rsidR="00357401" w:rsidRPr="00443B05">
        <w:rPr>
          <w:color w:val="auto"/>
        </w:rPr>
        <w:t>El marco poblacional está conformado por el directorio de empresas</w:t>
      </w:r>
      <w:r w:rsidR="00357401">
        <w:rPr>
          <w:color w:val="auto"/>
        </w:rPr>
        <w:t xml:space="preserve"> provenientes del</w:t>
      </w:r>
      <w:r w:rsidR="0055455D">
        <w:rPr>
          <w:color w:val="auto"/>
        </w:rPr>
        <w:t xml:space="preserve"> </w:t>
      </w:r>
      <w:r w:rsidR="00C30983" w:rsidRPr="00C30983">
        <w:rPr>
          <w:lang w:eastAsia="en-US"/>
        </w:rPr>
        <w:t>Registro Estadístico de Negocios de México</w:t>
      </w:r>
      <w:r w:rsidR="00357401">
        <w:rPr>
          <w:color w:val="auto"/>
        </w:rPr>
        <w:t>. En conjunto</w:t>
      </w:r>
      <w:r w:rsidR="00357401" w:rsidRPr="0055455D">
        <w:rPr>
          <w:color w:val="auto"/>
        </w:rPr>
        <w:t xml:space="preserve">, son </w:t>
      </w:r>
      <w:r w:rsidR="00997AA0" w:rsidRPr="0055455D">
        <w:t xml:space="preserve">21 602 </w:t>
      </w:r>
      <w:r w:rsidR="00357401" w:rsidRPr="0055455D">
        <w:rPr>
          <w:color w:val="auto"/>
        </w:rPr>
        <w:t xml:space="preserve">empresas. </w:t>
      </w:r>
    </w:p>
    <w:p w14:paraId="091BD2F3" w14:textId="615409B1" w:rsidR="009D24D0" w:rsidRDefault="0022536A" w:rsidP="004F4673">
      <w:pPr>
        <w:pStyle w:val="Default"/>
        <w:spacing w:before="240"/>
        <w:jc w:val="both"/>
        <w:rPr>
          <w:color w:val="auto"/>
        </w:rPr>
      </w:pPr>
      <w:r w:rsidRPr="0055455D">
        <w:rPr>
          <w:color w:val="auto"/>
        </w:rPr>
        <w:t xml:space="preserve">El total de las cuatro muestras asciende a </w:t>
      </w:r>
      <w:r w:rsidR="00997AA0" w:rsidRPr="0055455D">
        <w:t>3 691</w:t>
      </w:r>
      <w:r w:rsidR="00997AA0" w:rsidRPr="000B291E">
        <w:t xml:space="preserve"> </w:t>
      </w:r>
      <w:r w:rsidRPr="00443B05">
        <w:rPr>
          <w:color w:val="auto"/>
        </w:rPr>
        <w:t>empresas a nivel nacional. Para la selección de la muestra se utilizó un diseño probabilístico y estratificado con base en el personal ocupado, con selección aleatoria e independiente en cada estrato</w:t>
      </w:r>
      <w:r w:rsidR="00C15B39">
        <w:rPr>
          <w:color w:val="auto"/>
        </w:rPr>
        <w:t xml:space="preserve">. </w:t>
      </w:r>
      <w:r w:rsidR="00B4487F">
        <w:rPr>
          <w:color w:val="auto"/>
        </w:rPr>
        <w:t>P</w:t>
      </w:r>
      <w:r w:rsidR="00B4487F" w:rsidRPr="00EE38DA">
        <w:rPr>
          <w:color w:val="auto"/>
        </w:rPr>
        <w:t>ara los sectores económicos mencionados</w:t>
      </w:r>
      <w:r w:rsidR="00B4487F">
        <w:rPr>
          <w:color w:val="auto"/>
        </w:rPr>
        <w:t>,</w:t>
      </w:r>
      <w:r w:rsidR="00B4487F" w:rsidRPr="00EE38DA">
        <w:rPr>
          <w:color w:val="auto"/>
        </w:rPr>
        <w:t xml:space="preserve"> </w:t>
      </w:r>
      <w:r w:rsidR="00B4487F">
        <w:rPr>
          <w:color w:val="auto"/>
        </w:rPr>
        <w:t>s</w:t>
      </w:r>
      <w:r w:rsidR="00C15B39" w:rsidRPr="00EE38DA">
        <w:rPr>
          <w:color w:val="auto"/>
        </w:rPr>
        <w:t xml:space="preserve">e incluyen con certeza las empresas con más de </w:t>
      </w:r>
      <w:r w:rsidR="00D4464A">
        <w:rPr>
          <w:color w:val="auto"/>
        </w:rPr>
        <w:t>mil</w:t>
      </w:r>
      <w:r w:rsidR="00C15B39" w:rsidRPr="00EE38DA">
        <w:rPr>
          <w:color w:val="auto"/>
        </w:rPr>
        <w:t xml:space="preserve"> personas ocupadas</w:t>
      </w:r>
      <w:r w:rsidRPr="00EE38DA">
        <w:rPr>
          <w:color w:val="auto"/>
        </w:rPr>
        <w:t>.</w:t>
      </w:r>
      <w:r w:rsidRPr="00443B05">
        <w:rPr>
          <w:color w:val="auto"/>
        </w:rPr>
        <w:t xml:space="preserve"> </w:t>
      </w:r>
    </w:p>
    <w:tbl>
      <w:tblPr>
        <w:tblStyle w:val="Tablaconcuadrcula"/>
        <w:tblW w:w="7505" w:type="dxa"/>
        <w:jc w:val="center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4A0" w:firstRow="1" w:lastRow="0" w:firstColumn="1" w:lastColumn="0" w:noHBand="0" w:noVBand="1"/>
      </w:tblPr>
      <w:tblGrid>
        <w:gridCol w:w="2969"/>
        <w:gridCol w:w="1881"/>
        <w:gridCol w:w="1327"/>
        <w:gridCol w:w="1328"/>
      </w:tblGrid>
      <w:tr w:rsidR="0022536A" w:rsidRPr="00997AA0" w14:paraId="091BD2F7" w14:textId="77777777" w:rsidTr="00C854E9">
        <w:trPr>
          <w:cantSplit/>
          <w:jc w:val="center"/>
        </w:trPr>
        <w:tc>
          <w:tcPr>
            <w:tcW w:w="2969" w:type="dxa"/>
            <w:vMerge w:val="restart"/>
            <w:shd w:val="clear" w:color="auto" w:fill="CCCCFF"/>
            <w:vAlign w:val="center"/>
          </w:tcPr>
          <w:p w14:paraId="091BD2F4" w14:textId="77777777" w:rsidR="0022536A" w:rsidRPr="00997AA0" w:rsidRDefault="0022536A" w:rsidP="00BB03FB">
            <w:pPr>
              <w:keepNext/>
              <w:keepLines/>
              <w:spacing w:before="40" w:after="40"/>
              <w:jc w:val="center"/>
              <w:rPr>
                <w:sz w:val="18"/>
                <w:szCs w:val="18"/>
                <w:highlight w:val="yellow"/>
              </w:rPr>
            </w:pPr>
            <w:r w:rsidRPr="00997AA0">
              <w:rPr>
                <w:sz w:val="18"/>
                <w:szCs w:val="18"/>
              </w:rPr>
              <w:lastRenderedPageBreak/>
              <w:t>Sector</w:t>
            </w:r>
          </w:p>
        </w:tc>
        <w:tc>
          <w:tcPr>
            <w:tcW w:w="3208" w:type="dxa"/>
            <w:gridSpan w:val="2"/>
            <w:shd w:val="clear" w:color="auto" w:fill="CCCCFF"/>
            <w:vAlign w:val="center"/>
          </w:tcPr>
          <w:p w14:paraId="091BD2F5" w14:textId="77777777" w:rsidR="0022536A" w:rsidRPr="00997AA0" w:rsidRDefault="0022536A" w:rsidP="00BB03FB">
            <w:pPr>
              <w:keepNext/>
              <w:keepLines/>
              <w:spacing w:before="40" w:after="40"/>
              <w:jc w:val="center"/>
              <w:rPr>
                <w:sz w:val="18"/>
                <w:szCs w:val="18"/>
              </w:rPr>
            </w:pPr>
            <w:r w:rsidRPr="00997AA0">
              <w:rPr>
                <w:sz w:val="18"/>
                <w:szCs w:val="18"/>
              </w:rPr>
              <w:t>Marco de estudio</w:t>
            </w:r>
          </w:p>
        </w:tc>
        <w:tc>
          <w:tcPr>
            <w:tcW w:w="1328" w:type="dxa"/>
            <w:vMerge w:val="restart"/>
            <w:shd w:val="clear" w:color="auto" w:fill="CCCCFF"/>
          </w:tcPr>
          <w:p w14:paraId="091BD2F6" w14:textId="77777777" w:rsidR="0022536A" w:rsidRPr="00997AA0" w:rsidRDefault="0022536A" w:rsidP="00BB03FB">
            <w:pPr>
              <w:keepNext/>
              <w:keepLines/>
              <w:spacing w:before="40" w:after="40"/>
              <w:jc w:val="center"/>
              <w:rPr>
                <w:sz w:val="18"/>
                <w:szCs w:val="18"/>
                <w:highlight w:val="yellow"/>
              </w:rPr>
            </w:pPr>
            <w:r w:rsidRPr="00997AA0">
              <w:rPr>
                <w:sz w:val="18"/>
                <w:szCs w:val="18"/>
              </w:rPr>
              <w:t>Tamaño de muestra</w:t>
            </w:r>
          </w:p>
        </w:tc>
      </w:tr>
      <w:tr w:rsidR="0022536A" w:rsidRPr="00997AA0" w14:paraId="091BD2FC" w14:textId="77777777" w:rsidTr="00C854E9">
        <w:trPr>
          <w:cantSplit/>
          <w:jc w:val="center"/>
        </w:trPr>
        <w:tc>
          <w:tcPr>
            <w:tcW w:w="2969" w:type="dxa"/>
            <w:vMerge/>
          </w:tcPr>
          <w:p w14:paraId="091BD2F8" w14:textId="77777777" w:rsidR="0022536A" w:rsidRPr="00997AA0" w:rsidRDefault="0022536A" w:rsidP="00BB03FB">
            <w:pPr>
              <w:keepNext/>
              <w:keepLines/>
              <w:spacing w:before="40" w:after="4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81" w:type="dxa"/>
            <w:shd w:val="clear" w:color="auto" w:fill="CCCCFF"/>
            <w:vAlign w:val="center"/>
          </w:tcPr>
          <w:p w14:paraId="091BD2F9" w14:textId="77777777" w:rsidR="0022536A" w:rsidRPr="00997AA0" w:rsidRDefault="0022536A" w:rsidP="00BB03FB">
            <w:pPr>
              <w:keepNext/>
              <w:keepLines/>
              <w:spacing w:before="40" w:after="40"/>
              <w:jc w:val="center"/>
              <w:rPr>
                <w:sz w:val="18"/>
                <w:szCs w:val="18"/>
              </w:rPr>
            </w:pPr>
            <w:r w:rsidRPr="00997AA0">
              <w:rPr>
                <w:sz w:val="18"/>
                <w:szCs w:val="18"/>
              </w:rPr>
              <w:t>Tamaño</w:t>
            </w:r>
          </w:p>
        </w:tc>
        <w:tc>
          <w:tcPr>
            <w:tcW w:w="1327" w:type="dxa"/>
            <w:shd w:val="clear" w:color="auto" w:fill="CCCCFF"/>
            <w:vAlign w:val="center"/>
          </w:tcPr>
          <w:p w14:paraId="091BD2FA" w14:textId="77777777" w:rsidR="0022536A" w:rsidRPr="00997AA0" w:rsidRDefault="0022536A" w:rsidP="00BB03FB">
            <w:pPr>
              <w:keepNext/>
              <w:keepLines/>
              <w:spacing w:before="40" w:after="40"/>
              <w:jc w:val="center"/>
              <w:rPr>
                <w:sz w:val="18"/>
                <w:szCs w:val="18"/>
              </w:rPr>
            </w:pPr>
            <w:r w:rsidRPr="00997AA0">
              <w:rPr>
                <w:sz w:val="18"/>
                <w:szCs w:val="18"/>
              </w:rPr>
              <w:t>Empresas</w:t>
            </w:r>
          </w:p>
        </w:tc>
        <w:tc>
          <w:tcPr>
            <w:tcW w:w="1328" w:type="dxa"/>
            <w:vMerge/>
            <w:shd w:val="clear" w:color="auto" w:fill="CCCCFF"/>
          </w:tcPr>
          <w:p w14:paraId="091BD2FB" w14:textId="77777777" w:rsidR="0022536A" w:rsidRPr="00997AA0" w:rsidRDefault="0022536A" w:rsidP="00BB03FB">
            <w:pPr>
              <w:keepNext/>
              <w:keepLines/>
              <w:spacing w:before="40" w:after="4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97AA0" w:rsidRPr="00997AA0" w14:paraId="091BD301" w14:textId="77777777" w:rsidTr="00C854E9">
        <w:trPr>
          <w:cantSplit/>
          <w:jc w:val="center"/>
        </w:trPr>
        <w:tc>
          <w:tcPr>
            <w:tcW w:w="2969" w:type="dxa"/>
          </w:tcPr>
          <w:p w14:paraId="091BD2FD" w14:textId="77777777" w:rsidR="00997AA0" w:rsidRPr="00997AA0" w:rsidRDefault="00997AA0" w:rsidP="00BB03FB">
            <w:pPr>
              <w:keepNext/>
              <w:keepLines/>
              <w:spacing w:before="40" w:after="40"/>
              <w:jc w:val="left"/>
              <w:rPr>
                <w:b/>
                <w:sz w:val="18"/>
                <w:szCs w:val="18"/>
              </w:rPr>
            </w:pPr>
            <w:r w:rsidRPr="00997AA0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881" w:type="dxa"/>
          </w:tcPr>
          <w:p w14:paraId="091BD2FE" w14:textId="77777777" w:rsidR="00997AA0" w:rsidRPr="00997AA0" w:rsidRDefault="00997AA0" w:rsidP="00BB03FB">
            <w:pPr>
              <w:keepNext/>
              <w:keepLines/>
              <w:tabs>
                <w:tab w:val="decimal" w:pos="2898"/>
              </w:tabs>
              <w:spacing w:before="40" w:after="40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27" w:type="dxa"/>
            <w:vAlign w:val="center"/>
          </w:tcPr>
          <w:p w14:paraId="091BD2FF" w14:textId="578A082D" w:rsidR="00997AA0" w:rsidRPr="0055455D" w:rsidRDefault="00997AA0" w:rsidP="00BB03FB">
            <w:pPr>
              <w:keepNext/>
              <w:keepLines/>
              <w:tabs>
                <w:tab w:val="decimal" w:pos="466"/>
              </w:tabs>
              <w:spacing w:before="40" w:after="40"/>
              <w:jc w:val="left"/>
              <w:rPr>
                <w:b/>
                <w:bCs/>
                <w:sz w:val="18"/>
                <w:szCs w:val="18"/>
              </w:rPr>
            </w:pPr>
            <w:r w:rsidRPr="0055455D">
              <w:rPr>
                <w:b/>
                <w:bCs/>
                <w:sz w:val="18"/>
                <w:szCs w:val="18"/>
              </w:rPr>
              <w:t>21 602</w:t>
            </w:r>
          </w:p>
        </w:tc>
        <w:tc>
          <w:tcPr>
            <w:tcW w:w="1328" w:type="dxa"/>
            <w:vAlign w:val="center"/>
          </w:tcPr>
          <w:p w14:paraId="091BD300" w14:textId="771B6B4F" w:rsidR="00997AA0" w:rsidRPr="0055455D" w:rsidRDefault="00997AA0" w:rsidP="00BB03FB">
            <w:pPr>
              <w:keepNext/>
              <w:keepLines/>
              <w:tabs>
                <w:tab w:val="decimal" w:pos="426"/>
              </w:tabs>
              <w:spacing w:before="40" w:after="40"/>
              <w:jc w:val="left"/>
              <w:rPr>
                <w:b/>
                <w:bCs/>
                <w:sz w:val="18"/>
                <w:szCs w:val="18"/>
              </w:rPr>
            </w:pPr>
            <w:r w:rsidRPr="0055455D">
              <w:rPr>
                <w:b/>
                <w:bCs/>
                <w:sz w:val="18"/>
                <w:szCs w:val="18"/>
              </w:rPr>
              <w:t>3 691</w:t>
            </w:r>
          </w:p>
        </w:tc>
      </w:tr>
      <w:tr w:rsidR="00997AA0" w:rsidRPr="00997AA0" w14:paraId="091BD306" w14:textId="77777777" w:rsidTr="00C854E9">
        <w:trPr>
          <w:cantSplit/>
          <w:jc w:val="center"/>
        </w:trPr>
        <w:tc>
          <w:tcPr>
            <w:tcW w:w="2969" w:type="dxa"/>
            <w:vAlign w:val="center"/>
          </w:tcPr>
          <w:p w14:paraId="091BD302" w14:textId="7635B341" w:rsidR="00997AA0" w:rsidRPr="00997AA0" w:rsidRDefault="00997AA0" w:rsidP="00BB03FB">
            <w:pPr>
              <w:keepNext/>
              <w:keepLines/>
              <w:spacing w:before="40" w:after="40"/>
              <w:jc w:val="left"/>
              <w:rPr>
                <w:sz w:val="18"/>
                <w:szCs w:val="18"/>
              </w:rPr>
            </w:pPr>
            <w:r w:rsidRPr="00997AA0">
              <w:rPr>
                <w:sz w:val="18"/>
                <w:szCs w:val="18"/>
              </w:rPr>
              <w:t>Industrias manufactureras</w:t>
            </w:r>
          </w:p>
        </w:tc>
        <w:tc>
          <w:tcPr>
            <w:tcW w:w="1881" w:type="dxa"/>
          </w:tcPr>
          <w:p w14:paraId="091BD303" w14:textId="69A88C40" w:rsidR="00997AA0" w:rsidRPr="0055455D" w:rsidRDefault="00997AA0" w:rsidP="00BB03FB">
            <w:pPr>
              <w:keepNext/>
              <w:keepLines/>
              <w:spacing w:before="40" w:after="40"/>
              <w:ind w:left="-24" w:right="-104"/>
              <w:jc w:val="left"/>
              <w:rPr>
                <w:sz w:val="18"/>
                <w:szCs w:val="18"/>
              </w:rPr>
            </w:pPr>
            <w:r w:rsidRPr="0055455D">
              <w:rPr>
                <w:sz w:val="18"/>
                <w:szCs w:val="18"/>
              </w:rPr>
              <w:t xml:space="preserve">101 y más </w:t>
            </w:r>
            <w:r w:rsidRPr="0055455D">
              <w:rPr>
                <w:sz w:val="18"/>
                <w:szCs w:val="18"/>
              </w:rPr>
              <w:br/>
              <w:t>personas ocupadas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091BD304" w14:textId="3BC6E1EC" w:rsidR="00997AA0" w:rsidRPr="0055455D" w:rsidRDefault="00997AA0" w:rsidP="00BB03FB">
            <w:pPr>
              <w:keepNext/>
              <w:keepLines/>
              <w:tabs>
                <w:tab w:val="decimal" w:pos="466"/>
              </w:tabs>
              <w:spacing w:before="40" w:after="40"/>
              <w:jc w:val="left"/>
              <w:rPr>
                <w:sz w:val="18"/>
                <w:szCs w:val="18"/>
              </w:rPr>
            </w:pPr>
            <w:r w:rsidRPr="0055455D">
              <w:rPr>
                <w:sz w:val="18"/>
                <w:szCs w:val="18"/>
              </w:rPr>
              <w:t>7 080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091BD305" w14:textId="45A741FD" w:rsidR="00997AA0" w:rsidRPr="0055455D" w:rsidRDefault="00997AA0" w:rsidP="00BB03FB">
            <w:pPr>
              <w:keepNext/>
              <w:keepLines/>
              <w:tabs>
                <w:tab w:val="decimal" w:pos="426"/>
              </w:tabs>
              <w:spacing w:before="40" w:after="40"/>
              <w:jc w:val="left"/>
              <w:rPr>
                <w:sz w:val="18"/>
                <w:szCs w:val="18"/>
              </w:rPr>
            </w:pPr>
            <w:r w:rsidRPr="0055455D">
              <w:rPr>
                <w:sz w:val="18"/>
                <w:szCs w:val="18"/>
              </w:rPr>
              <w:t>1 617</w:t>
            </w:r>
          </w:p>
        </w:tc>
      </w:tr>
      <w:tr w:rsidR="00997AA0" w:rsidRPr="00997AA0" w14:paraId="091BD30B" w14:textId="77777777" w:rsidTr="00C854E9">
        <w:trPr>
          <w:cantSplit/>
          <w:jc w:val="center"/>
        </w:trPr>
        <w:tc>
          <w:tcPr>
            <w:tcW w:w="2969" w:type="dxa"/>
            <w:vAlign w:val="center"/>
          </w:tcPr>
          <w:p w14:paraId="091BD307" w14:textId="77777777" w:rsidR="00997AA0" w:rsidRPr="00997AA0" w:rsidRDefault="00997AA0" w:rsidP="00BB03FB">
            <w:pPr>
              <w:keepNext/>
              <w:keepLines/>
              <w:spacing w:before="40" w:after="40"/>
              <w:jc w:val="left"/>
              <w:rPr>
                <w:sz w:val="18"/>
                <w:szCs w:val="18"/>
              </w:rPr>
            </w:pPr>
            <w:r w:rsidRPr="00997AA0">
              <w:rPr>
                <w:sz w:val="18"/>
                <w:szCs w:val="18"/>
              </w:rPr>
              <w:t>Construcción</w:t>
            </w:r>
          </w:p>
        </w:tc>
        <w:tc>
          <w:tcPr>
            <w:tcW w:w="1881" w:type="dxa"/>
          </w:tcPr>
          <w:p w14:paraId="091BD308" w14:textId="56FE4877" w:rsidR="00997AA0" w:rsidRPr="0055455D" w:rsidRDefault="00997AA0" w:rsidP="00BB03FB">
            <w:pPr>
              <w:pStyle w:val="Prrafodelista"/>
              <w:keepNext/>
              <w:keepLines/>
              <w:spacing w:before="40" w:after="40"/>
              <w:ind w:left="-24" w:right="-104"/>
              <w:jc w:val="left"/>
              <w:rPr>
                <w:sz w:val="18"/>
                <w:szCs w:val="18"/>
              </w:rPr>
            </w:pPr>
            <w:r w:rsidRPr="0055455D">
              <w:rPr>
                <w:sz w:val="18"/>
                <w:szCs w:val="18"/>
              </w:rPr>
              <w:t xml:space="preserve">101 y más </w:t>
            </w:r>
            <w:r w:rsidRPr="0055455D">
              <w:rPr>
                <w:sz w:val="18"/>
                <w:szCs w:val="18"/>
              </w:rPr>
              <w:br/>
              <w:t>personas ocupadas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091BD309" w14:textId="3042F2C4" w:rsidR="00997AA0" w:rsidRPr="0055455D" w:rsidRDefault="00997AA0" w:rsidP="00BB03FB">
            <w:pPr>
              <w:keepNext/>
              <w:keepLines/>
              <w:tabs>
                <w:tab w:val="decimal" w:pos="466"/>
              </w:tabs>
              <w:spacing w:before="40" w:after="40"/>
              <w:jc w:val="left"/>
              <w:rPr>
                <w:sz w:val="18"/>
                <w:szCs w:val="18"/>
              </w:rPr>
            </w:pPr>
            <w:r w:rsidRPr="0055455D">
              <w:rPr>
                <w:sz w:val="18"/>
                <w:szCs w:val="18"/>
              </w:rPr>
              <w:t>1 308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091BD30A" w14:textId="1DC766A7" w:rsidR="00997AA0" w:rsidRPr="0055455D" w:rsidRDefault="00997AA0" w:rsidP="00BB03FB">
            <w:pPr>
              <w:keepNext/>
              <w:keepLines/>
              <w:tabs>
                <w:tab w:val="decimal" w:pos="762"/>
              </w:tabs>
              <w:spacing w:before="40" w:after="40"/>
              <w:jc w:val="left"/>
              <w:rPr>
                <w:sz w:val="18"/>
                <w:szCs w:val="18"/>
              </w:rPr>
            </w:pPr>
            <w:r w:rsidRPr="0055455D">
              <w:rPr>
                <w:sz w:val="18"/>
                <w:szCs w:val="18"/>
              </w:rPr>
              <w:t>153</w:t>
            </w:r>
          </w:p>
        </w:tc>
      </w:tr>
      <w:tr w:rsidR="00997AA0" w:rsidRPr="00997AA0" w14:paraId="091BD310" w14:textId="77777777" w:rsidTr="00C854E9">
        <w:trPr>
          <w:cantSplit/>
          <w:jc w:val="center"/>
        </w:trPr>
        <w:tc>
          <w:tcPr>
            <w:tcW w:w="2969" w:type="dxa"/>
            <w:vAlign w:val="center"/>
          </w:tcPr>
          <w:p w14:paraId="091BD30C" w14:textId="77777777" w:rsidR="00997AA0" w:rsidRPr="00997AA0" w:rsidRDefault="00997AA0" w:rsidP="00BB03FB">
            <w:pPr>
              <w:keepNext/>
              <w:keepLines/>
              <w:spacing w:before="40" w:after="40"/>
              <w:jc w:val="left"/>
              <w:rPr>
                <w:sz w:val="18"/>
                <w:szCs w:val="18"/>
              </w:rPr>
            </w:pPr>
            <w:r w:rsidRPr="00997AA0">
              <w:rPr>
                <w:sz w:val="18"/>
                <w:szCs w:val="18"/>
              </w:rPr>
              <w:t>Comercio</w:t>
            </w:r>
          </w:p>
        </w:tc>
        <w:tc>
          <w:tcPr>
            <w:tcW w:w="1881" w:type="dxa"/>
          </w:tcPr>
          <w:p w14:paraId="091BD30D" w14:textId="168E9A0D" w:rsidR="00997AA0" w:rsidRPr="0055455D" w:rsidRDefault="00997AA0" w:rsidP="00BB03FB">
            <w:pPr>
              <w:keepNext/>
              <w:keepLines/>
              <w:spacing w:before="40" w:after="40"/>
              <w:ind w:left="-24" w:right="-104"/>
              <w:jc w:val="left"/>
              <w:rPr>
                <w:sz w:val="18"/>
                <w:szCs w:val="18"/>
              </w:rPr>
            </w:pPr>
            <w:r w:rsidRPr="0055455D">
              <w:rPr>
                <w:sz w:val="18"/>
                <w:szCs w:val="18"/>
              </w:rPr>
              <w:t xml:space="preserve">101 y más </w:t>
            </w:r>
            <w:r w:rsidRPr="0055455D">
              <w:rPr>
                <w:sz w:val="18"/>
                <w:szCs w:val="18"/>
              </w:rPr>
              <w:br/>
              <w:t>personas ocupadas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091BD30E" w14:textId="4522EF63" w:rsidR="00997AA0" w:rsidRPr="0055455D" w:rsidRDefault="00997AA0" w:rsidP="00BB03FB">
            <w:pPr>
              <w:keepNext/>
              <w:keepLines/>
              <w:tabs>
                <w:tab w:val="decimal" w:pos="466"/>
              </w:tabs>
              <w:spacing w:before="40" w:after="40"/>
              <w:jc w:val="left"/>
              <w:rPr>
                <w:sz w:val="18"/>
                <w:szCs w:val="18"/>
              </w:rPr>
            </w:pPr>
            <w:r w:rsidRPr="0055455D">
              <w:rPr>
                <w:sz w:val="18"/>
                <w:szCs w:val="18"/>
              </w:rPr>
              <w:t>4 132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091BD30F" w14:textId="73BEAE62" w:rsidR="00997AA0" w:rsidRPr="0055455D" w:rsidRDefault="00997AA0" w:rsidP="00BB03FB">
            <w:pPr>
              <w:keepNext/>
              <w:keepLines/>
              <w:tabs>
                <w:tab w:val="decimal" w:pos="762"/>
              </w:tabs>
              <w:spacing w:before="40" w:after="40"/>
              <w:jc w:val="left"/>
              <w:rPr>
                <w:sz w:val="18"/>
                <w:szCs w:val="18"/>
              </w:rPr>
            </w:pPr>
            <w:r w:rsidRPr="0055455D">
              <w:rPr>
                <w:sz w:val="18"/>
                <w:szCs w:val="18"/>
              </w:rPr>
              <w:t>527</w:t>
            </w:r>
          </w:p>
        </w:tc>
      </w:tr>
      <w:tr w:rsidR="00997AA0" w:rsidRPr="00443B05" w14:paraId="091BD315" w14:textId="77777777" w:rsidTr="00C854E9">
        <w:trPr>
          <w:cantSplit/>
          <w:jc w:val="center"/>
        </w:trPr>
        <w:tc>
          <w:tcPr>
            <w:tcW w:w="2969" w:type="dxa"/>
            <w:vAlign w:val="center"/>
          </w:tcPr>
          <w:p w14:paraId="091BD311" w14:textId="41C47A49" w:rsidR="00997AA0" w:rsidRPr="00997AA0" w:rsidRDefault="00997AA0" w:rsidP="00BB03FB">
            <w:pPr>
              <w:keepNext/>
              <w:keepLines/>
              <w:spacing w:before="40" w:after="40"/>
              <w:jc w:val="left"/>
              <w:rPr>
                <w:sz w:val="18"/>
                <w:szCs w:val="18"/>
              </w:rPr>
            </w:pPr>
            <w:r w:rsidRPr="00997AA0">
              <w:rPr>
                <w:sz w:val="18"/>
                <w:szCs w:val="18"/>
              </w:rPr>
              <w:t>Servicios privados no financieros</w:t>
            </w:r>
          </w:p>
        </w:tc>
        <w:tc>
          <w:tcPr>
            <w:tcW w:w="1881" w:type="dxa"/>
          </w:tcPr>
          <w:p w14:paraId="091BD312" w14:textId="02658F2A" w:rsidR="00997AA0" w:rsidRPr="0055455D" w:rsidRDefault="00997AA0" w:rsidP="00BB03FB">
            <w:pPr>
              <w:keepNext/>
              <w:keepLines/>
              <w:spacing w:before="40" w:after="40"/>
              <w:ind w:left="-24" w:right="-104"/>
              <w:jc w:val="left"/>
              <w:rPr>
                <w:sz w:val="18"/>
                <w:szCs w:val="18"/>
              </w:rPr>
            </w:pPr>
            <w:r w:rsidRPr="0055455D">
              <w:rPr>
                <w:sz w:val="18"/>
                <w:szCs w:val="18"/>
              </w:rPr>
              <w:t xml:space="preserve">101 y más </w:t>
            </w:r>
            <w:r w:rsidRPr="0055455D">
              <w:rPr>
                <w:sz w:val="18"/>
                <w:szCs w:val="18"/>
              </w:rPr>
              <w:br/>
              <w:t>personas ocupadas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091BD313" w14:textId="0A97539E" w:rsidR="00997AA0" w:rsidRPr="0055455D" w:rsidRDefault="00997AA0" w:rsidP="00BB03FB">
            <w:pPr>
              <w:keepNext/>
              <w:keepLines/>
              <w:tabs>
                <w:tab w:val="decimal" w:pos="466"/>
              </w:tabs>
              <w:spacing w:before="40" w:after="40"/>
              <w:jc w:val="left"/>
              <w:rPr>
                <w:sz w:val="18"/>
                <w:szCs w:val="18"/>
              </w:rPr>
            </w:pPr>
            <w:r w:rsidRPr="0055455D">
              <w:rPr>
                <w:sz w:val="18"/>
                <w:szCs w:val="18"/>
              </w:rPr>
              <w:t>9 082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091BD314" w14:textId="5703C848" w:rsidR="00997AA0" w:rsidRPr="0055455D" w:rsidRDefault="00997AA0" w:rsidP="00BB03FB">
            <w:pPr>
              <w:keepNext/>
              <w:keepLines/>
              <w:tabs>
                <w:tab w:val="decimal" w:pos="426"/>
              </w:tabs>
              <w:spacing w:before="40" w:after="40"/>
              <w:jc w:val="left"/>
              <w:rPr>
                <w:sz w:val="18"/>
                <w:szCs w:val="18"/>
              </w:rPr>
            </w:pPr>
            <w:r w:rsidRPr="0055455D">
              <w:rPr>
                <w:sz w:val="18"/>
                <w:szCs w:val="18"/>
              </w:rPr>
              <w:t>1 394</w:t>
            </w:r>
          </w:p>
        </w:tc>
      </w:tr>
    </w:tbl>
    <w:p w14:paraId="091BD316" w14:textId="601E85D4" w:rsidR="0022536A" w:rsidRDefault="00AB6C2E" w:rsidP="00A3659D">
      <w:pPr>
        <w:pStyle w:val="Pa10"/>
        <w:spacing w:before="240" w:line="240" w:lineRule="auto"/>
        <w:jc w:val="both"/>
        <w:rPr>
          <w:lang w:val="es-ES_tradnl" w:eastAsia="es-MX"/>
        </w:rPr>
      </w:pPr>
      <w:r>
        <w:rPr>
          <w:lang w:val="es-MX" w:eastAsia="es-MX"/>
        </w:rPr>
        <w:t>Para captar la información</w:t>
      </w:r>
      <w:r w:rsidR="00640B4E">
        <w:rPr>
          <w:lang w:val="es-MX" w:eastAsia="es-MX"/>
        </w:rPr>
        <w:t xml:space="preserve"> </w:t>
      </w:r>
      <w:r>
        <w:rPr>
          <w:lang w:val="es-MX" w:eastAsia="es-MX"/>
        </w:rPr>
        <w:t>s</w:t>
      </w:r>
      <w:r w:rsidR="00640B4E">
        <w:rPr>
          <w:lang w:val="es-MX" w:eastAsia="es-MX"/>
        </w:rPr>
        <w:t>e</w:t>
      </w:r>
      <w:r w:rsidR="00640B4E">
        <w:rPr>
          <w:lang w:val="es-ES_tradnl" w:eastAsia="es-MX"/>
        </w:rPr>
        <w:t xml:space="preserve"> </w:t>
      </w:r>
      <w:r w:rsidR="0022536A" w:rsidRPr="00412AF8">
        <w:rPr>
          <w:lang w:val="es-ES_tradnl" w:eastAsia="es-MX"/>
        </w:rPr>
        <w:t xml:space="preserve">utilizan cuatro modalidades: cuestionario impreso, cuestionario electrónico para </w:t>
      </w:r>
      <w:r w:rsidR="005C641B">
        <w:rPr>
          <w:lang w:val="es-ES_tradnl" w:eastAsia="es-MX"/>
        </w:rPr>
        <w:t>d</w:t>
      </w:r>
      <w:r w:rsidR="0022536A" w:rsidRPr="00412AF8">
        <w:rPr>
          <w:lang w:val="es-ES_tradnl" w:eastAsia="es-MX"/>
        </w:rPr>
        <w:t xml:space="preserve">ispositivos de </w:t>
      </w:r>
      <w:r w:rsidR="005C641B">
        <w:rPr>
          <w:lang w:val="es-ES_tradnl" w:eastAsia="es-MX"/>
        </w:rPr>
        <w:t>c</w:t>
      </w:r>
      <w:r w:rsidR="0022536A" w:rsidRPr="00412AF8">
        <w:rPr>
          <w:lang w:val="es-ES_tradnl" w:eastAsia="es-MX"/>
        </w:rPr>
        <w:t xml:space="preserve">ómputo </w:t>
      </w:r>
      <w:r w:rsidR="005C641B">
        <w:rPr>
          <w:lang w:val="es-ES_tradnl" w:eastAsia="es-MX"/>
        </w:rPr>
        <w:t>m</w:t>
      </w:r>
      <w:r w:rsidR="0022536A" w:rsidRPr="00412AF8">
        <w:rPr>
          <w:lang w:val="es-ES_tradnl" w:eastAsia="es-MX"/>
        </w:rPr>
        <w:t>óvil</w:t>
      </w:r>
      <w:r w:rsidR="006C7371">
        <w:rPr>
          <w:lang w:val="es-ES_tradnl" w:eastAsia="es-MX"/>
        </w:rPr>
        <w:t>,</w:t>
      </w:r>
      <w:r w:rsidR="0022536A" w:rsidRPr="00412AF8">
        <w:rPr>
          <w:lang w:val="es-ES_tradnl" w:eastAsia="es-MX"/>
        </w:rPr>
        <w:t xml:space="preserve"> el Centro de Entrevistas Telefónicas Asistidas por </w:t>
      </w:r>
      <w:r w:rsidR="00565C47">
        <w:rPr>
          <w:lang w:val="es-ES_tradnl" w:eastAsia="es-MX"/>
        </w:rPr>
        <w:t>C</w:t>
      </w:r>
      <w:r w:rsidR="0022536A" w:rsidRPr="00412AF8">
        <w:rPr>
          <w:lang w:val="es-ES_tradnl" w:eastAsia="es-MX"/>
        </w:rPr>
        <w:t>omputadora (</w:t>
      </w:r>
      <w:r w:rsidR="0022536A" w:rsidRPr="00F509C5">
        <w:rPr>
          <w:lang w:val="es-ES_tradnl" w:eastAsia="es-MX"/>
        </w:rPr>
        <w:t>CATI</w:t>
      </w:r>
      <w:r w:rsidR="0022536A" w:rsidRPr="00D23F8D">
        <w:rPr>
          <w:lang w:val="es-ES_tradnl" w:eastAsia="es-MX"/>
        </w:rPr>
        <w:t>,</w:t>
      </w:r>
      <w:r w:rsidR="0022536A" w:rsidRPr="00412AF8">
        <w:rPr>
          <w:lang w:val="es-ES_tradnl" w:eastAsia="es-MX"/>
        </w:rPr>
        <w:t xml:space="preserve"> por sus siglas en ingl</w:t>
      </w:r>
      <w:r w:rsidR="0022536A">
        <w:rPr>
          <w:lang w:val="es-ES_tradnl" w:eastAsia="es-MX"/>
        </w:rPr>
        <w:t>é</w:t>
      </w:r>
      <w:r w:rsidR="0022536A" w:rsidRPr="00412AF8">
        <w:rPr>
          <w:lang w:val="es-ES_tradnl" w:eastAsia="es-MX"/>
        </w:rPr>
        <w:t>s)</w:t>
      </w:r>
      <w:r>
        <w:rPr>
          <w:lang w:val="es-ES_tradnl" w:eastAsia="es-MX"/>
        </w:rPr>
        <w:t>, así como</w:t>
      </w:r>
      <w:r w:rsidR="0022536A" w:rsidRPr="00412AF8">
        <w:rPr>
          <w:lang w:val="es-ES_tradnl" w:eastAsia="es-MX"/>
        </w:rPr>
        <w:t xml:space="preserve"> cuestionario electrónico en el </w:t>
      </w:r>
      <w:r w:rsidR="00480068">
        <w:rPr>
          <w:lang w:val="es-ES_tradnl" w:eastAsia="es-MX"/>
        </w:rPr>
        <w:t>s</w:t>
      </w:r>
      <w:r w:rsidR="0022536A" w:rsidRPr="00412AF8">
        <w:rPr>
          <w:lang w:val="es-ES_tradnl" w:eastAsia="es-MX"/>
        </w:rPr>
        <w:t>itio del INEGI.</w:t>
      </w:r>
    </w:p>
    <w:p w14:paraId="091BD317" w14:textId="46827FDA" w:rsidR="00B362A6" w:rsidRPr="00621BE0" w:rsidRDefault="00254465" w:rsidP="00A3659D">
      <w:pPr>
        <w:pStyle w:val="Default"/>
        <w:spacing w:before="240"/>
        <w:jc w:val="both"/>
      </w:pPr>
      <w:r>
        <w:rPr>
          <w:lang w:val="es-ES_tradnl"/>
        </w:rPr>
        <w:t xml:space="preserve">La </w:t>
      </w:r>
      <w:r w:rsidRPr="00CB1F9B">
        <w:t>direc</w:t>
      </w:r>
      <w:r>
        <w:t>ción</w:t>
      </w:r>
      <w:r w:rsidRPr="00CB1F9B">
        <w:t xml:space="preserve"> empresarial </w:t>
      </w:r>
      <w:r>
        <w:t>proporciona l</w:t>
      </w:r>
      <w:r w:rsidRPr="00CB1F9B">
        <w:t xml:space="preserve">os componentes del ICE </w:t>
      </w:r>
      <w:r>
        <w:t>durante</w:t>
      </w:r>
      <w:r w:rsidRPr="00CB1F9B">
        <w:t xml:space="preserve"> las tres primeras semanas del mes de referencia de la encuesta</w:t>
      </w:r>
      <w:r>
        <w:t>.</w:t>
      </w:r>
      <w:r w:rsidRPr="00CB1F9B">
        <w:t xml:space="preserve"> </w:t>
      </w:r>
      <w:r>
        <w:t>Se t</w:t>
      </w:r>
      <w:r w:rsidRPr="00CB1F9B">
        <w:t xml:space="preserve">oma como base la información disponible al momento en que </w:t>
      </w:r>
      <w:r>
        <w:t>esta</w:t>
      </w:r>
      <w:r w:rsidRPr="00CB1F9B">
        <w:t xml:space="preserve"> se aplica. Los resultados se difunden inmediatamente después de terminado dicho mes</w:t>
      </w:r>
      <w:r w:rsidR="00B362A6" w:rsidRPr="00CB1F9B">
        <w:t>.</w:t>
      </w:r>
    </w:p>
    <w:p w14:paraId="27F4836F" w14:textId="116B52FC" w:rsidR="004C5864" w:rsidRDefault="0022536A" w:rsidP="00FF5861">
      <w:pPr>
        <w:pStyle w:val="Default"/>
        <w:widowControl w:val="0"/>
        <w:spacing w:before="240"/>
        <w:jc w:val="both"/>
        <w:rPr>
          <w:b/>
        </w:rPr>
      </w:pPr>
      <w:r w:rsidRPr="00EE24EF">
        <w:rPr>
          <w:color w:val="auto"/>
        </w:rPr>
        <w:t xml:space="preserve">Los </w:t>
      </w:r>
      <w:r w:rsidR="00EF6AF1" w:rsidRPr="00EE24EF">
        <w:rPr>
          <w:color w:val="auto"/>
        </w:rPr>
        <w:t>I</w:t>
      </w:r>
      <w:r w:rsidRPr="00EE24EF">
        <w:rPr>
          <w:color w:val="auto"/>
        </w:rPr>
        <w:t xml:space="preserve">CE </w:t>
      </w:r>
      <w:r w:rsidR="00430DD6" w:rsidRPr="00EE24EF">
        <w:t xml:space="preserve">se integran mensualmente con base en </w:t>
      </w:r>
      <w:r w:rsidRPr="00EE24EF">
        <w:rPr>
          <w:color w:val="auto"/>
        </w:rPr>
        <w:t xml:space="preserve">la opinión de </w:t>
      </w:r>
      <w:r w:rsidR="00BA77EE" w:rsidRPr="00EE24EF">
        <w:rPr>
          <w:color w:val="auto"/>
        </w:rPr>
        <w:t xml:space="preserve">las y </w:t>
      </w:r>
      <w:r w:rsidRPr="00EE24EF">
        <w:rPr>
          <w:color w:val="auto"/>
        </w:rPr>
        <w:t>los directivos empresariales de</w:t>
      </w:r>
      <w:r w:rsidR="003D3217" w:rsidRPr="00EE24EF">
        <w:rPr>
          <w:color w:val="auto"/>
        </w:rPr>
        <w:t xml:space="preserve"> </w:t>
      </w:r>
      <w:r w:rsidRPr="00EE24EF">
        <w:rPr>
          <w:color w:val="auto"/>
        </w:rPr>
        <w:t>l</w:t>
      </w:r>
      <w:r w:rsidR="003D3217" w:rsidRPr="00EE24EF">
        <w:rPr>
          <w:color w:val="auto"/>
        </w:rPr>
        <w:t>os</w:t>
      </w:r>
      <w:r w:rsidRPr="00EE24EF">
        <w:rPr>
          <w:color w:val="auto"/>
        </w:rPr>
        <w:t xml:space="preserve"> sector</w:t>
      </w:r>
      <w:r w:rsidR="003D3217" w:rsidRPr="00EE24EF">
        <w:rPr>
          <w:color w:val="auto"/>
        </w:rPr>
        <w:t>es</w:t>
      </w:r>
      <w:r w:rsidR="00073BDE">
        <w:rPr>
          <w:color w:val="auto"/>
        </w:rPr>
        <w:t>:</w:t>
      </w:r>
      <w:r w:rsidRPr="00EE24EF">
        <w:rPr>
          <w:color w:val="auto"/>
        </w:rPr>
        <w:t xml:space="preserve"> Industrias </w:t>
      </w:r>
      <w:r w:rsidR="005C641B" w:rsidRPr="00EE24EF">
        <w:rPr>
          <w:color w:val="auto"/>
        </w:rPr>
        <w:t>m</w:t>
      </w:r>
      <w:r w:rsidRPr="00EE24EF">
        <w:rPr>
          <w:color w:val="auto"/>
        </w:rPr>
        <w:t>anufactureras, Construcción, Comercio y</w:t>
      </w:r>
      <w:r w:rsidR="005C641B" w:rsidRPr="00EE24EF">
        <w:rPr>
          <w:color w:val="auto"/>
        </w:rPr>
        <w:t xml:space="preserve"> </w:t>
      </w:r>
      <w:r w:rsidRPr="00EE24EF">
        <w:rPr>
          <w:color w:val="auto"/>
        </w:rPr>
        <w:t xml:space="preserve">Servicios </w:t>
      </w:r>
      <w:r w:rsidR="006064F5" w:rsidRPr="00EE24EF">
        <w:rPr>
          <w:color w:val="auto"/>
        </w:rPr>
        <w:t>p</w:t>
      </w:r>
      <w:r w:rsidRPr="00EE24EF">
        <w:rPr>
          <w:color w:val="auto"/>
        </w:rPr>
        <w:t xml:space="preserve">rivados no </w:t>
      </w:r>
      <w:r w:rsidR="006064F5" w:rsidRPr="00EE24EF">
        <w:rPr>
          <w:color w:val="auto"/>
        </w:rPr>
        <w:t>f</w:t>
      </w:r>
      <w:r w:rsidRPr="00EE24EF">
        <w:rPr>
          <w:color w:val="auto"/>
        </w:rPr>
        <w:t xml:space="preserve">inancieros sobre la situación económica </w:t>
      </w:r>
      <w:r w:rsidR="00F87830" w:rsidRPr="00EE24EF">
        <w:rPr>
          <w:color w:val="auto"/>
        </w:rPr>
        <w:t>d</w:t>
      </w:r>
      <w:r w:rsidRPr="00EE24EF">
        <w:rPr>
          <w:color w:val="auto"/>
        </w:rPr>
        <w:t xml:space="preserve">el país y </w:t>
      </w:r>
      <w:r w:rsidR="00F87830" w:rsidRPr="00EE24EF">
        <w:rPr>
          <w:color w:val="auto"/>
        </w:rPr>
        <w:t xml:space="preserve">de </w:t>
      </w:r>
      <w:r w:rsidRPr="00EE24EF">
        <w:rPr>
          <w:color w:val="auto"/>
        </w:rPr>
        <w:t xml:space="preserve">sus empresas al momento de aplicar la encuesta. </w:t>
      </w:r>
      <w:r w:rsidR="00C022CE" w:rsidRPr="00EE24EF">
        <w:rPr>
          <w:color w:val="auto"/>
        </w:rPr>
        <w:t>Los ICE son</w:t>
      </w:r>
      <w:r w:rsidRPr="00EE24EF">
        <w:rPr>
          <w:color w:val="auto"/>
        </w:rPr>
        <w:t xml:space="preserve"> indicadores compuestos</w:t>
      </w:r>
      <w:r w:rsidR="00F87830" w:rsidRPr="00EE24EF">
        <w:rPr>
          <w:color w:val="auto"/>
        </w:rPr>
        <w:t>,</w:t>
      </w:r>
      <w:r w:rsidRPr="00EE24EF">
        <w:rPr>
          <w:color w:val="auto"/>
        </w:rPr>
        <w:t xml:space="preserve"> </w:t>
      </w:r>
      <w:r w:rsidR="00AF2586" w:rsidRPr="00EE24EF">
        <w:rPr>
          <w:color w:val="auto"/>
        </w:rPr>
        <w:t>pues</w:t>
      </w:r>
      <w:r w:rsidRPr="00EE24EF">
        <w:rPr>
          <w:color w:val="auto"/>
        </w:rPr>
        <w:t xml:space="preserve"> </w:t>
      </w:r>
      <w:r w:rsidR="00A263A8" w:rsidRPr="00EE24EF">
        <w:rPr>
          <w:color w:val="auto"/>
        </w:rPr>
        <w:t xml:space="preserve">se calculan </w:t>
      </w:r>
      <w:r w:rsidR="007F1D02" w:rsidRPr="00EE24EF">
        <w:rPr>
          <w:color w:val="auto"/>
        </w:rPr>
        <w:t xml:space="preserve">como </w:t>
      </w:r>
      <w:r w:rsidR="00A263A8" w:rsidRPr="00EE24EF">
        <w:rPr>
          <w:color w:val="auto"/>
        </w:rPr>
        <w:t>e</w:t>
      </w:r>
      <w:r w:rsidR="001A2A4D" w:rsidRPr="00EE24EF">
        <w:rPr>
          <w:color w:val="auto"/>
        </w:rPr>
        <w:t>l promedio de</w:t>
      </w:r>
      <w:r w:rsidRPr="00EE24EF">
        <w:rPr>
          <w:color w:val="auto"/>
        </w:rPr>
        <w:t xml:space="preserve"> </w:t>
      </w:r>
      <w:r w:rsidR="00A263A8" w:rsidRPr="00EE24EF">
        <w:rPr>
          <w:color w:val="auto"/>
        </w:rPr>
        <w:t xml:space="preserve">los </w:t>
      </w:r>
      <w:r w:rsidRPr="00EE24EF">
        <w:rPr>
          <w:color w:val="auto"/>
        </w:rPr>
        <w:t>cinco indicadores simples</w:t>
      </w:r>
      <w:r w:rsidR="009E4FB6" w:rsidRPr="00EE24EF">
        <w:rPr>
          <w:color w:val="auto"/>
        </w:rPr>
        <w:t>.</w:t>
      </w:r>
      <w:r w:rsidR="00BC55A3" w:rsidRPr="00EE24EF">
        <w:rPr>
          <w:color w:val="auto"/>
        </w:rPr>
        <w:t xml:space="preserve"> </w:t>
      </w:r>
      <w:r w:rsidR="009E4FB6" w:rsidRPr="00EE24EF">
        <w:rPr>
          <w:color w:val="auto"/>
        </w:rPr>
        <w:t>Estos</w:t>
      </w:r>
      <w:r w:rsidRPr="00EE24EF">
        <w:rPr>
          <w:color w:val="auto"/>
        </w:rPr>
        <w:t xml:space="preserve"> se obtiene</w:t>
      </w:r>
      <w:r w:rsidR="00BC55A3" w:rsidRPr="00EE24EF">
        <w:rPr>
          <w:color w:val="auto"/>
        </w:rPr>
        <w:t>n</w:t>
      </w:r>
      <w:r w:rsidRPr="00EE24EF">
        <w:rPr>
          <w:color w:val="auto"/>
        </w:rPr>
        <w:t xml:space="preserve"> de promedi</w:t>
      </w:r>
      <w:r w:rsidR="002C0EA2" w:rsidRPr="00EE24EF">
        <w:rPr>
          <w:color w:val="auto"/>
        </w:rPr>
        <w:t>ar</w:t>
      </w:r>
      <w:r w:rsidRPr="00EE24EF">
        <w:rPr>
          <w:color w:val="auto"/>
        </w:rPr>
        <w:t xml:space="preserve"> los resultados expandidos de las respuestas a cada una de las siguientes preguntas:</w:t>
      </w:r>
    </w:p>
    <w:p w14:paraId="091BD31A" w14:textId="4E40D33C" w:rsidR="0022536A" w:rsidRPr="00EE24EF" w:rsidRDefault="0022536A" w:rsidP="00FC35C1">
      <w:pPr>
        <w:pStyle w:val="Default"/>
        <w:widowControl w:val="0"/>
        <w:numPr>
          <w:ilvl w:val="0"/>
          <w:numId w:val="25"/>
        </w:numPr>
        <w:spacing w:before="160"/>
        <w:ind w:left="714" w:hanging="357"/>
        <w:jc w:val="both"/>
        <w:rPr>
          <w:b/>
          <w:color w:val="auto"/>
        </w:rPr>
      </w:pPr>
      <w:r w:rsidRPr="00EE24EF">
        <w:rPr>
          <w:b/>
          <w:color w:val="auto"/>
        </w:rPr>
        <w:t xml:space="preserve">Momento adecuado para invertir </w:t>
      </w:r>
    </w:p>
    <w:p w14:paraId="091BD31B" w14:textId="5A1D6BE3" w:rsidR="0022536A" w:rsidRPr="00EE24EF" w:rsidRDefault="0022536A" w:rsidP="00FC35C1">
      <w:pPr>
        <w:pStyle w:val="Default"/>
        <w:widowControl w:val="0"/>
        <w:spacing w:after="120"/>
        <w:ind w:left="720"/>
        <w:jc w:val="both"/>
        <w:rPr>
          <w:color w:val="auto"/>
        </w:rPr>
      </w:pPr>
      <w:r w:rsidRPr="00EE24EF">
        <w:rPr>
          <w:color w:val="auto"/>
        </w:rPr>
        <w:t>Comparando la situación actual del país y de su empresa con la de hace un año</w:t>
      </w:r>
      <w:r w:rsidR="00374DD6">
        <w:rPr>
          <w:color w:val="auto"/>
        </w:rPr>
        <w:t>,</w:t>
      </w:r>
      <w:r w:rsidRPr="00EE24EF">
        <w:rPr>
          <w:color w:val="auto"/>
        </w:rPr>
        <w:t xml:space="preserve"> ¿</w:t>
      </w:r>
      <w:r w:rsidR="00374DD6">
        <w:rPr>
          <w:color w:val="auto"/>
        </w:rPr>
        <w:t>c</w:t>
      </w:r>
      <w:r w:rsidRPr="00EE24EF">
        <w:rPr>
          <w:color w:val="auto"/>
        </w:rPr>
        <w:t xml:space="preserve">ree que </w:t>
      </w:r>
      <w:r w:rsidR="003D3217" w:rsidRPr="00EE24EF">
        <w:rPr>
          <w:color w:val="auto"/>
        </w:rPr>
        <w:t>este</w:t>
      </w:r>
      <w:r w:rsidRPr="00EE24EF">
        <w:rPr>
          <w:color w:val="auto"/>
        </w:rPr>
        <w:t xml:space="preserve"> momento es el adecuado para que se realicen inversiones? </w:t>
      </w:r>
    </w:p>
    <w:p w14:paraId="091BD31C" w14:textId="7DB88174" w:rsidR="0022536A" w:rsidRPr="00EE24EF" w:rsidRDefault="0022536A" w:rsidP="00E101D5">
      <w:pPr>
        <w:pStyle w:val="Default"/>
        <w:widowControl w:val="0"/>
        <w:numPr>
          <w:ilvl w:val="0"/>
          <w:numId w:val="25"/>
        </w:numPr>
        <w:spacing w:before="160"/>
        <w:ind w:left="714" w:hanging="357"/>
        <w:jc w:val="both"/>
        <w:rPr>
          <w:b/>
          <w:color w:val="auto"/>
        </w:rPr>
      </w:pPr>
      <w:r w:rsidRPr="00EE24EF">
        <w:rPr>
          <w:b/>
          <w:color w:val="auto"/>
        </w:rPr>
        <w:t xml:space="preserve">Situación económica presente del país </w:t>
      </w:r>
    </w:p>
    <w:p w14:paraId="091BD31D" w14:textId="77777777" w:rsidR="0022536A" w:rsidRPr="00EE24EF" w:rsidRDefault="0022536A" w:rsidP="00E101D5">
      <w:pPr>
        <w:pStyle w:val="Default"/>
        <w:widowControl w:val="0"/>
        <w:spacing w:after="120"/>
        <w:ind w:left="720"/>
        <w:jc w:val="both"/>
        <w:rPr>
          <w:color w:val="auto"/>
        </w:rPr>
      </w:pPr>
      <w:r w:rsidRPr="00EE24EF">
        <w:rPr>
          <w:color w:val="auto"/>
        </w:rPr>
        <w:t xml:space="preserve">¿Cómo considera usted la situación económica del país hoy en día comparada con la de hace 12 meses? </w:t>
      </w:r>
    </w:p>
    <w:p w14:paraId="091BD31E" w14:textId="00F311CD" w:rsidR="0022536A" w:rsidRPr="00EE24EF" w:rsidRDefault="0022536A" w:rsidP="00FC35C1">
      <w:pPr>
        <w:pStyle w:val="Default"/>
        <w:widowControl w:val="0"/>
        <w:numPr>
          <w:ilvl w:val="0"/>
          <w:numId w:val="25"/>
        </w:numPr>
        <w:spacing w:before="160"/>
        <w:ind w:left="714" w:hanging="357"/>
        <w:jc w:val="both"/>
        <w:rPr>
          <w:b/>
          <w:color w:val="auto"/>
        </w:rPr>
      </w:pPr>
      <w:r w:rsidRPr="00EE24EF">
        <w:rPr>
          <w:b/>
          <w:color w:val="auto"/>
        </w:rPr>
        <w:t>Situación económica futura del país</w:t>
      </w:r>
    </w:p>
    <w:p w14:paraId="091BD31F" w14:textId="77777777" w:rsidR="0022536A" w:rsidRPr="00EE24EF" w:rsidRDefault="0022536A" w:rsidP="00FC35C1">
      <w:pPr>
        <w:pStyle w:val="Default"/>
        <w:widowControl w:val="0"/>
        <w:spacing w:after="120"/>
        <w:ind w:left="720"/>
        <w:jc w:val="both"/>
        <w:rPr>
          <w:color w:val="auto"/>
        </w:rPr>
      </w:pPr>
      <w:r w:rsidRPr="00EE24EF">
        <w:rPr>
          <w:color w:val="auto"/>
        </w:rPr>
        <w:t>¿Cómo considera usted que será la situación económica del país dentro de 12 meses, respecto a la actual?</w:t>
      </w:r>
    </w:p>
    <w:p w14:paraId="091BD320" w14:textId="2231B715" w:rsidR="0022536A" w:rsidRPr="00EE24EF" w:rsidRDefault="0022536A" w:rsidP="00FC35C1">
      <w:pPr>
        <w:pStyle w:val="Default"/>
        <w:widowControl w:val="0"/>
        <w:numPr>
          <w:ilvl w:val="0"/>
          <w:numId w:val="25"/>
        </w:numPr>
        <w:spacing w:before="160"/>
        <w:ind w:left="714" w:hanging="357"/>
        <w:jc w:val="both"/>
        <w:rPr>
          <w:b/>
          <w:color w:val="auto"/>
        </w:rPr>
      </w:pPr>
      <w:r w:rsidRPr="00EE24EF">
        <w:rPr>
          <w:b/>
          <w:color w:val="auto"/>
        </w:rPr>
        <w:t>Situación económica presente de la empresa</w:t>
      </w:r>
    </w:p>
    <w:p w14:paraId="091BD321" w14:textId="77777777" w:rsidR="0022536A" w:rsidRPr="00EE24EF" w:rsidRDefault="0022536A" w:rsidP="00FC35C1">
      <w:pPr>
        <w:pStyle w:val="Default"/>
        <w:widowControl w:val="0"/>
        <w:spacing w:after="120"/>
        <w:ind w:left="720"/>
        <w:jc w:val="both"/>
        <w:rPr>
          <w:color w:val="auto"/>
        </w:rPr>
      </w:pPr>
      <w:r w:rsidRPr="00EE24EF">
        <w:rPr>
          <w:color w:val="auto"/>
        </w:rPr>
        <w:t xml:space="preserve">¿Cómo considera usted la situación económica de su empresa hoy en día comparada con la de hace 12 meses? </w:t>
      </w:r>
    </w:p>
    <w:p w14:paraId="091BD322" w14:textId="6849645D" w:rsidR="0022536A" w:rsidRPr="00EE24EF" w:rsidRDefault="0022536A" w:rsidP="00FC35C1">
      <w:pPr>
        <w:pStyle w:val="Default"/>
        <w:widowControl w:val="0"/>
        <w:numPr>
          <w:ilvl w:val="0"/>
          <w:numId w:val="25"/>
        </w:numPr>
        <w:spacing w:before="160"/>
        <w:ind w:left="714" w:hanging="357"/>
        <w:jc w:val="both"/>
        <w:rPr>
          <w:b/>
          <w:color w:val="auto"/>
        </w:rPr>
      </w:pPr>
      <w:r w:rsidRPr="00EE24EF">
        <w:rPr>
          <w:b/>
          <w:color w:val="auto"/>
        </w:rPr>
        <w:t>Situación económica futura de la empresa</w:t>
      </w:r>
    </w:p>
    <w:p w14:paraId="70ADF40D" w14:textId="4CDCBC48" w:rsidR="006A6B6B" w:rsidRDefault="0022536A" w:rsidP="00640B4E">
      <w:pPr>
        <w:pStyle w:val="Default"/>
        <w:widowControl w:val="0"/>
        <w:ind w:left="720"/>
        <w:jc w:val="both"/>
        <w:rPr>
          <w:color w:val="auto"/>
        </w:rPr>
      </w:pPr>
      <w:r w:rsidRPr="00EE24EF">
        <w:rPr>
          <w:color w:val="auto"/>
        </w:rPr>
        <w:t xml:space="preserve">¿Cómo cree usted que será la situación económica de su empresa dentro de 12 meses, respecto a la actual? </w:t>
      </w:r>
    </w:p>
    <w:p w14:paraId="091BD324" w14:textId="2AF0BDCC" w:rsidR="0022536A" w:rsidRPr="00EE24EF" w:rsidRDefault="0022536A" w:rsidP="0022536A">
      <w:pPr>
        <w:pStyle w:val="Default"/>
        <w:widowControl w:val="0"/>
        <w:spacing w:before="240"/>
        <w:jc w:val="both"/>
        <w:rPr>
          <w:color w:val="auto"/>
        </w:rPr>
      </w:pPr>
      <w:r w:rsidRPr="00EE24EF">
        <w:rPr>
          <w:color w:val="auto"/>
        </w:rPr>
        <w:lastRenderedPageBreak/>
        <w:t xml:space="preserve">En </w:t>
      </w:r>
      <w:r w:rsidRPr="00EE24EF">
        <w:rPr>
          <w:color w:val="auto"/>
          <w:spacing w:val="-2"/>
        </w:rPr>
        <w:t xml:space="preserve">la primera pregunta, </w:t>
      </w:r>
      <w:r w:rsidR="00B63A9B" w:rsidRPr="00EE24EF">
        <w:rPr>
          <w:color w:val="auto"/>
          <w:spacing w:val="-2"/>
        </w:rPr>
        <w:t xml:space="preserve">la o </w:t>
      </w:r>
      <w:r w:rsidRPr="00EE24EF">
        <w:rPr>
          <w:color w:val="auto"/>
          <w:spacing w:val="-2"/>
        </w:rPr>
        <w:t>el informante s</w:t>
      </w:r>
      <w:r w:rsidR="00B63A9B" w:rsidRPr="00EE24EF">
        <w:rPr>
          <w:color w:val="auto"/>
          <w:spacing w:val="-2"/>
        </w:rPr>
        <w:t>o</w:t>
      </w:r>
      <w:r w:rsidRPr="00EE24EF">
        <w:rPr>
          <w:color w:val="auto"/>
          <w:spacing w:val="-2"/>
        </w:rPr>
        <w:t xml:space="preserve">lo tiene tres opciones de respuesta: </w:t>
      </w:r>
      <w:r w:rsidR="006C7371" w:rsidRPr="00EE24EF">
        <w:rPr>
          <w:i/>
          <w:iCs/>
          <w:color w:val="auto"/>
          <w:spacing w:val="-2"/>
        </w:rPr>
        <w:t>s</w:t>
      </w:r>
      <w:r w:rsidRPr="00EE24EF">
        <w:rPr>
          <w:i/>
          <w:iCs/>
          <w:color w:val="auto"/>
          <w:spacing w:val="-2"/>
        </w:rPr>
        <w:t>í</w:t>
      </w:r>
      <w:r w:rsidRPr="00EE24EF">
        <w:rPr>
          <w:color w:val="auto"/>
          <w:spacing w:val="-2"/>
        </w:rPr>
        <w:t xml:space="preserve">, </w:t>
      </w:r>
      <w:r w:rsidR="006C7371" w:rsidRPr="00EE24EF">
        <w:rPr>
          <w:i/>
          <w:iCs/>
          <w:color w:val="auto"/>
          <w:spacing w:val="-2"/>
        </w:rPr>
        <w:t>n</w:t>
      </w:r>
      <w:r w:rsidR="00602FC9" w:rsidRPr="00EE24EF">
        <w:rPr>
          <w:i/>
          <w:iCs/>
          <w:color w:val="auto"/>
          <w:spacing w:val="-2"/>
        </w:rPr>
        <w:t>o sabe</w:t>
      </w:r>
      <w:r w:rsidR="00602FC9" w:rsidRPr="00EE24EF">
        <w:rPr>
          <w:color w:val="auto"/>
          <w:spacing w:val="-2"/>
        </w:rPr>
        <w:t xml:space="preserve"> y </w:t>
      </w:r>
      <w:r w:rsidR="006C7371" w:rsidRPr="00EE24EF">
        <w:rPr>
          <w:i/>
          <w:iCs/>
          <w:color w:val="auto"/>
          <w:spacing w:val="-2"/>
        </w:rPr>
        <w:t>n</w:t>
      </w:r>
      <w:r w:rsidRPr="00EE24EF">
        <w:rPr>
          <w:i/>
          <w:iCs/>
          <w:color w:val="auto"/>
          <w:spacing w:val="-2"/>
        </w:rPr>
        <w:t>o</w:t>
      </w:r>
      <w:r w:rsidR="00753B04" w:rsidRPr="00EE24EF">
        <w:rPr>
          <w:color w:val="auto"/>
          <w:spacing w:val="-2"/>
        </w:rPr>
        <w:t>. Para</w:t>
      </w:r>
      <w:r w:rsidRPr="00EE24EF">
        <w:rPr>
          <w:color w:val="auto"/>
          <w:spacing w:val="-2"/>
        </w:rPr>
        <w:t xml:space="preserve"> las cuatro preguntas restantes </w:t>
      </w:r>
      <w:r w:rsidR="00753B04" w:rsidRPr="00EE24EF">
        <w:rPr>
          <w:color w:val="auto"/>
          <w:spacing w:val="-2"/>
        </w:rPr>
        <w:t xml:space="preserve">se </w:t>
      </w:r>
      <w:r w:rsidRPr="00EE24EF">
        <w:rPr>
          <w:color w:val="auto"/>
          <w:spacing w:val="-2"/>
        </w:rPr>
        <w:t>mantienen cinco opciones de respuesta</w:t>
      </w:r>
      <w:r w:rsidRPr="00EE24EF">
        <w:rPr>
          <w:color w:val="auto"/>
        </w:rPr>
        <w:t xml:space="preserve">: </w:t>
      </w:r>
      <w:r w:rsidR="006C7371" w:rsidRPr="00EE24EF">
        <w:rPr>
          <w:i/>
          <w:iCs/>
          <w:color w:val="auto"/>
        </w:rPr>
        <w:t>m</w:t>
      </w:r>
      <w:r w:rsidRPr="00EE24EF">
        <w:rPr>
          <w:i/>
          <w:iCs/>
          <w:color w:val="auto"/>
        </w:rPr>
        <w:t>ucho mejor</w:t>
      </w:r>
      <w:r w:rsidRPr="00EE24EF">
        <w:rPr>
          <w:color w:val="auto"/>
        </w:rPr>
        <w:t xml:space="preserve">, </w:t>
      </w:r>
      <w:r w:rsidR="006C7371" w:rsidRPr="00EE24EF">
        <w:rPr>
          <w:i/>
          <w:iCs/>
          <w:color w:val="auto"/>
        </w:rPr>
        <w:t>m</w:t>
      </w:r>
      <w:r w:rsidRPr="00EE24EF">
        <w:rPr>
          <w:i/>
          <w:iCs/>
          <w:color w:val="auto"/>
        </w:rPr>
        <w:t>ejor</w:t>
      </w:r>
      <w:r w:rsidRPr="00EE24EF">
        <w:rPr>
          <w:color w:val="auto"/>
        </w:rPr>
        <w:t xml:space="preserve">, </w:t>
      </w:r>
      <w:r w:rsidR="006C7371" w:rsidRPr="00EE24EF">
        <w:rPr>
          <w:i/>
          <w:iCs/>
          <w:color w:val="auto"/>
        </w:rPr>
        <w:t>i</w:t>
      </w:r>
      <w:r w:rsidRPr="00EE24EF">
        <w:rPr>
          <w:i/>
          <w:iCs/>
          <w:color w:val="auto"/>
        </w:rPr>
        <w:t>gual</w:t>
      </w:r>
      <w:r w:rsidRPr="00EE24EF">
        <w:rPr>
          <w:color w:val="auto"/>
        </w:rPr>
        <w:t xml:space="preserve">, </w:t>
      </w:r>
      <w:r w:rsidR="006C7371" w:rsidRPr="00EE24EF">
        <w:rPr>
          <w:i/>
          <w:iCs/>
          <w:color w:val="auto"/>
        </w:rPr>
        <w:t>p</w:t>
      </w:r>
      <w:r w:rsidRPr="00EE24EF">
        <w:rPr>
          <w:i/>
          <w:iCs/>
          <w:color w:val="auto"/>
        </w:rPr>
        <w:t>eor</w:t>
      </w:r>
      <w:r w:rsidRPr="00EE24EF">
        <w:rPr>
          <w:color w:val="auto"/>
        </w:rPr>
        <w:t xml:space="preserve"> y </w:t>
      </w:r>
      <w:r w:rsidR="006C7371" w:rsidRPr="00EE24EF">
        <w:rPr>
          <w:i/>
          <w:iCs/>
          <w:color w:val="auto"/>
        </w:rPr>
        <w:t>m</w:t>
      </w:r>
      <w:r w:rsidRPr="00EE24EF">
        <w:rPr>
          <w:i/>
          <w:iCs/>
          <w:color w:val="auto"/>
        </w:rPr>
        <w:t>ucho peor</w:t>
      </w:r>
      <w:r w:rsidRPr="00EE24EF">
        <w:rPr>
          <w:color w:val="auto"/>
        </w:rPr>
        <w:t xml:space="preserve">. </w:t>
      </w:r>
    </w:p>
    <w:p w14:paraId="10BF5E80" w14:textId="24140963" w:rsidR="005046B9" w:rsidRDefault="0022536A" w:rsidP="004F4673">
      <w:pPr>
        <w:pStyle w:val="Default"/>
        <w:widowControl w:val="0"/>
        <w:spacing w:before="240" w:after="120"/>
        <w:jc w:val="both"/>
      </w:pPr>
      <w:r w:rsidRPr="00EE24EF">
        <w:rPr>
          <w:color w:val="auto"/>
        </w:rPr>
        <w:t>Cada nivel de respuesta cuenta con un ponderador:</w:t>
      </w:r>
    </w:p>
    <w:tbl>
      <w:tblPr>
        <w:tblStyle w:val="Tablaconcuadrcula"/>
        <w:tblW w:w="5670" w:type="dxa"/>
        <w:jc w:val="center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ook w:val="04A0" w:firstRow="1" w:lastRow="0" w:firstColumn="1" w:lastColumn="0" w:noHBand="0" w:noVBand="1"/>
      </w:tblPr>
      <w:tblGrid>
        <w:gridCol w:w="2946"/>
        <w:gridCol w:w="2724"/>
      </w:tblGrid>
      <w:tr w:rsidR="00780E58" w:rsidRPr="00443B05" w14:paraId="091BD328" w14:textId="77777777" w:rsidTr="00C854E9">
        <w:trPr>
          <w:jc w:val="center"/>
        </w:trPr>
        <w:tc>
          <w:tcPr>
            <w:tcW w:w="2946" w:type="dxa"/>
            <w:tcBorders>
              <w:bottom w:val="single" w:sz="4" w:space="0" w:color="404040"/>
            </w:tcBorders>
            <w:shd w:val="clear" w:color="auto" w:fill="CCCCFF"/>
          </w:tcPr>
          <w:p w14:paraId="091BD326" w14:textId="77777777" w:rsidR="00780E58" w:rsidRPr="00602FC9" w:rsidRDefault="00780E58" w:rsidP="00E777DA">
            <w:pPr>
              <w:widowControl w:val="0"/>
              <w:spacing w:before="120" w:after="120"/>
              <w:ind w:left="372"/>
              <w:jc w:val="left"/>
              <w:rPr>
                <w:sz w:val="18"/>
                <w:szCs w:val="18"/>
              </w:rPr>
            </w:pPr>
            <w:r w:rsidRPr="00602FC9">
              <w:rPr>
                <w:sz w:val="18"/>
                <w:szCs w:val="18"/>
              </w:rPr>
              <w:t>Opci</w:t>
            </w:r>
            <w:r>
              <w:rPr>
                <w:sz w:val="18"/>
                <w:szCs w:val="18"/>
              </w:rPr>
              <w:t>ón</w:t>
            </w:r>
            <w:r w:rsidRPr="00602FC9">
              <w:rPr>
                <w:sz w:val="18"/>
                <w:szCs w:val="18"/>
              </w:rPr>
              <w:t xml:space="preserve"> de respuesta</w:t>
            </w:r>
          </w:p>
        </w:tc>
        <w:tc>
          <w:tcPr>
            <w:tcW w:w="2724" w:type="dxa"/>
            <w:tcBorders>
              <w:bottom w:val="single" w:sz="4" w:space="0" w:color="404040"/>
            </w:tcBorders>
            <w:shd w:val="clear" w:color="auto" w:fill="CCCCFF"/>
          </w:tcPr>
          <w:p w14:paraId="091BD327" w14:textId="77777777" w:rsidR="00780E58" w:rsidRPr="00602FC9" w:rsidRDefault="00780E58" w:rsidP="00E777DA">
            <w:pPr>
              <w:widowControl w:val="0"/>
              <w:spacing w:before="120" w:after="120"/>
              <w:jc w:val="center"/>
              <w:rPr>
                <w:sz w:val="18"/>
                <w:szCs w:val="18"/>
              </w:rPr>
            </w:pPr>
            <w:r w:rsidRPr="00602FC9">
              <w:rPr>
                <w:sz w:val="18"/>
                <w:szCs w:val="18"/>
              </w:rPr>
              <w:t>Ponderador</w:t>
            </w:r>
          </w:p>
        </w:tc>
      </w:tr>
      <w:tr w:rsidR="00780E58" w:rsidRPr="00443B05" w14:paraId="091BD32B" w14:textId="77777777" w:rsidTr="00C854E9">
        <w:trPr>
          <w:jc w:val="center"/>
        </w:trPr>
        <w:tc>
          <w:tcPr>
            <w:tcW w:w="2946" w:type="dxa"/>
            <w:tcBorders>
              <w:bottom w:val="nil"/>
            </w:tcBorders>
            <w:vAlign w:val="center"/>
          </w:tcPr>
          <w:p w14:paraId="091BD329" w14:textId="77777777" w:rsidR="00780E58" w:rsidRPr="00443B05" w:rsidRDefault="00780E58" w:rsidP="00E777DA">
            <w:pPr>
              <w:widowControl w:val="0"/>
              <w:tabs>
                <w:tab w:val="left" w:pos="865"/>
              </w:tabs>
              <w:spacing w:before="40" w:after="40"/>
              <w:ind w:firstLine="39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Mucho mejor</w:t>
            </w:r>
          </w:p>
        </w:tc>
        <w:tc>
          <w:tcPr>
            <w:tcW w:w="2724" w:type="dxa"/>
            <w:tcBorders>
              <w:bottom w:val="nil"/>
            </w:tcBorders>
            <w:vAlign w:val="center"/>
          </w:tcPr>
          <w:p w14:paraId="091BD32A" w14:textId="77777777" w:rsidR="00780E58" w:rsidRPr="00602FC9" w:rsidRDefault="00780E58" w:rsidP="00E777DA">
            <w:pPr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  <w:r w:rsidRPr="00602FC9">
              <w:rPr>
                <w:sz w:val="18"/>
                <w:szCs w:val="18"/>
              </w:rPr>
              <w:t>1.00</w:t>
            </w:r>
          </w:p>
        </w:tc>
      </w:tr>
      <w:tr w:rsidR="00780E58" w:rsidRPr="00443B05" w14:paraId="091BD32E" w14:textId="77777777" w:rsidTr="00C854E9">
        <w:trPr>
          <w:jc w:val="center"/>
        </w:trPr>
        <w:tc>
          <w:tcPr>
            <w:tcW w:w="2946" w:type="dxa"/>
            <w:tcBorders>
              <w:top w:val="nil"/>
              <w:bottom w:val="nil"/>
            </w:tcBorders>
            <w:vAlign w:val="center"/>
          </w:tcPr>
          <w:p w14:paraId="091BD32C" w14:textId="77777777" w:rsidR="00780E58" w:rsidRPr="00443B05" w:rsidRDefault="00780E58" w:rsidP="00E777DA">
            <w:pPr>
              <w:widowControl w:val="0"/>
              <w:tabs>
                <w:tab w:val="left" w:pos="865"/>
              </w:tabs>
              <w:spacing w:before="40" w:after="40"/>
              <w:ind w:firstLine="39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Mejor</w:t>
            </w:r>
          </w:p>
        </w:tc>
        <w:tc>
          <w:tcPr>
            <w:tcW w:w="2724" w:type="dxa"/>
            <w:tcBorders>
              <w:top w:val="nil"/>
              <w:bottom w:val="nil"/>
            </w:tcBorders>
            <w:vAlign w:val="center"/>
          </w:tcPr>
          <w:p w14:paraId="091BD32D" w14:textId="77777777" w:rsidR="00780E58" w:rsidRPr="00602FC9" w:rsidRDefault="00780E58" w:rsidP="00E777DA">
            <w:pPr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  <w:r w:rsidRPr="00602FC9">
              <w:rPr>
                <w:sz w:val="18"/>
                <w:szCs w:val="18"/>
              </w:rPr>
              <w:t>0.75</w:t>
            </w:r>
          </w:p>
        </w:tc>
      </w:tr>
      <w:tr w:rsidR="00780E58" w:rsidRPr="00443B05" w14:paraId="091BD331" w14:textId="77777777" w:rsidTr="00C854E9">
        <w:trPr>
          <w:jc w:val="center"/>
        </w:trPr>
        <w:tc>
          <w:tcPr>
            <w:tcW w:w="2946" w:type="dxa"/>
            <w:tcBorders>
              <w:top w:val="nil"/>
              <w:bottom w:val="nil"/>
            </w:tcBorders>
            <w:vAlign w:val="center"/>
          </w:tcPr>
          <w:p w14:paraId="091BD32F" w14:textId="77777777" w:rsidR="00780E58" w:rsidRPr="00443B05" w:rsidRDefault="00780E58" w:rsidP="00E777DA">
            <w:pPr>
              <w:widowControl w:val="0"/>
              <w:tabs>
                <w:tab w:val="left" w:pos="865"/>
              </w:tabs>
              <w:spacing w:before="40" w:after="40"/>
              <w:ind w:firstLine="39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Igual</w:t>
            </w:r>
          </w:p>
        </w:tc>
        <w:tc>
          <w:tcPr>
            <w:tcW w:w="2724" w:type="dxa"/>
            <w:tcBorders>
              <w:top w:val="nil"/>
              <w:bottom w:val="nil"/>
            </w:tcBorders>
            <w:vAlign w:val="center"/>
          </w:tcPr>
          <w:p w14:paraId="091BD330" w14:textId="77777777" w:rsidR="00780E58" w:rsidRPr="00602FC9" w:rsidRDefault="00780E58" w:rsidP="00E777DA">
            <w:pPr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  <w:r w:rsidRPr="00602FC9">
              <w:rPr>
                <w:sz w:val="18"/>
                <w:szCs w:val="18"/>
              </w:rPr>
              <w:t>0.50</w:t>
            </w:r>
          </w:p>
        </w:tc>
      </w:tr>
      <w:tr w:rsidR="00780E58" w:rsidRPr="00443B05" w14:paraId="091BD334" w14:textId="77777777" w:rsidTr="00C854E9">
        <w:trPr>
          <w:jc w:val="center"/>
        </w:trPr>
        <w:tc>
          <w:tcPr>
            <w:tcW w:w="2946" w:type="dxa"/>
            <w:tcBorders>
              <w:top w:val="nil"/>
              <w:bottom w:val="nil"/>
            </w:tcBorders>
            <w:vAlign w:val="center"/>
          </w:tcPr>
          <w:p w14:paraId="091BD332" w14:textId="77777777" w:rsidR="00780E58" w:rsidRPr="00443B05" w:rsidRDefault="00780E58" w:rsidP="00E777DA">
            <w:pPr>
              <w:widowControl w:val="0"/>
              <w:tabs>
                <w:tab w:val="left" w:pos="865"/>
              </w:tabs>
              <w:spacing w:before="40" w:after="40"/>
              <w:ind w:firstLine="39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Peor</w:t>
            </w:r>
          </w:p>
        </w:tc>
        <w:tc>
          <w:tcPr>
            <w:tcW w:w="2724" w:type="dxa"/>
            <w:tcBorders>
              <w:top w:val="nil"/>
              <w:bottom w:val="nil"/>
            </w:tcBorders>
            <w:vAlign w:val="center"/>
          </w:tcPr>
          <w:p w14:paraId="091BD333" w14:textId="77777777" w:rsidR="00780E58" w:rsidRPr="00602FC9" w:rsidRDefault="00780E58" w:rsidP="00E777DA">
            <w:pPr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  <w:r w:rsidRPr="00602FC9">
              <w:rPr>
                <w:sz w:val="18"/>
                <w:szCs w:val="18"/>
              </w:rPr>
              <w:t>0.25</w:t>
            </w:r>
          </w:p>
        </w:tc>
      </w:tr>
      <w:tr w:rsidR="00780E58" w:rsidRPr="00443B05" w14:paraId="091BD337" w14:textId="77777777" w:rsidTr="00C854E9">
        <w:trPr>
          <w:jc w:val="center"/>
        </w:trPr>
        <w:tc>
          <w:tcPr>
            <w:tcW w:w="2946" w:type="dxa"/>
            <w:tcBorders>
              <w:top w:val="nil"/>
            </w:tcBorders>
            <w:vAlign w:val="center"/>
          </w:tcPr>
          <w:p w14:paraId="091BD335" w14:textId="77777777" w:rsidR="00780E58" w:rsidRPr="00443B05" w:rsidRDefault="00780E58" w:rsidP="00E777DA">
            <w:pPr>
              <w:widowControl w:val="0"/>
              <w:tabs>
                <w:tab w:val="left" w:pos="865"/>
              </w:tabs>
              <w:spacing w:before="40" w:after="40"/>
              <w:ind w:firstLine="39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Mucho peor</w:t>
            </w:r>
          </w:p>
        </w:tc>
        <w:tc>
          <w:tcPr>
            <w:tcW w:w="2724" w:type="dxa"/>
            <w:tcBorders>
              <w:top w:val="nil"/>
            </w:tcBorders>
            <w:vAlign w:val="center"/>
          </w:tcPr>
          <w:p w14:paraId="091BD336" w14:textId="77777777" w:rsidR="00780E58" w:rsidRPr="00602FC9" w:rsidRDefault="00780E58" w:rsidP="00E777DA">
            <w:pPr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  <w:r w:rsidRPr="00602FC9">
              <w:rPr>
                <w:sz w:val="18"/>
                <w:szCs w:val="18"/>
              </w:rPr>
              <w:t>0.00</w:t>
            </w:r>
          </w:p>
        </w:tc>
      </w:tr>
    </w:tbl>
    <w:p w14:paraId="091BD338" w14:textId="569041C2" w:rsidR="0022536A" w:rsidRPr="00886D4B" w:rsidRDefault="0022536A" w:rsidP="00244958">
      <w:pPr>
        <w:autoSpaceDE w:val="0"/>
        <w:autoSpaceDN w:val="0"/>
        <w:adjustRightInd w:val="0"/>
        <w:spacing w:before="240"/>
        <w:rPr>
          <w:color w:val="000000"/>
          <w:lang w:eastAsia="es-MX"/>
        </w:rPr>
      </w:pPr>
      <w:r w:rsidRPr="00443B05">
        <w:t>Los indicadores están diseñados para que sus valores fluctúen entre 0 y 100. De esa manera, a medida que el optimismo se generaliza entre</w:t>
      </w:r>
      <w:r w:rsidR="00D761AE">
        <w:t xml:space="preserve"> </w:t>
      </w:r>
      <w:r w:rsidRPr="00443B05">
        <w:t xml:space="preserve">informantes, el valor del indicador se hace mayor. </w:t>
      </w:r>
      <w:r w:rsidR="005C6BE8">
        <w:t xml:space="preserve">Si </w:t>
      </w:r>
      <w:r w:rsidRPr="00443B05">
        <w:t xml:space="preserve">el porcentaje de informantes con opiniones pesimistas incrementa, el valor del indicador disminuirá. </w:t>
      </w:r>
    </w:p>
    <w:p w14:paraId="091BD339" w14:textId="6CB2E114" w:rsidR="00A263A8" w:rsidRPr="0010413A" w:rsidRDefault="00A263A8" w:rsidP="00244958">
      <w:pPr>
        <w:pStyle w:val="Default"/>
        <w:widowControl w:val="0"/>
        <w:spacing w:before="240"/>
        <w:jc w:val="both"/>
        <w:rPr>
          <w:color w:val="auto"/>
        </w:rPr>
      </w:pPr>
      <w:r w:rsidRPr="0010413A">
        <w:rPr>
          <w:color w:val="auto"/>
        </w:rPr>
        <w:t>El cálculo del ICE en Construcción</w:t>
      </w:r>
      <w:r w:rsidR="009A5AD5">
        <w:rPr>
          <w:color w:val="auto"/>
        </w:rPr>
        <w:t xml:space="preserve"> </w:t>
      </w:r>
      <w:r w:rsidRPr="0010413A">
        <w:rPr>
          <w:color w:val="auto"/>
        </w:rPr>
        <w:t xml:space="preserve">corresponde a un promedio simple. En Industrias </w:t>
      </w:r>
      <w:r w:rsidR="005C641B" w:rsidRPr="0010413A">
        <w:rPr>
          <w:color w:val="auto"/>
        </w:rPr>
        <w:t>m</w:t>
      </w:r>
      <w:r w:rsidRPr="0010413A">
        <w:rPr>
          <w:color w:val="auto"/>
        </w:rPr>
        <w:t>anufactureras</w:t>
      </w:r>
      <w:r w:rsidR="009A5AD5">
        <w:rPr>
          <w:color w:val="auto"/>
        </w:rPr>
        <w:t>, Comercio</w:t>
      </w:r>
      <w:r w:rsidRPr="0010413A">
        <w:rPr>
          <w:color w:val="auto"/>
        </w:rPr>
        <w:t xml:space="preserve"> y Servicios </w:t>
      </w:r>
      <w:r w:rsidR="006064F5" w:rsidRPr="0010413A">
        <w:rPr>
          <w:color w:val="auto"/>
        </w:rPr>
        <w:t>p</w:t>
      </w:r>
      <w:r w:rsidRPr="0010413A">
        <w:rPr>
          <w:color w:val="auto"/>
        </w:rPr>
        <w:t xml:space="preserve">rivados no </w:t>
      </w:r>
      <w:r w:rsidR="006064F5" w:rsidRPr="0010413A">
        <w:rPr>
          <w:color w:val="auto"/>
        </w:rPr>
        <w:t>f</w:t>
      </w:r>
      <w:r w:rsidRPr="0010413A">
        <w:rPr>
          <w:color w:val="auto"/>
        </w:rPr>
        <w:t xml:space="preserve">inancieros, primero se calcula el ICE de cada uno de los grupos de subsectores y sectores, también mediante promedio simple de </w:t>
      </w:r>
      <w:r w:rsidRPr="00EE24EF">
        <w:rPr>
          <w:color w:val="auto"/>
        </w:rPr>
        <w:t>los cinco indicadores</w:t>
      </w:r>
      <w:r w:rsidR="00BA3482" w:rsidRPr="0010413A">
        <w:rPr>
          <w:color w:val="auto"/>
        </w:rPr>
        <w:t>. D</w:t>
      </w:r>
      <w:r w:rsidRPr="0010413A">
        <w:rPr>
          <w:color w:val="auto"/>
        </w:rPr>
        <w:t>espués</w:t>
      </w:r>
      <w:r w:rsidR="007E7978" w:rsidRPr="0010413A">
        <w:rPr>
          <w:color w:val="auto"/>
        </w:rPr>
        <w:t xml:space="preserve"> se</w:t>
      </w:r>
      <w:r w:rsidRPr="0010413A">
        <w:rPr>
          <w:color w:val="auto"/>
        </w:rPr>
        <w:t xml:space="preserve"> calcula el ICE a nivel de estos </w:t>
      </w:r>
      <w:r w:rsidR="009A5AD5">
        <w:rPr>
          <w:color w:val="auto"/>
        </w:rPr>
        <w:t>tres</w:t>
      </w:r>
      <w:r w:rsidRPr="0010413A">
        <w:rPr>
          <w:color w:val="auto"/>
        </w:rPr>
        <w:t xml:space="preserve"> sectores como un indicador ponderado por el peso en los ingresos que tienen los dominios de estudio.</w:t>
      </w:r>
    </w:p>
    <w:p w14:paraId="7244C3D3" w14:textId="77777777" w:rsidR="009A5AD5" w:rsidRDefault="0022536A" w:rsidP="00E101D5">
      <w:pPr>
        <w:pStyle w:val="Default"/>
        <w:widowControl w:val="0"/>
        <w:spacing w:before="240"/>
        <w:jc w:val="both"/>
        <w:rPr>
          <w:color w:val="auto"/>
        </w:rPr>
      </w:pPr>
      <w:r w:rsidRPr="00443B05">
        <w:rPr>
          <w:color w:val="auto"/>
        </w:rPr>
        <w:t xml:space="preserve">El ICE </w:t>
      </w:r>
      <w:bookmarkStart w:id="6" w:name="_Hlk7181538"/>
      <w:r w:rsidRPr="00443B05">
        <w:rPr>
          <w:color w:val="auto"/>
        </w:rPr>
        <w:t xml:space="preserve">del </w:t>
      </w:r>
      <w:r w:rsidR="00786D6D">
        <w:rPr>
          <w:color w:val="auto"/>
        </w:rPr>
        <w:t>s</w:t>
      </w:r>
      <w:r w:rsidRPr="00443B05">
        <w:rPr>
          <w:color w:val="auto"/>
        </w:rPr>
        <w:t xml:space="preserve">ector </w:t>
      </w:r>
      <w:r>
        <w:rPr>
          <w:color w:val="auto"/>
        </w:rPr>
        <w:t xml:space="preserve">Industrias </w:t>
      </w:r>
      <w:r w:rsidR="005C641B">
        <w:rPr>
          <w:color w:val="auto"/>
        </w:rPr>
        <w:t>m</w:t>
      </w:r>
      <w:r>
        <w:rPr>
          <w:color w:val="auto"/>
        </w:rPr>
        <w:t xml:space="preserve">anufactureras </w:t>
      </w:r>
      <w:r w:rsidRPr="00443B05">
        <w:rPr>
          <w:color w:val="auto"/>
        </w:rPr>
        <w:t xml:space="preserve">difunde resultados </w:t>
      </w:r>
      <w:r>
        <w:rPr>
          <w:color w:val="auto"/>
        </w:rPr>
        <w:t xml:space="preserve">del sector y </w:t>
      </w:r>
      <w:r w:rsidRPr="00443B05">
        <w:rPr>
          <w:color w:val="auto"/>
        </w:rPr>
        <w:t>por grupos de subsectores de actividad: Alimentos, bebidas y tabaco</w:t>
      </w:r>
      <w:r>
        <w:rPr>
          <w:color w:val="auto"/>
        </w:rPr>
        <w:t xml:space="preserve"> (subsectores 311 y 312)</w:t>
      </w:r>
      <w:r w:rsidRPr="00443B05">
        <w:rPr>
          <w:color w:val="auto"/>
        </w:rPr>
        <w:t>; Derivados del petróleo y del carbón, industria química, del plástico y del hule</w:t>
      </w:r>
      <w:r>
        <w:rPr>
          <w:color w:val="auto"/>
        </w:rPr>
        <w:t xml:space="preserve"> (subsectores 324, 325 y 326)</w:t>
      </w:r>
      <w:r w:rsidRPr="00443B05">
        <w:rPr>
          <w:color w:val="auto"/>
        </w:rPr>
        <w:t>; Minerales no metálicos y metálicas básicas</w:t>
      </w:r>
      <w:r>
        <w:rPr>
          <w:color w:val="auto"/>
        </w:rPr>
        <w:t xml:space="preserve"> (subsectores 327 y 331)</w:t>
      </w:r>
      <w:r w:rsidRPr="00443B05">
        <w:rPr>
          <w:color w:val="auto"/>
        </w:rPr>
        <w:t>; Equipo de computación, accesorios electrónicos y aparatos eléctricos</w:t>
      </w:r>
      <w:r>
        <w:rPr>
          <w:color w:val="auto"/>
        </w:rPr>
        <w:t xml:space="preserve"> (subsectores 334 y 335)</w:t>
      </w:r>
      <w:r w:rsidRPr="00443B05">
        <w:rPr>
          <w:color w:val="auto"/>
        </w:rPr>
        <w:t>; Equipo de transporte</w:t>
      </w:r>
      <w:r>
        <w:rPr>
          <w:color w:val="auto"/>
        </w:rPr>
        <w:t xml:space="preserve"> (subsector 336)</w:t>
      </w:r>
      <w:r w:rsidRPr="00443B05">
        <w:rPr>
          <w:color w:val="auto"/>
        </w:rPr>
        <w:t>; Productos metálicos, maquinaria, equipo y muebles</w:t>
      </w:r>
      <w:r>
        <w:rPr>
          <w:color w:val="auto"/>
        </w:rPr>
        <w:t xml:space="preserve"> (subsectores 332, 333 y 337)</w:t>
      </w:r>
      <w:r w:rsidRPr="00443B05">
        <w:rPr>
          <w:color w:val="auto"/>
        </w:rPr>
        <w:t xml:space="preserve"> y Textiles, prendas de vestir, cuero y piel, madera, papel y otras</w:t>
      </w:r>
      <w:r>
        <w:rPr>
          <w:color w:val="auto"/>
        </w:rPr>
        <w:t xml:space="preserve"> industrias (subsectores 313, 314, 315, 316, 321, 322, 323 y 339)</w:t>
      </w:r>
      <w:r w:rsidRPr="00443B05">
        <w:rPr>
          <w:color w:val="auto"/>
        </w:rPr>
        <w:t>.</w:t>
      </w:r>
      <w:bookmarkEnd w:id="6"/>
      <w:r w:rsidR="0077192A" w:rsidRPr="0077192A">
        <w:rPr>
          <w:color w:val="auto"/>
        </w:rPr>
        <w:t xml:space="preserve"> </w:t>
      </w:r>
    </w:p>
    <w:p w14:paraId="091BD33C" w14:textId="2AD902D4" w:rsidR="0022536A" w:rsidRPr="00443B05" w:rsidRDefault="009A5AD5" w:rsidP="00E742C5">
      <w:pPr>
        <w:pStyle w:val="Default"/>
        <w:widowControl w:val="0"/>
        <w:spacing w:before="240"/>
        <w:jc w:val="both"/>
      </w:pPr>
      <w:r w:rsidRPr="000B291E">
        <w:t>El I</w:t>
      </w:r>
      <w:r>
        <w:t>CE</w:t>
      </w:r>
      <w:r w:rsidRPr="000B291E">
        <w:t xml:space="preserve"> de Construcción se publica a nivel del total del sector</w:t>
      </w:r>
      <w:r w:rsidR="00600DD7">
        <w:t>.</w:t>
      </w:r>
      <w:r w:rsidR="00E742C5">
        <w:t xml:space="preserve"> </w:t>
      </w:r>
      <w:r w:rsidR="00600DD7">
        <w:t>E</w:t>
      </w:r>
      <w:r w:rsidR="00241E73" w:rsidRPr="000B291E">
        <w:t xml:space="preserve">l </w:t>
      </w:r>
      <w:r w:rsidR="00E742C5">
        <w:t>de</w:t>
      </w:r>
      <w:r w:rsidR="00E742C5" w:rsidRPr="000B291E">
        <w:t xml:space="preserve"> Comercio </w:t>
      </w:r>
      <w:r w:rsidR="00241E73" w:rsidRPr="000B291E">
        <w:t xml:space="preserve">es un ponderado de los dominios Comercio al por </w:t>
      </w:r>
      <w:r w:rsidR="00241E73">
        <w:t>m</w:t>
      </w:r>
      <w:r w:rsidR="00241E73" w:rsidRPr="000B291E">
        <w:t xml:space="preserve">ayor (sector 43) y Comercio al por </w:t>
      </w:r>
      <w:r w:rsidR="00241E73">
        <w:t>m</w:t>
      </w:r>
      <w:r w:rsidR="00241E73" w:rsidRPr="000B291E">
        <w:t>enor (sector 46)</w:t>
      </w:r>
      <w:r w:rsidR="00E742C5">
        <w:t xml:space="preserve"> y el </w:t>
      </w:r>
      <w:bookmarkStart w:id="7" w:name="_Hlk7181679"/>
      <w:r w:rsidR="0022536A">
        <w:t xml:space="preserve">ICE de Servicios </w:t>
      </w:r>
      <w:r w:rsidR="006064F5">
        <w:t>p</w:t>
      </w:r>
      <w:r w:rsidR="0022536A">
        <w:t xml:space="preserve">rivados no </w:t>
      </w:r>
      <w:r w:rsidR="006064F5">
        <w:t>f</w:t>
      </w:r>
      <w:r w:rsidR="0022536A">
        <w:t>inanciero</w:t>
      </w:r>
      <w:r w:rsidR="0022536A" w:rsidRPr="00C014DD">
        <w:t xml:space="preserve">s </w:t>
      </w:r>
      <w:r w:rsidR="0022536A" w:rsidRPr="00C014DD">
        <w:rPr>
          <w:rFonts w:eastAsiaTheme="minorHAnsi"/>
        </w:rPr>
        <w:t>se difunde a nivel agregado y para</w:t>
      </w:r>
      <w:r w:rsidRPr="00C014DD">
        <w:rPr>
          <w:rFonts w:eastAsiaTheme="minorHAnsi"/>
        </w:rPr>
        <w:t xml:space="preserve"> </w:t>
      </w:r>
      <w:r w:rsidR="00BD3D8B" w:rsidRPr="00C014DD">
        <w:rPr>
          <w:rFonts w:eastAsiaTheme="minorHAnsi"/>
        </w:rPr>
        <w:t xml:space="preserve">cinco </w:t>
      </w:r>
      <w:r w:rsidR="0022536A" w:rsidRPr="00C014DD">
        <w:rPr>
          <w:rFonts w:eastAsiaTheme="minorHAnsi"/>
        </w:rPr>
        <w:t>dominios de estudio, representados por</w:t>
      </w:r>
      <w:r w:rsidR="00436D7D" w:rsidRPr="00C014DD">
        <w:rPr>
          <w:rFonts w:eastAsiaTheme="minorHAnsi"/>
        </w:rPr>
        <w:t xml:space="preserve"> los</w:t>
      </w:r>
      <w:r w:rsidR="000C17CC" w:rsidRPr="00C014DD">
        <w:rPr>
          <w:rFonts w:eastAsiaTheme="minorHAnsi"/>
        </w:rPr>
        <w:t xml:space="preserve"> siguientes</w:t>
      </w:r>
      <w:r w:rsidR="0022536A" w:rsidRPr="00C014DD">
        <w:rPr>
          <w:rFonts w:eastAsiaTheme="minorHAnsi"/>
        </w:rPr>
        <w:t xml:space="preserve"> sectores: Transportes, correos y almacenamiento (sector 48-49); Información en medios masivos (sector 51); Servicios profesionales, científicos y técnicos </w:t>
      </w:r>
      <w:r w:rsidR="00BD3D8B" w:rsidRPr="00C014DD">
        <w:rPr>
          <w:rFonts w:eastAsiaTheme="minorHAnsi"/>
        </w:rPr>
        <w:t xml:space="preserve">junto con </w:t>
      </w:r>
      <w:r w:rsidR="0022536A" w:rsidRPr="00C014DD">
        <w:rPr>
          <w:rFonts w:eastAsiaTheme="minorHAnsi"/>
        </w:rPr>
        <w:t xml:space="preserve">Servicios </w:t>
      </w:r>
      <w:r w:rsidR="008B548B" w:rsidRPr="008B548B">
        <w:rPr>
          <w:rFonts w:eastAsiaTheme="minorHAnsi"/>
        </w:rPr>
        <w:t>de apoyo a los negocios y manejo de residuos, y servicios de remediación</w:t>
      </w:r>
      <w:r w:rsidR="0022536A" w:rsidRPr="00C014DD">
        <w:rPr>
          <w:rFonts w:eastAsiaTheme="minorHAnsi"/>
        </w:rPr>
        <w:t xml:space="preserve"> (sector</w:t>
      </w:r>
      <w:r w:rsidR="00BD3D8B" w:rsidRPr="00C014DD">
        <w:rPr>
          <w:rFonts w:eastAsiaTheme="minorHAnsi"/>
        </w:rPr>
        <w:t>es</w:t>
      </w:r>
      <w:r w:rsidR="0022536A" w:rsidRPr="00C014DD">
        <w:rPr>
          <w:rFonts w:eastAsiaTheme="minorHAnsi"/>
        </w:rPr>
        <w:t xml:space="preserve"> </w:t>
      </w:r>
      <w:r w:rsidR="00BD3D8B" w:rsidRPr="00C014DD">
        <w:rPr>
          <w:rFonts w:eastAsiaTheme="minorHAnsi"/>
        </w:rPr>
        <w:t>54 y </w:t>
      </w:r>
      <w:r w:rsidR="0022536A" w:rsidRPr="00C014DD">
        <w:rPr>
          <w:rFonts w:eastAsiaTheme="minorHAnsi"/>
        </w:rPr>
        <w:t>56);</w:t>
      </w:r>
      <w:r w:rsidR="0022536A">
        <w:rPr>
          <w:rFonts w:eastAsiaTheme="minorHAnsi"/>
        </w:rPr>
        <w:t xml:space="preserve"> </w:t>
      </w:r>
      <w:r w:rsidR="0022536A" w:rsidRPr="00412AF8">
        <w:rPr>
          <w:rFonts w:eastAsiaTheme="minorHAnsi"/>
        </w:rPr>
        <w:t>Servicios de alojamiento temporal y de preparación de alimentos y bebidas (</w:t>
      </w:r>
      <w:r w:rsidR="0022536A">
        <w:rPr>
          <w:rFonts w:eastAsiaTheme="minorHAnsi"/>
        </w:rPr>
        <w:t>s</w:t>
      </w:r>
      <w:r w:rsidR="0022536A" w:rsidRPr="00412AF8">
        <w:rPr>
          <w:rFonts w:eastAsiaTheme="minorHAnsi"/>
        </w:rPr>
        <w:t>ector 72)</w:t>
      </w:r>
      <w:r w:rsidR="0022536A">
        <w:rPr>
          <w:rFonts w:eastAsiaTheme="minorHAnsi"/>
        </w:rPr>
        <w:t xml:space="preserve">, y </w:t>
      </w:r>
      <w:r w:rsidR="0022536A" w:rsidRPr="00412AF8">
        <w:rPr>
          <w:rFonts w:eastAsiaTheme="minorHAnsi"/>
        </w:rPr>
        <w:t>Otros servicios</w:t>
      </w:r>
      <w:r w:rsidR="00CE0999">
        <w:rPr>
          <w:rFonts w:eastAsiaTheme="minorHAnsi"/>
        </w:rPr>
        <w:t xml:space="preserve">. Este último está </w:t>
      </w:r>
      <w:r w:rsidR="0022536A">
        <w:rPr>
          <w:rFonts w:eastAsiaTheme="minorHAnsi"/>
        </w:rPr>
        <w:t>i</w:t>
      </w:r>
      <w:r w:rsidR="0022536A" w:rsidRPr="00412AF8">
        <w:rPr>
          <w:rFonts w:eastAsiaTheme="minorHAnsi"/>
        </w:rPr>
        <w:t>ntegrado por los Servicios inmobiliarios y de alquiler de bienes muebles e intangibles (</w:t>
      </w:r>
      <w:r w:rsidR="0022536A">
        <w:rPr>
          <w:rFonts w:eastAsiaTheme="minorHAnsi"/>
        </w:rPr>
        <w:t>s</w:t>
      </w:r>
      <w:r w:rsidR="0022536A" w:rsidRPr="00412AF8">
        <w:rPr>
          <w:rFonts w:eastAsiaTheme="minorHAnsi"/>
        </w:rPr>
        <w:t>ector 53), Servicios educativos (</w:t>
      </w:r>
      <w:r w:rsidR="0022536A">
        <w:rPr>
          <w:rFonts w:eastAsiaTheme="minorHAnsi"/>
        </w:rPr>
        <w:t>s</w:t>
      </w:r>
      <w:r w:rsidR="0022536A" w:rsidRPr="00412AF8">
        <w:rPr>
          <w:rFonts w:eastAsiaTheme="minorHAnsi"/>
        </w:rPr>
        <w:t>ector 61), Servicios de salud y de asistencia social (</w:t>
      </w:r>
      <w:r w:rsidR="0022536A">
        <w:rPr>
          <w:rFonts w:eastAsiaTheme="minorHAnsi"/>
        </w:rPr>
        <w:t>s</w:t>
      </w:r>
      <w:r w:rsidR="0022536A" w:rsidRPr="00412AF8">
        <w:rPr>
          <w:rFonts w:eastAsiaTheme="minorHAnsi"/>
        </w:rPr>
        <w:t xml:space="preserve">ector 62) y Servicios de esparcimiento culturales y deportivos, y otros servicios recreativos </w:t>
      </w:r>
      <w:r w:rsidR="0022536A">
        <w:rPr>
          <w:rFonts w:eastAsiaTheme="minorHAnsi"/>
        </w:rPr>
        <w:t>(s</w:t>
      </w:r>
      <w:r w:rsidR="0022536A" w:rsidRPr="00412AF8">
        <w:rPr>
          <w:rFonts w:eastAsiaTheme="minorHAnsi"/>
        </w:rPr>
        <w:t>ector 71</w:t>
      </w:r>
      <w:r w:rsidR="0022536A">
        <w:rPr>
          <w:rFonts w:eastAsiaTheme="minorHAnsi"/>
        </w:rPr>
        <w:t>)</w:t>
      </w:r>
      <w:r w:rsidR="0022536A" w:rsidRPr="00412AF8">
        <w:rPr>
          <w:rFonts w:eastAsiaTheme="minorHAnsi"/>
        </w:rPr>
        <w:t>.</w:t>
      </w:r>
    </w:p>
    <w:bookmarkEnd w:id="7"/>
    <w:p w14:paraId="41E4770A" w14:textId="05CF3F2A" w:rsidR="00A24072" w:rsidRDefault="009F693D" w:rsidP="00E742C5">
      <w:pPr>
        <w:pStyle w:val="Default"/>
        <w:keepLines/>
        <w:widowControl w:val="0"/>
        <w:spacing w:before="240" w:after="240"/>
        <w:jc w:val="both"/>
      </w:pPr>
      <w:r>
        <w:lastRenderedPageBreak/>
        <w:t xml:space="preserve">El </w:t>
      </w:r>
      <w:r w:rsidR="004530AE" w:rsidRPr="00A114A9">
        <w:rPr>
          <w:b/>
        </w:rPr>
        <w:t>IGOEC</w:t>
      </w:r>
      <w:r w:rsidR="004530AE" w:rsidRPr="00A114A9">
        <w:t xml:space="preserve"> se obtiene </w:t>
      </w:r>
      <w:r w:rsidR="00A263A8" w:rsidRPr="00A114A9">
        <w:t>de</w:t>
      </w:r>
      <w:r w:rsidR="00A263A8" w:rsidRPr="00813FE5">
        <w:t xml:space="preserve"> la suma </w:t>
      </w:r>
      <w:r w:rsidR="00A263A8" w:rsidRPr="00125BD2">
        <w:rPr>
          <w:color w:val="auto"/>
        </w:rPr>
        <w:t xml:space="preserve">del Indicador de Confianza Empresarial ponderado </w:t>
      </w:r>
      <w:r w:rsidR="00A263A8" w:rsidRPr="00813FE5">
        <w:t xml:space="preserve">con la participación del </w:t>
      </w:r>
      <w:r w:rsidR="00C30983" w:rsidRPr="00C30983">
        <w:rPr>
          <w:lang w:eastAsia="en-US"/>
        </w:rPr>
        <w:t>Producto Interno Bruto</w:t>
      </w:r>
      <w:r w:rsidR="00C30983" w:rsidRPr="00813FE5">
        <w:t xml:space="preserve"> </w:t>
      </w:r>
      <w:r w:rsidR="00C30983">
        <w:t>(</w:t>
      </w:r>
      <w:r w:rsidR="00A263A8" w:rsidRPr="00813FE5">
        <w:t>PIB</w:t>
      </w:r>
      <w:r w:rsidR="00C30983">
        <w:t>)</w:t>
      </w:r>
      <w:r w:rsidR="00A263A8" w:rsidRPr="00813FE5">
        <w:t xml:space="preserve"> de los cuatro sectores en estudio. Para </w:t>
      </w:r>
      <w:r w:rsidR="001D631A">
        <w:t>esto</w:t>
      </w:r>
      <w:r w:rsidR="00A263A8" w:rsidRPr="00813FE5">
        <w:t xml:space="preserve"> se utiliza un ponderador normalizado</w:t>
      </w:r>
      <w:r w:rsidR="00357401">
        <w:t>,</w:t>
      </w:r>
      <w:r w:rsidR="00A263A8" w:rsidRPr="00813FE5">
        <w:t xml:space="preserve"> como se observa en la siguiente tabla</w:t>
      </w:r>
      <w:r w:rsidR="00357401">
        <w:t>:</w:t>
      </w:r>
    </w:p>
    <w:tbl>
      <w:tblPr>
        <w:tblStyle w:val="Tablaconcuadrcula"/>
        <w:tblW w:w="6245" w:type="dxa"/>
        <w:jc w:val="center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ook w:val="04A0" w:firstRow="1" w:lastRow="0" w:firstColumn="1" w:lastColumn="0" w:noHBand="0" w:noVBand="1"/>
      </w:tblPr>
      <w:tblGrid>
        <w:gridCol w:w="3521"/>
        <w:gridCol w:w="2724"/>
      </w:tblGrid>
      <w:tr w:rsidR="008B6B3B" w:rsidRPr="00A438F6" w14:paraId="091BD340" w14:textId="77777777" w:rsidTr="00C854E9">
        <w:trPr>
          <w:jc w:val="center"/>
        </w:trPr>
        <w:tc>
          <w:tcPr>
            <w:tcW w:w="3521" w:type="dxa"/>
            <w:tcBorders>
              <w:bottom w:val="single" w:sz="4" w:space="0" w:color="404040"/>
            </w:tcBorders>
            <w:shd w:val="clear" w:color="auto" w:fill="CCCCFF"/>
          </w:tcPr>
          <w:p w14:paraId="091BD33E" w14:textId="77777777" w:rsidR="008B6B3B" w:rsidRPr="006F0CD5" w:rsidRDefault="008B6B3B" w:rsidP="00A1505A">
            <w:pPr>
              <w:widowControl w:val="0"/>
              <w:spacing w:before="120" w:after="120"/>
              <w:ind w:left="372"/>
              <w:jc w:val="left"/>
              <w:rPr>
                <w:sz w:val="18"/>
                <w:szCs w:val="18"/>
              </w:rPr>
            </w:pPr>
            <w:r w:rsidRPr="006F0CD5">
              <w:rPr>
                <w:sz w:val="18"/>
                <w:szCs w:val="18"/>
              </w:rPr>
              <w:t>Sector</w:t>
            </w:r>
          </w:p>
        </w:tc>
        <w:tc>
          <w:tcPr>
            <w:tcW w:w="2724" w:type="dxa"/>
            <w:tcBorders>
              <w:bottom w:val="single" w:sz="4" w:space="0" w:color="404040"/>
            </w:tcBorders>
            <w:shd w:val="clear" w:color="auto" w:fill="CCCCFF"/>
          </w:tcPr>
          <w:p w14:paraId="091BD33F" w14:textId="77777777" w:rsidR="008B6B3B" w:rsidRPr="006F0CD5" w:rsidRDefault="008B6B3B" w:rsidP="00A1505A">
            <w:pPr>
              <w:keepNext/>
              <w:keepLines/>
              <w:widowControl w:val="0"/>
              <w:spacing w:before="120" w:after="120"/>
              <w:jc w:val="center"/>
              <w:rPr>
                <w:sz w:val="18"/>
                <w:szCs w:val="18"/>
              </w:rPr>
            </w:pPr>
            <w:r w:rsidRPr="006F0CD5">
              <w:rPr>
                <w:sz w:val="18"/>
                <w:szCs w:val="18"/>
              </w:rPr>
              <w:t>Ponderador</w:t>
            </w:r>
          </w:p>
        </w:tc>
      </w:tr>
      <w:tr w:rsidR="00BD3D8B" w:rsidRPr="00A438F6" w14:paraId="091BD343" w14:textId="77777777" w:rsidTr="00C854E9">
        <w:trPr>
          <w:jc w:val="center"/>
        </w:trPr>
        <w:tc>
          <w:tcPr>
            <w:tcW w:w="3521" w:type="dxa"/>
            <w:tcBorders>
              <w:bottom w:val="nil"/>
            </w:tcBorders>
            <w:vAlign w:val="center"/>
          </w:tcPr>
          <w:p w14:paraId="091BD341" w14:textId="77777777" w:rsidR="00BD3D8B" w:rsidRPr="006F0CD5" w:rsidRDefault="00BD3D8B" w:rsidP="00BD3D8B">
            <w:pPr>
              <w:widowControl w:val="0"/>
              <w:tabs>
                <w:tab w:val="left" w:pos="865"/>
              </w:tabs>
              <w:spacing w:before="40" w:after="40"/>
              <w:ind w:firstLine="39"/>
              <w:jc w:val="left"/>
              <w:rPr>
                <w:sz w:val="18"/>
                <w:szCs w:val="18"/>
              </w:rPr>
            </w:pPr>
            <w:r w:rsidRPr="006F0CD5">
              <w:rPr>
                <w:sz w:val="18"/>
                <w:szCs w:val="18"/>
              </w:rPr>
              <w:t>Construcción</w:t>
            </w:r>
          </w:p>
        </w:tc>
        <w:tc>
          <w:tcPr>
            <w:tcW w:w="2724" w:type="dxa"/>
            <w:tcBorders>
              <w:bottom w:val="nil"/>
            </w:tcBorders>
            <w:vAlign w:val="center"/>
          </w:tcPr>
          <w:p w14:paraId="091BD342" w14:textId="0B5A4360" w:rsidR="00BD3D8B" w:rsidRPr="00C014DD" w:rsidRDefault="00BD3D8B" w:rsidP="00BD3D8B">
            <w:pPr>
              <w:keepNext/>
              <w:keepLines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  <w:r w:rsidRPr="00C014DD">
              <w:rPr>
                <w:sz w:val="18"/>
                <w:szCs w:val="18"/>
              </w:rPr>
              <w:t>9.30</w:t>
            </w:r>
          </w:p>
        </w:tc>
      </w:tr>
      <w:tr w:rsidR="00BD3D8B" w:rsidRPr="00A438F6" w14:paraId="091BD346" w14:textId="77777777" w:rsidTr="00C854E9">
        <w:trPr>
          <w:jc w:val="center"/>
        </w:trPr>
        <w:tc>
          <w:tcPr>
            <w:tcW w:w="3521" w:type="dxa"/>
            <w:tcBorders>
              <w:top w:val="nil"/>
              <w:bottom w:val="nil"/>
            </w:tcBorders>
            <w:vAlign w:val="center"/>
          </w:tcPr>
          <w:p w14:paraId="091BD344" w14:textId="3E3FE605" w:rsidR="00BD3D8B" w:rsidRPr="006F0CD5" w:rsidRDefault="00BD3D8B" w:rsidP="00BD3D8B">
            <w:pPr>
              <w:widowControl w:val="0"/>
              <w:tabs>
                <w:tab w:val="left" w:pos="865"/>
              </w:tabs>
              <w:spacing w:before="40" w:after="40"/>
              <w:ind w:firstLine="39"/>
              <w:jc w:val="left"/>
              <w:rPr>
                <w:sz w:val="18"/>
                <w:szCs w:val="18"/>
              </w:rPr>
            </w:pPr>
            <w:r w:rsidRPr="006F0CD5">
              <w:rPr>
                <w:sz w:val="18"/>
                <w:szCs w:val="18"/>
              </w:rPr>
              <w:t xml:space="preserve">Industrias </w:t>
            </w:r>
            <w:r>
              <w:rPr>
                <w:sz w:val="18"/>
                <w:szCs w:val="18"/>
              </w:rPr>
              <w:t>m</w:t>
            </w:r>
            <w:r w:rsidRPr="006F0CD5">
              <w:rPr>
                <w:sz w:val="18"/>
                <w:szCs w:val="18"/>
              </w:rPr>
              <w:t>anufactureras</w:t>
            </w:r>
          </w:p>
        </w:tc>
        <w:tc>
          <w:tcPr>
            <w:tcW w:w="2724" w:type="dxa"/>
            <w:tcBorders>
              <w:top w:val="nil"/>
              <w:bottom w:val="nil"/>
            </w:tcBorders>
            <w:vAlign w:val="center"/>
          </w:tcPr>
          <w:p w14:paraId="091BD345" w14:textId="056DD1A5" w:rsidR="00BD3D8B" w:rsidRPr="00C014DD" w:rsidRDefault="00BD3D8B" w:rsidP="00BD3D8B">
            <w:pPr>
              <w:keepNext/>
              <w:keepLines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  <w:r w:rsidRPr="00C014DD">
              <w:rPr>
                <w:sz w:val="18"/>
                <w:szCs w:val="18"/>
              </w:rPr>
              <w:t>21.19</w:t>
            </w:r>
          </w:p>
        </w:tc>
      </w:tr>
      <w:tr w:rsidR="00BD3D8B" w:rsidRPr="00A438F6" w14:paraId="091BD349" w14:textId="77777777" w:rsidTr="00C854E9">
        <w:trPr>
          <w:jc w:val="center"/>
        </w:trPr>
        <w:tc>
          <w:tcPr>
            <w:tcW w:w="3521" w:type="dxa"/>
            <w:tcBorders>
              <w:top w:val="nil"/>
              <w:bottom w:val="nil"/>
            </w:tcBorders>
            <w:vAlign w:val="center"/>
          </w:tcPr>
          <w:p w14:paraId="091BD347" w14:textId="77777777" w:rsidR="00BD3D8B" w:rsidRPr="006F0CD5" w:rsidRDefault="00BD3D8B" w:rsidP="00BD3D8B">
            <w:pPr>
              <w:widowControl w:val="0"/>
              <w:tabs>
                <w:tab w:val="left" w:pos="865"/>
              </w:tabs>
              <w:spacing w:before="40" w:after="40"/>
              <w:ind w:firstLine="39"/>
              <w:jc w:val="left"/>
              <w:rPr>
                <w:sz w:val="18"/>
                <w:szCs w:val="18"/>
              </w:rPr>
            </w:pPr>
            <w:r w:rsidRPr="006F0CD5">
              <w:rPr>
                <w:sz w:val="18"/>
                <w:szCs w:val="18"/>
              </w:rPr>
              <w:t>Comercio</w:t>
            </w:r>
          </w:p>
        </w:tc>
        <w:tc>
          <w:tcPr>
            <w:tcW w:w="2724" w:type="dxa"/>
            <w:tcBorders>
              <w:top w:val="nil"/>
              <w:bottom w:val="nil"/>
            </w:tcBorders>
            <w:vAlign w:val="center"/>
          </w:tcPr>
          <w:p w14:paraId="091BD348" w14:textId="4B13506C" w:rsidR="00BD3D8B" w:rsidRPr="00C014DD" w:rsidRDefault="00BD3D8B" w:rsidP="00BD3D8B">
            <w:pPr>
              <w:keepNext/>
              <w:keepLines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  <w:r w:rsidRPr="00C014DD">
              <w:rPr>
                <w:sz w:val="18"/>
                <w:szCs w:val="18"/>
              </w:rPr>
              <w:t>23.48</w:t>
            </w:r>
          </w:p>
        </w:tc>
      </w:tr>
      <w:tr w:rsidR="00BD3D8B" w:rsidRPr="00A438F6" w14:paraId="091BD34C" w14:textId="77777777" w:rsidTr="00C854E9">
        <w:trPr>
          <w:jc w:val="center"/>
        </w:trPr>
        <w:tc>
          <w:tcPr>
            <w:tcW w:w="3521" w:type="dxa"/>
            <w:tcBorders>
              <w:top w:val="nil"/>
            </w:tcBorders>
            <w:vAlign w:val="center"/>
          </w:tcPr>
          <w:p w14:paraId="091BD34A" w14:textId="50AA11AB" w:rsidR="00BD3D8B" w:rsidRPr="006F0CD5" w:rsidRDefault="00BD3D8B" w:rsidP="00BD3D8B">
            <w:pPr>
              <w:widowControl w:val="0"/>
              <w:tabs>
                <w:tab w:val="left" w:pos="865"/>
              </w:tabs>
              <w:spacing w:before="40" w:after="40"/>
              <w:ind w:firstLine="39"/>
              <w:jc w:val="left"/>
              <w:rPr>
                <w:sz w:val="18"/>
                <w:szCs w:val="18"/>
              </w:rPr>
            </w:pPr>
            <w:r w:rsidRPr="006F0CD5">
              <w:rPr>
                <w:sz w:val="18"/>
                <w:szCs w:val="18"/>
              </w:rPr>
              <w:t xml:space="preserve">Servicios </w:t>
            </w:r>
            <w:r>
              <w:rPr>
                <w:sz w:val="18"/>
                <w:szCs w:val="18"/>
              </w:rPr>
              <w:t>p</w:t>
            </w:r>
            <w:r w:rsidRPr="006F0CD5">
              <w:rPr>
                <w:sz w:val="18"/>
                <w:szCs w:val="18"/>
              </w:rPr>
              <w:t xml:space="preserve">rivados no </w:t>
            </w:r>
            <w:r>
              <w:rPr>
                <w:sz w:val="18"/>
                <w:szCs w:val="18"/>
              </w:rPr>
              <w:t>f</w:t>
            </w:r>
            <w:r w:rsidRPr="006F0CD5">
              <w:rPr>
                <w:sz w:val="18"/>
                <w:szCs w:val="18"/>
              </w:rPr>
              <w:t>inancieros</w:t>
            </w:r>
          </w:p>
        </w:tc>
        <w:tc>
          <w:tcPr>
            <w:tcW w:w="2724" w:type="dxa"/>
            <w:tcBorders>
              <w:top w:val="nil"/>
            </w:tcBorders>
            <w:vAlign w:val="center"/>
          </w:tcPr>
          <w:p w14:paraId="091BD34B" w14:textId="2962319C" w:rsidR="00BD3D8B" w:rsidRPr="00C014DD" w:rsidRDefault="00BD3D8B" w:rsidP="00BD3D8B">
            <w:pPr>
              <w:keepNext/>
              <w:keepLines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  <w:r w:rsidRPr="00C014DD">
              <w:rPr>
                <w:sz w:val="18"/>
                <w:szCs w:val="18"/>
              </w:rPr>
              <w:t>46.03</w:t>
            </w:r>
          </w:p>
        </w:tc>
      </w:tr>
    </w:tbl>
    <w:p w14:paraId="091BD34E" w14:textId="2CC45A8A" w:rsidR="0022536A" w:rsidRPr="00443B05" w:rsidRDefault="00A74AEA" w:rsidP="00084686">
      <w:pPr>
        <w:pStyle w:val="Default"/>
        <w:widowControl w:val="0"/>
        <w:spacing w:before="240"/>
        <w:jc w:val="both"/>
        <w:rPr>
          <w:color w:val="auto"/>
        </w:rPr>
      </w:pPr>
      <w:r>
        <w:rPr>
          <w:color w:val="auto"/>
        </w:rPr>
        <w:t>Para</w:t>
      </w:r>
      <w:r w:rsidR="0022536A" w:rsidRPr="00443B05">
        <w:rPr>
          <w:color w:val="auto"/>
        </w:rPr>
        <w:t xml:space="preserve"> brindar m</w:t>
      </w:r>
      <w:r w:rsidR="00196B8A">
        <w:rPr>
          <w:color w:val="auto"/>
        </w:rPr>
        <w:t>ás</w:t>
      </w:r>
      <w:r w:rsidR="0022536A" w:rsidRPr="00443B05">
        <w:rPr>
          <w:color w:val="auto"/>
        </w:rPr>
        <w:t xml:space="preserve"> elementos que permitan determinar la precisión de los datos </w:t>
      </w:r>
      <w:r w:rsidR="00842378">
        <w:rPr>
          <w:color w:val="auto"/>
        </w:rPr>
        <w:t xml:space="preserve">que </w:t>
      </w:r>
      <w:r w:rsidR="0022536A" w:rsidRPr="00443B05">
        <w:rPr>
          <w:color w:val="auto"/>
        </w:rPr>
        <w:t xml:space="preserve">genera la EMOE, el INEGI publica en su página </w:t>
      </w:r>
      <w:bookmarkStart w:id="8" w:name="_Hlk7181741"/>
      <w:r w:rsidR="0022536A" w:rsidRPr="00443B05">
        <w:rPr>
          <w:color w:val="auto"/>
        </w:rPr>
        <w:t>los</w:t>
      </w:r>
      <w:r w:rsidR="0022536A">
        <w:rPr>
          <w:color w:val="auto"/>
        </w:rPr>
        <w:t xml:space="preserve"> </w:t>
      </w:r>
      <w:r w:rsidR="0022536A" w:rsidRPr="0022536A">
        <w:rPr>
          <w:color w:val="auto"/>
        </w:rPr>
        <w:t xml:space="preserve">Indicadores de Precisión Estadística </w:t>
      </w:r>
      <w:bookmarkEnd w:id="8"/>
      <w:r w:rsidR="0022536A" w:rsidRPr="00443B05">
        <w:rPr>
          <w:color w:val="auto"/>
        </w:rPr>
        <w:t>de</w:t>
      </w:r>
      <w:r w:rsidR="003871E0">
        <w:rPr>
          <w:color w:val="auto"/>
        </w:rPr>
        <w:t xml:space="preserve"> </w:t>
      </w:r>
      <w:r w:rsidR="0022536A" w:rsidRPr="00443B05">
        <w:rPr>
          <w:color w:val="auto"/>
        </w:rPr>
        <w:t>l</w:t>
      </w:r>
      <w:r w:rsidR="003871E0">
        <w:rPr>
          <w:color w:val="auto"/>
        </w:rPr>
        <w:t>os</w:t>
      </w:r>
      <w:r w:rsidR="0022536A" w:rsidRPr="00443B05">
        <w:rPr>
          <w:color w:val="auto"/>
        </w:rPr>
        <w:t xml:space="preserve"> I</w:t>
      </w:r>
      <w:r w:rsidR="00151A44">
        <w:rPr>
          <w:color w:val="auto"/>
        </w:rPr>
        <w:t>CE</w:t>
      </w:r>
      <w:r w:rsidR="0022536A" w:rsidRPr="00443B05">
        <w:rPr>
          <w:color w:val="auto"/>
        </w:rPr>
        <w:t xml:space="preserve">, </w:t>
      </w:r>
      <w:r w:rsidR="00701EC7">
        <w:rPr>
          <w:color w:val="auto"/>
        </w:rPr>
        <w:t>que</w:t>
      </w:r>
      <w:r w:rsidR="0022536A" w:rsidRPr="00443B05">
        <w:rPr>
          <w:color w:val="auto"/>
        </w:rPr>
        <w:t xml:space="preserve"> son una medida relativa de su exactitud. </w:t>
      </w:r>
      <w:bookmarkStart w:id="9" w:name="_Hlk7181785"/>
      <w:r w:rsidR="0022536A" w:rsidRPr="00443B05">
        <w:rPr>
          <w:color w:val="auto"/>
        </w:rPr>
        <w:t xml:space="preserve">Para conocer más al respecto, </w:t>
      </w:r>
      <w:r w:rsidR="00701EC7">
        <w:rPr>
          <w:color w:val="auto"/>
        </w:rPr>
        <w:t>consúltese</w:t>
      </w:r>
      <w:r w:rsidR="0022536A" w:rsidRPr="00443B05">
        <w:rPr>
          <w:color w:val="auto"/>
        </w:rPr>
        <w:t xml:space="preserve"> la siguiente liga:</w:t>
      </w:r>
      <w:r w:rsidR="00084686">
        <w:rPr>
          <w:color w:val="auto"/>
        </w:rPr>
        <w:t xml:space="preserve"> </w:t>
      </w:r>
      <w:hyperlink r:id="rId31" w:history="1">
        <w:r w:rsidR="00BD3D8B" w:rsidRPr="00B7445F">
          <w:rPr>
            <w:rStyle w:val="Hipervnculo"/>
          </w:rPr>
          <w:t>https://www.inegi.org.mx/programas/emoe/2018/</w:t>
        </w:r>
      </w:hyperlink>
    </w:p>
    <w:bookmarkEnd w:id="9"/>
    <w:p w14:paraId="0CB19D9D" w14:textId="12AFBE29" w:rsidR="006D2779" w:rsidRDefault="00134394" w:rsidP="00244958">
      <w:pPr>
        <w:pStyle w:val="Default"/>
        <w:widowControl w:val="0"/>
        <w:spacing w:before="240"/>
        <w:jc w:val="both"/>
        <w:rPr>
          <w:color w:val="auto"/>
        </w:rPr>
      </w:pPr>
      <w:r>
        <w:rPr>
          <w:color w:val="auto"/>
        </w:rPr>
        <w:t>L</w:t>
      </w:r>
      <w:r w:rsidR="0022536A" w:rsidRPr="00443B05">
        <w:rPr>
          <w:color w:val="auto"/>
        </w:rPr>
        <w:t>a mayoría de las series económicas se ve afectada por factores estacionales</w:t>
      </w:r>
      <w:r>
        <w:rPr>
          <w:color w:val="auto"/>
        </w:rPr>
        <w:t>:</w:t>
      </w:r>
      <w:r w:rsidR="0022536A" w:rsidRPr="00443B05">
        <w:rPr>
          <w:color w:val="auto"/>
        </w:rPr>
        <w:t xml:space="preserve"> </w:t>
      </w:r>
      <w:r>
        <w:rPr>
          <w:color w:val="auto"/>
        </w:rPr>
        <w:t>e</w:t>
      </w:r>
      <w:r w:rsidR="0022536A" w:rsidRPr="00443B05">
        <w:rPr>
          <w:color w:val="auto"/>
        </w:rPr>
        <w:t xml:space="preserve">fectos periódicos que se repiten cada año y cuyas causas </w:t>
      </w:r>
      <w:r>
        <w:rPr>
          <w:color w:val="auto"/>
        </w:rPr>
        <w:t>son</w:t>
      </w:r>
      <w:r w:rsidR="0022536A" w:rsidRPr="00443B05">
        <w:rPr>
          <w:color w:val="auto"/>
        </w:rPr>
        <w:t xml:space="preserve"> ajenas a la naturaleza económica de las series</w:t>
      </w:r>
      <w:r w:rsidR="008B7E02">
        <w:t xml:space="preserve">. </w:t>
      </w:r>
      <w:r w:rsidR="00203054">
        <w:t>E</w:t>
      </w:r>
      <w:r w:rsidR="008B7E02">
        <w:t>stas pueden ser:</w:t>
      </w:r>
      <w:r w:rsidR="008B7E02" w:rsidRPr="000A6510">
        <w:t xml:space="preserve"> </w:t>
      </w:r>
      <w:r w:rsidR="0022536A" w:rsidRPr="00443B05">
        <w:rPr>
          <w:color w:val="auto"/>
        </w:rPr>
        <w:t xml:space="preserve">las festividades, </w:t>
      </w:r>
      <w:r w:rsidR="00072833">
        <w:rPr>
          <w:color w:val="auto"/>
        </w:rPr>
        <w:t>meses más largos que otros</w:t>
      </w:r>
      <w:r w:rsidR="0022536A" w:rsidRPr="00443B05">
        <w:rPr>
          <w:color w:val="auto"/>
        </w:rPr>
        <w:t>, l</w:t>
      </w:r>
      <w:r>
        <w:rPr>
          <w:color w:val="auto"/>
        </w:rPr>
        <w:t xml:space="preserve">as </w:t>
      </w:r>
      <w:r w:rsidR="0022536A" w:rsidRPr="00443B05">
        <w:rPr>
          <w:color w:val="auto"/>
        </w:rPr>
        <w:t>vacaciones escolares, el clima y otras fluctuaciones</w:t>
      </w:r>
      <w:r>
        <w:rPr>
          <w:color w:val="auto"/>
        </w:rPr>
        <w:t>, como l</w:t>
      </w:r>
      <w:r w:rsidR="0022536A" w:rsidRPr="00443B05">
        <w:rPr>
          <w:color w:val="auto"/>
        </w:rPr>
        <w:t xml:space="preserve">a elevada producción de juguetes en los meses previos a la Navidad. </w:t>
      </w:r>
    </w:p>
    <w:p w14:paraId="091BD351" w14:textId="1F096163" w:rsidR="0022536A" w:rsidRPr="004917FF" w:rsidRDefault="00134394" w:rsidP="00E101D5">
      <w:pPr>
        <w:pStyle w:val="Default"/>
        <w:widowControl w:val="0"/>
        <w:spacing w:before="240"/>
        <w:jc w:val="both"/>
        <w:rPr>
          <w:color w:val="auto"/>
        </w:rPr>
      </w:pPr>
      <w:r>
        <w:rPr>
          <w:color w:val="auto"/>
        </w:rPr>
        <w:t>L</w:t>
      </w:r>
      <w:r w:rsidR="0022536A" w:rsidRPr="00443B05">
        <w:rPr>
          <w:color w:val="auto"/>
        </w:rPr>
        <w:t>a desestacionalización o ajuste estacional de series económicas consiste en remover estas influencias intra-anuales</w:t>
      </w:r>
      <w:r w:rsidR="00C014DD">
        <w:rPr>
          <w:color w:val="auto"/>
        </w:rPr>
        <w:t xml:space="preserve"> periódicas</w:t>
      </w:r>
      <w:r w:rsidR="00BE3B52">
        <w:rPr>
          <w:color w:val="auto"/>
        </w:rPr>
        <w:t>;</w:t>
      </w:r>
      <w:r w:rsidR="008B7E02">
        <w:rPr>
          <w:color w:val="auto"/>
        </w:rPr>
        <w:t xml:space="preserve"> </w:t>
      </w:r>
      <w:r w:rsidR="0022536A" w:rsidRPr="00443B05">
        <w:rPr>
          <w:color w:val="auto"/>
        </w:rPr>
        <w:t xml:space="preserve">su presencia dificulta diagnosticar </w:t>
      </w:r>
      <w:r>
        <w:rPr>
          <w:color w:val="auto"/>
        </w:rPr>
        <w:t>y</w:t>
      </w:r>
      <w:r w:rsidR="0022536A" w:rsidRPr="00443B05">
        <w:rPr>
          <w:color w:val="auto"/>
        </w:rPr>
        <w:t xml:space="preserve"> describir el comportamiento de una serie económica</w:t>
      </w:r>
      <w:r>
        <w:rPr>
          <w:color w:val="auto"/>
        </w:rPr>
        <w:t>, pues no permite</w:t>
      </w:r>
      <w:r w:rsidR="0022536A" w:rsidRPr="00443B05">
        <w:rPr>
          <w:color w:val="auto"/>
        </w:rPr>
        <w:t xml:space="preserve"> comparar adecuadamente un determinado mes con el inmediato anterior.</w:t>
      </w:r>
      <w:r w:rsidR="001D3F0B">
        <w:rPr>
          <w:color w:val="auto"/>
        </w:rPr>
        <w:t xml:space="preserve"> </w:t>
      </w:r>
      <w:r w:rsidR="0022536A" w:rsidRPr="00BB7E2B">
        <w:rPr>
          <w:color w:val="auto"/>
        </w:rPr>
        <w:t xml:space="preserve">Analizar la serie desestacionalizada ayuda a realizar un mejor diagnóstico y pronóstico de </w:t>
      </w:r>
      <w:r w:rsidR="00430DD6" w:rsidRPr="00BB7E2B">
        <w:rPr>
          <w:color w:val="auto"/>
        </w:rPr>
        <w:t>su</w:t>
      </w:r>
      <w:r w:rsidR="0022536A" w:rsidRPr="00BB7E2B">
        <w:rPr>
          <w:color w:val="auto"/>
        </w:rPr>
        <w:t xml:space="preserve"> evolución</w:t>
      </w:r>
      <w:r w:rsidR="007E57D6" w:rsidRPr="00BB7E2B">
        <w:rPr>
          <w:color w:val="auto"/>
        </w:rPr>
        <w:t>, pues</w:t>
      </w:r>
      <w:r w:rsidR="00F414E1">
        <w:rPr>
          <w:color w:val="auto"/>
        </w:rPr>
        <w:t>,</w:t>
      </w:r>
      <w:r w:rsidR="007E57D6" w:rsidRPr="00BB7E2B">
        <w:rPr>
          <w:color w:val="auto"/>
        </w:rPr>
        <w:t xml:space="preserve"> </w:t>
      </w:r>
      <w:r w:rsidR="00F8754C" w:rsidRPr="00BB7E2B">
        <w:rPr>
          <w:color w:val="auto"/>
        </w:rPr>
        <w:t>en el corto plazo</w:t>
      </w:r>
      <w:r w:rsidR="006B7CE9" w:rsidRPr="00BB7E2B">
        <w:rPr>
          <w:color w:val="auto"/>
        </w:rPr>
        <w:t>,</w:t>
      </w:r>
      <w:r w:rsidR="0022536A" w:rsidRPr="00BB7E2B">
        <w:rPr>
          <w:color w:val="auto"/>
        </w:rPr>
        <w:t xml:space="preserve"> </w:t>
      </w:r>
      <w:r w:rsidR="00F8754C" w:rsidRPr="00BB7E2B">
        <w:rPr>
          <w:color w:val="auto"/>
        </w:rPr>
        <w:t>i</w:t>
      </w:r>
      <w:r w:rsidR="0022536A" w:rsidRPr="00BB7E2B">
        <w:rPr>
          <w:color w:val="auto"/>
        </w:rPr>
        <w:t>dentifica</w:t>
      </w:r>
      <w:r w:rsidR="00F8754C" w:rsidRPr="00BB7E2B">
        <w:rPr>
          <w:color w:val="auto"/>
        </w:rPr>
        <w:t xml:space="preserve"> </w:t>
      </w:r>
      <w:r w:rsidR="0022536A" w:rsidRPr="00BB7E2B">
        <w:rPr>
          <w:color w:val="auto"/>
        </w:rPr>
        <w:t>la posible dirección de los movimientos</w:t>
      </w:r>
      <w:r w:rsidR="007E57D6" w:rsidRPr="00BB7E2B">
        <w:rPr>
          <w:color w:val="auto"/>
        </w:rPr>
        <w:t xml:space="preserve"> de</w:t>
      </w:r>
      <w:r w:rsidR="0022536A" w:rsidRPr="00BB7E2B">
        <w:rPr>
          <w:color w:val="auto"/>
        </w:rPr>
        <w:t xml:space="preserve"> la variable en cuestión</w:t>
      </w:r>
      <w:r w:rsidR="0022536A" w:rsidRPr="00443B05">
        <w:rPr>
          <w:color w:val="auto"/>
        </w:rPr>
        <w:t xml:space="preserve">. </w:t>
      </w:r>
    </w:p>
    <w:p w14:paraId="091BD352" w14:textId="40E7D0F8" w:rsidR="0022536A" w:rsidRDefault="0022536A" w:rsidP="00203054">
      <w:pPr>
        <w:widowControl w:val="0"/>
        <w:spacing w:before="240"/>
        <w:rPr>
          <w:szCs w:val="20"/>
        </w:rPr>
      </w:pPr>
      <w:r>
        <w:rPr>
          <w:szCs w:val="20"/>
        </w:rPr>
        <w:t>Las series originales se ajustan estacionalmente mediante el paquete estadístico X</w:t>
      </w:r>
      <w:r>
        <w:rPr>
          <w:szCs w:val="20"/>
        </w:rPr>
        <w:noBreakHyphen/>
        <w:t>13ARIMA</w:t>
      </w:r>
      <w:r>
        <w:rPr>
          <w:szCs w:val="20"/>
        </w:rPr>
        <w:noBreakHyphen/>
        <w:t>SEATS. Para conocer la metodología</w:t>
      </w:r>
      <w:r w:rsidR="00C3163B">
        <w:rPr>
          <w:szCs w:val="20"/>
        </w:rPr>
        <w:t>,</w:t>
      </w:r>
      <w:r>
        <w:rPr>
          <w:szCs w:val="20"/>
        </w:rPr>
        <w:t xml:space="preserve"> </w:t>
      </w:r>
      <w:r w:rsidR="00C3163B">
        <w:rPr>
          <w:szCs w:val="20"/>
        </w:rPr>
        <w:t>consúltese</w:t>
      </w:r>
      <w:r>
        <w:rPr>
          <w:szCs w:val="20"/>
        </w:rPr>
        <w:t xml:space="preserve"> la siguiente liga:</w:t>
      </w:r>
    </w:p>
    <w:p w14:paraId="091BD353" w14:textId="77777777" w:rsidR="0022536A" w:rsidRPr="00B94683" w:rsidRDefault="00000000" w:rsidP="00203054">
      <w:pPr>
        <w:rPr>
          <w:rStyle w:val="Hipervnculo"/>
        </w:rPr>
      </w:pPr>
      <w:hyperlink r:id="rId32" w:history="1">
        <w:r w:rsidR="00632D45" w:rsidRPr="000750A6">
          <w:rPr>
            <w:rStyle w:val="Hipervnculo"/>
          </w:rPr>
          <w:t>https://www.inegi.org.mx/app/biblioteca/ficha.html?upc=702825099060</w:t>
        </w:r>
      </w:hyperlink>
    </w:p>
    <w:p w14:paraId="091BD354" w14:textId="2F3AFB57" w:rsidR="0022536A" w:rsidRDefault="00B2044A" w:rsidP="00A3659D">
      <w:pPr>
        <w:pStyle w:val="Default"/>
        <w:widowControl w:val="0"/>
        <w:spacing w:before="240"/>
        <w:jc w:val="both"/>
        <w:rPr>
          <w:szCs w:val="20"/>
        </w:rPr>
      </w:pPr>
      <w:r w:rsidRPr="004917FF">
        <w:rPr>
          <w:noProof/>
          <w:szCs w:val="20"/>
        </w:rPr>
        <w:drawing>
          <wp:anchor distT="0" distB="0" distL="36195" distR="36195" simplePos="0" relativeHeight="251658240" behindDoc="1" locked="0" layoutInCell="1" allowOverlap="1" wp14:anchorId="2336BD7F" wp14:editId="5B7E57B4">
            <wp:simplePos x="0" y="0"/>
            <wp:positionH relativeFrom="column">
              <wp:posOffset>6188090</wp:posOffset>
            </wp:positionH>
            <wp:positionV relativeFrom="paragraph">
              <wp:posOffset>534818</wp:posOffset>
            </wp:positionV>
            <wp:extent cx="144000" cy="144000"/>
            <wp:effectExtent l="0" t="0" r="8890" b="8890"/>
            <wp:wrapTight wrapText="bothSides">
              <wp:wrapPolygon edited="0">
                <wp:start x="0" y="0"/>
                <wp:lineTo x="0" y="20071"/>
                <wp:lineTo x="20071" y="20071"/>
                <wp:lineTo x="20071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cono i.png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163B">
        <w:rPr>
          <w:szCs w:val="20"/>
        </w:rPr>
        <w:t>L</w:t>
      </w:r>
      <w:r w:rsidR="0022536A" w:rsidRPr="004917FF">
        <w:rPr>
          <w:szCs w:val="20"/>
        </w:rPr>
        <w:t xml:space="preserve">as especificaciones de los modelos utilizados para realizar el ajuste estacional están </w:t>
      </w:r>
      <w:r w:rsidR="0022536A" w:rsidRPr="00B2044A">
        <w:rPr>
          <w:spacing w:val="-2"/>
          <w:szCs w:val="20"/>
        </w:rPr>
        <w:t>disponibles en el Banco de Información Económica</w:t>
      </w:r>
      <w:r w:rsidR="00F8754C" w:rsidRPr="00B2044A">
        <w:rPr>
          <w:spacing w:val="-2"/>
          <w:szCs w:val="20"/>
        </w:rPr>
        <w:t>. Selecci</w:t>
      </w:r>
      <w:r w:rsidR="00E95F31" w:rsidRPr="00B2044A">
        <w:rPr>
          <w:spacing w:val="-2"/>
          <w:szCs w:val="20"/>
        </w:rPr>
        <w:t>o</w:t>
      </w:r>
      <w:r w:rsidR="00F8754C" w:rsidRPr="00B2044A">
        <w:rPr>
          <w:spacing w:val="-2"/>
          <w:szCs w:val="20"/>
        </w:rPr>
        <w:t>ne</w:t>
      </w:r>
      <w:r w:rsidR="0022536A" w:rsidRPr="00B2044A">
        <w:rPr>
          <w:spacing w:val="-2"/>
          <w:szCs w:val="20"/>
        </w:rPr>
        <w:t xml:space="preserve"> </w:t>
      </w:r>
      <w:r w:rsidR="00E95F31" w:rsidRPr="00B2044A">
        <w:rPr>
          <w:spacing w:val="-2"/>
        </w:rPr>
        <w:t>«Indicadores económicos de coyuntura,</w:t>
      </w:r>
      <w:r w:rsidR="005A68A4" w:rsidRPr="00B2044A">
        <w:rPr>
          <w:spacing w:val="-2"/>
        </w:rPr>
        <w:t xml:space="preserve"> Encuesta </w:t>
      </w:r>
      <w:r w:rsidRPr="00B2044A">
        <w:rPr>
          <w:spacing w:val="-2"/>
        </w:rPr>
        <w:t>M</w:t>
      </w:r>
      <w:r w:rsidR="005A68A4" w:rsidRPr="00B2044A">
        <w:rPr>
          <w:spacing w:val="-2"/>
        </w:rPr>
        <w:t xml:space="preserve">ensual </w:t>
      </w:r>
      <w:r w:rsidR="005A68A4" w:rsidRPr="00B2044A">
        <w:rPr>
          <w:color w:val="auto"/>
          <w:spacing w:val="-2"/>
        </w:rPr>
        <w:t xml:space="preserve">de </w:t>
      </w:r>
      <w:r w:rsidRPr="00B2044A">
        <w:rPr>
          <w:color w:val="auto"/>
          <w:spacing w:val="-2"/>
        </w:rPr>
        <w:t>O</w:t>
      </w:r>
      <w:r w:rsidR="005A68A4" w:rsidRPr="00B2044A">
        <w:rPr>
          <w:color w:val="auto"/>
          <w:spacing w:val="-2"/>
        </w:rPr>
        <w:t xml:space="preserve">pinión </w:t>
      </w:r>
      <w:r w:rsidRPr="00B2044A">
        <w:rPr>
          <w:color w:val="auto"/>
          <w:spacing w:val="-2"/>
        </w:rPr>
        <w:t>E</w:t>
      </w:r>
      <w:r w:rsidR="005A68A4" w:rsidRPr="00B2044A">
        <w:rPr>
          <w:color w:val="auto"/>
          <w:spacing w:val="-2"/>
        </w:rPr>
        <w:t>mpresarial</w:t>
      </w:r>
      <w:r w:rsidR="005A68A4" w:rsidRPr="00B2044A">
        <w:rPr>
          <w:spacing w:val="-2"/>
          <w:szCs w:val="20"/>
        </w:rPr>
        <w:t>»</w:t>
      </w:r>
      <w:r w:rsidR="00E95F31" w:rsidRPr="00B2044A">
        <w:rPr>
          <w:spacing w:val="-2"/>
        </w:rPr>
        <w:t xml:space="preserve"> </w:t>
      </w:r>
      <w:r w:rsidR="005A68A4" w:rsidRPr="00B2044A">
        <w:rPr>
          <w:spacing w:val="-2"/>
        </w:rPr>
        <w:t>y vaya al</w:t>
      </w:r>
      <w:r w:rsidR="0022536A" w:rsidRPr="00B2044A">
        <w:rPr>
          <w:spacing w:val="-2"/>
          <w:szCs w:val="20"/>
        </w:rPr>
        <w:t xml:space="preserve"> icono de informaci</w:t>
      </w:r>
      <w:r w:rsidRPr="00B2044A">
        <w:rPr>
          <w:spacing w:val="-2"/>
          <w:szCs w:val="20"/>
        </w:rPr>
        <w:t>ón</w:t>
      </w:r>
      <w:r w:rsidR="0022536A" w:rsidRPr="00B2044A">
        <w:rPr>
          <w:spacing w:val="-2"/>
          <w:szCs w:val="20"/>
        </w:rPr>
        <w:t xml:space="preserve"> correspondiente a las </w:t>
      </w:r>
      <w:r w:rsidR="00072833" w:rsidRPr="00B2044A">
        <w:rPr>
          <w:spacing w:val="-2"/>
          <w:szCs w:val="20"/>
        </w:rPr>
        <w:t>«</w:t>
      </w:r>
      <w:r w:rsidR="0022536A" w:rsidRPr="00B2044A">
        <w:rPr>
          <w:spacing w:val="-2"/>
          <w:szCs w:val="20"/>
        </w:rPr>
        <w:t>series desestacionalizadas y de tendencia</w:t>
      </w:r>
      <w:r w:rsidR="00C4688A" w:rsidRPr="00B2044A">
        <w:rPr>
          <w:spacing w:val="-2"/>
          <w:szCs w:val="20"/>
        </w:rPr>
        <w:noBreakHyphen/>
      </w:r>
      <w:r w:rsidR="0022536A" w:rsidRPr="00B2044A">
        <w:rPr>
          <w:spacing w:val="-2"/>
          <w:szCs w:val="20"/>
        </w:rPr>
        <w:t>ciclo</w:t>
      </w:r>
      <w:r w:rsidR="00D476FC" w:rsidRPr="00B2044A">
        <w:rPr>
          <w:spacing w:val="-2"/>
          <w:szCs w:val="20"/>
        </w:rPr>
        <w:t>»</w:t>
      </w:r>
      <w:r w:rsidR="0022536A" w:rsidRPr="00B2044A">
        <w:rPr>
          <w:color w:val="auto"/>
          <w:spacing w:val="-2"/>
        </w:rPr>
        <w:t>.</w:t>
      </w:r>
    </w:p>
    <w:p w14:paraId="091BD355" w14:textId="02D229C0" w:rsidR="009E64F3" w:rsidRPr="00443B05" w:rsidRDefault="00680212" w:rsidP="00A3659D">
      <w:pPr>
        <w:pStyle w:val="Default"/>
        <w:widowControl w:val="0"/>
        <w:spacing w:before="240"/>
        <w:jc w:val="both"/>
        <w:rPr>
          <w:color w:val="auto"/>
        </w:rPr>
      </w:pPr>
      <w:r>
        <w:t>M</w:t>
      </w:r>
      <w:r w:rsidR="00F8754C">
        <w:t xml:space="preserve">ediante la EMOE, </w:t>
      </w:r>
      <w:r>
        <w:t xml:space="preserve">el INEGI </w:t>
      </w:r>
      <w:r w:rsidR="00F8754C">
        <w:t>genera l</w:t>
      </w:r>
      <w:r w:rsidR="0022536A" w:rsidRPr="003806EC">
        <w:t xml:space="preserve">a información contenida </w:t>
      </w:r>
      <w:r w:rsidR="0022536A" w:rsidRPr="00957652">
        <w:t>en est</w:t>
      </w:r>
      <w:r w:rsidR="0022536A">
        <w:t>e documento</w:t>
      </w:r>
      <w:r w:rsidR="0022536A" w:rsidRPr="00957652">
        <w:t xml:space="preserve"> </w:t>
      </w:r>
      <w:r w:rsidR="00F8754C">
        <w:rPr>
          <w:color w:val="auto"/>
        </w:rPr>
        <w:t>y la</w:t>
      </w:r>
      <w:r w:rsidR="0022536A" w:rsidRPr="00443B05">
        <w:rPr>
          <w:color w:val="auto"/>
        </w:rPr>
        <w:t xml:space="preserve"> da a conocer </w:t>
      </w:r>
      <w:r w:rsidR="00F8754C">
        <w:rPr>
          <w:color w:val="auto"/>
        </w:rPr>
        <w:t>con base</w:t>
      </w:r>
      <w:r w:rsidR="0022536A">
        <w:rPr>
          <w:color w:val="auto"/>
        </w:rPr>
        <w:t xml:space="preserve"> en el Calendario de </w:t>
      </w:r>
      <w:r w:rsidR="00364C33">
        <w:rPr>
          <w:color w:val="auto"/>
        </w:rPr>
        <w:t>D</w:t>
      </w:r>
      <w:r w:rsidR="0022536A" w:rsidRPr="00443B05">
        <w:rPr>
          <w:color w:val="auto"/>
        </w:rPr>
        <w:t xml:space="preserve">ifusión de </w:t>
      </w:r>
      <w:r w:rsidR="00364C33">
        <w:rPr>
          <w:color w:val="auto"/>
        </w:rPr>
        <w:t>I</w:t>
      </w:r>
      <w:r w:rsidR="0022536A" w:rsidRPr="00443B05">
        <w:rPr>
          <w:color w:val="auto"/>
        </w:rPr>
        <w:t xml:space="preserve">nformación </w:t>
      </w:r>
      <w:r w:rsidR="00364C33">
        <w:rPr>
          <w:color w:val="auto"/>
        </w:rPr>
        <w:t>E</w:t>
      </w:r>
      <w:r w:rsidR="0022536A">
        <w:rPr>
          <w:color w:val="auto"/>
        </w:rPr>
        <w:t xml:space="preserve">stadística y </w:t>
      </w:r>
      <w:r w:rsidR="00364C33">
        <w:rPr>
          <w:color w:val="auto"/>
        </w:rPr>
        <w:t>G</w:t>
      </w:r>
      <w:r w:rsidR="0022536A">
        <w:rPr>
          <w:color w:val="auto"/>
        </w:rPr>
        <w:t>eográfica y de Interés Nacional</w:t>
      </w:r>
      <w:r w:rsidR="0022536A" w:rsidRPr="00443B05">
        <w:rPr>
          <w:color w:val="auto"/>
        </w:rPr>
        <w:t>.</w:t>
      </w:r>
    </w:p>
    <w:p w14:paraId="091BD356" w14:textId="3B46BDBA" w:rsidR="009E64F3" w:rsidRPr="00443B05" w:rsidRDefault="004F640E" w:rsidP="00E101D5">
      <w:pPr>
        <w:pStyle w:val="texto0"/>
        <w:keepLines w:val="0"/>
        <w:widowControl w:val="0"/>
        <w:autoSpaceDE w:val="0"/>
        <w:autoSpaceDN w:val="0"/>
        <w:adjustRightInd w:val="0"/>
        <w:rPr>
          <w:rFonts w:cs="Arial"/>
          <w:color w:val="auto"/>
        </w:rPr>
      </w:pPr>
      <w:bookmarkStart w:id="10" w:name="_Hlk7181946"/>
      <w:r>
        <w:rPr>
          <w:rFonts w:cs="Arial"/>
          <w:color w:val="auto"/>
        </w:rPr>
        <w:t>Las cifras</w:t>
      </w:r>
      <w:r w:rsidR="009E64F3" w:rsidRPr="00443B05">
        <w:rPr>
          <w:rFonts w:cs="Arial"/>
          <w:color w:val="auto"/>
        </w:rPr>
        <w:t xml:space="preserve"> p</w:t>
      </w:r>
      <w:r w:rsidR="009E64F3">
        <w:rPr>
          <w:rFonts w:cs="Arial"/>
          <w:color w:val="auto"/>
        </w:rPr>
        <w:t>ueden</w:t>
      </w:r>
      <w:r w:rsidR="009E64F3" w:rsidRPr="00443B05">
        <w:rPr>
          <w:rFonts w:cs="Arial"/>
          <w:color w:val="auto"/>
        </w:rPr>
        <w:t xml:space="preserve"> consulta</w:t>
      </w:r>
      <w:r w:rsidR="007D73AD">
        <w:rPr>
          <w:rFonts w:cs="Arial"/>
          <w:color w:val="auto"/>
        </w:rPr>
        <w:t>rse</w:t>
      </w:r>
      <w:r w:rsidR="009E64F3" w:rsidRPr="00443B05">
        <w:rPr>
          <w:rFonts w:cs="Arial"/>
          <w:color w:val="auto"/>
        </w:rPr>
        <w:t xml:space="preserve"> en la página </w:t>
      </w:r>
      <w:r>
        <w:rPr>
          <w:rFonts w:cs="Arial"/>
          <w:color w:val="auto"/>
        </w:rPr>
        <w:t>del</w:t>
      </w:r>
      <w:r w:rsidR="009E64F3" w:rsidRPr="00443B05">
        <w:rPr>
          <w:rFonts w:cs="Arial"/>
          <w:color w:val="auto"/>
        </w:rPr>
        <w:t xml:space="preserve"> INEGI</w:t>
      </w:r>
      <w:r>
        <w:rPr>
          <w:rFonts w:cs="Arial"/>
          <w:color w:val="auto"/>
        </w:rPr>
        <w:t>,</w:t>
      </w:r>
      <w:r w:rsidR="009E64F3" w:rsidRPr="00443B05">
        <w:rPr>
          <w:rFonts w:cs="Arial"/>
          <w:color w:val="auto"/>
        </w:rPr>
        <w:t xml:space="preserve"> </w:t>
      </w:r>
      <w:r w:rsidR="009E64F3">
        <w:rPr>
          <w:rFonts w:cs="Arial"/>
          <w:color w:val="auto"/>
        </w:rPr>
        <w:t>en las siguientes secciones</w:t>
      </w:r>
      <w:r w:rsidR="009E64F3" w:rsidRPr="00443B05">
        <w:rPr>
          <w:rFonts w:cs="Arial"/>
          <w:color w:val="auto"/>
        </w:rPr>
        <w:t xml:space="preserve">: </w:t>
      </w:r>
    </w:p>
    <w:p w14:paraId="091BD357" w14:textId="77777777" w:rsidR="009E64F3" w:rsidRPr="00412AF8" w:rsidRDefault="009E64F3" w:rsidP="00E101D5">
      <w:pPr>
        <w:pStyle w:val="Default"/>
        <w:contextualSpacing/>
        <w:jc w:val="both"/>
        <w:rPr>
          <w:color w:val="auto"/>
        </w:rPr>
      </w:pPr>
      <w:r w:rsidRPr="00412AF8">
        <w:rPr>
          <w:color w:val="auto"/>
        </w:rPr>
        <w:t xml:space="preserve">Tema: </w:t>
      </w:r>
      <w:r w:rsidR="009D4D64" w:rsidRPr="009D4D64">
        <w:rPr>
          <w:rStyle w:val="Hipervnculo"/>
        </w:rPr>
        <w:t>https://</w:t>
      </w:r>
      <w:hyperlink r:id="rId34" w:history="1">
        <w:r w:rsidR="009D4D64" w:rsidRPr="00F93660">
          <w:rPr>
            <w:rStyle w:val="Hipervnculo"/>
          </w:rPr>
          <w:t>www.inegi.org.mx/temas/opinion/</w:t>
        </w:r>
      </w:hyperlink>
    </w:p>
    <w:p w14:paraId="091BD358" w14:textId="7BEF8F4D" w:rsidR="009E64F3" w:rsidRPr="00412AF8" w:rsidRDefault="009E64F3" w:rsidP="001243E9">
      <w:pPr>
        <w:pStyle w:val="Default"/>
        <w:contextualSpacing/>
        <w:jc w:val="both"/>
        <w:rPr>
          <w:color w:val="auto"/>
        </w:rPr>
      </w:pPr>
      <w:r w:rsidRPr="00412AF8">
        <w:rPr>
          <w:color w:val="auto"/>
        </w:rPr>
        <w:t xml:space="preserve">Programa: </w:t>
      </w:r>
      <w:r w:rsidR="00945CEA" w:rsidRPr="009D4D64">
        <w:rPr>
          <w:rStyle w:val="Hipervnculo"/>
        </w:rPr>
        <w:t>https://</w:t>
      </w:r>
      <w:hyperlink r:id="rId35" w:history="1">
        <w:r w:rsidR="00C82F17" w:rsidRPr="00B7445F">
          <w:rPr>
            <w:rStyle w:val="Hipervnculo"/>
          </w:rPr>
          <w:t>www.inegi.org.mx/programas/emoe/2018/</w:t>
        </w:r>
      </w:hyperlink>
    </w:p>
    <w:p w14:paraId="091BD359" w14:textId="3A6888F5" w:rsidR="009E64F3" w:rsidRPr="001243E9" w:rsidRDefault="009E64F3" w:rsidP="001243E9">
      <w:pPr>
        <w:pStyle w:val="Default"/>
        <w:widowControl w:val="0"/>
        <w:contextualSpacing/>
        <w:jc w:val="both"/>
        <w:rPr>
          <w:rStyle w:val="Hipervnculo"/>
          <w:color w:val="auto"/>
        </w:rPr>
      </w:pPr>
      <w:r w:rsidRPr="00F9370C">
        <w:rPr>
          <w:color w:val="auto"/>
        </w:rPr>
        <w:t>B</w:t>
      </w:r>
      <w:r w:rsidR="00B2044A">
        <w:rPr>
          <w:color w:val="auto"/>
        </w:rPr>
        <w:t>IE</w:t>
      </w:r>
      <w:r w:rsidRPr="00F9370C">
        <w:rPr>
          <w:color w:val="auto"/>
        </w:rPr>
        <w:t>:</w:t>
      </w:r>
      <w:r w:rsidR="000355CE">
        <w:rPr>
          <w:color w:val="auto"/>
        </w:rPr>
        <w:t xml:space="preserve"> </w:t>
      </w:r>
      <w:bookmarkEnd w:id="10"/>
      <w:r w:rsidR="007D0D26">
        <w:fldChar w:fldCharType="begin"/>
      </w:r>
      <w:r w:rsidR="007D0D26">
        <w:instrText xml:space="preserve"> HYPERLINK "https://www.inegi.org.mx/app/indicadores/?tm=0" </w:instrText>
      </w:r>
      <w:r w:rsidR="007D0D26">
        <w:fldChar w:fldCharType="separate"/>
      </w:r>
      <w:r w:rsidR="007D0D26">
        <w:rPr>
          <w:rStyle w:val="Hipervnculo"/>
        </w:rPr>
        <w:t>https://www.inegi.org.mx/app/indicadores/?tm=0</w:t>
      </w:r>
      <w:r w:rsidR="007D0D26">
        <w:fldChar w:fldCharType="end"/>
      </w:r>
    </w:p>
    <w:sectPr w:rsidR="009E64F3" w:rsidRPr="001243E9" w:rsidSect="00AE64BE">
      <w:headerReference w:type="default" r:id="rId36"/>
      <w:footerReference w:type="default" r:id="rId37"/>
      <w:pgSz w:w="12242" w:h="15842" w:code="119"/>
      <w:pgMar w:top="1134" w:right="1134" w:bottom="1134" w:left="1134" w:header="567" w:footer="567" w:gutter="0"/>
      <w:paperSrc w:first="15" w:other="15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F25EC" w14:textId="77777777" w:rsidR="00D82FC9" w:rsidRDefault="00D82FC9">
      <w:r>
        <w:separator/>
      </w:r>
    </w:p>
  </w:endnote>
  <w:endnote w:type="continuationSeparator" w:id="0">
    <w:p w14:paraId="43357FA7" w14:textId="77777777" w:rsidR="00D82FC9" w:rsidRDefault="00D82FC9">
      <w:r>
        <w:continuationSeparator/>
      </w:r>
    </w:p>
  </w:endnote>
  <w:endnote w:type="continuationNotice" w:id="1">
    <w:p w14:paraId="1AC9D0B4" w14:textId="77777777" w:rsidR="00D82FC9" w:rsidRDefault="00D82F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egrita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23F2B" w14:textId="77777777" w:rsidR="002633AF" w:rsidRPr="0048125C" w:rsidRDefault="002633AF" w:rsidP="002633AF">
    <w:pPr>
      <w:pStyle w:val="Piedepgina"/>
      <w:jc w:val="center"/>
      <w:rPr>
        <w:sz w:val="20"/>
        <w:szCs w:val="20"/>
      </w:rPr>
    </w:pPr>
    <w:r w:rsidRPr="0048125C">
      <w:rPr>
        <w:b/>
        <w:color w:val="002060"/>
        <w:sz w:val="20"/>
        <w:szCs w:val="20"/>
      </w:rPr>
      <w:t>Comunicación social</w:t>
    </w:r>
  </w:p>
  <w:p w14:paraId="091BD37D" w14:textId="15BA8DE5" w:rsidR="00A23639" w:rsidRPr="002633AF" w:rsidRDefault="00A23639" w:rsidP="002633A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78DC0" w14:textId="77777777" w:rsidR="00D82FC9" w:rsidRDefault="00D82FC9">
      <w:r>
        <w:separator/>
      </w:r>
    </w:p>
  </w:footnote>
  <w:footnote w:type="continuationSeparator" w:id="0">
    <w:p w14:paraId="5E7A7FFD" w14:textId="77777777" w:rsidR="00D82FC9" w:rsidRDefault="00D82FC9">
      <w:r>
        <w:continuationSeparator/>
      </w:r>
    </w:p>
  </w:footnote>
  <w:footnote w:type="continuationNotice" w:id="1">
    <w:p w14:paraId="679F2156" w14:textId="77777777" w:rsidR="00D82FC9" w:rsidRDefault="00D82FC9"/>
  </w:footnote>
  <w:footnote w:id="2">
    <w:p w14:paraId="71DE7289" w14:textId="77777777" w:rsidR="0098209D" w:rsidRPr="00B14BB8" w:rsidRDefault="0098209D" w:rsidP="0098209D">
      <w:pPr>
        <w:pStyle w:val="Textonotapie"/>
        <w:ind w:left="142" w:hanging="142"/>
        <w:rPr>
          <w:sz w:val="16"/>
          <w:szCs w:val="16"/>
        </w:rPr>
      </w:pPr>
      <w:r w:rsidRPr="004B463E">
        <w:rPr>
          <w:rStyle w:val="Refdenotaalpie"/>
          <w:sz w:val="18"/>
          <w:szCs w:val="18"/>
        </w:rPr>
        <w:footnoteRef/>
      </w:r>
      <w:r w:rsidRPr="00B14BB8">
        <w:rPr>
          <w:rStyle w:val="Refdenotaalpie"/>
          <w:sz w:val="16"/>
          <w:szCs w:val="16"/>
          <w:vertAlign w:val="baseline"/>
        </w:rPr>
        <w:tab/>
      </w:r>
      <w:r w:rsidRPr="00B14BB8">
        <w:rPr>
          <w:sz w:val="16"/>
          <w:szCs w:val="16"/>
        </w:rPr>
        <w:t>La mayoría de las series económicas se ve afectada por factores estacionales y de calendario</w:t>
      </w:r>
      <w:r>
        <w:rPr>
          <w:sz w:val="16"/>
          <w:szCs w:val="16"/>
        </w:rPr>
        <w:t>. E</w:t>
      </w:r>
      <w:r w:rsidRPr="00B14BB8">
        <w:rPr>
          <w:sz w:val="16"/>
          <w:szCs w:val="16"/>
        </w:rPr>
        <w:t>l ajuste de los datos por dichos factores permite obtener las cifras desestacionalizadas</w:t>
      </w:r>
      <w:r>
        <w:rPr>
          <w:sz w:val="16"/>
          <w:szCs w:val="16"/>
        </w:rPr>
        <w:t>.</w:t>
      </w:r>
      <w:r w:rsidRPr="00B14BB8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Su </w:t>
      </w:r>
      <w:r w:rsidRPr="00B14BB8">
        <w:rPr>
          <w:sz w:val="16"/>
          <w:szCs w:val="16"/>
        </w:rPr>
        <w:t>análisis ayuda a realizar un mejor diagnóstico de la evolución de las variables.</w:t>
      </w:r>
    </w:p>
  </w:footnote>
  <w:footnote w:id="3">
    <w:p w14:paraId="091BD384" w14:textId="192E91F1" w:rsidR="00A23639" w:rsidRPr="001B7EF3" w:rsidRDefault="00A23639" w:rsidP="001B7EF3">
      <w:pPr>
        <w:pStyle w:val="Textonotapie"/>
        <w:ind w:left="113" w:hanging="113"/>
        <w:rPr>
          <w:sz w:val="16"/>
          <w:szCs w:val="16"/>
          <w:lang w:val="es-MX"/>
        </w:rPr>
      </w:pPr>
      <w:r w:rsidRPr="008C5EDE">
        <w:rPr>
          <w:rStyle w:val="Refdenotaalpie"/>
          <w:sz w:val="18"/>
        </w:rPr>
        <w:footnoteRef/>
      </w:r>
      <w:r w:rsidRPr="00147EB9">
        <w:rPr>
          <w:sz w:val="14"/>
          <w:szCs w:val="14"/>
        </w:rPr>
        <w:tab/>
      </w:r>
      <w:r w:rsidRPr="001B7EF3">
        <w:rPr>
          <w:sz w:val="16"/>
          <w:szCs w:val="16"/>
        </w:rPr>
        <w:t xml:space="preserve">Con la información disponible a la fecha, </w:t>
      </w:r>
      <w:r w:rsidRPr="00AE39C9">
        <w:rPr>
          <w:sz w:val="16"/>
          <w:szCs w:val="16"/>
        </w:rPr>
        <w:t>el</w:t>
      </w:r>
      <w:r w:rsidR="00FA77E6" w:rsidRPr="00AE39C9">
        <w:rPr>
          <w:sz w:val="16"/>
          <w:szCs w:val="16"/>
        </w:rPr>
        <w:t xml:space="preserve"> Indicador de Confianza Empresarial (</w:t>
      </w:r>
      <w:r w:rsidRPr="00AE39C9">
        <w:rPr>
          <w:sz w:val="16"/>
          <w:szCs w:val="16"/>
        </w:rPr>
        <w:t>ICE</w:t>
      </w:r>
      <w:r w:rsidR="00FA77E6" w:rsidRPr="00AE39C9">
        <w:rPr>
          <w:sz w:val="16"/>
          <w:szCs w:val="16"/>
        </w:rPr>
        <w:t>)</w:t>
      </w:r>
      <w:r w:rsidRPr="00AE39C9">
        <w:rPr>
          <w:sz w:val="16"/>
          <w:szCs w:val="16"/>
        </w:rPr>
        <w:t xml:space="preserve"> de</w:t>
      </w:r>
      <w:r w:rsidRPr="001B7EF3">
        <w:rPr>
          <w:sz w:val="16"/>
          <w:szCs w:val="16"/>
        </w:rPr>
        <w:t xml:space="preserve"> Construcción y los componentes relativos a la situación económica presente y futura del país, y a la situación económica presente y futura de la empresa</w:t>
      </w:r>
      <w:r w:rsidR="00145A84">
        <w:rPr>
          <w:sz w:val="16"/>
          <w:szCs w:val="16"/>
        </w:rPr>
        <w:t>,</w:t>
      </w:r>
      <w:r w:rsidRPr="001B7EF3">
        <w:rPr>
          <w:sz w:val="16"/>
          <w:szCs w:val="16"/>
        </w:rPr>
        <w:t xml:space="preserve"> no muestran un patrón de estacionalidad definido, por lo que no se realiza el ajuste por </w:t>
      </w:r>
      <w:r>
        <w:rPr>
          <w:sz w:val="16"/>
          <w:szCs w:val="16"/>
        </w:rPr>
        <w:t>tal</w:t>
      </w:r>
      <w:r w:rsidRPr="001B7EF3">
        <w:rPr>
          <w:sz w:val="16"/>
          <w:szCs w:val="16"/>
        </w:rPr>
        <w:t xml:space="preserve"> efecto y se utiliza la serie original. En la medida en que se cuente con un mayor número de observaciones y</w:t>
      </w:r>
      <w:r>
        <w:rPr>
          <w:sz w:val="16"/>
          <w:szCs w:val="16"/>
        </w:rPr>
        <w:t>,</w:t>
      </w:r>
      <w:r w:rsidRPr="001B7EF3">
        <w:rPr>
          <w:sz w:val="16"/>
          <w:szCs w:val="16"/>
        </w:rPr>
        <w:t xml:space="preserve"> eventualmente</w:t>
      </w:r>
      <w:r>
        <w:rPr>
          <w:sz w:val="16"/>
          <w:szCs w:val="16"/>
        </w:rPr>
        <w:t>,</w:t>
      </w:r>
      <w:r w:rsidRPr="001B7EF3">
        <w:rPr>
          <w:sz w:val="16"/>
          <w:szCs w:val="16"/>
        </w:rPr>
        <w:t xml:space="preserve"> se detecte un patrón estacional, estas variables se reportarán en dicho formato.</w:t>
      </w:r>
    </w:p>
  </w:footnote>
  <w:footnote w:id="4">
    <w:p w14:paraId="091BD385" w14:textId="4C8C8E39" w:rsidR="00A23639" w:rsidRPr="009C6AF2" w:rsidRDefault="00A23639" w:rsidP="00A26512">
      <w:pPr>
        <w:pStyle w:val="Textonotapie"/>
        <w:ind w:left="142" w:hanging="142"/>
        <w:rPr>
          <w:sz w:val="16"/>
          <w:szCs w:val="16"/>
          <w:lang w:val="es-MX"/>
        </w:rPr>
      </w:pPr>
      <w:r w:rsidRPr="00FD6542">
        <w:rPr>
          <w:rStyle w:val="Refdenotaalpie"/>
          <w:sz w:val="18"/>
          <w:szCs w:val="18"/>
        </w:rPr>
        <w:footnoteRef/>
      </w:r>
      <w:r>
        <w:rPr>
          <w:sz w:val="14"/>
          <w:szCs w:val="14"/>
        </w:rPr>
        <w:tab/>
      </w:r>
      <w:r w:rsidRPr="009C6AF2">
        <w:rPr>
          <w:sz w:val="16"/>
          <w:szCs w:val="16"/>
        </w:rPr>
        <w:t>Con la información disponible a la fecha, el I</w:t>
      </w:r>
      <w:r>
        <w:rPr>
          <w:sz w:val="16"/>
          <w:szCs w:val="16"/>
        </w:rPr>
        <w:t>CE</w:t>
      </w:r>
      <w:r w:rsidRPr="009C6AF2">
        <w:rPr>
          <w:sz w:val="16"/>
          <w:szCs w:val="16"/>
        </w:rPr>
        <w:t xml:space="preserve"> de Comercio y sus cinco componentes no muestran un patrón de estacionalidad definido, por lo que no se realiza el ajuste por </w:t>
      </w:r>
      <w:r>
        <w:rPr>
          <w:sz w:val="16"/>
          <w:szCs w:val="16"/>
        </w:rPr>
        <w:t>tal</w:t>
      </w:r>
      <w:r w:rsidRPr="009C6AF2">
        <w:rPr>
          <w:sz w:val="16"/>
          <w:szCs w:val="16"/>
        </w:rPr>
        <w:t xml:space="preserve"> efecto y se utiliza la serie original. En la medida en que se cuente con un mayor número de observaciones y</w:t>
      </w:r>
      <w:r>
        <w:rPr>
          <w:sz w:val="16"/>
          <w:szCs w:val="16"/>
        </w:rPr>
        <w:t>,</w:t>
      </w:r>
      <w:r w:rsidRPr="009C6AF2">
        <w:rPr>
          <w:sz w:val="16"/>
          <w:szCs w:val="16"/>
        </w:rPr>
        <w:t xml:space="preserve"> eventualmente</w:t>
      </w:r>
      <w:r>
        <w:rPr>
          <w:sz w:val="16"/>
          <w:szCs w:val="16"/>
        </w:rPr>
        <w:t>,</w:t>
      </w:r>
      <w:r w:rsidRPr="009C6AF2">
        <w:rPr>
          <w:sz w:val="16"/>
          <w:szCs w:val="16"/>
        </w:rPr>
        <w:t xml:space="preserve"> se detecte un patrón estacional, estas variables se reportarán en dicho formato.</w:t>
      </w:r>
    </w:p>
  </w:footnote>
  <w:footnote w:id="5">
    <w:p w14:paraId="091BD386" w14:textId="2B93ACD6" w:rsidR="00A23639" w:rsidRPr="009C6AF2" w:rsidRDefault="00A23639" w:rsidP="00105AC7">
      <w:pPr>
        <w:pStyle w:val="Textonotapie"/>
        <w:ind w:left="142" w:hanging="142"/>
        <w:rPr>
          <w:sz w:val="16"/>
          <w:szCs w:val="16"/>
          <w:lang w:val="es-MX"/>
        </w:rPr>
      </w:pPr>
      <w:r w:rsidRPr="000738E1">
        <w:rPr>
          <w:rStyle w:val="Refdenotaalpie"/>
          <w:sz w:val="18"/>
          <w:szCs w:val="18"/>
        </w:rPr>
        <w:footnoteRef/>
      </w:r>
      <w:r w:rsidRPr="000738E1">
        <w:rPr>
          <w:sz w:val="14"/>
          <w:szCs w:val="14"/>
        </w:rPr>
        <w:tab/>
      </w:r>
      <w:r w:rsidRPr="000738E1">
        <w:rPr>
          <w:sz w:val="16"/>
          <w:szCs w:val="16"/>
        </w:rPr>
        <w:t>Con la información disponible a la fecha, el I</w:t>
      </w:r>
      <w:r>
        <w:rPr>
          <w:sz w:val="16"/>
          <w:szCs w:val="16"/>
        </w:rPr>
        <w:t xml:space="preserve">CE </w:t>
      </w:r>
      <w:r w:rsidRPr="000738E1">
        <w:rPr>
          <w:sz w:val="16"/>
          <w:szCs w:val="16"/>
        </w:rPr>
        <w:t xml:space="preserve">de Servicios </w:t>
      </w:r>
      <w:r>
        <w:rPr>
          <w:sz w:val="16"/>
          <w:szCs w:val="16"/>
        </w:rPr>
        <w:t>p</w:t>
      </w:r>
      <w:r w:rsidRPr="000738E1">
        <w:rPr>
          <w:sz w:val="16"/>
          <w:szCs w:val="16"/>
        </w:rPr>
        <w:t xml:space="preserve">rivados no </w:t>
      </w:r>
      <w:r>
        <w:rPr>
          <w:sz w:val="16"/>
          <w:szCs w:val="16"/>
        </w:rPr>
        <w:t>f</w:t>
      </w:r>
      <w:r w:rsidRPr="000738E1">
        <w:rPr>
          <w:sz w:val="16"/>
          <w:szCs w:val="16"/>
        </w:rPr>
        <w:t xml:space="preserve">inancieros y sus cinco componentes no muestran un patrón de estacionalidad definido, por lo que no se realiza el ajuste por </w:t>
      </w:r>
      <w:r>
        <w:rPr>
          <w:sz w:val="16"/>
          <w:szCs w:val="16"/>
        </w:rPr>
        <w:t>tal</w:t>
      </w:r>
      <w:r w:rsidRPr="000738E1">
        <w:rPr>
          <w:sz w:val="16"/>
          <w:szCs w:val="16"/>
        </w:rPr>
        <w:t xml:space="preserve"> efecto y se utiliza la serie original. En la medida en que se cuente con un mayor número de observaciones y</w:t>
      </w:r>
      <w:r>
        <w:rPr>
          <w:sz w:val="16"/>
          <w:szCs w:val="16"/>
        </w:rPr>
        <w:t>,</w:t>
      </w:r>
      <w:r w:rsidRPr="000738E1">
        <w:rPr>
          <w:sz w:val="16"/>
          <w:szCs w:val="16"/>
        </w:rPr>
        <w:t xml:space="preserve"> eventualmente</w:t>
      </w:r>
      <w:r>
        <w:rPr>
          <w:sz w:val="16"/>
          <w:szCs w:val="16"/>
        </w:rPr>
        <w:t>,</w:t>
      </w:r>
      <w:r w:rsidRPr="000738E1">
        <w:rPr>
          <w:sz w:val="16"/>
          <w:szCs w:val="16"/>
        </w:rPr>
        <w:t xml:space="preserve"> se detecte un patrón estacional, estas variables se reportarán en dicho formato.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651E4" w14:textId="77777777" w:rsidR="00AE64BE" w:rsidRDefault="00AE64BE" w:rsidP="00AE64BE"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30CF9BD5" wp14:editId="2799F5E0">
          <wp:simplePos x="0" y="0"/>
          <wp:positionH relativeFrom="margin">
            <wp:posOffset>-104775</wp:posOffset>
          </wp:positionH>
          <wp:positionV relativeFrom="paragraph">
            <wp:posOffset>-2540</wp:posOffset>
          </wp:positionV>
          <wp:extent cx="2761200" cy="795600"/>
          <wp:effectExtent l="0" t="0" r="1270" b="5080"/>
          <wp:wrapSquare wrapText="bothSides"/>
          <wp:docPr id="1799583202" name="Imagen 1799583202" descr="Un letrero de color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6466350" name="Imagen 2" descr="Un letrero de color negr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1200" cy="7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4062DF" w14:textId="00103ED1" w:rsidR="00AE64BE" w:rsidRPr="00306ECD" w:rsidRDefault="00AE64BE" w:rsidP="00AE64BE">
    <w:pPr>
      <w:pStyle w:val="Encabezado"/>
      <w:ind w:left="-142" w:right="49" w:hanging="142"/>
      <w:jc w:val="right"/>
      <w:rPr>
        <w:b/>
        <w:color w:val="002060"/>
        <w:lang w:val="pt-BR"/>
      </w:rPr>
    </w:pPr>
    <w:r w:rsidRPr="00306ECD">
      <w:rPr>
        <w:b/>
        <w:color w:val="002060"/>
      </w:rPr>
      <w:t>Comunicado de prensa núm</w:t>
    </w:r>
    <w:r>
      <w:rPr>
        <w:b/>
        <w:color w:val="002060"/>
      </w:rPr>
      <w:t>ero</w:t>
    </w:r>
    <w:r w:rsidRPr="00306ECD">
      <w:rPr>
        <w:b/>
        <w:color w:val="002060"/>
      </w:rPr>
      <w:t xml:space="preserve"> </w:t>
    </w:r>
    <w:r>
      <w:rPr>
        <w:b/>
        <w:color w:val="002060"/>
      </w:rPr>
      <w:t>571</w:t>
    </w:r>
    <w:r w:rsidRPr="00306ECD">
      <w:rPr>
        <w:b/>
        <w:color w:val="002060"/>
      </w:rPr>
      <w:t>/2</w:t>
    </w:r>
    <w:r>
      <w:rPr>
        <w:b/>
        <w:color w:val="002060"/>
      </w:rPr>
      <w:t>3</w:t>
    </w:r>
  </w:p>
  <w:p w14:paraId="191DC856" w14:textId="4FCBFB2D" w:rsidR="00AE64BE" w:rsidRPr="00306ECD" w:rsidRDefault="00AE64BE" w:rsidP="00AE64BE">
    <w:pPr>
      <w:pStyle w:val="Encabezado"/>
      <w:tabs>
        <w:tab w:val="clear" w:pos="4320"/>
        <w:tab w:val="clear" w:pos="8640"/>
      </w:tabs>
      <w:ind w:left="-567" w:right="49"/>
      <w:jc w:val="right"/>
      <w:rPr>
        <w:b/>
        <w:color w:val="002060"/>
        <w:lang w:val="pt-BR"/>
      </w:rPr>
    </w:pPr>
    <w:r>
      <w:rPr>
        <w:b/>
        <w:color w:val="002060"/>
        <w:lang w:val="pt-BR"/>
      </w:rPr>
      <w:t xml:space="preserve">2 de </w:t>
    </w:r>
    <w:proofErr w:type="spellStart"/>
    <w:r>
      <w:rPr>
        <w:b/>
        <w:color w:val="002060"/>
        <w:lang w:val="pt-BR"/>
      </w:rPr>
      <w:t>octubre</w:t>
    </w:r>
    <w:proofErr w:type="spellEnd"/>
    <w:r>
      <w:rPr>
        <w:b/>
        <w:color w:val="002060"/>
        <w:lang w:val="pt-BR"/>
      </w:rPr>
      <w:t xml:space="preserve"> de </w:t>
    </w:r>
    <w:r w:rsidRPr="00306ECD">
      <w:rPr>
        <w:b/>
        <w:color w:val="002060"/>
        <w:lang w:val="pt-BR"/>
      </w:rPr>
      <w:t>202</w:t>
    </w:r>
    <w:r>
      <w:rPr>
        <w:b/>
        <w:color w:val="002060"/>
        <w:lang w:val="pt-BR"/>
      </w:rPr>
      <w:t>3</w:t>
    </w:r>
  </w:p>
  <w:p w14:paraId="269B59C5" w14:textId="17B412C5" w:rsidR="00AE64BE" w:rsidRPr="00F22E89" w:rsidRDefault="00AE64BE" w:rsidP="00AE64BE">
    <w:pPr>
      <w:pStyle w:val="Encabezado"/>
      <w:ind w:left="-567" w:right="49"/>
      <w:jc w:val="right"/>
      <w:rPr>
        <w:b/>
        <w:color w:val="002060"/>
      </w:rPr>
    </w:pPr>
    <w:r w:rsidRPr="006B2980">
      <w:rPr>
        <w:b/>
        <w:color w:val="002060"/>
      </w:rPr>
      <w:t xml:space="preserve">Página </w:t>
    </w:r>
    <w:r w:rsidRPr="006B2980">
      <w:rPr>
        <w:b/>
        <w:color w:val="002060"/>
      </w:rPr>
      <w:fldChar w:fldCharType="begin"/>
    </w:r>
    <w:r w:rsidRPr="006B2980">
      <w:rPr>
        <w:b/>
        <w:color w:val="002060"/>
      </w:rPr>
      <w:instrText xml:space="preserve"> PAGE  \* Arabic </w:instrText>
    </w:r>
    <w:r w:rsidRPr="006B2980">
      <w:rPr>
        <w:b/>
        <w:color w:val="002060"/>
      </w:rPr>
      <w:fldChar w:fldCharType="separate"/>
    </w:r>
    <w:r>
      <w:rPr>
        <w:b/>
        <w:color w:val="002060"/>
      </w:rPr>
      <w:t>1</w:t>
    </w:r>
    <w:r w:rsidRPr="006B2980">
      <w:rPr>
        <w:b/>
        <w:color w:val="002060"/>
      </w:rPr>
      <w:fldChar w:fldCharType="end"/>
    </w:r>
    <w:r w:rsidRPr="006B2980">
      <w:rPr>
        <w:b/>
        <w:color w:val="002060"/>
      </w:rPr>
      <w:t>/</w:t>
    </w:r>
    <w:r w:rsidR="0050547D">
      <w:rPr>
        <w:b/>
        <w:color w:val="002060"/>
      </w:rPr>
      <w:t>16</w:t>
    </w:r>
  </w:p>
  <w:p w14:paraId="091BD37C" w14:textId="0342D317" w:rsidR="00A23639" w:rsidRDefault="00A23639" w:rsidP="003D677D">
    <w:pPr>
      <w:pStyle w:val="Encabezado"/>
      <w:tabs>
        <w:tab w:val="clear" w:pos="4320"/>
        <w:tab w:val="clear" w:pos="8640"/>
      </w:tabs>
    </w:pPr>
  </w:p>
  <w:p w14:paraId="496111A3" w14:textId="77777777" w:rsidR="00AE64BE" w:rsidRPr="00AE64BE" w:rsidRDefault="00AE64BE" w:rsidP="003D677D">
    <w:pPr>
      <w:pStyle w:val="Encabezado"/>
      <w:tabs>
        <w:tab w:val="clear" w:pos="4320"/>
        <w:tab w:val="clear" w:pos="8640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2D1B45"/>
    <w:multiLevelType w:val="hybridMultilevel"/>
    <w:tmpl w:val="C8F2AA1C"/>
    <w:lvl w:ilvl="0" w:tplc="5CF495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B0DF6"/>
    <w:multiLevelType w:val="hybridMultilevel"/>
    <w:tmpl w:val="C764CACC"/>
    <w:lvl w:ilvl="0" w:tplc="FFFFFFFF">
      <w:start w:val="1"/>
      <w:numFmt w:val="lowerLetter"/>
      <w:lvlText w:val="%1)"/>
      <w:lvlJc w:val="left"/>
      <w:pPr>
        <w:tabs>
          <w:tab w:val="num" w:pos="609"/>
        </w:tabs>
        <w:ind w:left="609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969"/>
        </w:tabs>
        <w:ind w:left="96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89"/>
        </w:tabs>
        <w:ind w:left="168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09"/>
        </w:tabs>
        <w:ind w:left="240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129"/>
        </w:tabs>
        <w:ind w:left="312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849"/>
        </w:tabs>
        <w:ind w:left="384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569"/>
        </w:tabs>
        <w:ind w:left="456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289"/>
        </w:tabs>
        <w:ind w:left="528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009"/>
        </w:tabs>
        <w:ind w:left="6009" w:hanging="180"/>
      </w:pPr>
    </w:lvl>
  </w:abstractNum>
  <w:abstractNum w:abstractNumId="3" w15:restartNumberingAfterBreak="0">
    <w:nsid w:val="12974BD7"/>
    <w:multiLevelType w:val="hybridMultilevel"/>
    <w:tmpl w:val="C764CACC"/>
    <w:lvl w:ilvl="0" w:tplc="FFFFFFFF">
      <w:start w:val="1"/>
      <w:numFmt w:val="lowerLetter"/>
      <w:lvlText w:val="%1)"/>
      <w:lvlJc w:val="left"/>
      <w:pPr>
        <w:tabs>
          <w:tab w:val="num" w:pos="609"/>
        </w:tabs>
        <w:ind w:left="609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969"/>
        </w:tabs>
        <w:ind w:left="96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89"/>
        </w:tabs>
        <w:ind w:left="168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09"/>
        </w:tabs>
        <w:ind w:left="240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129"/>
        </w:tabs>
        <w:ind w:left="312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849"/>
        </w:tabs>
        <w:ind w:left="384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569"/>
        </w:tabs>
        <w:ind w:left="456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289"/>
        </w:tabs>
        <w:ind w:left="528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009"/>
        </w:tabs>
        <w:ind w:left="6009" w:hanging="180"/>
      </w:pPr>
    </w:lvl>
  </w:abstractNum>
  <w:abstractNum w:abstractNumId="4" w15:restartNumberingAfterBreak="0">
    <w:nsid w:val="13A139D0"/>
    <w:multiLevelType w:val="hybridMultilevel"/>
    <w:tmpl w:val="D7A8C186"/>
    <w:lvl w:ilvl="0" w:tplc="3E909774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F31AD"/>
    <w:multiLevelType w:val="hybridMultilevel"/>
    <w:tmpl w:val="4036C3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BD4183"/>
    <w:multiLevelType w:val="hybridMultilevel"/>
    <w:tmpl w:val="F006B4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02A60"/>
    <w:multiLevelType w:val="hybridMultilevel"/>
    <w:tmpl w:val="96908F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6B28BC"/>
    <w:multiLevelType w:val="hybridMultilevel"/>
    <w:tmpl w:val="D3DC1B7E"/>
    <w:lvl w:ilvl="0" w:tplc="B3CC19F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F2BAE"/>
    <w:multiLevelType w:val="singleLevel"/>
    <w:tmpl w:val="FFFFFFFF"/>
    <w:lvl w:ilvl="0">
      <w:numFmt w:val="decimal"/>
      <w:lvlText w:val="*"/>
      <w:lvlJc w:val="left"/>
    </w:lvl>
  </w:abstractNum>
  <w:abstractNum w:abstractNumId="10" w15:restartNumberingAfterBreak="0">
    <w:nsid w:val="29CD6A32"/>
    <w:multiLevelType w:val="hybridMultilevel"/>
    <w:tmpl w:val="09CA004E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130EDC"/>
    <w:multiLevelType w:val="hybridMultilevel"/>
    <w:tmpl w:val="6DD2AA06"/>
    <w:lvl w:ilvl="0" w:tplc="0C0A0001">
      <w:start w:val="1"/>
      <w:numFmt w:val="bullet"/>
      <w:lvlText w:val=""/>
      <w:lvlJc w:val="left"/>
      <w:pPr>
        <w:tabs>
          <w:tab w:val="num" w:pos="2203"/>
        </w:tabs>
        <w:ind w:left="2203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-2388"/>
        </w:tabs>
        <w:ind w:left="-23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-1668"/>
        </w:tabs>
        <w:ind w:left="-16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-948"/>
        </w:tabs>
        <w:ind w:left="-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-228"/>
        </w:tabs>
        <w:ind w:left="-2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2"/>
        </w:tabs>
        <w:ind w:left="4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1932"/>
        </w:tabs>
        <w:ind w:left="19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hint="default"/>
      </w:rPr>
    </w:lvl>
  </w:abstractNum>
  <w:abstractNum w:abstractNumId="12" w15:restartNumberingAfterBreak="0">
    <w:nsid w:val="2FC854E1"/>
    <w:multiLevelType w:val="hybridMultilevel"/>
    <w:tmpl w:val="D29074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D26A0"/>
    <w:multiLevelType w:val="multilevel"/>
    <w:tmpl w:val="EF704C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BEE6391"/>
    <w:multiLevelType w:val="multilevel"/>
    <w:tmpl w:val="1D78F85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D970A15"/>
    <w:multiLevelType w:val="multilevel"/>
    <w:tmpl w:val="CD70D858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4B475F2"/>
    <w:multiLevelType w:val="hybridMultilevel"/>
    <w:tmpl w:val="09CA004E"/>
    <w:lvl w:ilvl="0" w:tplc="56E4E97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5E6CC1"/>
    <w:multiLevelType w:val="hybridMultilevel"/>
    <w:tmpl w:val="C8F2AA1C"/>
    <w:lvl w:ilvl="0" w:tplc="5CF495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573D13"/>
    <w:multiLevelType w:val="hybridMultilevel"/>
    <w:tmpl w:val="C764CACC"/>
    <w:lvl w:ilvl="0" w:tplc="F9CE02A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000E50"/>
    <w:multiLevelType w:val="hybridMultilevel"/>
    <w:tmpl w:val="8A5A49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C01842"/>
    <w:multiLevelType w:val="hybridMultilevel"/>
    <w:tmpl w:val="C8F2AA1C"/>
    <w:lvl w:ilvl="0" w:tplc="5CF495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F02851"/>
    <w:multiLevelType w:val="hybridMultilevel"/>
    <w:tmpl w:val="C8F2AA1C"/>
    <w:lvl w:ilvl="0" w:tplc="5CF495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CB4C15"/>
    <w:multiLevelType w:val="hybridMultilevel"/>
    <w:tmpl w:val="C8F2AA1C"/>
    <w:lvl w:ilvl="0" w:tplc="5CF495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C81CCA"/>
    <w:multiLevelType w:val="hybridMultilevel"/>
    <w:tmpl w:val="C8F2AA1C"/>
    <w:lvl w:ilvl="0" w:tplc="5CF495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BC08B2"/>
    <w:multiLevelType w:val="multilevel"/>
    <w:tmpl w:val="9518519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8812414"/>
    <w:multiLevelType w:val="hybridMultilevel"/>
    <w:tmpl w:val="70B41DD8"/>
    <w:lvl w:ilvl="0" w:tplc="308CDB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CE6EA0"/>
    <w:multiLevelType w:val="hybridMultilevel"/>
    <w:tmpl w:val="52F6425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567402"/>
    <w:multiLevelType w:val="hybridMultilevel"/>
    <w:tmpl w:val="C764CACC"/>
    <w:lvl w:ilvl="0" w:tplc="F9CE02A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1067809"/>
    <w:multiLevelType w:val="hybridMultilevel"/>
    <w:tmpl w:val="C8F2AA1C"/>
    <w:lvl w:ilvl="0" w:tplc="5CF495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AD133D"/>
    <w:multiLevelType w:val="hybridMultilevel"/>
    <w:tmpl w:val="D3DC1B7E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7E097B"/>
    <w:multiLevelType w:val="hybridMultilevel"/>
    <w:tmpl w:val="C256E852"/>
    <w:lvl w:ilvl="0" w:tplc="D8E67286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49"/>
        </w:tabs>
        <w:ind w:left="63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69"/>
        </w:tabs>
        <w:ind w:left="70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89"/>
        </w:tabs>
        <w:ind w:left="7789" w:hanging="360"/>
      </w:pPr>
      <w:rPr>
        <w:rFonts w:ascii="Wingdings" w:hAnsi="Wingdings" w:hint="default"/>
      </w:rPr>
    </w:lvl>
  </w:abstractNum>
  <w:abstractNum w:abstractNumId="31" w15:restartNumberingAfterBreak="0">
    <w:nsid w:val="680002CC"/>
    <w:multiLevelType w:val="hybridMultilevel"/>
    <w:tmpl w:val="404AA27E"/>
    <w:lvl w:ilvl="0" w:tplc="080A000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6E1448"/>
    <w:multiLevelType w:val="hybridMultilevel"/>
    <w:tmpl w:val="6F5EC9E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99428A"/>
    <w:multiLevelType w:val="hybridMultilevel"/>
    <w:tmpl w:val="C4E2A86A"/>
    <w:lvl w:ilvl="0" w:tplc="5A10A18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313AF2"/>
    <w:multiLevelType w:val="hybridMultilevel"/>
    <w:tmpl w:val="2786A34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77344B"/>
    <w:multiLevelType w:val="hybridMultilevel"/>
    <w:tmpl w:val="C764CACC"/>
    <w:lvl w:ilvl="0" w:tplc="F9CE02A4">
      <w:start w:val="1"/>
      <w:numFmt w:val="lowerLetter"/>
      <w:lvlText w:val="%1)"/>
      <w:lvlJc w:val="left"/>
      <w:pPr>
        <w:tabs>
          <w:tab w:val="num" w:pos="609"/>
        </w:tabs>
        <w:ind w:left="609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969"/>
        </w:tabs>
        <w:ind w:left="96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689"/>
        </w:tabs>
        <w:ind w:left="168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409"/>
        </w:tabs>
        <w:ind w:left="240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129"/>
        </w:tabs>
        <w:ind w:left="312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849"/>
        </w:tabs>
        <w:ind w:left="384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569"/>
        </w:tabs>
        <w:ind w:left="456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289"/>
        </w:tabs>
        <w:ind w:left="528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009"/>
        </w:tabs>
        <w:ind w:left="6009" w:hanging="180"/>
      </w:pPr>
    </w:lvl>
  </w:abstractNum>
  <w:abstractNum w:abstractNumId="36" w15:restartNumberingAfterBreak="0">
    <w:nsid w:val="7D452561"/>
    <w:multiLevelType w:val="hybridMultilevel"/>
    <w:tmpl w:val="6CC4F5E8"/>
    <w:lvl w:ilvl="0" w:tplc="0C0A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37" w15:restartNumberingAfterBreak="0">
    <w:nsid w:val="7DBA0C88"/>
    <w:multiLevelType w:val="hybridMultilevel"/>
    <w:tmpl w:val="C764CACC"/>
    <w:lvl w:ilvl="0" w:tplc="F9CE02A4">
      <w:start w:val="1"/>
      <w:numFmt w:val="lowerLetter"/>
      <w:lvlText w:val="%1)"/>
      <w:lvlJc w:val="left"/>
      <w:pPr>
        <w:tabs>
          <w:tab w:val="num" w:pos="609"/>
        </w:tabs>
        <w:ind w:left="609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969"/>
        </w:tabs>
        <w:ind w:left="96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689"/>
        </w:tabs>
        <w:ind w:left="168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409"/>
        </w:tabs>
        <w:ind w:left="240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129"/>
        </w:tabs>
        <w:ind w:left="312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849"/>
        </w:tabs>
        <w:ind w:left="384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569"/>
        </w:tabs>
        <w:ind w:left="456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289"/>
        </w:tabs>
        <w:ind w:left="528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009"/>
        </w:tabs>
        <w:ind w:left="6009" w:hanging="180"/>
      </w:pPr>
    </w:lvl>
  </w:abstractNum>
  <w:abstractNum w:abstractNumId="38" w15:restartNumberingAfterBreak="0">
    <w:nsid w:val="7F40135A"/>
    <w:multiLevelType w:val="multilevel"/>
    <w:tmpl w:val="47944F4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23885624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2" w16cid:durableId="160880936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3" w16cid:durableId="1683317108">
    <w:abstractNumId w:val="5"/>
  </w:num>
  <w:num w:numId="4" w16cid:durableId="476841962">
    <w:abstractNumId w:val="9"/>
  </w:num>
  <w:num w:numId="5" w16cid:durableId="567421774">
    <w:abstractNumId w:val="12"/>
  </w:num>
  <w:num w:numId="6" w16cid:durableId="1028994311">
    <w:abstractNumId w:val="4"/>
  </w:num>
  <w:num w:numId="7" w16cid:durableId="398017691">
    <w:abstractNumId w:val="6"/>
  </w:num>
  <w:num w:numId="8" w16cid:durableId="22263859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9" w16cid:durableId="145235657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0" w16cid:durableId="189904613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1" w16cid:durableId="529729427">
    <w:abstractNumId w:val="30"/>
  </w:num>
  <w:num w:numId="12" w16cid:durableId="1990211991">
    <w:abstractNumId w:val="36"/>
  </w:num>
  <w:num w:numId="13" w16cid:durableId="1976787590">
    <w:abstractNumId w:val="38"/>
  </w:num>
  <w:num w:numId="14" w16cid:durableId="1533573847">
    <w:abstractNumId w:val="15"/>
  </w:num>
  <w:num w:numId="15" w16cid:durableId="472724349">
    <w:abstractNumId w:val="13"/>
  </w:num>
  <w:num w:numId="16" w16cid:durableId="1727028954">
    <w:abstractNumId w:val="24"/>
  </w:num>
  <w:num w:numId="17" w16cid:durableId="1089814342">
    <w:abstractNumId w:val="14"/>
  </w:num>
  <w:num w:numId="18" w16cid:durableId="794059157">
    <w:abstractNumId w:val="19"/>
  </w:num>
  <w:num w:numId="19" w16cid:durableId="82534312">
    <w:abstractNumId w:val="7"/>
  </w:num>
  <w:num w:numId="20" w16cid:durableId="1620841173">
    <w:abstractNumId w:val="11"/>
  </w:num>
  <w:num w:numId="21" w16cid:durableId="1379206759">
    <w:abstractNumId w:val="37"/>
  </w:num>
  <w:num w:numId="22" w16cid:durableId="1474323076">
    <w:abstractNumId w:val="17"/>
  </w:num>
  <w:num w:numId="23" w16cid:durableId="1332877146">
    <w:abstractNumId w:val="22"/>
  </w:num>
  <w:num w:numId="24" w16cid:durableId="1960721780">
    <w:abstractNumId w:val="20"/>
  </w:num>
  <w:num w:numId="25" w16cid:durableId="1335956921">
    <w:abstractNumId w:val="32"/>
  </w:num>
  <w:num w:numId="26" w16cid:durableId="756906794">
    <w:abstractNumId w:val="18"/>
  </w:num>
  <w:num w:numId="27" w16cid:durableId="1493133102">
    <w:abstractNumId w:val="27"/>
  </w:num>
  <w:num w:numId="28" w16cid:durableId="1747848345">
    <w:abstractNumId w:val="1"/>
  </w:num>
  <w:num w:numId="29" w16cid:durableId="396056016">
    <w:abstractNumId w:val="23"/>
  </w:num>
  <w:num w:numId="30" w16cid:durableId="20863633">
    <w:abstractNumId w:val="21"/>
  </w:num>
  <w:num w:numId="31" w16cid:durableId="1586768629">
    <w:abstractNumId w:val="28"/>
  </w:num>
  <w:num w:numId="32" w16cid:durableId="499271919">
    <w:abstractNumId w:val="16"/>
  </w:num>
  <w:num w:numId="33" w16cid:durableId="1659843643">
    <w:abstractNumId w:val="33"/>
  </w:num>
  <w:num w:numId="34" w16cid:durableId="1110471655">
    <w:abstractNumId w:val="8"/>
  </w:num>
  <w:num w:numId="35" w16cid:durableId="349182667">
    <w:abstractNumId w:val="34"/>
  </w:num>
  <w:num w:numId="36" w16cid:durableId="1651591367">
    <w:abstractNumId w:val="25"/>
  </w:num>
  <w:num w:numId="37" w16cid:durableId="379868459">
    <w:abstractNumId w:val="35"/>
  </w:num>
  <w:num w:numId="38" w16cid:durableId="66534105">
    <w:abstractNumId w:val="31"/>
  </w:num>
  <w:num w:numId="39" w16cid:durableId="1241332570">
    <w:abstractNumId w:val="26"/>
  </w:num>
  <w:num w:numId="40" w16cid:durableId="1048190459">
    <w:abstractNumId w:val="2"/>
  </w:num>
  <w:num w:numId="41" w16cid:durableId="1566604249">
    <w:abstractNumId w:val="10"/>
  </w:num>
  <w:num w:numId="42" w16cid:durableId="1373922955">
    <w:abstractNumId w:val="29"/>
  </w:num>
  <w:num w:numId="43" w16cid:durableId="9116952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FractionalCharacterWidth/>
  <w:embedSystemFont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0" w:nlCheck="1" w:checkStyle="0"/>
  <w:activeWritingStyle w:appName="MSWord" w:lang="es-MX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F49"/>
    <w:rsid w:val="0000043F"/>
    <w:rsid w:val="00000942"/>
    <w:rsid w:val="00000A11"/>
    <w:rsid w:val="00000BEA"/>
    <w:rsid w:val="0000178C"/>
    <w:rsid w:val="0000180F"/>
    <w:rsid w:val="00002466"/>
    <w:rsid w:val="00002494"/>
    <w:rsid w:val="00002665"/>
    <w:rsid w:val="000027BD"/>
    <w:rsid w:val="00002B26"/>
    <w:rsid w:val="00003C25"/>
    <w:rsid w:val="00003C42"/>
    <w:rsid w:val="00003C68"/>
    <w:rsid w:val="00004122"/>
    <w:rsid w:val="00004291"/>
    <w:rsid w:val="0000458A"/>
    <w:rsid w:val="000050C6"/>
    <w:rsid w:val="000055DB"/>
    <w:rsid w:val="00005940"/>
    <w:rsid w:val="00005BEA"/>
    <w:rsid w:val="0000624B"/>
    <w:rsid w:val="00006B5A"/>
    <w:rsid w:val="000078B1"/>
    <w:rsid w:val="00007A1A"/>
    <w:rsid w:val="00010846"/>
    <w:rsid w:val="00010A59"/>
    <w:rsid w:val="000112A7"/>
    <w:rsid w:val="0001151F"/>
    <w:rsid w:val="00011840"/>
    <w:rsid w:val="00011AC0"/>
    <w:rsid w:val="00011BD3"/>
    <w:rsid w:val="00012278"/>
    <w:rsid w:val="00012A27"/>
    <w:rsid w:val="00012E16"/>
    <w:rsid w:val="0001302A"/>
    <w:rsid w:val="000132A4"/>
    <w:rsid w:val="00013319"/>
    <w:rsid w:val="00013E55"/>
    <w:rsid w:val="00014082"/>
    <w:rsid w:val="0001447E"/>
    <w:rsid w:val="000144ED"/>
    <w:rsid w:val="00014C74"/>
    <w:rsid w:val="00014FBD"/>
    <w:rsid w:val="00015302"/>
    <w:rsid w:val="00015CFD"/>
    <w:rsid w:val="00016590"/>
    <w:rsid w:val="00016A36"/>
    <w:rsid w:val="00016B4E"/>
    <w:rsid w:val="00016D3A"/>
    <w:rsid w:val="0001718D"/>
    <w:rsid w:val="00017274"/>
    <w:rsid w:val="000176AC"/>
    <w:rsid w:val="000200C5"/>
    <w:rsid w:val="000200D7"/>
    <w:rsid w:val="000210B0"/>
    <w:rsid w:val="00021290"/>
    <w:rsid w:val="00021432"/>
    <w:rsid w:val="00021492"/>
    <w:rsid w:val="000216A3"/>
    <w:rsid w:val="000227BE"/>
    <w:rsid w:val="000228C4"/>
    <w:rsid w:val="00022CA3"/>
    <w:rsid w:val="00023EF1"/>
    <w:rsid w:val="00024BFD"/>
    <w:rsid w:val="000260EE"/>
    <w:rsid w:val="00026B3C"/>
    <w:rsid w:val="00026B52"/>
    <w:rsid w:val="00030480"/>
    <w:rsid w:val="0003065F"/>
    <w:rsid w:val="00030D10"/>
    <w:rsid w:val="00031231"/>
    <w:rsid w:val="000314D3"/>
    <w:rsid w:val="000314EC"/>
    <w:rsid w:val="00031BCF"/>
    <w:rsid w:val="00032B16"/>
    <w:rsid w:val="00033603"/>
    <w:rsid w:val="00033A14"/>
    <w:rsid w:val="0003447A"/>
    <w:rsid w:val="00034BC3"/>
    <w:rsid w:val="000353F3"/>
    <w:rsid w:val="000355CE"/>
    <w:rsid w:val="00035600"/>
    <w:rsid w:val="0003564E"/>
    <w:rsid w:val="000359B2"/>
    <w:rsid w:val="00035B2D"/>
    <w:rsid w:val="00035DA7"/>
    <w:rsid w:val="000366F3"/>
    <w:rsid w:val="00036D72"/>
    <w:rsid w:val="00037089"/>
    <w:rsid w:val="00037177"/>
    <w:rsid w:val="000373FC"/>
    <w:rsid w:val="0003797E"/>
    <w:rsid w:val="00037CC4"/>
    <w:rsid w:val="0004066E"/>
    <w:rsid w:val="0004099F"/>
    <w:rsid w:val="000409EB"/>
    <w:rsid w:val="00040F75"/>
    <w:rsid w:val="00041FF7"/>
    <w:rsid w:val="0004225C"/>
    <w:rsid w:val="00042AA2"/>
    <w:rsid w:val="00042DA1"/>
    <w:rsid w:val="00042E5A"/>
    <w:rsid w:val="00043535"/>
    <w:rsid w:val="00043733"/>
    <w:rsid w:val="00043B32"/>
    <w:rsid w:val="00043E2B"/>
    <w:rsid w:val="00044296"/>
    <w:rsid w:val="00044699"/>
    <w:rsid w:val="00044700"/>
    <w:rsid w:val="00044C5E"/>
    <w:rsid w:val="00044C71"/>
    <w:rsid w:val="00044DA6"/>
    <w:rsid w:val="0004596A"/>
    <w:rsid w:val="00045AF1"/>
    <w:rsid w:val="00045E9B"/>
    <w:rsid w:val="00046139"/>
    <w:rsid w:val="000465BF"/>
    <w:rsid w:val="00046609"/>
    <w:rsid w:val="00046822"/>
    <w:rsid w:val="00046909"/>
    <w:rsid w:val="00046AB6"/>
    <w:rsid w:val="00046D06"/>
    <w:rsid w:val="0004706C"/>
    <w:rsid w:val="000471CD"/>
    <w:rsid w:val="0004735D"/>
    <w:rsid w:val="0004777C"/>
    <w:rsid w:val="000501E0"/>
    <w:rsid w:val="00050934"/>
    <w:rsid w:val="00050AF0"/>
    <w:rsid w:val="00050FB5"/>
    <w:rsid w:val="00051B92"/>
    <w:rsid w:val="00051C72"/>
    <w:rsid w:val="00051D1C"/>
    <w:rsid w:val="00051D9E"/>
    <w:rsid w:val="00052EDE"/>
    <w:rsid w:val="00052F04"/>
    <w:rsid w:val="00052F1E"/>
    <w:rsid w:val="00053311"/>
    <w:rsid w:val="000534F1"/>
    <w:rsid w:val="000536D2"/>
    <w:rsid w:val="00053B2C"/>
    <w:rsid w:val="00053EB7"/>
    <w:rsid w:val="0005481F"/>
    <w:rsid w:val="00054A4F"/>
    <w:rsid w:val="00054B69"/>
    <w:rsid w:val="00054CB5"/>
    <w:rsid w:val="00054EED"/>
    <w:rsid w:val="00054FE4"/>
    <w:rsid w:val="00055047"/>
    <w:rsid w:val="000554D9"/>
    <w:rsid w:val="00055B54"/>
    <w:rsid w:val="000567CD"/>
    <w:rsid w:val="00056E28"/>
    <w:rsid w:val="00056F51"/>
    <w:rsid w:val="000573F5"/>
    <w:rsid w:val="00057F37"/>
    <w:rsid w:val="000602B0"/>
    <w:rsid w:val="00060334"/>
    <w:rsid w:val="00060499"/>
    <w:rsid w:val="0006056C"/>
    <w:rsid w:val="00060C54"/>
    <w:rsid w:val="0006124D"/>
    <w:rsid w:val="0006228A"/>
    <w:rsid w:val="00063614"/>
    <w:rsid w:val="00063701"/>
    <w:rsid w:val="00063838"/>
    <w:rsid w:val="0006433F"/>
    <w:rsid w:val="000646BA"/>
    <w:rsid w:val="00064BBC"/>
    <w:rsid w:val="00064E9D"/>
    <w:rsid w:val="00064FDB"/>
    <w:rsid w:val="00065106"/>
    <w:rsid w:val="000651F1"/>
    <w:rsid w:val="00065708"/>
    <w:rsid w:val="00065A07"/>
    <w:rsid w:val="00065BC1"/>
    <w:rsid w:val="00065D10"/>
    <w:rsid w:val="00066638"/>
    <w:rsid w:val="00066DFD"/>
    <w:rsid w:val="00066EA7"/>
    <w:rsid w:val="00066F23"/>
    <w:rsid w:val="00067436"/>
    <w:rsid w:val="000675A6"/>
    <w:rsid w:val="0007012A"/>
    <w:rsid w:val="0007017F"/>
    <w:rsid w:val="00070431"/>
    <w:rsid w:val="00070539"/>
    <w:rsid w:val="000707FF"/>
    <w:rsid w:val="00070842"/>
    <w:rsid w:val="00070864"/>
    <w:rsid w:val="00070AF9"/>
    <w:rsid w:val="0007145A"/>
    <w:rsid w:val="000719EB"/>
    <w:rsid w:val="00071F33"/>
    <w:rsid w:val="000725AC"/>
    <w:rsid w:val="00072833"/>
    <w:rsid w:val="00072B18"/>
    <w:rsid w:val="000730F3"/>
    <w:rsid w:val="00073491"/>
    <w:rsid w:val="000738E1"/>
    <w:rsid w:val="000739D2"/>
    <w:rsid w:val="000739F4"/>
    <w:rsid w:val="00073BDE"/>
    <w:rsid w:val="00073ED2"/>
    <w:rsid w:val="00073EF4"/>
    <w:rsid w:val="000753EC"/>
    <w:rsid w:val="000755A0"/>
    <w:rsid w:val="0007567F"/>
    <w:rsid w:val="00075B3A"/>
    <w:rsid w:val="00075DEC"/>
    <w:rsid w:val="00076234"/>
    <w:rsid w:val="000762E8"/>
    <w:rsid w:val="0007631E"/>
    <w:rsid w:val="000766D8"/>
    <w:rsid w:val="000767F7"/>
    <w:rsid w:val="00076C6D"/>
    <w:rsid w:val="00076CB9"/>
    <w:rsid w:val="00076CEE"/>
    <w:rsid w:val="00076EE9"/>
    <w:rsid w:val="000773BB"/>
    <w:rsid w:val="0007741E"/>
    <w:rsid w:val="00077C46"/>
    <w:rsid w:val="0008027F"/>
    <w:rsid w:val="0008084D"/>
    <w:rsid w:val="0008116B"/>
    <w:rsid w:val="000814ED"/>
    <w:rsid w:val="0008175A"/>
    <w:rsid w:val="0008195B"/>
    <w:rsid w:val="000826F7"/>
    <w:rsid w:val="00082F11"/>
    <w:rsid w:val="0008325D"/>
    <w:rsid w:val="000834DD"/>
    <w:rsid w:val="00083940"/>
    <w:rsid w:val="00084686"/>
    <w:rsid w:val="00084687"/>
    <w:rsid w:val="00084A57"/>
    <w:rsid w:val="00084BED"/>
    <w:rsid w:val="00084C61"/>
    <w:rsid w:val="00084EDB"/>
    <w:rsid w:val="00084FF2"/>
    <w:rsid w:val="0008524D"/>
    <w:rsid w:val="000856E9"/>
    <w:rsid w:val="00085E39"/>
    <w:rsid w:val="00086295"/>
    <w:rsid w:val="0008756B"/>
    <w:rsid w:val="00087DB7"/>
    <w:rsid w:val="0009025D"/>
    <w:rsid w:val="00090B9C"/>
    <w:rsid w:val="00090D7B"/>
    <w:rsid w:val="00091474"/>
    <w:rsid w:val="000915F7"/>
    <w:rsid w:val="00092764"/>
    <w:rsid w:val="0009292F"/>
    <w:rsid w:val="00092E23"/>
    <w:rsid w:val="00092F4C"/>
    <w:rsid w:val="00094496"/>
    <w:rsid w:val="00094B54"/>
    <w:rsid w:val="000950E7"/>
    <w:rsid w:val="00095360"/>
    <w:rsid w:val="000955AA"/>
    <w:rsid w:val="0009573A"/>
    <w:rsid w:val="000957BC"/>
    <w:rsid w:val="00095C18"/>
    <w:rsid w:val="00096737"/>
    <w:rsid w:val="000968F4"/>
    <w:rsid w:val="00096932"/>
    <w:rsid w:val="00096CCE"/>
    <w:rsid w:val="00097C0A"/>
    <w:rsid w:val="000A0344"/>
    <w:rsid w:val="000A0823"/>
    <w:rsid w:val="000A0F4D"/>
    <w:rsid w:val="000A21D6"/>
    <w:rsid w:val="000A27CC"/>
    <w:rsid w:val="000A2F03"/>
    <w:rsid w:val="000A2F4F"/>
    <w:rsid w:val="000A31EF"/>
    <w:rsid w:val="000A3354"/>
    <w:rsid w:val="000A3733"/>
    <w:rsid w:val="000A3C70"/>
    <w:rsid w:val="000A3E11"/>
    <w:rsid w:val="000A43B0"/>
    <w:rsid w:val="000A4616"/>
    <w:rsid w:val="000A4AFD"/>
    <w:rsid w:val="000A53E6"/>
    <w:rsid w:val="000A574B"/>
    <w:rsid w:val="000A5B04"/>
    <w:rsid w:val="000A5E2A"/>
    <w:rsid w:val="000A643B"/>
    <w:rsid w:val="000A658B"/>
    <w:rsid w:val="000A707A"/>
    <w:rsid w:val="000A78BA"/>
    <w:rsid w:val="000B0710"/>
    <w:rsid w:val="000B0742"/>
    <w:rsid w:val="000B1219"/>
    <w:rsid w:val="000B1C11"/>
    <w:rsid w:val="000B1D13"/>
    <w:rsid w:val="000B232F"/>
    <w:rsid w:val="000B241A"/>
    <w:rsid w:val="000B29B8"/>
    <w:rsid w:val="000B2A27"/>
    <w:rsid w:val="000B2BEB"/>
    <w:rsid w:val="000B2CF8"/>
    <w:rsid w:val="000B2DCC"/>
    <w:rsid w:val="000B346B"/>
    <w:rsid w:val="000B37D3"/>
    <w:rsid w:val="000B3820"/>
    <w:rsid w:val="000B3D92"/>
    <w:rsid w:val="000B45D3"/>
    <w:rsid w:val="000B4A6A"/>
    <w:rsid w:val="000B50FB"/>
    <w:rsid w:val="000B515D"/>
    <w:rsid w:val="000B5649"/>
    <w:rsid w:val="000B5A74"/>
    <w:rsid w:val="000B5FA3"/>
    <w:rsid w:val="000B6AF6"/>
    <w:rsid w:val="000C0084"/>
    <w:rsid w:val="000C0CAA"/>
    <w:rsid w:val="000C1051"/>
    <w:rsid w:val="000C17CC"/>
    <w:rsid w:val="000C1B0E"/>
    <w:rsid w:val="000C1F04"/>
    <w:rsid w:val="000C27F2"/>
    <w:rsid w:val="000C2892"/>
    <w:rsid w:val="000C2B3C"/>
    <w:rsid w:val="000C2FF3"/>
    <w:rsid w:val="000C30D7"/>
    <w:rsid w:val="000C3105"/>
    <w:rsid w:val="000C34DD"/>
    <w:rsid w:val="000C37BC"/>
    <w:rsid w:val="000C3AE9"/>
    <w:rsid w:val="000C45BD"/>
    <w:rsid w:val="000C482F"/>
    <w:rsid w:val="000C4992"/>
    <w:rsid w:val="000C4E4F"/>
    <w:rsid w:val="000C5299"/>
    <w:rsid w:val="000C5468"/>
    <w:rsid w:val="000C55CC"/>
    <w:rsid w:val="000C5852"/>
    <w:rsid w:val="000C5D0E"/>
    <w:rsid w:val="000C5D4A"/>
    <w:rsid w:val="000C64FC"/>
    <w:rsid w:val="000C65E0"/>
    <w:rsid w:val="000C6A4A"/>
    <w:rsid w:val="000C6AFD"/>
    <w:rsid w:val="000C76A7"/>
    <w:rsid w:val="000D06FA"/>
    <w:rsid w:val="000D0DDA"/>
    <w:rsid w:val="000D0ED5"/>
    <w:rsid w:val="000D113E"/>
    <w:rsid w:val="000D1169"/>
    <w:rsid w:val="000D11A6"/>
    <w:rsid w:val="000D15C5"/>
    <w:rsid w:val="000D1EF0"/>
    <w:rsid w:val="000D28A5"/>
    <w:rsid w:val="000D31C1"/>
    <w:rsid w:val="000D36B2"/>
    <w:rsid w:val="000D39FD"/>
    <w:rsid w:val="000D4244"/>
    <w:rsid w:val="000D4833"/>
    <w:rsid w:val="000D49D2"/>
    <w:rsid w:val="000D4A88"/>
    <w:rsid w:val="000D4AE5"/>
    <w:rsid w:val="000D4BBC"/>
    <w:rsid w:val="000D4D90"/>
    <w:rsid w:val="000D4E26"/>
    <w:rsid w:val="000D4F55"/>
    <w:rsid w:val="000D511F"/>
    <w:rsid w:val="000D5176"/>
    <w:rsid w:val="000D5EDB"/>
    <w:rsid w:val="000D5F41"/>
    <w:rsid w:val="000D6C0F"/>
    <w:rsid w:val="000D6F1E"/>
    <w:rsid w:val="000D7A95"/>
    <w:rsid w:val="000D7BBD"/>
    <w:rsid w:val="000E03C0"/>
    <w:rsid w:val="000E0654"/>
    <w:rsid w:val="000E082A"/>
    <w:rsid w:val="000E19B3"/>
    <w:rsid w:val="000E2970"/>
    <w:rsid w:val="000E36A6"/>
    <w:rsid w:val="000E378A"/>
    <w:rsid w:val="000E3CC1"/>
    <w:rsid w:val="000E5331"/>
    <w:rsid w:val="000E5526"/>
    <w:rsid w:val="000E5D6B"/>
    <w:rsid w:val="000E5FE0"/>
    <w:rsid w:val="000E6120"/>
    <w:rsid w:val="000E6D5D"/>
    <w:rsid w:val="000E7270"/>
    <w:rsid w:val="000E7757"/>
    <w:rsid w:val="000E7E09"/>
    <w:rsid w:val="000F05D5"/>
    <w:rsid w:val="000F1DEB"/>
    <w:rsid w:val="000F2220"/>
    <w:rsid w:val="000F2F03"/>
    <w:rsid w:val="000F3491"/>
    <w:rsid w:val="000F3DE6"/>
    <w:rsid w:val="000F44E7"/>
    <w:rsid w:val="000F49F1"/>
    <w:rsid w:val="000F4C41"/>
    <w:rsid w:val="000F4FA7"/>
    <w:rsid w:val="000F536A"/>
    <w:rsid w:val="000F541D"/>
    <w:rsid w:val="000F5AD1"/>
    <w:rsid w:val="000F69FA"/>
    <w:rsid w:val="000F6D38"/>
    <w:rsid w:val="000F70D8"/>
    <w:rsid w:val="000F7577"/>
    <w:rsid w:val="000F760E"/>
    <w:rsid w:val="000F7974"/>
    <w:rsid w:val="000F7AEC"/>
    <w:rsid w:val="000F7ECD"/>
    <w:rsid w:val="000F7FB5"/>
    <w:rsid w:val="00100317"/>
    <w:rsid w:val="001011EC"/>
    <w:rsid w:val="001017C1"/>
    <w:rsid w:val="00101E92"/>
    <w:rsid w:val="00101F40"/>
    <w:rsid w:val="001022F1"/>
    <w:rsid w:val="00102A77"/>
    <w:rsid w:val="00102DF6"/>
    <w:rsid w:val="0010369B"/>
    <w:rsid w:val="00103847"/>
    <w:rsid w:val="00103913"/>
    <w:rsid w:val="00103EC1"/>
    <w:rsid w:val="0010413A"/>
    <w:rsid w:val="001050A4"/>
    <w:rsid w:val="00105234"/>
    <w:rsid w:val="00105AC7"/>
    <w:rsid w:val="00105E2B"/>
    <w:rsid w:val="0010619C"/>
    <w:rsid w:val="0010664D"/>
    <w:rsid w:val="00107AC2"/>
    <w:rsid w:val="00110238"/>
    <w:rsid w:val="00110510"/>
    <w:rsid w:val="001105A9"/>
    <w:rsid w:val="0011076D"/>
    <w:rsid w:val="00110DB1"/>
    <w:rsid w:val="00110DF0"/>
    <w:rsid w:val="001114D0"/>
    <w:rsid w:val="00111703"/>
    <w:rsid w:val="00111AA3"/>
    <w:rsid w:val="00111F29"/>
    <w:rsid w:val="00113348"/>
    <w:rsid w:val="00113404"/>
    <w:rsid w:val="001134B4"/>
    <w:rsid w:val="00113A1C"/>
    <w:rsid w:val="00113DE8"/>
    <w:rsid w:val="0011424C"/>
    <w:rsid w:val="0011478A"/>
    <w:rsid w:val="00114B56"/>
    <w:rsid w:val="00114B96"/>
    <w:rsid w:val="00114E47"/>
    <w:rsid w:val="00115A20"/>
    <w:rsid w:val="00115E6D"/>
    <w:rsid w:val="00115FF6"/>
    <w:rsid w:val="00116647"/>
    <w:rsid w:val="00116F84"/>
    <w:rsid w:val="0011740E"/>
    <w:rsid w:val="00117993"/>
    <w:rsid w:val="00117B48"/>
    <w:rsid w:val="00117D7A"/>
    <w:rsid w:val="00120112"/>
    <w:rsid w:val="00120EA1"/>
    <w:rsid w:val="0012181E"/>
    <w:rsid w:val="00121DAD"/>
    <w:rsid w:val="00122048"/>
    <w:rsid w:val="001221FA"/>
    <w:rsid w:val="001228A0"/>
    <w:rsid w:val="00123EFF"/>
    <w:rsid w:val="001241F7"/>
    <w:rsid w:val="0012422C"/>
    <w:rsid w:val="001243E9"/>
    <w:rsid w:val="00124D1A"/>
    <w:rsid w:val="00124F8F"/>
    <w:rsid w:val="00124FC2"/>
    <w:rsid w:val="001251AF"/>
    <w:rsid w:val="001253B8"/>
    <w:rsid w:val="001255FA"/>
    <w:rsid w:val="00125654"/>
    <w:rsid w:val="00125BD2"/>
    <w:rsid w:val="00125D0D"/>
    <w:rsid w:val="00125D9D"/>
    <w:rsid w:val="001263E8"/>
    <w:rsid w:val="00127810"/>
    <w:rsid w:val="001301E6"/>
    <w:rsid w:val="001304F2"/>
    <w:rsid w:val="00130C4C"/>
    <w:rsid w:val="00130FAB"/>
    <w:rsid w:val="001313EB"/>
    <w:rsid w:val="00131B9B"/>
    <w:rsid w:val="00132082"/>
    <w:rsid w:val="0013222E"/>
    <w:rsid w:val="00133765"/>
    <w:rsid w:val="00133A70"/>
    <w:rsid w:val="00133BB3"/>
    <w:rsid w:val="00134394"/>
    <w:rsid w:val="00134904"/>
    <w:rsid w:val="001349AB"/>
    <w:rsid w:val="00134F4E"/>
    <w:rsid w:val="00134FB0"/>
    <w:rsid w:val="001350AC"/>
    <w:rsid w:val="001352EC"/>
    <w:rsid w:val="00135E0B"/>
    <w:rsid w:val="001361A8"/>
    <w:rsid w:val="001365A5"/>
    <w:rsid w:val="001368CC"/>
    <w:rsid w:val="001369E1"/>
    <w:rsid w:val="001370F9"/>
    <w:rsid w:val="001372CA"/>
    <w:rsid w:val="00137AFD"/>
    <w:rsid w:val="0014012A"/>
    <w:rsid w:val="00140AD8"/>
    <w:rsid w:val="00140BE4"/>
    <w:rsid w:val="00140E05"/>
    <w:rsid w:val="001411DE"/>
    <w:rsid w:val="00141399"/>
    <w:rsid w:val="001413F4"/>
    <w:rsid w:val="00141A0B"/>
    <w:rsid w:val="00141AF4"/>
    <w:rsid w:val="00142597"/>
    <w:rsid w:val="00142B79"/>
    <w:rsid w:val="00142E09"/>
    <w:rsid w:val="00142E21"/>
    <w:rsid w:val="0014377B"/>
    <w:rsid w:val="00143D3A"/>
    <w:rsid w:val="00144606"/>
    <w:rsid w:val="00145259"/>
    <w:rsid w:val="00145A84"/>
    <w:rsid w:val="00145F65"/>
    <w:rsid w:val="001460E0"/>
    <w:rsid w:val="0014654F"/>
    <w:rsid w:val="00146823"/>
    <w:rsid w:val="00146902"/>
    <w:rsid w:val="00146BA7"/>
    <w:rsid w:val="00146DFA"/>
    <w:rsid w:val="0014709A"/>
    <w:rsid w:val="00150055"/>
    <w:rsid w:val="00150098"/>
    <w:rsid w:val="0015018D"/>
    <w:rsid w:val="00150228"/>
    <w:rsid w:val="001502C3"/>
    <w:rsid w:val="001504E8"/>
    <w:rsid w:val="00150536"/>
    <w:rsid w:val="00150E33"/>
    <w:rsid w:val="00151A44"/>
    <w:rsid w:val="00153308"/>
    <w:rsid w:val="001533B2"/>
    <w:rsid w:val="001534CA"/>
    <w:rsid w:val="0015369A"/>
    <w:rsid w:val="0015386A"/>
    <w:rsid w:val="00153F2A"/>
    <w:rsid w:val="001540F9"/>
    <w:rsid w:val="0015445E"/>
    <w:rsid w:val="00154ADA"/>
    <w:rsid w:val="00154D6B"/>
    <w:rsid w:val="00154E90"/>
    <w:rsid w:val="001557A9"/>
    <w:rsid w:val="00155878"/>
    <w:rsid w:val="0015599D"/>
    <w:rsid w:val="00155A36"/>
    <w:rsid w:val="00156196"/>
    <w:rsid w:val="00156FD6"/>
    <w:rsid w:val="0015755C"/>
    <w:rsid w:val="001600C9"/>
    <w:rsid w:val="00160308"/>
    <w:rsid w:val="0016047A"/>
    <w:rsid w:val="0016052B"/>
    <w:rsid w:val="001606F7"/>
    <w:rsid w:val="00160957"/>
    <w:rsid w:val="00160B56"/>
    <w:rsid w:val="0016127F"/>
    <w:rsid w:val="0016159C"/>
    <w:rsid w:val="00161833"/>
    <w:rsid w:val="00161D35"/>
    <w:rsid w:val="00161D53"/>
    <w:rsid w:val="00161E62"/>
    <w:rsid w:val="00162797"/>
    <w:rsid w:val="00162A20"/>
    <w:rsid w:val="00164211"/>
    <w:rsid w:val="00164CD1"/>
    <w:rsid w:val="001655BD"/>
    <w:rsid w:val="00165810"/>
    <w:rsid w:val="00165BFF"/>
    <w:rsid w:val="00165E36"/>
    <w:rsid w:val="00165F18"/>
    <w:rsid w:val="0016614B"/>
    <w:rsid w:val="001665FD"/>
    <w:rsid w:val="00167695"/>
    <w:rsid w:val="00167A72"/>
    <w:rsid w:val="0017080F"/>
    <w:rsid w:val="00170972"/>
    <w:rsid w:val="00170BD4"/>
    <w:rsid w:val="001711E3"/>
    <w:rsid w:val="00171706"/>
    <w:rsid w:val="00171908"/>
    <w:rsid w:val="00171F36"/>
    <w:rsid w:val="00172464"/>
    <w:rsid w:val="00172600"/>
    <w:rsid w:val="00172614"/>
    <w:rsid w:val="00172AA4"/>
    <w:rsid w:val="0017308E"/>
    <w:rsid w:val="00173306"/>
    <w:rsid w:val="00173309"/>
    <w:rsid w:val="0017357E"/>
    <w:rsid w:val="001735A8"/>
    <w:rsid w:val="001735D4"/>
    <w:rsid w:val="00173756"/>
    <w:rsid w:val="00173881"/>
    <w:rsid w:val="00173A2A"/>
    <w:rsid w:val="001740E5"/>
    <w:rsid w:val="00174587"/>
    <w:rsid w:val="0017474C"/>
    <w:rsid w:val="00174783"/>
    <w:rsid w:val="00174820"/>
    <w:rsid w:val="00174FED"/>
    <w:rsid w:val="00175CF4"/>
    <w:rsid w:val="001763FA"/>
    <w:rsid w:val="001763FC"/>
    <w:rsid w:val="00176592"/>
    <w:rsid w:val="00176806"/>
    <w:rsid w:val="001769DD"/>
    <w:rsid w:val="00176C8D"/>
    <w:rsid w:val="00176E7D"/>
    <w:rsid w:val="00177026"/>
    <w:rsid w:val="0017711D"/>
    <w:rsid w:val="00177187"/>
    <w:rsid w:val="001773BC"/>
    <w:rsid w:val="001801D0"/>
    <w:rsid w:val="00180887"/>
    <w:rsid w:val="00180A83"/>
    <w:rsid w:val="00181154"/>
    <w:rsid w:val="001813AB"/>
    <w:rsid w:val="001819C6"/>
    <w:rsid w:val="00181B78"/>
    <w:rsid w:val="00181EB2"/>
    <w:rsid w:val="0018211C"/>
    <w:rsid w:val="001821F8"/>
    <w:rsid w:val="00182CBE"/>
    <w:rsid w:val="001831B3"/>
    <w:rsid w:val="001843DD"/>
    <w:rsid w:val="001845FA"/>
    <w:rsid w:val="00184B86"/>
    <w:rsid w:val="0018522B"/>
    <w:rsid w:val="001854A8"/>
    <w:rsid w:val="00185D40"/>
    <w:rsid w:val="00186B65"/>
    <w:rsid w:val="00186C17"/>
    <w:rsid w:val="00187D2F"/>
    <w:rsid w:val="00187FDC"/>
    <w:rsid w:val="00190180"/>
    <w:rsid w:val="00190A43"/>
    <w:rsid w:val="00190D0B"/>
    <w:rsid w:val="00191183"/>
    <w:rsid w:val="001912FB"/>
    <w:rsid w:val="00191608"/>
    <w:rsid w:val="00191664"/>
    <w:rsid w:val="00192065"/>
    <w:rsid w:val="0019334A"/>
    <w:rsid w:val="001941AA"/>
    <w:rsid w:val="00194F73"/>
    <w:rsid w:val="001953F4"/>
    <w:rsid w:val="00195EC2"/>
    <w:rsid w:val="00195F99"/>
    <w:rsid w:val="00196149"/>
    <w:rsid w:val="00196B8A"/>
    <w:rsid w:val="00197D0F"/>
    <w:rsid w:val="001A016C"/>
    <w:rsid w:val="001A0422"/>
    <w:rsid w:val="001A0495"/>
    <w:rsid w:val="001A0556"/>
    <w:rsid w:val="001A0A6E"/>
    <w:rsid w:val="001A102F"/>
    <w:rsid w:val="001A1A27"/>
    <w:rsid w:val="001A1ED0"/>
    <w:rsid w:val="001A2A4D"/>
    <w:rsid w:val="001A35A6"/>
    <w:rsid w:val="001A368A"/>
    <w:rsid w:val="001A3963"/>
    <w:rsid w:val="001A41DF"/>
    <w:rsid w:val="001A43F5"/>
    <w:rsid w:val="001A4CD6"/>
    <w:rsid w:val="001A4E0E"/>
    <w:rsid w:val="001A4E8C"/>
    <w:rsid w:val="001A4EF7"/>
    <w:rsid w:val="001A4F6E"/>
    <w:rsid w:val="001A53ED"/>
    <w:rsid w:val="001A5ABD"/>
    <w:rsid w:val="001A5CE0"/>
    <w:rsid w:val="001A60E2"/>
    <w:rsid w:val="001A69F0"/>
    <w:rsid w:val="001A78AD"/>
    <w:rsid w:val="001A79AA"/>
    <w:rsid w:val="001A7E0A"/>
    <w:rsid w:val="001A7F95"/>
    <w:rsid w:val="001B04D3"/>
    <w:rsid w:val="001B07B0"/>
    <w:rsid w:val="001B0992"/>
    <w:rsid w:val="001B0AC4"/>
    <w:rsid w:val="001B1120"/>
    <w:rsid w:val="001B150D"/>
    <w:rsid w:val="001B15E2"/>
    <w:rsid w:val="001B163A"/>
    <w:rsid w:val="001B1AC0"/>
    <w:rsid w:val="001B253D"/>
    <w:rsid w:val="001B2699"/>
    <w:rsid w:val="001B277C"/>
    <w:rsid w:val="001B2BC4"/>
    <w:rsid w:val="001B2C6A"/>
    <w:rsid w:val="001B2F19"/>
    <w:rsid w:val="001B35ED"/>
    <w:rsid w:val="001B369D"/>
    <w:rsid w:val="001B4052"/>
    <w:rsid w:val="001B450E"/>
    <w:rsid w:val="001B46DB"/>
    <w:rsid w:val="001B4F75"/>
    <w:rsid w:val="001B51BE"/>
    <w:rsid w:val="001B5DA0"/>
    <w:rsid w:val="001B5DDB"/>
    <w:rsid w:val="001B62D3"/>
    <w:rsid w:val="001B74F4"/>
    <w:rsid w:val="001B75DC"/>
    <w:rsid w:val="001B7EF3"/>
    <w:rsid w:val="001C0136"/>
    <w:rsid w:val="001C07D6"/>
    <w:rsid w:val="001C0A6E"/>
    <w:rsid w:val="001C0AD1"/>
    <w:rsid w:val="001C0BCC"/>
    <w:rsid w:val="001C117D"/>
    <w:rsid w:val="001C1AFA"/>
    <w:rsid w:val="001C1F9C"/>
    <w:rsid w:val="001C226A"/>
    <w:rsid w:val="001C236E"/>
    <w:rsid w:val="001C29E7"/>
    <w:rsid w:val="001C2A8E"/>
    <w:rsid w:val="001C32C6"/>
    <w:rsid w:val="001C3E2D"/>
    <w:rsid w:val="001C48C7"/>
    <w:rsid w:val="001C4A9E"/>
    <w:rsid w:val="001C6CAB"/>
    <w:rsid w:val="001C6CC1"/>
    <w:rsid w:val="001C6FB0"/>
    <w:rsid w:val="001C7130"/>
    <w:rsid w:val="001C798A"/>
    <w:rsid w:val="001C7E70"/>
    <w:rsid w:val="001D0068"/>
    <w:rsid w:val="001D01C6"/>
    <w:rsid w:val="001D092F"/>
    <w:rsid w:val="001D0B33"/>
    <w:rsid w:val="001D1AEF"/>
    <w:rsid w:val="001D244E"/>
    <w:rsid w:val="001D24F1"/>
    <w:rsid w:val="001D2630"/>
    <w:rsid w:val="001D3AD1"/>
    <w:rsid w:val="001D3F0B"/>
    <w:rsid w:val="001D4027"/>
    <w:rsid w:val="001D478B"/>
    <w:rsid w:val="001D4911"/>
    <w:rsid w:val="001D4970"/>
    <w:rsid w:val="001D4BD3"/>
    <w:rsid w:val="001D5F02"/>
    <w:rsid w:val="001D6186"/>
    <w:rsid w:val="001D62AF"/>
    <w:rsid w:val="001D631A"/>
    <w:rsid w:val="001D637E"/>
    <w:rsid w:val="001D6652"/>
    <w:rsid w:val="001D69E5"/>
    <w:rsid w:val="001D6B3D"/>
    <w:rsid w:val="001D7104"/>
    <w:rsid w:val="001D790B"/>
    <w:rsid w:val="001E0375"/>
    <w:rsid w:val="001E06E1"/>
    <w:rsid w:val="001E075F"/>
    <w:rsid w:val="001E0933"/>
    <w:rsid w:val="001E14E8"/>
    <w:rsid w:val="001E1627"/>
    <w:rsid w:val="001E18BD"/>
    <w:rsid w:val="001E1DBA"/>
    <w:rsid w:val="001E1EF2"/>
    <w:rsid w:val="001E2553"/>
    <w:rsid w:val="001E290B"/>
    <w:rsid w:val="001E2986"/>
    <w:rsid w:val="001E2FF5"/>
    <w:rsid w:val="001E302E"/>
    <w:rsid w:val="001E3416"/>
    <w:rsid w:val="001E385F"/>
    <w:rsid w:val="001E39E4"/>
    <w:rsid w:val="001E490C"/>
    <w:rsid w:val="001E4C68"/>
    <w:rsid w:val="001E4E24"/>
    <w:rsid w:val="001E50FD"/>
    <w:rsid w:val="001E5310"/>
    <w:rsid w:val="001E5839"/>
    <w:rsid w:val="001E59DC"/>
    <w:rsid w:val="001E5DD7"/>
    <w:rsid w:val="001E5EEE"/>
    <w:rsid w:val="001E7247"/>
    <w:rsid w:val="001E7358"/>
    <w:rsid w:val="001E7697"/>
    <w:rsid w:val="001E7C72"/>
    <w:rsid w:val="001E7EDD"/>
    <w:rsid w:val="001F02CD"/>
    <w:rsid w:val="001F0B7F"/>
    <w:rsid w:val="001F0CD0"/>
    <w:rsid w:val="001F0F71"/>
    <w:rsid w:val="001F18C1"/>
    <w:rsid w:val="001F19D1"/>
    <w:rsid w:val="001F1B69"/>
    <w:rsid w:val="001F1D9A"/>
    <w:rsid w:val="001F2740"/>
    <w:rsid w:val="001F2C3A"/>
    <w:rsid w:val="001F3082"/>
    <w:rsid w:val="001F30DB"/>
    <w:rsid w:val="001F327F"/>
    <w:rsid w:val="001F3531"/>
    <w:rsid w:val="001F3696"/>
    <w:rsid w:val="001F3FE3"/>
    <w:rsid w:val="001F42FF"/>
    <w:rsid w:val="001F44B4"/>
    <w:rsid w:val="001F44D3"/>
    <w:rsid w:val="001F4510"/>
    <w:rsid w:val="001F58D3"/>
    <w:rsid w:val="001F5CEA"/>
    <w:rsid w:val="001F653D"/>
    <w:rsid w:val="001F65A4"/>
    <w:rsid w:val="001F65E0"/>
    <w:rsid w:val="001F6B34"/>
    <w:rsid w:val="001F6EE3"/>
    <w:rsid w:val="001F7362"/>
    <w:rsid w:val="001F7A65"/>
    <w:rsid w:val="001F7AE9"/>
    <w:rsid w:val="001F7CFD"/>
    <w:rsid w:val="002011D5"/>
    <w:rsid w:val="00201447"/>
    <w:rsid w:val="00201C2D"/>
    <w:rsid w:val="00201DE8"/>
    <w:rsid w:val="00203054"/>
    <w:rsid w:val="002030EC"/>
    <w:rsid w:val="00203367"/>
    <w:rsid w:val="002043B3"/>
    <w:rsid w:val="00204438"/>
    <w:rsid w:val="002049A1"/>
    <w:rsid w:val="00204A44"/>
    <w:rsid w:val="00205130"/>
    <w:rsid w:val="00205175"/>
    <w:rsid w:val="0020528F"/>
    <w:rsid w:val="00206147"/>
    <w:rsid w:val="002064F3"/>
    <w:rsid w:val="002069A8"/>
    <w:rsid w:val="00206EE7"/>
    <w:rsid w:val="002075B4"/>
    <w:rsid w:val="0020768E"/>
    <w:rsid w:val="0020789A"/>
    <w:rsid w:val="00207C83"/>
    <w:rsid w:val="002105A1"/>
    <w:rsid w:val="00210678"/>
    <w:rsid w:val="00210869"/>
    <w:rsid w:val="002116AD"/>
    <w:rsid w:val="00211999"/>
    <w:rsid w:val="00211FE6"/>
    <w:rsid w:val="002123A4"/>
    <w:rsid w:val="00212464"/>
    <w:rsid w:val="002126CD"/>
    <w:rsid w:val="0021322E"/>
    <w:rsid w:val="00213773"/>
    <w:rsid w:val="00213B0E"/>
    <w:rsid w:val="00213CBC"/>
    <w:rsid w:val="002141FB"/>
    <w:rsid w:val="002146CA"/>
    <w:rsid w:val="002147D6"/>
    <w:rsid w:val="00214D40"/>
    <w:rsid w:val="00215159"/>
    <w:rsid w:val="0021575B"/>
    <w:rsid w:val="00215783"/>
    <w:rsid w:val="00215F43"/>
    <w:rsid w:val="0021669B"/>
    <w:rsid w:val="00216718"/>
    <w:rsid w:val="00216876"/>
    <w:rsid w:val="002200EE"/>
    <w:rsid w:val="00220182"/>
    <w:rsid w:val="0022018A"/>
    <w:rsid w:val="00220685"/>
    <w:rsid w:val="00220ADA"/>
    <w:rsid w:val="00220B7B"/>
    <w:rsid w:val="00220C5C"/>
    <w:rsid w:val="0022180E"/>
    <w:rsid w:val="002220BA"/>
    <w:rsid w:val="002227B3"/>
    <w:rsid w:val="00222C39"/>
    <w:rsid w:val="00222CE3"/>
    <w:rsid w:val="002235D7"/>
    <w:rsid w:val="002239C4"/>
    <w:rsid w:val="00223A5C"/>
    <w:rsid w:val="00224617"/>
    <w:rsid w:val="00224814"/>
    <w:rsid w:val="00224C67"/>
    <w:rsid w:val="00224F12"/>
    <w:rsid w:val="0022536A"/>
    <w:rsid w:val="00225591"/>
    <w:rsid w:val="00225690"/>
    <w:rsid w:val="0022574F"/>
    <w:rsid w:val="0022593A"/>
    <w:rsid w:val="00225B52"/>
    <w:rsid w:val="00225CE3"/>
    <w:rsid w:val="002260D7"/>
    <w:rsid w:val="00226AAB"/>
    <w:rsid w:val="00226B17"/>
    <w:rsid w:val="00226F8A"/>
    <w:rsid w:val="0022712B"/>
    <w:rsid w:val="002276A4"/>
    <w:rsid w:val="00227843"/>
    <w:rsid w:val="00227A99"/>
    <w:rsid w:val="00227C8B"/>
    <w:rsid w:val="00230A44"/>
    <w:rsid w:val="00230A52"/>
    <w:rsid w:val="00230C38"/>
    <w:rsid w:val="00230DF4"/>
    <w:rsid w:val="00230FA5"/>
    <w:rsid w:val="00231131"/>
    <w:rsid w:val="0023170E"/>
    <w:rsid w:val="00231839"/>
    <w:rsid w:val="002319A0"/>
    <w:rsid w:val="00232317"/>
    <w:rsid w:val="0023262B"/>
    <w:rsid w:val="00232A4E"/>
    <w:rsid w:val="00233A7D"/>
    <w:rsid w:val="00233C58"/>
    <w:rsid w:val="00234466"/>
    <w:rsid w:val="002346E5"/>
    <w:rsid w:val="0023482B"/>
    <w:rsid w:val="0023482C"/>
    <w:rsid w:val="00234AA4"/>
    <w:rsid w:val="00234C7F"/>
    <w:rsid w:val="00234E62"/>
    <w:rsid w:val="00234F8F"/>
    <w:rsid w:val="0023576A"/>
    <w:rsid w:val="00235B0E"/>
    <w:rsid w:val="002360FF"/>
    <w:rsid w:val="0023658F"/>
    <w:rsid w:val="00236872"/>
    <w:rsid w:val="00236890"/>
    <w:rsid w:val="002368C0"/>
    <w:rsid w:val="00236B0A"/>
    <w:rsid w:val="00236C81"/>
    <w:rsid w:val="00236CC2"/>
    <w:rsid w:val="00236CDE"/>
    <w:rsid w:val="0023763A"/>
    <w:rsid w:val="00237D7D"/>
    <w:rsid w:val="00237F1A"/>
    <w:rsid w:val="002404D1"/>
    <w:rsid w:val="002405C8"/>
    <w:rsid w:val="00240ECB"/>
    <w:rsid w:val="002415DA"/>
    <w:rsid w:val="00241857"/>
    <w:rsid w:val="00241AA8"/>
    <w:rsid w:val="00241E73"/>
    <w:rsid w:val="0024285E"/>
    <w:rsid w:val="00242F79"/>
    <w:rsid w:val="00242FA8"/>
    <w:rsid w:val="00242FD0"/>
    <w:rsid w:val="0024310E"/>
    <w:rsid w:val="00243204"/>
    <w:rsid w:val="002439E4"/>
    <w:rsid w:val="00243AC5"/>
    <w:rsid w:val="00243E58"/>
    <w:rsid w:val="00243F38"/>
    <w:rsid w:val="0024405D"/>
    <w:rsid w:val="002443AC"/>
    <w:rsid w:val="00244516"/>
    <w:rsid w:val="00244958"/>
    <w:rsid w:val="00244CF8"/>
    <w:rsid w:val="002454F0"/>
    <w:rsid w:val="00245B9E"/>
    <w:rsid w:val="002465AC"/>
    <w:rsid w:val="002465EC"/>
    <w:rsid w:val="00246614"/>
    <w:rsid w:val="00246907"/>
    <w:rsid w:val="00246C0E"/>
    <w:rsid w:val="00246EC9"/>
    <w:rsid w:val="00246FE9"/>
    <w:rsid w:val="00247130"/>
    <w:rsid w:val="0024723E"/>
    <w:rsid w:val="00247760"/>
    <w:rsid w:val="00247E6F"/>
    <w:rsid w:val="00247FD9"/>
    <w:rsid w:val="0025003A"/>
    <w:rsid w:val="00250260"/>
    <w:rsid w:val="00250FD5"/>
    <w:rsid w:val="00251167"/>
    <w:rsid w:val="002511BA"/>
    <w:rsid w:val="002516F0"/>
    <w:rsid w:val="002518B2"/>
    <w:rsid w:val="00251F0B"/>
    <w:rsid w:val="002526B9"/>
    <w:rsid w:val="00252DD3"/>
    <w:rsid w:val="0025394F"/>
    <w:rsid w:val="00253B97"/>
    <w:rsid w:val="00254465"/>
    <w:rsid w:val="002544CB"/>
    <w:rsid w:val="00254724"/>
    <w:rsid w:val="002548FF"/>
    <w:rsid w:val="00254CCF"/>
    <w:rsid w:val="00255CDB"/>
    <w:rsid w:val="00255D8E"/>
    <w:rsid w:val="00256584"/>
    <w:rsid w:val="0025676E"/>
    <w:rsid w:val="00256C48"/>
    <w:rsid w:val="00256EF8"/>
    <w:rsid w:val="002570D5"/>
    <w:rsid w:val="00257177"/>
    <w:rsid w:val="002571C3"/>
    <w:rsid w:val="00257730"/>
    <w:rsid w:val="00257803"/>
    <w:rsid w:val="002579EB"/>
    <w:rsid w:val="00257A6A"/>
    <w:rsid w:val="00257B74"/>
    <w:rsid w:val="00257CD8"/>
    <w:rsid w:val="00257E60"/>
    <w:rsid w:val="002610D8"/>
    <w:rsid w:val="0026142E"/>
    <w:rsid w:val="00261A6C"/>
    <w:rsid w:val="00261E57"/>
    <w:rsid w:val="002620CD"/>
    <w:rsid w:val="002629E2"/>
    <w:rsid w:val="00262BA8"/>
    <w:rsid w:val="00262BC8"/>
    <w:rsid w:val="0026312B"/>
    <w:rsid w:val="002633AF"/>
    <w:rsid w:val="002641D9"/>
    <w:rsid w:val="002643C5"/>
    <w:rsid w:val="002644F0"/>
    <w:rsid w:val="00264917"/>
    <w:rsid w:val="002651EC"/>
    <w:rsid w:val="00265DC2"/>
    <w:rsid w:val="0026638C"/>
    <w:rsid w:val="0026661A"/>
    <w:rsid w:val="00266F00"/>
    <w:rsid w:val="002670EF"/>
    <w:rsid w:val="002671A2"/>
    <w:rsid w:val="00267611"/>
    <w:rsid w:val="00267A38"/>
    <w:rsid w:val="00267F5F"/>
    <w:rsid w:val="00270262"/>
    <w:rsid w:val="00270965"/>
    <w:rsid w:val="00271122"/>
    <w:rsid w:val="00271ACC"/>
    <w:rsid w:val="00271E5D"/>
    <w:rsid w:val="00272082"/>
    <w:rsid w:val="0027286C"/>
    <w:rsid w:val="00272AC9"/>
    <w:rsid w:val="0027349D"/>
    <w:rsid w:val="00273516"/>
    <w:rsid w:val="00273985"/>
    <w:rsid w:val="00273B82"/>
    <w:rsid w:val="00273C71"/>
    <w:rsid w:val="00273E7A"/>
    <w:rsid w:val="00274372"/>
    <w:rsid w:val="0027475A"/>
    <w:rsid w:val="002747A8"/>
    <w:rsid w:val="00274DEE"/>
    <w:rsid w:val="0027545A"/>
    <w:rsid w:val="00275F56"/>
    <w:rsid w:val="00275FBB"/>
    <w:rsid w:val="002765B7"/>
    <w:rsid w:val="00276EAA"/>
    <w:rsid w:val="0027744F"/>
    <w:rsid w:val="00277713"/>
    <w:rsid w:val="00277BAA"/>
    <w:rsid w:val="00277DBC"/>
    <w:rsid w:val="00277F64"/>
    <w:rsid w:val="00280550"/>
    <w:rsid w:val="00280D09"/>
    <w:rsid w:val="00281063"/>
    <w:rsid w:val="00281676"/>
    <w:rsid w:val="00281E32"/>
    <w:rsid w:val="00282479"/>
    <w:rsid w:val="0028276E"/>
    <w:rsid w:val="002827F3"/>
    <w:rsid w:val="002828BE"/>
    <w:rsid w:val="002829BD"/>
    <w:rsid w:val="00282B3E"/>
    <w:rsid w:val="00282C1F"/>
    <w:rsid w:val="00282C6C"/>
    <w:rsid w:val="00283A66"/>
    <w:rsid w:val="00283B7F"/>
    <w:rsid w:val="00283CDF"/>
    <w:rsid w:val="00283D0F"/>
    <w:rsid w:val="0028468D"/>
    <w:rsid w:val="0028470C"/>
    <w:rsid w:val="00284764"/>
    <w:rsid w:val="00284846"/>
    <w:rsid w:val="00284B5F"/>
    <w:rsid w:val="0028596B"/>
    <w:rsid w:val="00285FB9"/>
    <w:rsid w:val="00286219"/>
    <w:rsid w:val="00286A03"/>
    <w:rsid w:val="00286A4F"/>
    <w:rsid w:val="00286C0A"/>
    <w:rsid w:val="00286E7A"/>
    <w:rsid w:val="0028716F"/>
    <w:rsid w:val="00287514"/>
    <w:rsid w:val="0028791B"/>
    <w:rsid w:val="00287E44"/>
    <w:rsid w:val="00287F79"/>
    <w:rsid w:val="00287FF0"/>
    <w:rsid w:val="002900A9"/>
    <w:rsid w:val="00290C43"/>
    <w:rsid w:val="00290C90"/>
    <w:rsid w:val="00290E36"/>
    <w:rsid w:val="002910A9"/>
    <w:rsid w:val="0029114D"/>
    <w:rsid w:val="002915C5"/>
    <w:rsid w:val="002916DB"/>
    <w:rsid w:val="0029190A"/>
    <w:rsid w:val="00293271"/>
    <w:rsid w:val="00293587"/>
    <w:rsid w:val="00293896"/>
    <w:rsid w:val="002938CF"/>
    <w:rsid w:val="00293ED1"/>
    <w:rsid w:val="00294A06"/>
    <w:rsid w:val="00294FFB"/>
    <w:rsid w:val="002954FD"/>
    <w:rsid w:val="00295BFA"/>
    <w:rsid w:val="0029603A"/>
    <w:rsid w:val="00296242"/>
    <w:rsid w:val="00296CE6"/>
    <w:rsid w:val="002973DF"/>
    <w:rsid w:val="00297D6A"/>
    <w:rsid w:val="002A0190"/>
    <w:rsid w:val="002A0983"/>
    <w:rsid w:val="002A0BF5"/>
    <w:rsid w:val="002A1128"/>
    <w:rsid w:val="002A158C"/>
    <w:rsid w:val="002A1860"/>
    <w:rsid w:val="002A24EB"/>
    <w:rsid w:val="002A282C"/>
    <w:rsid w:val="002A2C5E"/>
    <w:rsid w:val="002A2D66"/>
    <w:rsid w:val="002A39A2"/>
    <w:rsid w:val="002A428E"/>
    <w:rsid w:val="002A46FA"/>
    <w:rsid w:val="002A5227"/>
    <w:rsid w:val="002A54CA"/>
    <w:rsid w:val="002A57BC"/>
    <w:rsid w:val="002A581C"/>
    <w:rsid w:val="002A5981"/>
    <w:rsid w:val="002A5CFF"/>
    <w:rsid w:val="002B00FE"/>
    <w:rsid w:val="002B03A3"/>
    <w:rsid w:val="002B0E27"/>
    <w:rsid w:val="002B10B6"/>
    <w:rsid w:val="002B10D3"/>
    <w:rsid w:val="002B1113"/>
    <w:rsid w:val="002B1117"/>
    <w:rsid w:val="002B1867"/>
    <w:rsid w:val="002B1EA3"/>
    <w:rsid w:val="002B2201"/>
    <w:rsid w:val="002B2A55"/>
    <w:rsid w:val="002B2DA9"/>
    <w:rsid w:val="002B30C8"/>
    <w:rsid w:val="002B31FA"/>
    <w:rsid w:val="002B33D5"/>
    <w:rsid w:val="002B3A06"/>
    <w:rsid w:val="002B3CC8"/>
    <w:rsid w:val="002B4552"/>
    <w:rsid w:val="002B47DC"/>
    <w:rsid w:val="002B49FA"/>
    <w:rsid w:val="002B4A32"/>
    <w:rsid w:val="002B4C84"/>
    <w:rsid w:val="002B4F1C"/>
    <w:rsid w:val="002B5022"/>
    <w:rsid w:val="002B523B"/>
    <w:rsid w:val="002B5746"/>
    <w:rsid w:val="002B5913"/>
    <w:rsid w:val="002B5F17"/>
    <w:rsid w:val="002B63D3"/>
    <w:rsid w:val="002B6815"/>
    <w:rsid w:val="002B6AB1"/>
    <w:rsid w:val="002B6E7F"/>
    <w:rsid w:val="002B71D1"/>
    <w:rsid w:val="002B7AF7"/>
    <w:rsid w:val="002C0144"/>
    <w:rsid w:val="002C0A97"/>
    <w:rsid w:val="002C0C57"/>
    <w:rsid w:val="002C0CAC"/>
    <w:rsid w:val="002C0EA2"/>
    <w:rsid w:val="002C13E1"/>
    <w:rsid w:val="002C1F28"/>
    <w:rsid w:val="002C1FAB"/>
    <w:rsid w:val="002C234F"/>
    <w:rsid w:val="002C254B"/>
    <w:rsid w:val="002C25DE"/>
    <w:rsid w:val="002C25E3"/>
    <w:rsid w:val="002C27E8"/>
    <w:rsid w:val="002C29EE"/>
    <w:rsid w:val="002C2ACB"/>
    <w:rsid w:val="002C2F60"/>
    <w:rsid w:val="002C41CB"/>
    <w:rsid w:val="002C425B"/>
    <w:rsid w:val="002C45B2"/>
    <w:rsid w:val="002C5C58"/>
    <w:rsid w:val="002C5D51"/>
    <w:rsid w:val="002C5E35"/>
    <w:rsid w:val="002C5EDC"/>
    <w:rsid w:val="002C6A1A"/>
    <w:rsid w:val="002C6B67"/>
    <w:rsid w:val="002C73EE"/>
    <w:rsid w:val="002C7660"/>
    <w:rsid w:val="002C7718"/>
    <w:rsid w:val="002C77DB"/>
    <w:rsid w:val="002C77F7"/>
    <w:rsid w:val="002C7CD4"/>
    <w:rsid w:val="002D0321"/>
    <w:rsid w:val="002D05E5"/>
    <w:rsid w:val="002D0622"/>
    <w:rsid w:val="002D0E7A"/>
    <w:rsid w:val="002D12F0"/>
    <w:rsid w:val="002D155B"/>
    <w:rsid w:val="002D18D1"/>
    <w:rsid w:val="002D1AD3"/>
    <w:rsid w:val="002D280A"/>
    <w:rsid w:val="002D283F"/>
    <w:rsid w:val="002D36C4"/>
    <w:rsid w:val="002D3C8A"/>
    <w:rsid w:val="002D4091"/>
    <w:rsid w:val="002D40A5"/>
    <w:rsid w:val="002D46B0"/>
    <w:rsid w:val="002D48E1"/>
    <w:rsid w:val="002D4CA0"/>
    <w:rsid w:val="002D6136"/>
    <w:rsid w:val="002D61C8"/>
    <w:rsid w:val="002D629E"/>
    <w:rsid w:val="002D6315"/>
    <w:rsid w:val="002D6E90"/>
    <w:rsid w:val="002D6E9A"/>
    <w:rsid w:val="002D726B"/>
    <w:rsid w:val="002D72B2"/>
    <w:rsid w:val="002D75DB"/>
    <w:rsid w:val="002D7E67"/>
    <w:rsid w:val="002E0067"/>
    <w:rsid w:val="002E02D0"/>
    <w:rsid w:val="002E0489"/>
    <w:rsid w:val="002E04C0"/>
    <w:rsid w:val="002E0544"/>
    <w:rsid w:val="002E0888"/>
    <w:rsid w:val="002E0CE6"/>
    <w:rsid w:val="002E1442"/>
    <w:rsid w:val="002E1DF4"/>
    <w:rsid w:val="002E1ECD"/>
    <w:rsid w:val="002E2C3B"/>
    <w:rsid w:val="002E3C37"/>
    <w:rsid w:val="002E3C6C"/>
    <w:rsid w:val="002E4BA7"/>
    <w:rsid w:val="002E4D3D"/>
    <w:rsid w:val="002E4DE4"/>
    <w:rsid w:val="002E5CA7"/>
    <w:rsid w:val="002E668B"/>
    <w:rsid w:val="002E7235"/>
    <w:rsid w:val="002E7DEA"/>
    <w:rsid w:val="002F0276"/>
    <w:rsid w:val="002F10E7"/>
    <w:rsid w:val="002F11F9"/>
    <w:rsid w:val="002F1274"/>
    <w:rsid w:val="002F13E0"/>
    <w:rsid w:val="002F16CB"/>
    <w:rsid w:val="002F1742"/>
    <w:rsid w:val="002F18AD"/>
    <w:rsid w:val="002F1AB0"/>
    <w:rsid w:val="002F31B4"/>
    <w:rsid w:val="002F3773"/>
    <w:rsid w:val="002F3C64"/>
    <w:rsid w:val="002F4431"/>
    <w:rsid w:val="002F47E7"/>
    <w:rsid w:val="002F510D"/>
    <w:rsid w:val="002F5F61"/>
    <w:rsid w:val="002F75B2"/>
    <w:rsid w:val="00300081"/>
    <w:rsid w:val="0030023E"/>
    <w:rsid w:val="0030059B"/>
    <w:rsid w:val="00300FC5"/>
    <w:rsid w:val="00301277"/>
    <w:rsid w:val="00301837"/>
    <w:rsid w:val="003019CD"/>
    <w:rsid w:val="00302A13"/>
    <w:rsid w:val="00302F40"/>
    <w:rsid w:val="0030341B"/>
    <w:rsid w:val="003034D2"/>
    <w:rsid w:val="0030373E"/>
    <w:rsid w:val="003039C3"/>
    <w:rsid w:val="00303A1B"/>
    <w:rsid w:val="00303E86"/>
    <w:rsid w:val="003045BE"/>
    <w:rsid w:val="00304D5B"/>
    <w:rsid w:val="00305C24"/>
    <w:rsid w:val="00305CC0"/>
    <w:rsid w:val="00305F53"/>
    <w:rsid w:val="003060F3"/>
    <w:rsid w:val="0030612A"/>
    <w:rsid w:val="003068EC"/>
    <w:rsid w:val="00306C01"/>
    <w:rsid w:val="0030706E"/>
    <w:rsid w:val="0030710E"/>
    <w:rsid w:val="0030759B"/>
    <w:rsid w:val="003076C4"/>
    <w:rsid w:val="003079A6"/>
    <w:rsid w:val="0031067B"/>
    <w:rsid w:val="003106C8"/>
    <w:rsid w:val="00310CE5"/>
    <w:rsid w:val="00310E3F"/>
    <w:rsid w:val="00311270"/>
    <w:rsid w:val="0031175D"/>
    <w:rsid w:val="003119DD"/>
    <w:rsid w:val="00312297"/>
    <w:rsid w:val="00312A9E"/>
    <w:rsid w:val="00312AB6"/>
    <w:rsid w:val="00313367"/>
    <w:rsid w:val="0031354F"/>
    <w:rsid w:val="0031425B"/>
    <w:rsid w:val="00314614"/>
    <w:rsid w:val="00314739"/>
    <w:rsid w:val="00314773"/>
    <w:rsid w:val="003148C5"/>
    <w:rsid w:val="00314AFD"/>
    <w:rsid w:val="00314F8A"/>
    <w:rsid w:val="003151F3"/>
    <w:rsid w:val="003152FA"/>
    <w:rsid w:val="003154DB"/>
    <w:rsid w:val="00315EF3"/>
    <w:rsid w:val="00315F20"/>
    <w:rsid w:val="00316779"/>
    <w:rsid w:val="00316866"/>
    <w:rsid w:val="00317DA5"/>
    <w:rsid w:val="003201D0"/>
    <w:rsid w:val="003205E0"/>
    <w:rsid w:val="00321386"/>
    <w:rsid w:val="00321512"/>
    <w:rsid w:val="00321788"/>
    <w:rsid w:val="0032182A"/>
    <w:rsid w:val="00321848"/>
    <w:rsid w:val="00321CB3"/>
    <w:rsid w:val="00322341"/>
    <w:rsid w:val="0032345B"/>
    <w:rsid w:val="003235FE"/>
    <w:rsid w:val="00323BFD"/>
    <w:rsid w:val="00324A0A"/>
    <w:rsid w:val="00324FF5"/>
    <w:rsid w:val="003256A0"/>
    <w:rsid w:val="003265DE"/>
    <w:rsid w:val="00326A08"/>
    <w:rsid w:val="003275A4"/>
    <w:rsid w:val="003275D6"/>
    <w:rsid w:val="0032767E"/>
    <w:rsid w:val="003277C6"/>
    <w:rsid w:val="00327845"/>
    <w:rsid w:val="00327B0E"/>
    <w:rsid w:val="003302CF"/>
    <w:rsid w:val="00330559"/>
    <w:rsid w:val="003308B8"/>
    <w:rsid w:val="00330B86"/>
    <w:rsid w:val="00330DB5"/>
    <w:rsid w:val="00331306"/>
    <w:rsid w:val="00331427"/>
    <w:rsid w:val="00331659"/>
    <w:rsid w:val="00331953"/>
    <w:rsid w:val="003319C5"/>
    <w:rsid w:val="00331A58"/>
    <w:rsid w:val="00331F49"/>
    <w:rsid w:val="003320F9"/>
    <w:rsid w:val="003322C8"/>
    <w:rsid w:val="003327BD"/>
    <w:rsid w:val="00333503"/>
    <w:rsid w:val="003338EB"/>
    <w:rsid w:val="00334143"/>
    <w:rsid w:val="00334446"/>
    <w:rsid w:val="0033444C"/>
    <w:rsid w:val="00334725"/>
    <w:rsid w:val="00334A38"/>
    <w:rsid w:val="00334AF1"/>
    <w:rsid w:val="003353D5"/>
    <w:rsid w:val="00335655"/>
    <w:rsid w:val="00335836"/>
    <w:rsid w:val="00335A53"/>
    <w:rsid w:val="00336255"/>
    <w:rsid w:val="003379A4"/>
    <w:rsid w:val="00337BB0"/>
    <w:rsid w:val="00337C83"/>
    <w:rsid w:val="00337CB6"/>
    <w:rsid w:val="003403AE"/>
    <w:rsid w:val="003409BD"/>
    <w:rsid w:val="0034111B"/>
    <w:rsid w:val="00342077"/>
    <w:rsid w:val="00342559"/>
    <w:rsid w:val="00342D1A"/>
    <w:rsid w:val="003430FE"/>
    <w:rsid w:val="0034339B"/>
    <w:rsid w:val="00343860"/>
    <w:rsid w:val="00343AB5"/>
    <w:rsid w:val="00343B63"/>
    <w:rsid w:val="00344378"/>
    <w:rsid w:val="00344CEF"/>
    <w:rsid w:val="00344F44"/>
    <w:rsid w:val="0034511C"/>
    <w:rsid w:val="00345191"/>
    <w:rsid w:val="0034550A"/>
    <w:rsid w:val="00345B7B"/>
    <w:rsid w:val="0034611F"/>
    <w:rsid w:val="0034620C"/>
    <w:rsid w:val="00346579"/>
    <w:rsid w:val="00346C50"/>
    <w:rsid w:val="003474B3"/>
    <w:rsid w:val="003475A1"/>
    <w:rsid w:val="00347A1B"/>
    <w:rsid w:val="00347CA3"/>
    <w:rsid w:val="00347D14"/>
    <w:rsid w:val="00347F9F"/>
    <w:rsid w:val="00351032"/>
    <w:rsid w:val="0035149A"/>
    <w:rsid w:val="00351668"/>
    <w:rsid w:val="00351B93"/>
    <w:rsid w:val="00351BC5"/>
    <w:rsid w:val="00352775"/>
    <w:rsid w:val="003527D1"/>
    <w:rsid w:val="00352801"/>
    <w:rsid w:val="00352F14"/>
    <w:rsid w:val="003530B3"/>
    <w:rsid w:val="00353314"/>
    <w:rsid w:val="00354006"/>
    <w:rsid w:val="0035546F"/>
    <w:rsid w:val="003554BD"/>
    <w:rsid w:val="003554CE"/>
    <w:rsid w:val="00355520"/>
    <w:rsid w:val="00355609"/>
    <w:rsid w:val="00356586"/>
    <w:rsid w:val="00356792"/>
    <w:rsid w:val="003571E2"/>
    <w:rsid w:val="00357401"/>
    <w:rsid w:val="0035750F"/>
    <w:rsid w:val="00357B37"/>
    <w:rsid w:val="00357C74"/>
    <w:rsid w:val="003600A9"/>
    <w:rsid w:val="00360A82"/>
    <w:rsid w:val="00361062"/>
    <w:rsid w:val="00361072"/>
    <w:rsid w:val="003610F5"/>
    <w:rsid w:val="003616F4"/>
    <w:rsid w:val="00361A82"/>
    <w:rsid w:val="00361F63"/>
    <w:rsid w:val="00362399"/>
    <w:rsid w:val="0036262F"/>
    <w:rsid w:val="003626B9"/>
    <w:rsid w:val="00362B5E"/>
    <w:rsid w:val="0036335A"/>
    <w:rsid w:val="003633CE"/>
    <w:rsid w:val="003638E9"/>
    <w:rsid w:val="0036406A"/>
    <w:rsid w:val="003643A5"/>
    <w:rsid w:val="00364445"/>
    <w:rsid w:val="0036480B"/>
    <w:rsid w:val="00364C33"/>
    <w:rsid w:val="00364D97"/>
    <w:rsid w:val="0036533F"/>
    <w:rsid w:val="00365370"/>
    <w:rsid w:val="003661C9"/>
    <w:rsid w:val="003661D8"/>
    <w:rsid w:val="0036693A"/>
    <w:rsid w:val="00366AFA"/>
    <w:rsid w:val="00366C31"/>
    <w:rsid w:val="00366E4E"/>
    <w:rsid w:val="0036738B"/>
    <w:rsid w:val="003676E5"/>
    <w:rsid w:val="003676EA"/>
    <w:rsid w:val="00367816"/>
    <w:rsid w:val="00367886"/>
    <w:rsid w:val="00367AD9"/>
    <w:rsid w:val="00367CC7"/>
    <w:rsid w:val="00367D84"/>
    <w:rsid w:val="00370219"/>
    <w:rsid w:val="0037051E"/>
    <w:rsid w:val="00370859"/>
    <w:rsid w:val="00371208"/>
    <w:rsid w:val="003718D9"/>
    <w:rsid w:val="0037207D"/>
    <w:rsid w:val="00372389"/>
    <w:rsid w:val="00372564"/>
    <w:rsid w:val="00372644"/>
    <w:rsid w:val="00372D3A"/>
    <w:rsid w:val="0037334A"/>
    <w:rsid w:val="003734B3"/>
    <w:rsid w:val="0037443B"/>
    <w:rsid w:val="00374B93"/>
    <w:rsid w:val="00374D3E"/>
    <w:rsid w:val="00374DD6"/>
    <w:rsid w:val="00375820"/>
    <w:rsid w:val="00375B14"/>
    <w:rsid w:val="00375D85"/>
    <w:rsid w:val="003760FD"/>
    <w:rsid w:val="00376542"/>
    <w:rsid w:val="0037685B"/>
    <w:rsid w:val="003769D5"/>
    <w:rsid w:val="00376EFD"/>
    <w:rsid w:val="00377475"/>
    <w:rsid w:val="00377A8C"/>
    <w:rsid w:val="00377EBD"/>
    <w:rsid w:val="0038054C"/>
    <w:rsid w:val="0038061C"/>
    <w:rsid w:val="00380CCC"/>
    <w:rsid w:val="00380F3D"/>
    <w:rsid w:val="00381119"/>
    <w:rsid w:val="00381168"/>
    <w:rsid w:val="003815D7"/>
    <w:rsid w:val="00381E3D"/>
    <w:rsid w:val="003825F4"/>
    <w:rsid w:val="00383181"/>
    <w:rsid w:val="00383193"/>
    <w:rsid w:val="003831C2"/>
    <w:rsid w:val="00383338"/>
    <w:rsid w:val="0038339B"/>
    <w:rsid w:val="00383701"/>
    <w:rsid w:val="003840B4"/>
    <w:rsid w:val="00384187"/>
    <w:rsid w:val="0038458A"/>
    <w:rsid w:val="00384744"/>
    <w:rsid w:val="00384900"/>
    <w:rsid w:val="00384D8F"/>
    <w:rsid w:val="00384DCE"/>
    <w:rsid w:val="00384E7D"/>
    <w:rsid w:val="00384EF8"/>
    <w:rsid w:val="0038565A"/>
    <w:rsid w:val="00385FE0"/>
    <w:rsid w:val="00386891"/>
    <w:rsid w:val="00386A21"/>
    <w:rsid w:val="00386CB0"/>
    <w:rsid w:val="00386ECA"/>
    <w:rsid w:val="003871E0"/>
    <w:rsid w:val="0038735C"/>
    <w:rsid w:val="003874B4"/>
    <w:rsid w:val="00387631"/>
    <w:rsid w:val="00387823"/>
    <w:rsid w:val="003879E4"/>
    <w:rsid w:val="00387B48"/>
    <w:rsid w:val="00390044"/>
    <w:rsid w:val="003903FB"/>
    <w:rsid w:val="00390644"/>
    <w:rsid w:val="0039066F"/>
    <w:rsid w:val="00390A9D"/>
    <w:rsid w:val="00390D50"/>
    <w:rsid w:val="00390EAD"/>
    <w:rsid w:val="00390EAF"/>
    <w:rsid w:val="00391028"/>
    <w:rsid w:val="003911FF"/>
    <w:rsid w:val="0039141A"/>
    <w:rsid w:val="003918B6"/>
    <w:rsid w:val="00391CBB"/>
    <w:rsid w:val="00391D90"/>
    <w:rsid w:val="00391DDE"/>
    <w:rsid w:val="0039208E"/>
    <w:rsid w:val="003922B1"/>
    <w:rsid w:val="003923A6"/>
    <w:rsid w:val="0039257A"/>
    <w:rsid w:val="00392AA5"/>
    <w:rsid w:val="00392B54"/>
    <w:rsid w:val="00393231"/>
    <w:rsid w:val="003932B1"/>
    <w:rsid w:val="003935BD"/>
    <w:rsid w:val="0039372B"/>
    <w:rsid w:val="0039383D"/>
    <w:rsid w:val="00393E6B"/>
    <w:rsid w:val="003948B3"/>
    <w:rsid w:val="00394D88"/>
    <w:rsid w:val="00394FE8"/>
    <w:rsid w:val="00395069"/>
    <w:rsid w:val="003955AD"/>
    <w:rsid w:val="00395A0A"/>
    <w:rsid w:val="00396C46"/>
    <w:rsid w:val="00396FE1"/>
    <w:rsid w:val="00397462"/>
    <w:rsid w:val="00397BF1"/>
    <w:rsid w:val="003A0A67"/>
    <w:rsid w:val="003A0B1E"/>
    <w:rsid w:val="003A1273"/>
    <w:rsid w:val="003A1596"/>
    <w:rsid w:val="003A176E"/>
    <w:rsid w:val="003A1FEA"/>
    <w:rsid w:val="003A344A"/>
    <w:rsid w:val="003A3622"/>
    <w:rsid w:val="003A36D4"/>
    <w:rsid w:val="003A4139"/>
    <w:rsid w:val="003A4722"/>
    <w:rsid w:val="003A495B"/>
    <w:rsid w:val="003A4ACF"/>
    <w:rsid w:val="003A4B2F"/>
    <w:rsid w:val="003A4B4F"/>
    <w:rsid w:val="003A4C4A"/>
    <w:rsid w:val="003A4F9E"/>
    <w:rsid w:val="003A5033"/>
    <w:rsid w:val="003A53AA"/>
    <w:rsid w:val="003A5EEB"/>
    <w:rsid w:val="003A6DCB"/>
    <w:rsid w:val="003A701E"/>
    <w:rsid w:val="003A7161"/>
    <w:rsid w:val="003A7200"/>
    <w:rsid w:val="003A75C6"/>
    <w:rsid w:val="003A79FF"/>
    <w:rsid w:val="003A7DFF"/>
    <w:rsid w:val="003B00E9"/>
    <w:rsid w:val="003B02DF"/>
    <w:rsid w:val="003B0A8B"/>
    <w:rsid w:val="003B0D61"/>
    <w:rsid w:val="003B1083"/>
    <w:rsid w:val="003B12DB"/>
    <w:rsid w:val="003B1C5D"/>
    <w:rsid w:val="003B1EAD"/>
    <w:rsid w:val="003B1F1C"/>
    <w:rsid w:val="003B23A8"/>
    <w:rsid w:val="003B293E"/>
    <w:rsid w:val="003B2DC6"/>
    <w:rsid w:val="003B3822"/>
    <w:rsid w:val="003B3BAD"/>
    <w:rsid w:val="003B3F02"/>
    <w:rsid w:val="003B3F64"/>
    <w:rsid w:val="003B43F8"/>
    <w:rsid w:val="003B4644"/>
    <w:rsid w:val="003B4B26"/>
    <w:rsid w:val="003B4E29"/>
    <w:rsid w:val="003B5306"/>
    <w:rsid w:val="003B5757"/>
    <w:rsid w:val="003B5BC2"/>
    <w:rsid w:val="003B6179"/>
    <w:rsid w:val="003B6322"/>
    <w:rsid w:val="003B69D0"/>
    <w:rsid w:val="003B6FA3"/>
    <w:rsid w:val="003B761E"/>
    <w:rsid w:val="003B7917"/>
    <w:rsid w:val="003B7B4D"/>
    <w:rsid w:val="003C0125"/>
    <w:rsid w:val="003C03A7"/>
    <w:rsid w:val="003C03F7"/>
    <w:rsid w:val="003C05CD"/>
    <w:rsid w:val="003C09F6"/>
    <w:rsid w:val="003C0A4A"/>
    <w:rsid w:val="003C0FE5"/>
    <w:rsid w:val="003C1CAF"/>
    <w:rsid w:val="003C22D4"/>
    <w:rsid w:val="003C2815"/>
    <w:rsid w:val="003C29AF"/>
    <w:rsid w:val="003C309E"/>
    <w:rsid w:val="003C3A67"/>
    <w:rsid w:val="003C3F73"/>
    <w:rsid w:val="003C3FB9"/>
    <w:rsid w:val="003C40A2"/>
    <w:rsid w:val="003C45E7"/>
    <w:rsid w:val="003C4D6D"/>
    <w:rsid w:val="003C541A"/>
    <w:rsid w:val="003C5519"/>
    <w:rsid w:val="003C5A97"/>
    <w:rsid w:val="003C616B"/>
    <w:rsid w:val="003C681D"/>
    <w:rsid w:val="003C6BED"/>
    <w:rsid w:val="003C7307"/>
    <w:rsid w:val="003C7965"/>
    <w:rsid w:val="003C7D06"/>
    <w:rsid w:val="003C7EF7"/>
    <w:rsid w:val="003C7F74"/>
    <w:rsid w:val="003D0E1F"/>
    <w:rsid w:val="003D1182"/>
    <w:rsid w:val="003D1AE0"/>
    <w:rsid w:val="003D1C18"/>
    <w:rsid w:val="003D22DA"/>
    <w:rsid w:val="003D28D7"/>
    <w:rsid w:val="003D3217"/>
    <w:rsid w:val="003D3379"/>
    <w:rsid w:val="003D3779"/>
    <w:rsid w:val="003D3BF3"/>
    <w:rsid w:val="003D3E7B"/>
    <w:rsid w:val="003D425A"/>
    <w:rsid w:val="003D4866"/>
    <w:rsid w:val="003D4C0C"/>
    <w:rsid w:val="003D4D8B"/>
    <w:rsid w:val="003D507A"/>
    <w:rsid w:val="003D53C3"/>
    <w:rsid w:val="003D5978"/>
    <w:rsid w:val="003D6280"/>
    <w:rsid w:val="003D66CB"/>
    <w:rsid w:val="003D675B"/>
    <w:rsid w:val="003D677D"/>
    <w:rsid w:val="003D687A"/>
    <w:rsid w:val="003D6E45"/>
    <w:rsid w:val="003D72B6"/>
    <w:rsid w:val="003D79C4"/>
    <w:rsid w:val="003D7A2D"/>
    <w:rsid w:val="003D7C91"/>
    <w:rsid w:val="003E043F"/>
    <w:rsid w:val="003E07F1"/>
    <w:rsid w:val="003E0872"/>
    <w:rsid w:val="003E0E8C"/>
    <w:rsid w:val="003E113F"/>
    <w:rsid w:val="003E1418"/>
    <w:rsid w:val="003E149E"/>
    <w:rsid w:val="003E188F"/>
    <w:rsid w:val="003E235B"/>
    <w:rsid w:val="003E3255"/>
    <w:rsid w:val="003E4979"/>
    <w:rsid w:val="003E4B79"/>
    <w:rsid w:val="003E4B85"/>
    <w:rsid w:val="003E4D69"/>
    <w:rsid w:val="003E5454"/>
    <w:rsid w:val="003E56EE"/>
    <w:rsid w:val="003E581F"/>
    <w:rsid w:val="003E5F16"/>
    <w:rsid w:val="003E634D"/>
    <w:rsid w:val="003E64BB"/>
    <w:rsid w:val="003E6AC1"/>
    <w:rsid w:val="003E7200"/>
    <w:rsid w:val="003E7EEA"/>
    <w:rsid w:val="003F01E7"/>
    <w:rsid w:val="003F18CF"/>
    <w:rsid w:val="003F214C"/>
    <w:rsid w:val="003F24CA"/>
    <w:rsid w:val="003F2BFE"/>
    <w:rsid w:val="003F3A44"/>
    <w:rsid w:val="003F5254"/>
    <w:rsid w:val="003F5303"/>
    <w:rsid w:val="003F5F0A"/>
    <w:rsid w:val="003F6884"/>
    <w:rsid w:val="003F68DB"/>
    <w:rsid w:val="003F6A41"/>
    <w:rsid w:val="003F6DF4"/>
    <w:rsid w:val="003F7022"/>
    <w:rsid w:val="003F7263"/>
    <w:rsid w:val="003F7D77"/>
    <w:rsid w:val="00400A5E"/>
    <w:rsid w:val="00400A63"/>
    <w:rsid w:val="004015B0"/>
    <w:rsid w:val="004016AD"/>
    <w:rsid w:val="00401A15"/>
    <w:rsid w:val="00401C5B"/>
    <w:rsid w:val="00401DB1"/>
    <w:rsid w:val="004020FB"/>
    <w:rsid w:val="0040229E"/>
    <w:rsid w:val="0040230D"/>
    <w:rsid w:val="00402618"/>
    <w:rsid w:val="00402791"/>
    <w:rsid w:val="004028D0"/>
    <w:rsid w:val="00402940"/>
    <w:rsid w:val="00402C4D"/>
    <w:rsid w:val="00403226"/>
    <w:rsid w:val="0040323E"/>
    <w:rsid w:val="00403827"/>
    <w:rsid w:val="004040E3"/>
    <w:rsid w:val="00404355"/>
    <w:rsid w:val="00404AAA"/>
    <w:rsid w:val="00404D4D"/>
    <w:rsid w:val="00404E03"/>
    <w:rsid w:val="0040535A"/>
    <w:rsid w:val="004056F4"/>
    <w:rsid w:val="004061C5"/>
    <w:rsid w:val="00406A5E"/>
    <w:rsid w:val="004073BE"/>
    <w:rsid w:val="00407CDA"/>
    <w:rsid w:val="00407FF0"/>
    <w:rsid w:val="004100FD"/>
    <w:rsid w:val="0041029D"/>
    <w:rsid w:val="00410347"/>
    <w:rsid w:val="004104BF"/>
    <w:rsid w:val="0041068A"/>
    <w:rsid w:val="00410DEC"/>
    <w:rsid w:val="0041138F"/>
    <w:rsid w:val="00411412"/>
    <w:rsid w:val="0041175F"/>
    <w:rsid w:val="004118D5"/>
    <w:rsid w:val="00412EF3"/>
    <w:rsid w:val="004133CD"/>
    <w:rsid w:val="00413549"/>
    <w:rsid w:val="00414538"/>
    <w:rsid w:val="0041479C"/>
    <w:rsid w:val="00415299"/>
    <w:rsid w:val="00416787"/>
    <w:rsid w:val="00416792"/>
    <w:rsid w:val="004167C9"/>
    <w:rsid w:val="00417D8E"/>
    <w:rsid w:val="00420221"/>
    <w:rsid w:val="004203CA"/>
    <w:rsid w:val="004208D7"/>
    <w:rsid w:val="00420CA2"/>
    <w:rsid w:val="00421878"/>
    <w:rsid w:val="00421AB1"/>
    <w:rsid w:val="004223F9"/>
    <w:rsid w:val="004228EE"/>
    <w:rsid w:val="00422BB1"/>
    <w:rsid w:val="00422D87"/>
    <w:rsid w:val="0042325A"/>
    <w:rsid w:val="0042336F"/>
    <w:rsid w:val="004234EF"/>
    <w:rsid w:val="004242F2"/>
    <w:rsid w:val="004249DB"/>
    <w:rsid w:val="00424C76"/>
    <w:rsid w:val="00425554"/>
    <w:rsid w:val="0042556A"/>
    <w:rsid w:val="00425B68"/>
    <w:rsid w:val="00425C9F"/>
    <w:rsid w:val="004268A5"/>
    <w:rsid w:val="00427A53"/>
    <w:rsid w:val="00427A8B"/>
    <w:rsid w:val="004300E1"/>
    <w:rsid w:val="00430294"/>
    <w:rsid w:val="00430924"/>
    <w:rsid w:val="004309CF"/>
    <w:rsid w:val="00430B44"/>
    <w:rsid w:val="00430DD6"/>
    <w:rsid w:val="00430F27"/>
    <w:rsid w:val="0043104B"/>
    <w:rsid w:val="0043121B"/>
    <w:rsid w:val="0043181D"/>
    <w:rsid w:val="004328E4"/>
    <w:rsid w:val="00432937"/>
    <w:rsid w:val="00433460"/>
    <w:rsid w:val="00433822"/>
    <w:rsid w:val="00433AE2"/>
    <w:rsid w:val="00433D87"/>
    <w:rsid w:val="00433ECE"/>
    <w:rsid w:val="00434639"/>
    <w:rsid w:val="00434743"/>
    <w:rsid w:val="004347A7"/>
    <w:rsid w:val="00434800"/>
    <w:rsid w:val="00434F9C"/>
    <w:rsid w:val="00435F09"/>
    <w:rsid w:val="00435F6F"/>
    <w:rsid w:val="00436422"/>
    <w:rsid w:val="00436548"/>
    <w:rsid w:val="00436BA2"/>
    <w:rsid w:val="00436C1E"/>
    <w:rsid w:val="00436C20"/>
    <w:rsid w:val="00436D7D"/>
    <w:rsid w:val="004373A1"/>
    <w:rsid w:val="0044006B"/>
    <w:rsid w:val="00440392"/>
    <w:rsid w:val="00440502"/>
    <w:rsid w:val="00440C96"/>
    <w:rsid w:val="00440D1C"/>
    <w:rsid w:val="004412E5"/>
    <w:rsid w:val="004415FC"/>
    <w:rsid w:val="00441989"/>
    <w:rsid w:val="00441CBE"/>
    <w:rsid w:val="00441D5A"/>
    <w:rsid w:val="00442112"/>
    <w:rsid w:val="00442822"/>
    <w:rsid w:val="004437F3"/>
    <w:rsid w:val="00443A3A"/>
    <w:rsid w:val="00443AE0"/>
    <w:rsid w:val="00443B05"/>
    <w:rsid w:val="00443D1A"/>
    <w:rsid w:val="00443E6B"/>
    <w:rsid w:val="004442B1"/>
    <w:rsid w:val="004443FB"/>
    <w:rsid w:val="0044476D"/>
    <w:rsid w:val="00444D28"/>
    <w:rsid w:val="00445064"/>
    <w:rsid w:val="00445172"/>
    <w:rsid w:val="004452CE"/>
    <w:rsid w:val="0044675D"/>
    <w:rsid w:val="00446F94"/>
    <w:rsid w:val="00447557"/>
    <w:rsid w:val="00447603"/>
    <w:rsid w:val="00447999"/>
    <w:rsid w:val="00447AC5"/>
    <w:rsid w:val="00447DE1"/>
    <w:rsid w:val="00447E30"/>
    <w:rsid w:val="00447EAD"/>
    <w:rsid w:val="004504A7"/>
    <w:rsid w:val="00450899"/>
    <w:rsid w:val="004508B7"/>
    <w:rsid w:val="00450FE9"/>
    <w:rsid w:val="0045152E"/>
    <w:rsid w:val="00451A7B"/>
    <w:rsid w:val="004522A6"/>
    <w:rsid w:val="004528D9"/>
    <w:rsid w:val="004529D7"/>
    <w:rsid w:val="00452A11"/>
    <w:rsid w:val="004530AE"/>
    <w:rsid w:val="00453B94"/>
    <w:rsid w:val="00453BF4"/>
    <w:rsid w:val="00454571"/>
    <w:rsid w:val="00455AFA"/>
    <w:rsid w:val="00456308"/>
    <w:rsid w:val="004566BE"/>
    <w:rsid w:val="0045682E"/>
    <w:rsid w:val="004568B4"/>
    <w:rsid w:val="004569AF"/>
    <w:rsid w:val="00457142"/>
    <w:rsid w:val="004573A4"/>
    <w:rsid w:val="00457493"/>
    <w:rsid w:val="00457958"/>
    <w:rsid w:val="004602C4"/>
    <w:rsid w:val="00460434"/>
    <w:rsid w:val="0046115F"/>
    <w:rsid w:val="0046148D"/>
    <w:rsid w:val="00461535"/>
    <w:rsid w:val="00461684"/>
    <w:rsid w:val="00461FDE"/>
    <w:rsid w:val="0046207E"/>
    <w:rsid w:val="00462251"/>
    <w:rsid w:val="004627CF"/>
    <w:rsid w:val="00462977"/>
    <w:rsid w:val="00462DBA"/>
    <w:rsid w:val="004635B7"/>
    <w:rsid w:val="00464027"/>
    <w:rsid w:val="004641CB"/>
    <w:rsid w:val="0046443B"/>
    <w:rsid w:val="00464BC7"/>
    <w:rsid w:val="00464C03"/>
    <w:rsid w:val="004651B8"/>
    <w:rsid w:val="00465580"/>
    <w:rsid w:val="00465972"/>
    <w:rsid w:val="00465E7E"/>
    <w:rsid w:val="00466BB5"/>
    <w:rsid w:val="004672E8"/>
    <w:rsid w:val="0046769B"/>
    <w:rsid w:val="004677E9"/>
    <w:rsid w:val="00470535"/>
    <w:rsid w:val="0047061A"/>
    <w:rsid w:val="00471183"/>
    <w:rsid w:val="0047123C"/>
    <w:rsid w:val="0047123D"/>
    <w:rsid w:val="0047137E"/>
    <w:rsid w:val="00471452"/>
    <w:rsid w:val="004714F6"/>
    <w:rsid w:val="0047289C"/>
    <w:rsid w:val="00472E22"/>
    <w:rsid w:val="00472F67"/>
    <w:rsid w:val="004739A1"/>
    <w:rsid w:val="00473F0E"/>
    <w:rsid w:val="0047430D"/>
    <w:rsid w:val="00474FDF"/>
    <w:rsid w:val="004752F8"/>
    <w:rsid w:val="004754D5"/>
    <w:rsid w:val="0047556B"/>
    <w:rsid w:val="00475688"/>
    <w:rsid w:val="004756F1"/>
    <w:rsid w:val="004758F6"/>
    <w:rsid w:val="004759E3"/>
    <w:rsid w:val="00475C51"/>
    <w:rsid w:val="00475EAF"/>
    <w:rsid w:val="00476161"/>
    <w:rsid w:val="00476658"/>
    <w:rsid w:val="00476E34"/>
    <w:rsid w:val="00476EE1"/>
    <w:rsid w:val="00477163"/>
    <w:rsid w:val="00477B0E"/>
    <w:rsid w:val="00480068"/>
    <w:rsid w:val="00480FAE"/>
    <w:rsid w:val="004813DB"/>
    <w:rsid w:val="00481688"/>
    <w:rsid w:val="004820E0"/>
    <w:rsid w:val="004822CA"/>
    <w:rsid w:val="00482ABB"/>
    <w:rsid w:val="00483F95"/>
    <w:rsid w:val="00484D20"/>
    <w:rsid w:val="004850C1"/>
    <w:rsid w:val="00485570"/>
    <w:rsid w:val="00485AFA"/>
    <w:rsid w:val="00486249"/>
    <w:rsid w:val="00486F54"/>
    <w:rsid w:val="004871B4"/>
    <w:rsid w:val="004876DD"/>
    <w:rsid w:val="00490747"/>
    <w:rsid w:val="004916CF"/>
    <w:rsid w:val="0049178A"/>
    <w:rsid w:val="004917FF"/>
    <w:rsid w:val="00491C1D"/>
    <w:rsid w:val="00491DF1"/>
    <w:rsid w:val="00492535"/>
    <w:rsid w:val="00492A63"/>
    <w:rsid w:val="00493435"/>
    <w:rsid w:val="00494994"/>
    <w:rsid w:val="00494B28"/>
    <w:rsid w:val="00494ED1"/>
    <w:rsid w:val="00494F6D"/>
    <w:rsid w:val="00495FFF"/>
    <w:rsid w:val="0049654F"/>
    <w:rsid w:val="0049689E"/>
    <w:rsid w:val="00496A9F"/>
    <w:rsid w:val="00497358"/>
    <w:rsid w:val="00497FA5"/>
    <w:rsid w:val="004A0024"/>
    <w:rsid w:val="004A03B3"/>
    <w:rsid w:val="004A04D5"/>
    <w:rsid w:val="004A0A7A"/>
    <w:rsid w:val="004A0AD6"/>
    <w:rsid w:val="004A0D2F"/>
    <w:rsid w:val="004A1B07"/>
    <w:rsid w:val="004A1D62"/>
    <w:rsid w:val="004A2437"/>
    <w:rsid w:val="004A2A6B"/>
    <w:rsid w:val="004A2E04"/>
    <w:rsid w:val="004A3226"/>
    <w:rsid w:val="004A399F"/>
    <w:rsid w:val="004A4096"/>
    <w:rsid w:val="004A4425"/>
    <w:rsid w:val="004A4692"/>
    <w:rsid w:val="004A4B07"/>
    <w:rsid w:val="004A54DB"/>
    <w:rsid w:val="004A5E3D"/>
    <w:rsid w:val="004A669F"/>
    <w:rsid w:val="004A6842"/>
    <w:rsid w:val="004A6E76"/>
    <w:rsid w:val="004A718C"/>
    <w:rsid w:val="004A7DBE"/>
    <w:rsid w:val="004A7F94"/>
    <w:rsid w:val="004B08AC"/>
    <w:rsid w:val="004B0D88"/>
    <w:rsid w:val="004B1065"/>
    <w:rsid w:val="004B1ED5"/>
    <w:rsid w:val="004B206E"/>
    <w:rsid w:val="004B229E"/>
    <w:rsid w:val="004B22AB"/>
    <w:rsid w:val="004B29C2"/>
    <w:rsid w:val="004B29E1"/>
    <w:rsid w:val="004B2C52"/>
    <w:rsid w:val="004B2F46"/>
    <w:rsid w:val="004B3206"/>
    <w:rsid w:val="004B33D4"/>
    <w:rsid w:val="004B3652"/>
    <w:rsid w:val="004B395D"/>
    <w:rsid w:val="004B3E9C"/>
    <w:rsid w:val="004B4194"/>
    <w:rsid w:val="004B457E"/>
    <w:rsid w:val="004B463E"/>
    <w:rsid w:val="004B55F0"/>
    <w:rsid w:val="004B56C3"/>
    <w:rsid w:val="004B6232"/>
    <w:rsid w:val="004B6928"/>
    <w:rsid w:val="004B79FA"/>
    <w:rsid w:val="004B7C4B"/>
    <w:rsid w:val="004B7D94"/>
    <w:rsid w:val="004C0FB7"/>
    <w:rsid w:val="004C104B"/>
    <w:rsid w:val="004C164A"/>
    <w:rsid w:val="004C1821"/>
    <w:rsid w:val="004C2E14"/>
    <w:rsid w:val="004C2FE3"/>
    <w:rsid w:val="004C305A"/>
    <w:rsid w:val="004C35EF"/>
    <w:rsid w:val="004C3BAA"/>
    <w:rsid w:val="004C3BCF"/>
    <w:rsid w:val="004C4606"/>
    <w:rsid w:val="004C4829"/>
    <w:rsid w:val="004C4D30"/>
    <w:rsid w:val="004C4E00"/>
    <w:rsid w:val="004C4EAB"/>
    <w:rsid w:val="004C5570"/>
    <w:rsid w:val="004C55E5"/>
    <w:rsid w:val="004C5864"/>
    <w:rsid w:val="004C5BD0"/>
    <w:rsid w:val="004C5D52"/>
    <w:rsid w:val="004C5DB0"/>
    <w:rsid w:val="004C60D8"/>
    <w:rsid w:val="004C62EE"/>
    <w:rsid w:val="004C6A0B"/>
    <w:rsid w:val="004C6A0D"/>
    <w:rsid w:val="004C6B05"/>
    <w:rsid w:val="004C79BF"/>
    <w:rsid w:val="004C7CC7"/>
    <w:rsid w:val="004C7F31"/>
    <w:rsid w:val="004C7F81"/>
    <w:rsid w:val="004D08DC"/>
    <w:rsid w:val="004D1000"/>
    <w:rsid w:val="004D1768"/>
    <w:rsid w:val="004D1D27"/>
    <w:rsid w:val="004D1DF8"/>
    <w:rsid w:val="004D2069"/>
    <w:rsid w:val="004D25CF"/>
    <w:rsid w:val="004D2EC3"/>
    <w:rsid w:val="004D2FF6"/>
    <w:rsid w:val="004D32B0"/>
    <w:rsid w:val="004D3C9F"/>
    <w:rsid w:val="004D3FD6"/>
    <w:rsid w:val="004D405F"/>
    <w:rsid w:val="004D55CA"/>
    <w:rsid w:val="004D5A27"/>
    <w:rsid w:val="004D5CBA"/>
    <w:rsid w:val="004D5F0E"/>
    <w:rsid w:val="004D613C"/>
    <w:rsid w:val="004D6626"/>
    <w:rsid w:val="004D6758"/>
    <w:rsid w:val="004D6FDD"/>
    <w:rsid w:val="004D7537"/>
    <w:rsid w:val="004D7B1A"/>
    <w:rsid w:val="004D7C6B"/>
    <w:rsid w:val="004E0830"/>
    <w:rsid w:val="004E0996"/>
    <w:rsid w:val="004E0F18"/>
    <w:rsid w:val="004E169C"/>
    <w:rsid w:val="004E193E"/>
    <w:rsid w:val="004E1A3E"/>
    <w:rsid w:val="004E1BF0"/>
    <w:rsid w:val="004E1E6A"/>
    <w:rsid w:val="004E210D"/>
    <w:rsid w:val="004E28E1"/>
    <w:rsid w:val="004E2B01"/>
    <w:rsid w:val="004E34C7"/>
    <w:rsid w:val="004E356A"/>
    <w:rsid w:val="004E375D"/>
    <w:rsid w:val="004E375F"/>
    <w:rsid w:val="004E3850"/>
    <w:rsid w:val="004E3A7C"/>
    <w:rsid w:val="004E3DBB"/>
    <w:rsid w:val="004E3FC1"/>
    <w:rsid w:val="004E566F"/>
    <w:rsid w:val="004E58EA"/>
    <w:rsid w:val="004E5F65"/>
    <w:rsid w:val="004E6303"/>
    <w:rsid w:val="004E6C7A"/>
    <w:rsid w:val="004E73C4"/>
    <w:rsid w:val="004E7615"/>
    <w:rsid w:val="004E7CDF"/>
    <w:rsid w:val="004F078C"/>
    <w:rsid w:val="004F0863"/>
    <w:rsid w:val="004F087D"/>
    <w:rsid w:val="004F0D83"/>
    <w:rsid w:val="004F11A0"/>
    <w:rsid w:val="004F1324"/>
    <w:rsid w:val="004F1C7D"/>
    <w:rsid w:val="004F1D24"/>
    <w:rsid w:val="004F21D2"/>
    <w:rsid w:val="004F2641"/>
    <w:rsid w:val="004F27F3"/>
    <w:rsid w:val="004F29B9"/>
    <w:rsid w:val="004F2B8E"/>
    <w:rsid w:val="004F2C85"/>
    <w:rsid w:val="004F32BF"/>
    <w:rsid w:val="004F3C5A"/>
    <w:rsid w:val="004F3E6A"/>
    <w:rsid w:val="004F4673"/>
    <w:rsid w:val="004F469D"/>
    <w:rsid w:val="004F480F"/>
    <w:rsid w:val="004F4984"/>
    <w:rsid w:val="004F4DC0"/>
    <w:rsid w:val="004F4F47"/>
    <w:rsid w:val="004F4F8E"/>
    <w:rsid w:val="004F51D4"/>
    <w:rsid w:val="004F5346"/>
    <w:rsid w:val="004F5C09"/>
    <w:rsid w:val="004F5E4E"/>
    <w:rsid w:val="004F5ECB"/>
    <w:rsid w:val="004F63CC"/>
    <w:rsid w:val="004F640E"/>
    <w:rsid w:val="004F6678"/>
    <w:rsid w:val="004F6B28"/>
    <w:rsid w:val="004F6C65"/>
    <w:rsid w:val="004F6D2E"/>
    <w:rsid w:val="004F7034"/>
    <w:rsid w:val="004F796E"/>
    <w:rsid w:val="004F7A75"/>
    <w:rsid w:val="004F7F0F"/>
    <w:rsid w:val="004F7FBC"/>
    <w:rsid w:val="005001AE"/>
    <w:rsid w:val="005007E7"/>
    <w:rsid w:val="005012FC"/>
    <w:rsid w:val="00501869"/>
    <w:rsid w:val="00501EBE"/>
    <w:rsid w:val="00503551"/>
    <w:rsid w:val="00503C78"/>
    <w:rsid w:val="00503F38"/>
    <w:rsid w:val="005043FC"/>
    <w:rsid w:val="0050444B"/>
    <w:rsid w:val="005046B9"/>
    <w:rsid w:val="00504A55"/>
    <w:rsid w:val="00504B07"/>
    <w:rsid w:val="0050547D"/>
    <w:rsid w:val="00505591"/>
    <w:rsid w:val="00505F08"/>
    <w:rsid w:val="0050671D"/>
    <w:rsid w:val="0050672C"/>
    <w:rsid w:val="00506C4C"/>
    <w:rsid w:val="00506C74"/>
    <w:rsid w:val="0050700E"/>
    <w:rsid w:val="005079D7"/>
    <w:rsid w:val="00507B2A"/>
    <w:rsid w:val="00507E81"/>
    <w:rsid w:val="00510A22"/>
    <w:rsid w:val="00510D8A"/>
    <w:rsid w:val="00511EBC"/>
    <w:rsid w:val="00511FB0"/>
    <w:rsid w:val="0051231B"/>
    <w:rsid w:val="005125D5"/>
    <w:rsid w:val="005126BA"/>
    <w:rsid w:val="00512A9E"/>
    <w:rsid w:val="00512D03"/>
    <w:rsid w:val="00512D51"/>
    <w:rsid w:val="00512E95"/>
    <w:rsid w:val="00512F1A"/>
    <w:rsid w:val="00513EE5"/>
    <w:rsid w:val="00514674"/>
    <w:rsid w:val="0051477F"/>
    <w:rsid w:val="00514C46"/>
    <w:rsid w:val="0051549A"/>
    <w:rsid w:val="00515BCF"/>
    <w:rsid w:val="00516083"/>
    <w:rsid w:val="0051635A"/>
    <w:rsid w:val="0051646E"/>
    <w:rsid w:val="005166C3"/>
    <w:rsid w:val="00516826"/>
    <w:rsid w:val="00516CAD"/>
    <w:rsid w:val="00516EA5"/>
    <w:rsid w:val="0051759E"/>
    <w:rsid w:val="005179DA"/>
    <w:rsid w:val="00517E2A"/>
    <w:rsid w:val="00520C1C"/>
    <w:rsid w:val="00521439"/>
    <w:rsid w:val="00521A9A"/>
    <w:rsid w:val="00522133"/>
    <w:rsid w:val="0052292E"/>
    <w:rsid w:val="00522D13"/>
    <w:rsid w:val="005232E0"/>
    <w:rsid w:val="0052373B"/>
    <w:rsid w:val="00523772"/>
    <w:rsid w:val="00523E00"/>
    <w:rsid w:val="00523FD8"/>
    <w:rsid w:val="0052439F"/>
    <w:rsid w:val="005243EB"/>
    <w:rsid w:val="00525789"/>
    <w:rsid w:val="00525890"/>
    <w:rsid w:val="00526452"/>
    <w:rsid w:val="005264FE"/>
    <w:rsid w:val="00526816"/>
    <w:rsid w:val="00526F09"/>
    <w:rsid w:val="0052780F"/>
    <w:rsid w:val="00527F4F"/>
    <w:rsid w:val="005301A4"/>
    <w:rsid w:val="0053033C"/>
    <w:rsid w:val="00530512"/>
    <w:rsid w:val="00530799"/>
    <w:rsid w:val="0053109F"/>
    <w:rsid w:val="005311E8"/>
    <w:rsid w:val="005312C4"/>
    <w:rsid w:val="0053133A"/>
    <w:rsid w:val="00531822"/>
    <w:rsid w:val="00532252"/>
    <w:rsid w:val="005326D0"/>
    <w:rsid w:val="005327CB"/>
    <w:rsid w:val="00532800"/>
    <w:rsid w:val="00532A80"/>
    <w:rsid w:val="00532FDA"/>
    <w:rsid w:val="005330F6"/>
    <w:rsid w:val="005331E1"/>
    <w:rsid w:val="00533561"/>
    <w:rsid w:val="00533EE8"/>
    <w:rsid w:val="0053417D"/>
    <w:rsid w:val="0053490C"/>
    <w:rsid w:val="00535585"/>
    <w:rsid w:val="005363DD"/>
    <w:rsid w:val="005364DF"/>
    <w:rsid w:val="00536A58"/>
    <w:rsid w:val="00536AB4"/>
    <w:rsid w:val="00537127"/>
    <w:rsid w:val="0053729F"/>
    <w:rsid w:val="005374CE"/>
    <w:rsid w:val="0053764B"/>
    <w:rsid w:val="0054056D"/>
    <w:rsid w:val="0054069F"/>
    <w:rsid w:val="00541078"/>
    <w:rsid w:val="00541307"/>
    <w:rsid w:val="00541B60"/>
    <w:rsid w:val="00541D07"/>
    <w:rsid w:val="00541DB8"/>
    <w:rsid w:val="00541F9A"/>
    <w:rsid w:val="005423E8"/>
    <w:rsid w:val="00542599"/>
    <w:rsid w:val="00542EB4"/>
    <w:rsid w:val="00543D8E"/>
    <w:rsid w:val="005448B9"/>
    <w:rsid w:val="00544C65"/>
    <w:rsid w:val="00545136"/>
    <w:rsid w:val="005451B5"/>
    <w:rsid w:val="005452C1"/>
    <w:rsid w:val="00545B42"/>
    <w:rsid w:val="00545F84"/>
    <w:rsid w:val="00545FCC"/>
    <w:rsid w:val="0054612B"/>
    <w:rsid w:val="00546691"/>
    <w:rsid w:val="00546E95"/>
    <w:rsid w:val="00547710"/>
    <w:rsid w:val="00547753"/>
    <w:rsid w:val="005479F5"/>
    <w:rsid w:val="00547D90"/>
    <w:rsid w:val="00547E29"/>
    <w:rsid w:val="005508EF"/>
    <w:rsid w:val="00550E0F"/>
    <w:rsid w:val="005510E3"/>
    <w:rsid w:val="0055173F"/>
    <w:rsid w:val="00551943"/>
    <w:rsid w:val="00551AE8"/>
    <w:rsid w:val="00551D57"/>
    <w:rsid w:val="00551EDD"/>
    <w:rsid w:val="005524CE"/>
    <w:rsid w:val="0055268F"/>
    <w:rsid w:val="00552E11"/>
    <w:rsid w:val="00552E9D"/>
    <w:rsid w:val="00552FEB"/>
    <w:rsid w:val="00553120"/>
    <w:rsid w:val="0055326B"/>
    <w:rsid w:val="005532A3"/>
    <w:rsid w:val="0055334F"/>
    <w:rsid w:val="00553395"/>
    <w:rsid w:val="00553567"/>
    <w:rsid w:val="005538D8"/>
    <w:rsid w:val="005538EF"/>
    <w:rsid w:val="0055400F"/>
    <w:rsid w:val="0055455D"/>
    <w:rsid w:val="005548DD"/>
    <w:rsid w:val="00555500"/>
    <w:rsid w:val="00555A44"/>
    <w:rsid w:val="00555FC3"/>
    <w:rsid w:val="00556027"/>
    <w:rsid w:val="00556506"/>
    <w:rsid w:val="0055659A"/>
    <w:rsid w:val="005566CB"/>
    <w:rsid w:val="00556731"/>
    <w:rsid w:val="00557401"/>
    <w:rsid w:val="0055747C"/>
    <w:rsid w:val="0055747E"/>
    <w:rsid w:val="00557D41"/>
    <w:rsid w:val="00557F5B"/>
    <w:rsid w:val="00557FE2"/>
    <w:rsid w:val="00560729"/>
    <w:rsid w:val="00560A86"/>
    <w:rsid w:val="00561AD5"/>
    <w:rsid w:val="00561C64"/>
    <w:rsid w:val="0056218D"/>
    <w:rsid w:val="00562EAD"/>
    <w:rsid w:val="005630A2"/>
    <w:rsid w:val="00563222"/>
    <w:rsid w:val="00563AEB"/>
    <w:rsid w:val="00564775"/>
    <w:rsid w:val="00565C47"/>
    <w:rsid w:val="00566179"/>
    <w:rsid w:val="00566ADB"/>
    <w:rsid w:val="00566C28"/>
    <w:rsid w:val="00566EBC"/>
    <w:rsid w:val="0056721F"/>
    <w:rsid w:val="00567500"/>
    <w:rsid w:val="00567503"/>
    <w:rsid w:val="0056753D"/>
    <w:rsid w:val="00567811"/>
    <w:rsid w:val="00567CDA"/>
    <w:rsid w:val="00570163"/>
    <w:rsid w:val="005701B3"/>
    <w:rsid w:val="005702BD"/>
    <w:rsid w:val="005704B1"/>
    <w:rsid w:val="00570F08"/>
    <w:rsid w:val="00571234"/>
    <w:rsid w:val="00572749"/>
    <w:rsid w:val="00572937"/>
    <w:rsid w:val="0057398D"/>
    <w:rsid w:val="005739BD"/>
    <w:rsid w:val="005739F4"/>
    <w:rsid w:val="00573A7F"/>
    <w:rsid w:val="00573EE1"/>
    <w:rsid w:val="0057406C"/>
    <w:rsid w:val="0057489A"/>
    <w:rsid w:val="00575051"/>
    <w:rsid w:val="005758E3"/>
    <w:rsid w:val="00576D35"/>
    <w:rsid w:val="005777C8"/>
    <w:rsid w:val="00577AD5"/>
    <w:rsid w:val="00577F23"/>
    <w:rsid w:val="00580A72"/>
    <w:rsid w:val="00580DB7"/>
    <w:rsid w:val="0058107B"/>
    <w:rsid w:val="005813B0"/>
    <w:rsid w:val="0058149F"/>
    <w:rsid w:val="0058161B"/>
    <w:rsid w:val="005817A5"/>
    <w:rsid w:val="00581AC2"/>
    <w:rsid w:val="00581DF3"/>
    <w:rsid w:val="00582853"/>
    <w:rsid w:val="00582893"/>
    <w:rsid w:val="00582C76"/>
    <w:rsid w:val="00582EF4"/>
    <w:rsid w:val="005834E3"/>
    <w:rsid w:val="00583A87"/>
    <w:rsid w:val="0058403B"/>
    <w:rsid w:val="005842BA"/>
    <w:rsid w:val="005843E6"/>
    <w:rsid w:val="005845FA"/>
    <w:rsid w:val="00584AC0"/>
    <w:rsid w:val="0058569F"/>
    <w:rsid w:val="005857DF"/>
    <w:rsid w:val="00585C21"/>
    <w:rsid w:val="00586CDA"/>
    <w:rsid w:val="005874CD"/>
    <w:rsid w:val="00587597"/>
    <w:rsid w:val="00590D18"/>
    <w:rsid w:val="00590EDD"/>
    <w:rsid w:val="005910D2"/>
    <w:rsid w:val="005911D3"/>
    <w:rsid w:val="00591988"/>
    <w:rsid w:val="00591EE1"/>
    <w:rsid w:val="005921C8"/>
    <w:rsid w:val="005922A3"/>
    <w:rsid w:val="0059239E"/>
    <w:rsid w:val="005924DB"/>
    <w:rsid w:val="005929E8"/>
    <w:rsid w:val="00592A2E"/>
    <w:rsid w:val="00593155"/>
    <w:rsid w:val="0059353B"/>
    <w:rsid w:val="005938DB"/>
    <w:rsid w:val="005949FB"/>
    <w:rsid w:val="00594C1A"/>
    <w:rsid w:val="00595106"/>
    <w:rsid w:val="00595692"/>
    <w:rsid w:val="00595AC5"/>
    <w:rsid w:val="00595B7B"/>
    <w:rsid w:val="00596020"/>
    <w:rsid w:val="0059632F"/>
    <w:rsid w:val="005963CF"/>
    <w:rsid w:val="0059680D"/>
    <w:rsid w:val="005976A6"/>
    <w:rsid w:val="00597799"/>
    <w:rsid w:val="005977F9"/>
    <w:rsid w:val="00597BA8"/>
    <w:rsid w:val="00597C4C"/>
    <w:rsid w:val="00597F6C"/>
    <w:rsid w:val="005A0004"/>
    <w:rsid w:val="005A01E7"/>
    <w:rsid w:val="005A01F4"/>
    <w:rsid w:val="005A02C8"/>
    <w:rsid w:val="005A09E5"/>
    <w:rsid w:val="005A13A2"/>
    <w:rsid w:val="005A1473"/>
    <w:rsid w:val="005A1756"/>
    <w:rsid w:val="005A19FF"/>
    <w:rsid w:val="005A2074"/>
    <w:rsid w:val="005A24AE"/>
    <w:rsid w:val="005A25FA"/>
    <w:rsid w:val="005A2D7F"/>
    <w:rsid w:val="005A3394"/>
    <w:rsid w:val="005A403A"/>
    <w:rsid w:val="005A42AF"/>
    <w:rsid w:val="005A43BE"/>
    <w:rsid w:val="005A4624"/>
    <w:rsid w:val="005A5011"/>
    <w:rsid w:val="005A508D"/>
    <w:rsid w:val="005A593A"/>
    <w:rsid w:val="005A59A5"/>
    <w:rsid w:val="005A5E71"/>
    <w:rsid w:val="005A60BA"/>
    <w:rsid w:val="005A6709"/>
    <w:rsid w:val="005A68A4"/>
    <w:rsid w:val="005A68DA"/>
    <w:rsid w:val="005A69E0"/>
    <w:rsid w:val="005A720E"/>
    <w:rsid w:val="005A761B"/>
    <w:rsid w:val="005B096F"/>
    <w:rsid w:val="005B0987"/>
    <w:rsid w:val="005B0F31"/>
    <w:rsid w:val="005B0FB5"/>
    <w:rsid w:val="005B1191"/>
    <w:rsid w:val="005B1205"/>
    <w:rsid w:val="005B1D3B"/>
    <w:rsid w:val="005B1D3D"/>
    <w:rsid w:val="005B2088"/>
    <w:rsid w:val="005B2112"/>
    <w:rsid w:val="005B2421"/>
    <w:rsid w:val="005B2466"/>
    <w:rsid w:val="005B2BBB"/>
    <w:rsid w:val="005B2BF5"/>
    <w:rsid w:val="005B2FD3"/>
    <w:rsid w:val="005B33F8"/>
    <w:rsid w:val="005B402F"/>
    <w:rsid w:val="005B41B3"/>
    <w:rsid w:val="005B4289"/>
    <w:rsid w:val="005B58D4"/>
    <w:rsid w:val="005B5926"/>
    <w:rsid w:val="005B5A74"/>
    <w:rsid w:val="005B5D50"/>
    <w:rsid w:val="005B5DBE"/>
    <w:rsid w:val="005B66DA"/>
    <w:rsid w:val="005B6927"/>
    <w:rsid w:val="005B698D"/>
    <w:rsid w:val="005B6B33"/>
    <w:rsid w:val="005B6B72"/>
    <w:rsid w:val="005B6BFD"/>
    <w:rsid w:val="005B70B0"/>
    <w:rsid w:val="005B70B7"/>
    <w:rsid w:val="005B7331"/>
    <w:rsid w:val="005B75B6"/>
    <w:rsid w:val="005B7F6E"/>
    <w:rsid w:val="005C12AC"/>
    <w:rsid w:val="005C1C90"/>
    <w:rsid w:val="005C1CEF"/>
    <w:rsid w:val="005C2406"/>
    <w:rsid w:val="005C3964"/>
    <w:rsid w:val="005C3A25"/>
    <w:rsid w:val="005C4079"/>
    <w:rsid w:val="005C428A"/>
    <w:rsid w:val="005C4330"/>
    <w:rsid w:val="005C4787"/>
    <w:rsid w:val="005C5113"/>
    <w:rsid w:val="005C54B8"/>
    <w:rsid w:val="005C557C"/>
    <w:rsid w:val="005C56B7"/>
    <w:rsid w:val="005C5C30"/>
    <w:rsid w:val="005C5CDF"/>
    <w:rsid w:val="005C641B"/>
    <w:rsid w:val="005C677E"/>
    <w:rsid w:val="005C68EC"/>
    <w:rsid w:val="005C6BE8"/>
    <w:rsid w:val="005C6CD0"/>
    <w:rsid w:val="005C7072"/>
    <w:rsid w:val="005C777E"/>
    <w:rsid w:val="005C785E"/>
    <w:rsid w:val="005C78D5"/>
    <w:rsid w:val="005D00B6"/>
    <w:rsid w:val="005D101F"/>
    <w:rsid w:val="005D1247"/>
    <w:rsid w:val="005D16E0"/>
    <w:rsid w:val="005D1D60"/>
    <w:rsid w:val="005D205D"/>
    <w:rsid w:val="005D2F54"/>
    <w:rsid w:val="005D33D2"/>
    <w:rsid w:val="005D353D"/>
    <w:rsid w:val="005D3D1F"/>
    <w:rsid w:val="005D3FD5"/>
    <w:rsid w:val="005D4320"/>
    <w:rsid w:val="005D4767"/>
    <w:rsid w:val="005D54BB"/>
    <w:rsid w:val="005D593D"/>
    <w:rsid w:val="005D60A5"/>
    <w:rsid w:val="005D6291"/>
    <w:rsid w:val="005D63A5"/>
    <w:rsid w:val="005D69A4"/>
    <w:rsid w:val="005D79B5"/>
    <w:rsid w:val="005D7BDA"/>
    <w:rsid w:val="005D7FD7"/>
    <w:rsid w:val="005E083B"/>
    <w:rsid w:val="005E0A1F"/>
    <w:rsid w:val="005E0DEA"/>
    <w:rsid w:val="005E1667"/>
    <w:rsid w:val="005E17B3"/>
    <w:rsid w:val="005E1A66"/>
    <w:rsid w:val="005E1BB5"/>
    <w:rsid w:val="005E1BD6"/>
    <w:rsid w:val="005E1E84"/>
    <w:rsid w:val="005E20D0"/>
    <w:rsid w:val="005E2109"/>
    <w:rsid w:val="005E2A79"/>
    <w:rsid w:val="005E2D15"/>
    <w:rsid w:val="005E2EDB"/>
    <w:rsid w:val="005E2FB1"/>
    <w:rsid w:val="005E3850"/>
    <w:rsid w:val="005E3EB4"/>
    <w:rsid w:val="005E40BB"/>
    <w:rsid w:val="005E40C8"/>
    <w:rsid w:val="005E43DF"/>
    <w:rsid w:val="005E48DE"/>
    <w:rsid w:val="005E566F"/>
    <w:rsid w:val="005E64AF"/>
    <w:rsid w:val="005E6BE9"/>
    <w:rsid w:val="005E7078"/>
    <w:rsid w:val="005E71A5"/>
    <w:rsid w:val="005E777B"/>
    <w:rsid w:val="005E7980"/>
    <w:rsid w:val="005F03D5"/>
    <w:rsid w:val="005F0799"/>
    <w:rsid w:val="005F0860"/>
    <w:rsid w:val="005F130D"/>
    <w:rsid w:val="005F14A7"/>
    <w:rsid w:val="005F1609"/>
    <w:rsid w:val="005F1B20"/>
    <w:rsid w:val="005F1E18"/>
    <w:rsid w:val="005F27E0"/>
    <w:rsid w:val="005F29C0"/>
    <w:rsid w:val="005F2A66"/>
    <w:rsid w:val="005F2B32"/>
    <w:rsid w:val="005F2E73"/>
    <w:rsid w:val="005F3176"/>
    <w:rsid w:val="005F3549"/>
    <w:rsid w:val="005F3D8C"/>
    <w:rsid w:val="005F426F"/>
    <w:rsid w:val="005F54B4"/>
    <w:rsid w:val="005F5576"/>
    <w:rsid w:val="005F5A4E"/>
    <w:rsid w:val="005F5A6F"/>
    <w:rsid w:val="005F5C6D"/>
    <w:rsid w:val="005F5E8E"/>
    <w:rsid w:val="005F5EC0"/>
    <w:rsid w:val="005F5FC9"/>
    <w:rsid w:val="005F6012"/>
    <w:rsid w:val="005F60E6"/>
    <w:rsid w:val="005F61DD"/>
    <w:rsid w:val="005F6636"/>
    <w:rsid w:val="005F6CA4"/>
    <w:rsid w:val="005F6D65"/>
    <w:rsid w:val="005F6E0E"/>
    <w:rsid w:val="005F6F5A"/>
    <w:rsid w:val="005F764A"/>
    <w:rsid w:val="005F799C"/>
    <w:rsid w:val="005F7A3B"/>
    <w:rsid w:val="0060008E"/>
    <w:rsid w:val="006005C1"/>
    <w:rsid w:val="00600DD7"/>
    <w:rsid w:val="006011A0"/>
    <w:rsid w:val="00602A78"/>
    <w:rsid w:val="00602BCA"/>
    <w:rsid w:val="00602FC9"/>
    <w:rsid w:val="0060305F"/>
    <w:rsid w:val="006034C7"/>
    <w:rsid w:val="00603A54"/>
    <w:rsid w:val="00603B89"/>
    <w:rsid w:val="0060443E"/>
    <w:rsid w:val="00604617"/>
    <w:rsid w:val="00604664"/>
    <w:rsid w:val="00604730"/>
    <w:rsid w:val="006049CE"/>
    <w:rsid w:val="00604AE3"/>
    <w:rsid w:val="00604D1B"/>
    <w:rsid w:val="006052A3"/>
    <w:rsid w:val="006053D8"/>
    <w:rsid w:val="006057CF"/>
    <w:rsid w:val="006059A0"/>
    <w:rsid w:val="00605A1A"/>
    <w:rsid w:val="00606054"/>
    <w:rsid w:val="0060611E"/>
    <w:rsid w:val="006063BF"/>
    <w:rsid w:val="006063E0"/>
    <w:rsid w:val="006064F5"/>
    <w:rsid w:val="00606906"/>
    <w:rsid w:val="00606968"/>
    <w:rsid w:val="00606EE7"/>
    <w:rsid w:val="00606FAA"/>
    <w:rsid w:val="00607C10"/>
    <w:rsid w:val="00607F3E"/>
    <w:rsid w:val="00610643"/>
    <w:rsid w:val="00611BA6"/>
    <w:rsid w:val="00612D19"/>
    <w:rsid w:val="00613128"/>
    <w:rsid w:val="0061330F"/>
    <w:rsid w:val="00613641"/>
    <w:rsid w:val="006137ED"/>
    <w:rsid w:val="00614139"/>
    <w:rsid w:val="00614483"/>
    <w:rsid w:val="0061478C"/>
    <w:rsid w:val="0061516E"/>
    <w:rsid w:val="006151BC"/>
    <w:rsid w:val="00615204"/>
    <w:rsid w:val="006154F0"/>
    <w:rsid w:val="00615BB1"/>
    <w:rsid w:val="00615E77"/>
    <w:rsid w:val="006162A3"/>
    <w:rsid w:val="006162AB"/>
    <w:rsid w:val="006168DB"/>
    <w:rsid w:val="00616C7D"/>
    <w:rsid w:val="0061735F"/>
    <w:rsid w:val="00617844"/>
    <w:rsid w:val="006205E1"/>
    <w:rsid w:val="006208EE"/>
    <w:rsid w:val="0062091D"/>
    <w:rsid w:val="00620C44"/>
    <w:rsid w:val="0062100E"/>
    <w:rsid w:val="006211A5"/>
    <w:rsid w:val="006219BC"/>
    <w:rsid w:val="00621BE0"/>
    <w:rsid w:val="00621DD8"/>
    <w:rsid w:val="0062214B"/>
    <w:rsid w:val="00622789"/>
    <w:rsid w:val="00622B93"/>
    <w:rsid w:val="00622C5D"/>
    <w:rsid w:val="00622D35"/>
    <w:rsid w:val="006233C1"/>
    <w:rsid w:val="00624649"/>
    <w:rsid w:val="00624765"/>
    <w:rsid w:val="006249A7"/>
    <w:rsid w:val="006249D1"/>
    <w:rsid w:val="00624BB0"/>
    <w:rsid w:val="00624D4F"/>
    <w:rsid w:val="00624E8D"/>
    <w:rsid w:val="00625546"/>
    <w:rsid w:val="00625713"/>
    <w:rsid w:val="00625B22"/>
    <w:rsid w:val="00625C53"/>
    <w:rsid w:val="00626415"/>
    <w:rsid w:val="0062649E"/>
    <w:rsid w:val="00626AD4"/>
    <w:rsid w:val="00626F14"/>
    <w:rsid w:val="0062768B"/>
    <w:rsid w:val="00627A49"/>
    <w:rsid w:val="00627C65"/>
    <w:rsid w:val="00627D60"/>
    <w:rsid w:val="00627E30"/>
    <w:rsid w:val="006303FC"/>
    <w:rsid w:val="006309D1"/>
    <w:rsid w:val="00631716"/>
    <w:rsid w:val="0063179F"/>
    <w:rsid w:val="006317A4"/>
    <w:rsid w:val="00632259"/>
    <w:rsid w:val="00632765"/>
    <w:rsid w:val="00632D45"/>
    <w:rsid w:val="00632DD8"/>
    <w:rsid w:val="0063362A"/>
    <w:rsid w:val="006338DA"/>
    <w:rsid w:val="0063390C"/>
    <w:rsid w:val="00633A5E"/>
    <w:rsid w:val="00633F74"/>
    <w:rsid w:val="006340A7"/>
    <w:rsid w:val="00634434"/>
    <w:rsid w:val="006357EB"/>
    <w:rsid w:val="00635AEB"/>
    <w:rsid w:val="00635F38"/>
    <w:rsid w:val="00636EF8"/>
    <w:rsid w:val="00636FEF"/>
    <w:rsid w:val="0063715F"/>
    <w:rsid w:val="006377DB"/>
    <w:rsid w:val="0063790E"/>
    <w:rsid w:val="006405A2"/>
    <w:rsid w:val="00640699"/>
    <w:rsid w:val="0064096C"/>
    <w:rsid w:val="00640B4E"/>
    <w:rsid w:val="00640F1B"/>
    <w:rsid w:val="006417E0"/>
    <w:rsid w:val="006418D2"/>
    <w:rsid w:val="006419D4"/>
    <w:rsid w:val="00641E1E"/>
    <w:rsid w:val="00641EDA"/>
    <w:rsid w:val="00642453"/>
    <w:rsid w:val="006428B1"/>
    <w:rsid w:val="0064309E"/>
    <w:rsid w:val="00643B7C"/>
    <w:rsid w:val="00643C26"/>
    <w:rsid w:val="006443B2"/>
    <w:rsid w:val="00645210"/>
    <w:rsid w:val="00645933"/>
    <w:rsid w:val="006459B3"/>
    <w:rsid w:val="00645D57"/>
    <w:rsid w:val="00646970"/>
    <w:rsid w:val="006469C0"/>
    <w:rsid w:val="00646FDD"/>
    <w:rsid w:val="00647900"/>
    <w:rsid w:val="00647C38"/>
    <w:rsid w:val="00647D39"/>
    <w:rsid w:val="006500A2"/>
    <w:rsid w:val="006502EA"/>
    <w:rsid w:val="0065058D"/>
    <w:rsid w:val="00650C5E"/>
    <w:rsid w:val="00650C86"/>
    <w:rsid w:val="00651147"/>
    <w:rsid w:val="0065131D"/>
    <w:rsid w:val="006514BE"/>
    <w:rsid w:val="00651901"/>
    <w:rsid w:val="00651DC1"/>
    <w:rsid w:val="00651DFE"/>
    <w:rsid w:val="00651FD6"/>
    <w:rsid w:val="0065234B"/>
    <w:rsid w:val="0065252C"/>
    <w:rsid w:val="00652E80"/>
    <w:rsid w:val="00653AC4"/>
    <w:rsid w:val="00653C52"/>
    <w:rsid w:val="00653DDE"/>
    <w:rsid w:val="006540C1"/>
    <w:rsid w:val="00654642"/>
    <w:rsid w:val="00654AF4"/>
    <w:rsid w:val="00654B71"/>
    <w:rsid w:val="00654CB8"/>
    <w:rsid w:val="00654F5C"/>
    <w:rsid w:val="0065561D"/>
    <w:rsid w:val="00655F61"/>
    <w:rsid w:val="006562F3"/>
    <w:rsid w:val="006565D3"/>
    <w:rsid w:val="00656665"/>
    <w:rsid w:val="00656F87"/>
    <w:rsid w:val="00656FC3"/>
    <w:rsid w:val="00657067"/>
    <w:rsid w:val="00657186"/>
    <w:rsid w:val="00657653"/>
    <w:rsid w:val="00657693"/>
    <w:rsid w:val="00657861"/>
    <w:rsid w:val="00657B97"/>
    <w:rsid w:val="00660010"/>
    <w:rsid w:val="00660083"/>
    <w:rsid w:val="006600E2"/>
    <w:rsid w:val="0066041F"/>
    <w:rsid w:val="00660680"/>
    <w:rsid w:val="00660BFB"/>
    <w:rsid w:val="00660E23"/>
    <w:rsid w:val="00661981"/>
    <w:rsid w:val="00662924"/>
    <w:rsid w:val="00662A63"/>
    <w:rsid w:val="00662A70"/>
    <w:rsid w:val="00662AF9"/>
    <w:rsid w:val="00662C14"/>
    <w:rsid w:val="00662C97"/>
    <w:rsid w:val="00662CBB"/>
    <w:rsid w:val="00662F3E"/>
    <w:rsid w:val="0066398B"/>
    <w:rsid w:val="00663A59"/>
    <w:rsid w:val="00663F53"/>
    <w:rsid w:val="0066486A"/>
    <w:rsid w:val="0066527F"/>
    <w:rsid w:val="00665A56"/>
    <w:rsid w:val="00666754"/>
    <w:rsid w:val="00666AEA"/>
    <w:rsid w:val="00667FB2"/>
    <w:rsid w:val="00670D2E"/>
    <w:rsid w:val="00671FCD"/>
    <w:rsid w:val="0067269F"/>
    <w:rsid w:val="006726CB"/>
    <w:rsid w:val="0067272F"/>
    <w:rsid w:val="006735DD"/>
    <w:rsid w:val="00673880"/>
    <w:rsid w:val="00673BA4"/>
    <w:rsid w:val="00673C10"/>
    <w:rsid w:val="0067447D"/>
    <w:rsid w:val="00674989"/>
    <w:rsid w:val="00674B7E"/>
    <w:rsid w:val="00674C5D"/>
    <w:rsid w:val="00674ED8"/>
    <w:rsid w:val="00674F64"/>
    <w:rsid w:val="00675347"/>
    <w:rsid w:val="00675597"/>
    <w:rsid w:val="00675793"/>
    <w:rsid w:val="00675835"/>
    <w:rsid w:val="00675C5E"/>
    <w:rsid w:val="00675DC2"/>
    <w:rsid w:val="0067636E"/>
    <w:rsid w:val="00676F0B"/>
    <w:rsid w:val="006773D1"/>
    <w:rsid w:val="00677E19"/>
    <w:rsid w:val="006801BB"/>
    <w:rsid w:val="00680212"/>
    <w:rsid w:val="006802E3"/>
    <w:rsid w:val="00680825"/>
    <w:rsid w:val="00680CC6"/>
    <w:rsid w:val="006817C7"/>
    <w:rsid w:val="00681955"/>
    <w:rsid w:val="006819A3"/>
    <w:rsid w:val="0068241B"/>
    <w:rsid w:val="00683493"/>
    <w:rsid w:val="00683889"/>
    <w:rsid w:val="006842A2"/>
    <w:rsid w:val="006848BB"/>
    <w:rsid w:val="00685075"/>
    <w:rsid w:val="00685179"/>
    <w:rsid w:val="006851A6"/>
    <w:rsid w:val="00685339"/>
    <w:rsid w:val="00685362"/>
    <w:rsid w:val="00685597"/>
    <w:rsid w:val="006862BB"/>
    <w:rsid w:val="00686338"/>
    <w:rsid w:val="0068731C"/>
    <w:rsid w:val="00687884"/>
    <w:rsid w:val="006904AD"/>
    <w:rsid w:val="006905F1"/>
    <w:rsid w:val="006912E6"/>
    <w:rsid w:val="006912F3"/>
    <w:rsid w:val="006914E9"/>
    <w:rsid w:val="00691815"/>
    <w:rsid w:val="00691E51"/>
    <w:rsid w:val="00691FCB"/>
    <w:rsid w:val="006920CA"/>
    <w:rsid w:val="00692388"/>
    <w:rsid w:val="006924A3"/>
    <w:rsid w:val="006925A0"/>
    <w:rsid w:val="006925AD"/>
    <w:rsid w:val="00692716"/>
    <w:rsid w:val="006927F0"/>
    <w:rsid w:val="00692C4E"/>
    <w:rsid w:val="006936DB"/>
    <w:rsid w:val="00693801"/>
    <w:rsid w:val="006944B8"/>
    <w:rsid w:val="00694706"/>
    <w:rsid w:val="00694DF8"/>
    <w:rsid w:val="00694F7B"/>
    <w:rsid w:val="006952C4"/>
    <w:rsid w:val="00695522"/>
    <w:rsid w:val="006956E0"/>
    <w:rsid w:val="00695D95"/>
    <w:rsid w:val="00695DDA"/>
    <w:rsid w:val="00696136"/>
    <w:rsid w:val="00696243"/>
    <w:rsid w:val="006962E6"/>
    <w:rsid w:val="0069657D"/>
    <w:rsid w:val="00696A8E"/>
    <w:rsid w:val="0069703E"/>
    <w:rsid w:val="00697144"/>
    <w:rsid w:val="00697208"/>
    <w:rsid w:val="006977F6"/>
    <w:rsid w:val="00697A32"/>
    <w:rsid w:val="00697ADB"/>
    <w:rsid w:val="006A06E3"/>
    <w:rsid w:val="006A0B03"/>
    <w:rsid w:val="006A0E9E"/>
    <w:rsid w:val="006A0ECA"/>
    <w:rsid w:val="006A11F4"/>
    <w:rsid w:val="006A14A8"/>
    <w:rsid w:val="006A182D"/>
    <w:rsid w:val="006A1ADF"/>
    <w:rsid w:val="006A1F39"/>
    <w:rsid w:val="006A23AC"/>
    <w:rsid w:val="006A2835"/>
    <w:rsid w:val="006A2F38"/>
    <w:rsid w:val="006A3A19"/>
    <w:rsid w:val="006A3B9E"/>
    <w:rsid w:val="006A3D6D"/>
    <w:rsid w:val="006A3D73"/>
    <w:rsid w:val="006A3DC1"/>
    <w:rsid w:val="006A43EA"/>
    <w:rsid w:val="006A471A"/>
    <w:rsid w:val="006A4AA4"/>
    <w:rsid w:val="006A5290"/>
    <w:rsid w:val="006A6B6B"/>
    <w:rsid w:val="006A777A"/>
    <w:rsid w:val="006A7AE9"/>
    <w:rsid w:val="006A7C9D"/>
    <w:rsid w:val="006B0264"/>
    <w:rsid w:val="006B0537"/>
    <w:rsid w:val="006B1CC8"/>
    <w:rsid w:val="006B1E59"/>
    <w:rsid w:val="006B2995"/>
    <w:rsid w:val="006B2CEC"/>
    <w:rsid w:val="006B2F13"/>
    <w:rsid w:val="006B3EFD"/>
    <w:rsid w:val="006B40C8"/>
    <w:rsid w:val="006B45BE"/>
    <w:rsid w:val="006B45BF"/>
    <w:rsid w:val="006B472A"/>
    <w:rsid w:val="006B4BDB"/>
    <w:rsid w:val="006B549F"/>
    <w:rsid w:val="006B5750"/>
    <w:rsid w:val="006B5B52"/>
    <w:rsid w:val="006B65CB"/>
    <w:rsid w:val="006B6BFC"/>
    <w:rsid w:val="006B765D"/>
    <w:rsid w:val="006B7CE9"/>
    <w:rsid w:val="006C00FB"/>
    <w:rsid w:val="006C017B"/>
    <w:rsid w:val="006C0867"/>
    <w:rsid w:val="006C0961"/>
    <w:rsid w:val="006C0A3D"/>
    <w:rsid w:val="006C12F3"/>
    <w:rsid w:val="006C215A"/>
    <w:rsid w:val="006C24C7"/>
    <w:rsid w:val="006C273C"/>
    <w:rsid w:val="006C2869"/>
    <w:rsid w:val="006C374A"/>
    <w:rsid w:val="006C3A0F"/>
    <w:rsid w:val="006C3CC1"/>
    <w:rsid w:val="006C479E"/>
    <w:rsid w:val="006C4F01"/>
    <w:rsid w:val="006C57FE"/>
    <w:rsid w:val="006C5AB5"/>
    <w:rsid w:val="006C62D9"/>
    <w:rsid w:val="006C69F6"/>
    <w:rsid w:val="006C6C6C"/>
    <w:rsid w:val="006C6E36"/>
    <w:rsid w:val="006C705E"/>
    <w:rsid w:val="006C7216"/>
    <w:rsid w:val="006C7217"/>
    <w:rsid w:val="006C7266"/>
    <w:rsid w:val="006C7371"/>
    <w:rsid w:val="006D045E"/>
    <w:rsid w:val="006D0B6D"/>
    <w:rsid w:val="006D0CBB"/>
    <w:rsid w:val="006D1549"/>
    <w:rsid w:val="006D1A5F"/>
    <w:rsid w:val="006D2779"/>
    <w:rsid w:val="006D286E"/>
    <w:rsid w:val="006D3079"/>
    <w:rsid w:val="006D37E3"/>
    <w:rsid w:val="006D381C"/>
    <w:rsid w:val="006D39EA"/>
    <w:rsid w:val="006D3CE0"/>
    <w:rsid w:val="006D415D"/>
    <w:rsid w:val="006D4801"/>
    <w:rsid w:val="006D487E"/>
    <w:rsid w:val="006D4A33"/>
    <w:rsid w:val="006D53DF"/>
    <w:rsid w:val="006D54F7"/>
    <w:rsid w:val="006D5604"/>
    <w:rsid w:val="006D59D0"/>
    <w:rsid w:val="006D5CDA"/>
    <w:rsid w:val="006D67EA"/>
    <w:rsid w:val="006D6B8E"/>
    <w:rsid w:val="006D734B"/>
    <w:rsid w:val="006D7902"/>
    <w:rsid w:val="006D7C9D"/>
    <w:rsid w:val="006D7D85"/>
    <w:rsid w:val="006E045E"/>
    <w:rsid w:val="006E0644"/>
    <w:rsid w:val="006E09E9"/>
    <w:rsid w:val="006E0B21"/>
    <w:rsid w:val="006E1174"/>
    <w:rsid w:val="006E171B"/>
    <w:rsid w:val="006E1737"/>
    <w:rsid w:val="006E2A41"/>
    <w:rsid w:val="006E2C6D"/>
    <w:rsid w:val="006E32B2"/>
    <w:rsid w:val="006E33D2"/>
    <w:rsid w:val="006E374B"/>
    <w:rsid w:val="006E3869"/>
    <w:rsid w:val="006E3B50"/>
    <w:rsid w:val="006E43A9"/>
    <w:rsid w:val="006E44D3"/>
    <w:rsid w:val="006E4705"/>
    <w:rsid w:val="006E470D"/>
    <w:rsid w:val="006E49DF"/>
    <w:rsid w:val="006E4D26"/>
    <w:rsid w:val="006E4E81"/>
    <w:rsid w:val="006E58CF"/>
    <w:rsid w:val="006E6241"/>
    <w:rsid w:val="006E628B"/>
    <w:rsid w:val="006E63C8"/>
    <w:rsid w:val="006E645F"/>
    <w:rsid w:val="006E6481"/>
    <w:rsid w:val="006E6F3D"/>
    <w:rsid w:val="006E7316"/>
    <w:rsid w:val="006F0CD5"/>
    <w:rsid w:val="006F117D"/>
    <w:rsid w:val="006F1195"/>
    <w:rsid w:val="006F13F3"/>
    <w:rsid w:val="006F18A0"/>
    <w:rsid w:val="006F1DBD"/>
    <w:rsid w:val="006F1E00"/>
    <w:rsid w:val="006F1EA1"/>
    <w:rsid w:val="006F2508"/>
    <w:rsid w:val="006F29F2"/>
    <w:rsid w:val="006F301F"/>
    <w:rsid w:val="006F3CC1"/>
    <w:rsid w:val="006F5847"/>
    <w:rsid w:val="006F5B1A"/>
    <w:rsid w:val="006F5F76"/>
    <w:rsid w:val="006F61BE"/>
    <w:rsid w:val="006F6790"/>
    <w:rsid w:val="006F7C9A"/>
    <w:rsid w:val="00700208"/>
    <w:rsid w:val="00700821"/>
    <w:rsid w:val="00700B27"/>
    <w:rsid w:val="007010A7"/>
    <w:rsid w:val="007011D1"/>
    <w:rsid w:val="007011D8"/>
    <w:rsid w:val="0070155C"/>
    <w:rsid w:val="007015F5"/>
    <w:rsid w:val="00701B12"/>
    <w:rsid w:val="00701EC7"/>
    <w:rsid w:val="00702411"/>
    <w:rsid w:val="0070247A"/>
    <w:rsid w:val="00702723"/>
    <w:rsid w:val="0070303A"/>
    <w:rsid w:val="0070328F"/>
    <w:rsid w:val="007035B0"/>
    <w:rsid w:val="0070369A"/>
    <w:rsid w:val="007042D1"/>
    <w:rsid w:val="00704346"/>
    <w:rsid w:val="00704464"/>
    <w:rsid w:val="00704527"/>
    <w:rsid w:val="00704E3C"/>
    <w:rsid w:val="0070522E"/>
    <w:rsid w:val="00705BD7"/>
    <w:rsid w:val="007060FA"/>
    <w:rsid w:val="00706143"/>
    <w:rsid w:val="007061EC"/>
    <w:rsid w:val="00706461"/>
    <w:rsid w:val="007067E0"/>
    <w:rsid w:val="007068C5"/>
    <w:rsid w:val="00706995"/>
    <w:rsid w:val="007069FA"/>
    <w:rsid w:val="00706C3A"/>
    <w:rsid w:val="00706E1E"/>
    <w:rsid w:val="007071D4"/>
    <w:rsid w:val="00707C37"/>
    <w:rsid w:val="00707FC0"/>
    <w:rsid w:val="00710164"/>
    <w:rsid w:val="00710167"/>
    <w:rsid w:val="00710595"/>
    <w:rsid w:val="00710870"/>
    <w:rsid w:val="00710897"/>
    <w:rsid w:val="007110B3"/>
    <w:rsid w:val="00711206"/>
    <w:rsid w:val="00711FB3"/>
    <w:rsid w:val="00712020"/>
    <w:rsid w:val="00712026"/>
    <w:rsid w:val="007121C0"/>
    <w:rsid w:val="00712638"/>
    <w:rsid w:val="0071276A"/>
    <w:rsid w:val="00712B22"/>
    <w:rsid w:val="00712D93"/>
    <w:rsid w:val="007131FF"/>
    <w:rsid w:val="007139BF"/>
    <w:rsid w:val="00713C11"/>
    <w:rsid w:val="007148E1"/>
    <w:rsid w:val="00714A38"/>
    <w:rsid w:val="00714B10"/>
    <w:rsid w:val="00714B64"/>
    <w:rsid w:val="00714BA7"/>
    <w:rsid w:val="00714F03"/>
    <w:rsid w:val="00714FA6"/>
    <w:rsid w:val="00715185"/>
    <w:rsid w:val="00715809"/>
    <w:rsid w:val="00715C06"/>
    <w:rsid w:val="007165EA"/>
    <w:rsid w:val="00716D4E"/>
    <w:rsid w:val="0071717E"/>
    <w:rsid w:val="00720A2C"/>
    <w:rsid w:val="00720B85"/>
    <w:rsid w:val="00720C22"/>
    <w:rsid w:val="00720C6E"/>
    <w:rsid w:val="00720E58"/>
    <w:rsid w:val="00720E79"/>
    <w:rsid w:val="0072136A"/>
    <w:rsid w:val="00721489"/>
    <w:rsid w:val="00722252"/>
    <w:rsid w:val="0072298D"/>
    <w:rsid w:val="00722BE6"/>
    <w:rsid w:val="00722CD9"/>
    <w:rsid w:val="00722EF9"/>
    <w:rsid w:val="007232F1"/>
    <w:rsid w:val="00723D6C"/>
    <w:rsid w:val="00723F60"/>
    <w:rsid w:val="007240EB"/>
    <w:rsid w:val="0072454A"/>
    <w:rsid w:val="007245B1"/>
    <w:rsid w:val="00724952"/>
    <w:rsid w:val="00724CD4"/>
    <w:rsid w:val="00724DD2"/>
    <w:rsid w:val="00725D1A"/>
    <w:rsid w:val="00725DF3"/>
    <w:rsid w:val="007267B6"/>
    <w:rsid w:val="00726B7D"/>
    <w:rsid w:val="00727285"/>
    <w:rsid w:val="00727380"/>
    <w:rsid w:val="00727D91"/>
    <w:rsid w:val="00727E44"/>
    <w:rsid w:val="00730152"/>
    <w:rsid w:val="007301B7"/>
    <w:rsid w:val="007306FB"/>
    <w:rsid w:val="0073071A"/>
    <w:rsid w:val="007307F0"/>
    <w:rsid w:val="00730DD2"/>
    <w:rsid w:val="007310E4"/>
    <w:rsid w:val="00731129"/>
    <w:rsid w:val="0073244E"/>
    <w:rsid w:val="00732732"/>
    <w:rsid w:val="00732ADD"/>
    <w:rsid w:val="0073375F"/>
    <w:rsid w:val="0073397C"/>
    <w:rsid w:val="00734051"/>
    <w:rsid w:val="00734519"/>
    <w:rsid w:val="0073458B"/>
    <w:rsid w:val="00734B84"/>
    <w:rsid w:val="00735EBF"/>
    <w:rsid w:val="007365ED"/>
    <w:rsid w:val="00736927"/>
    <w:rsid w:val="00736AA9"/>
    <w:rsid w:val="0073741D"/>
    <w:rsid w:val="00737770"/>
    <w:rsid w:val="00737A4B"/>
    <w:rsid w:val="00737ABC"/>
    <w:rsid w:val="00740008"/>
    <w:rsid w:val="007405BD"/>
    <w:rsid w:val="00740BFD"/>
    <w:rsid w:val="00741355"/>
    <w:rsid w:val="007415F8"/>
    <w:rsid w:val="00741C56"/>
    <w:rsid w:val="00741C83"/>
    <w:rsid w:val="00741E9A"/>
    <w:rsid w:val="007420F9"/>
    <w:rsid w:val="007423BF"/>
    <w:rsid w:val="00742891"/>
    <w:rsid w:val="00742C3D"/>
    <w:rsid w:val="00742DAD"/>
    <w:rsid w:val="00742ED0"/>
    <w:rsid w:val="00743455"/>
    <w:rsid w:val="007435B8"/>
    <w:rsid w:val="007444AE"/>
    <w:rsid w:val="007447C6"/>
    <w:rsid w:val="007447D6"/>
    <w:rsid w:val="007449FE"/>
    <w:rsid w:val="00744A9D"/>
    <w:rsid w:val="00744CEC"/>
    <w:rsid w:val="0074508C"/>
    <w:rsid w:val="007453A3"/>
    <w:rsid w:val="00745A05"/>
    <w:rsid w:val="00745F8E"/>
    <w:rsid w:val="00746173"/>
    <w:rsid w:val="00746564"/>
    <w:rsid w:val="00746721"/>
    <w:rsid w:val="007468BD"/>
    <w:rsid w:val="007473CF"/>
    <w:rsid w:val="00747741"/>
    <w:rsid w:val="00747802"/>
    <w:rsid w:val="00747F4F"/>
    <w:rsid w:val="007505F4"/>
    <w:rsid w:val="00750979"/>
    <w:rsid w:val="00751313"/>
    <w:rsid w:val="007514AA"/>
    <w:rsid w:val="00751760"/>
    <w:rsid w:val="007518C9"/>
    <w:rsid w:val="007518EB"/>
    <w:rsid w:val="0075218A"/>
    <w:rsid w:val="00752238"/>
    <w:rsid w:val="007524F2"/>
    <w:rsid w:val="00752848"/>
    <w:rsid w:val="00752DE0"/>
    <w:rsid w:val="00752E14"/>
    <w:rsid w:val="00753B04"/>
    <w:rsid w:val="00753C7F"/>
    <w:rsid w:val="00753DA5"/>
    <w:rsid w:val="00753E06"/>
    <w:rsid w:val="00754E53"/>
    <w:rsid w:val="0075502B"/>
    <w:rsid w:val="00755633"/>
    <w:rsid w:val="00755B6F"/>
    <w:rsid w:val="007565B9"/>
    <w:rsid w:val="007568CC"/>
    <w:rsid w:val="00756A17"/>
    <w:rsid w:val="00756B41"/>
    <w:rsid w:val="007576EC"/>
    <w:rsid w:val="00757957"/>
    <w:rsid w:val="00760978"/>
    <w:rsid w:val="00760D42"/>
    <w:rsid w:val="007619BD"/>
    <w:rsid w:val="00762116"/>
    <w:rsid w:val="007623B0"/>
    <w:rsid w:val="00762A7D"/>
    <w:rsid w:val="00762D6B"/>
    <w:rsid w:val="00763215"/>
    <w:rsid w:val="007633AE"/>
    <w:rsid w:val="007633B7"/>
    <w:rsid w:val="00763B9E"/>
    <w:rsid w:val="00763CF0"/>
    <w:rsid w:val="00763F00"/>
    <w:rsid w:val="00764026"/>
    <w:rsid w:val="00764588"/>
    <w:rsid w:val="007648FE"/>
    <w:rsid w:val="00764B39"/>
    <w:rsid w:val="007664EA"/>
    <w:rsid w:val="007667C4"/>
    <w:rsid w:val="007670FC"/>
    <w:rsid w:val="00767282"/>
    <w:rsid w:val="007678B9"/>
    <w:rsid w:val="00767DDD"/>
    <w:rsid w:val="00767F7F"/>
    <w:rsid w:val="007703EA"/>
    <w:rsid w:val="0077097D"/>
    <w:rsid w:val="00770AF4"/>
    <w:rsid w:val="00770C49"/>
    <w:rsid w:val="0077130E"/>
    <w:rsid w:val="007713D7"/>
    <w:rsid w:val="0077192A"/>
    <w:rsid w:val="00771BF6"/>
    <w:rsid w:val="00771D92"/>
    <w:rsid w:val="0077249A"/>
    <w:rsid w:val="0077262C"/>
    <w:rsid w:val="00772A29"/>
    <w:rsid w:val="00773B3E"/>
    <w:rsid w:val="00773E65"/>
    <w:rsid w:val="00773FF2"/>
    <w:rsid w:val="00774168"/>
    <w:rsid w:val="007741B0"/>
    <w:rsid w:val="007745D3"/>
    <w:rsid w:val="007746C1"/>
    <w:rsid w:val="007746DC"/>
    <w:rsid w:val="0077558B"/>
    <w:rsid w:val="007756E4"/>
    <w:rsid w:val="00776172"/>
    <w:rsid w:val="007761BB"/>
    <w:rsid w:val="00776286"/>
    <w:rsid w:val="00776874"/>
    <w:rsid w:val="0077710E"/>
    <w:rsid w:val="0077726C"/>
    <w:rsid w:val="007773F0"/>
    <w:rsid w:val="00777AAB"/>
    <w:rsid w:val="0078065E"/>
    <w:rsid w:val="007808AA"/>
    <w:rsid w:val="00780A20"/>
    <w:rsid w:val="00780E58"/>
    <w:rsid w:val="00780FF9"/>
    <w:rsid w:val="007814AE"/>
    <w:rsid w:val="0078178D"/>
    <w:rsid w:val="00781B84"/>
    <w:rsid w:val="0078285C"/>
    <w:rsid w:val="00782B30"/>
    <w:rsid w:val="00783A36"/>
    <w:rsid w:val="007845D4"/>
    <w:rsid w:val="0078498A"/>
    <w:rsid w:val="00784DF0"/>
    <w:rsid w:val="00785A38"/>
    <w:rsid w:val="00785C2A"/>
    <w:rsid w:val="0078668F"/>
    <w:rsid w:val="00786D6D"/>
    <w:rsid w:val="0078700E"/>
    <w:rsid w:val="00787339"/>
    <w:rsid w:val="007874A3"/>
    <w:rsid w:val="00787B59"/>
    <w:rsid w:val="007900A9"/>
    <w:rsid w:val="00790C38"/>
    <w:rsid w:val="00790D80"/>
    <w:rsid w:val="00790DAB"/>
    <w:rsid w:val="00790F9C"/>
    <w:rsid w:val="007910C3"/>
    <w:rsid w:val="00791110"/>
    <w:rsid w:val="00791250"/>
    <w:rsid w:val="0079150D"/>
    <w:rsid w:val="007915DE"/>
    <w:rsid w:val="00791B60"/>
    <w:rsid w:val="00791DE1"/>
    <w:rsid w:val="00793181"/>
    <w:rsid w:val="007936BD"/>
    <w:rsid w:val="007936C1"/>
    <w:rsid w:val="00793D45"/>
    <w:rsid w:val="00794692"/>
    <w:rsid w:val="00794D40"/>
    <w:rsid w:val="00795E20"/>
    <w:rsid w:val="00796787"/>
    <w:rsid w:val="00796B81"/>
    <w:rsid w:val="00796F5A"/>
    <w:rsid w:val="007975BD"/>
    <w:rsid w:val="00797B7E"/>
    <w:rsid w:val="007A05A2"/>
    <w:rsid w:val="007A0CD1"/>
    <w:rsid w:val="007A10D6"/>
    <w:rsid w:val="007A12EE"/>
    <w:rsid w:val="007A138C"/>
    <w:rsid w:val="007A17D1"/>
    <w:rsid w:val="007A1834"/>
    <w:rsid w:val="007A1856"/>
    <w:rsid w:val="007A19AB"/>
    <w:rsid w:val="007A1E52"/>
    <w:rsid w:val="007A23EC"/>
    <w:rsid w:val="007A29D8"/>
    <w:rsid w:val="007A2A4D"/>
    <w:rsid w:val="007A2C00"/>
    <w:rsid w:val="007A31B2"/>
    <w:rsid w:val="007A328F"/>
    <w:rsid w:val="007A3629"/>
    <w:rsid w:val="007A385C"/>
    <w:rsid w:val="007A38F5"/>
    <w:rsid w:val="007A3D24"/>
    <w:rsid w:val="007A4860"/>
    <w:rsid w:val="007A4A92"/>
    <w:rsid w:val="007A4CAF"/>
    <w:rsid w:val="007A4F7B"/>
    <w:rsid w:val="007A5316"/>
    <w:rsid w:val="007A5450"/>
    <w:rsid w:val="007A61E4"/>
    <w:rsid w:val="007A704A"/>
    <w:rsid w:val="007A7242"/>
    <w:rsid w:val="007A7728"/>
    <w:rsid w:val="007B0423"/>
    <w:rsid w:val="007B12B0"/>
    <w:rsid w:val="007B1392"/>
    <w:rsid w:val="007B1785"/>
    <w:rsid w:val="007B215A"/>
    <w:rsid w:val="007B22DC"/>
    <w:rsid w:val="007B24F0"/>
    <w:rsid w:val="007B34DC"/>
    <w:rsid w:val="007B3A98"/>
    <w:rsid w:val="007B4008"/>
    <w:rsid w:val="007B45D0"/>
    <w:rsid w:val="007B49C4"/>
    <w:rsid w:val="007B4D74"/>
    <w:rsid w:val="007B4DC6"/>
    <w:rsid w:val="007B5024"/>
    <w:rsid w:val="007B5132"/>
    <w:rsid w:val="007B55E9"/>
    <w:rsid w:val="007B5966"/>
    <w:rsid w:val="007B6173"/>
    <w:rsid w:val="007B6478"/>
    <w:rsid w:val="007B69E8"/>
    <w:rsid w:val="007B6C17"/>
    <w:rsid w:val="007B743C"/>
    <w:rsid w:val="007C0165"/>
    <w:rsid w:val="007C0204"/>
    <w:rsid w:val="007C048B"/>
    <w:rsid w:val="007C0508"/>
    <w:rsid w:val="007C057E"/>
    <w:rsid w:val="007C1541"/>
    <w:rsid w:val="007C18CF"/>
    <w:rsid w:val="007C19DF"/>
    <w:rsid w:val="007C25F8"/>
    <w:rsid w:val="007C308A"/>
    <w:rsid w:val="007C3DB2"/>
    <w:rsid w:val="007C44DC"/>
    <w:rsid w:val="007C4545"/>
    <w:rsid w:val="007C45F7"/>
    <w:rsid w:val="007C46D1"/>
    <w:rsid w:val="007C47C2"/>
    <w:rsid w:val="007C4822"/>
    <w:rsid w:val="007C4DEF"/>
    <w:rsid w:val="007C5468"/>
    <w:rsid w:val="007C55F1"/>
    <w:rsid w:val="007C58AB"/>
    <w:rsid w:val="007C6148"/>
    <w:rsid w:val="007C6900"/>
    <w:rsid w:val="007C69A9"/>
    <w:rsid w:val="007C6C60"/>
    <w:rsid w:val="007C6D07"/>
    <w:rsid w:val="007C745C"/>
    <w:rsid w:val="007C7550"/>
    <w:rsid w:val="007C7578"/>
    <w:rsid w:val="007C77D4"/>
    <w:rsid w:val="007C7E7C"/>
    <w:rsid w:val="007C7F4C"/>
    <w:rsid w:val="007D065E"/>
    <w:rsid w:val="007D0A94"/>
    <w:rsid w:val="007D0B22"/>
    <w:rsid w:val="007D0BD6"/>
    <w:rsid w:val="007D0D26"/>
    <w:rsid w:val="007D0D5B"/>
    <w:rsid w:val="007D143D"/>
    <w:rsid w:val="007D18CD"/>
    <w:rsid w:val="007D1F9E"/>
    <w:rsid w:val="007D25B9"/>
    <w:rsid w:val="007D2BE8"/>
    <w:rsid w:val="007D2CC6"/>
    <w:rsid w:val="007D3066"/>
    <w:rsid w:val="007D421B"/>
    <w:rsid w:val="007D4490"/>
    <w:rsid w:val="007D4579"/>
    <w:rsid w:val="007D51EB"/>
    <w:rsid w:val="007D5539"/>
    <w:rsid w:val="007D58BB"/>
    <w:rsid w:val="007D5DDD"/>
    <w:rsid w:val="007D6835"/>
    <w:rsid w:val="007D6A93"/>
    <w:rsid w:val="007D73AD"/>
    <w:rsid w:val="007D7CDE"/>
    <w:rsid w:val="007D7DC7"/>
    <w:rsid w:val="007E01AF"/>
    <w:rsid w:val="007E0772"/>
    <w:rsid w:val="007E0D31"/>
    <w:rsid w:val="007E0E04"/>
    <w:rsid w:val="007E0EF9"/>
    <w:rsid w:val="007E17A0"/>
    <w:rsid w:val="007E21D9"/>
    <w:rsid w:val="007E284A"/>
    <w:rsid w:val="007E2BDD"/>
    <w:rsid w:val="007E36F0"/>
    <w:rsid w:val="007E45CA"/>
    <w:rsid w:val="007E47C6"/>
    <w:rsid w:val="007E48C0"/>
    <w:rsid w:val="007E490A"/>
    <w:rsid w:val="007E4E96"/>
    <w:rsid w:val="007E5597"/>
    <w:rsid w:val="007E57D6"/>
    <w:rsid w:val="007E5885"/>
    <w:rsid w:val="007E61B7"/>
    <w:rsid w:val="007E623A"/>
    <w:rsid w:val="007E64FF"/>
    <w:rsid w:val="007E675A"/>
    <w:rsid w:val="007E6B4B"/>
    <w:rsid w:val="007E6F62"/>
    <w:rsid w:val="007E6FEA"/>
    <w:rsid w:val="007E715D"/>
    <w:rsid w:val="007E761F"/>
    <w:rsid w:val="007E7978"/>
    <w:rsid w:val="007E7C7B"/>
    <w:rsid w:val="007E7E0F"/>
    <w:rsid w:val="007E7F8F"/>
    <w:rsid w:val="007F015E"/>
    <w:rsid w:val="007F0783"/>
    <w:rsid w:val="007F1160"/>
    <w:rsid w:val="007F14F2"/>
    <w:rsid w:val="007F1CE7"/>
    <w:rsid w:val="007F1D02"/>
    <w:rsid w:val="007F21B0"/>
    <w:rsid w:val="007F2DE9"/>
    <w:rsid w:val="007F341B"/>
    <w:rsid w:val="007F34AC"/>
    <w:rsid w:val="007F3682"/>
    <w:rsid w:val="007F3AA2"/>
    <w:rsid w:val="007F3B45"/>
    <w:rsid w:val="007F3E3E"/>
    <w:rsid w:val="007F4593"/>
    <w:rsid w:val="007F4A9E"/>
    <w:rsid w:val="007F4ABC"/>
    <w:rsid w:val="007F4D45"/>
    <w:rsid w:val="007F4DF9"/>
    <w:rsid w:val="007F5071"/>
    <w:rsid w:val="007F510F"/>
    <w:rsid w:val="007F545B"/>
    <w:rsid w:val="007F57D6"/>
    <w:rsid w:val="007F5981"/>
    <w:rsid w:val="007F59B2"/>
    <w:rsid w:val="007F5F42"/>
    <w:rsid w:val="007F6607"/>
    <w:rsid w:val="007F7246"/>
    <w:rsid w:val="007F749A"/>
    <w:rsid w:val="007F7865"/>
    <w:rsid w:val="007F7E99"/>
    <w:rsid w:val="007F7FB3"/>
    <w:rsid w:val="0080026A"/>
    <w:rsid w:val="00800340"/>
    <w:rsid w:val="00800953"/>
    <w:rsid w:val="00800A5E"/>
    <w:rsid w:val="00800ADA"/>
    <w:rsid w:val="00801255"/>
    <w:rsid w:val="0080141F"/>
    <w:rsid w:val="00801512"/>
    <w:rsid w:val="0080197B"/>
    <w:rsid w:val="00801C1F"/>
    <w:rsid w:val="00801E3A"/>
    <w:rsid w:val="008021D3"/>
    <w:rsid w:val="008021EA"/>
    <w:rsid w:val="00802849"/>
    <w:rsid w:val="00802971"/>
    <w:rsid w:val="0080329A"/>
    <w:rsid w:val="008038E3"/>
    <w:rsid w:val="008038F6"/>
    <w:rsid w:val="00803DFC"/>
    <w:rsid w:val="00804024"/>
    <w:rsid w:val="00804558"/>
    <w:rsid w:val="008047AE"/>
    <w:rsid w:val="00804B21"/>
    <w:rsid w:val="00804E96"/>
    <w:rsid w:val="00805483"/>
    <w:rsid w:val="0080585D"/>
    <w:rsid w:val="00805EB8"/>
    <w:rsid w:val="00806273"/>
    <w:rsid w:val="0080640D"/>
    <w:rsid w:val="0080661F"/>
    <w:rsid w:val="00806A77"/>
    <w:rsid w:val="00806EFD"/>
    <w:rsid w:val="00807074"/>
    <w:rsid w:val="00807E43"/>
    <w:rsid w:val="00807F69"/>
    <w:rsid w:val="00810368"/>
    <w:rsid w:val="008108B5"/>
    <w:rsid w:val="00810BE7"/>
    <w:rsid w:val="00811336"/>
    <w:rsid w:val="0081165D"/>
    <w:rsid w:val="00811B28"/>
    <w:rsid w:val="0081204D"/>
    <w:rsid w:val="00812464"/>
    <w:rsid w:val="0081272C"/>
    <w:rsid w:val="00812862"/>
    <w:rsid w:val="00812A7A"/>
    <w:rsid w:val="0081362B"/>
    <w:rsid w:val="0081450B"/>
    <w:rsid w:val="0081467F"/>
    <w:rsid w:val="00814F74"/>
    <w:rsid w:val="00815339"/>
    <w:rsid w:val="008154F1"/>
    <w:rsid w:val="008156B4"/>
    <w:rsid w:val="0081591F"/>
    <w:rsid w:val="00815A99"/>
    <w:rsid w:val="00815E5B"/>
    <w:rsid w:val="008160D1"/>
    <w:rsid w:val="008162B3"/>
    <w:rsid w:val="0081640D"/>
    <w:rsid w:val="008164F8"/>
    <w:rsid w:val="0081652C"/>
    <w:rsid w:val="00816613"/>
    <w:rsid w:val="0081687A"/>
    <w:rsid w:val="0081690B"/>
    <w:rsid w:val="008169A1"/>
    <w:rsid w:val="00816CCE"/>
    <w:rsid w:val="008172DD"/>
    <w:rsid w:val="0082012B"/>
    <w:rsid w:val="00820160"/>
    <w:rsid w:val="0082022B"/>
    <w:rsid w:val="00820438"/>
    <w:rsid w:val="00820E0E"/>
    <w:rsid w:val="00821237"/>
    <w:rsid w:val="008216DA"/>
    <w:rsid w:val="008217C3"/>
    <w:rsid w:val="00821868"/>
    <w:rsid w:val="008219B8"/>
    <w:rsid w:val="00821C70"/>
    <w:rsid w:val="00821ECA"/>
    <w:rsid w:val="00822414"/>
    <w:rsid w:val="00822717"/>
    <w:rsid w:val="00822936"/>
    <w:rsid w:val="00822CB9"/>
    <w:rsid w:val="00822E2C"/>
    <w:rsid w:val="00823116"/>
    <w:rsid w:val="00823343"/>
    <w:rsid w:val="0082350E"/>
    <w:rsid w:val="00823658"/>
    <w:rsid w:val="008239BF"/>
    <w:rsid w:val="00823B36"/>
    <w:rsid w:val="00823D14"/>
    <w:rsid w:val="0082455D"/>
    <w:rsid w:val="0082488C"/>
    <w:rsid w:val="008251E7"/>
    <w:rsid w:val="00825417"/>
    <w:rsid w:val="00825E57"/>
    <w:rsid w:val="008262BC"/>
    <w:rsid w:val="008266A2"/>
    <w:rsid w:val="008267AE"/>
    <w:rsid w:val="00826966"/>
    <w:rsid w:val="00830B33"/>
    <w:rsid w:val="0083118A"/>
    <w:rsid w:val="00831784"/>
    <w:rsid w:val="00832727"/>
    <w:rsid w:val="008337C1"/>
    <w:rsid w:val="00833B2E"/>
    <w:rsid w:val="008340A3"/>
    <w:rsid w:val="00834F23"/>
    <w:rsid w:val="008353B6"/>
    <w:rsid w:val="008365B0"/>
    <w:rsid w:val="00836A67"/>
    <w:rsid w:val="00836CEB"/>
    <w:rsid w:val="00837113"/>
    <w:rsid w:val="008402C4"/>
    <w:rsid w:val="0084070C"/>
    <w:rsid w:val="00840D36"/>
    <w:rsid w:val="00840EAF"/>
    <w:rsid w:val="008416BF"/>
    <w:rsid w:val="008416FD"/>
    <w:rsid w:val="0084188F"/>
    <w:rsid w:val="00842378"/>
    <w:rsid w:val="00842659"/>
    <w:rsid w:val="0084293A"/>
    <w:rsid w:val="00842B7B"/>
    <w:rsid w:val="00842C82"/>
    <w:rsid w:val="00843428"/>
    <w:rsid w:val="008434C8"/>
    <w:rsid w:val="0084354C"/>
    <w:rsid w:val="0084375D"/>
    <w:rsid w:val="00843E26"/>
    <w:rsid w:val="0084416F"/>
    <w:rsid w:val="00844462"/>
    <w:rsid w:val="0084450F"/>
    <w:rsid w:val="008449FE"/>
    <w:rsid w:val="00845469"/>
    <w:rsid w:val="00845515"/>
    <w:rsid w:val="00845520"/>
    <w:rsid w:val="00845FC4"/>
    <w:rsid w:val="008461B0"/>
    <w:rsid w:val="008465DA"/>
    <w:rsid w:val="00846C9F"/>
    <w:rsid w:val="00846D16"/>
    <w:rsid w:val="00846F4C"/>
    <w:rsid w:val="008470F4"/>
    <w:rsid w:val="008474AC"/>
    <w:rsid w:val="0084774C"/>
    <w:rsid w:val="0085044B"/>
    <w:rsid w:val="00850EE1"/>
    <w:rsid w:val="00850FC2"/>
    <w:rsid w:val="0085165B"/>
    <w:rsid w:val="0085179C"/>
    <w:rsid w:val="008517C2"/>
    <w:rsid w:val="008518FA"/>
    <w:rsid w:val="00851903"/>
    <w:rsid w:val="00851B3F"/>
    <w:rsid w:val="00851DCB"/>
    <w:rsid w:val="00851E0C"/>
    <w:rsid w:val="00851F5F"/>
    <w:rsid w:val="00852142"/>
    <w:rsid w:val="0085225D"/>
    <w:rsid w:val="008526F1"/>
    <w:rsid w:val="008528CF"/>
    <w:rsid w:val="00852A4E"/>
    <w:rsid w:val="00853510"/>
    <w:rsid w:val="00853E5B"/>
    <w:rsid w:val="00854123"/>
    <w:rsid w:val="008542D1"/>
    <w:rsid w:val="00854465"/>
    <w:rsid w:val="008544BD"/>
    <w:rsid w:val="00854946"/>
    <w:rsid w:val="00854B62"/>
    <w:rsid w:val="00854B77"/>
    <w:rsid w:val="00854E58"/>
    <w:rsid w:val="008558ED"/>
    <w:rsid w:val="00855CFC"/>
    <w:rsid w:val="00855FD5"/>
    <w:rsid w:val="00856049"/>
    <w:rsid w:val="0085632A"/>
    <w:rsid w:val="008568BB"/>
    <w:rsid w:val="00856E96"/>
    <w:rsid w:val="00857822"/>
    <w:rsid w:val="00857A7C"/>
    <w:rsid w:val="00857C93"/>
    <w:rsid w:val="00860D51"/>
    <w:rsid w:val="00861112"/>
    <w:rsid w:val="008611C1"/>
    <w:rsid w:val="0086151A"/>
    <w:rsid w:val="0086173C"/>
    <w:rsid w:val="00861DA4"/>
    <w:rsid w:val="00862330"/>
    <w:rsid w:val="0086264B"/>
    <w:rsid w:val="008626E9"/>
    <w:rsid w:val="008626EB"/>
    <w:rsid w:val="00862EFD"/>
    <w:rsid w:val="008638FB"/>
    <w:rsid w:val="00863C28"/>
    <w:rsid w:val="00863E8F"/>
    <w:rsid w:val="00863F6A"/>
    <w:rsid w:val="0086444C"/>
    <w:rsid w:val="008644B1"/>
    <w:rsid w:val="0086470C"/>
    <w:rsid w:val="00864768"/>
    <w:rsid w:val="00864EAA"/>
    <w:rsid w:val="008652AE"/>
    <w:rsid w:val="008658AB"/>
    <w:rsid w:val="00865B18"/>
    <w:rsid w:val="00866388"/>
    <w:rsid w:val="00866481"/>
    <w:rsid w:val="0086672E"/>
    <w:rsid w:val="00866BBA"/>
    <w:rsid w:val="00866C8E"/>
    <w:rsid w:val="00866CF2"/>
    <w:rsid w:val="00866F5F"/>
    <w:rsid w:val="00867041"/>
    <w:rsid w:val="008675EC"/>
    <w:rsid w:val="008679CE"/>
    <w:rsid w:val="00867CEE"/>
    <w:rsid w:val="00867DA7"/>
    <w:rsid w:val="008705A8"/>
    <w:rsid w:val="008716FC"/>
    <w:rsid w:val="008718D3"/>
    <w:rsid w:val="008718FC"/>
    <w:rsid w:val="00871A8E"/>
    <w:rsid w:val="00871CC2"/>
    <w:rsid w:val="00871F4F"/>
    <w:rsid w:val="0087200D"/>
    <w:rsid w:val="00872131"/>
    <w:rsid w:val="008723B8"/>
    <w:rsid w:val="008725F5"/>
    <w:rsid w:val="00873147"/>
    <w:rsid w:val="00873664"/>
    <w:rsid w:val="00873B5C"/>
    <w:rsid w:val="00873C1E"/>
    <w:rsid w:val="00873C5D"/>
    <w:rsid w:val="00873CD6"/>
    <w:rsid w:val="00873DE6"/>
    <w:rsid w:val="00873E8B"/>
    <w:rsid w:val="00873FBF"/>
    <w:rsid w:val="00874178"/>
    <w:rsid w:val="00874272"/>
    <w:rsid w:val="008743DF"/>
    <w:rsid w:val="00874C66"/>
    <w:rsid w:val="00874F67"/>
    <w:rsid w:val="008758EE"/>
    <w:rsid w:val="00875929"/>
    <w:rsid w:val="00875BB4"/>
    <w:rsid w:val="00875D89"/>
    <w:rsid w:val="00875F4F"/>
    <w:rsid w:val="008762D8"/>
    <w:rsid w:val="0087699A"/>
    <w:rsid w:val="00877077"/>
    <w:rsid w:val="008772D9"/>
    <w:rsid w:val="00877B29"/>
    <w:rsid w:val="00880819"/>
    <w:rsid w:val="008808B9"/>
    <w:rsid w:val="00880B30"/>
    <w:rsid w:val="00880F1D"/>
    <w:rsid w:val="0088172A"/>
    <w:rsid w:val="00881B1F"/>
    <w:rsid w:val="00881C5E"/>
    <w:rsid w:val="00881F90"/>
    <w:rsid w:val="008822BB"/>
    <w:rsid w:val="0088260A"/>
    <w:rsid w:val="00882AF4"/>
    <w:rsid w:val="0088503E"/>
    <w:rsid w:val="008851C4"/>
    <w:rsid w:val="00885696"/>
    <w:rsid w:val="0088570A"/>
    <w:rsid w:val="00885E9D"/>
    <w:rsid w:val="0088636E"/>
    <w:rsid w:val="008864A7"/>
    <w:rsid w:val="0088666A"/>
    <w:rsid w:val="0088688A"/>
    <w:rsid w:val="00886A9E"/>
    <w:rsid w:val="00886D4B"/>
    <w:rsid w:val="00886DC9"/>
    <w:rsid w:val="00886EC7"/>
    <w:rsid w:val="00887184"/>
    <w:rsid w:val="008875F0"/>
    <w:rsid w:val="008877C8"/>
    <w:rsid w:val="008879EA"/>
    <w:rsid w:val="00890139"/>
    <w:rsid w:val="00890644"/>
    <w:rsid w:val="00890F2B"/>
    <w:rsid w:val="008911AF"/>
    <w:rsid w:val="0089160E"/>
    <w:rsid w:val="008921B1"/>
    <w:rsid w:val="00892687"/>
    <w:rsid w:val="00893386"/>
    <w:rsid w:val="0089363C"/>
    <w:rsid w:val="00893657"/>
    <w:rsid w:val="00893671"/>
    <w:rsid w:val="00893DD9"/>
    <w:rsid w:val="008941FB"/>
    <w:rsid w:val="00894565"/>
    <w:rsid w:val="00894E19"/>
    <w:rsid w:val="008950D6"/>
    <w:rsid w:val="008954C7"/>
    <w:rsid w:val="00895A4A"/>
    <w:rsid w:val="00895B46"/>
    <w:rsid w:val="00895BE7"/>
    <w:rsid w:val="00896474"/>
    <w:rsid w:val="00896BF4"/>
    <w:rsid w:val="00896DBC"/>
    <w:rsid w:val="00897B59"/>
    <w:rsid w:val="00897C6C"/>
    <w:rsid w:val="00897D1A"/>
    <w:rsid w:val="008A057F"/>
    <w:rsid w:val="008A0905"/>
    <w:rsid w:val="008A0B02"/>
    <w:rsid w:val="008A0E0D"/>
    <w:rsid w:val="008A154C"/>
    <w:rsid w:val="008A155C"/>
    <w:rsid w:val="008A180E"/>
    <w:rsid w:val="008A197C"/>
    <w:rsid w:val="008A1E27"/>
    <w:rsid w:val="008A2545"/>
    <w:rsid w:val="008A2636"/>
    <w:rsid w:val="008A35DB"/>
    <w:rsid w:val="008A3AF9"/>
    <w:rsid w:val="008A3FB4"/>
    <w:rsid w:val="008A3FBE"/>
    <w:rsid w:val="008A4013"/>
    <w:rsid w:val="008A4C9C"/>
    <w:rsid w:val="008A5103"/>
    <w:rsid w:val="008A5222"/>
    <w:rsid w:val="008A6041"/>
    <w:rsid w:val="008A60F8"/>
    <w:rsid w:val="008A6272"/>
    <w:rsid w:val="008A62FC"/>
    <w:rsid w:val="008A69FE"/>
    <w:rsid w:val="008A6EC7"/>
    <w:rsid w:val="008A6F36"/>
    <w:rsid w:val="008A7286"/>
    <w:rsid w:val="008A77AF"/>
    <w:rsid w:val="008A7B50"/>
    <w:rsid w:val="008A7F87"/>
    <w:rsid w:val="008B0585"/>
    <w:rsid w:val="008B0641"/>
    <w:rsid w:val="008B0EB7"/>
    <w:rsid w:val="008B11A7"/>
    <w:rsid w:val="008B138E"/>
    <w:rsid w:val="008B1C78"/>
    <w:rsid w:val="008B1F87"/>
    <w:rsid w:val="008B28BD"/>
    <w:rsid w:val="008B2AB1"/>
    <w:rsid w:val="008B2E96"/>
    <w:rsid w:val="008B2F53"/>
    <w:rsid w:val="008B3006"/>
    <w:rsid w:val="008B3139"/>
    <w:rsid w:val="008B3B50"/>
    <w:rsid w:val="008B3D47"/>
    <w:rsid w:val="008B44CB"/>
    <w:rsid w:val="008B46D2"/>
    <w:rsid w:val="008B4EDC"/>
    <w:rsid w:val="008B5253"/>
    <w:rsid w:val="008B53D8"/>
    <w:rsid w:val="008B548B"/>
    <w:rsid w:val="008B5C9B"/>
    <w:rsid w:val="008B63BE"/>
    <w:rsid w:val="008B640E"/>
    <w:rsid w:val="008B6505"/>
    <w:rsid w:val="008B688D"/>
    <w:rsid w:val="008B6B3B"/>
    <w:rsid w:val="008B6D5C"/>
    <w:rsid w:val="008B6F5D"/>
    <w:rsid w:val="008B70EE"/>
    <w:rsid w:val="008B715C"/>
    <w:rsid w:val="008B756E"/>
    <w:rsid w:val="008B75B8"/>
    <w:rsid w:val="008B7637"/>
    <w:rsid w:val="008B7E02"/>
    <w:rsid w:val="008C0D32"/>
    <w:rsid w:val="008C0EAD"/>
    <w:rsid w:val="008C10A7"/>
    <w:rsid w:val="008C1442"/>
    <w:rsid w:val="008C1693"/>
    <w:rsid w:val="008C19D9"/>
    <w:rsid w:val="008C1A5E"/>
    <w:rsid w:val="008C1A81"/>
    <w:rsid w:val="008C1C56"/>
    <w:rsid w:val="008C23CD"/>
    <w:rsid w:val="008C27CE"/>
    <w:rsid w:val="008C29FE"/>
    <w:rsid w:val="008C32CA"/>
    <w:rsid w:val="008C3967"/>
    <w:rsid w:val="008C3F84"/>
    <w:rsid w:val="008C40D0"/>
    <w:rsid w:val="008C431E"/>
    <w:rsid w:val="008C4BA5"/>
    <w:rsid w:val="008C5282"/>
    <w:rsid w:val="008C54BD"/>
    <w:rsid w:val="008C54C4"/>
    <w:rsid w:val="008C6056"/>
    <w:rsid w:val="008C6628"/>
    <w:rsid w:val="008C69C9"/>
    <w:rsid w:val="008C6E38"/>
    <w:rsid w:val="008C6F75"/>
    <w:rsid w:val="008C79E0"/>
    <w:rsid w:val="008C7C18"/>
    <w:rsid w:val="008C7CC4"/>
    <w:rsid w:val="008D01E3"/>
    <w:rsid w:val="008D01FC"/>
    <w:rsid w:val="008D047D"/>
    <w:rsid w:val="008D0685"/>
    <w:rsid w:val="008D0B4C"/>
    <w:rsid w:val="008D113B"/>
    <w:rsid w:val="008D14C4"/>
    <w:rsid w:val="008D159C"/>
    <w:rsid w:val="008D1964"/>
    <w:rsid w:val="008D221A"/>
    <w:rsid w:val="008D24D6"/>
    <w:rsid w:val="008D24E1"/>
    <w:rsid w:val="008D3659"/>
    <w:rsid w:val="008D3E6A"/>
    <w:rsid w:val="008D4078"/>
    <w:rsid w:val="008D4CA8"/>
    <w:rsid w:val="008D5216"/>
    <w:rsid w:val="008D53E2"/>
    <w:rsid w:val="008D5908"/>
    <w:rsid w:val="008D59D2"/>
    <w:rsid w:val="008D5AF1"/>
    <w:rsid w:val="008D6A6E"/>
    <w:rsid w:val="008D6CF3"/>
    <w:rsid w:val="008D781F"/>
    <w:rsid w:val="008D7DBE"/>
    <w:rsid w:val="008E02B7"/>
    <w:rsid w:val="008E0858"/>
    <w:rsid w:val="008E1102"/>
    <w:rsid w:val="008E13F0"/>
    <w:rsid w:val="008E14F5"/>
    <w:rsid w:val="008E1A47"/>
    <w:rsid w:val="008E20BE"/>
    <w:rsid w:val="008E241B"/>
    <w:rsid w:val="008E3096"/>
    <w:rsid w:val="008E330C"/>
    <w:rsid w:val="008E332F"/>
    <w:rsid w:val="008E405B"/>
    <w:rsid w:val="008E4114"/>
    <w:rsid w:val="008E4142"/>
    <w:rsid w:val="008E45EA"/>
    <w:rsid w:val="008E4607"/>
    <w:rsid w:val="008E4A1A"/>
    <w:rsid w:val="008E52F9"/>
    <w:rsid w:val="008E5E01"/>
    <w:rsid w:val="008E6805"/>
    <w:rsid w:val="008E69A3"/>
    <w:rsid w:val="008E6B8D"/>
    <w:rsid w:val="008E79A3"/>
    <w:rsid w:val="008E7CC9"/>
    <w:rsid w:val="008F02A1"/>
    <w:rsid w:val="008F0D11"/>
    <w:rsid w:val="008F0E69"/>
    <w:rsid w:val="008F12FF"/>
    <w:rsid w:val="008F157E"/>
    <w:rsid w:val="008F1F7A"/>
    <w:rsid w:val="008F2BCE"/>
    <w:rsid w:val="008F336F"/>
    <w:rsid w:val="008F3467"/>
    <w:rsid w:val="008F3476"/>
    <w:rsid w:val="008F3D3E"/>
    <w:rsid w:val="008F3F31"/>
    <w:rsid w:val="008F4655"/>
    <w:rsid w:val="008F4779"/>
    <w:rsid w:val="008F542B"/>
    <w:rsid w:val="008F5670"/>
    <w:rsid w:val="008F599F"/>
    <w:rsid w:val="008F6065"/>
    <w:rsid w:val="008F63DF"/>
    <w:rsid w:val="008F64E5"/>
    <w:rsid w:val="008F677E"/>
    <w:rsid w:val="008F69D4"/>
    <w:rsid w:val="008F7474"/>
    <w:rsid w:val="008F7C28"/>
    <w:rsid w:val="0090034D"/>
    <w:rsid w:val="00900500"/>
    <w:rsid w:val="00900EC7"/>
    <w:rsid w:val="00900FFC"/>
    <w:rsid w:val="0090112F"/>
    <w:rsid w:val="009011F9"/>
    <w:rsid w:val="00901244"/>
    <w:rsid w:val="00901979"/>
    <w:rsid w:val="00902357"/>
    <w:rsid w:val="0090242A"/>
    <w:rsid w:val="00902C85"/>
    <w:rsid w:val="009030F7"/>
    <w:rsid w:val="009034D9"/>
    <w:rsid w:val="00903AA4"/>
    <w:rsid w:val="00903C8C"/>
    <w:rsid w:val="009046C9"/>
    <w:rsid w:val="009046F1"/>
    <w:rsid w:val="0090480F"/>
    <w:rsid w:val="00904883"/>
    <w:rsid w:val="00904B0A"/>
    <w:rsid w:val="00904F84"/>
    <w:rsid w:val="00905486"/>
    <w:rsid w:val="009055DD"/>
    <w:rsid w:val="0090616A"/>
    <w:rsid w:val="00906527"/>
    <w:rsid w:val="00906BD9"/>
    <w:rsid w:val="00906EA0"/>
    <w:rsid w:val="00907E80"/>
    <w:rsid w:val="00907F4C"/>
    <w:rsid w:val="0091006A"/>
    <w:rsid w:val="009106F8"/>
    <w:rsid w:val="00910B57"/>
    <w:rsid w:val="00910E83"/>
    <w:rsid w:val="0091148A"/>
    <w:rsid w:val="00912347"/>
    <w:rsid w:val="0091268D"/>
    <w:rsid w:val="00912946"/>
    <w:rsid w:val="009129C1"/>
    <w:rsid w:val="00912F94"/>
    <w:rsid w:val="00913B74"/>
    <w:rsid w:val="00913EBB"/>
    <w:rsid w:val="009141BB"/>
    <w:rsid w:val="00914B55"/>
    <w:rsid w:val="00914DC2"/>
    <w:rsid w:val="00914DC4"/>
    <w:rsid w:val="00915329"/>
    <w:rsid w:val="00915338"/>
    <w:rsid w:val="0091588C"/>
    <w:rsid w:val="00915DB5"/>
    <w:rsid w:val="00915DF4"/>
    <w:rsid w:val="00916068"/>
    <w:rsid w:val="00916879"/>
    <w:rsid w:val="00916BF5"/>
    <w:rsid w:val="00916CCB"/>
    <w:rsid w:val="00917DB8"/>
    <w:rsid w:val="00920EC8"/>
    <w:rsid w:val="00921102"/>
    <w:rsid w:val="00921305"/>
    <w:rsid w:val="00921706"/>
    <w:rsid w:val="00921783"/>
    <w:rsid w:val="009217D9"/>
    <w:rsid w:val="00921AC8"/>
    <w:rsid w:val="0092206F"/>
    <w:rsid w:val="00922482"/>
    <w:rsid w:val="00922A2B"/>
    <w:rsid w:val="00923FD3"/>
    <w:rsid w:val="00924A6C"/>
    <w:rsid w:val="00924E99"/>
    <w:rsid w:val="00924ED4"/>
    <w:rsid w:val="00924F63"/>
    <w:rsid w:val="00925462"/>
    <w:rsid w:val="00925DF4"/>
    <w:rsid w:val="00926210"/>
    <w:rsid w:val="009266D5"/>
    <w:rsid w:val="00926F44"/>
    <w:rsid w:val="009271AB"/>
    <w:rsid w:val="00927281"/>
    <w:rsid w:val="009273B8"/>
    <w:rsid w:val="00927A20"/>
    <w:rsid w:val="00927FB1"/>
    <w:rsid w:val="00930298"/>
    <w:rsid w:val="009302A6"/>
    <w:rsid w:val="009307DF"/>
    <w:rsid w:val="00930A8C"/>
    <w:rsid w:val="00931325"/>
    <w:rsid w:val="00931478"/>
    <w:rsid w:val="009319DC"/>
    <w:rsid w:val="00931AAD"/>
    <w:rsid w:val="00931E6D"/>
    <w:rsid w:val="00932ADF"/>
    <w:rsid w:val="00932D04"/>
    <w:rsid w:val="00932E9E"/>
    <w:rsid w:val="00932ED3"/>
    <w:rsid w:val="00932F87"/>
    <w:rsid w:val="00933357"/>
    <w:rsid w:val="00933787"/>
    <w:rsid w:val="009339AA"/>
    <w:rsid w:val="00933B8A"/>
    <w:rsid w:val="00934141"/>
    <w:rsid w:val="009341AA"/>
    <w:rsid w:val="0093429A"/>
    <w:rsid w:val="00934973"/>
    <w:rsid w:val="00934D16"/>
    <w:rsid w:val="00934DF0"/>
    <w:rsid w:val="009352D3"/>
    <w:rsid w:val="009355BB"/>
    <w:rsid w:val="00935789"/>
    <w:rsid w:val="009359C5"/>
    <w:rsid w:val="00935CFA"/>
    <w:rsid w:val="00935D9E"/>
    <w:rsid w:val="009361E8"/>
    <w:rsid w:val="00936247"/>
    <w:rsid w:val="00936501"/>
    <w:rsid w:val="009366AD"/>
    <w:rsid w:val="009373D0"/>
    <w:rsid w:val="009377A1"/>
    <w:rsid w:val="00940850"/>
    <w:rsid w:val="00940B1D"/>
    <w:rsid w:val="00941B26"/>
    <w:rsid w:val="00941C8F"/>
    <w:rsid w:val="00941E0E"/>
    <w:rsid w:val="00942262"/>
    <w:rsid w:val="0094243B"/>
    <w:rsid w:val="009425EB"/>
    <w:rsid w:val="009428A4"/>
    <w:rsid w:val="00942CD3"/>
    <w:rsid w:val="00943157"/>
    <w:rsid w:val="0094368C"/>
    <w:rsid w:val="009436CE"/>
    <w:rsid w:val="00943893"/>
    <w:rsid w:val="009439D2"/>
    <w:rsid w:val="009441F2"/>
    <w:rsid w:val="00944312"/>
    <w:rsid w:val="009443DC"/>
    <w:rsid w:val="00944945"/>
    <w:rsid w:val="00944AE2"/>
    <w:rsid w:val="0094526B"/>
    <w:rsid w:val="00945546"/>
    <w:rsid w:val="009456EB"/>
    <w:rsid w:val="009458D4"/>
    <w:rsid w:val="00945CEA"/>
    <w:rsid w:val="00945E7E"/>
    <w:rsid w:val="00945E8F"/>
    <w:rsid w:val="009462FB"/>
    <w:rsid w:val="009463FD"/>
    <w:rsid w:val="009465E5"/>
    <w:rsid w:val="009467FD"/>
    <w:rsid w:val="00946D2E"/>
    <w:rsid w:val="00946E64"/>
    <w:rsid w:val="009472F6"/>
    <w:rsid w:val="0094783F"/>
    <w:rsid w:val="00947B18"/>
    <w:rsid w:val="00950AAC"/>
    <w:rsid w:val="00950B18"/>
    <w:rsid w:val="00950C55"/>
    <w:rsid w:val="00950CB3"/>
    <w:rsid w:val="009514CA"/>
    <w:rsid w:val="00951822"/>
    <w:rsid w:val="00952235"/>
    <w:rsid w:val="0095267E"/>
    <w:rsid w:val="00952CFE"/>
    <w:rsid w:val="00952EBB"/>
    <w:rsid w:val="00952F24"/>
    <w:rsid w:val="0095370E"/>
    <w:rsid w:val="00953A87"/>
    <w:rsid w:val="00953B5D"/>
    <w:rsid w:val="00953D3D"/>
    <w:rsid w:val="00953E37"/>
    <w:rsid w:val="00953F68"/>
    <w:rsid w:val="00954331"/>
    <w:rsid w:val="009543D8"/>
    <w:rsid w:val="009545D6"/>
    <w:rsid w:val="00954F67"/>
    <w:rsid w:val="00955AA9"/>
    <w:rsid w:val="00955AB2"/>
    <w:rsid w:val="00955C58"/>
    <w:rsid w:val="00955E60"/>
    <w:rsid w:val="00955EC8"/>
    <w:rsid w:val="00956535"/>
    <w:rsid w:val="0095699A"/>
    <w:rsid w:val="00956B34"/>
    <w:rsid w:val="0095702D"/>
    <w:rsid w:val="009571A6"/>
    <w:rsid w:val="0095752A"/>
    <w:rsid w:val="00957652"/>
    <w:rsid w:val="009577C1"/>
    <w:rsid w:val="009602BA"/>
    <w:rsid w:val="00960498"/>
    <w:rsid w:val="00960687"/>
    <w:rsid w:val="009608CA"/>
    <w:rsid w:val="00960EE6"/>
    <w:rsid w:val="009615D7"/>
    <w:rsid w:val="00961A09"/>
    <w:rsid w:val="00962BE7"/>
    <w:rsid w:val="00962D17"/>
    <w:rsid w:val="00963BE7"/>
    <w:rsid w:val="00963D17"/>
    <w:rsid w:val="00963D45"/>
    <w:rsid w:val="009640B5"/>
    <w:rsid w:val="00964459"/>
    <w:rsid w:val="009657D5"/>
    <w:rsid w:val="00965F9F"/>
    <w:rsid w:val="00966141"/>
    <w:rsid w:val="009662EC"/>
    <w:rsid w:val="00966611"/>
    <w:rsid w:val="009669CC"/>
    <w:rsid w:val="00967655"/>
    <w:rsid w:val="009700F7"/>
    <w:rsid w:val="00970786"/>
    <w:rsid w:val="00970F12"/>
    <w:rsid w:val="009710BF"/>
    <w:rsid w:val="009717D3"/>
    <w:rsid w:val="00971874"/>
    <w:rsid w:val="00971AF0"/>
    <w:rsid w:val="00971F32"/>
    <w:rsid w:val="00971F83"/>
    <w:rsid w:val="00972061"/>
    <w:rsid w:val="00972243"/>
    <w:rsid w:val="0097245C"/>
    <w:rsid w:val="009725FE"/>
    <w:rsid w:val="0097282B"/>
    <w:rsid w:val="00972DAC"/>
    <w:rsid w:val="00972FE2"/>
    <w:rsid w:val="009734A3"/>
    <w:rsid w:val="00973A02"/>
    <w:rsid w:val="00973A35"/>
    <w:rsid w:val="00973BA6"/>
    <w:rsid w:val="00974A1E"/>
    <w:rsid w:val="00975258"/>
    <w:rsid w:val="0097559A"/>
    <w:rsid w:val="00975D48"/>
    <w:rsid w:val="00976494"/>
    <w:rsid w:val="00976546"/>
    <w:rsid w:val="009768EE"/>
    <w:rsid w:val="00976FCF"/>
    <w:rsid w:val="009807D6"/>
    <w:rsid w:val="00980BAC"/>
    <w:rsid w:val="00980DF0"/>
    <w:rsid w:val="00980F3F"/>
    <w:rsid w:val="00981205"/>
    <w:rsid w:val="00981889"/>
    <w:rsid w:val="00981D1C"/>
    <w:rsid w:val="0098209D"/>
    <w:rsid w:val="00982214"/>
    <w:rsid w:val="009823D4"/>
    <w:rsid w:val="00982474"/>
    <w:rsid w:val="0098268B"/>
    <w:rsid w:val="00982916"/>
    <w:rsid w:val="00983285"/>
    <w:rsid w:val="00983739"/>
    <w:rsid w:val="00983919"/>
    <w:rsid w:val="00984672"/>
    <w:rsid w:val="00984F97"/>
    <w:rsid w:val="0098569D"/>
    <w:rsid w:val="00985A09"/>
    <w:rsid w:val="00986277"/>
    <w:rsid w:val="009866A3"/>
    <w:rsid w:val="0098693D"/>
    <w:rsid w:val="00987132"/>
    <w:rsid w:val="00990343"/>
    <w:rsid w:val="009905E1"/>
    <w:rsid w:val="0099064C"/>
    <w:rsid w:val="00990676"/>
    <w:rsid w:val="0099078A"/>
    <w:rsid w:val="0099097F"/>
    <w:rsid w:val="00992097"/>
    <w:rsid w:val="00992869"/>
    <w:rsid w:val="00992914"/>
    <w:rsid w:val="00992C47"/>
    <w:rsid w:val="00993776"/>
    <w:rsid w:val="00993832"/>
    <w:rsid w:val="00993921"/>
    <w:rsid w:val="00993EE7"/>
    <w:rsid w:val="00993F15"/>
    <w:rsid w:val="009944B9"/>
    <w:rsid w:val="009947D5"/>
    <w:rsid w:val="009949AF"/>
    <w:rsid w:val="00994B69"/>
    <w:rsid w:val="00994E90"/>
    <w:rsid w:val="0099551B"/>
    <w:rsid w:val="009955E2"/>
    <w:rsid w:val="00995629"/>
    <w:rsid w:val="009959A5"/>
    <w:rsid w:val="00995C16"/>
    <w:rsid w:val="00995E9F"/>
    <w:rsid w:val="0099625A"/>
    <w:rsid w:val="009965BC"/>
    <w:rsid w:val="0099662E"/>
    <w:rsid w:val="00996DB0"/>
    <w:rsid w:val="00997258"/>
    <w:rsid w:val="00997AA0"/>
    <w:rsid w:val="00997C19"/>
    <w:rsid w:val="009A0415"/>
    <w:rsid w:val="009A04CD"/>
    <w:rsid w:val="009A0C49"/>
    <w:rsid w:val="009A0E79"/>
    <w:rsid w:val="009A177E"/>
    <w:rsid w:val="009A1AE9"/>
    <w:rsid w:val="009A22E6"/>
    <w:rsid w:val="009A2486"/>
    <w:rsid w:val="009A2618"/>
    <w:rsid w:val="009A2690"/>
    <w:rsid w:val="009A27B8"/>
    <w:rsid w:val="009A3307"/>
    <w:rsid w:val="009A3520"/>
    <w:rsid w:val="009A3547"/>
    <w:rsid w:val="009A39FF"/>
    <w:rsid w:val="009A3CB5"/>
    <w:rsid w:val="009A3EAF"/>
    <w:rsid w:val="009A3F33"/>
    <w:rsid w:val="009A4309"/>
    <w:rsid w:val="009A4B1A"/>
    <w:rsid w:val="009A5501"/>
    <w:rsid w:val="009A5AD5"/>
    <w:rsid w:val="009A5AE0"/>
    <w:rsid w:val="009A5BF9"/>
    <w:rsid w:val="009A6621"/>
    <w:rsid w:val="009A6AEA"/>
    <w:rsid w:val="009A6CC5"/>
    <w:rsid w:val="009A73B1"/>
    <w:rsid w:val="009A78DC"/>
    <w:rsid w:val="009A7D39"/>
    <w:rsid w:val="009B0D7C"/>
    <w:rsid w:val="009B1E7F"/>
    <w:rsid w:val="009B1F3A"/>
    <w:rsid w:val="009B2766"/>
    <w:rsid w:val="009B32F0"/>
    <w:rsid w:val="009B3890"/>
    <w:rsid w:val="009B3EB4"/>
    <w:rsid w:val="009B3F21"/>
    <w:rsid w:val="009B42BE"/>
    <w:rsid w:val="009B4400"/>
    <w:rsid w:val="009B49B2"/>
    <w:rsid w:val="009B4C9B"/>
    <w:rsid w:val="009B4CD5"/>
    <w:rsid w:val="009B5973"/>
    <w:rsid w:val="009B5B48"/>
    <w:rsid w:val="009B62E6"/>
    <w:rsid w:val="009B67C4"/>
    <w:rsid w:val="009B6A3F"/>
    <w:rsid w:val="009B6C5A"/>
    <w:rsid w:val="009B6FF2"/>
    <w:rsid w:val="009B71E1"/>
    <w:rsid w:val="009B791A"/>
    <w:rsid w:val="009C0073"/>
    <w:rsid w:val="009C0448"/>
    <w:rsid w:val="009C0615"/>
    <w:rsid w:val="009C0CF8"/>
    <w:rsid w:val="009C125A"/>
    <w:rsid w:val="009C1EB2"/>
    <w:rsid w:val="009C2675"/>
    <w:rsid w:val="009C2839"/>
    <w:rsid w:val="009C2DC4"/>
    <w:rsid w:val="009C3042"/>
    <w:rsid w:val="009C386A"/>
    <w:rsid w:val="009C3BB2"/>
    <w:rsid w:val="009C3E9C"/>
    <w:rsid w:val="009C4204"/>
    <w:rsid w:val="009C466E"/>
    <w:rsid w:val="009C483B"/>
    <w:rsid w:val="009C4A32"/>
    <w:rsid w:val="009C4FEA"/>
    <w:rsid w:val="009C5F69"/>
    <w:rsid w:val="009C63AB"/>
    <w:rsid w:val="009C69D0"/>
    <w:rsid w:val="009C69F4"/>
    <w:rsid w:val="009C6AF2"/>
    <w:rsid w:val="009C6F98"/>
    <w:rsid w:val="009C7163"/>
    <w:rsid w:val="009C77A3"/>
    <w:rsid w:val="009C7E24"/>
    <w:rsid w:val="009D0A13"/>
    <w:rsid w:val="009D1082"/>
    <w:rsid w:val="009D1919"/>
    <w:rsid w:val="009D1C94"/>
    <w:rsid w:val="009D1D0E"/>
    <w:rsid w:val="009D20AC"/>
    <w:rsid w:val="009D20C9"/>
    <w:rsid w:val="009D21C8"/>
    <w:rsid w:val="009D24D0"/>
    <w:rsid w:val="009D26D8"/>
    <w:rsid w:val="009D30F9"/>
    <w:rsid w:val="009D3192"/>
    <w:rsid w:val="009D31C0"/>
    <w:rsid w:val="009D3209"/>
    <w:rsid w:val="009D322C"/>
    <w:rsid w:val="009D334F"/>
    <w:rsid w:val="009D372A"/>
    <w:rsid w:val="009D3A26"/>
    <w:rsid w:val="009D3BAC"/>
    <w:rsid w:val="009D3EDD"/>
    <w:rsid w:val="009D3F7C"/>
    <w:rsid w:val="009D4450"/>
    <w:rsid w:val="009D4821"/>
    <w:rsid w:val="009D48BA"/>
    <w:rsid w:val="009D4B7E"/>
    <w:rsid w:val="009D4D48"/>
    <w:rsid w:val="009D4D64"/>
    <w:rsid w:val="009D4DC6"/>
    <w:rsid w:val="009D5106"/>
    <w:rsid w:val="009D53A1"/>
    <w:rsid w:val="009D5C17"/>
    <w:rsid w:val="009D66B9"/>
    <w:rsid w:val="009D6B77"/>
    <w:rsid w:val="009D6CE1"/>
    <w:rsid w:val="009E14B2"/>
    <w:rsid w:val="009E1D15"/>
    <w:rsid w:val="009E1DFA"/>
    <w:rsid w:val="009E23ED"/>
    <w:rsid w:val="009E2657"/>
    <w:rsid w:val="009E26BC"/>
    <w:rsid w:val="009E322C"/>
    <w:rsid w:val="009E3352"/>
    <w:rsid w:val="009E3479"/>
    <w:rsid w:val="009E387D"/>
    <w:rsid w:val="009E3A13"/>
    <w:rsid w:val="009E453D"/>
    <w:rsid w:val="009E4A89"/>
    <w:rsid w:val="009E4B2D"/>
    <w:rsid w:val="009E4B76"/>
    <w:rsid w:val="009E4FB6"/>
    <w:rsid w:val="009E5013"/>
    <w:rsid w:val="009E56B0"/>
    <w:rsid w:val="009E5917"/>
    <w:rsid w:val="009E5A39"/>
    <w:rsid w:val="009E5A98"/>
    <w:rsid w:val="009E601A"/>
    <w:rsid w:val="009E6223"/>
    <w:rsid w:val="009E64F3"/>
    <w:rsid w:val="009E725F"/>
    <w:rsid w:val="009E79CF"/>
    <w:rsid w:val="009E7C6E"/>
    <w:rsid w:val="009E7F2E"/>
    <w:rsid w:val="009F009C"/>
    <w:rsid w:val="009F0345"/>
    <w:rsid w:val="009F04F2"/>
    <w:rsid w:val="009F09D5"/>
    <w:rsid w:val="009F0A8F"/>
    <w:rsid w:val="009F10EC"/>
    <w:rsid w:val="009F184B"/>
    <w:rsid w:val="009F186B"/>
    <w:rsid w:val="009F1D5E"/>
    <w:rsid w:val="009F231C"/>
    <w:rsid w:val="009F2512"/>
    <w:rsid w:val="009F2947"/>
    <w:rsid w:val="009F2C7D"/>
    <w:rsid w:val="009F40CE"/>
    <w:rsid w:val="009F4298"/>
    <w:rsid w:val="009F4CDA"/>
    <w:rsid w:val="009F51EE"/>
    <w:rsid w:val="009F59BF"/>
    <w:rsid w:val="009F5B63"/>
    <w:rsid w:val="009F5C79"/>
    <w:rsid w:val="009F5F68"/>
    <w:rsid w:val="009F693D"/>
    <w:rsid w:val="009F6950"/>
    <w:rsid w:val="009F6DF5"/>
    <w:rsid w:val="009F776E"/>
    <w:rsid w:val="009F7808"/>
    <w:rsid w:val="009F78AA"/>
    <w:rsid w:val="009F7D1A"/>
    <w:rsid w:val="00A00F42"/>
    <w:rsid w:val="00A01519"/>
    <w:rsid w:val="00A0162B"/>
    <w:rsid w:val="00A0195A"/>
    <w:rsid w:val="00A027C2"/>
    <w:rsid w:val="00A02D3C"/>
    <w:rsid w:val="00A0300B"/>
    <w:rsid w:val="00A032EA"/>
    <w:rsid w:val="00A03566"/>
    <w:rsid w:val="00A0408F"/>
    <w:rsid w:val="00A040BE"/>
    <w:rsid w:val="00A04E68"/>
    <w:rsid w:val="00A05975"/>
    <w:rsid w:val="00A05EAA"/>
    <w:rsid w:val="00A0608D"/>
    <w:rsid w:val="00A060BE"/>
    <w:rsid w:val="00A0695E"/>
    <w:rsid w:val="00A070FD"/>
    <w:rsid w:val="00A07237"/>
    <w:rsid w:val="00A07B42"/>
    <w:rsid w:val="00A07D26"/>
    <w:rsid w:val="00A1036E"/>
    <w:rsid w:val="00A104A1"/>
    <w:rsid w:val="00A10D80"/>
    <w:rsid w:val="00A10DDC"/>
    <w:rsid w:val="00A10FC7"/>
    <w:rsid w:val="00A114A9"/>
    <w:rsid w:val="00A11671"/>
    <w:rsid w:val="00A1187C"/>
    <w:rsid w:val="00A12808"/>
    <w:rsid w:val="00A12CCC"/>
    <w:rsid w:val="00A12D1A"/>
    <w:rsid w:val="00A12E07"/>
    <w:rsid w:val="00A12E37"/>
    <w:rsid w:val="00A12F3D"/>
    <w:rsid w:val="00A13A4E"/>
    <w:rsid w:val="00A1438B"/>
    <w:rsid w:val="00A14E40"/>
    <w:rsid w:val="00A1505A"/>
    <w:rsid w:val="00A15566"/>
    <w:rsid w:val="00A15B2D"/>
    <w:rsid w:val="00A163CD"/>
    <w:rsid w:val="00A1648F"/>
    <w:rsid w:val="00A1667D"/>
    <w:rsid w:val="00A16778"/>
    <w:rsid w:val="00A16B57"/>
    <w:rsid w:val="00A17715"/>
    <w:rsid w:val="00A20224"/>
    <w:rsid w:val="00A21424"/>
    <w:rsid w:val="00A21997"/>
    <w:rsid w:val="00A219B4"/>
    <w:rsid w:val="00A2291B"/>
    <w:rsid w:val="00A22CB4"/>
    <w:rsid w:val="00A23113"/>
    <w:rsid w:val="00A23571"/>
    <w:rsid w:val="00A23639"/>
    <w:rsid w:val="00A238E5"/>
    <w:rsid w:val="00A23A98"/>
    <w:rsid w:val="00A24072"/>
    <w:rsid w:val="00A24217"/>
    <w:rsid w:val="00A244E9"/>
    <w:rsid w:val="00A24622"/>
    <w:rsid w:val="00A246A3"/>
    <w:rsid w:val="00A24AC3"/>
    <w:rsid w:val="00A259A8"/>
    <w:rsid w:val="00A25ABB"/>
    <w:rsid w:val="00A25E39"/>
    <w:rsid w:val="00A263A8"/>
    <w:rsid w:val="00A26512"/>
    <w:rsid w:val="00A267F3"/>
    <w:rsid w:val="00A26827"/>
    <w:rsid w:val="00A26910"/>
    <w:rsid w:val="00A26D47"/>
    <w:rsid w:val="00A26DA7"/>
    <w:rsid w:val="00A26F41"/>
    <w:rsid w:val="00A26F88"/>
    <w:rsid w:val="00A26F99"/>
    <w:rsid w:val="00A2710F"/>
    <w:rsid w:val="00A27562"/>
    <w:rsid w:val="00A275D1"/>
    <w:rsid w:val="00A27B57"/>
    <w:rsid w:val="00A30468"/>
    <w:rsid w:val="00A313B3"/>
    <w:rsid w:val="00A31D00"/>
    <w:rsid w:val="00A32051"/>
    <w:rsid w:val="00A325BB"/>
    <w:rsid w:val="00A32AE0"/>
    <w:rsid w:val="00A32B77"/>
    <w:rsid w:val="00A32BB4"/>
    <w:rsid w:val="00A33257"/>
    <w:rsid w:val="00A334C3"/>
    <w:rsid w:val="00A33A41"/>
    <w:rsid w:val="00A33CCF"/>
    <w:rsid w:val="00A3481E"/>
    <w:rsid w:val="00A34F8F"/>
    <w:rsid w:val="00A35D65"/>
    <w:rsid w:val="00A36457"/>
    <w:rsid w:val="00A3659D"/>
    <w:rsid w:val="00A36833"/>
    <w:rsid w:val="00A36CF6"/>
    <w:rsid w:val="00A36EC5"/>
    <w:rsid w:val="00A37324"/>
    <w:rsid w:val="00A37C9B"/>
    <w:rsid w:val="00A37EDA"/>
    <w:rsid w:val="00A40336"/>
    <w:rsid w:val="00A4035D"/>
    <w:rsid w:val="00A413A3"/>
    <w:rsid w:val="00A420D3"/>
    <w:rsid w:val="00A43270"/>
    <w:rsid w:val="00A4327F"/>
    <w:rsid w:val="00A438F6"/>
    <w:rsid w:val="00A452A4"/>
    <w:rsid w:val="00A4539E"/>
    <w:rsid w:val="00A454A2"/>
    <w:rsid w:val="00A456FB"/>
    <w:rsid w:val="00A45B3E"/>
    <w:rsid w:val="00A46080"/>
    <w:rsid w:val="00A461CB"/>
    <w:rsid w:val="00A46C6C"/>
    <w:rsid w:val="00A46EB1"/>
    <w:rsid w:val="00A472D2"/>
    <w:rsid w:val="00A47A54"/>
    <w:rsid w:val="00A47AE6"/>
    <w:rsid w:val="00A47C59"/>
    <w:rsid w:val="00A504F3"/>
    <w:rsid w:val="00A50FEC"/>
    <w:rsid w:val="00A51C34"/>
    <w:rsid w:val="00A51FC3"/>
    <w:rsid w:val="00A52CF2"/>
    <w:rsid w:val="00A52F51"/>
    <w:rsid w:val="00A532FC"/>
    <w:rsid w:val="00A53624"/>
    <w:rsid w:val="00A53B04"/>
    <w:rsid w:val="00A54F72"/>
    <w:rsid w:val="00A55092"/>
    <w:rsid w:val="00A55957"/>
    <w:rsid w:val="00A55AAB"/>
    <w:rsid w:val="00A565B6"/>
    <w:rsid w:val="00A567E2"/>
    <w:rsid w:val="00A56806"/>
    <w:rsid w:val="00A57F15"/>
    <w:rsid w:val="00A60066"/>
    <w:rsid w:val="00A60179"/>
    <w:rsid w:val="00A6061E"/>
    <w:rsid w:val="00A611BD"/>
    <w:rsid w:val="00A61782"/>
    <w:rsid w:val="00A61FDA"/>
    <w:rsid w:val="00A6334A"/>
    <w:rsid w:val="00A63850"/>
    <w:rsid w:val="00A64787"/>
    <w:rsid w:val="00A648E9"/>
    <w:rsid w:val="00A649BE"/>
    <w:rsid w:val="00A6654A"/>
    <w:rsid w:val="00A665E0"/>
    <w:rsid w:val="00A667AB"/>
    <w:rsid w:val="00A66C0D"/>
    <w:rsid w:val="00A66C0E"/>
    <w:rsid w:val="00A6764D"/>
    <w:rsid w:val="00A67934"/>
    <w:rsid w:val="00A67D4A"/>
    <w:rsid w:val="00A67FA4"/>
    <w:rsid w:val="00A703AE"/>
    <w:rsid w:val="00A70415"/>
    <w:rsid w:val="00A709AE"/>
    <w:rsid w:val="00A70DCB"/>
    <w:rsid w:val="00A70E5B"/>
    <w:rsid w:val="00A71C2A"/>
    <w:rsid w:val="00A71FD1"/>
    <w:rsid w:val="00A720C2"/>
    <w:rsid w:val="00A7248F"/>
    <w:rsid w:val="00A72733"/>
    <w:rsid w:val="00A72A9B"/>
    <w:rsid w:val="00A72B33"/>
    <w:rsid w:val="00A72BC8"/>
    <w:rsid w:val="00A72C04"/>
    <w:rsid w:val="00A72E75"/>
    <w:rsid w:val="00A72FE2"/>
    <w:rsid w:val="00A730F2"/>
    <w:rsid w:val="00A73341"/>
    <w:rsid w:val="00A73C8E"/>
    <w:rsid w:val="00A748ED"/>
    <w:rsid w:val="00A74AEA"/>
    <w:rsid w:val="00A75386"/>
    <w:rsid w:val="00A7546A"/>
    <w:rsid w:val="00A7593A"/>
    <w:rsid w:val="00A7597F"/>
    <w:rsid w:val="00A75D3F"/>
    <w:rsid w:val="00A768C8"/>
    <w:rsid w:val="00A76C21"/>
    <w:rsid w:val="00A77727"/>
    <w:rsid w:val="00A77C4F"/>
    <w:rsid w:val="00A77E8E"/>
    <w:rsid w:val="00A80EEF"/>
    <w:rsid w:val="00A8226A"/>
    <w:rsid w:val="00A822DA"/>
    <w:rsid w:val="00A82341"/>
    <w:rsid w:val="00A82941"/>
    <w:rsid w:val="00A82A75"/>
    <w:rsid w:val="00A834D6"/>
    <w:rsid w:val="00A83DBC"/>
    <w:rsid w:val="00A84746"/>
    <w:rsid w:val="00A847AE"/>
    <w:rsid w:val="00A84D2C"/>
    <w:rsid w:val="00A85084"/>
    <w:rsid w:val="00A855FE"/>
    <w:rsid w:val="00A85836"/>
    <w:rsid w:val="00A85E79"/>
    <w:rsid w:val="00A85F29"/>
    <w:rsid w:val="00A8613B"/>
    <w:rsid w:val="00A86203"/>
    <w:rsid w:val="00A864F2"/>
    <w:rsid w:val="00A86AF6"/>
    <w:rsid w:val="00A86D62"/>
    <w:rsid w:val="00A87868"/>
    <w:rsid w:val="00A87982"/>
    <w:rsid w:val="00A87C2F"/>
    <w:rsid w:val="00A904F2"/>
    <w:rsid w:val="00A90A9D"/>
    <w:rsid w:val="00A911A0"/>
    <w:rsid w:val="00A91363"/>
    <w:rsid w:val="00A91450"/>
    <w:rsid w:val="00A91B63"/>
    <w:rsid w:val="00A91E2F"/>
    <w:rsid w:val="00A920B1"/>
    <w:rsid w:val="00A92523"/>
    <w:rsid w:val="00A92564"/>
    <w:rsid w:val="00A92DB9"/>
    <w:rsid w:val="00A93584"/>
    <w:rsid w:val="00A93738"/>
    <w:rsid w:val="00A93A95"/>
    <w:rsid w:val="00A94084"/>
    <w:rsid w:val="00A94393"/>
    <w:rsid w:val="00A9446E"/>
    <w:rsid w:val="00A94935"/>
    <w:rsid w:val="00A9664D"/>
    <w:rsid w:val="00A96852"/>
    <w:rsid w:val="00A96939"/>
    <w:rsid w:val="00A96C21"/>
    <w:rsid w:val="00A97831"/>
    <w:rsid w:val="00A9791D"/>
    <w:rsid w:val="00A97C3B"/>
    <w:rsid w:val="00A97D4A"/>
    <w:rsid w:val="00A97DB8"/>
    <w:rsid w:val="00AA0209"/>
    <w:rsid w:val="00AA03A6"/>
    <w:rsid w:val="00AA09B4"/>
    <w:rsid w:val="00AA1128"/>
    <w:rsid w:val="00AA1A7C"/>
    <w:rsid w:val="00AA1ADA"/>
    <w:rsid w:val="00AA20B3"/>
    <w:rsid w:val="00AA21D8"/>
    <w:rsid w:val="00AA2A7D"/>
    <w:rsid w:val="00AA2A95"/>
    <w:rsid w:val="00AA2ECC"/>
    <w:rsid w:val="00AA31F0"/>
    <w:rsid w:val="00AA3A06"/>
    <w:rsid w:val="00AA3A3E"/>
    <w:rsid w:val="00AA3B94"/>
    <w:rsid w:val="00AA3C94"/>
    <w:rsid w:val="00AA41D4"/>
    <w:rsid w:val="00AA4203"/>
    <w:rsid w:val="00AA4775"/>
    <w:rsid w:val="00AA488F"/>
    <w:rsid w:val="00AA4B3A"/>
    <w:rsid w:val="00AA5515"/>
    <w:rsid w:val="00AA567F"/>
    <w:rsid w:val="00AA583C"/>
    <w:rsid w:val="00AA6000"/>
    <w:rsid w:val="00AA6210"/>
    <w:rsid w:val="00AA65CF"/>
    <w:rsid w:val="00AA6A88"/>
    <w:rsid w:val="00AA71B3"/>
    <w:rsid w:val="00AA78B5"/>
    <w:rsid w:val="00AB02DD"/>
    <w:rsid w:val="00AB045C"/>
    <w:rsid w:val="00AB05BB"/>
    <w:rsid w:val="00AB08A4"/>
    <w:rsid w:val="00AB090C"/>
    <w:rsid w:val="00AB0CEC"/>
    <w:rsid w:val="00AB0F9A"/>
    <w:rsid w:val="00AB1160"/>
    <w:rsid w:val="00AB1411"/>
    <w:rsid w:val="00AB142E"/>
    <w:rsid w:val="00AB1884"/>
    <w:rsid w:val="00AB1C10"/>
    <w:rsid w:val="00AB1D44"/>
    <w:rsid w:val="00AB212D"/>
    <w:rsid w:val="00AB2246"/>
    <w:rsid w:val="00AB29B8"/>
    <w:rsid w:val="00AB3151"/>
    <w:rsid w:val="00AB32C1"/>
    <w:rsid w:val="00AB3552"/>
    <w:rsid w:val="00AB39AB"/>
    <w:rsid w:val="00AB3C87"/>
    <w:rsid w:val="00AB47DA"/>
    <w:rsid w:val="00AB49C3"/>
    <w:rsid w:val="00AB4A79"/>
    <w:rsid w:val="00AB55F8"/>
    <w:rsid w:val="00AB57AA"/>
    <w:rsid w:val="00AB5DF2"/>
    <w:rsid w:val="00AB6206"/>
    <w:rsid w:val="00AB63CF"/>
    <w:rsid w:val="00AB6C2E"/>
    <w:rsid w:val="00AB6C4D"/>
    <w:rsid w:val="00AB762B"/>
    <w:rsid w:val="00AB7866"/>
    <w:rsid w:val="00AC039B"/>
    <w:rsid w:val="00AC1A38"/>
    <w:rsid w:val="00AC1D3B"/>
    <w:rsid w:val="00AC226A"/>
    <w:rsid w:val="00AC246C"/>
    <w:rsid w:val="00AC2E4F"/>
    <w:rsid w:val="00AC2FB2"/>
    <w:rsid w:val="00AC32FB"/>
    <w:rsid w:val="00AC37BE"/>
    <w:rsid w:val="00AC3877"/>
    <w:rsid w:val="00AC38BD"/>
    <w:rsid w:val="00AC3ADE"/>
    <w:rsid w:val="00AC3AFD"/>
    <w:rsid w:val="00AC3F58"/>
    <w:rsid w:val="00AC4C8C"/>
    <w:rsid w:val="00AC4C92"/>
    <w:rsid w:val="00AC4E28"/>
    <w:rsid w:val="00AC4E71"/>
    <w:rsid w:val="00AC4F7E"/>
    <w:rsid w:val="00AC5700"/>
    <w:rsid w:val="00AC5A64"/>
    <w:rsid w:val="00AC5E88"/>
    <w:rsid w:val="00AC6254"/>
    <w:rsid w:val="00AC67A7"/>
    <w:rsid w:val="00AC684E"/>
    <w:rsid w:val="00AC6B61"/>
    <w:rsid w:val="00AC7042"/>
    <w:rsid w:val="00AC752F"/>
    <w:rsid w:val="00AC7B8D"/>
    <w:rsid w:val="00AC7E49"/>
    <w:rsid w:val="00AD099F"/>
    <w:rsid w:val="00AD1789"/>
    <w:rsid w:val="00AD1AE4"/>
    <w:rsid w:val="00AD1C10"/>
    <w:rsid w:val="00AD1C15"/>
    <w:rsid w:val="00AD2E7B"/>
    <w:rsid w:val="00AD2F8F"/>
    <w:rsid w:val="00AD3685"/>
    <w:rsid w:val="00AD3E82"/>
    <w:rsid w:val="00AD3F4F"/>
    <w:rsid w:val="00AD403C"/>
    <w:rsid w:val="00AD4153"/>
    <w:rsid w:val="00AD44E1"/>
    <w:rsid w:val="00AD4838"/>
    <w:rsid w:val="00AD4CDF"/>
    <w:rsid w:val="00AD4EED"/>
    <w:rsid w:val="00AD5420"/>
    <w:rsid w:val="00AD56CF"/>
    <w:rsid w:val="00AD5DDB"/>
    <w:rsid w:val="00AD5E3E"/>
    <w:rsid w:val="00AD60B8"/>
    <w:rsid w:val="00AD60EF"/>
    <w:rsid w:val="00AD612C"/>
    <w:rsid w:val="00AD6A9E"/>
    <w:rsid w:val="00AD734C"/>
    <w:rsid w:val="00AD7922"/>
    <w:rsid w:val="00AE0413"/>
    <w:rsid w:val="00AE05BF"/>
    <w:rsid w:val="00AE0D8D"/>
    <w:rsid w:val="00AE20B5"/>
    <w:rsid w:val="00AE23C8"/>
    <w:rsid w:val="00AE265A"/>
    <w:rsid w:val="00AE308D"/>
    <w:rsid w:val="00AE36D1"/>
    <w:rsid w:val="00AE39C9"/>
    <w:rsid w:val="00AE3DDB"/>
    <w:rsid w:val="00AE4009"/>
    <w:rsid w:val="00AE4A64"/>
    <w:rsid w:val="00AE54A2"/>
    <w:rsid w:val="00AE5771"/>
    <w:rsid w:val="00AE59FC"/>
    <w:rsid w:val="00AE62F5"/>
    <w:rsid w:val="00AE64BE"/>
    <w:rsid w:val="00AE6569"/>
    <w:rsid w:val="00AE6AAF"/>
    <w:rsid w:val="00AE6E97"/>
    <w:rsid w:val="00AE758E"/>
    <w:rsid w:val="00AF059D"/>
    <w:rsid w:val="00AF077D"/>
    <w:rsid w:val="00AF0992"/>
    <w:rsid w:val="00AF0C7C"/>
    <w:rsid w:val="00AF0D62"/>
    <w:rsid w:val="00AF0EB3"/>
    <w:rsid w:val="00AF105C"/>
    <w:rsid w:val="00AF1281"/>
    <w:rsid w:val="00AF14C8"/>
    <w:rsid w:val="00AF18E9"/>
    <w:rsid w:val="00AF2130"/>
    <w:rsid w:val="00AF23D9"/>
    <w:rsid w:val="00AF2586"/>
    <w:rsid w:val="00AF290E"/>
    <w:rsid w:val="00AF29FA"/>
    <w:rsid w:val="00AF37D5"/>
    <w:rsid w:val="00AF381B"/>
    <w:rsid w:val="00AF3F63"/>
    <w:rsid w:val="00AF4345"/>
    <w:rsid w:val="00AF43C7"/>
    <w:rsid w:val="00AF44A6"/>
    <w:rsid w:val="00AF463B"/>
    <w:rsid w:val="00AF4CC5"/>
    <w:rsid w:val="00AF5319"/>
    <w:rsid w:val="00AF55C5"/>
    <w:rsid w:val="00AF608B"/>
    <w:rsid w:val="00AF67E2"/>
    <w:rsid w:val="00AF6A59"/>
    <w:rsid w:val="00AF7BDD"/>
    <w:rsid w:val="00B007C8"/>
    <w:rsid w:val="00B00F8C"/>
    <w:rsid w:val="00B00FEC"/>
    <w:rsid w:val="00B0202D"/>
    <w:rsid w:val="00B02039"/>
    <w:rsid w:val="00B02145"/>
    <w:rsid w:val="00B02F0C"/>
    <w:rsid w:val="00B03776"/>
    <w:rsid w:val="00B03ED8"/>
    <w:rsid w:val="00B0401D"/>
    <w:rsid w:val="00B042D2"/>
    <w:rsid w:val="00B04E8D"/>
    <w:rsid w:val="00B04F50"/>
    <w:rsid w:val="00B0542F"/>
    <w:rsid w:val="00B05A05"/>
    <w:rsid w:val="00B06495"/>
    <w:rsid w:val="00B064F1"/>
    <w:rsid w:val="00B06DA3"/>
    <w:rsid w:val="00B06F28"/>
    <w:rsid w:val="00B070A0"/>
    <w:rsid w:val="00B0710C"/>
    <w:rsid w:val="00B07F37"/>
    <w:rsid w:val="00B109DF"/>
    <w:rsid w:val="00B1119A"/>
    <w:rsid w:val="00B118E1"/>
    <w:rsid w:val="00B11A39"/>
    <w:rsid w:val="00B11A5F"/>
    <w:rsid w:val="00B11A9A"/>
    <w:rsid w:val="00B11FE9"/>
    <w:rsid w:val="00B120CF"/>
    <w:rsid w:val="00B1210E"/>
    <w:rsid w:val="00B1243E"/>
    <w:rsid w:val="00B129BD"/>
    <w:rsid w:val="00B12BDA"/>
    <w:rsid w:val="00B13285"/>
    <w:rsid w:val="00B13CAD"/>
    <w:rsid w:val="00B13D2B"/>
    <w:rsid w:val="00B13F2E"/>
    <w:rsid w:val="00B14011"/>
    <w:rsid w:val="00B14793"/>
    <w:rsid w:val="00B14BB8"/>
    <w:rsid w:val="00B15075"/>
    <w:rsid w:val="00B15774"/>
    <w:rsid w:val="00B15DB9"/>
    <w:rsid w:val="00B1744A"/>
    <w:rsid w:val="00B1780E"/>
    <w:rsid w:val="00B17DE4"/>
    <w:rsid w:val="00B200D3"/>
    <w:rsid w:val="00B2044A"/>
    <w:rsid w:val="00B20557"/>
    <w:rsid w:val="00B2060E"/>
    <w:rsid w:val="00B20665"/>
    <w:rsid w:val="00B206B5"/>
    <w:rsid w:val="00B208A4"/>
    <w:rsid w:val="00B20DCF"/>
    <w:rsid w:val="00B20F8A"/>
    <w:rsid w:val="00B215EB"/>
    <w:rsid w:val="00B22522"/>
    <w:rsid w:val="00B2288A"/>
    <w:rsid w:val="00B24D66"/>
    <w:rsid w:val="00B24F60"/>
    <w:rsid w:val="00B2575A"/>
    <w:rsid w:val="00B258AF"/>
    <w:rsid w:val="00B264B0"/>
    <w:rsid w:val="00B26CDB"/>
    <w:rsid w:val="00B26ECF"/>
    <w:rsid w:val="00B27444"/>
    <w:rsid w:val="00B27734"/>
    <w:rsid w:val="00B27771"/>
    <w:rsid w:val="00B27787"/>
    <w:rsid w:val="00B278D7"/>
    <w:rsid w:val="00B27D72"/>
    <w:rsid w:val="00B3091E"/>
    <w:rsid w:val="00B30A11"/>
    <w:rsid w:val="00B31602"/>
    <w:rsid w:val="00B319FE"/>
    <w:rsid w:val="00B32064"/>
    <w:rsid w:val="00B3232C"/>
    <w:rsid w:val="00B326F3"/>
    <w:rsid w:val="00B32D36"/>
    <w:rsid w:val="00B331B8"/>
    <w:rsid w:val="00B33786"/>
    <w:rsid w:val="00B337A4"/>
    <w:rsid w:val="00B33D0B"/>
    <w:rsid w:val="00B33EC2"/>
    <w:rsid w:val="00B34725"/>
    <w:rsid w:val="00B34A26"/>
    <w:rsid w:val="00B34B8D"/>
    <w:rsid w:val="00B34CC9"/>
    <w:rsid w:val="00B355F0"/>
    <w:rsid w:val="00B3578C"/>
    <w:rsid w:val="00B362A6"/>
    <w:rsid w:val="00B3698E"/>
    <w:rsid w:val="00B36D9E"/>
    <w:rsid w:val="00B37311"/>
    <w:rsid w:val="00B373FB"/>
    <w:rsid w:val="00B377CE"/>
    <w:rsid w:val="00B37975"/>
    <w:rsid w:val="00B4106F"/>
    <w:rsid w:val="00B41384"/>
    <w:rsid w:val="00B41BE7"/>
    <w:rsid w:val="00B41E2D"/>
    <w:rsid w:val="00B42126"/>
    <w:rsid w:val="00B4235F"/>
    <w:rsid w:val="00B42486"/>
    <w:rsid w:val="00B424F7"/>
    <w:rsid w:val="00B42568"/>
    <w:rsid w:val="00B42C83"/>
    <w:rsid w:val="00B42CEC"/>
    <w:rsid w:val="00B4316E"/>
    <w:rsid w:val="00B4339F"/>
    <w:rsid w:val="00B43585"/>
    <w:rsid w:val="00B4381B"/>
    <w:rsid w:val="00B4383C"/>
    <w:rsid w:val="00B4403D"/>
    <w:rsid w:val="00B4487F"/>
    <w:rsid w:val="00B44F2E"/>
    <w:rsid w:val="00B45847"/>
    <w:rsid w:val="00B45A7C"/>
    <w:rsid w:val="00B460A1"/>
    <w:rsid w:val="00B460E0"/>
    <w:rsid w:val="00B46275"/>
    <w:rsid w:val="00B464C7"/>
    <w:rsid w:val="00B464E7"/>
    <w:rsid w:val="00B4658A"/>
    <w:rsid w:val="00B4733F"/>
    <w:rsid w:val="00B4758E"/>
    <w:rsid w:val="00B47CBB"/>
    <w:rsid w:val="00B5083E"/>
    <w:rsid w:val="00B50ADB"/>
    <w:rsid w:val="00B51604"/>
    <w:rsid w:val="00B51F64"/>
    <w:rsid w:val="00B52712"/>
    <w:rsid w:val="00B5276C"/>
    <w:rsid w:val="00B53B4E"/>
    <w:rsid w:val="00B53C5F"/>
    <w:rsid w:val="00B546C6"/>
    <w:rsid w:val="00B54BD0"/>
    <w:rsid w:val="00B54BD8"/>
    <w:rsid w:val="00B54BF3"/>
    <w:rsid w:val="00B55157"/>
    <w:rsid w:val="00B5596C"/>
    <w:rsid w:val="00B55A7E"/>
    <w:rsid w:val="00B569B2"/>
    <w:rsid w:val="00B56EE6"/>
    <w:rsid w:val="00B56FBD"/>
    <w:rsid w:val="00B5715A"/>
    <w:rsid w:val="00B57327"/>
    <w:rsid w:val="00B57597"/>
    <w:rsid w:val="00B6002D"/>
    <w:rsid w:val="00B6010B"/>
    <w:rsid w:val="00B60DDA"/>
    <w:rsid w:val="00B60FB3"/>
    <w:rsid w:val="00B61262"/>
    <w:rsid w:val="00B61928"/>
    <w:rsid w:val="00B61AC5"/>
    <w:rsid w:val="00B6210A"/>
    <w:rsid w:val="00B6220A"/>
    <w:rsid w:val="00B629F3"/>
    <w:rsid w:val="00B63A9B"/>
    <w:rsid w:val="00B640CF"/>
    <w:rsid w:val="00B65828"/>
    <w:rsid w:val="00B65E01"/>
    <w:rsid w:val="00B665BB"/>
    <w:rsid w:val="00B667FC"/>
    <w:rsid w:val="00B66800"/>
    <w:rsid w:val="00B668CA"/>
    <w:rsid w:val="00B66AB0"/>
    <w:rsid w:val="00B66F3B"/>
    <w:rsid w:val="00B677D7"/>
    <w:rsid w:val="00B678C7"/>
    <w:rsid w:val="00B67B05"/>
    <w:rsid w:val="00B67BCE"/>
    <w:rsid w:val="00B70310"/>
    <w:rsid w:val="00B7095E"/>
    <w:rsid w:val="00B70AE6"/>
    <w:rsid w:val="00B70C27"/>
    <w:rsid w:val="00B70ED8"/>
    <w:rsid w:val="00B710E0"/>
    <w:rsid w:val="00B7162D"/>
    <w:rsid w:val="00B71C89"/>
    <w:rsid w:val="00B71E56"/>
    <w:rsid w:val="00B7265A"/>
    <w:rsid w:val="00B727DF"/>
    <w:rsid w:val="00B72CF9"/>
    <w:rsid w:val="00B72EE9"/>
    <w:rsid w:val="00B73637"/>
    <w:rsid w:val="00B73D34"/>
    <w:rsid w:val="00B742C1"/>
    <w:rsid w:val="00B74400"/>
    <w:rsid w:val="00B74720"/>
    <w:rsid w:val="00B74C99"/>
    <w:rsid w:val="00B75032"/>
    <w:rsid w:val="00B750D5"/>
    <w:rsid w:val="00B75680"/>
    <w:rsid w:val="00B7588B"/>
    <w:rsid w:val="00B7591C"/>
    <w:rsid w:val="00B75D1D"/>
    <w:rsid w:val="00B75E98"/>
    <w:rsid w:val="00B765FD"/>
    <w:rsid w:val="00B7697E"/>
    <w:rsid w:val="00B76A3F"/>
    <w:rsid w:val="00B76A7D"/>
    <w:rsid w:val="00B76CE1"/>
    <w:rsid w:val="00B76EE1"/>
    <w:rsid w:val="00B776D5"/>
    <w:rsid w:val="00B77B7E"/>
    <w:rsid w:val="00B80744"/>
    <w:rsid w:val="00B80747"/>
    <w:rsid w:val="00B80979"/>
    <w:rsid w:val="00B80B1D"/>
    <w:rsid w:val="00B80C9D"/>
    <w:rsid w:val="00B80CDD"/>
    <w:rsid w:val="00B810FF"/>
    <w:rsid w:val="00B818AA"/>
    <w:rsid w:val="00B81B66"/>
    <w:rsid w:val="00B81BC2"/>
    <w:rsid w:val="00B81C75"/>
    <w:rsid w:val="00B81D8F"/>
    <w:rsid w:val="00B81DF5"/>
    <w:rsid w:val="00B81EEF"/>
    <w:rsid w:val="00B81F26"/>
    <w:rsid w:val="00B826CA"/>
    <w:rsid w:val="00B835C5"/>
    <w:rsid w:val="00B840BB"/>
    <w:rsid w:val="00B84762"/>
    <w:rsid w:val="00B84C9F"/>
    <w:rsid w:val="00B8525F"/>
    <w:rsid w:val="00B8539B"/>
    <w:rsid w:val="00B856E9"/>
    <w:rsid w:val="00B85774"/>
    <w:rsid w:val="00B85777"/>
    <w:rsid w:val="00B86429"/>
    <w:rsid w:val="00B8648F"/>
    <w:rsid w:val="00B866C7"/>
    <w:rsid w:val="00B86EFB"/>
    <w:rsid w:val="00B86FE2"/>
    <w:rsid w:val="00B87563"/>
    <w:rsid w:val="00B87EBC"/>
    <w:rsid w:val="00B87FEB"/>
    <w:rsid w:val="00B87FF0"/>
    <w:rsid w:val="00B90825"/>
    <w:rsid w:val="00B9084F"/>
    <w:rsid w:val="00B90862"/>
    <w:rsid w:val="00B90DD5"/>
    <w:rsid w:val="00B912EC"/>
    <w:rsid w:val="00B914D6"/>
    <w:rsid w:val="00B917AC"/>
    <w:rsid w:val="00B91F77"/>
    <w:rsid w:val="00B926AC"/>
    <w:rsid w:val="00B92D48"/>
    <w:rsid w:val="00B92E6B"/>
    <w:rsid w:val="00B93043"/>
    <w:rsid w:val="00B93431"/>
    <w:rsid w:val="00B93500"/>
    <w:rsid w:val="00B93A61"/>
    <w:rsid w:val="00B93D97"/>
    <w:rsid w:val="00B94392"/>
    <w:rsid w:val="00B94683"/>
    <w:rsid w:val="00B948CB"/>
    <w:rsid w:val="00B94F16"/>
    <w:rsid w:val="00B94F5F"/>
    <w:rsid w:val="00B955F5"/>
    <w:rsid w:val="00B95663"/>
    <w:rsid w:val="00B95A36"/>
    <w:rsid w:val="00B95CCC"/>
    <w:rsid w:val="00B95F44"/>
    <w:rsid w:val="00B96763"/>
    <w:rsid w:val="00B96B87"/>
    <w:rsid w:val="00B96D3C"/>
    <w:rsid w:val="00B973CC"/>
    <w:rsid w:val="00B97577"/>
    <w:rsid w:val="00BA0434"/>
    <w:rsid w:val="00BA0FE9"/>
    <w:rsid w:val="00BA139F"/>
    <w:rsid w:val="00BA1A0B"/>
    <w:rsid w:val="00BA1A97"/>
    <w:rsid w:val="00BA1D7C"/>
    <w:rsid w:val="00BA1E85"/>
    <w:rsid w:val="00BA3482"/>
    <w:rsid w:val="00BA359B"/>
    <w:rsid w:val="00BA3724"/>
    <w:rsid w:val="00BA39D3"/>
    <w:rsid w:val="00BA3A93"/>
    <w:rsid w:val="00BA3E02"/>
    <w:rsid w:val="00BA4D05"/>
    <w:rsid w:val="00BA5165"/>
    <w:rsid w:val="00BA5599"/>
    <w:rsid w:val="00BA5A40"/>
    <w:rsid w:val="00BA5E74"/>
    <w:rsid w:val="00BA5FD5"/>
    <w:rsid w:val="00BA62AB"/>
    <w:rsid w:val="00BA77EE"/>
    <w:rsid w:val="00BA7E0B"/>
    <w:rsid w:val="00BB03FB"/>
    <w:rsid w:val="00BB0DE3"/>
    <w:rsid w:val="00BB0EA0"/>
    <w:rsid w:val="00BB10CD"/>
    <w:rsid w:val="00BB10F0"/>
    <w:rsid w:val="00BB122E"/>
    <w:rsid w:val="00BB1D90"/>
    <w:rsid w:val="00BB215B"/>
    <w:rsid w:val="00BB2594"/>
    <w:rsid w:val="00BB25BB"/>
    <w:rsid w:val="00BB375D"/>
    <w:rsid w:val="00BB399B"/>
    <w:rsid w:val="00BB3C0A"/>
    <w:rsid w:val="00BB4A6F"/>
    <w:rsid w:val="00BB4B75"/>
    <w:rsid w:val="00BB56B1"/>
    <w:rsid w:val="00BB5759"/>
    <w:rsid w:val="00BB586E"/>
    <w:rsid w:val="00BB58A9"/>
    <w:rsid w:val="00BB5A30"/>
    <w:rsid w:val="00BB5B98"/>
    <w:rsid w:val="00BB63DF"/>
    <w:rsid w:val="00BB6441"/>
    <w:rsid w:val="00BB65E3"/>
    <w:rsid w:val="00BB7BAC"/>
    <w:rsid w:val="00BB7E2B"/>
    <w:rsid w:val="00BC08D8"/>
    <w:rsid w:val="00BC08FC"/>
    <w:rsid w:val="00BC1626"/>
    <w:rsid w:val="00BC202D"/>
    <w:rsid w:val="00BC213B"/>
    <w:rsid w:val="00BC250C"/>
    <w:rsid w:val="00BC2964"/>
    <w:rsid w:val="00BC2AC9"/>
    <w:rsid w:val="00BC30FA"/>
    <w:rsid w:val="00BC3112"/>
    <w:rsid w:val="00BC3776"/>
    <w:rsid w:val="00BC3D8E"/>
    <w:rsid w:val="00BC3D98"/>
    <w:rsid w:val="00BC3E7F"/>
    <w:rsid w:val="00BC41B5"/>
    <w:rsid w:val="00BC4C63"/>
    <w:rsid w:val="00BC54D1"/>
    <w:rsid w:val="00BC55A3"/>
    <w:rsid w:val="00BC6308"/>
    <w:rsid w:val="00BC63FE"/>
    <w:rsid w:val="00BC666D"/>
    <w:rsid w:val="00BC67A4"/>
    <w:rsid w:val="00BC6B4D"/>
    <w:rsid w:val="00BC6C4F"/>
    <w:rsid w:val="00BC76AA"/>
    <w:rsid w:val="00BD05D9"/>
    <w:rsid w:val="00BD096D"/>
    <w:rsid w:val="00BD1290"/>
    <w:rsid w:val="00BD1CFB"/>
    <w:rsid w:val="00BD2B8F"/>
    <w:rsid w:val="00BD35B9"/>
    <w:rsid w:val="00BD36EC"/>
    <w:rsid w:val="00BD3D8B"/>
    <w:rsid w:val="00BD4A52"/>
    <w:rsid w:val="00BD51CA"/>
    <w:rsid w:val="00BD5CD2"/>
    <w:rsid w:val="00BD6307"/>
    <w:rsid w:val="00BD77DE"/>
    <w:rsid w:val="00BD79C2"/>
    <w:rsid w:val="00BE0AFE"/>
    <w:rsid w:val="00BE1F2E"/>
    <w:rsid w:val="00BE1FA7"/>
    <w:rsid w:val="00BE2AD7"/>
    <w:rsid w:val="00BE2BAA"/>
    <w:rsid w:val="00BE2C88"/>
    <w:rsid w:val="00BE2DCE"/>
    <w:rsid w:val="00BE30D6"/>
    <w:rsid w:val="00BE3995"/>
    <w:rsid w:val="00BE3B52"/>
    <w:rsid w:val="00BE4F8D"/>
    <w:rsid w:val="00BE590A"/>
    <w:rsid w:val="00BE6F1E"/>
    <w:rsid w:val="00BE70CC"/>
    <w:rsid w:val="00BE770F"/>
    <w:rsid w:val="00BE778C"/>
    <w:rsid w:val="00BE7C68"/>
    <w:rsid w:val="00BE7CAB"/>
    <w:rsid w:val="00BF01D4"/>
    <w:rsid w:val="00BF11CB"/>
    <w:rsid w:val="00BF16EC"/>
    <w:rsid w:val="00BF1771"/>
    <w:rsid w:val="00BF190A"/>
    <w:rsid w:val="00BF1CED"/>
    <w:rsid w:val="00BF1F26"/>
    <w:rsid w:val="00BF20FB"/>
    <w:rsid w:val="00BF2520"/>
    <w:rsid w:val="00BF2912"/>
    <w:rsid w:val="00BF2997"/>
    <w:rsid w:val="00BF3DE9"/>
    <w:rsid w:val="00BF41DD"/>
    <w:rsid w:val="00BF4C22"/>
    <w:rsid w:val="00BF4CD1"/>
    <w:rsid w:val="00BF4DD7"/>
    <w:rsid w:val="00BF51E4"/>
    <w:rsid w:val="00BF5866"/>
    <w:rsid w:val="00BF6043"/>
    <w:rsid w:val="00BF6850"/>
    <w:rsid w:val="00BF76ED"/>
    <w:rsid w:val="00C00156"/>
    <w:rsid w:val="00C003C3"/>
    <w:rsid w:val="00C006F6"/>
    <w:rsid w:val="00C00838"/>
    <w:rsid w:val="00C008C6"/>
    <w:rsid w:val="00C00BE6"/>
    <w:rsid w:val="00C00F80"/>
    <w:rsid w:val="00C01250"/>
    <w:rsid w:val="00C014DD"/>
    <w:rsid w:val="00C01619"/>
    <w:rsid w:val="00C01709"/>
    <w:rsid w:val="00C022CE"/>
    <w:rsid w:val="00C02F18"/>
    <w:rsid w:val="00C03036"/>
    <w:rsid w:val="00C03041"/>
    <w:rsid w:val="00C0332A"/>
    <w:rsid w:val="00C03468"/>
    <w:rsid w:val="00C03815"/>
    <w:rsid w:val="00C041F4"/>
    <w:rsid w:val="00C04C59"/>
    <w:rsid w:val="00C04C6F"/>
    <w:rsid w:val="00C0524E"/>
    <w:rsid w:val="00C05428"/>
    <w:rsid w:val="00C058A3"/>
    <w:rsid w:val="00C05E05"/>
    <w:rsid w:val="00C0602D"/>
    <w:rsid w:val="00C0711F"/>
    <w:rsid w:val="00C073D8"/>
    <w:rsid w:val="00C076B1"/>
    <w:rsid w:val="00C077E1"/>
    <w:rsid w:val="00C107BE"/>
    <w:rsid w:val="00C10B85"/>
    <w:rsid w:val="00C10BD0"/>
    <w:rsid w:val="00C10C03"/>
    <w:rsid w:val="00C112F7"/>
    <w:rsid w:val="00C1161D"/>
    <w:rsid w:val="00C11638"/>
    <w:rsid w:val="00C12A8C"/>
    <w:rsid w:val="00C12AF8"/>
    <w:rsid w:val="00C12C89"/>
    <w:rsid w:val="00C12CC4"/>
    <w:rsid w:val="00C12CE6"/>
    <w:rsid w:val="00C12D9C"/>
    <w:rsid w:val="00C13208"/>
    <w:rsid w:val="00C133F5"/>
    <w:rsid w:val="00C1355A"/>
    <w:rsid w:val="00C1360E"/>
    <w:rsid w:val="00C13819"/>
    <w:rsid w:val="00C13A85"/>
    <w:rsid w:val="00C13CCA"/>
    <w:rsid w:val="00C142EA"/>
    <w:rsid w:val="00C14AD2"/>
    <w:rsid w:val="00C14CA5"/>
    <w:rsid w:val="00C1518A"/>
    <w:rsid w:val="00C15B39"/>
    <w:rsid w:val="00C15BE1"/>
    <w:rsid w:val="00C160D9"/>
    <w:rsid w:val="00C16B32"/>
    <w:rsid w:val="00C16FF1"/>
    <w:rsid w:val="00C17089"/>
    <w:rsid w:val="00C1715B"/>
    <w:rsid w:val="00C17235"/>
    <w:rsid w:val="00C1757F"/>
    <w:rsid w:val="00C17B74"/>
    <w:rsid w:val="00C17BCC"/>
    <w:rsid w:val="00C20358"/>
    <w:rsid w:val="00C20990"/>
    <w:rsid w:val="00C20A09"/>
    <w:rsid w:val="00C20A64"/>
    <w:rsid w:val="00C20AEB"/>
    <w:rsid w:val="00C20F22"/>
    <w:rsid w:val="00C2120C"/>
    <w:rsid w:val="00C2186F"/>
    <w:rsid w:val="00C21FF8"/>
    <w:rsid w:val="00C220F2"/>
    <w:rsid w:val="00C223A0"/>
    <w:rsid w:val="00C22F32"/>
    <w:rsid w:val="00C23BBD"/>
    <w:rsid w:val="00C2410D"/>
    <w:rsid w:val="00C2455C"/>
    <w:rsid w:val="00C24638"/>
    <w:rsid w:val="00C24F3E"/>
    <w:rsid w:val="00C25449"/>
    <w:rsid w:val="00C25FB6"/>
    <w:rsid w:val="00C26054"/>
    <w:rsid w:val="00C260D2"/>
    <w:rsid w:val="00C26495"/>
    <w:rsid w:val="00C26CC0"/>
    <w:rsid w:val="00C272F8"/>
    <w:rsid w:val="00C273ED"/>
    <w:rsid w:val="00C27447"/>
    <w:rsid w:val="00C275F1"/>
    <w:rsid w:val="00C27891"/>
    <w:rsid w:val="00C27D45"/>
    <w:rsid w:val="00C300F5"/>
    <w:rsid w:val="00C30983"/>
    <w:rsid w:val="00C30AED"/>
    <w:rsid w:val="00C30F29"/>
    <w:rsid w:val="00C31073"/>
    <w:rsid w:val="00C314B5"/>
    <w:rsid w:val="00C3163B"/>
    <w:rsid w:val="00C32570"/>
    <w:rsid w:val="00C326B9"/>
    <w:rsid w:val="00C32C1E"/>
    <w:rsid w:val="00C32D53"/>
    <w:rsid w:val="00C32F69"/>
    <w:rsid w:val="00C3312E"/>
    <w:rsid w:val="00C339F2"/>
    <w:rsid w:val="00C33CD5"/>
    <w:rsid w:val="00C340CF"/>
    <w:rsid w:val="00C34101"/>
    <w:rsid w:val="00C3419A"/>
    <w:rsid w:val="00C348FE"/>
    <w:rsid w:val="00C34FBC"/>
    <w:rsid w:val="00C35087"/>
    <w:rsid w:val="00C3523B"/>
    <w:rsid w:val="00C35947"/>
    <w:rsid w:val="00C361CD"/>
    <w:rsid w:val="00C363F0"/>
    <w:rsid w:val="00C36FFE"/>
    <w:rsid w:val="00C3745D"/>
    <w:rsid w:val="00C37BBA"/>
    <w:rsid w:val="00C40A83"/>
    <w:rsid w:val="00C40D37"/>
    <w:rsid w:val="00C412E1"/>
    <w:rsid w:val="00C413B3"/>
    <w:rsid w:val="00C416FD"/>
    <w:rsid w:val="00C41E73"/>
    <w:rsid w:val="00C41FA0"/>
    <w:rsid w:val="00C423A8"/>
    <w:rsid w:val="00C4271F"/>
    <w:rsid w:val="00C42941"/>
    <w:rsid w:val="00C42A6C"/>
    <w:rsid w:val="00C42B60"/>
    <w:rsid w:val="00C43E4A"/>
    <w:rsid w:val="00C43FD4"/>
    <w:rsid w:val="00C4445E"/>
    <w:rsid w:val="00C44846"/>
    <w:rsid w:val="00C45A51"/>
    <w:rsid w:val="00C46468"/>
    <w:rsid w:val="00C46492"/>
    <w:rsid w:val="00C4688A"/>
    <w:rsid w:val="00C469E3"/>
    <w:rsid w:val="00C47155"/>
    <w:rsid w:val="00C47987"/>
    <w:rsid w:val="00C47B50"/>
    <w:rsid w:val="00C47CD2"/>
    <w:rsid w:val="00C47D56"/>
    <w:rsid w:val="00C47EE9"/>
    <w:rsid w:val="00C510DE"/>
    <w:rsid w:val="00C513E7"/>
    <w:rsid w:val="00C517FC"/>
    <w:rsid w:val="00C51E21"/>
    <w:rsid w:val="00C536E4"/>
    <w:rsid w:val="00C538AE"/>
    <w:rsid w:val="00C53C32"/>
    <w:rsid w:val="00C53E7A"/>
    <w:rsid w:val="00C53F99"/>
    <w:rsid w:val="00C542A6"/>
    <w:rsid w:val="00C54492"/>
    <w:rsid w:val="00C544B6"/>
    <w:rsid w:val="00C54601"/>
    <w:rsid w:val="00C54E26"/>
    <w:rsid w:val="00C5522C"/>
    <w:rsid w:val="00C552DF"/>
    <w:rsid w:val="00C56A84"/>
    <w:rsid w:val="00C56AC6"/>
    <w:rsid w:val="00C57158"/>
    <w:rsid w:val="00C575E8"/>
    <w:rsid w:val="00C5777E"/>
    <w:rsid w:val="00C577CC"/>
    <w:rsid w:val="00C57EB0"/>
    <w:rsid w:val="00C608BA"/>
    <w:rsid w:val="00C60984"/>
    <w:rsid w:val="00C60E33"/>
    <w:rsid w:val="00C6111A"/>
    <w:rsid w:val="00C61801"/>
    <w:rsid w:val="00C618DF"/>
    <w:rsid w:val="00C6274D"/>
    <w:rsid w:val="00C62868"/>
    <w:rsid w:val="00C62D03"/>
    <w:rsid w:val="00C63319"/>
    <w:rsid w:val="00C63497"/>
    <w:rsid w:val="00C6391C"/>
    <w:rsid w:val="00C64FB9"/>
    <w:rsid w:val="00C65030"/>
    <w:rsid w:val="00C652A1"/>
    <w:rsid w:val="00C655E4"/>
    <w:rsid w:val="00C65710"/>
    <w:rsid w:val="00C65738"/>
    <w:rsid w:val="00C6590A"/>
    <w:rsid w:val="00C65BE5"/>
    <w:rsid w:val="00C65FFB"/>
    <w:rsid w:val="00C66663"/>
    <w:rsid w:val="00C668D8"/>
    <w:rsid w:val="00C66BCD"/>
    <w:rsid w:val="00C66E74"/>
    <w:rsid w:val="00C67029"/>
    <w:rsid w:val="00C7098E"/>
    <w:rsid w:val="00C70B38"/>
    <w:rsid w:val="00C70B43"/>
    <w:rsid w:val="00C714E3"/>
    <w:rsid w:val="00C71630"/>
    <w:rsid w:val="00C71A56"/>
    <w:rsid w:val="00C71B7E"/>
    <w:rsid w:val="00C722A1"/>
    <w:rsid w:val="00C724E3"/>
    <w:rsid w:val="00C730CC"/>
    <w:rsid w:val="00C73A4E"/>
    <w:rsid w:val="00C7497F"/>
    <w:rsid w:val="00C74F3C"/>
    <w:rsid w:val="00C75301"/>
    <w:rsid w:val="00C7532A"/>
    <w:rsid w:val="00C75721"/>
    <w:rsid w:val="00C75744"/>
    <w:rsid w:val="00C760A6"/>
    <w:rsid w:val="00C762B7"/>
    <w:rsid w:val="00C76825"/>
    <w:rsid w:val="00C77265"/>
    <w:rsid w:val="00C77427"/>
    <w:rsid w:val="00C77C4B"/>
    <w:rsid w:val="00C77D50"/>
    <w:rsid w:val="00C8006A"/>
    <w:rsid w:val="00C80DC6"/>
    <w:rsid w:val="00C80F24"/>
    <w:rsid w:val="00C815E4"/>
    <w:rsid w:val="00C820A9"/>
    <w:rsid w:val="00C82829"/>
    <w:rsid w:val="00C8290C"/>
    <w:rsid w:val="00C82DE8"/>
    <w:rsid w:val="00C82F17"/>
    <w:rsid w:val="00C8512B"/>
    <w:rsid w:val="00C85227"/>
    <w:rsid w:val="00C854E9"/>
    <w:rsid w:val="00C858C8"/>
    <w:rsid w:val="00C859CA"/>
    <w:rsid w:val="00C85A79"/>
    <w:rsid w:val="00C86074"/>
    <w:rsid w:val="00C86242"/>
    <w:rsid w:val="00C86D64"/>
    <w:rsid w:val="00C87684"/>
    <w:rsid w:val="00C87CDD"/>
    <w:rsid w:val="00C9003D"/>
    <w:rsid w:val="00C907EC"/>
    <w:rsid w:val="00C909EE"/>
    <w:rsid w:val="00C90E27"/>
    <w:rsid w:val="00C91026"/>
    <w:rsid w:val="00C910ED"/>
    <w:rsid w:val="00C914C9"/>
    <w:rsid w:val="00C9156F"/>
    <w:rsid w:val="00C91740"/>
    <w:rsid w:val="00C91E57"/>
    <w:rsid w:val="00C922E8"/>
    <w:rsid w:val="00C92C36"/>
    <w:rsid w:val="00C930FF"/>
    <w:rsid w:val="00C93185"/>
    <w:rsid w:val="00C93188"/>
    <w:rsid w:val="00C94EF3"/>
    <w:rsid w:val="00C952A9"/>
    <w:rsid w:val="00C9534F"/>
    <w:rsid w:val="00C95E98"/>
    <w:rsid w:val="00C95F67"/>
    <w:rsid w:val="00C961C0"/>
    <w:rsid w:val="00C965E4"/>
    <w:rsid w:val="00C96962"/>
    <w:rsid w:val="00C96BC0"/>
    <w:rsid w:val="00C96E02"/>
    <w:rsid w:val="00C9739A"/>
    <w:rsid w:val="00C975B5"/>
    <w:rsid w:val="00CA13BF"/>
    <w:rsid w:val="00CA13F7"/>
    <w:rsid w:val="00CA1463"/>
    <w:rsid w:val="00CA14DE"/>
    <w:rsid w:val="00CA1A3A"/>
    <w:rsid w:val="00CA2A57"/>
    <w:rsid w:val="00CA2C4B"/>
    <w:rsid w:val="00CA30A9"/>
    <w:rsid w:val="00CA35EC"/>
    <w:rsid w:val="00CA3D36"/>
    <w:rsid w:val="00CA3E20"/>
    <w:rsid w:val="00CA3EC4"/>
    <w:rsid w:val="00CA4249"/>
    <w:rsid w:val="00CA47DE"/>
    <w:rsid w:val="00CA4EF3"/>
    <w:rsid w:val="00CA56E0"/>
    <w:rsid w:val="00CA575F"/>
    <w:rsid w:val="00CA67FC"/>
    <w:rsid w:val="00CA6F7C"/>
    <w:rsid w:val="00CB033C"/>
    <w:rsid w:val="00CB0652"/>
    <w:rsid w:val="00CB0A8A"/>
    <w:rsid w:val="00CB138C"/>
    <w:rsid w:val="00CB15D6"/>
    <w:rsid w:val="00CB19B6"/>
    <w:rsid w:val="00CB1BD3"/>
    <w:rsid w:val="00CB1F9B"/>
    <w:rsid w:val="00CB21EF"/>
    <w:rsid w:val="00CB2464"/>
    <w:rsid w:val="00CB24CF"/>
    <w:rsid w:val="00CB26B1"/>
    <w:rsid w:val="00CB2714"/>
    <w:rsid w:val="00CB2824"/>
    <w:rsid w:val="00CB2C75"/>
    <w:rsid w:val="00CB2F95"/>
    <w:rsid w:val="00CB30E7"/>
    <w:rsid w:val="00CB3270"/>
    <w:rsid w:val="00CB3457"/>
    <w:rsid w:val="00CB4DA4"/>
    <w:rsid w:val="00CB557A"/>
    <w:rsid w:val="00CB5886"/>
    <w:rsid w:val="00CB6108"/>
    <w:rsid w:val="00CB644A"/>
    <w:rsid w:val="00CB66FE"/>
    <w:rsid w:val="00CB6A3F"/>
    <w:rsid w:val="00CB7071"/>
    <w:rsid w:val="00CB75F9"/>
    <w:rsid w:val="00CB7D14"/>
    <w:rsid w:val="00CB7D9F"/>
    <w:rsid w:val="00CC07A1"/>
    <w:rsid w:val="00CC0824"/>
    <w:rsid w:val="00CC08D7"/>
    <w:rsid w:val="00CC0A9A"/>
    <w:rsid w:val="00CC0EA3"/>
    <w:rsid w:val="00CC156F"/>
    <w:rsid w:val="00CC1D6C"/>
    <w:rsid w:val="00CC1F5A"/>
    <w:rsid w:val="00CC29C3"/>
    <w:rsid w:val="00CC2B9C"/>
    <w:rsid w:val="00CC2DDC"/>
    <w:rsid w:val="00CC2E76"/>
    <w:rsid w:val="00CC326E"/>
    <w:rsid w:val="00CC3850"/>
    <w:rsid w:val="00CC38EE"/>
    <w:rsid w:val="00CC4180"/>
    <w:rsid w:val="00CC4A84"/>
    <w:rsid w:val="00CC5350"/>
    <w:rsid w:val="00CC566D"/>
    <w:rsid w:val="00CC6AA6"/>
    <w:rsid w:val="00CC6ACF"/>
    <w:rsid w:val="00CC722F"/>
    <w:rsid w:val="00CC726E"/>
    <w:rsid w:val="00CC7476"/>
    <w:rsid w:val="00CC75EE"/>
    <w:rsid w:val="00CC7D6E"/>
    <w:rsid w:val="00CC7D71"/>
    <w:rsid w:val="00CD0B7F"/>
    <w:rsid w:val="00CD0BAE"/>
    <w:rsid w:val="00CD1017"/>
    <w:rsid w:val="00CD129C"/>
    <w:rsid w:val="00CD12BA"/>
    <w:rsid w:val="00CD181E"/>
    <w:rsid w:val="00CD2C45"/>
    <w:rsid w:val="00CD2FEB"/>
    <w:rsid w:val="00CD387C"/>
    <w:rsid w:val="00CD474C"/>
    <w:rsid w:val="00CD5589"/>
    <w:rsid w:val="00CD5CCC"/>
    <w:rsid w:val="00CD67A6"/>
    <w:rsid w:val="00CD6B16"/>
    <w:rsid w:val="00CD6B5E"/>
    <w:rsid w:val="00CD6BDD"/>
    <w:rsid w:val="00CD7422"/>
    <w:rsid w:val="00CE0950"/>
    <w:rsid w:val="00CE0999"/>
    <w:rsid w:val="00CE09C8"/>
    <w:rsid w:val="00CE0FC5"/>
    <w:rsid w:val="00CE11D8"/>
    <w:rsid w:val="00CE1648"/>
    <w:rsid w:val="00CE19E0"/>
    <w:rsid w:val="00CE1A90"/>
    <w:rsid w:val="00CE1C5C"/>
    <w:rsid w:val="00CE1CA9"/>
    <w:rsid w:val="00CE1E07"/>
    <w:rsid w:val="00CE24C5"/>
    <w:rsid w:val="00CE2567"/>
    <w:rsid w:val="00CE2A65"/>
    <w:rsid w:val="00CE2F9B"/>
    <w:rsid w:val="00CE3037"/>
    <w:rsid w:val="00CE32AD"/>
    <w:rsid w:val="00CE3361"/>
    <w:rsid w:val="00CE3F49"/>
    <w:rsid w:val="00CE409E"/>
    <w:rsid w:val="00CE4840"/>
    <w:rsid w:val="00CE49B0"/>
    <w:rsid w:val="00CE4EA8"/>
    <w:rsid w:val="00CE5261"/>
    <w:rsid w:val="00CE584B"/>
    <w:rsid w:val="00CE5A0A"/>
    <w:rsid w:val="00CE5A20"/>
    <w:rsid w:val="00CE6C5C"/>
    <w:rsid w:val="00CE72F6"/>
    <w:rsid w:val="00CE7FF2"/>
    <w:rsid w:val="00CF0E8B"/>
    <w:rsid w:val="00CF1090"/>
    <w:rsid w:val="00CF12DA"/>
    <w:rsid w:val="00CF1AB9"/>
    <w:rsid w:val="00CF1B03"/>
    <w:rsid w:val="00CF1B1E"/>
    <w:rsid w:val="00CF1E58"/>
    <w:rsid w:val="00CF1F79"/>
    <w:rsid w:val="00CF272B"/>
    <w:rsid w:val="00CF2AD1"/>
    <w:rsid w:val="00CF2B1C"/>
    <w:rsid w:val="00CF2B8E"/>
    <w:rsid w:val="00CF3614"/>
    <w:rsid w:val="00CF3876"/>
    <w:rsid w:val="00CF39B2"/>
    <w:rsid w:val="00CF39F9"/>
    <w:rsid w:val="00CF3E3D"/>
    <w:rsid w:val="00CF4060"/>
    <w:rsid w:val="00CF4466"/>
    <w:rsid w:val="00CF4575"/>
    <w:rsid w:val="00CF52EB"/>
    <w:rsid w:val="00CF585D"/>
    <w:rsid w:val="00CF5CA8"/>
    <w:rsid w:val="00CF5FF8"/>
    <w:rsid w:val="00CF678E"/>
    <w:rsid w:val="00CF72BD"/>
    <w:rsid w:val="00CF767E"/>
    <w:rsid w:val="00CF78C0"/>
    <w:rsid w:val="00CF7A43"/>
    <w:rsid w:val="00D00C1F"/>
    <w:rsid w:val="00D015A8"/>
    <w:rsid w:val="00D024F9"/>
    <w:rsid w:val="00D0251D"/>
    <w:rsid w:val="00D027F9"/>
    <w:rsid w:val="00D032AA"/>
    <w:rsid w:val="00D034D3"/>
    <w:rsid w:val="00D034D7"/>
    <w:rsid w:val="00D03A3E"/>
    <w:rsid w:val="00D03B1A"/>
    <w:rsid w:val="00D03E97"/>
    <w:rsid w:val="00D040BB"/>
    <w:rsid w:val="00D0424D"/>
    <w:rsid w:val="00D044E9"/>
    <w:rsid w:val="00D047F1"/>
    <w:rsid w:val="00D0533A"/>
    <w:rsid w:val="00D056E9"/>
    <w:rsid w:val="00D05CB6"/>
    <w:rsid w:val="00D06325"/>
    <w:rsid w:val="00D06629"/>
    <w:rsid w:val="00D0683F"/>
    <w:rsid w:val="00D07684"/>
    <w:rsid w:val="00D076A6"/>
    <w:rsid w:val="00D07AF4"/>
    <w:rsid w:val="00D07B91"/>
    <w:rsid w:val="00D07C36"/>
    <w:rsid w:val="00D07D9D"/>
    <w:rsid w:val="00D07F37"/>
    <w:rsid w:val="00D07F59"/>
    <w:rsid w:val="00D104B2"/>
    <w:rsid w:val="00D10863"/>
    <w:rsid w:val="00D10986"/>
    <w:rsid w:val="00D114A0"/>
    <w:rsid w:val="00D11BB2"/>
    <w:rsid w:val="00D122DE"/>
    <w:rsid w:val="00D12F1F"/>
    <w:rsid w:val="00D131BC"/>
    <w:rsid w:val="00D13207"/>
    <w:rsid w:val="00D13358"/>
    <w:rsid w:val="00D1342C"/>
    <w:rsid w:val="00D142FA"/>
    <w:rsid w:val="00D14873"/>
    <w:rsid w:val="00D14C06"/>
    <w:rsid w:val="00D14DAF"/>
    <w:rsid w:val="00D1564A"/>
    <w:rsid w:val="00D15687"/>
    <w:rsid w:val="00D156E5"/>
    <w:rsid w:val="00D15AF0"/>
    <w:rsid w:val="00D15E90"/>
    <w:rsid w:val="00D160E9"/>
    <w:rsid w:val="00D16747"/>
    <w:rsid w:val="00D17425"/>
    <w:rsid w:val="00D175C7"/>
    <w:rsid w:val="00D17842"/>
    <w:rsid w:val="00D17E09"/>
    <w:rsid w:val="00D20886"/>
    <w:rsid w:val="00D20964"/>
    <w:rsid w:val="00D20DDE"/>
    <w:rsid w:val="00D21E22"/>
    <w:rsid w:val="00D22E00"/>
    <w:rsid w:val="00D23F8D"/>
    <w:rsid w:val="00D2472B"/>
    <w:rsid w:val="00D251E6"/>
    <w:rsid w:val="00D259B0"/>
    <w:rsid w:val="00D25DB6"/>
    <w:rsid w:val="00D26097"/>
    <w:rsid w:val="00D261C5"/>
    <w:rsid w:val="00D26391"/>
    <w:rsid w:val="00D2699D"/>
    <w:rsid w:val="00D27747"/>
    <w:rsid w:val="00D2784D"/>
    <w:rsid w:val="00D27960"/>
    <w:rsid w:val="00D27BF7"/>
    <w:rsid w:val="00D3016B"/>
    <w:rsid w:val="00D30729"/>
    <w:rsid w:val="00D30EAF"/>
    <w:rsid w:val="00D31200"/>
    <w:rsid w:val="00D31318"/>
    <w:rsid w:val="00D314F6"/>
    <w:rsid w:val="00D31870"/>
    <w:rsid w:val="00D31A4F"/>
    <w:rsid w:val="00D31D6C"/>
    <w:rsid w:val="00D31D99"/>
    <w:rsid w:val="00D32510"/>
    <w:rsid w:val="00D32CDD"/>
    <w:rsid w:val="00D32E0D"/>
    <w:rsid w:val="00D3326D"/>
    <w:rsid w:val="00D332A4"/>
    <w:rsid w:val="00D33977"/>
    <w:rsid w:val="00D33F9E"/>
    <w:rsid w:val="00D34097"/>
    <w:rsid w:val="00D3544C"/>
    <w:rsid w:val="00D362C8"/>
    <w:rsid w:val="00D36818"/>
    <w:rsid w:val="00D3719F"/>
    <w:rsid w:val="00D371C8"/>
    <w:rsid w:val="00D40039"/>
    <w:rsid w:val="00D4061B"/>
    <w:rsid w:val="00D42709"/>
    <w:rsid w:val="00D431DA"/>
    <w:rsid w:val="00D433ED"/>
    <w:rsid w:val="00D43450"/>
    <w:rsid w:val="00D4375E"/>
    <w:rsid w:val="00D43D75"/>
    <w:rsid w:val="00D43F48"/>
    <w:rsid w:val="00D43F90"/>
    <w:rsid w:val="00D44156"/>
    <w:rsid w:val="00D44198"/>
    <w:rsid w:val="00D445B3"/>
    <w:rsid w:val="00D4464A"/>
    <w:rsid w:val="00D4529B"/>
    <w:rsid w:val="00D452D4"/>
    <w:rsid w:val="00D453A7"/>
    <w:rsid w:val="00D453B5"/>
    <w:rsid w:val="00D455EF"/>
    <w:rsid w:val="00D45977"/>
    <w:rsid w:val="00D46218"/>
    <w:rsid w:val="00D46DBF"/>
    <w:rsid w:val="00D46F26"/>
    <w:rsid w:val="00D47591"/>
    <w:rsid w:val="00D476FC"/>
    <w:rsid w:val="00D50F4A"/>
    <w:rsid w:val="00D51089"/>
    <w:rsid w:val="00D5228C"/>
    <w:rsid w:val="00D52E06"/>
    <w:rsid w:val="00D53468"/>
    <w:rsid w:val="00D53650"/>
    <w:rsid w:val="00D54106"/>
    <w:rsid w:val="00D54CFD"/>
    <w:rsid w:val="00D553C7"/>
    <w:rsid w:val="00D558D0"/>
    <w:rsid w:val="00D55B20"/>
    <w:rsid w:val="00D560C8"/>
    <w:rsid w:val="00D5648F"/>
    <w:rsid w:val="00D5651D"/>
    <w:rsid w:val="00D57B21"/>
    <w:rsid w:val="00D57B9A"/>
    <w:rsid w:val="00D60190"/>
    <w:rsid w:val="00D602D3"/>
    <w:rsid w:val="00D605A5"/>
    <w:rsid w:val="00D606A0"/>
    <w:rsid w:val="00D60A2F"/>
    <w:rsid w:val="00D60DAB"/>
    <w:rsid w:val="00D61A8A"/>
    <w:rsid w:val="00D6212F"/>
    <w:rsid w:val="00D62369"/>
    <w:rsid w:val="00D623AA"/>
    <w:rsid w:val="00D62A24"/>
    <w:rsid w:val="00D62FAC"/>
    <w:rsid w:val="00D635B0"/>
    <w:rsid w:val="00D637A9"/>
    <w:rsid w:val="00D63BE1"/>
    <w:rsid w:val="00D64942"/>
    <w:rsid w:val="00D6523C"/>
    <w:rsid w:val="00D65280"/>
    <w:rsid w:val="00D6616F"/>
    <w:rsid w:val="00D66740"/>
    <w:rsid w:val="00D6699B"/>
    <w:rsid w:val="00D669EA"/>
    <w:rsid w:val="00D67644"/>
    <w:rsid w:val="00D7009E"/>
    <w:rsid w:val="00D70A0A"/>
    <w:rsid w:val="00D70C63"/>
    <w:rsid w:val="00D710C5"/>
    <w:rsid w:val="00D71705"/>
    <w:rsid w:val="00D71888"/>
    <w:rsid w:val="00D71B45"/>
    <w:rsid w:val="00D722C1"/>
    <w:rsid w:val="00D72437"/>
    <w:rsid w:val="00D725C3"/>
    <w:rsid w:val="00D726A5"/>
    <w:rsid w:val="00D727AC"/>
    <w:rsid w:val="00D72AC2"/>
    <w:rsid w:val="00D72CAE"/>
    <w:rsid w:val="00D72FF1"/>
    <w:rsid w:val="00D73246"/>
    <w:rsid w:val="00D74501"/>
    <w:rsid w:val="00D74660"/>
    <w:rsid w:val="00D74797"/>
    <w:rsid w:val="00D74968"/>
    <w:rsid w:val="00D749D2"/>
    <w:rsid w:val="00D74D9B"/>
    <w:rsid w:val="00D750A2"/>
    <w:rsid w:val="00D75650"/>
    <w:rsid w:val="00D756E8"/>
    <w:rsid w:val="00D761AE"/>
    <w:rsid w:val="00D801EB"/>
    <w:rsid w:val="00D80747"/>
    <w:rsid w:val="00D808D9"/>
    <w:rsid w:val="00D8099F"/>
    <w:rsid w:val="00D809FF"/>
    <w:rsid w:val="00D80E48"/>
    <w:rsid w:val="00D810F2"/>
    <w:rsid w:val="00D81285"/>
    <w:rsid w:val="00D81B9A"/>
    <w:rsid w:val="00D822C6"/>
    <w:rsid w:val="00D82890"/>
    <w:rsid w:val="00D82B0E"/>
    <w:rsid w:val="00D82FC9"/>
    <w:rsid w:val="00D843D6"/>
    <w:rsid w:val="00D85237"/>
    <w:rsid w:val="00D852EE"/>
    <w:rsid w:val="00D85475"/>
    <w:rsid w:val="00D85A2F"/>
    <w:rsid w:val="00D86605"/>
    <w:rsid w:val="00D86B34"/>
    <w:rsid w:val="00D87961"/>
    <w:rsid w:val="00D87BDC"/>
    <w:rsid w:val="00D9096B"/>
    <w:rsid w:val="00D90D1C"/>
    <w:rsid w:val="00D90D5C"/>
    <w:rsid w:val="00D90ED4"/>
    <w:rsid w:val="00D90FF0"/>
    <w:rsid w:val="00D91838"/>
    <w:rsid w:val="00D920E8"/>
    <w:rsid w:val="00D92722"/>
    <w:rsid w:val="00D92BF2"/>
    <w:rsid w:val="00D93295"/>
    <w:rsid w:val="00D9335B"/>
    <w:rsid w:val="00D93DAF"/>
    <w:rsid w:val="00D941AE"/>
    <w:rsid w:val="00D94E5E"/>
    <w:rsid w:val="00D94F2C"/>
    <w:rsid w:val="00D96138"/>
    <w:rsid w:val="00D965AB"/>
    <w:rsid w:val="00D96B07"/>
    <w:rsid w:val="00D96BD2"/>
    <w:rsid w:val="00D974EC"/>
    <w:rsid w:val="00D97594"/>
    <w:rsid w:val="00D97BE8"/>
    <w:rsid w:val="00DA002B"/>
    <w:rsid w:val="00DA0351"/>
    <w:rsid w:val="00DA0417"/>
    <w:rsid w:val="00DA059A"/>
    <w:rsid w:val="00DA0676"/>
    <w:rsid w:val="00DA08F0"/>
    <w:rsid w:val="00DA0F27"/>
    <w:rsid w:val="00DA156A"/>
    <w:rsid w:val="00DA1A09"/>
    <w:rsid w:val="00DA1DA8"/>
    <w:rsid w:val="00DA22C1"/>
    <w:rsid w:val="00DA24B0"/>
    <w:rsid w:val="00DA2582"/>
    <w:rsid w:val="00DA2694"/>
    <w:rsid w:val="00DA3CF1"/>
    <w:rsid w:val="00DA4557"/>
    <w:rsid w:val="00DA4B0E"/>
    <w:rsid w:val="00DA4F5D"/>
    <w:rsid w:val="00DA50E4"/>
    <w:rsid w:val="00DA53BD"/>
    <w:rsid w:val="00DA5BEB"/>
    <w:rsid w:val="00DA622A"/>
    <w:rsid w:val="00DA68E8"/>
    <w:rsid w:val="00DA6BFD"/>
    <w:rsid w:val="00DA6CDE"/>
    <w:rsid w:val="00DA71EC"/>
    <w:rsid w:val="00DA7379"/>
    <w:rsid w:val="00DA7645"/>
    <w:rsid w:val="00DA7E15"/>
    <w:rsid w:val="00DA7FC8"/>
    <w:rsid w:val="00DB000E"/>
    <w:rsid w:val="00DB02FF"/>
    <w:rsid w:val="00DB10BD"/>
    <w:rsid w:val="00DB1433"/>
    <w:rsid w:val="00DB197C"/>
    <w:rsid w:val="00DB1AAF"/>
    <w:rsid w:val="00DB26B5"/>
    <w:rsid w:val="00DB2C43"/>
    <w:rsid w:val="00DB34E3"/>
    <w:rsid w:val="00DB36FC"/>
    <w:rsid w:val="00DB372A"/>
    <w:rsid w:val="00DB3AA0"/>
    <w:rsid w:val="00DB3C49"/>
    <w:rsid w:val="00DB41B9"/>
    <w:rsid w:val="00DB42C2"/>
    <w:rsid w:val="00DB444B"/>
    <w:rsid w:val="00DB4628"/>
    <w:rsid w:val="00DB4714"/>
    <w:rsid w:val="00DB4788"/>
    <w:rsid w:val="00DB4D04"/>
    <w:rsid w:val="00DB510A"/>
    <w:rsid w:val="00DB5178"/>
    <w:rsid w:val="00DB5386"/>
    <w:rsid w:val="00DB5ABE"/>
    <w:rsid w:val="00DB6292"/>
    <w:rsid w:val="00DB67E7"/>
    <w:rsid w:val="00DB68BB"/>
    <w:rsid w:val="00DB7F10"/>
    <w:rsid w:val="00DC12EF"/>
    <w:rsid w:val="00DC1524"/>
    <w:rsid w:val="00DC1889"/>
    <w:rsid w:val="00DC1CA3"/>
    <w:rsid w:val="00DC2A33"/>
    <w:rsid w:val="00DC30FF"/>
    <w:rsid w:val="00DC3214"/>
    <w:rsid w:val="00DC3579"/>
    <w:rsid w:val="00DC3658"/>
    <w:rsid w:val="00DC3E0F"/>
    <w:rsid w:val="00DC4075"/>
    <w:rsid w:val="00DC43AE"/>
    <w:rsid w:val="00DC466F"/>
    <w:rsid w:val="00DC4841"/>
    <w:rsid w:val="00DC51EE"/>
    <w:rsid w:val="00DC53BC"/>
    <w:rsid w:val="00DC5533"/>
    <w:rsid w:val="00DC5770"/>
    <w:rsid w:val="00DC59D7"/>
    <w:rsid w:val="00DC5F0E"/>
    <w:rsid w:val="00DC6C80"/>
    <w:rsid w:val="00DC6E13"/>
    <w:rsid w:val="00DC6E1B"/>
    <w:rsid w:val="00DC7EBE"/>
    <w:rsid w:val="00DD0AE8"/>
    <w:rsid w:val="00DD0D65"/>
    <w:rsid w:val="00DD12EF"/>
    <w:rsid w:val="00DD158F"/>
    <w:rsid w:val="00DD16FB"/>
    <w:rsid w:val="00DD1BF0"/>
    <w:rsid w:val="00DD235A"/>
    <w:rsid w:val="00DD2381"/>
    <w:rsid w:val="00DD2B1D"/>
    <w:rsid w:val="00DD3821"/>
    <w:rsid w:val="00DD391B"/>
    <w:rsid w:val="00DD41C5"/>
    <w:rsid w:val="00DD45D3"/>
    <w:rsid w:val="00DD48F3"/>
    <w:rsid w:val="00DD4942"/>
    <w:rsid w:val="00DD4E0C"/>
    <w:rsid w:val="00DD519C"/>
    <w:rsid w:val="00DD5A2A"/>
    <w:rsid w:val="00DD5B6A"/>
    <w:rsid w:val="00DD5C3C"/>
    <w:rsid w:val="00DD662B"/>
    <w:rsid w:val="00DD6C92"/>
    <w:rsid w:val="00DD73E3"/>
    <w:rsid w:val="00DE01AB"/>
    <w:rsid w:val="00DE04EA"/>
    <w:rsid w:val="00DE0B85"/>
    <w:rsid w:val="00DE12BD"/>
    <w:rsid w:val="00DE1532"/>
    <w:rsid w:val="00DE179B"/>
    <w:rsid w:val="00DE292D"/>
    <w:rsid w:val="00DE2AA3"/>
    <w:rsid w:val="00DE2D99"/>
    <w:rsid w:val="00DE30D1"/>
    <w:rsid w:val="00DE3B74"/>
    <w:rsid w:val="00DE40F7"/>
    <w:rsid w:val="00DE47DF"/>
    <w:rsid w:val="00DE4A5C"/>
    <w:rsid w:val="00DE4D21"/>
    <w:rsid w:val="00DE538A"/>
    <w:rsid w:val="00DE5EA6"/>
    <w:rsid w:val="00DE5F41"/>
    <w:rsid w:val="00DE61FB"/>
    <w:rsid w:val="00DE6A5C"/>
    <w:rsid w:val="00DE6B6A"/>
    <w:rsid w:val="00DE7269"/>
    <w:rsid w:val="00DE730F"/>
    <w:rsid w:val="00DE731D"/>
    <w:rsid w:val="00DE775D"/>
    <w:rsid w:val="00DE7A1D"/>
    <w:rsid w:val="00DF093D"/>
    <w:rsid w:val="00DF0A8D"/>
    <w:rsid w:val="00DF0E97"/>
    <w:rsid w:val="00DF11F0"/>
    <w:rsid w:val="00DF1956"/>
    <w:rsid w:val="00DF1AD2"/>
    <w:rsid w:val="00DF1D62"/>
    <w:rsid w:val="00DF1D9E"/>
    <w:rsid w:val="00DF208E"/>
    <w:rsid w:val="00DF2170"/>
    <w:rsid w:val="00DF23CD"/>
    <w:rsid w:val="00DF2FC2"/>
    <w:rsid w:val="00DF30A8"/>
    <w:rsid w:val="00DF368A"/>
    <w:rsid w:val="00DF3D62"/>
    <w:rsid w:val="00DF572E"/>
    <w:rsid w:val="00DF596A"/>
    <w:rsid w:val="00DF5A49"/>
    <w:rsid w:val="00DF5BD4"/>
    <w:rsid w:val="00DF6547"/>
    <w:rsid w:val="00DF699D"/>
    <w:rsid w:val="00DF6DA6"/>
    <w:rsid w:val="00DF6F19"/>
    <w:rsid w:val="00DF708D"/>
    <w:rsid w:val="00DF727F"/>
    <w:rsid w:val="00DF7EB8"/>
    <w:rsid w:val="00E0031E"/>
    <w:rsid w:val="00E00FD5"/>
    <w:rsid w:val="00E01956"/>
    <w:rsid w:val="00E02047"/>
    <w:rsid w:val="00E023E5"/>
    <w:rsid w:val="00E02837"/>
    <w:rsid w:val="00E02DF6"/>
    <w:rsid w:val="00E0312D"/>
    <w:rsid w:val="00E0443C"/>
    <w:rsid w:val="00E04B4F"/>
    <w:rsid w:val="00E05923"/>
    <w:rsid w:val="00E06BF5"/>
    <w:rsid w:val="00E06ED8"/>
    <w:rsid w:val="00E06FD6"/>
    <w:rsid w:val="00E074C1"/>
    <w:rsid w:val="00E07B79"/>
    <w:rsid w:val="00E07CDC"/>
    <w:rsid w:val="00E1006A"/>
    <w:rsid w:val="00E101D5"/>
    <w:rsid w:val="00E105B9"/>
    <w:rsid w:val="00E1079E"/>
    <w:rsid w:val="00E10918"/>
    <w:rsid w:val="00E10F6A"/>
    <w:rsid w:val="00E112FA"/>
    <w:rsid w:val="00E12029"/>
    <w:rsid w:val="00E124BE"/>
    <w:rsid w:val="00E124E1"/>
    <w:rsid w:val="00E12CED"/>
    <w:rsid w:val="00E12E91"/>
    <w:rsid w:val="00E13D2C"/>
    <w:rsid w:val="00E13EE3"/>
    <w:rsid w:val="00E140FF"/>
    <w:rsid w:val="00E148CD"/>
    <w:rsid w:val="00E14E22"/>
    <w:rsid w:val="00E14FF5"/>
    <w:rsid w:val="00E15713"/>
    <w:rsid w:val="00E15E46"/>
    <w:rsid w:val="00E163B7"/>
    <w:rsid w:val="00E16682"/>
    <w:rsid w:val="00E1678A"/>
    <w:rsid w:val="00E17549"/>
    <w:rsid w:val="00E17BAE"/>
    <w:rsid w:val="00E17C18"/>
    <w:rsid w:val="00E17E85"/>
    <w:rsid w:val="00E17E99"/>
    <w:rsid w:val="00E2002A"/>
    <w:rsid w:val="00E2055A"/>
    <w:rsid w:val="00E21541"/>
    <w:rsid w:val="00E21F2D"/>
    <w:rsid w:val="00E22A26"/>
    <w:rsid w:val="00E22BAF"/>
    <w:rsid w:val="00E22DD9"/>
    <w:rsid w:val="00E23037"/>
    <w:rsid w:val="00E2336E"/>
    <w:rsid w:val="00E23655"/>
    <w:rsid w:val="00E23AB9"/>
    <w:rsid w:val="00E23AC4"/>
    <w:rsid w:val="00E23ED2"/>
    <w:rsid w:val="00E256F7"/>
    <w:rsid w:val="00E25995"/>
    <w:rsid w:val="00E25D57"/>
    <w:rsid w:val="00E25F6C"/>
    <w:rsid w:val="00E26257"/>
    <w:rsid w:val="00E264AD"/>
    <w:rsid w:val="00E268CB"/>
    <w:rsid w:val="00E26B3D"/>
    <w:rsid w:val="00E27074"/>
    <w:rsid w:val="00E27E1C"/>
    <w:rsid w:val="00E300B6"/>
    <w:rsid w:val="00E300F2"/>
    <w:rsid w:val="00E30EBC"/>
    <w:rsid w:val="00E31813"/>
    <w:rsid w:val="00E31966"/>
    <w:rsid w:val="00E3203D"/>
    <w:rsid w:val="00E32AE4"/>
    <w:rsid w:val="00E32D6A"/>
    <w:rsid w:val="00E32E0C"/>
    <w:rsid w:val="00E33396"/>
    <w:rsid w:val="00E335C5"/>
    <w:rsid w:val="00E337CD"/>
    <w:rsid w:val="00E33D24"/>
    <w:rsid w:val="00E33E8E"/>
    <w:rsid w:val="00E34706"/>
    <w:rsid w:val="00E3499A"/>
    <w:rsid w:val="00E34E78"/>
    <w:rsid w:val="00E34ED4"/>
    <w:rsid w:val="00E35580"/>
    <w:rsid w:val="00E36192"/>
    <w:rsid w:val="00E36AC8"/>
    <w:rsid w:val="00E36D24"/>
    <w:rsid w:val="00E36DD5"/>
    <w:rsid w:val="00E3751A"/>
    <w:rsid w:val="00E377A6"/>
    <w:rsid w:val="00E37D93"/>
    <w:rsid w:val="00E4005E"/>
    <w:rsid w:val="00E404D6"/>
    <w:rsid w:val="00E40520"/>
    <w:rsid w:val="00E40997"/>
    <w:rsid w:val="00E40A1E"/>
    <w:rsid w:val="00E41CF2"/>
    <w:rsid w:val="00E41D23"/>
    <w:rsid w:val="00E42378"/>
    <w:rsid w:val="00E42415"/>
    <w:rsid w:val="00E4297F"/>
    <w:rsid w:val="00E42FAD"/>
    <w:rsid w:val="00E438F7"/>
    <w:rsid w:val="00E43E29"/>
    <w:rsid w:val="00E43EE5"/>
    <w:rsid w:val="00E44ACD"/>
    <w:rsid w:val="00E44CB9"/>
    <w:rsid w:val="00E44D21"/>
    <w:rsid w:val="00E45343"/>
    <w:rsid w:val="00E45B97"/>
    <w:rsid w:val="00E46852"/>
    <w:rsid w:val="00E46AB1"/>
    <w:rsid w:val="00E46B1F"/>
    <w:rsid w:val="00E46E59"/>
    <w:rsid w:val="00E47889"/>
    <w:rsid w:val="00E479FF"/>
    <w:rsid w:val="00E47D03"/>
    <w:rsid w:val="00E504F2"/>
    <w:rsid w:val="00E50CBB"/>
    <w:rsid w:val="00E51392"/>
    <w:rsid w:val="00E515B1"/>
    <w:rsid w:val="00E51662"/>
    <w:rsid w:val="00E5184D"/>
    <w:rsid w:val="00E51865"/>
    <w:rsid w:val="00E5269A"/>
    <w:rsid w:val="00E52BF5"/>
    <w:rsid w:val="00E52C45"/>
    <w:rsid w:val="00E52F4E"/>
    <w:rsid w:val="00E535D1"/>
    <w:rsid w:val="00E536FC"/>
    <w:rsid w:val="00E53AA6"/>
    <w:rsid w:val="00E53C6C"/>
    <w:rsid w:val="00E53CB2"/>
    <w:rsid w:val="00E53D6A"/>
    <w:rsid w:val="00E54898"/>
    <w:rsid w:val="00E55558"/>
    <w:rsid w:val="00E5595C"/>
    <w:rsid w:val="00E55BB8"/>
    <w:rsid w:val="00E56344"/>
    <w:rsid w:val="00E573F7"/>
    <w:rsid w:val="00E576FF"/>
    <w:rsid w:val="00E57BF7"/>
    <w:rsid w:val="00E57E87"/>
    <w:rsid w:val="00E60054"/>
    <w:rsid w:val="00E60DE1"/>
    <w:rsid w:val="00E61076"/>
    <w:rsid w:val="00E61812"/>
    <w:rsid w:val="00E61F6D"/>
    <w:rsid w:val="00E61F7D"/>
    <w:rsid w:val="00E625CA"/>
    <w:rsid w:val="00E62CF0"/>
    <w:rsid w:val="00E62E5D"/>
    <w:rsid w:val="00E65073"/>
    <w:rsid w:val="00E658D6"/>
    <w:rsid w:val="00E65E8C"/>
    <w:rsid w:val="00E66800"/>
    <w:rsid w:val="00E66D78"/>
    <w:rsid w:val="00E673C1"/>
    <w:rsid w:val="00E67C5C"/>
    <w:rsid w:val="00E67E55"/>
    <w:rsid w:val="00E70316"/>
    <w:rsid w:val="00E70504"/>
    <w:rsid w:val="00E70966"/>
    <w:rsid w:val="00E71198"/>
    <w:rsid w:val="00E711A1"/>
    <w:rsid w:val="00E71E4F"/>
    <w:rsid w:val="00E72215"/>
    <w:rsid w:val="00E72486"/>
    <w:rsid w:val="00E724EF"/>
    <w:rsid w:val="00E7264E"/>
    <w:rsid w:val="00E72651"/>
    <w:rsid w:val="00E72E14"/>
    <w:rsid w:val="00E731CE"/>
    <w:rsid w:val="00E73650"/>
    <w:rsid w:val="00E73957"/>
    <w:rsid w:val="00E73C90"/>
    <w:rsid w:val="00E73D3A"/>
    <w:rsid w:val="00E7412C"/>
    <w:rsid w:val="00E742C5"/>
    <w:rsid w:val="00E743A1"/>
    <w:rsid w:val="00E74469"/>
    <w:rsid w:val="00E74BC5"/>
    <w:rsid w:val="00E74F05"/>
    <w:rsid w:val="00E74F0E"/>
    <w:rsid w:val="00E7518B"/>
    <w:rsid w:val="00E7593F"/>
    <w:rsid w:val="00E75A5D"/>
    <w:rsid w:val="00E76497"/>
    <w:rsid w:val="00E76C33"/>
    <w:rsid w:val="00E777DA"/>
    <w:rsid w:val="00E8011B"/>
    <w:rsid w:val="00E801FE"/>
    <w:rsid w:val="00E80768"/>
    <w:rsid w:val="00E80E1E"/>
    <w:rsid w:val="00E80F4A"/>
    <w:rsid w:val="00E8110C"/>
    <w:rsid w:val="00E8151E"/>
    <w:rsid w:val="00E82135"/>
    <w:rsid w:val="00E82862"/>
    <w:rsid w:val="00E82CA0"/>
    <w:rsid w:val="00E82E17"/>
    <w:rsid w:val="00E82F6F"/>
    <w:rsid w:val="00E831C9"/>
    <w:rsid w:val="00E832C9"/>
    <w:rsid w:val="00E833C5"/>
    <w:rsid w:val="00E838A6"/>
    <w:rsid w:val="00E84AD4"/>
    <w:rsid w:val="00E8534F"/>
    <w:rsid w:val="00E85353"/>
    <w:rsid w:val="00E854EA"/>
    <w:rsid w:val="00E85EC9"/>
    <w:rsid w:val="00E8636D"/>
    <w:rsid w:val="00E866EA"/>
    <w:rsid w:val="00E86BAE"/>
    <w:rsid w:val="00E87576"/>
    <w:rsid w:val="00E876A3"/>
    <w:rsid w:val="00E87DC5"/>
    <w:rsid w:val="00E903A5"/>
    <w:rsid w:val="00E90A19"/>
    <w:rsid w:val="00E90CEE"/>
    <w:rsid w:val="00E9129D"/>
    <w:rsid w:val="00E91460"/>
    <w:rsid w:val="00E915F1"/>
    <w:rsid w:val="00E91C42"/>
    <w:rsid w:val="00E91E1A"/>
    <w:rsid w:val="00E9230E"/>
    <w:rsid w:val="00E92341"/>
    <w:rsid w:val="00E92FC8"/>
    <w:rsid w:val="00E9356A"/>
    <w:rsid w:val="00E93635"/>
    <w:rsid w:val="00E9376B"/>
    <w:rsid w:val="00E9470E"/>
    <w:rsid w:val="00E94F06"/>
    <w:rsid w:val="00E95243"/>
    <w:rsid w:val="00E9527B"/>
    <w:rsid w:val="00E955C5"/>
    <w:rsid w:val="00E956CB"/>
    <w:rsid w:val="00E95F31"/>
    <w:rsid w:val="00E960B8"/>
    <w:rsid w:val="00E96790"/>
    <w:rsid w:val="00E96831"/>
    <w:rsid w:val="00E96AEE"/>
    <w:rsid w:val="00E96D1C"/>
    <w:rsid w:val="00E977CB"/>
    <w:rsid w:val="00E977CE"/>
    <w:rsid w:val="00E97919"/>
    <w:rsid w:val="00E97990"/>
    <w:rsid w:val="00E97D2F"/>
    <w:rsid w:val="00E97EA7"/>
    <w:rsid w:val="00E97FB1"/>
    <w:rsid w:val="00EA020E"/>
    <w:rsid w:val="00EA047F"/>
    <w:rsid w:val="00EA0E63"/>
    <w:rsid w:val="00EA1514"/>
    <w:rsid w:val="00EA16E1"/>
    <w:rsid w:val="00EA1767"/>
    <w:rsid w:val="00EA1F8E"/>
    <w:rsid w:val="00EA2360"/>
    <w:rsid w:val="00EA272B"/>
    <w:rsid w:val="00EA2F5D"/>
    <w:rsid w:val="00EA301E"/>
    <w:rsid w:val="00EA3BA1"/>
    <w:rsid w:val="00EA4018"/>
    <w:rsid w:val="00EA40FC"/>
    <w:rsid w:val="00EA439E"/>
    <w:rsid w:val="00EA4462"/>
    <w:rsid w:val="00EA449C"/>
    <w:rsid w:val="00EA4C09"/>
    <w:rsid w:val="00EA4F1E"/>
    <w:rsid w:val="00EA4F7D"/>
    <w:rsid w:val="00EA5A8E"/>
    <w:rsid w:val="00EA5F9C"/>
    <w:rsid w:val="00EA633B"/>
    <w:rsid w:val="00EA63C3"/>
    <w:rsid w:val="00EA659C"/>
    <w:rsid w:val="00EA6E44"/>
    <w:rsid w:val="00EA7206"/>
    <w:rsid w:val="00EA73AE"/>
    <w:rsid w:val="00EB018A"/>
    <w:rsid w:val="00EB01DB"/>
    <w:rsid w:val="00EB021A"/>
    <w:rsid w:val="00EB0257"/>
    <w:rsid w:val="00EB02BD"/>
    <w:rsid w:val="00EB09C2"/>
    <w:rsid w:val="00EB0A52"/>
    <w:rsid w:val="00EB0A68"/>
    <w:rsid w:val="00EB0CA8"/>
    <w:rsid w:val="00EB0E6A"/>
    <w:rsid w:val="00EB0FE6"/>
    <w:rsid w:val="00EB16EB"/>
    <w:rsid w:val="00EB182C"/>
    <w:rsid w:val="00EB19D9"/>
    <w:rsid w:val="00EB2011"/>
    <w:rsid w:val="00EB2287"/>
    <w:rsid w:val="00EB269D"/>
    <w:rsid w:val="00EB2AD8"/>
    <w:rsid w:val="00EB2AF8"/>
    <w:rsid w:val="00EB30E8"/>
    <w:rsid w:val="00EB344E"/>
    <w:rsid w:val="00EB45D7"/>
    <w:rsid w:val="00EB47B3"/>
    <w:rsid w:val="00EB4926"/>
    <w:rsid w:val="00EB4B58"/>
    <w:rsid w:val="00EB4E5F"/>
    <w:rsid w:val="00EB5197"/>
    <w:rsid w:val="00EB54BA"/>
    <w:rsid w:val="00EB5629"/>
    <w:rsid w:val="00EB5734"/>
    <w:rsid w:val="00EB62E4"/>
    <w:rsid w:val="00EB69CB"/>
    <w:rsid w:val="00EB75EB"/>
    <w:rsid w:val="00EB7605"/>
    <w:rsid w:val="00EB76CB"/>
    <w:rsid w:val="00EC00FB"/>
    <w:rsid w:val="00EC0387"/>
    <w:rsid w:val="00EC089D"/>
    <w:rsid w:val="00EC08E4"/>
    <w:rsid w:val="00EC0DD3"/>
    <w:rsid w:val="00EC0E89"/>
    <w:rsid w:val="00EC101A"/>
    <w:rsid w:val="00EC1394"/>
    <w:rsid w:val="00EC20D7"/>
    <w:rsid w:val="00EC226A"/>
    <w:rsid w:val="00EC229B"/>
    <w:rsid w:val="00EC28DD"/>
    <w:rsid w:val="00EC2B75"/>
    <w:rsid w:val="00EC2DB9"/>
    <w:rsid w:val="00EC2EE6"/>
    <w:rsid w:val="00EC2F5B"/>
    <w:rsid w:val="00EC3012"/>
    <w:rsid w:val="00EC3606"/>
    <w:rsid w:val="00EC3713"/>
    <w:rsid w:val="00EC37A0"/>
    <w:rsid w:val="00EC3CB2"/>
    <w:rsid w:val="00EC3FA5"/>
    <w:rsid w:val="00EC4C50"/>
    <w:rsid w:val="00EC552D"/>
    <w:rsid w:val="00EC5B93"/>
    <w:rsid w:val="00EC7405"/>
    <w:rsid w:val="00EC774B"/>
    <w:rsid w:val="00ED00CF"/>
    <w:rsid w:val="00ED0CDD"/>
    <w:rsid w:val="00ED138B"/>
    <w:rsid w:val="00ED13EB"/>
    <w:rsid w:val="00ED1462"/>
    <w:rsid w:val="00ED14A1"/>
    <w:rsid w:val="00ED17FA"/>
    <w:rsid w:val="00ED1856"/>
    <w:rsid w:val="00ED1B81"/>
    <w:rsid w:val="00ED1E10"/>
    <w:rsid w:val="00ED214C"/>
    <w:rsid w:val="00ED2378"/>
    <w:rsid w:val="00ED24B6"/>
    <w:rsid w:val="00ED25D2"/>
    <w:rsid w:val="00ED35C0"/>
    <w:rsid w:val="00ED3F38"/>
    <w:rsid w:val="00ED4124"/>
    <w:rsid w:val="00ED4FB7"/>
    <w:rsid w:val="00ED5030"/>
    <w:rsid w:val="00ED523F"/>
    <w:rsid w:val="00ED53FF"/>
    <w:rsid w:val="00ED547D"/>
    <w:rsid w:val="00ED596C"/>
    <w:rsid w:val="00ED5ACF"/>
    <w:rsid w:val="00ED7586"/>
    <w:rsid w:val="00EE00ED"/>
    <w:rsid w:val="00EE0174"/>
    <w:rsid w:val="00EE01D1"/>
    <w:rsid w:val="00EE077E"/>
    <w:rsid w:val="00EE083C"/>
    <w:rsid w:val="00EE0BE3"/>
    <w:rsid w:val="00EE0D06"/>
    <w:rsid w:val="00EE0D6A"/>
    <w:rsid w:val="00EE12E9"/>
    <w:rsid w:val="00EE13A7"/>
    <w:rsid w:val="00EE1FBC"/>
    <w:rsid w:val="00EE24EF"/>
    <w:rsid w:val="00EE2513"/>
    <w:rsid w:val="00EE2B55"/>
    <w:rsid w:val="00EE3341"/>
    <w:rsid w:val="00EE3445"/>
    <w:rsid w:val="00EE38DA"/>
    <w:rsid w:val="00EE4436"/>
    <w:rsid w:val="00EE4942"/>
    <w:rsid w:val="00EE4BBE"/>
    <w:rsid w:val="00EE546C"/>
    <w:rsid w:val="00EE563D"/>
    <w:rsid w:val="00EE56AE"/>
    <w:rsid w:val="00EE5DFC"/>
    <w:rsid w:val="00EE60E7"/>
    <w:rsid w:val="00EE6579"/>
    <w:rsid w:val="00EE6940"/>
    <w:rsid w:val="00EE6A20"/>
    <w:rsid w:val="00EE6AC9"/>
    <w:rsid w:val="00EE7110"/>
    <w:rsid w:val="00EE7503"/>
    <w:rsid w:val="00EE7636"/>
    <w:rsid w:val="00EE7F14"/>
    <w:rsid w:val="00EF00A8"/>
    <w:rsid w:val="00EF02E6"/>
    <w:rsid w:val="00EF045D"/>
    <w:rsid w:val="00EF05B6"/>
    <w:rsid w:val="00EF0908"/>
    <w:rsid w:val="00EF0983"/>
    <w:rsid w:val="00EF0C8C"/>
    <w:rsid w:val="00EF0E21"/>
    <w:rsid w:val="00EF138D"/>
    <w:rsid w:val="00EF1774"/>
    <w:rsid w:val="00EF1821"/>
    <w:rsid w:val="00EF19D6"/>
    <w:rsid w:val="00EF1D2F"/>
    <w:rsid w:val="00EF20C3"/>
    <w:rsid w:val="00EF231B"/>
    <w:rsid w:val="00EF2449"/>
    <w:rsid w:val="00EF2467"/>
    <w:rsid w:val="00EF256C"/>
    <w:rsid w:val="00EF3393"/>
    <w:rsid w:val="00EF3C6A"/>
    <w:rsid w:val="00EF3F1A"/>
    <w:rsid w:val="00EF42DE"/>
    <w:rsid w:val="00EF463E"/>
    <w:rsid w:val="00EF541D"/>
    <w:rsid w:val="00EF571F"/>
    <w:rsid w:val="00EF579C"/>
    <w:rsid w:val="00EF57BB"/>
    <w:rsid w:val="00EF5828"/>
    <w:rsid w:val="00EF585C"/>
    <w:rsid w:val="00EF59A8"/>
    <w:rsid w:val="00EF5B95"/>
    <w:rsid w:val="00EF5D85"/>
    <w:rsid w:val="00EF60B7"/>
    <w:rsid w:val="00EF613D"/>
    <w:rsid w:val="00EF6AF1"/>
    <w:rsid w:val="00EF7000"/>
    <w:rsid w:val="00EF7EC0"/>
    <w:rsid w:val="00F000E3"/>
    <w:rsid w:val="00F00922"/>
    <w:rsid w:val="00F00B3E"/>
    <w:rsid w:val="00F0102C"/>
    <w:rsid w:val="00F0106B"/>
    <w:rsid w:val="00F01289"/>
    <w:rsid w:val="00F0137B"/>
    <w:rsid w:val="00F0139C"/>
    <w:rsid w:val="00F020E1"/>
    <w:rsid w:val="00F0221D"/>
    <w:rsid w:val="00F0232A"/>
    <w:rsid w:val="00F02C2A"/>
    <w:rsid w:val="00F02DE5"/>
    <w:rsid w:val="00F0324F"/>
    <w:rsid w:val="00F03AA2"/>
    <w:rsid w:val="00F043F9"/>
    <w:rsid w:val="00F04E02"/>
    <w:rsid w:val="00F05558"/>
    <w:rsid w:val="00F0595E"/>
    <w:rsid w:val="00F05A7B"/>
    <w:rsid w:val="00F05CED"/>
    <w:rsid w:val="00F060D9"/>
    <w:rsid w:val="00F06454"/>
    <w:rsid w:val="00F064C6"/>
    <w:rsid w:val="00F06CB2"/>
    <w:rsid w:val="00F06E72"/>
    <w:rsid w:val="00F06E9A"/>
    <w:rsid w:val="00F07788"/>
    <w:rsid w:val="00F07C8A"/>
    <w:rsid w:val="00F07D8B"/>
    <w:rsid w:val="00F10429"/>
    <w:rsid w:val="00F104D0"/>
    <w:rsid w:val="00F10840"/>
    <w:rsid w:val="00F109F7"/>
    <w:rsid w:val="00F116E1"/>
    <w:rsid w:val="00F119E7"/>
    <w:rsid w:val="00F11CD4"/>
    <w:rsid w:val="00F11DD3"/>
    <w:rsid w:val="00F11E4F"/>
    <w:rsid w:val="00F1272B"/>
    <w:rsid w:val="00F12EE5"/>
    <w:rsid w:val="00F13033"/>
    <w:rsid w:val="00F13232"/>
    <w:rsid w:val="00F132E7"/>
    <w:rsid w:val="00F13A85"/>
    <w:rsid w:val="00F13C6A"/>
    <w:rsid w:val="00F13C93"/>
    <w:rsid w:val="00F14212"/>
    <w:rsid w:val="00F14A1F"/>
    <w:rsid w:val="00F14D95"/>
    <w:rsid w:val="00F15232"/>
    <w:rsid w:val="00F15D2C"/>
    <w:rsid w:val="00F16582"/>
    <w:rsid w:val="00F16959"/>
    <w:rsid w:val="00F16B9D"/>
    <w:rsid w:val="00F16CE1"/>
    <w:rsid w:val="00F17125"/>
    <w:rsid w:val="00F179EF"/>
    <w:rsid w:val="00F17E02"/>
    <w:rsid w:val="00F17E22"/>
    <w:rsid w:val="00F20017"/>
    <w:rsid w:val="00F20776"/>
    <w:rsid w:val="00F20E4B"/>
    <w:rsid w:val="00F21051"/>
    <w:rsid w:val="00F2106E"/>
    <w:rsid w:val="00F21514"/>
    <w:rsid w:val="00F2188F"/>
    <w:rsid w:val="00F21AE7"/>
    <w:rsid w:val="00F21B8E"/>
    <w:rsid w:val="00F21CAF"/>
    <w:rsid w:val="00F223BD"/>
    <w:rsid w:val="00F223EA"/>
    <w:rsid w:val="00F22EE2"/>
    <w:rsid w:val="00F22F94"/>
    <w:rsid w:val="00F232DA"/>
    <w:rsid w:val="00F23613"/>
    <w:rsid w:val="00F23699"/>
    <w:rsid w:val="00F24874"/>
    <w:rsid w:val="00F24980"/>
    <w:rsid w:val="00F24B20"/>
    <w:rsid w:val="00F24D44"/>
    <w:rsid w:val="00F24EF6"/>
    <w:rsid w:val="00F2509A"/>
    <w:rsid w:val="00F25C36"/>
    <w:rsid w:val="00F26145"/>
    <w:rsid w:val="00F261E0"/>
    <w:rsid w:val="00F26345"/>
    <w:rsid w:val="00F2634C"/>
    <w:rsid w:val="00F2663D"/>
    <w:rsid w:val="00F26D6D"/>
    <w:rsid w:val="00F26F9D"/>
    <w:rsid w:val="00F2759A"/>
    <w:rsid w:val="00F30616"/>
    <w:rsid w:val="00F319F9"/>
    <w:rsid w:val="00F32206"/>
    <w:rsid w:val="00F32540"/>
    <w:rsid w:val="00F3257D"/>
    <w:rsid w:val="00F32AF9"/>
    <w:rsid w:val="00F32C62"/>
    <w:rsid w:val="00F33B96"/>
    <w:rsid w:val="00F33E4B"/>
    <w:rsid w:val="00F340E5"/>
    <w:rsid w:val="00F346B1"/>
    <w:rsid w:val="00F3484E"/>
    <w:rsid w:val="00F34E84"/>
    <w:rsid w:val="00F34FB3"/>
    <w:rsid w:val="00F36323"/>
    <w:rsid w:val="00F36F16"/>
    <w:rsid w:val="00F37507"/>
    <w:rsid w:val="00F40042"/>
    <w:rsid w:val="00F40418"/>
    <w:rsid w:val="00F40A02"/>
    <w:rsid w:val="00F414E1"/>
    <w:rsid w:val="00F415F2"/>
    <w:rsid w:val="00F41AE5"/>
    <w:rsid w:val="00F42037"/>
    <w:rsid w:val="00F423F6"/>
    <w:rsid w:val="00F42415"/>
    <w:rsid w:val="00F424D3"/>
    <w:rsid w:val="00F4284C"/>
    <w:rsid w:val="00F42B0A"/>
    <w:rsid w:val="00F42D03"/>
    <w:rsid w:val="00F430F1"/>
    <w:rsid w:val="00F4313D"/>
    <w:rsid w:val="00F43549"/>
    <w:rsid w:val="00F443B0"/>
    <w:rsid w:val="00F443FE"/>
    <w:rsid w:val="00F444E7"/>
    <w:rsid w:val="00F446B2"/>
    <w:rsid w:val="00F447EA"/>
    <w:rsid w:val="00F44943"/>
    <w:rsid w:val="00F453DF"/>
    <w:rsid w:val="00F45C5E"/>
    <w:rsid w:val="00F45E16"/>
    <w:rsid w:val="00F45FF1"/>
    <w:rsid w:val="00F463D0"/>
    <w:rsid w:val="00F4737E"/>
    <w:rsid w:val="00F47380"/>
    <w:rsid w:val="00F4786F"/>
    <w:rsid w:val="00F47D5F"/>
    <w:rsid w:val="00F47E5F"/>
    <w:rsid w:val="00F50623"/>
    <w:rsid w:val="00F509C5"/>
    <w:rsid w:val="00F511EE"/>
    <w:rsid w:val="00F51D28"/>
    <w:rsid w:val="00F51E4D"/>
    <w:rsid w:val="00F524E1"/>
    <w:rsid w:val="00F52FE7"/>
    <w:rsid w:val="00F533F9"/>
    <w:rsid w:val="00F539AC"/>
    <w:rsid w:val="00F53D94"/>
    <w:rsid w:val="00F53E65"/>
    <w:rsid w:val="00F5420D"/>
    <w:rsid w:val="00F54768"/>
    <w:rsid w:val="00F54ADC"/>
    <w:rsid w:val="00F54C8B"/>
    <w:rsid w:val="00F553E8"/>
    <w:rsid w:val="00F55847"/>
    <w:rsid w:val="00F55AA3"/>
    <w:rsid w:val="00F55DFC"/>
    <w:rsid w:val="00F56C88"/>
    <w:rsid w:val="00F56CB1"/>
    <w:rsid w:val="00F56E2A"/>
    <w:rsid w:val="00F573B2"/>
    <w:rsid w:val="00F57540"/>
    <w:rsid w:val="00F57BDA"/>
    <w:rsid w:val="00F57F43"/>
    <w:rsid w:val="00F60058"/>
    <w:rsid w:val="00F6066A"/>
    <w:rsid w:val="00F60688"/>
    <w:rsid w:val="00F60D88"/>
    <w:rsid w:val="00F60DC0"/>
    <w:rsid w:val="00F61248"/>
    <w:rsid w:val="00F61281"/>
    <w:rsid w:val="00F613C3"/>
    <w:rsid w:val="00F626F5"/>
    <w:rsid w:val="00F629DE"/>
    <w:rsid w:val="00F636C9"/>
    <w:rsid w:val="00F638B4"/>
    <w:rsid w:val="00F6394E"/>
    <w:rsid w:val="00F643C2"/>
    <w:rsid w:val="00F64A0B"/>
    <w:rsid w:val="00F6557B"/>
    <w:rsid w:val="00F65C5A"/>
    <w:rsid w:val="00F65FFC"/>
    <w:rsid w:val="00F6620B"/>
    <w:rsid w:val="00F666B5"/>
    <w:rsid w:val="00F66A94"/>
    <w:rsid w:val="00F67275"/>
    <w:rsid w:val="00F672F5"/>
    <w:rsid w:val="00F673CF"/>
    <w:rsid w:val="00F67CEE"/>
    <w:rsid w:val="00F67EF9"/>
    <w:rsid w:val="00F70BF4"/>
    <w:rsid w:val="00F713E2"/>
    <w:rsid w:val="00F7147B"/>
    <w:rsid w:val="00F7187B"/>
    <w:rsid w:val="00F718A4"/>
    <w:rsid w:val="00F72698"/>
    <w:rsid w:val="00F728AA"/>
    <w:rsid w:val="00F72AD3"/>
    <w:rsid w:val="00F72C8A"/>
    <w:rsid w:val="00F72CA8"/>
    <w:rsid w:val="00F72D90"/>
    <w:rsid w:val="00F741FA"/>
    <w:rsid w:val="00F7430B"/>
    <w:rsid w:val="00F74453"/>
    <w:rsid w:val="00F7456F"/>
    <w:rsid w:val="00F745D9"/>
    <w:rsid w:val="00F74CD5"/>
    <w:rsid w:val="00F74EB5"/>
    <w:rsid w:val="00F75136"/>
    <w:rsid w:val="00F7523E"/>
    <w:rsid w:val="00F759D7"/>
    <w:rsid w:val="00F75D6F"/>
    <w:rsid w:val="00F7609A"/>
    <w:rsid w:val="00F76924"/>
    <w:rsid w:val="00F76E61"/>
    <w:rsid w:val="00F76FD6"/>
    <w:rsid w:val="00F77293"/>
    <w:rsid w:val="00F77C33"/>
    <w:rsid w:val="00F77D71"/>
    <w:rsid w:val="00F77DDB"/>
    <w:rsid w:val="00F80030"/>
    <w:rsid w:val="00F808F0"/>
    <w:rsid w:val="00F80927"/>
    <w:rsid w:val="00F80F7A"/>
    <w:rsid w:val="00F819E1"/>
    <w:rsid w:val="00F820D2"/>
    <w:rsid w:val="00F822A0"/>
    <w:rsid w:val="00F8295B"/>
    <w:rsid w:val="00F82FD0"/>
    <w:rsid w:val="00F83A8B"/>
    <w:rsid w:val="00F83B2E"/>
    <w:rsid w:val="00F84099"/>
    <w:rsid w:val="00F840D0"/>
    <w:rsid w:val="00F8412E"/>
    <w:rsid w:val="00F843F7"/>
    <w:rsid w:val="00F8457E"/>
    <w:rsid w:val="00F8476D"/>
    <w:rsid w:val="00F84847"/>
    <w:rsid w:val="00F84DB2"/>
    <w:rsid w:val="00F85501"/>
    <w:rsid w:val="00F856DE"/>
    <w:rsid w:val="00F85851"/>
    <w:rsid w:val="00F85F7D"/>
    <w:rsid w:val="00F86486"/>
    <w:rsid w:val="00F86769"/>
    <w:rsid w:val="00F8676D"/>
    <w:rsid w:val="00F86C16"/>
    <w:rsid w:val="00F86CFE"/>
    <w:rsid w:val="00F8754C"/>
    <w:rsid w:val="00F87830"/>
    <w:rsid w:val="00F8798B"/>
    <w:rsid w:val="00F87E78"/>
    <w:rsid w:val="00F9034D"/>
    <w:rsid w:val="00F90624"/>
    <w:rsid w:val="00F907AF"/>
    <w:rsid w:val="00F9089F"/>
    <w:rsid w:val="00F90E09"/>
    <w:rsid w:val="00F916F7"/>
    <w:rsid w:val="00F91CBC"/>
    <w:rsid w:val="00F91E36"/>
    <w:rsid w:val="00F9214C"/>
    <w:rsid w:val="00F922ED"/>
    <w:rsid w:val="00F929A2"/>
    <w:rsid w:val="00F9370C"/>
    <w:rsid w:val="00F93961"/>
    <w:rsid w:val="00F93A0A"/>
    <w:rsid w:val="00F93A53"/>
    <w:rsid w:val="00F94A71"/>
    <w:rsid w:val="00F94CCA"/>
    <w:rsid w:val="00F9535C"/>
    <w:rsid w:val="00F9553A"/>
    <w:rsid w:val="00F95780"/>
    <w:rsid w:val="00F95EFB"/>
    <w:rsid w:val="00F9624E"/>
    <w:rsid w:val="00F96825"/>
    <w:rsid w:val="00F96923"/>
    <w:rsid w:val="00F96E26"/>
    <w:rsid w:val="00F970DB"/>
    <w:rsid w:val="00F9766C"/>
    <w:rsid w:val="00F97DF9"/>
    <w:rsid w:val="00FA008C"/>
    <w:rsid w:val="00FA0431"/>
    <w:rsid w:val="00FA048D"/>
    <w:rsid w:val="00FA0577"/>
    <w:rsid w:val="00FA05DC"/>
    <w:rsid w:val="00FA0748"/>
    <w:rsid w:val="00FA086C"/>
    <w:rsid w:val="00FA0870"/>
    <w:rsid w:val="00FA0FFB"/>
    <w:rsid w:val="00FA1441"/>
    <w:rsid w:val="00FA203F"/>
    <w:rsid w:val="00FA2FE8"/>
    <w:rsid w:val="00FA30A0"/>
    <w:rsid w:val="00FA38A1"/>
    <w:rsid w:val="00FA3C01"/>
    <w:rsid w:val="00FA3CB5"/>
    <w:rsid w:val="00FA3F41"/>
    <w:rsid w:val="00FA4A3B"/>
    <w:rsid w:val="00FA4CDD"/>
    <w:rsid w:val="00FA503E"/>
    <w:rsid w:val="00FA54E2"/>
    <w:rsid w:val="00FA560B"/>
    <w:rsid w:val="00FA58E4"/>
    <w:rsid w:val="00FA62C1"/>
    <w:rsid w:val="00FA63E9"/>
    <w:rsid w:val="00FA6697"/>
    <w:rsid w:val="00FA669A"/>
    <w:rsid w:val="00FA6B17"/>
    <w:rsid w:val="00FA77E6"/>
    <w:rsid w:val="00FA7860"/>
    <w:rsid w:val="00FA794E"/>
    <w:rsid w:val="00FA797E"/>
    <w:rsid w:val="00FA7AD6"/>
    <w:rsid w:val="00FA7E18"/>
    <w:rsid w:val="00FA7F39"/>
    <w:rsid w:val="00FB0060"/>
    <w:rsid w:val="00FB012F"/>
    <w:rsid w:val="00FB0432"/>
    <w:rsid w:val="00FB0A08"/>
    <w:rsid w:val="00FB0AD3"/>
    <w:rsid w:val="00FB0D58"/>
    <w:rsid w:val="00FB137F"/>
    <w:rsid w:val="00FB13EE"/>
    <w:rsid w:val="00FB155F"/>
    <w:rsid w:val="00FB185F"/>
    <w:rsid w:val="00FB21EE"/>
    <w:rsid w:val="00FB2506"/>
    <w:rsid w:val="00FB306B"/>
    <w:rsid w:val="00FB3233"/>
    <w:rsid w:val="00FB3274"/>
    <w:rsid w:val="00FB3784"/>
    <w:rsid w:val="00FB50C2"/>
    <w:rsid w:val="00FB529D"/>
    <w:rsid w:val="00FB56C5"/>
    <w:rsid w:val="00FB57EF"/>
    <w:rsid w:val="00FB59E5"/>
    <w:rsid w:val="00FB5ECA"/>
    <w:rsid w:val="00FB5FB0"/>
    <w:rsid w:val="00FB6014"/>
    <w:rsid w:val="00FB6043"/>
    <w:rsid w:val="00FB6F0E"/>
    <w:rsid w:val="00FC017F"/>
    <w:rsid w:val="00FC06BF"/>
    <w:rsid w:val="00FC0AE4"/>
    <w:rsid w:val="00FC0E21"/>
    <w:rsid w:val="00FC132C"/>
    <w:rsid w:val="00FC1694"/>
    <w:rsid w:val="00FC1CF2"/>
    <w:rsid w:val="00FC1E6F"/>
    <w:rsid w:val="00FC2124"/>
    <w:rsid w:val="00FC2576"/>
    <w:rsid w:val="00FC2A0B"/>
    <w:rsid w:val="00FC2A8A"/>
    <w:rsid w:val="00FC2E45"/>
    <w:rsid w:val="00FC351E"/>
    <w:rsid w:val="00FC35C1"/>
    <w:rsid w:val="00FC35DE"/>
    <w:rsid w:val="00FC3967"/>
    <w:rsid w:val="00FC4398"/>
    <w:rsid w:val="00FC4B62"/>
    <w:rsid w:val="00FC4BA2"/>
    <w:rsid w:val="00FC503B"/>
    <w:rsid w:val="00FC5301"/>
    <w:rsid w:val="00FC588B"/>
    <w:rsid w:val="00FC5B26"/>
    <w:rsid w:val="00FC5E05"/>
    <w:rsid w:val="00FC5F5C"/>
    <w:rsid w:val="00FC6028"/>
    <w:rsid w:val="00FC635D"/>
    <w:rsid w:val="00FC66B8"/>
    <w:rsid w:val="00FC6947"/>
    <w:rsid w:val="00FC6E6C"/>
    <w:rsid w:val="00FC6E74"/>
    <w:rsid w:val="00FC7186"/>
    <w:rsid w:val="00FC742F"/>
    <w:rsid w:val="00FC7C89"/>
    <w:rsid w:val="00FD0DB0"/>
    <w:rsid w:val="00FD0E6A"/>
    <w:rsid w:val="00FD0F61"/>
    <w:rsid w:val="00FD1280"/>
    <w:rsid w:val="00FD13B7"/>
    <w:rsid w:val="00FD143C"/>
    <w:rsid w:val="00FD1946"/>
    <w:rsid w:val="00FD2318"/>
    <w:rsid w:val="00FD279E"/>
    <w:rsid w:val="00FD2965"/>
    <w:rsid w:val="00FD2A64"/>
    <w:rsid w:val="00FD2CC3"/>
    <w:rsid w:val="00FD3D61"/>
    <w:rsid w:val="00FD436D"/>
    <w:rsid w:val="00FD491D"/>
    <w:rsid w:val="00FD49DB"/>
    <w:rsid w:val="00FD5062"/>
    <w:rsid w:val="00FD6311"/>
    <w:rsid w:val="00FD6542"/>
    <w:rsid w:val="00FD6BF1"/>
    <w:rsid w:val="00FD7284"/>
    <w:rsid w:val="00FD764D"/>
    <w:rsid w:val="00FD7B35"/>
    <w:rsid w:val="00FD7C6C"/>
    <w:rsid w:val="00FD7CDC"/>
    <w:rsid w:val="00FD7F20"/>
    <w:rsid w:val="00FE01A6"/>
    <w:rsid w:val="00FE02F8"/>
    <w:rsid w:val="00FE0BA6"/>
    <w:rsid w:val="00FE11D9"/>
    <w:rsid w:val="00FE1445"/>
    <w:rsid w:val="00FE153E"/>
    <w:rsid w:val="00FE1793"/>
    <w:rsid w:val="00FE18EF"/>
    <w:rsid w:val="00FE1CE2"/>
    <w:rsid w:val="00FE1DFC"/>
    <w:rsid w:val="00FE235B"/>
    <w:rsid w:val="00FE27FE"/>
    <w:rsid w:val="00FE2852"/>
    <w:rsid w:val="00FE2F5F"/>
    <w:rsid w:val="00FE352B"/>
    <w:rsid w:val="00FE3556"/>
    <w:rsid w:val="00FE393B"/>
    <w:rsid w:val="00FE4608"/>
    <w:rsid w:val="00FE4826"/>
    <w:rsid w:val="00FE58FC"/>
    <w:rsid w:val="00FE5DD2"/>
    <w:rsid w:val="00FE66DF"/>
    <w:rsid w:val="00FE6845"/>
    <w:rsid w:val="00FE6AD1"/>
    <w:rsid w:val="00FE78FD"/>
    <w:rsid w:val="00FE7BA2"/>
    <w:rsid w:val="00FF0586"/>
    <w:rsid w:val="00FF09BD"/>
    <w:rsid w:val="00FF1414"/>
    <w:rsid w:val="00FF1744"/>
    <w:rsid w:val="00FF1C91"/>
    <w:rsid w:val="00FF2265"/>
    <w:rsid w:val="00FF3496"/>
    <w:rsid w:val="00FF3CA1"/>
    <w:rsid w:val="00FF4054"/>
    <w:rsid w:val="00FF4177"/>
    <w:rsid w:val="00FF4675"/>
    <w:rsid w:val="00FF48C8"/>
    <w:rsid w:val="00FF4E05"/>
    <w:rsid w:val="00FF584B"/>
    <w:rsid w:val="00FF5861"/>
    <w:rsid w:val="00FF5FE2"/>
    <w:rsid w:val="00FF63E8"/>
    <w:rsid w:val="00FF6D69"/>
    <w:rsid w:val="00FF7561"/>
    <w:rsid w:val="00FF7932"/>
    <w:rsid w:val="01BCECAD"/>
    <w:rsid w:val="021932C0"/>
    <w:rsid w:val="09F15D29"/>
    <w:rsid w:val="0AFAAB77"/>
    <w:rsid w:val="0C179888"/>
    <w:rsid w:val="0C24B740"/>
    <w:rsid w:val="0D1E08DE"/>
    <w:rsid w:val="0F24A97D"/>
    <w:rsid w:val="1173FA5B"/>
    <w:rsid w:val="11DC9F35"/>
    <w:rsid w:val="1BD64F75"/>
    <w:rsid w:val="1DDF3450"/>
    <w:rsid w:val="222B0FE9"/>
    <w:rsid w:val="2878D3A7"/>
    <w:rsid w:val="29B12956"/>
    <w:rsid w:val="2E90E047"/>
    <w:rsid w:val="31842B81"/>
    <w:rsid w:val="36629010"/>
    <w:rsid w:val="3884EFDF"/>
    <w:rsid w:val="3C597005"/>
    <w:rsid w:val="3F0E748D"/>
    <w:rsid w:val="4660D5D4"/>
    <w:rsid w:val="495B63F5"/>
    <w:rsid w:val="4D4CCB54"/>
    <w:rsid w:val="53977B88"/>
    <w:rsid w:val="59A6C14E"/>
    <w:rsid w:val="64066B66"/>
    <w:rsid w:val="66055CC5"/>
    <w:rsid w:val="68BA7404"/>
    <w:rsid w:val="6A137E4A"/>
    <w:rsid w:val="6BF17D4E"/>
    <w:rsid w:val="6C286094"/>
    <w:rsid w:val="6C76F38B"/>
    <w:rsid w:val="6CD182FA"/>
    <w:rsid w:val="7695C3F5"/>
    <w:rsid w:val="77E3094B"/>
    <w:rsid w:val="7BD5F47D"/>
    <w:rsid w:val="7D2B2585"/>
    <w:rsid w:val="7E0F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1BD0AD"/>
  <w15:docId w15:val="{C98422FC-7E20-4A51-A4B1-FC7E378F1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0972"/>
    <w:pPr>
      <w:jc w:val="both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170972"/>
    <w:pPr>
      <w:keepNext/>
      <w:spacing w:before="240"/>
      <w:outlineLvl w:val="0"/>
    </w:pPr>
    <w:rPr>
      <w:b/>
      <w:bCs/>
      <w:i/>
      <w:i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170972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link w:val="EncabezadoCar"/>
    <w:rsid w:val="00170972"/>
    <w:pPr>
      <w:tabs>
        <w:tab w:val="center" w:pos="4320"/>
        <w:tab w:val="right" w:pos="8640"/>
      </w:tabs>
    </w:pPr>
  </w:style>
  <w:style w:type="paragraph" w:customStyle="1" w:styleId="Textonotafinal">
    <w:name w:val="Texto nota final"/>
    <w:basedOn w:val="Normal"/>
    <w:rsid w:val="00170972"/>
    <w:rPr>
      <w:sz w:val="20"/>
      <w:szCs w:val="20"/>
    </w:rPr>
  </w:style>
  <w:style w:type="paragraph" w:customStyle="1" w:styleId="n0">
    <w:name w:val="n0"/>
    <w:basedOn w:val="Normal"/>
    <w:rsid w:val="00170972"/>
    <w:pPr>
      <w:keepLines/>
      <w:spacing w:before="240"/>
      <w:ind w:left="709" w:right="-351" w:hanging="709"/>
    </w:pPr>
    <w:rPr>
      <w:color w:val="800080"/>
    </w:rPr>
  </w:style>
  <w:style w:type="paragraph" w:styleId="Textoindependiente">
    <w:name w:val="Body Text"/>
    <w:basedOn w:val="Normal"/>
    <w:link w:val="TextoindependienteCar"/>
    <w:rsid w:val="00170972"/>
    <w:pPr>
      <w:spacing w:before="240"/>
    </w:pPr>
    <w:rPr>
      <w:color w:val="0000FF"/>
    </w:rPr>
  </w:style>
  <w:style w:type="paragraph" w:customStyle="1" w:styleId="n01">
    <w:name w:val="n01"/>
    <w:basedOn w:val="Normal"/>
    <w:rsid w:val="00170972"/>
    <w:pPr>
      <w:keepLines/>
      <w:spacing w:before="240"/>
      <w:ind w:left="720" w:hanging="720"/>
    </w:pPr>
    <w:rPr>
      <w:rFonts w:ascii="Univers (W1)" w:hAnsi="Univers (W1)"/>
      <w:color w:val="800080"/>
    </w:rPr>
  </w:style>
  <w:style w:type="paragraph" w:customStyle="1" w:styleId="Mapadeldocumento1">
    <w:name w:val="Mapa del documento1"/>
    <w:basedOn w:val="Normal"/>
    <w:rsid w:val="00170972"/>
    <w:pPr>
      <w:shd w:val="clear" w:color="auto" w:fill="000080"/>
    </w:pPr>
    <w:rPr>
      <w:rFonts w:ascii="Tahoma" w:hAnsi="Tahoma" w:cs="Tahoma"/>
    </w:rPr>
  </w:style>
  <w:style w:type="paragraph" w:customStyle="1" w:styleId="Profesin">
    <w:name w:val="Profesión"/>
    <w:basedOn w:val="Normal"/>
    <w:rsid w:val="00170972"/>
    <w:pPr>
      <w:jc w:val="center"/>
    </w:pPr>
    <w:rPr>
      <w:b/>
      <w:bCs/>
      <w:caps/>
      <w:sz w:val="28"/>
      <w:szCs w:val="28"/>
    </w:rPr>
  </w:style>
  <w:style w:type="paragraph" w:styleId="Subttulo">
    <w:name w:val="Subtitle"/>
    <w:basedOn w:val="Normal"/>
    <w:qFormat/>
    <w:rsid w:val="00170972"/>
    <w:pPr>
      <w:jc w:val="center"/>
    </w:pPr>
    <w:rPr>
      <w:b/>
      <w:bCs/>
    </w:rPr>
  </w:style>
  <w:style w:type="paragraph" w:styleId="Mapadeldocumento">
    <w:name w:val="Document Map"/>
    <w:basedOn w:val="Normal"/>
    <w:semiHidden/>
    <w:rsid w:val="00170972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rsid w:val="00170972"/>
    <w:pPr>
      <w:spacing w:before="240"/>
      <w:ind w:right="1951"/>
    </w:pPr>
  </w:style>
  <w:style w:type="paragraph" w:customStyle="1" w:styleId="p0">
    <w:name w:val="p0"/>
    <w:basedOn w:val="Normal"/>
    <w:rsid w:val="00170972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paragraph" w:styleId="Textodeglobo">
    <w:name w:val="Balloon Text"/>
    <w:basedOn w:val="Normal"/>
    <w:semiHidden/>
    <w:rsid w:val="0017097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170972"/>
    <w:pPr>
      <w:spacing w:before="360"/>
      <w:outlineLvl w:val="0"/>
    </w:pPr>
    <w:rPr>
      <w:u w:val="single"/>
    </w:rPr>
  </w:style>
  <w:style w:type="paragraph" w:styleId="TDC7">
    <w:name w:val="toc 7"/>
    <w:basedOn w:val="Normal"/>
    <w:next w:val="Normal"/>
    <w:rsid w:val="00CC726E"/>
    <w:pPr>
      <w:tabs>
        <w:tab w:val="left" w:leader="dot" w:pos="8646"/>
        <w:tab w:val="right" w:pos="9072"/>
      </w:tabs>
      <w:ind w:left="4253" w:right="850"/>
      <w:jc w:val="left"/>
    </w:pPr>
    <w:rPr>
      <w:rFonts w:ascii="Univers (W1)" w:hAnsi="Univers (W1)" w:cs="Times New Roman"/>
    </w:rPr>
  </w:style>
  <w:style w:type="character" w:styleId="Hipervnculo">
    <w:name w:val="Hyperlink"/>
    <w:basedOn w:val="Fuentedeprrafopredeter"/>
    <w:rsid w:val="00404D4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8476D"/>
    <w:pPr>
      <w:ind w:left="708"/>
    </w:pPr>
  </w:style>
  <w:style w:type="paragraph" w:customStyle="1" w:styleId="Texto">
    <w:name w:val="Texto"/>
    <w:basedOn w:val="Normal"/>
    <w:link w:val="TextoCar"/>
    <w:rsid w:val="007F4D45"/>
    <w:pPr>
      <w:spacing w:after="101" w:line="216" w:lineRule="exact"/>
      <w:ind w:firstLine="288"/>
    </w:pPr>
    <w:rPr>
      <w:sz w:val="18"/>
      <w:szCs w:val="20"/>
      <w:lang w:val="es-ES"/>
    </w:rPr>
  </w:style>
  <w:style w:type="character" w:customStyle="1" w:styleId="TextoCar">
    <w:name w:val="Texto Car"/>
    <w:basedOn w:val="Fuentedeprrafopredeter"/>
    <w:link w:val="Texto"/>
    <w:rsid w:val="007F4D45"/>
    <w:rPr>
      <w:rFonts w:ascii="Arial" w:hAnsi="Arial" w:cs="Arial"/>
      <w:sz w:val="18"/>
      <w:lang w:val="es-ES" w:eastAsia="es-ES"/>
    </w:rPr>
  </w:style>
  <w:style w:type="paragraph" w:styleId="Textonotapie">
    <w:name w:val="footnote text"/>
    <w:basedOn w:val="Normal"/>
    <w:link w:val="TextonotapieCar"/>
    <w:rsid w:val="003E64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3E64BB"/>
    <w:rPr>
      <w:rFonts w:ascii="Arial" w:hAnsi="Arial" w:cs="Arial"/>
      <w:lang w:val="es-ES_tradnl" w:eastAsia="es-ES"/>
    </w:rPr>
  </w:style>
  <w:style w:type="character" w:styleId="Refdenotaalpie">
    <w:name w:val="footnote reference"/>
    <w:basedOn w:val="Fuentedeprrafopredeter"/>
    <w:rsid w:val="003E64BB"/>
    <w:rPr>
      <w:vertAlign w:val="superscript"/>
    </w:rPr>
  </w:style>
  <w:style w:type="character" w:styleId="Hipervnculovisitado">
    <w:name w:val="FollowedHyperlink"/>
    <w:basedOn w:val="Fuentedeprrafopredeter"/>
    <w:rsid w:val="00D87BDC"/>
    <w:rPr>
      <w:color w:val="800080" w:themeColor="followedHyperlink"/>
      <w:u w:val="single"/>
    </w:rPr>
  </w:style>
  <w:style w:type="paragraph" w:customStyle="1" w:styleId="Default">
    <w:name w:val="Default"/>
    <w:rsid w:val="00705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rsid w:val="003076C4"/>
    <w:rPr>
      <w:rFonts w:ascii="Arial" w:hAnsi="Arial" w:cs="Arial"/>
      <w:sz w:val="24"/>
      <w:szCs w:val="24"/>
      <w:lang w:val="es-ES_tradnl" w:eastAsia="es-ES"/>
    </w:rPr>
  </w:style>
  <w:style w:type="paragraph" w:styleId="Textocomentario">
    <w:name w:val="annotation text"/>
    <w:basedOn w:val="Normal"/>
    <w:link w:val="Textocomentario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53650"/>
    <w:rPr>
      <w:lang w:eastAsia="es-ES"/>
    </w:rPr>
  </w:style>
  <w:style w:type="paragraph" w:styleId="Textonotaalfinal">
    <w:name w:val="endnote text"/>
    <w:basedOn w:val="Normal"/>
    <w:link w:val="Textonotaalfinal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53650"/>
    <w:rPr>
      <w:lang w:eastAsia="es-ES"/>
    </w:rPr>
  </w:style>
  <w:style w:type="paragraph" w:customStyle="1" w:styleId="bulnot">
    <w:name w:val="bulnot"/>
    <w:basedOn w:val="Normal"/>
    <w:rsid w:val="00D53650"/>
    <w:pPr>
      <w:tabs>
        <w:tab w:val="left" w:pos="851"/>
      </w:tabs>
      <w:spacing w:before="360"/>
      <w:ind w:left="1985" w:right="2036" w:hanging="273"/>
    </w:pPr>
    <w:rPr>
      <w:rFonts w:cs="Times New Roman"/>
      <w:b/>
      <w:color w:val="0000FF"/>
      <w:spacing w:val="10"/>
      <w:sz w:val="22"/>
      <w:szCs w:val="20"/>
      <w:lang w:val="es-MX"/>
    </w:rPr>
  </w:style>
  <w:style w:type="paragraph" w:customStyle="1" w:styleId="texto0">
    <w:name w:val="texto"/>
    <w:basedOn w:val="Normal"/>
    <w:uiPriority w:val="99"/>
    <w:rsid w:val="00D53650"/>
    <w:pPr>
      <w:keepLines/>
      <w:spacing w:before="240"/>
    </w:pPr>
    <w:rPr>
      <w:rFonts w:cs="Times New Roman"/>
      <w:color w:val="000080"/>
      <w:szCs w:val="20"/>
      <w:lang w:val="es-MX"/>
    </w:rPr>
  </w:style>
  <w:style w:type="paragraph" w:customStyle="1" w:styleId="bullet">
    <w:name w:val="bullet"/>
    <w:basedOn w:val="Normal"/>
    <w:rsid w:val="00D53650"/>
    <w:pPr>
      <w:keepLines/>
      <w:spacing w:before="240" w:after="120"/>
      <w:ind w:left="1418" w:right="901" w:hanging="284"/>
    </w:pPr>
    <w:rPr>
      <w:rFonts w:cs="Times New Roman"/>
      <w:b/>
      <w:color w:val="0000FF"/>
      <w:spacing w:val="10"/>
      <w:szCs w:val="20"/>
      <w:lang w:val="es-MX"/>
    </w:rPr>
  </w:style>
  <w:style w:type="paragraph" w:customStyle="1" w:styleId="estado">
    <w:name w:val="estado"/>
    <w:basedOn w:val="Normal"/>
    <w:rsid w:val="00D53650"/>
    <w:pPr>
      <w:spacing w:before="360" w:line="320" w:lineRule="exact"/>
      <w:ind w:left="567" w:hanging="567"/>
    </w:pPr>
    <w:rPr>
      <w:rFonts w:cs="Times New Roman"/>
      <w:szCs w:val="20"/>
      <w:lang w:val="es-MX"/>
    </w:rPr>
  </w:style>
  <w:style w:type="paragraph" w:customStyle="1" w:styleId="tit-gra">
    <w:name w:val="tit-gra"/>
    <w:basedOn w:val="Normal"/>
    <w:rsid w:val="00D53650"/>
    <w:pPr>
      <w:keepNext/>
      <w:keepLines/>
      <w:jc w:val="center"/>
    </w:pPr>
    <w:rPr>
      <w:rFonts w:cs="Times New Roman"/>
      <w:b/>
      <w:szCs w:val="20"/>
      <w:lang w:val="es-MX"/>
    </w:rPr>
  </w:style>
  <w:style w:type="paragraph" w:customStyle="1" w:styleId="var">
    <w:name w:val="var%"/>
    <w:basedOn w:val="Normal"/>
    <w:rsid w:val="00D53650"/>
    <w:pPr>
      <w:jc w:val="center"/>
    </w:pPr>
    <w:rPr>
      <w:rFonts w:cs="Times New Roman"/>
      <w:sz w:val="18"/>
      <w:szCs w:val="20"/>
      <w:lang w:val="es-MX"/>
    </w:rPr>
  </w:style>
  <w:style w:type="paragraph" w:styleId="Textodebloque">
    <w:name w:val="Block Text"/>
    <w:basedOn w:val="Normal"/>
    <w:rsid w:val="00D53650"/>
    <w:pPr>
      <w:spacing w:before="240"/>
      <w:ind w:left="-142" w:right="-91"/>
      <w:jc w:val="center"/>
    </w:pPr>
    <w:rPr>
      <w:rFonts w:cs="Times New Roman"/>
      <w:b/>
      <w:caps/>
      <w:szCs w:val="20"/>
      <w:lang w:val="es-MX"/>
    </w:rPr>
  </w:style>
  <w:style w:type="paragraph" w:customStyle="1" w:styleId="Textodebloque1">
    <w:name w:val="Texto de bloque1"/>
    <w:basedOn w:val="Normal"/>
    <w:rsid w:val="00D53650"/>
    <w:pPr>
      <w:spacing w:before="240"/>
      <w:ind w:left="1843" w:right="1361" w:hanging="273"/>
    </w:pPr>
    <w:rPr>
      <w:rFonts w:cs="Times New Roman"/>
      <w:b/>
      <w:sz w:val="22"/>
      <w:szCs w:val="20"/>
      <w:lang w:val="es-MX"/>
    </w:rPr>
  </w:style>
  <w:style w:type="paragraph" w:customStyle="1" w:styleId="Textoindependiente21">
    <w:name w:val="Texto independiente 21"/>
    <w:basedOn w:val="Normal"/>
    <w:rsid w:val="00D53650"/>
    <w:pPr>
      <w:spacing w:before="360"/>
      <w:ind w:left="570"/>
    </w:pPr>
    <w:rPr>
      <w:rFonts w:cs="Times New Roman"/>
      <w:color w:val="0000FF"/>
      <w:szCs w:val="20"/>
      <w:lang w:val="es-MX"/>
    </w:rPr>
  </w:style>
  <w:style w:type="paragraph" w:customStyle="1" w:styleId="nombre">
    <w:name w:val="nombre"/>
    <w:basedOn w:val="Normal"/>
    <w:rsid w:val="00D53650"/>
    <w:pPr>
      <w:keepLines/>
      <w:spacing w:before="240"/>
      <w:ind w:left="1080" w:hanging="1080"/>
      <w:jc w:val="left"/>
    </w:pPr>
    <w:rPr>
      <w:rFonts w:ascii="Helvetica" w:hAnsi="Helvetica" w:cs="Times New Roman"/>
      <w:color w:val="0000FF"/>
      <w:szCs w:val="20"/>
      <w:lang w:val="es-MX"/>
    </w:rPr>
  </w:style>
  <w:style w:type="paragraph" w:styleId="NormalWeb">
    <w:name w:val="Normal (Web)"/>
    <w:basedOn w:val="Normal"/>
    <w:uiPriority w:val="99"/>
    <w:rsid w:val="00D53650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ES"/>
    </w:rPr>
  </w:style>
  <w:style w:type="paragraph" w:styleId="Ttulo">
    <w:name w:val="Title"/>
    <w:basedOn w:val="Normal"/>
    <w:link w:val="TtuloCar"/>
    <w:qFormat/>
    <w:rsid w:val="00D53650"/>
    <w:pPr>
      <w:jc w:val="center"/>
    </w:pPr>
    <w:rPr>
      <w:rFonts w:cs="Times New Roman"/>
      <w:b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D53650"/>
    <w:rPr>
      <w:rFonts w:ascii="Arial" w:hAnsi="Arial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rsid w:val="00D5365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final">
    <w:name w:val="endnote reference"/>
    <w:basedOn w:val="Fuentedeprrafopredeter"/>
    <w:semiHidden/>
    <w:rsid w:val="00D53650"/>
    <w:rPr>
      <w:vertAlign w:val="superscript"/>
    </w:rPr>
  </w:style>
  <w:style w:type="paragraph" w:customStyle="1" w:styleId="p1">
    <w:name w:val="p1"/>
    <w:basedOn w:val="p0"/>
    <w:rsid w:val="00D53650"/>
    <w:pPr>
      <w:spacing w:before="360"/>
    </w:pPr>
    <w:rPr>
      <w:rFonts w:ascii="Arial" w:hAnsi="Arial" w:cs="Times New Roman"/>
      <w:szCs w:val="20"/>
    </w:rPr>
  </w:style>
  <w:style w:type="paragraph" w:styleId="ndice3">
    <w:name w:val="index 3"/>
    <w:basedOn w:val="Normal"/>
    <w:next w:val="Normal"/>
    <w:rsid w:val="00D53650"/>
    <w:pPr>
      <w:keepLines/>
      <w:ind w:left="567"/>
    </w:pPr>
    <w:rPr>
      <w:rFonts w:ascii="Univers" w:hAnsi="Univers" w:cs="Times New Roman"/>
      <w:szCs w:val="20"/>
      <w:lang w:val="es-MX"/>
    </w:rPr>
  </w:style>
  <w:style w:type="paragraph" w:customStyle="1" w:styleId="Normal1">
    <w:name w:val="Normal1"/>
    <w:rsid w:val="00D53650"/>
    <w:rPr>
      <w:rFonts w:ascii="CG Times" w:hAnsi="CG Times"/>
      <w:lang w:val="es-ES_tradnl" w:eastAsia="es-ES"/>
    </w:rPr>
  </w:style>
  <w:style w:type="paragraph" w:customStyle="1" w:styleId="consang">
    <w:name w:val="con sang"/>
    <w:basedOn w:val="Normal"/>
    <w:link w:val="consangCar"/>
    <w:qFormat/>
    <w:rsid w:val="00D53650"/>
    <w:pPr>
      <w:spacing w:after="200" w:line="276" w:lineRule="auto"/>
      <w:ind w:firstLine="426"/>
    </w:pPr>
    <w:rPr>
      <w:rFonts w:ascii="Times New Roman" w:eastAsia="Calibri" w:hAnsi="Times New Roman" w:cs="Times New Roman"/>
      <w:szCs w:val="22"/>
      <w:lang w:val="es-MX" w:eastAsia="en-US"/>
    </w:rPr>
  </w:style>
  <w:style w:type="character" w:customStyle="1" w:styleId="consangCar">
    <w:name w:val="con sang Car"/>
    <w:basedOn w:val="Fuentedeprrafopredeter"/>
    <w:link w:val="consang"/>
    <w:rsid w:val="00D53650"/>
    <w:rPr>
      <w:rFonts w:eastAsia="Calibri"/>
      <w:sz w:val="24"/>
      <w:szCs w:val="22"/>
      <w:lang w:eastAsia="en-US"/>
    </w:rPr>
  </w:style>
  <w:style w:type="character" w:styleId="nfasis">
    <w:name w:val="Emphasis"/>
    <w:basedOn w:val="Fuentedeprrafopredeter"/>
    <w:qFormat/>
    <w:rsid w:val="00D53650"/>
    <w:rPr>
      <w:i/>
      <w:iCs/>
    </w:rPr>
  </w:style>
  <w:style w:type="character" w:customStyle="1" w:styleId="TextoindependienteCar">
    <w:name w:val="Texto independiente Car"/>
    <w:basedOn w:val="Fuentedeprrafopredeter"/>
    <w:link w:val="Textoindependiente"/>
    <w:rsid w:val="00443B05"/>
    <w:rPr>
      <w:rFonts w:ascii="Arial" w:hAnsi="Arial" w:cs="Arial"/>
      <w:color w:val="0000FF"/>
      <w:sz w:val="24"/>
      <w:szCs w:val="24"/>
      <w:lang w:val="es-ES_tradnl" w:eastAsia="es-ES"/>
    </w:rPr>
  </w:style>
  <w:style w:type="character" w:styleId="Refdecomentario">
    <w:name w:val="annotation reference"/>
    <w:basedOn w:val="Fuentedeprrafopredeter"/>
    <w:semiHidden/>
    <w:unhideWhenUsed/>
    <w:rsid w:val="000C4E4F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0C4E4F"/>
    <w:pPr>
      <w:jc w:val="both"/>
    </w:pPr>
    <w:rPr>
      <w:rFonts w:ascii="Arial" w:hAnsi="Arial" w:cs="Arial"/>
      <w:b/>
      <w:bCs/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C4E4F"/>
    <w:rPr>
      <w:rFonts w:ascii="Arial" w:hAnsi="Arial" w:cs="Arial"/>
      <w:b/>
      <w:bCs/>
      <w:lang w:val="es-ES_tradnl" w:eastAsia="es-ES"/>
    </w:rPr>
  </w:style>
  <w:style w:type="paragraph" w:customStyle="1" w:styleId="Pa8">
    <w:name w:val="Pa8"/>
    <w:basedOn w:val="Default"/>
    <w:next w:val="Default"/>
    <w:uiPriority w:val="99"/>
    <w:rsid w:val="009E64F3"/>
    <w:pPr>
      <w:spacing w:line="221" w:lineRule="atLeast"/>
    </w:pPr>
    <w:rPr>
      <w:rFonts w:eastAsiaTheme="minorHAnsi"/>
      <w:color w:val="auto"/>
      <w:lang w:val="en-US" w:eastAsia="en-US"/>
    </w:rPr>
  </w:style>
  <w:style w:type="paragraph" w:customStyle="1" w:styleId="Pa10">
    <w:name w:val="Pa10"/>
    <w:basedOn w:val="Default"/>
    <w:next w:val="Default"/>
    <w:uiPriority w:val="99"/>
    <w:rsid w:val="009E64F3"/>
    <w:pPr>
      <w:spacing w:line="221" w:lineRule="atLeast"/>
    </w:pPr>
    <w:rPr>
      <w:rFonts w:eastAsiaTheme="minorHAnsi"/>
      <w:color w:val="auto"/>
      <w:lang w:val="en-US"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9370C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22536A"/>
    <w:rPr>
      <w:rFonts w:ascii="Arial" w:hAnsi="Arial" w:cs="Arial"/>
      <w:sz w:val="24"/>
      <w:szCs w:val="24"/>
      <w:lang w:val="es-ES_tradnl" w:eastAsia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9D4D64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416792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MX" w:eastAsia="es-MX"/>
    </w:rPr>
  </w:style>
  <w:style w:type="character" w:styleId="Textodelmarcadordeposicin">
    <w:name w:val="Placeholder Text"/>
    <w:basedOn w:val="Fuentedeprrafopredeter"/>
    <w:uiPriority w:val="99"/>
    <w:semiHidden/>
    <w:rsid w:val="008B6B3B"/>
    <w:rPr>
      <w:color w:val="808080"/>
    </w:rPr>
  </w:style>
  <w:style w:type="character" w:styleId="Mencinsinresolver">
    <w:name w:val="Unresolved Mention"/>
    <w:basedOn w:val="Fuentedeprrafopredeter"/>
    <w:uiPriority w:val="99"/>
    <w:semiHidden/>
    <w:unhideWhenUsed/>
    <w:rsid w:val="000355CE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C01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AE64BE"/>
    <w:rPr>
      <w:rFonts w:ascii="Arial" w:hAnsi="Arial" w:cs="Arial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66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80"/>
                            <w:left w:val="none" w:sz="0" w:space="0" w:color="000080"/>
                            <w:bottom w:val="none" w:sz="0" w:space="0" w:color="000080"/>
                            <w:right w:val="none" w:sz="0" w:space="0" w:color="0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1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hyperlink" Target="http://www.inegi.org.mx/" TargetMode="External"/><Relationship Id="rId26" Type="http://schemas.openxmlformats.org/officeDocument/2006/relationships/chart" Target="charts/chart8.xml"/><Relationship Id="rId39" Type="http://schemas.openxmlformats.org/officeDocument/2006/relationships/theme" Target="theme/theme1.xml"/><Relationship Id="rId21" Type="http://schemas.openxmlformats.org/officeDocument/2006/relationships/chart" Target="charts/chart3.xml"/><Relationship Id="rId34" Type="http://schemas.openxmlformats.org/officeDocument/2006/relationships/hyperlink" Target="http://www.inegi.org.mx/temas/opinion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nstagram.com/inegi_informa/" TargetMode="External"/><Relationship Id="rId17" Type="http://schemas.openxmlformats.org/officeDocument/2006/relationships/image" Target="media/image4.png"/><Relationship Id="rId25" Type="http://schemas.openxmlformats.org/officeDocument/2006/relationships/chart" Target="charts/chart7.xml"/><Relationship Id="rId33" Type="http://schemas.openxmlformats.org/officeDocument/2006/relationships/image" Target="media/image6.png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user/INEGIInforma" TargetMode="External"/><Relationship Id="rId20" Type="http://schemas.openxmlformats.org/officeDocument/2006/relationships/chart" Target="charts/chart2.xml"/><Relationship Id="rId29" Type="http://schemas.openxmlformats.org/officeDocument/2006/relationships/chart" Target="charts/chart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chart" Target="charts/chart6.xml"/><Relationship Id="rId32" Type="http://schemas.openxmlformats.org/officeDocument/2006/relationships/hyperlink" Target="https://www.inegi.org.mx/app/biblioteca/ficha.html?upc=702825099060" TargetMode="External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chart" Target="charts/chart5.xml"/><Relationship Id="rId28" Type="http://schemas.openxmlformats.org/officeDocument/2006/relationships/chart" Target="charts/chart10.xml"/><Relationship Id="rId36" Type="http://schemas.openxmlformats.org/officeDocument/2006/relationships/header" Target="header1.xml"/><Relationship Id="rId10" Type="http://schemas.openxmlformats.org/officeDocument/2006/relationships/hyperlink" Target="https://www.facebook.com/INEGIInforma/" TargetMode="External"/><Relationship Id="rId19" Type="http://schemas.openxmlformats.org/officeDocument/2006/relationships/image" Target="media/image5.png"/><Relationship Id="rId31" Type="http://schemas.openxmlformats.org/officeDocument/2006/relationships/hyperlink" Target="https://www.inegi.org.mx/programas/emoe/2018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unicacionsocial@inegi.org.mx" TargetMode="External"/><Relationship Id="rId14" Type="http://schemas.openxmlformats.org/officeDocument/2006/relationships/hyperlink" Target="https://twitter.com/INEGI_INFORMA" TargetMode="External"/><Relationship Id="rId22" Type="http://schemas.openxmlformats.org/officeDocument/2006/relationships/chart" Target="charts/chart4.xml"/><Relationship Id="rId27" Type="http://schemas.openxmlformats.org/officeDocument/2006/relationships/chart" Target="charts/chart9.xml"/><Relationship Id="rId30" Type="http://schemas.openxmlformats.org/officeDocument/2006/relationships/chart" Target="charts/chart12.xml"/><Relationship Id="rId35" Type="http://schemas.openxmlformats.org/officeDocument/2006/relationships/hyperlink" Target="http://www.inegi.org.mx/programas/emoe/2018/" TargetMode="External"/><Relationship Id="rId8" Type="http://schemas.openxmlformats.org/officeDocument/2006/relationships/chart" Target="charts/chart1.xm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uel.avila\Documents\Plantillas%20personalizadas%20de%20Office\Plantilla%20Boletines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53.2.159\412_SUB_AES\1.-COMUNICADOS%20Y%20NOTAS\EMOE\4.-Cuadros%20y%20gr&#225;ficas\ICE_Gr&#225;ficas%20Desest%20y%20Tendencia-Ciclo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53.2.159\412_SUB_AES\1.-COMUNICADOS%20Y%20NOTAS\EMOE\4.-Cuadros%20y%20gr&#225;ficas\ICE_Gr&#225;ficas%20Desest%20y%20Tendencia-Ciclo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53.2.159\412_SUB_AES\1.-COMUNICADOS%20Y%20NOTAS\EMOE\4.-Cuadros%20y%20gr&#225;ficas\ICE_Gr&#225;ficas%20Desest%20y%20Tendencia-Ciclo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53.2.159\412_SUB_AES\1.-COMUNICADOS%20Y%20NOTAS\EMOE\4.-Cuadros%20y%20gr&#225;ficas\ICE_Gr&#225;ficas%20Desest%20y%20Tendencia-Ciclo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53.2.159\412_SUB_AES\1.-COMUNICADOS%20Y%20NOTAS\EMOE\4.-Cuadros%20y%20gr&#225;ficas\ICE_Gr&#225;ficas%20Desest%20y%20Tendencia-Ciclo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53.2.159\412_SUB_AES\1.-COMUNICADOS%20Y%20NOTAS\EMOE\4.-Cuadros%20y%20gr&#225;ficas\ICE_Gr&#225;ficas%20Desest%20y%20Tendencia-Ciclo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53.2.159\412_SUB_AES\1.-COMUNICADOS%20Y%20NOTAS\EMOE\4.-Cuadros%20y%20gr&#225;ficas\ICE_Gr&#225;ficas%20Desest%20y%20Tendencia-Ciclo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53.2.159\412_SUB_AES\1.-COMUNICADOS%20Y%20NOTAS\EMOE\4.-Cuadros%20y%20gr&#225;ficas\ICE_Gr&#225;ficas%20Desest%20y%20Tendencia-Ciclo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53.2.159\412_SUB_AES\1.-COMUNICADOS%20Y%20NOTAS\EMOE\4.-Cuadros%20y%20gr&#225;ficas\ICE_Gr&#225;ficas%20Desest%20y%20Tendencia-Ciclo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53.2.159\412_SUB_AES\1.-COMUNICADOS%20Y%20NOTAS\EMOE\4.-Cuadros%20y%20gr&#225;ficas\ICE_Gr&#225;ficas%20Desest%20y%20Tendencia-Ciclo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53.2.159\412_SUB_AES\1.-COMUNICADOS%20Y%20NOTAS\EMOE\4.-Cuadros%20y%20gr&#225;ficas\ICE_Gr&#225;ficas%20Desest%20y%20Tendencia-Ciclo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53.2.159\412_SUB_AES\1.-COMUNICADOS%20Y%20NOTAS\EMOE\4.-Cuadros%20y%20gr&#225;ficas\ICE_Gr&#225;ficas%20Desest%20y%20Tendencia-Ciclo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7557489281093577E-2"/>
          <c:y val="4.1884661341257463E-2"/>
          <c:w val="0.91277806917975435"/>
          <c:h val="0.81415685993223252"/>
        </c:manualLayout>
      </c:layout>
      <c:lineChart>
        <c:grouping val="standard"/>
        <c:varyColors val="0"/>
        <c:ser>
          <c:idx val="2"/>
          <c:order val="0"/>
          <c:tx>
            <c:strRef>
              <c:f>Datos!$C$6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9050" cmpd="sng">
              <a:solidFill>
                <a:srgbClr val="4A7EBB"/>
              </a:solidFill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Datos!$C$175:$C$246</c:f>
              <c:numCache>
                <c:formatCode>0.0</c:formatCode>
                <c:ptCount val="69"/>
                <c:pt idx="0">
                  <c:v>50.369443409345202</c:v>
                </c:pt>
                <c:pt idx="1">
                  <c:v>50.940198934056198</c:v>
                </c:pt>
                <c:pt idx="2">
                  <c:v>51.6476232769433</c:v>
                </c:pt>
                <c:pt idx="3">
                  <c:v>51.830995755589697</c:v>
                </c:pt>
                <c:pt idx="4">
                  <c:v>51.062747324228297</c:v>
                </c:pt>
                <c:pt idx="5">
                  <c:v>49.956129174813498</c:v>
                </c:pt>
                <c:pt idx="6">
                  <c:v>52.520242713684297</c:v>
                </c:pt>
                <c:pt idx="7">
                  <c:v>53.659631998520098</c:v>
                </c:pt>
                <c:pt idx="8">
                  <c:v>52.478721839512701</c:v>
                </c:pt>
                <c:pt idx="9">
                  <c:v>52.207809382907001</c:v>
                </c:pt>
                <c:pt idx="10">
                  <c:v>51.359429041777098</c:v>
                </c:pt>
                <c:pt idx="11">
                  <c:v>51.359849367745902</c:v>
                </c:pt>
                <c:pt idx="12">
                  <c:v>53.029924848054399</c:v>
                </c:pt>
                <c:pt idx="13">
                  <c:v>53.252577395000202</c:v>
                </c:pt>
                <c:pt idx="14">
                  <c:v>53.313750011673399</c:v>
                </c:pt>
                <c:pt idx="15">
                  <c:v>53.101444228393902</c:v>
                </c:pt>
                <c:pt idx="16">
                  <c:v>53.339598314391203</c:v>
                </c:pt>
                <c:pt idx="17">
                  <c:v>51.773377131220201</c:v>
                </c:pt>
                <c:pt idx="18">
                  <c:v>50.3155171491643</c:v>
                </c:pt>
                <c:pt idx="19">
                  <c:v>50.8912399078378</c:v>
                </c:pt>
                <c:pt idx="20">
                  <c:v>50.733941617215699</c:v>
                </c:pt>
                <c:pt idx="21">
                  <c:v>50.155435577995497</c:v>
                </c:pt>
                <c:pt idx="22">
                  <c:v>49.863974474275601</c:v>
                </c:pt>
                <c:pt idx="23">
                  <c:v>49.386175527252497</c:v>
                </c:pt>
                <c:pt idx="24">
                  <c:v>48.414281420965303</c:v>
                </c:pt>
                <c:pt idx="25">
                  <c:v>47.481383400511397</c:v>
                </c:pt>
                <c:pt idx="26">
                  <c:v>44.1574773531961</c:v>
                </c:pt>
                <c:pt idx="27">
                  <c:v>36.270957064446101</c:v>
                </c:pt>
                <c:pt idx="28">
                  <c:v>34.370951263645203</c:v>
                </c:pt>
                <c:pt idx="29">
                  <c:v>37.337079063924499</c:v>
                </c:pt>
                <c:pt idx="30">
                  <c:v>38.813224429311397</c:v>
                </c:pt>
                <c:pt idx="31">
                  <c:v>39.281397305090699</c:v>
                </c:pt>
                <c:pt idx="32">
                  <c:v>40.875225257992497</c:v>
                </c:pt>
                <c:pt idx="33">
                  <c:v>41.738204043261099</c:v>
                </c:pt>
                <c:pt idx="34">
                  <c:v>42.3939456964671</c:v>
                </c:pt>
                <c:pt idx="35">
                  <c:v>43.2237582282294</c:v>
                </c:pt>
                <c:pt idx="36">
                  <c:v>43.671178248940898</c:v>
                </c:pt>
                <c:pt idx="37">
                  <c:v>44.304733949887797</c:v>
                </c:pt>
                <c:pt idx="38">
                  <c:v>45.846588447011698</c:v>
                </c:pt>
                <c:pt idx="39">
                  <c:v>48.342913807421098</c:v>
                </c:pt>
                <c:pt idx="40">
                  <c:v>49.678110803365598</c:v>
                </c:pt>
                <c:pt idx="41">
                  <c:v>51.322266509838101</c:v>
                </c:pt>
                <c:pt idx="42">
                  <c:v>51.825103190933397</c:v>
                </c:pt>
                <c:pt idx="43">
                  <c:v>51.416350543984002</c:v>
                </c:pt>
                <c:pt idx="44">
                  <c:v>51.586661263798398</c:v>
                </c:pt>
                <c:pt idx="45">
                  <c:v>52.056784365024598</c:v>
                </c:pt>
                <c:pt idx="46">
                  <c:v>52.941854070431901</c:v>
                </c:pt>
                <c:pt idx="47">
                  <c:v>52.886325782598199</c:v>
                </c:pt>
                <c:pt idx="48">
                  <c:v>51.252194101138201</c:v>
                </c:pt>
                <c:pt idx="49">
                  <c:v>52.546619426232297</c:v>
                </c:pt>
                <c:pt idx="50">
                  <c:v>51.699910702365997</c:v>
                </c:pt>
                <c:pt idx="51">
                  <c:v>52.241690039510203</c:v>
                </c:pt>
                <c:pt idx="52">
                  <c:v>52.366074014645903</c:v>
                </c:pt>
                <c:pt idx="53">
                  <c:v>52.038898000825597</c:v>
                </c:pt>
                <c:pt idx="54">
                  <c:v>51.225572400799898</c:v>
                </c:pt>
                <c:pt idx="55">
                  <c:v>51.826898984819202</c:v>
                </c:pt>
                <c:pt idx="56">
                  <c:v>50.975080878045901</c:v>
                </c:pt>
                <c:pt idx="57">
                  <c:v>50.7828311474331</c:v>
                </c:pt>
                <c:pt idx="58">
                  <c:v>50.281675000129098</c:v>
                </c:pt>
                <c:pt idx="59">
                  <c:v>50.511659851243699</c:v>
                </c:pt>
                <c:pt idx="60">
                  <c:v>51.159083374562499</c:v>
                </c:pt>
                <c:pt idx="61">
                  <c:v>53.140330468336501</c:v>
                </c:pt>
                <c:pt idx="62">
                  <c:v>53.315060611452701</c:v>
                </c:pt>
                <c:pt idx="63">
                  <c:v>53.052076919380397</c:v>
                </c:pt>
                <c:pt idx="64">
                  <c:v>53.4088943246703</c:v>
                </c:pt>
                <c:pt idx="65">
                  <c:v>53.402418034644803</c:v>
                </c:pt>
                <c:pt idx="66">
                  <c:v>53.706489192731397</c:v>
                </c:pt>
                <c:pt idx="67">
                  <c:v>53.697190883857203</c:v>
                </c:pt>
                <c:pt idx="68">
                  <c:v>53.832601812792099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8E2-4917-BF1E-BFD1FED21B39}"/>
            </c:ext>
          </c:extLst>
        </c:ser>
        <c:ser>
          <c:idx val="0"/>
          <c:order val="1"/>
          <c:tx>
            <c:strRef>
              <c:f>Datos!$D$6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9525">
              <a:solidFill>
                <a:srgbClr val="FF0000"/>
              </a:solidFill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Datos!$D$175:$D$246</c:f>
              <c:numCache>
                <c:formatCode>0.0</c:formatCode>
                <c:ptCount val="69"/>
                <c:pt idx="0">
                  <c:v>50.751107079741899</c:v>
                </c:pt>
                <c:pt idx="1">
                  <c:v>51.038956603713999</c:v>
                </c:pt>
                <c:pt idx="2">
                  <c:v>51.300738999771198</c:v>
                </c:pt>
                <c:pt idx="3">
                  <c:v>51.527309459249999</c:v>
                </c:pt>
                <c:pt idx="4">
                  <c:v>51.714028348704403</c:v>
                </c:pt>
                <c:pt idx="5">
                  <c:v>51.938410745387102</c:v>
                </c:pt>
                <c:pt idx="6">
                  <c:v>52.2522468419712</c:v>
                </c:pt>
                <c:pt idx="7">
                  <c:v>52.465354669930299</c:v>
                </c:pt>
                <c:pt idx="8">
                  <c:v>52.310406336570203</c:v>
                </c:pt>
                <c:pt idx="9">
                  <c:v>51.935573356842802</c:v>
                </c:pt>
                <c:pt idx="10">
                  <c:v>51.760253834132001</c:v>
                </c:pt>
                <c:pt idx="11">
                  <c:v>51.985519670374103</c:v>
                </c:pt>
                <c:pt idx="12">
                  <c:v>52.497071917490601</c:v>
                </c:pt>
                <c:pt idx="13">
                  <c:v>53.088015033614397</c:v>
                </c:pt>
                <c:pt idx="14">
                  <c:v>53.396216549286798</c:v>
                </c:pt>
                <c:pt idx="15">
                  <c:v>53.259045615461602</c:v>
                </c:pt>
                <c:pt idx="16">
                  <c:v>52.787265345716101</c:v>
                </c:pt>
                <c:pt idx="17">
                  <c:v>52.184758726254898</c:v>
                </c:pt>
                <c:pt idx="18">
                  <c:v>51.544446559839798</c:v>
                </c:pt>
                <c:pt idx="19">
                  <c:v>50.999401591372703</c:v>
                </c:pt>
                <c:pt idx="20">
                  <c:v>50.606633307663799</c:v>
                </c:pt>
                <c:pt idx="21">
                  <c:v>50.325247275293599</c:v>
                </c:pt>
                <c:pt idx="22">
                  <c:v>49.9350713452015</c:v>
                </c:pt>
                <c:pt idx="23">
                  <c:v>49.274139925758398</c:v>
                </c:pt>
                <c:pt idx="24">
                  <c:v>48.081461449613798</c:v>
                </c:pt>
                <c:pt idx="25">
                  <c:v>46.231541368526102</c:v>
                </c:pt>
                <c:pt idx="26">
                  <c:v>43.910591751820199</c:v>
                </c:pt>
                <c:pt idx="27">
                  <c:v>41.617799144882397</c:v>
                </c:pt>
                <c:pt idx="28">
                  <c:v>39.830715381879301</c:v>
                </c:pt>
                <c:pt idx="29">
                  <c:v>38.893132736800801</c:v>
                </c:pt>
                <c:pt idx="30">
                  <c:v>38.872340947931001</c:v>
                </c:pt>
                <c:pt idx="31">
                  <c:v>39.551193273140399</c:v>
                </c:pt>
                <c:pt idx="32">
                  <c:v>40.555679873872698</c:v>
                </c:pt>
                <c:pt idx="33">
                  <c:v>41.587578778502099</c:v>
                </c:pt>
                <c:pt idx="34">
                  <c:v>42.428816710285197</c:v>
                </c:pt>
                <c:pt idx="35">
                  <c:v>43.023266764013698</c:v>
                </c:pt>
                <c:pt idx="36">
                  <c:v>43.669398665836503</c:v>
                </c:pt>
                <c:pt idx="37">
                  <c:v>44.681739717873903</c:v>
                </c:pt>
                <c:pt idx="38">
                  <c:v>46.166180279752602</c:v>
                </c:pt>
                <c:pt idx="39">
                  <c:v>48.003021529664103</c:v>
                </c:pt>
                <c:pt idx="40">
                  <c:v>49.763690289760298</c:v>
                </c:pt>
                <c:pt idx="41">
                  <c:v>50.983540532988201</c:v>
                </c:pt>
                <c:pt idx="42">
                  <c:v>51.529591817998998</c:v>
                </c:pt>
                <c:pt idx="43">
                  <c:v>51.702829424167298</c:v>
                </c:pt>
                <c:pt idx="44">
                  <c:v>51.893807339786598</c:v>
                </c:pt>
                <c:pt idx="45">
                  <c:v>52.1996401465262</c:v>
                </c:pt>
                <c:pt idx="46">
                  <c:v>52.5696222607517</c:v>
                </c:pt>
                <c:pt idx="47">
                  <c:v>52.7171182822646</c:v>
                </c:pt>
                <c:pt idx="48">
                  <c:v>52.556487164016303</c:v>
                </c:pt>
                <c:pt idx="49">
                  <c:v>52.297951792012299</c:v>
                </c:pt>
                <c:pt idx="50">
                  <c:v>52.173778033010102</c:v>
                </c:pt>
                <c:pt idx="51">
                  <c:v>52.142621084247402</c:v>
                </c:pt>
                <c:pt idx="52">
                  <c:v>52.0945288830736</c:v>
                </c:pt>
                <c:pt idx="53">
                  <c:v>51.952545455432997</c:v>
                </c:pt>
                <c:pt idx="54">
                  <c:v>51.721558759935597</c:v>
                </c:pt>
                <c:pt idx="55">
                  <c:v>51.387580167269</c:v>
                </c:pt>
                <c:pt idx="56">
                  <c:v>51.028353975324002</c:v>
                </c:pt>
                <c:pt idx="57">
                  <c:v>50.658797212274898</c:v>
                </c:pt>
                <c:pt idx="58">
                  <c:v>50.462541809625002</c:v>
                </c:pt>
                <c:pt idx="59">
                  <c:v>50.7132441524708</c:v>
                </c:pt>
                <c:pt idx="60">
                  <c:v>51.423080520057702</c:v>
                </c:pt>
                <c:pt idx="61">
                  <c:v>52.269041192267601</c:v>
                </c:pt>
                <c:pt idx="62">
                  <c:v>52.944575736598502</c:v>
                </c:pt>
                <c:pt idx="63">
                  <c:v>53.294700417813601</c:v>
                </c:pt>
                <c:pt idx="64">
                  <c:v>53.415696884599598</c:v>
                </c:pt>
                <c:pt idx="65">
                  <c:v>53.4957913979446</c:v>
                </c:pt>
                <c:pt idx="66">
                  <c:v>53.617775922221902</c:v>
                </c:pt>
                <c:pt idx="67">
                  <c:v>53.7202340578663</c:v>
                </c:pt>
                <c:pt idx="68">
                  <c:v>53.767063215839599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8E2-4917-BF1E-BFD1FED21B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65220808"/>
        <c:axId val="465226296"/>
      </c:lineChart>
      <c:catAx>
        <c:axId val="465220808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700"/>
            </a:pPr>
            <a:endParaRPr lang="es-MX"/>
          </a:p>
        </c:txPr>
        <c:crossAx val="465226296"/>
        <c:crossesAt val="50"/>
        <c:auto val="1"/>
        <c:lblAlgn val="ctr"/>
        <c:lblOffset val="50"/>
        <c:tickLblSkip val="4"/>
        <c:tickMarkSkip val="12"/>
        <c:noMultiLvlLbl val="1"/>
      </c:catAx>
      <c:valAx>
        <c:axId val="465226296"/>
        <c:scaling>
          <c:orientation val="minMax"/>
          <c:max val="60"/>
          <c:min val="30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#,##0_ ;[Red]\-#,##0\ 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700"/>
            </a:pPr>
            <a:endParaRPr lang="es-MX"/>
          </a:p>
        </c:txPr>
        <c:crossAx val="465220808"/>
        <c:crosses val="autoZero"/>
        <c:crossBetween val="between"/>
        <c:majorUnit val="5"/>
      </c:valAx>
      <c:spPr>
        <a:noFill/>
        <a:ln w="0">
          <a:solidFill>
            <a:schemeClr val="bg1">
              <a:lumMod val="50000"/>
            </a:schemeClr>
          </a:solidFill>
        </a:ln>
      </c:spPr>
    </c:plotArea>
    <c:legend>
      <c:legendPos val="r"/>
      <c:layout>
        <c:manualLayout>
          <c:xMode val="edge"/>
          <c:yMode val="edge"/>
          <c:x val="5.9069735006973524E-2"/>
          <c:y val="0.94671349206349209"/>
          <c:w val="0.88181964232671406"/>
          <c:h val="5.3286423517454364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800"/>
          </a:pPr>
          <a:endParaRPr lang="es-MX"/>
        </a:p>
      </c:txPr>
    </c:legend>
    <c:plotVisOnly val="1"/>
    <c:dispBlanksAs val="gap"/>
    <c:showDLblsOverMax val="0"/>
  </c:chart>
  <c:spPr>
    <a:noFill/>
    <a:ln w="6350">
      <a:solidFill>
        <a:srgbClr val="000000">
          <a:alpha val="95000"/>
        </a:srgbClr>
      </a:solidFill>
    </a:ln>
    <a:effectLst>
      <a:outerShdw dist="16510" dir="2700000" algn="tl" rotWithShape="0">
        <a:srgbClr val="000000"/>
      </a:outerShdw>
    </a:effectLst>
  </c:spPr>
  <c:txPr>
    <a:bodyPr/>
    <a:lstStyle/>
    <a:p>
      <a:pPr>
        <a:defRPr sz="7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2603240740740735E-2"/>
          <c:y val="3.9415674603174605E-2"/>
          <c:w val="0.90836653895274588"/>
          <c:h val="0.76367583069129596"/>
        </c:manualLayout>
      </c:layout>
      <c:lineChart>
        <c:grouping val="standard"/>
        <c:varyColors val="0"/>
        <c:ser>
          <c:idx val="0"/>
          <c:order val="0"/>
          <c:tx>
            <c:strRef>
              <c:f>Datos!$C$3</c:f>
              <c:strCache>
                <c:ptCount val="1"/>
                <c:pt idx="0">
                  <c:v>ICE Manufacturero</c:v>
                </c:pt>
              </c:strCache>
            </c:strRef>
          </c:tx>
          <c:spPr>
            <a:ln w="12700">
              <a:solidFill>
                <a:srgbClr val="FF0000"/>
              </a:solidFill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Datos!$L$175:$L$246</c:f>
              <c:numCache>
                <c:formatCode>0.0</c:formatCode>
                <c:ptCount val="69"/>
                <c:pt idx="0">
                  <c:v>54.457009043426602</c:v>
                </c:pt>
                <c:pt idx="1">
                  <c:v>54.631139536292501</c:v>
                </c:pt>
                <c:pt idx="2">
                  <c:v>54.750705730538002</c:v>
                </c:pt>
                <c:pt idx="3">
                  <c:v>54.836232314872703</c:v>
                </c:pt>
                <c:pt idx="4">
                  <c:v>54.9010012716898</c:v>
                </c:pt>
                <c:pt idx="5">
                  <c:v>54.958524255957599</c:v>
                </c:pt>
                <c:pt idx="6">
                  <c:v>54.953643171190301</c:v>
                </c:pt>
                <c:pt idx="7">
                  <c:v>54.854283317548699</c:v>
                </c:pt>
                <c:pt idx="8">
                  <c:v>54.681592721955496</c:v>
                </c:pt>
                <c:pt idx="9">
                  <c:v>54.5062013751145</c:v>
                </c:pt>
                <c:pt idx="10">
                  <c:v>54.388053529972503</c:v>
                </c:pt>
                <c:pt idx="11">
                  <c:v>54.407470598999602</c:v>
                </c:pt>
                <c:pt idx="12">
                  <c:v>54.5752258077909</c:v>
                </c:pt>
                <c:pt idx="13">
                  <c:v>54.802511389037903</c:v>
                </c:pt>
                <c:pt idx="14">
                  <c:v>54.906458556081901</c:v>
                </c:pt>
                <c:pt idx="15">
                  <c:v>54.8032177897013</c:v>
                </c:pt>
                <c:pt idx="16">
                  <c:v>54.4957765940133</c:v>
                </c:pt>
                <c:pt idx="17">
                  <c:v>54.102972881843399</c:v>
                </c:pt>
                <c:pt idx="18">
                  <c:v>53.7516204453282</c:v>
                </c:pt>
                <c:pt idx="19">
                  <c:v>53.529750580246798</c:v>
                </c:pt>
                <c:pt idx="20">
                  <c:v>53.401076625373598</c:v>
                </c:pt>
                <c:pt idx="21">
                  <c:v>53.232466858278002</c:v>
                </c:pt>
                <c:pt idx="22">
                  <c:v>52.834038869442402</c:v>
                </c:pt>
                <c:pt idx="23">
                  <c:v>51.980216271430002</c:v>
                </c:pt>
                <c:pt idx="24">
                  <c:v>50.515614269142802</c:v>
                </c:pt>
                <c:pt idx="25">
                  <c:v>48.499896489648101</c:v>
                </c:pt>
                <c:pt idx="26">
                  <c:v>46.120807910609997</c:v>
                </c:pt>
                <c:pt idx="27">
                  <c:v>43.7085777668361</c:v>
                </c:pt>
                <c:pt idx="28">
                  <c:v>41.638507569088603</c:v>
                </c:pt>
                <c:pt idx="29">
                  <c:v>40.2434626216533</c:v>
                </c:pt>
                <c:pt idx="30">
                  <c:v>39.688242576252797</c:v>
                </c:pt>
                <c:pt idx="31">
                  <c:v>39.910983334411299</c:v>
                </c:pt>
                <c:pt idx="32">
                  <c:v>40.681183180436399</c:v>
                </c:pt>
                <c:pt idx="33">
                  <c:v>41.756782565648003</c:v>
                </c:pt>
                <c:pt idx="34">
                  <c:v>42.978870511149303</c:v>
                </c:pt>
                <c:pt idx="35">
                  <c:v>44.3211345731428</c:v>
                </c:pt>
                <c:pt idx="36">
                  <c:v>45.860722652994603</c:v>
                </c:pt>
                <c:pt idx="37">
                  <c:v>47.6310998812652</c:v>
                </c:pt>
                <c:pt idx="38">
                  <c:v>49.554689166024602</c:v>
                </c:pt>
                <c:pt idx="39">
                  <c:v>51.442778490060597</c:v>
                </c:pt>
                <c:pt idx="40">
                  <c:v>53.010035889301598</c:v>
                </c:pt>
                <c:pt idx="41">
                  <c:v>54.080911069743102</c:v>
                </c:pt>
                <c:pt idx="42">
                  <c:v>54.665997865607203</c:v>
                </c:pt>
                <c:pt idx="43">
                  <c:v>54.903208762301702</c:v>
                </c:pt>
                <c:pt idx="44">
                  <c:v>54.985821216824199</c:v>
                </c:pt>
                <c:pt idx="45">
                  <c:v>55.052343876631802</c:v>
                </c:pt>
                <c:pt idx="46">
                  <c:v>55.164458407048002</c:v>
                </c:pt>
                <c:pt idx="47">
                  <c:v>55.299479517476797</c:v>
                </c:pt>
                <c:pt idx="48">
                  <c:v>55.441254822576802</c:v>
                </c:pt>
                <c:pt idx="49">
                  <c:v>55.566146701595599</c:v>
                </c:pt>
                <c:pt idx="50">
                  <c:v>55.664590021433703</c:v>
                </c:pt>
                <c:pt idx="51">
                  <c:v>55.717393546082398</c:v>
                </c:pt>
                <c:pt idx="52">
                  <c:v>55.715146761133603</c:v>
                </c:pt>
                <c:pt idx="53">
                  <c:v>55.617728149559397</c:v>
                </c:pt>
                <c:pt idx="54">
                  <c:v>55.3752820314361</c:v>
                </c:pt>
                <c:pt idx="55">
                  <c:v>54.972143316121901</c:v>
                </c:pt>
                <c:pt idx="56">
                  <c:v>54.506818320916899</c:v>
                </c:pt>
                <c:pt idx="57">
                  <c:v>54.114712074303398</c:v>
                </c:pt>
                <c:pt idx="58">
                  <c:v>53.916445101152</c:v>
                </c:pt>
                <c:pt idx="59">
                  <c:v>53.989543258373097</c:v>
                </c:pt>
                <c:pt idx="60">
                  <c:v>54.312645067452003</c:v>
                </c:pt>
                <c:pt idx="61">
                  <c:v>54.777283130464099</c:v>
                </c:pt>
                <c:pt idx="62">
                  <c:v>55.227796115320501</c:v>
                </c:pt>
                <c:pt idx="63">
                  <c:v>55.503271502789403</c:v>
                </c:pt>
                <c:pt idx="64">
                  <c:v>55.517010272603898</c:v>
                </c:pt>
                <c:pt idx="65">
                  <c:v>55.313903144591499</c:v>
                </c:pt>
                <c:pt idx="66">
                  <c:v>55.039072926930103</c:v>
                </c:pt>
                <c:pt idx="67">
                  <c:v>54.802134337454802</c:v>
                </c:pt>
                <c:pt idx="68">
                  <c:v>54.668365964282799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5E3-4B60-B99E-43C137CC260A}"/>
            </c:ext>
          </c:extLst>
        </c:ser>
        <c:ser>
          <c:idx val="1"/>
          <c:order val="1"/>
          <c:tx>
            <c:strRef>
              <c:f>Datos!$O$3</c:f>
              <c:strCache>
                <c:ptCount val="1"/>
                <c:pt idx="0">
                  <c:v>ICE Construcción</c:v>
                </c:pt>
              </c:strCache>
            </c:strRef>
          </c:tx>
          <c:spPr>
            <a:ln w="12700" cmpd="thinThick">
              <a:solidFill>
                <a:srgbClr val="33CC33"/>
              </a:solidFill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Datos!$Y$175:$Y$246</c:f>
              <c:numCache>
                <c:formatCode>0.0</c:formatCode>
                <c:ptCount val="69"/>
                <c:pt idx="0">
                  <c:v>52.589461784896699</c:v>
                </c:pt>
                <c:pt idx="1">
                  <c:v>52.3642136156692</c:v>
                </c:pt>
                <c:pt idx="2">
                  <c:v>52.131475079233297</c:v>
                </c:pt>
                <c:pt idx="3">
                  <c:v>52.0193502006464</c:v>
                </c:pt>
                <c:pt idx="4">
                  <c:v>52.138493295929599</c:v>
                </c:pt>
                <c:pt idx="5">
                  <c:v>52.382926760252701</c:v>
                </c:pt>
                <c:pt idx="6">
                  <c:v>52.647266367469904</c:v>
                </c:pt>
                <c:pt idx="7">
                  <c:v>52.791723026038198</c:v>
                </c:pt>
                <c:pt idx="8">
                  <c:v>52.7706350783819</c:v>
                </c:pt>
                <c:pt idx="9">
                  <c:v>52.602749018706596</c:v>
                </c:pt>
                <c:pt idx="10">
                  <c:v>52.371580080964698</c:v>
                </c:pt>
                <c:pt idx="11">
                  <c:v>52.155348480264799</c:v>
                </c:pt>
                <c:pt idx="12">
                  <c:v>52.026458435746399</c:v>
                </c:pt>
                <c:pt idx="13">
                  <c:v>51.990934727991103</c:v>
                </c:pt>
                <c:pt idx="14">
                  <c:v>51.961437504402802</c:v>
                </c:pt>
                <c:pt idx="15">
                  <c:v>51.860304952292999</c:v>
                </c:pt>
                <c:pt idx="16">
                  <c:v>51.645415404528599</c:v>
                </c:pt>
                <c:pt idx="17">
                  <c:v>51.246047638362597</c:v>
                </c:pt>
                <c:pt idx="18">
                  <c:v>50.6951272655701</c:v>
                </c:pt>
                <c:pt idx="19">
                  <c:v>50.078975827577999</c:v>
                </c:pt>
                <c:pt idx="20">
                  <c:v>49.582220048412701</c:v>
                </c:pt>
                <c:pt idx="21">
                  <c:v>49.339213547198298</c:v>
                </c:pt>
                <c:pt idx="22">
                  <c:v>49.328306001917703</c:v>
                </c:pt>
                <c:pt idx="23">
                  <c:v>49.3249870361212</c:v>
                </c:pt>
                <c:pt idx="24">
                  <c:v>48.989416248134802</c:v>
                </c:pt>
                <c:pt idx="25">
                  <c:v>48.045342923144801</c:v>
                </c:pt>
                <c:pt idx="26">
                  <c:v>46.482199166406197</c:v>
                </c:pt>
                <c:pt idx="27">
                  <c:v>44.599531475056601</c:v>
                </c:pt>
                <c:pt idx="28">
                  <c:v>42.819297233466997</c:v>
                </c:pt>
                <c:pt idx="29">
                  <c:v>41.501805427686101</c:v>
                </c:pt>
                <c:pt idx="30">
                  <c:v>40.833463120746899</c:v>
                </c:pt>
                <c:pt idx="31">
                  <c:v>40.776298542775301</c:v>
                </c:pt>
                <c:pt idx="32">
                  <c:v>41.199421647897502</c:v>
                </c:pt>
                <c:pt idx="33">
                  <c:v>41.892438976989901</c:v>
                </c:pt>
                <c:pt idx="34">
                  <c:v>42.6869047413213</c:v>
                </c:pt>
                <c:pt idx="35">
                  <c:v>43.477554504671403</c:v>
                </c:pt>
                <c:pt idx="36">
                  <c:v>44.272667457895999</c:v>
                </c:pt>
                <c:pt idx="37">
                  <c:v>45.124594404202298</c:v>
                </c:pt>
                <c:pt idx="38">
                  <c:v>46.061966153322899</c:v>
                </c:pt>
                <c:pt idx="39">
                  <c:v>47.0883144228291</c:v>
                </c:pt>
                <c:pt idx="40">
                  <c:v>48.145925398132697</c:v>
                </c:pt>
                <c:pt idx="41">
                  <c:v>49.177105832972899</c:v>
                </c:pt>
                <c:pt idx="42">
                  <c:v>50.157076586138899</c:v>
                </c:pt>
                <c:pt idx="43">
                  <c:v>51.072384727302499</c:v>
                </c:pt>
                <c:pt idx="44">
                  <c:v>51.871175403652401</c:v>
                </c:pt>
                <c:pt idx="45">
                  <c:v>52.445492335147797</c:v>
                </c:pt>
                <c:pt idx="46">
                  <c:v>52.7245437236759</c:v>
                </c:pt>
                <c:pt idx="47">
                  <c:v>52.730945884800398</c:v>
                </c:pt>
                <c:pt idx="48">
                  <c:v>52.538111519510601</c:v>
                </c:pt>
                <c:pt idx="49">
                  <c:v>52.242593470569197</c:v>
                </c:pt>
                <c:pt idx="50">
                  <c:v>52.041708813076497</c:v>
                </c:pt>
                <c:pt idx="51">
                  <c:v>51.9893017645784</c:v>
                </c:pt>
                <c:pt idx="52">
                  <c:v>52.114028499398401</c:v>
                </c:pt>
                <c:pt idx="53">
                  <c:v>52.379507315715401</c:v>
                </c:pt>
                <c:pt idx="54">
                  <c:v>52.715503773120901</c:v>
                </c:pt>
                <c:pt idx="55">
                  <c:v>53.100205796547698</c:v>
                </c:pt>
                <c:pt idx="56">
                  <c:v>53.500400060606701</c:v>
                </c:pt>
                <c:pt idx="57">
                  <c:v>53.829315048287697</c:v>
                </c:pt>
                <c:pt idx="58">
                  <c:v>53.921670958922398</c:v>
                </c:pt>
                <c:pt idx="59">
                  <c:v>53.706275544827498</c:v>
                </c:pt>
                <c:pt idx="60">
                  <c:v>53.262730484978803</c:v>
                </c:pt>
                <c:pt idx="61">
                  <c:v>52.759779547933299</c:v>
                </c:pt>
                <c:pt idx="62">
                  <c:v>52.375743158166898</c:v>
                </c:pt>
                <c:pt idx="63">
                  <c:v>52.240330651844602</c:v>
                </c:pt>
                <c:pt idx="64">
                  <c:v>52.376895707351302</c:v>
                </c:pt>
                <c:pt idx="65">
                  <c:v>52.6547511493795</c:v>
                </c:pt>
                <c:pt idx="66">
                  <c:v>52.973633710693903</c:v>
                </c:pt>
                <c:pt idx="67">
                  <c:v>53.237277338057297</c:v>
                </c:pt>
                <c:pt idx="68">
                  <c:v>53.425685520362002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5E3-4B60-B99E-43C137CC260A}"/>
            </c:ext>
          </c:extLst>
        </c:ser>
        <c:ser>
          <c:idx val="2"/>
          <c:order val="2"/>
          <c:tx>
            <c:strRef>
              <c:f>Datos!$AB$3</c:f>
              <c:strCache>
                <c:ptCount val="1"/>
                <c:pt idx="0">
                  <c:v>ICE Comercio</c:v>
                </c:pt>
              </c:strCache>
            </c:strRef>
          </c:tx>
          <c:spPr>
            <a:ln w="12700">
              <a:solidFill>
                <a:srgbClr val="0000FF"/>
              </a:solidFill>
              <a:prstDash val="sysDash"/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Datos!$AM$175:$AM$246</c:f>
              <c:numCache>
                <c:formatCode>0.0</c:formatCode>
                <c:ptCount val="69"/>
                <c:pt idx="0">
                  <c:v>56.810330580759199</c:v>
                </c:pt>
                <c:pt idx="1">
                  <c:v>56.429447574389897</c:v>
                </c:pt>
                <c:pt idx="2">
                  <c:v>56.212962119068798</c:v>
                </c:pt>
                <c:pt idx="3">
                  <c:v>56.154214188592398</c:v>
                </c:pt>
                <c:pt idx="4">
                  <c:v>56.152510693458503</c:v>
                </c:pt>
                <c:pt idx="5">
                  <c:v>56.0977628794666</c:v>
                </c:pt>
                <c:pt idx="6">
                  <c:v>55.985109535827199</c:v>
                </c:pt>
                <c:pt idx="7">
                  <c:v>55.757924469437803</c:v>
                </c:pt>
                <c:pt idx="8">
                  <c:v>55.399428518141399</c:v>
                </c:pt>
                <c:pt idx="9">
                  <c:v>55.061431872564803</c:v>
                </c:pt>
                <c:pt idx="10">
                  <c:v>54.803326721258998</c:v>
                </c:pt>
                <c:pt idx="11">
                  <c:v>54.623777283768099</c:v>
                </c:pt>
                <c:pt idx="12">
                  <c:v>54.521454464643298</c:v>
                </c:pt>
                <c:pt idx="13">
                  <c:v>54.413053997575403</c:v>
                </c:pt>
                <c:pt idx="14">
                  <c:v>54.1588972374375</c:v>
                </c:pt>
                <c:pt idx="15">
                  <c:v>53.689313062988298</c:v>
                </c:pt>
                <c:pt idx="16">
                  <c:v>53.103622558965398</c:v>
                </c:pt>
                <c:pt idx="17">
                  <c:v>52.527596477411301</c:v>
                </c:pt>
                <c:pt idx="18">
                  <c:v>52.053177482734</c:v>
                </c:pt>
                <c:pt idx="19">
                  <c:v>51.708893572281703</c:v>
                </c:pt>
                <c:pt idx="20">
                  <c:v>51.5408622064082</c:v>
                </c:pt>
                <c:pt idx="21">
                  <c:v>51.487062777847598</c:v>
                </c:pt>
                <c:pt idx="22">
                  <c:v>51.431547582952099</c:v>
                </c:pt>
                <c:pt idx="23">
                  <c:v>51.189493258113401</c:v>
                </c:pt>
                <c:pt idx="24">
                  <c:v>50.533536790423803</c:v>
                </c:pt>
                <c:pt idx="25">
                  <c:v>49.2872533964483</c:v>
                </c:pt>
                <c:pt idx="26">
                  <c:v>47.5283460640238</c:v>
                </c:pt>
                <c:pt idx="27">
                  <c:v>45.475054398625304</c:v>
                </c:pt>
                <c:pt idx="28">
                  <c:v>43.4001214257624</c:v>
                </c:pt>
                <c:pt idx="29">
                  <c:v>41.655465981739098</c:v>
                </c:pt>
                <c:pt idx="30">
                  <c:v>40.431905672260299</c:v>
                </c:pt>
                <c:pt idx="31">
                  <c:v>39.782618772465597</c:v>
                </c:pt>
                <c:pt idx="32">
                  <c:v>39.730210630616597</c:v>
                </c:pt>
                <c:pt idx="33">
                  <c:v>40.246418301264903</c:v>
                </c:pt>
                <c:pt idx="34">
                  <c:v>41.318821992735202</c:v>
                </c:pt>
                <c:pt idx="35">
                  <c:v>42.974235872336799</c:v>
                </c:pt>
                <c:pt idx="36">
                  <c:v>45.186641115722097</c:v>
                </c:pt>
                <c:pt idx="37">
                  <c:v>47.7289980615164</c:v>
                </c:pt>
                <c:pt idx="38">
                  <c:v>50.343426901310899</c:v>
                </c:pt>
                <c:pt idx="39">
                  <c:v>52.7063237705324</c:v>
                </c:pt>
                <c:pt idx="40">
                  <c:v>54.6219952451913</c:v>
                </c:pt>
                <c:pt idx="41">
                  <c:v>55.996124510373498</c:v>
                </c:pt>
                <c:pt idx="42">
                  <c:v>56.9538472903171</c:v>
                </c:pt>
                <c:pt idx="43">
                  <c:v>57.747296802242602</c:v>
                </c:pt>
                <c:pt idx="44">
                  <c:v>58.525124023348098</c:v>
                </c:pt>
                <c:pt idx="45">
                  <c:v>59.351258638119397</c:v>
                </c:pt>
                <c:pt idx="46">
                  <c:v>60.111527692398397</c:v>
                </c:pt>
                <c:pt idx="47">
                  <c:v>60.602514960480597</c:v>
                </c:pt>
                <c:pt idx="48">
                  <c:v>60.669515182186203</c:v>
                </c:pt>
                <c:pt idx="49">
                  <c:v>60.359656752832201</c:v>
                </c:pt>
                <c:pt idx="50">
                  <c:v>59.846255104336898</c:v>
                </c:pt>
                <c:pt idx="51">
                  <c:v>59.294262681590901</c:v>
                </c:pt>
                <c:pt idx="52">
                  <c:v>58.881617680967203</c:v>
                </c:pt>
                <c:pt idx="53">
                  <c:v>58.638517803728902</c:v>
                </c:pt>
                <c:pt idx="54">
                  <c:v>58.454669437002899</c:v>
                </c:pt>
                <c:pt idx="55">
                  <c:v>58.151188676325802</c:v>
                </c:pt>
                <c:pt idx="56">
                  <c:v>57.746388477250498</c:v>
                </c:pt>
                <c:pt idx="57">
                  <c:v>57.394113838499102</c:v>
                </c:pt>
                <c:pt idx="58">
                  <c:v>57.214927457104402</c:v>
                </c:pt>
                <c:pt idx="59">
                  <c:v>57.262167599428402</c:v>
                </c:pt>
                <c:pt idx="60">
                  <c:v>57.4885687471834</c:v>
                </c:pt>
                <c:pt idx="61">
                  <c:v>57.835630839588703</c:v>
                </c:pt>
                <c:pt idx="62">
                  <c:v>58.2679146820672</c:v>
                </c:pt>
                <c:pt idx="63">
                  <c:v>58.7225759974949</c:v>
                </c:pt>
                <c:pt idx="64">
                  <c:v>59.092636944359597</c:v>
                </c:pt>
                <c:pt idx="65">
                  <c:v>59.297323401802501</c:v>
                </c:pt>
                <c:pt idx="66">
                  <c:v>59.328268058297901</c:v>
                </c:pt>
                <c:pt idx="67">
                  <c:v>59.205073587757099</c:v>
                </c:pt>
                <c:pt idx="68">
                  <c:v>58.927823011541101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95E3-4B60-B99E-43C137CC260A}"/>
            </c:ext>
          </c:extLst>
        </c:ser>
        <c:ser>
          <c:idx val="3"/>
          <c:order val="3"/>
          <c:tx>
            <c:strRef>
              <c:f>Datos!$AP$3</c:f>
              <c:strCache>
                <c:ptCount val="1"/>
                <c:pt idx="0">
                  <c:v>ICE Servicios</c:v>
                </c:pt>
              </c:strCache>
            </c:strRef>
          </c:tx>
          <c:spPr>
            <a:ln w="15875">
              <a:solidFill>
                <a:srgbClr val="000066"/>
              </a:solidFill>
              <a:prstDash val="sysDot"/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Datos!$AY$175:$AY$246</c:f>
              <c:numCache>
                <c:formatCode>0.0</c:formatCode>
                <c:ptCount val="69"/>
                <c:pt idx="0">
                  <c:v>51.840345536816102</c:v>
                </c:pt>
                <c:pt idx="1">
                  <c:v>51.644620732208999</c:v>
                </c:pt>
                <c:pt idx="2">
                  <c:v>51.271416700946098</c:v>
                </c:pt>
                <c:pt idx="3">
                  <c:v>50.996734265734297</c:v>
                </c:pt>
                <c:pt idx="4">
                  <c:v>51.060842451665998</c:v>
                </c:pt>
                <c:pt idx="5">
                  <c:v>51.331705470999601</c:v>
                </c:pt>
                <c:pt idx="6">
                  <c:v>51.575235705471002</c:v>
                </c:pt>
                <c:pt idx="7">
                  <c:v>51.7397005347594</c:v>
                </c:pt>
                <c:pt idx="8">
                  <c:v>51.606700946112703</c:v>
                </c:pt>
                <c:pt idx="9">
                  <c:v>51.276119292472202</c:v>
                </c:pt>
                <c:pt idx="10">
                  <c:v>51.070034965034999</c:v>
                </c:pt>
                <c:pt idx="11">
                  <c:v>51.1424368572604</c:v>
                </c:pt>
                <c:pt idx="12">
                  <c:v>51.272372686137402</c:v>
                </c:pt>
                <c:pt idx="13">
                  <c:v>51.078848210612897</c:v>
                </c:pt>
                <c:pt idx="14">
                  <c:v>50.591225421637198</c:v>
                </c:pt>
                <c:pt idx="15">
                  <c:v>49.9532801316331</c:v>
                </c:pt>
                <c:pt idx="16">
                  <c:v>49.399082270670498</c:v>
                </c:pt>
                <c:pt idx="17">
                  <c:v>49.085396544631799</c:v>
                </c:pt>
                <c:pt idx="18">
                  <c:v>48.8153969559852</c:v>
                </c:pt>
                <c:pt idx="19">
                  <c:v>48.442256273138597</c:v>
                </c:pt>
                <c:pt idx="20">
                  <c:v>48.1447128753599</c:v>
                </c:pt>
                <c:pt idx="21">
                  <c:v>48.022142834562302</c:v>
                </c:pt>
                <c:pt idx="22">
                  <c:v>47.979219298382503</c:v>
                </c:pt>
                <c:pt idx="23">
                  <c:v>47.708119907453103</c:v>
                </c:pt>
                <c:pt idx="24">
                  <c:v>46.8072437407181</c:v>
                </c:pt>
                <c:pt idx="25">
                  <c:v>44.938048488666396</c:v>
                </c:pt>
                <c:pt idx="26">
                  <c:v>42.179079376732297</c:v>
                </c:pt>
                <c:pt idx="27">
                  <c:v>38.949316801260501</c:v>
                </c:pt>
                <c:pt idx="28">
                  <c:v>35.894244525979403</c:v>
                </c:pt>
                <c:pt idx="29">
                  <c:v>33.422075795738898</c:v>
                </c:pt>
                <c:pt idx="30">
                  <c:v>31.832425845325599</c:v>
                </c:pt>
                <c:pt idx="31">
                  <c:v>30.965066573774699</c:v>
                </c:pt>
                <c:pt idx="32">
                  <c:v>30.7105354255613</c:v>
                </c:pt>
                <c:pt idx="33">
                  <c:v>30.8626375982962</c:v>
                </c:pt>
                <c:pt idx="34">
                  <c:v>31.400628630074799</c:v>
                </c:pt>
                <c:pt idx="35">
                  <c:v>32.346752968719599</c:v>
                </c:pt>
                <c:pt idx="36">
                  <c:v>33.972539415436103</c:v>
                </c:pt>
                <c:pt idx="37">
                  <c:v>36.505467626870001</c:v>
                </c:pt>
                <c:pt idx="38">
                  <c:v>39.932918200098001</c:v>
                </c:pt>
                <c:pt idx="39">
                  <c:v>43.953482441614298</c:v>
                </c:pt>
                <c:pt idx="40">
                  <c:v>47.582070045848099</c:v>
                </c:pt>
                <c:pt idx="41">
                  <c:v>50.067032357469699</c:v>
                </c:pt>
                <c:pt idx="42">
                  <c:v>51.196416700946102</c:v>
                </c:pt>
                <c:pt idx="43">
                  <c:v>51.399844108929798</c:v>
                </c:pt>
                <c:pt idx="44">
                  <c:v>51.505267868696798</c:v>
                </c:pt>
                <c:pt idx="45">
                  <c:v>51.907496805584401</c:v>
                </c:pt>
                <c:pt idx="46">
                  <c:v>52.493997491709202</c:v>
                </c:pt>
                <c:pt idx="47">
                  <c:v>52.936240744795697</c:v>
                </c:pt>
                <c:pt idx="48">
                  <c:v>53.140874085703402</c:v>
                </c:pt>
                <c:pt idx="49">
                  <c:v>53.559611984523102</c:v>
                </c:pt>
                <c:pt idx="50">
                  <c:v>54.070932615714497</c:v>
                </c:pt>
                <c:pt idx="51">
                  <c:v>54.505645013907198</c:v>
                </c:pt>
                <c:pt idx="52">
                  <c:v>54.289918802217898</c:v>
                </c:pt>
                <c:pt idx="53">
                  <c:v>53.190266146159502</c:v>
                </c:pt>
                <c:pt idx="54">
                  <c:v>51.716584527293399</c:v>
                </c:pt>
                <c:pt idx="55">
                  <c:v>50.506214285458597</c:v>
                </c:pt>
                <c:pt idx="56">
                  <c:v>49.658632870259403</c:v>
                </c:pt>
                <c:pt idx="57">
                  <c:v>49.1009550696524</c:v>
                </c:pt>
                <c:pt idx="58">
                  <c:v>48.605623518183002</c:v>
                </c:pt>
                <c:pt idx="59">
                  <c:v>48.545834400519503</c:v>
                </c:pt>
                <c:pt idx="60">
                  <c:v>49.270130797318203</c:v>
                </c:pt>
                <c:pt idx="61">
                  <c:v>51.102030252211698</c:v>
                </c:pt>
                <c:pt idx="62">
                  <c:v>53.396253416097103</c:v>
                </c:pt>
                <c:pt idx="63">
                  <c:v>55.350272156909803</c:v>
                </c:pt>
                <c:pt idx="64">
                  <c:v>56.690325033102297</c:v>
                </c:pt>
                <c:pt idx="65">
                  <c:v>57.452171949984397</c:v>
                </c:pt>
                <c:pt idx="66">
                  <c:v>58.026343196766703</c:v>
                </c:pt>
                <c:pt idx="67">
                  <c:v>58.733805247692601</c:v>
                </c:pt>
                <c:pt idx="68">
                  <c:v>59.423823779820097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95E3-4B60-B99E-43C137CC26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93492408"/>
        <c:axId val="493490056"/>
      </c:lineChart>
      <c:catAx>
        <c:axId val="493492408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500"/>
            </a:pPr>
            <a:endParaRPr lang="es-MX"/>
          </a:p>
        </c:txPr>
        <c:crossAx val="493490056"/>
        <c:crossesAt val="50"/>
        <c:auto val="1"/>
        <c:lblAlgn val="ctr"/>
        <c:lblOffset val="100"/>
        <c:tickLblSkip val="4"/>
        <c:tickMarkSkip val="12"/>
        <c:noMultiLvlLbl val="1"/>
      </c:catAx>
      <c:valAx>
        <c:axId val="493490056"/>
        <c:scaling>
          <c:orientation val="minMax"/>
          <c:max val="65"/>
          <c:min val="30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#,##0_ ;[Red]\-#,##0\ 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600"/>
            </a:pPr>
            <a:endParaRPr lang="es-MX"/>
          </a:p>
        </c:txPr>
        <c:crossAx val="493492408"/>
        <c:crosses val="autoZero"/>
        <c:crossBetween val="between"/>
        <c:majorUnit val="5"/>
        <c:minorUnit val="2"/>
      </c:valAx>
      <c:spPr>
        <a:noFill/>
      </c:spPr>
    </c:plotArea>
    <c:legend>
      <c:legendPos val="b"/>
      <c:layout>
        <c:manualLayout>
          <c:xMode val="edge"/>
          <c:yMode val="edge"/>
          <c:x val="0"/>
          <c:y val="0.90586821063794054"/>
          <c:w val="0.98395578587292265"/>
          <c:h val="9.4131789362059515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5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2603240740740735E-2"/>
          <c:y val="3.9415674603174605E-2"/>
          <c:w val="0.90836653895274588"/>
          <c:h val="0.75808314603396698"/>
        </c:manualLayout>
      </c:layout>
      <c:lineChart>
        <c:grouping val="standard"/>
        <c:varyColors val="0"/>
        <c:ser>
          <c:idx val="0"/>
          <c:order val="0"/>
          <c:tx>
            <c:strRef>
              <c:f>Datos!$C$3</c:f>
              <c:strCache>
                <c:ptCount val="1"/>
                <c:pt idx="0">
                  <c:v>ICE Manufacturero</c:v>
                </c:pt>
              </c:strCache>
            </c:strRef>
          </c:tx>
          <c:spPr>
            <a:ln w="12700">
              <a:solidFill>
                <a:srgbClr val="FF0000"/>
              </a:solidFill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Datos!$N$175:$N$246</c:f>
              <c:numCache>
                <c:formatCode>0.0</c:formatCode>
                <c:ptCount val="69"/>
                <c:pt idx="0">
                  <c:v>59.5588596456152</c:v>
                </c:pt>
                <c:pt idx="1">
                  <c:v>59.599484223085</c:v>
                </c:pt>
                <c:pt idx="2">
                  <c:v>59.668153225990501</c:v>
                </c:pt>
                <c:pt idx="3">
                  <c:v>59.808495425904603</c:v>
                </c:pt>
                <c:pt idx="4">
                  <c:v>60.018510237908998</c:v>
                </c:pt>
                <c:pt idx="5">
                  <c:v>60.256653860020798</c:v>
                </c:pt>
                <c:pt idx="6">
                  <c:v>60.4303560064021</c:v>
                </c:pt>
                <c:pt idx="7">
                  <c:v>60.488564131457203</c:v>
                </c:pt>
                <c:pt idx="8">
                  <c:v>60.399471811287803</c:v>
                </c:pt>
                <c:pt idx="9">
                  <c:v>60.225588515990403</c:v>
                </c:pt>
                <c:pt idx="10">
                  <c:v>60.075591671712203</c:v>
                </c:pt>
                <c:pt idx="11">
                  <c:v>60.048359904038001</c:v>
                </c:pt>
                <c:pt idx="12">
                  <c:v>60.147694025431598</c:v>
                </c:pt>
                <c:pt idx="13">
                  <c:v>60.264367507152301</c:v>
                </c:pt>
                <c:pt idx="14">
                  <c:v>60.250408208920497</c:v>
                </c:pt>
                <c:pt idx="15">
                  <c:v>60.0379927897296</c:v>
                </c:pt>
                <c:pt idx="16">
                  <c:v>59.667157633825298</c:v>
                </c:pt>
                <c:pt idx="17">
                  <c:v>59.247255028420803</c:v>
                </c:pt>
                <c:pt idx="18">
                  <c:v>58.894591493197197</c:v>
                </c:pt>
                <c:pt idx="19">
                  <c:v>58.643183819325799</c:v>
                </c:pt>
                <c:pt idx="20">
                  <c:v>58.450370096952199</c:v>
                </c:pt>
                <c:pt idx="21">
                  <c:v>58.243731573125501</c:v>
                </c:pt>
                <c:pt idx="22">
                  <c:v>57.919037112895602</c:v>
                </c:pt>
                <c:pt idx="23">
                  <c:v>57.434950941414499</c:v>
                </c:pt>
                <c:pt idx="24">
                  <c:v>56.830162554637504</c:v>
                </c:pt>
                <c:pt idx="25">
                  <c:v>56.261133282672702</c:v>
                </c:pt>
                <c:pt idx="26">
                  <c:v>55.856028362462503</c:v>
                </c:pt>
                <c:pt idx="27">
                  <c:v>55.687227379979603</c:v>
                </c:pt>
                <c:pt idx="28">
                  <c:v>55.771115001587198</c:v>
                </c:pt>
                <c:pt idx="29">
                  <c:v>56.086097124664697</c:v>
                </c:pt>
                <c:pt idx="30">
                  <c:v>56.572509541984203</c:v>
                </c:pt>
                <c:pt idx="31">
                  <c:v>57.135558175193601</c:v>
                </c:pt>
                <c:pt idx="32">
                  <c:v>57.70977091916</c:v>
                </c:pt>
                <c:pt idx="33">
                  <c:v>58.224513221251399</c:v>
                </c:pt>
                <c:pt idx="34">
                  <c:v>58.694223326982602</c:v>
                </c:pt>
                <c:pt idx="35">
                  <c:v>59.145228988873001</c:v>
                </c:pt>
                <c:pt idx="36">
                  <c:v>59.577488730560802</c:v>
                </c:pt>
                <c:pt idx="37">
                  <c:v>60.018835602536797</c:v>
                </c:pt>
                <c:pt idx="38">
                  <c:v>60.470035574486197</c:v>
                </c:pt>
                <c:pt idx="39">
                  <c:v>60.908499883608599</c:v>
                </c:pt>
                <c:pt idx="40">
                  <c:v>61.254764788298097</c:v>
                </c:pt>
                <c:pt idx="41">
                  <c:v>61.478372013876097</c:v>
                </c:pt>
                <c:pt idx="42">
                  <c:v>61.609903315547101</c:v>
                </c:pt>
                <c:pt idx="43">
                  <c:v>61.675950378817497</c:v>
                </c:pt>
                <c:pt idx="44">
                  <c:v>61.681773464199303</c:v>
                </c:pt>
                <c:pt idx="45">
                  <c:v>61.620970662535797</c:v>
                </c:pt>
                <c:pt idx="46">
                  <c:v>61.501785345663002</c:v>
                </c:pt>
                <c:pt idx="47">
                  <c:v>61.319458502024297</c:v>
                </c:pt>
                <c:pt idx="48">
                  <c:v>61.076402604106299</c:v>
                </c:pt>
                <c:pt idx="49">
                  <c:v>60.780943899447301</c:v>
                </c:pt>
                <c:pt idx="50">
                  <c:v>60.478461062157699</c:v>
                </c:pt>
                <c:pt idx="51">
                  <c:v>60.243937842343399</c:v>
                </c:pt>
                <c:pt idx="52">
                  <c:v>60.066047005239298</c:v>
                </c:pt>
                <c:pt idx="53">
                  <c:v>59.883554376521602</c:v>
                </c:pt>
                <c:pt idx="54">
                  <c:v>59.613895465801498</c:v>
                </c:pt>
                <c:pt idx="55">
                  <c:v>59.251927628216599</c:v>
                </c:pt>
                <c:pt idx="56">
                  <c:v>58.859772158427397</c:v>
                </c:pt>
                <c:pt idx="57">
                  <c:v>58.536775516617297</c:v>
                </c:pt>
                <c:pt idx="58">
                  <c:v>58.373850889976602</c:v>
                </c:pt>
                <c:pt idx="59">
                  <c:v>58.424530514625303</c:v>
                </c:pt>
                <c:pt idx="60">
                  <c:v>58.679863453166199</c:v>
                </c:pt>
                <c:pt idx="61">
                  <c:v>59.061080229589301</c:v>
                </c:pt>
                <c:pt idx="62">
                  <c:v>59.429087335710101</c:v>
                </c:pt>
                <c:pt idx="63">
                  <c:v>59.656938245785803</c:v>
                </c:pt>
                <c:pt idx="64">
                  <c:v>59.686209876672301</c:v>
                </c:pt>
                <c:pt idx="65">
                  <c:v>59.538960127891002</c:v>
                </c:pt>
                <c:pt idx="66">
                  <c:v>59.274543083989002</c:v>
                </c:pt>
                <c:pt idx="67">
                  <c:v>58.973787535337401</c:v>
                </c:pt>
                <c:pt idx="68">
                  <c:v>58.7001356275304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5B4-49C0-B6E9-2FE76C97A2A8}"/>
            </c:ext>
          </c:extLst>
        </c:ser>
        <c:ser>
          <c:idx val="1"/>
          <c:order val="1"/>
          <c:tx>
            <c:strRef>
              <c:f>Datos!$O$3</c:f>
              <c:strCache>
                <c:ptCount val="1"/>
                <c:pt idx="0">
                  <c:v>ICE Construcción</c:v>
                </c:pt>
              </c:strCache>
            </c:strRef>
          </c:tx>
          <c:spPr>
            <a:ln w="12700" cmpd="thinThick">
              <a:solidFill>
                <a:srgbClr val="33CC33"/>
              </a:solidFill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Datos!$AA$175:$AA$246</c:f>
              <c:numCache>
                <c:formatCode>0.0</c:formatCode>
                <c:ptCount val="69"/>
                <c:pt idx="0">
                  <c:v>64.723891405819799</c:v>
                </c:pt>
                <c:pt idx="1">
                  <c:v>64.6396180183377</c:v>
                </c:pt>
                <c:pt idx="2">
                  <c:v>64.825013759557507</c:v>
                </c:pt>
                <c:pt idx="3">
                  <c:v>65.292101748142102</c:v>
                </c:pt>
                <c:pt idx="4">
                  <c:v>65.996293070216794</c:v>
                </c:pt>
                <c:pt idx="5">
                  <c:v>66.792603469465007</c:v>
                </c:pt>
                <c:pt idx="6">
                  <c:v>67.481487132089498</c:v>
                </c:pt>
                <c:pt idx="7">
                  <c:v>67.969802899954402</c:v>
                </c:pt>
                <c:pt idx="8">
                  <c:v>68.179869261866699</c:v>
                </c:pt>
                <c:pt idx="9">
                  <c:v>68.120078646308599</c:v>
                </c:pt>
                <c:pt idx="10">
                  <c:v>67.951061503968901</c:v>
                </c:pt>
                <c:pt idx="11">
                  <c:v>67.838330069162595</c:v>
                </c:pt>
                <c:pt idx="12">
                  <c:v>67.831161897301698</c:v>
                </c:pt>
                <c:pt idx="13">
                  <c:v>67.893650292970904</c:v>
                </c:pt>
                <c:pt idx="14">
                  <c:v>67.838145196758802</c:v>
                </c:pt>
                <c:pt idx="15">
                  <c:v>67.587685415342804</c:v>
                </c:pt>
                <c:pt idx="16">
                  <c:v>67.249868418845196</c:v>
                </c:pt>
                <c:pt idx="17">
                  <c:v>66.918599139632803</c:v>
                </c:pt>
                <c:pt idx="18">
                  <c:v>66.6400711209875</c:v>
                </c:pt>
                <c:pt idx="19">
                  <c:v>66.427446773041197</c:v>
                </c:pt>
                <c:pt idx="20">
                  <c:v>66.225197844724903</c:v>
                </c:pt>
                <c:pt idx="21">
                  <c:v>65.990305906168103</c:v>
                </c:pt>
                <c:pt idx="22">
                  <c:v>65.590730562107893</c:v>
                </c:pt>
                <c:pt idx="23">
                  <c:v>64.955132355021306</c:v>
                </c:pt>
                <c:pt idx="24">
                  <c:v>64.086549100968895</c:v>
                </c:pt>
                <c:pt idx="25">
                  <c:v>63.083302030566301</c:v>
                </c:pt>
                <c:pt idx="26">
                  <c:v>62.107860425048401</c:v>
                </c:pt>
                <c:pt idx="27">
                  <c:v>61.352528202922699</c:v>
                </c:pt>
                <c:pt idx="28">
                  <c:v>60.968915257852601</c:v>
                </c:pt>
                <c:pt idx="29">
                  <c:v>61.095196163805603</c:v>
                </c:pt>
                <c:pt idx="30">
                  <c:v>61.7393786026839</c:v>
                </c:pt>
                <c:pt idx="31">
                  <c:v>62.704319453089902</c:v>
                </c:pt>
                <c:pt idx="32">
                  <c:v>63.766053207819901</c:v>
                </c:pt>
                <c:pt idx="33">
                  <c:v>64.710312089953902</c:v>
                </c:pt>
                <c:pt idx="34">
                  <c:v>65.421706588401307</c:v>
                </c:pt>
                <c:pt idx="35">
                  <c:v>65.915327032990007</c:v>
                </c:pt>
                <c:pt idx="36">
                  <c:v>66.298332529201403</c:v>
                </c:pt>
                <c:pt idx="37">
                  <c:v>66.704840054085693</c:v>
                </c:pt>
                <c:pt idx="38">
                  <c:v>67.188285149901503</c:v>
                </c:pt>
                <c:pt idx="39">
                  <c:v>67.687893545525498</c:v>
                </c:pt>
                <c:pt idx="40">
                  <c:v>68.046954270709506</c:v>
                </c:pt>
                <c:pt idx="41">
                  <c:v>68.160109104899703</c:v>
                </c:pt>
                <c:pt idx="42">
                  <c:v>68.037779305736294</c:v>
                </c:pt>
                <c:pt idx="43">
                  <c:v>67.787468544475701</c:v>
                </c:pt>
                <c:pt idx="44">
                  <c:v>67.547556691490399</c:v>
                </c:pt>
                <c:pt idx="45">
                  <c:v>67.433665832805701</c:v>
                </c:pt>
                <c:pt idx="46">
                  <c:v>67.451742429585707</c:v>
                </c:pt>
                <c:pt idx="47">
                  <c:v>67.478569206384407</c:v>
                </c:pt>
                <c:pt idx="48">
                  <c:v>67.3707543430898</c:v>
                </c:pt>
                <c:pt idx="49">
                  <c:v>67.037526057521305</c:v>
                </c:pt>
                <c:pt idx="50">
                  <c:v>66.517938780155404</c:v>
                </c:pt>
                <c:pt idx="51">
                  <c:v>65.972444479640401</c:v>
                </c:pt>
                <c:pt idx="52">
                  <c:v>65.552029419528694</c:v>
                </c:pt>
                <c:pt idx="53">
                  <c:v>65.311613932914497</c:v>
                </c:pt>
                <c:pt idx="54">
                  <c:v>65.222526589564495</c:v>
                </c:pt>
                <c:pt idx="55">
                  <c:v>65.200792327619794</c:v>
                </c:pt>
                <c:pt idx="56">
                  <c:v>65.219587260530602</c:v>
                </c:pt>
                <c:pt idx="57">
                  <c:v>65.271407571637397</c:v>
                </c:pt>
                <c:pt idx="58">
                  <c:v>65.407771255060695</c:v>
                </c:pt>
                <c:pt idx="59">
                  <c:v>65.626041238157995</c:v>
                </c:pt>
                <c:pt idx="60">
                  <c:v>65.834126748987003</c:v>
                </c:pt>
                <c:pt idx="61">
                  <c:v>65.922143495586795</c:v>
                </c:pt>
                <c:pt idx="62">
                  <c:v>65.840929039399001</c:v>
                </c:pt>
                <c:pt idx="63">
                  <c:v>65.566081467611696</c:v>
                </c:pt>
                <c:pt idx="64">
                  <c:v>65.149294756641794</c:v>
                </c:pt>
                <c:pt idx="65">
                  <c:v>64.700305286323896</c:v>
                </c:pt>
                <c:pt idx="66">
                  <c:v>64.330025549456906</c:v>
                </c:pt>
                <c:pt idx="67">
                  <c:v>64.105782418302397</c:v>
                </c:pt>
                <c:pt idx="68">
                  <c:v>64.019147937984201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5B4-49C0-B6E9-2FE76C97A2A8}"/>
            </c:ext>
          </c:extLst>
        </c:ser>
        <c:ser>
          <c:idx val="2"/>
          <c:order val="2"/>
          <c:tx>
            <c:strRef>
              <c:f>Datos!$AB$3</c:f>
              <c:strCache>
                <c:ptCount val="1"/>
                <c:pt idx="0">
                  <c:v>ICE Comercio</c:v>
                </c:pt>
              </c:strCache>
            </c:strRef>
          </c:tx>
          <c:spPr>
            <a:ln w="12700">
              <a:solidFill>
                <a:srgbClr val="0000FF"/>
              </a:solidFill>
              <a:prstDash val="sysDash"/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Datos!$AO$175:$AO$246</c:f>
              <c:numCache>
                <c:formatCode>0.0</c:formatCode>
                <c:ptCount val="69"/>
                <c:pt idx="0">
                  <c:v>65.774563336107505</c:v>
                </c:pt>
                <c:pt idx="1">
                  <c:v>65.690976720647797</c:v>
                </c:pt>
                <c:pt idx="2">
                  <c:v>65.833657180280994</c:v>
                </c:pt>
                <c:pt idx="3">
                  <c:v>66.105466182424394</c:v>
                </c:pt>
                <c:pt idx="4">
                  <c:v>66.403491843295996</c:v>
                </c:pt>
                <c:pt idx="5">
                  <c:v>66.609136639676095</c:v>
                </c:pt>
                <c:pt idx="6">
                  <c:v>66.679481483686601</c:v>
                </c:pt>
                <c:pt idx="7">
                  <c:v>66.632062157656605</c:v>
                </c:pt>
                <c:pt idx="8">
                  <c:v>66.459871874255796</c:v>
                </c:pt>
                <c:pt idx="9">
                  <c:v>66.278321266968305</c:v>
                </c:pt>
                <c:pt idx="10">
                  <c:v>66.203089187901895</c:v>
                </c:pt>
                <c:pt idx="11">
                  <c:v>66.268010359609406</c:v>
                </c:pt>
                <c:pt idx="12">
                  <c:v>66.447660038104303</c:v>
                </c:pt>
                <c:pt idx="13">
                  <c:v>66.656621040724005</c:v>
                </c:pt>
                <c:pt idx="14">
                  <c:v>66.699339665371497</c:v>
                </c:pt>
                <c:pt idx="15">
                  <c:v>66.498102271266603</c:v>
                </c:pt>
                <c:pt idx="16">
                  <c:v>66.143174863062598</c:v>
                </c:pt>
                <c:pt idx="17">
                  <c:v>65.704496634448304</c:v>
                </c:pt>
                <c:pt idx="18">
                  <c:v>65.247567475138993</c:v>
                </c:pt>
                <c:pt idx="19">
                  <c:v>64.832889514089004</c:v>
                </c:pt>
                <c:pt idx="20">
                  <c:v>64.538893113371003</c:v>
                </c:pt>
                <c:pt idx="21">
                  <c:v>64.368289776781097</c:v>
                </c:pt>
                <c:pt idx="22">
                  <c:v>64.235687442968896</c:v>
                </c:pt>
                <c:pt idx="23">
                  <c:v>64.055460015864</c:v>
                </c:pt>
                <c:pt idx="24">
                  <c:v>63.746578402152799</c:v>
                </c:pt>
                <c:pt idx="25">
                  <c:v>63.268603904016402</c:v>
                </c:pt>
                <c:pt idx="26">
                  <c:v>62.720128355688097</c:v>
                </c:pt>
                <c:pt idx="27">
                  <c:v>62.3153922930614</c:v>
                </c:pt>
                <c:pt idx="28">
                  <c:v>62.2057422588516</c:v>
                </c:pt>
                <c:pt idx="29">
                  <c:v>62.497748213860397</c:v>
                </c:pt>
                <c:pt idx="30">
                  <c:v>63.1592124797452</c:v>
                </c:pt>
                <c:pt idx="31">
                  <c:v>63.9469590076571</c:v>
                </c:pt>
                <c:pt idx="32">
                  <c:v>64.599540009709798</c:v>
                </c:pt>
                <c:pt idx="33">
                  <c:v>64.933543547857695</c:v>
                </c:pt>
                <c:pt idx="34">
                  <c:v>64.976079666193598</c:v>
                </c:pt>
                <c:pt idx="35">
                  <c:v>64.907934541529102</c:v>
                </c:pt>
                <c:pt idx="36">
                  <c:v>64.912694287925206</c:v>
                </c:pt>
                <c:pt idx="37">
                  <c:v>65.108629809775394</c:v>
                </c:pt>
                <c:pt idx="38">
                  <c:v>65.439621544799806</c:v>
                </c:pt>
                <c:pt idx="39">
                  <c:v>65.775886590357999</c:v>
                </c:pt>
                <c:pt idx="40">
                  <c:v>66.088312997171997</c:v>
                </c:pt>
                <c:pt idx="41">
                  <c:v>66.417111797276107</c:v>
                </c:pt>
                <c:pt idx="42">
                  <c:v>66.780130280287096</c:v>
                </c:pt>
                <c:pt idx="43">
                  <c:v>67.194267146062202</c:v>
                </c:pt>
                <c:pt idx="44">
                  <c:v>67.587407052833299</c:v>
                </c:pt>
                <c:pt idx="45">
                  <c:v>67.770643252647204</c:v>
                </c:pt>
                <c:pt idx="46">
                  <c:v>67.595940511313401</c:v>
                </c:pt>
                <c:pt idx="47">
                  <c:v>67.030194407187906</c:v>
                </c:pt>
                <c:pt idx="48">
                  <c:v>66.241906127504905</c:v>
                </c:pt>
                <c:pt idx="49">
                  <c:v>65.434274405051994</c:v>
                </c:pt>
                <c:pt idx="50">
                  <c:v>64.804370873414697</c:v>
                </c:pt>
                <c:pt idx="51">
                  <c:v>64.459973505186994</c:v>
                </c:pt>
                <c:pt idx="52">
                  <c:v>64.306914058112</c:v>
                </c:pt>
                <c:pt idx="53">
                  <c:v>64.160458523633494</c:v>
                </c:pt>
                <c:pt idx="54">
                  <c:v>63.901224889292003</c:v>
                </c:pt>
                <c:pt idx="55">
                  <c:v>63.454372850969499</c:v>
                </c:pt>
                <c:pt idx="56">
                  <c:v>62.908311063143699</c:v>
                </c:pt>
                <c:pt idx="57">
                  <c:v>62.381573648487702</c:v>
                </c:pt>
                <c:pt idx="58">
                  <c:v>62.0466630720843</c:v>
                </c:pt>
                <c:pt idx="59">
                  <c:v>61.976294046479701</c:v>
                </c:pt>
                <c:pt idx="60">
                  <c:v>62.193652417242198</c:v>
                </c:pt>
                <c:pt idx="61">
                  <c:v>62.635963205525101</c:v>
                </c:pt>
                <c:pt idx="62">
                  <c:v>63.211686889735702</c:v>
                </c:pt>
                <c:pt idx="63">
                  <c:v>63.743981401892299</c:v>
                </c:pt>
                <c:pt idx="64">
                  <c:v>64.129071651471605</c:v>
                </c:pt>
                <c:pt idx="65">
                  <c:v>64.343676932082005</c:v>
                </c:pt>
                <c:pt idx="66">
                  <c:v>64.399320429837601</c:v>
                </c:pt>
                <c:pt idx="67">
                  <c:v>64.344134102130099</c:v>
                </c:pt>
                <c:pt idx="68">
                  <c:v>64.246637670639103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5B4-49C0-B6E9-2FE76C97A2A8}"/>
            </c:ext>
          </c:extLst>
        </c:ser>
        <c:ser>
          <c:idx val="3"/>
          <c:order val="3"/>
          <c:tx>
            <c:strRef>
              <c:f>Datos!$AP$3</c:f>
              <c:strCache>
                <c:ptCount val="1"/>
                <c:pt idx="0">
                  <c:v>ICE Servicios</c:v>
                </c:pt>
              </c:strCache>
            </c:strRef>
          </c:tx>
          <c:spPr>
            <a:ln w="15875">
              <a:solidFill>
                <a:srgbClr val="000066"/>
              </a:solidFill>
              <a:prstDash val="sysDot"/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Datos!$BA$175:$BA$246</c:f>
              <c:numCache>
                <c:formatCode>0.0</c:formatCode>
                <c:ptCount val="69"/>
                <c:pt idx="0">
                  <c:v>60.316992498213899</c:v>
                </c:pt>
                <c:pt idx="1">
                  <c:v>59.981160990712098</c:v>
                </c:pt>
                <c:pt idx="2">
                  <c:v>59.785401345558498</c:v>
                </c:pt>
                <c:pt idx="3">
                  <c:v>59.834724279590397</c:v>
                </c:pt>
                <c:pt idx="4">
                  <c:v>60.131484877351802</c:v>
                </c:pt>
                <c:pt idx="5">
                  <c:v>60.5530097642296</c:v>
                </c:pt>
                <c:pt idx="6">
                  <c:v>60.960317277923302</c:v>
                </c:pt>
                <c:pt idx="7">
                  <c:v>61.297458442486302</c:v>
                </c:pt>
                <c:pt idx="8">
                  <c:v>61.561586687306502</c:v>
                </c:pt>
                <c:pt idx="9">
                  <c:v>61.743752857823303</c:v>
                </c:pt>
                <c:pt idx="10">
                  <c:v>61.922915456060998</c:v>
                </c:pt>
                <c:pt idx="11">
                  <c:v>62.1068356156227</c:v>
                </c:pt>
                <c:pt idx="12">
                  <c:v>62.192476006191903</c:v>
                </c:pt>
                <c:pt idx="13">
                  <c:v>62.093864908311502</c:v>
                </c:pt>
                <c:pt idx="14">
                  <c:v>61.704968861633702</c:v>
                </c:pt>
                <c:pt idx="15">
                  <c:v>61.088341867111197</c:v>
                </c:pt>
                <c:pt idx="16">
                  <c:v>60.368501964753499</c:v>
                </c:pt>
                <c:pt idx="17">
                  <c:v>59.673474696356301</c:v>
                </c:pt>
                <c:pt idx="18">
                  <c:v>59.167557491108198</c:v>
                </c:pt>
                <c:pt idx="19">
                  <c:v>58.829954147326802</c:v>
                </c:pt>
                <c:pt idx="20">
                  <c:v>58.580571289000602</c:v>
                </c:pt>
                <c:pt idx="21">
                  <c:v>58.365469753289602</c:v>
                </c:pt>
                <c:pt idx="22">
                  <c:v>58.041916680945199</c:v>
                </c:pt>
                <c:pt idx="23">
                  <c:v>57.550921413005298</c:v>
                </c:pt>
                <c:pt idx="24">
                  <c:v>56.976334968654101</c:v>
                </c:pt>
                <c:pt idx="25">
                  <c:v>56.4562321279071</c:v>
                </c:pt>
                <c:pt idx="26">
                  <c:v>56.146808926070698</c:v>
                </c:pt>
                <c:pt idx="27">
                  <c:v>56.1946764897138</c:v>
                </c:pt>
                <c:pt idx="28">
                  <c:v>56.679825027330999</c:v>
                </c:pt>
                <c:pt idx="29">
                  <c:v>57.481274218836901</c:v>
                </c:pt>
                <c:pt idx="30">
                  <c:v>58.351672310801703</c:v>
                </c:pt>
                <c:pt idx="31">
                  <c:v>59.065892594327401</c:v>
                </c:pt>
                <c:pt idx="32">
                  <c:v>59.4650423910455</c:v>
                </c:pt>
                <c:pt idx="33">
                  <c:v>59.514906535677497</c:v>
                </c:pt>
                <c:pt idx="34">
                  <c:v>59.443571186477897</c:v>
                </c:pt>
                <c:pt idx="35">
                  <c:v>59.575080491788498</c:v>
                </c:pt>
                <c:pt idx="36">
                  <c:v>60.113071502364498</c:v>
                </c:pt>
                <c:pt idx="37">
                  <c:v>61.0699979161705</c:v>
                </c:pt>
                <c:pt idx="38">
                  <c:v>62.1856726905513</c:v>
                </c:pt>
                <c:pt idx="39">
                  <c:v>63.045388136974502</c:v>
                </c:pt>
                <c:pt idx="40">
                  <c:v>63.2925077473964</c:v>
                </c:pt>
                <c:pt idx="41">
                  <c:v>62.909625021451703</c:v>
                </c:pt>
                <c:pt idx="42">
                  <c:v>62.247735255557899</c:v>
                </c:pt>
                <c:pt idx="43">
                  <c:v>61.620351492951798</c:v>
                </c:pt>
                <c:pt idx="44">
                  <c:v>61.230451983240002</c:v>
                </c:pt>
                <c:pt idx="45">
                  <c:v>61.125632160705401</c:v>
                </c:pt>
                <c:pt idx="46">
                  <c:v>61.154002637359703</c:v>
                </c:pt>
                <c:pt idx="47">
                  <c:v>61.180455879864901</c:v>
                </c:pt>
                <c:pt idx="48">
                  <c:v>61.024621623662703</c:v>
                </c:pt>
                <c:pt idx="49">
                  <c:v>60.601603406631597</c:v>
                </c:pt>
                <c:pt idx="50">
                  <c:v>59.975870686188003</c:v>
                </c:pt>
                <c:pt idx="51">
                  <c:v>59.112235321232497</c:v>
                </c:pt>
                <c:pt idx="52">
                  <c:v>57.9084340807009</c:v>
                </c:pt>
                <c:pt idx="53">
                  <c:v>56.378964327966699</c:v>
                </c:pt>
                <c:pt idx="54">
                  <c:v>54.668939628752398</c:v>
                </c:pt>
                <c:pt idx="55">
                  <c:v>53.049172627454702</c:v>
                </c:pt>
                <c:pt idx="56">
                  <c:v>51.806349366850597</c:v>
                </c:pt>
                <c:pt idx="57">
                  <c:v>51.095446635013097</c:v>
                </c:pt>
                <c:pt idx="58">
                  <c:v>51.008168875170099</c:v>
                </c:pt>
                <c:pt idx="59">
                  <c:v>51.6737590491323</c:v>
                </c:pt>
                <c:pt idx="60">
                  <c:v>52.979715826200298</c:v>
                </c:pt>
                <c:pt idx="61">
                  <c:v>54.772285534391102</c:v>
                </c:pt>
                <c:pt idx="62">
                  <c:v>56.811091091425297</c:v>
                </c:pt>
                <c:pt idx="63">
                  <c:v>58.877886087089301</c:v>
                </c:pt>
                <c:pt idx="64">
                  <c:v>60.777252259196104</c:v>
                </c:pt>
                <c:pt idx="65">
                  <c:v>62.284608136844703</c:v>
                </c:pt>
                <c:pt idx="66">
                  <c:v>63.325007653386898</c:v>
                </c:pt>
                <c:pt idx="67">
                  <c:v>63.962820287184599</c:v>
                </c:pt>
                <c:pt idx="68">
                  <c:v>64.285883847651107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65B4-49C0-B6E9-2FE76C97A2A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93494760"/>
        <c:axId val="493490448"/>
      </c:lineChart>
      <c:catAx>
        <c:axId val="493494760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500"/>
            </a:pPr>
            <a:endParaRPr lang="es-MX"/>
          </a:p>
        </c:txPr>
        <c:crossAx val="493490448"/>
        <c:crossesAt val="50"/>
        <c:auto val="1"/>
        <c:lblAlgn val="ctr"/>
        <c:lblOffset val="100"/>
        <c:tickLblSkip val="4"/>
        <c:tickMarkSkip val="12"/>
        <c:noMultiLvlLbl val="1"/>
      </c:catAx>
      <c:valAx>
        <c:axId val="493490448"/>
        <c:scaling>
          <c:orientation val="minMax"/>
          <c:max val="75"/>
          <c:min val="45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#,##0_ ;[Red]\-#,##0\ 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600"/>
            </a:pPr>
            <a:endParaRPr lang="es-MX"/>
          </a:p>
        </c:txPr>
        <c:crossAx val="493494760"/>
        <c:crosses val="autoZero"/>
        <c:crossBetween val="between"/>
        <c:majorUnit val="5"/>
        <c:minorUnit val="2"/>
      </c:valAx>
      <c:spPr>
        <a:noFill/>
      </c:spPr>
    </c:plotArea>
    <c:legend>
      <c:legendPos val="b"/>
      <c:layout>
        <c:manualLayout>
          <c:xMode val="edge"/>
          <c:yMode val="edge"/>
          <c:x val="3.6781609195402297E-3"/>
          <c:y val="0.90628413462049262"/>
          <c:w val="0.99191526018568754"/>
          <c:h val="9.3715865379507421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5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8784722222222231E-2"/>
          <c:y val="3.6858201184265672E-2"/>
          <c:w val="0.91862657082260835"/>
          <c:h val="0.85939486960689515"/>
        </c:manualLayout>
      </c:layout>
      <c:lineChart>
        <c:grouping val="standard"/>
        <c:varyColors val="0"/>
        <c:ser>
          <c:idx val="2"/>
          <c:order val="0"/>
          <c:tx>
            <c:strRef>
              <c:f>Datos!$BB$5</c:f>
              <c:strCache>
                <c:ptCount val="1"/>
                <c:pt idx="0">
                  <c:v>Indice</c:v>
                </c:pt>
              </c:strCache>
            </c:strRef>
          </c:tx>
          <c:spPr>
            <a:ln w="19050">
              <a:solidFill>
                <a:srgbClr val="4A7EBB"/>
              </a:solidFill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Datos!$BB$175:$BB$246</c:f>
              <c:numCache>
                <c:formatCode>0.0</c:formatCode>
                <c:ptCount val="69"/>
                <c:pt idx="0">
                  <c:v>48.792999999999999</c:v>
                </c:pt>
                <c:pt idx="1">
                  <c:v>48.914999999999999</c:v>
                </c:pt>
                <c:pt idx="2">
                  <c:v>49.835000000000001</c:v>
                </c:pt>
                <c:pt idx="3">
                  <c:v>49.838000000000001</c:v>
                </c:pt>
                <c:pt idx="4">
                  <c:v>48.982999999999997</c:v>
                </c:pt>
                <c:pt idx="5">
                  <c:v>48.204999999999998</c:v>
                </c:pt>
                <c:pt idx="6">
                  <c:v>52.558999999999997</c:v>
                </c:pt>
                <c:pt idx="7">
                  <c:v>53.213000000000001</c:v>
                </c:pt>
                <c:pt idx="8">
                  <c:v>52.072000000000003</c:v>
                </c:pt>
                <c:pt idx="9">
                  <c:v>51.576000000000001</c:v>
                </c:pt>
                <c:pt idx="10">
                  <c:v>50.112000000000002</c:v>
                </c:pt>
                <c:pt idx="11">
                  <c:v>50.667000000000002</c:v>
                </c:pt>
                <c:pt idx="12">
                  <c:v>52.079000000000001</c:v>
                </c:pt>
                <c:pt idx="13">
                  <c:v>52.582999999999998</c:v>
                </c:pt>
                <c:pt idx="14">
                  <c:v>52.753999999999998</c:v>
                </c:pt>
                <c:pt idx="15">
                  <c:v>52.774000000000001</c:v>
                </c:pt>
                <c:pt idx="16">
                  <c:v>51.360999999999997</c:v>
                </c:pt>
                <c:pt idx="17">
                  <c:v>50.469000000000001</c:v>
                </c:pt>
                <c:pt idx="18">
                  <c:v>49.475999999999999</c:v>
                </c:pt>
                <c:pt idx="19">
                  <c:v>48.951999999999998</c:v>
                </c:pt>
                <c:pt idx="20">
                  <c:v>49.793999999999997</c:v>
                </c:pt>
                <c:pt idx="21">
                  <c:v>48.494999999999997</c:v>
                </c:pt>
                <c:pt idx="22">
                  <c:v>47.735999999999997</c:v>
                </c:pt>
                <c:pt idx="23">
                  <c:v>48.16</c:v>
                </c:pt>
                <c:pt idx="24">
                  <c:v>47.22</c:v>
                </c:pt>
                <c:pt idx="25">
                  <c:v>48.290999999999997</c:v>
                </c:pt>
                <c:pt idx="26">
                  <c:v>43.906999999999996</c:v>
                </c:pt>
                <c:pt idx="27">
                  <c:v>35.659999999999997</c:v>
                </c:pt>
                <c:pt idx="28">
                  <c:v>33.9</c:v>
                </c:pt>
                <c:pt idx="29">
                  <c:v>36.408999999999999</c:v>
                </c:pt>
                <c:pt idx="30">
                  <c:v>38.54</c:v>
                </c:pt>
                <c:pt idx="31">
                  <c:v>37.923000000000002</c:v>
                </c:pt>
                <c:pt idx="32">
                  <c:v>38.820999999999998</c:v>
                </c:pt>
                <c:pt idx="33">
                  <c:v>40.066000000000003</c:v>
                </c:pt>
                <c:pt idx="34">
                  <c:v>39.902000000000001</c:v>
                </c:pt>
                <c:pt idx="35">
                  <c:v>41.073999999999998</c:v>
                </c:pt>
                <c:pt idx="36">
                  <c:v>40.966000000000001</c:v>
                </c:pt>
                <c:pt idx="37">
                  <c:v>42.167000000000002</c:v>
                </c:pt>
                <c:pt idx="38">
                  <c:v>45.128</c:v>
                </c:pt>
                <c:pt idx="39">
                  <c:v>47.308</c:v>
                </c:pt>
                <c:pt idx="40">
                  <c:v>49.07</c:v>
                </c:pt>
                <c:pt idx="41">
                  <c:v>51.243000000000002</c:v>
                </c:pt>
                <c:pt idx="42">
                  <c:v>51.16</c:v>
                </c:pt>
                <c:pt idx="43">
                  <c:v>49.765999999999998</c:v>
                </c:pt>
                <c:pt idx="44">
                  <c:v>51.195</c:v>
                </c:pt>
                <c:pt idx="45">
                  <c:v>52.023000000000003</c:v>
                </c:pt>
                <c:pt idx="46">
                  <c:v>53.469000000000001</c:v>
                </c:pt>
                <c:pt idx="47">
                  <c:v>54.902999999999999</c:v>
                </c:pt>
                <c:pt idx="48">
                  <c:v>51.463000000000001</c:v>
                </c:pt>
                <c:pt idx="49">
                  <c:v>52.042000000000002</c:v>
                </c:pt>
                <c:pt idx="50">
                  <c:v>51.957999999999998</c:v>
                </c:pt>
                <c:pt idx="51">
                  <c:v>53.542999999999999</c:v>
                </c:pt>
                <c:pt idx="52">
                  <c:v>52.941000000000003</c:v>
                </c:pt>
                <c:pt idx="53">
                  <c:v>51.509</c:v>
                </c:pt>
                <c:pt idx="54">
                  <c:v>50.453000000000003</c:v>
                </c:pt>
                <c:pt idx="55">
                  <c:v>48.451999999999998</c:v>
                </c:pt>
                <c:pt idx="56">
                  <c:v>47.963999999999999</c:v>
                </c:pt>
                <c:pt idx="57">
                  <c:v>49.847999999999999</c:v>
                </c:pt>
                <c:pt idx="58">
                  <c:v>49.603000000000002</c:v>
                </c:pt>
                <c:pt idx="59">
                  <c:v>47.402000000000001</c:v>
                </c:pt>
                <c:pt idx="60">
                  <c:v>48.55</c:v>
                </c:pt>
                <c:pt idx="61">
                  <c:v>51.774999999999999</c:v>
                </c:pt>
                <c:pt idx="62">
                  <c:v>53.610999999999997</c:v>
                </c:pt>
                <c:pt idx="63">
                  <c:v>54.776000000000003</c:v>
                </c:pt>
                <c:pt idx="64">
                  <c:v>55.68</c:v>
                </c:pt>
                <c:pt idx="65">
                  <c:v>54.954999999999998</c:v>
                </c:pt>
                <c:pt idx="66">
                  <c:v>56.536000000000001</c:v>
                </c:pt>
                <c:pt idx="67">
                  <c:v>56.436</c:v>
                </c:pt>
                <c:pt idx="68">
                  <c:v>56.448999999999998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459-4A26-BF43-493CBB25F6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65225512"/>
        <c:axId val="465221200"/>
      </c:lineChart>
      <c:catAx>
        <c:axId val="465225512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700"/>
            </a:pPr>
            <a:endParaRPr lang="es-MX"/>
          </a:p>
        </c:txPr>
        <c:crossAx val="465221200"/>
        <c:crossesAt val="50"/>
        <c:auto val="1"/>
        <c:lblAlgn val="ctr"/>
        <c:lblOffset val="50"/>
        <c:tickLblSkip val="4"/>
        <c:tickMarkSkip val="12"/>
        <c:noMultiLvlLbl val="1"/>
      </c:catAx>
      <c:valAx>
        <c:axId val="465221200"/>
        <c:scaling>
          <c:orientation val="minMax"/>
          <c:max val="60"/>
          <c:min val="30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#,##0_ ;[Red]\-#,##0\ " sourceLinked="0"/>
        <c:majorTickMark val="out"/>
        <c:minorTickMark val="none"/>
        <c:tickLblPos val="nextTo"/>
        <c:spPr>
          <a:noFill/>
          <a:ln w="6350">
            <a:solidFill>
              <a:srgbClr val="000000">
                <a:alpha val="94902"/>
              </a:srgbClr>
            </a:solidFill>
          </a:ln>
        </c:spPr>
        <c:txPr>
          <a:bodyPr/>
          <a:lstStyle/>
          <a:p>
            <a:pPr>
              <a:defRPr sz="700"/>
            </a:pPr>
            <a:endParaRPr lang="es-MX"/>
          </a:p>
        </c:txPr>
        <c:crossAx val="465225512"/>
        <c:crosses val="autoZero"/>
        <c:crossBetween val="between"/>
        <c:majorUnit val="5"/>
      </c:valAx>
      <c:spPr>
        <a:noFill/>
        <a:ln w="0">
          <a:solidFill>
            <a:srgbClr val="7F7F7F"/>
          </a:solidFill>
        </a:ln>
      </c:spPr>
    </c:plotArea>
    <c:plotVisOnly val="1"/>
    <c:dispBlanksAs val="gap"/>
    <c:showDLblsOverMax val="0"/>
  </c:chart>
  <c:spPr>
    <a:noFill/>
    <a:ln w="6350">
      <a:solidFill>
        <a:srgbClr val="000000">
          <a:alpha val="95000"/>
        </a:srgbClr>
      </a:solidFill>
    </a:ln>
    <a:effectLst>
      <a:outerShdw dist="16510" dir="2700000" algn="tl" rotWithShape="0">
        <a:srgbClr val="000000"/>
      </a:outerShdw>
    </a:effectLst>
  </c:spPr>
  <c:txPr>
    <a:bodyPr/>
    <a:lstStyle/>
    <a:p>
      <a:pPr>
        <a:defRPr sz="7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7557489281093577E-2"/>
          <c:y val="4.1884661341257463E-2"/>
          <c:w val="0.91277806917975435"/>
          <c:h val="0.81415685993223252"/>
        </c:manualLayout>
      </c:layout>
      <c:lineChart>
        <c:grouping val="standard"/>
        <c:varyColors val="0"/>
        <c:ser>
          <c:idx val="2"/>
          <c:order val="0"/>
          <c:tx>
            <c:strRef>
              <c:f>Datos!$C$6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9050" cmpd="sng">
              <a:solidFill>
                <a:srgbClr val="4A7EBB"/>
              </a:solidFill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Datos!$C$175:$C$246</c:f>
              <c:numCache>
                <c:formatCode>0.0</c:formatCode>
                <c:ptCount val="69"/>
                <c:pt idx="0">
                  <c:v>50.369443409345202</c:v>
                </c:pt>
                <c:pt idx="1">
                  <c:v>50.940198934056198</c:v>
                </c:pt>
                <c:pt idx="2">
                  <c:v>51.6476232769433</c:v>
                </c:pt>
                <c:pt idx="3">
                  <c:v>51.830995755589697</c:v>
                </c:pt>
                <c:pt idx="4">
                  <c:v>51.062747324228297</c:v>
                </c:pt>
                <c:pt idx="5">
                  <c:v>49.956129174813498</c:v>
                </c:pt>
                <c:pt idx="6">
                  <c:v>52.520242713684297</c:v>
                </c:pt>
                <c:pt idx="7">
                  <c:v>53.659631998520098</c:v>
                </c:pt>
                <c:pt idx="8">
                  <c:v>52.478721839512701</c:v>
                </c:pt>
                <c:pt idx="9">
                  <c:v>52.207809382907001</c:v>
                </c:pt>
                <c:pt idx="10">
                  <c:v>51.359429041777098</c:v>
                </c:pt>
                <c:pt idx="11">
                  <c:v>51.359849367745902</c:v>
                </c:pt>
                <c:pt idx="12">
                  <c:v>53.029924848054399</c:v>
                </c:pt>
                <c:pt idx="13">
                  <c:v>53.252577395000202</c:v>
                </c:pt>
                <c:pt idx="14">
                  <c:v>53.313750011673399</c:v>
                </c:pt>
                <c:pt idx="15">
                  <c:v>53.101444228393902</c:v>
                </c:pt>
                <c:pt idx="16">
                  <c:v>53.339598314391203</c:v>
                </c:pt>
                <c:pt idx="17">
                  <c:v>51.773377131220201</c:v>
                </c:pt>
                <c:pt idx="18">
                  <c:v>50.3155171491643</c:v>
                </c:pt>
                <c:pt idx="19">
                  <c:v>50.8912399078378</c:v>
                </c:pt>
                <c:pt idx="20">
                  <c:v>50.733941617215699</c:v>
                </c:pt>
                <c:pt idx="21">
                  <c:v>50.155435577995497</c:v>
                </c:pt>
                <c:pt idx="22">
                  <c:v>49.863974474275601</c:v>
                </c:pt>
                <c:pt idx="23">
                  <c:v>49.386175527252497</c:v>
                </c:pt>
                <c:pt idx="24">
                  <c:v>48.414281420965303</c:v>
                </c:pt>
                <c:pt idx="25">
                  <c:v>47.481383400511397</c:v>
                </c:pt>
                <c:pt idx="26">
                  <c:v>44.1574773531961</c:v>
                </c:pt>
                <c:pt idx="27">
                  <c:v>36.270957064446101</c:v>
                </c:pt>
                <c:pt idx="28">
                  <c:v>34.370951263645203</c:v>
                </c:pt>
                <c:pt idx="29">
                  <c:v>37.337079063924499</c:v>
                </c:pt>
                <c:pt idx="30">
                  <c:v>38.813224429311397</c:v>
                </c:pt>
                <c:pt idx="31">
                  <c:v>39.281397305090699</c:v>
                </c:pt>
                <c:pt idx="32">
                  <c:v>40.875225257992497</c:v>
                </c:pt>
                <c:pt idx="33">
                  <c:v>41.738204043261099</c:v>
                </c:pt>
                <c:pt idx="34">
                  <c:v>42.3939456964671</c:v>
                </c:pt>
                <c:pt idx="35">
                  <c:v>43.2237582282294</c:v>
                </c:pt>
                <c:pt idx="36">
                  <c:v>43.671178248940898</c:v>
                </c:pt>
                <c:pt idx="37">
                  <c:v>44.304733949887797</c:v>
                </c:pt>
                <c:pt idx="38">
                  <c:v>45.846588447011698</c:v>
                </c:pt>
                <c:pt idx="39">
                  <c:v>48.342913807421098</c:v>
                </c:pt>
                <c:pt idx="40">
                  <c:v>49.678110803365598</c:v>
                </c:pt>
                <c:pt idx="41">
                  <c:v>51.322266509838101</c:v>
                </c:pt>
                <c:pt idx="42">
                  <c:v>51.825103190933397</c:v>
                </c:pt>
                <c:pt idx="43">
                  <c:v>51.416350543984002</c:v>
                </c:pt>
                <c:pt idx="44">
                  <c:v>51.586661263798398</c:v>
                </c:pt>
                <c:pt idx="45">
                  <c:v>52.056784365024598</c:v>
                </c:pt>
                <c:pt idx="46">
                  <c:v>52.941854070431901</c:v>
                </c:pt>
                <c:pt idx="47">
                  <c:v>52.886325782598199</c:v>
                </c:pt>
                <c:pt idx="48">
                  <c:v>51.252194101138201</c:v>
                </c:pt>
                <c:pt idx="49">
                  <c:v>52.546619426232297</c:v>
                </c:pt>
                <c:pt idx="50">
                  <c:v>51.699910702365997</c:v>
                </c:pt>
                <c:pt idx="51">
                  <c:v>52.241690039510203</c:v>
                </c:pt>
                <c:pt idx="52">
                  <c:v>52.366074014645903</c:v>
                </c:pt>
                <c:pt idx="53">
                  <c:v>52.038898000825597</c:v>
                </c:pt>
                <c:pt idx="54">
                  <c:v>51.225572400799898</c:v>
                </c:pt>
                <c:pt idx="55">
                  <c:v>51.826898984819202</c:v>
                </c:pt>
                <c:pt idx="56">
                  <c:v>50.975080878045901</c:v>
                </c:pt>
                <c:pt idx="57">
                  <c:v>50.7828311474331</c:v>
                </c:pt>
                <c:pt idx="58">
                  <c:v>50.281675000129098</c:v>
                </c:pt>
                <c:pt idx="59">
                  <c:v>50.511659851243699</c:v>
                </c:pt>
                <c:pt idx="60">
                  <c:v>51.159083374562499</c:v>
                </c:pt>
                <c:pt idx="61">
                  <c:v>53.140330468336501</c:v>
                </c:pt>
                <c:pt idx="62">
                  <c:v>53.315060611452701</c:v>
                </c:pt>
                <c:pt idx="63">
                  <c:v>53.052076919380397</c:v>
                </c:pt>
                <c:pt idx="64">
                  <c:v>53.4088943246703</c:v>
                </c:pt>
                <c:pt idx="65">
                  <c:v>53.402418034644803</c:v>
                </c:pt>
                <c:pt idx="66">
                  <c:v>53.706489192731397</c:v>
                </c:pt>
                <c:pt idx="67">
                  <c:v>53.697190883857203</c:v>
                </c:pt>
                <c:pt idx="68">
                  <c:v>53.832601812792099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1EA-4F9E-A95E-7075BCA0B68B}"/>
            </c:ext>
          </c:extLst>
        </c:ser>
        <c:ser>
          <c:idx val="0"/>
          <c:order val="1"/>
          <c:tx>
            <c:strRef>
              <c:f>Datos!$D$6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9525">
              <a:solidFill>
                <a:srgbClr val="FF0000"/>
              </a:solidFill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Datos!$D$175:$D$246</c:f>
              <c:numCache>
                <c:formatCode>0.0</c:formatCode>
                <c:ptCount val="69"/>
                <c:pt idx="0">
                  <c:v>50.751107079741899</c:v>
                </c:pt>
                <c:pt idx="1">
                  <c:v>51.038956603713999</c:v>
                </c:pt>
                <c:pt idx="2">
                  <c:v>51.300738999771198</c:v>
                </c:pt>
                <c:pt idx="3">
                  <c:v>51.527309459249999</c:v>
                </c:pt>
                <c:pt idx="4">
                  <c:v>51.714028348704403</c:v>
                </c:pt>
                <c:pt idx="5">
                  <c:v>51.938410745387102</c:v>
                </c:pt>
                <c:pt idx="6">
                  <c:v>52.2522468419712</c:v>
                </c:pt>
                <c:pt idx="7">
                  <c:v>52.465354669930299</c:v>
                </c:pt>
                <c:pt idx="8">
                  <c:v>52.310406336570203</c:v>
                </c:pt>
                <c:pt idx="9">
                  <c:v>51.935573356842802</c:v>
                </c:pt>
                <c:pt idx="10">
                  <c:v>51.760253834132001</c:v>
                </c:pt>
                <c:pt idx="11">
                  <c:v>51.985519670374103</c:v>
                </c:pt>
                <c:pt idx="12">
                  <c:v>52.497071917490601</c:v>
                </c:pt>
                <c:pt idx="13">
                  <c:v>53.088015033614397</c:v>
                </c:pt>
                <c:pt idx="14">
                  <c:v>53.396216549286798</c:v>
                </c:pt>
                <c:pt idx="15">
                  <c:v>53.259045615461602</c:v>
                </c:pt>
                <c:pt idx="16">
                  <c:v>52.787265345716101</c:v>
                </c:pt>
                <c:pt idx="17">
                  <c:v>52.184758726254898</c:v>
                </c:pt>
                <c:pt idx="18">
                  <c:v>51.544446559839798</c:v>
                </c:pt>
                <c:pt idx="19">
                  <c:v>50.999401591372703</c:v>
                </c:pt>
                <c:pt idx="20">
                  <c:v>50.606633307663799</c:v>
                </c:pt>
                <c:pt idx="21">
                  <c:v>50.325247275293599</c:v>
                </c:pt>
                <c:pt idx="22">
                  <c:v>49.9350713452015</c:v>
                </c:pt>
                <c:pt idx="23">
                  <c:v>49.274139925758398</c:v>
                </c:pt>
                <c:pt idx="24">
                  <c:v>48.081461449613798</c:v>
                </c:pt>
                <c:pt idx="25">
                  <c:v>46.231541368526102</c:v>
                </c:pt>
                <c:pt idx="26">
                  <c:v>43.910591751820199</c:v>
                </c:pt>
                <c:pt idx="27">
                  <c:v>41.617799144882397</c:v>
                </c:pt>
                <c:pt idx="28">
                  <c:v>39.830715381879301</c:v>
                </c:pt>
                <c:pt idx="29">
                  <c:v>38.893132736800801</c:v>
                </c:pt>
                <c:pt idx="30">
                  <c:v>38.872340947931001</c:v>
                </c:pt>
                <c:pt idx="31">
                  <c:v>39.551193273140399</c:v>
                </c:pt>
                <c:pt idx="32">
                  <c:v>40.555679873872698</c:v>
                </c:pt>
                <c:pt idx="33">
                  <c:v>41.587578778502099</c:v>
                </c:pt>
                <c:pt idx="34">
                  <c:v>42.428816710285197</c:v>
                </c:pt>
                <c:pt idx="35">
                  <c:v>43.023266764013698</c:v>
                </c:pt>
                <c:pt idx="36">
                  <c:v>43.669398665836503</c:v>
                </c:pt>
                <c:pt idx="37">
                  <c:v>44.681739717873903</c:v>
                </c:pt>
                <c:pt idx="38">
                  <c:v>46.166180279752602</c:v>
                </c:pt>
                <c:pt idx="39">
                  <c:v>48.003021529664103</c:v>
                </c:pt>
                <c:pt idx="40">
                  <c:v>49.763690289760298</c:v>
                </c:pt>
                <c:pt idx="41">
                  <c:v>50.983540532988201</c:v>
                </c:pt>
                <c:pt idx="42">
                  <c:v>51.529591817998998</c:v>
                </c:pt>
                <c:pt idx="43">
                  <c:v>51.702829424167298</c:v>
                </c:pt>
                <c:pt idx="44">
                  <c:v>51.893807339786598</c:v>
                </c:pt>
                <c:pt idx="45">
                  <c:v>52.1996401465262</c:v>
                </c:pt>
                <c:pt idx="46">
                  <c:v>52.5696222607517</c:v>
                </c:pt>
                <c:pt idx="47">
                  <c:v>52.7171182822646</c:v>
                </c:pt>
                <c:pt idx="48">
                  <c:v>52.556487164016303</c:v>
                </c:pt>
                <c:pt idx="49">
                  <c:v>52.297951792012299</c:v>
                </c:pt>
                <c:pt idx="50">
                  <c:v>52.173778033010102</c:v>
                </c:pt>
                <c:pt idx="51">
                  <c:v>52.142621084247402</c:v>
                </c:pt>
                <c:pt idx="52">
                  <c:v>52.0945288830736</c:v>
                </c:pt>
                <c:pt idx="53">
                  <c:v>51.952545455432997</c:v>
                </c:pt>
                <c:pt idx="54">
                  <c:v>51.721558759935597</c:v>
                </c:pt>
                <c:pt idx="55">
                  <c:v>51.387580167269</c:v>
                </c:pt>
                <c:pt idx="56">
                  <c:v>51.028353975324002</c:v>
                </c:pt>
                <c:pt idx="57">
                  <c:v>50.658797212274898</c:v>
                </c:pt>
                <c:pt idx="58">
                  <c:v>50.462541809625002</c:v>
                </c:pt>
                <c:pt idx="59">
                  <c:v>50.7132441524708</c:v>
                </c:pt>
                <c:pt idx="60">
                  <c:v>51.423080520057702</c:v>
                </c:pt>
                <c:pt idx="61">
                  <c:v>52.269041192267601</c:v>
                </c:pt>
                <c:pt idx="62">
                  <c:v>52.944575736598502</c:v>
                </c:pt>
                <c:pt idx="63">
                  <c:v>53.294700417813601</c:v>
                </c:pt>
                <c:pt idx="64">
                  <c:v>53.415696884599598</c:v>
                </c:pt>
                <c:pt idx="65">
                  <c:v>53.4957913979446</c:v>
                </c:pt>
                <c:pt idx="66">
                  <c:v>53.617775922221902</c:v>
                </c:pt>
                <c:pt idx="67">
                  <c:v>53.7202340578663</c:v>
                </c:pt>
                <c:pt idx="68">
                  <c:v>53.767063215839599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1EA-4F9E-A95E-7075BCA0B68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65220808"/>
        <c:axId val="465226296"/>
      </c:lineChart>
      <c:catAx>
        <c:axId val="465220808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700"/>
            </a:pPr>
            <a:endParaRPr lang="es-MX"/>
          </a:p>
        </c:txPr>
        <c:crossAx val="465226296"/>
        <c:crossesAt val="50"/>
        <c:auto val="1"/>
        <c:lblAlgn val="ctr"/>
        <c:lblOffset val="50"/>
        <c:tickLblSkip val="4"/>
        <c:tickMarkSkip val="12"/>
        <c:noMultiLvlLbl val="1"/>
      </c:catAx>
      <c:valAx>
        <c:axId val="465226296"/>
        <c:scaling>
          <c:orientation val="minMax"/>
          <c:max val="60"/>
          <c:min val="30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#,##0_ ;[Red]\-#,##0\ 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700"/>
            </a:pPr>
            <a:endParaRPr lang="es-MX"/>
          </a:p>
        </c:txPr>
        <c:crossAx val="465220808"/>
        <c:crosses val="autoZero"/>
        <c:crossBetween val="between"/>
        <c:majorUnit val="5"/>
      </c:valAx>
      <c:spPr>
        <a:noFill/>
        <a:ln w="0">
          <a:solidFill>
            <a:schemeClr val="bg1">
              <a:lumMod val="50000"/>
            </a:schemeClr>
          </a:solidFill>
        </a:ln>
      </c:spPr>
    </c:plotArea>
    <c:legend>
      <c:legendPos val="r"/>
      <c:layout>
        <c:manualLayout>
          <c:xMode val="edge"/>
          <c:yMode val="edge"/>
          <c:x val="5.9069735006973524E-2"/>
          <c:y val="0.94671349206349209"/>
          <c:w val="0.88181964232671406"/>
          <c:h val="5.3286423517454364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800"/>
          </a:pPr>
          <a:endParaRPr lang="es-MX"/>
        </a:p>
      </c:txPr>
    </c:legend>
    <c:plotVisOnly val="1"/>
    <c:dispBlanksAs val="gap"/>
    <c:showDLblsOverMax val="0"/>
  </c:chart>
  <c:spPr>
    <a:noFill/>
    <a:ln w="6350">
      <a:solidFill>
        <a:srgbClr val="000000">
          <a:alpha val="95000"/>
        </a:srgbClr>
      </a:solidFill>
    </a:ln>
    <a:effectLst>
      <a:outerShdw dist="16510" dir="2700000" algn="tl" rotWithShape="0">
        <a:srgbClr val="000000"/>
      </a:outerShdw>
    </a:effectLst>
  </c:spPr>
  <c:txPr>
    <a:bodyPr/>
    <a:lstStyle/>
    <a:p>
      <a:pPr>
        <a:defRPr sz="7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5844921065422805E-2"/>
          <c:y val="4.1884661341257463E-2"/>
          <c:w val="0.91277806917975435"/>
          <c:h val="0.81415685993223252"/>
        </c:manualLayout>
      </c:layout>
      <c:lineChart>
        <c:grouping val="standard"/>
        <c:varyColors val="0"/>
        <c:ser>
          <c:idx val="2"/>
          <c:order val="0"/>
          <c:tx>
            <c:strRef>
              <c:f>Datos!$O$6</c:f>
              <c:strCache>
                <c:ptCount val="1"/>
                <c:pt idx="0">
                  <c:v>Serie original</c:v>
                </c:pt>
              </c:strCache>
            </c:strRef>
          </c:tx>
          <c:spPr>
            <a:ln w="19050" cmpd="sng">
              <a:solidFill>
                <a:srgbClr val="4A7EBB"/>
              </a:solidFill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Datos!$O$175:$O$246</c:f>
              <c:numCache>
                <c:formatCode>0.0</c:formatCode>
                <c:ptCount val="69"/>
                <c:pt idx="0">
                  <c:v>44.558</c:v>
                </c:pt>
                <c:pt idx="1">
                  <c:v>45.308999999999997</c:v>
                </c:pt>
                <c:pt idx="2">
                  <c:v>46.026000000000003</c:v>
                </c:pt>
                <c:pt idx="3">
                  <c:v>46.648000000000003</c:v>
                </c:pt>
                <c:pt idx="4">
                  <c:v>46.857999999999997</c:v>
                </c:pt>
                <c:pt idx="5">
                  <c:v>45.746000000000002</c:v>
                </c:pt>
                <c:pt idx="6">
                  <c:v>50.325000000000003</c:v>
                </c:pt>
                <c:pt idx="7">
                  <c:v>51.509</c:v>
                </c:pt>
                <c:pt idx="8">
                  <c:v>50.06</c:v>
                </c:pt>
                <c:pt idx="9">
                  <c:v>49.548999999999999</c:v>
                </c:pt>
                <c:pt idx="10">
                  <c:v>47.584000000000003</c:v>
                </c:pt>
                <c:pt idx="11">
                  <c:v>48.357999999999997</c:v>
                </c:pt>
                <c:pt idx="12">
                  <c:v>47.435000000000002</c:v>
                </c:pt>
                <c:pt idx="13">
                  <c:v>47.927</c:v>
                </c:pt>
                <c:pt idx="14">
                  <c:v>48.043999999999997</c:v>
                </c:pt>
                <c:pt idx="15">
                  <c:v>48.506</c:v>
                </c:pt>
                <c:pt idx="16">
                  <c:v>48.395000000000003</c:v>
                </c:pt>
                <c:pt idx="17">
                  <c:v>47.851999999999997</c:v>
                </c:pt>
                <c:pt idx="18">
                  <c:v>47.003</c:v>
                </c:pt>
                <c:pt idx="19">
                  <c:v>46.905000000000001</c:v>
                </c:pt>
                <c:pt idx="20">
                  <c:v>47.828000000000003</c:v>
                </c:pt>
                <c:pt idx="21">
                  <c:v>47.165999999999997</c:v>
                </c:pt>
                <c:pt idx="22">
                  <c:v>45.704000000000001</c:v>
                </c:pt>
                <c:pt idx="23">
                  <c:v>47.311999999999998</c:v>
                </c:pt>
                <c:pt idx="24">
                  <c:v>45.917000000000002</c:v>
                </c:pt>
                <c:pt idx="25">
                  <c:v>44.829000000000001</c:v>
                </c:pt>
                <c:pt idx="26">
                  <c:v>43.45</c:v>
                </c:pt>
                <c:pt idx="27">
                  <c:v>37.197000000000003</c:v>
                </c:pt>
                <c:pt idx="28">
                  <c:v>34.752000000000002</c:v>
                </c:pt>
                <c:pt idx="29">
                  <c:v>35.051000000000002</c:v>
                </c:pt>
                <c:pt idx="30">
                  <c:v>39.375</c:v>
                </c:pt>
                <c:pt idx="31">
                  <c:v>38.463999999999999</c:v>
                </c:pt>
                <c:pt idx="32">
                  <c:v>40.081000000000003</c:v>
                </c:pt>
                <c:pt idx="33">
                  <c:v>40.883000000000003</c:v>
                </c:pt>
                <c:pt idx="34">
                  <c:v>41.366999999999997</c:v>
                </c:pt>
                <c:pt idx="35">
                  <c:v>41.97</c:v>
                </c:pt>
                <c:pt idx="36">
                  <c:v>42.347000000000001</c:v>
                </c:pt>
                <c:pt idx="37">
                  <c:v>43.085000000000001</c:v>
                </c:pt>
                <c:pt idx="38">
                  <c:v>43.884</c:v>
                </c:pt>
                <c:pt idx="39">
                  <c:v>44.61</c:v>
                </c:pt>
                <c:pt idx="40">
                  <c:v>45.780999999999999</c:v>
                </c:pt>
                <c:pt idx="41">
                  <c:v>47.838000000000001</c:v>
                </c:pt>
                <c:pt idx="42">
                  <c:v>49.015000000000001</c:v>
                </c:pt>
                <c:pt idx="43">
                  <c:v>46.393000000000001</c:v>
                </c:pt>
                <c:pt idx="44">
                  <c:v>48.16</c:v>
                </c:pt>
                <c:pt idx="45">
                  <c:v>48.991999999999997</c:v>
                </c:pt>
                <c:pt idx="46">
                  <c:v>50.476999999999997</c:v>
                </c:pt>
                <c:pt idx="47">
                  <c:v>50.895000000000003</c:v>
                </c:pt>
                <c:pt idx="48">
                  <c:v>50.177</c:v>
                </c:pt>
                <c:pt idx="49">
                  <c:v>51.156999999999996</c:v>
                </c:pt>
                <c:pt idx="50">
                  <c:v>51.798000000000002</c:v>
                </c:pt>
                <c:pt idx="51">
                  <c:v>51.088000000000001</c:v>
                </c:pt>
                <c:pt idx="52">
                  <c:v>49.749000000000002</c:v>
                </c:pt>
                <c:pt idx="53">
                  <c:v>51.098999999999997</c:v>
                </c:pt>
                <c:pt idx="54">
                  <c:v>49.85</c:v>
                </c:pt>
                <c:pt idx="55">
                  <c:v>48.540999999999997</c:v>
                </c:pt>
                <c:pt idx="56">
                  <c:v>50.976999999999997</c:v>
                </c:pt>
                <c:pt idx="57">
                  <c:v>51.356999999999999</c:v>
                </c:pt>
                <c:pt idx="58">
                  <c:v>50.505000000000003</c:v>
                </c:pt>
                <c:pt idx="59">
                  <c:v>48.226999999999997</c:v>
                </c:pt>
                <c:pt idx="60">
                  <c:v>53.3</c:v>
                </c:pt>
                <c:pt idx="61">
                  <c:v>52.527999999999999</c:v>
                </c:pt>
                <c:pt idx="62">
                  <c:v>51.35</c:v>
                </c:pt>
                <c:pt idx="63">
                  <c:v>54.817999999999998</c:v>
                </c:pt>
                <c:pt idx="64">
                  <c:v>53.334000000000003</c:v>
                </c:pt>
                <c:pt idx="65">
                  <c:v>52.417999999999999</c:v>
                </c:pt>
                <c:pt idx="66">
                  <c:v>53.188000000000002</c:v>
                </c:pt>
                <c:pt idx="67">
                  <c:v>52.503</c:v>
                </c:pt>
                <c:pt idx="68">
                  <c:v>53.218000000000004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692-4AEA-83FC-24CEEFA12B79}"/>
            </c:ext>
          </c:extLst>
        </c:ser>
        <c:ser>
          <c:idx val="0"/>
          <c:order val="1"/>
          <c:tx>
            <c:strRef>
              <c:f>Datos!$P$6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9525">
              <a:solidFill>
                <a:srgbClr val="FF0000"/>
              </a:solidFill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Datos!$P$175:$P$246</c:f>
              <c:numCache>
                <c:formatCode>0.0</c:formatCode>
                <c:ptCount val="69"/>
                <c:pt idx="0">
                  <c:v>46.053521287100502</c:v>
                </c:pt>
                <c:pt idx="1">
                  <c:v>45.854303975558402</c:v>
                </c:pt>
                <c:pt idx="2">
                  <c:v>45.940940571962201</c:v>
                </c:pt>
                <c:pt idx="3">
                  <c:v>46.229608617197101</c:v>
                </c:pt>
                <c:pt idx="4">
                  <c:v>46.687966349792298</c:v>
                </c:pt>
                <c:pt idx="5">
                  <c:v>47.2228695148669</c:v>
                </c:pt>
                <c:pt idx="6">
                  <c:v>47.776569163224799</c:v>
                </c:pt>
                <c:pt idx="7">
                  <c:v>48.224605142233798</c:v>
                </c:pt>
                <c:pt idx="8">
                  <c:v>48.494505377243001</c:v>
                </c:pt>
                <c:pt idx="9">
                  <c:v>48.547968801880998</c:v>
                </c:pt>
                <c:pt idx="10">
                  <c:v>48.407570383316099</c:v>
                </c:pt>
                <c:pt idx="11">
                  <c:v>48.1851293958985</c:v>
                </c:pt>
                <c:pt idx="12">
                  <c:v>48.029137509810099</c:v>
                </c:pt>
                <c:pt idx="13">
                  <c:v>48.0119561535572</c:v>
                </c:pt>
                <c:pt idx="14">
                  <c:v>48.0670819178222</c:v>
                </c:pt>
                <c:pt idx="15">
                  <c:v>48.083247558942602</c:v>
                </c:pt>
                <c:pt idx="16">
                  <c:v>48.017188075058598</c:v>
                </c:pt>
                <c:pt idx="17">
                  <c:v>47.821786758067802</c:v>
                </c:pt>
                <c:pt idx="18">
                  <c:v>47.578064360562003</c:v>
                </c:pt>
                <c:pt idx="19">
                  <c:v>47.347728204599399</c:v>
                </c:pt>
                <c:pt idx="20">
                  <c:v>47.190936715885698</c:v>
                </c:pt>
                <c:pt idx="21">
                  <c:v>47.056074089861099</c:v>
                </c:pt>
                <c:pt idx="22">
                  <c:v>46.831547039684501</c:v>
                </c:pt>
                <c:pt idx="23">
                  <c:v>46.395585667699002</c:v>
                </c:pt>
                <c:pt idx="24">
                  <c:v>45.696125765551301</c:v>
                </c:pt>
                <c:pt idx="25">
                  <c:v>44.752560262000401</c:v>
                </c:pt>
                <c:pt idx="26">
                  <c:v>43.621769893253202</c:v>
                </c:pt>
                <c:pt idx="27">
                  <c:v>42.395168001764098</c:v>
                </c:pt>
                <c:pt idx="28">
                  <c:v>41.225625653736799</c:v>
                </c:pt>
                <c:pt idx="29">
                  <c:v>40.321248597605702</c:v>
                </c:pt>
                <c:pt idx="30">
                  <c:v>39.8243170730751</c:v>
                </c:pt>
                <c:pt idx="31">
                  <c:v>39.728583442465698</c:v>
                </c:pt>
                <c:pt idx="32">
                  <c:v>39.995894947417703</c:v>
                </c:pt>
                <c:pt idx="33">
                  <c:v>40.519986094332602</c:v>
                </c:pt>
                <c:pt idx="34">
                  <c:v>41.167892868745703</c:v>
                </c:pt>
                <c:pt idx="35">
                  <c:v>41.8113048220686</c:v>
                </c:pt>
                <c:pt idx="36">
                  <c:v>42.4403258191576</c:v>
                </c:pt>
                <c:pt idx="37">
                  <c:v>43.141039155811498</c:v>
                </c:pt>
                <c:pt idx="38">
                  <c:v>44.006530953815798</c:v>
                </c:pt>
                <c:pt idx="39">
                  <c:v>45.016412734344598</c:v>
                </c:pt>
                <c:pt idx="40">
                  <c:v>46.0343014848956</c:v>
                </c:pt>
                <c:pt idx="41">
                  <c:v>46.943231189932902</c:v>
                </c:pt>
                <c:pt idx="42">
                  <c:v>47.7176407935032</c:v>
                </c:pt>
                <c:pt idx="43">
                  <c:v>48.354992325349897</c:v>
                </c:pt>
                <c:pt idx="44">
                  <c:v>48.885744694726398</c:v>
                </c:pt>
                <c:pt idx="45">
                  <c:v>49.383593067804703</c:v>
                </c:pt>
                <c:pt idx="46">
                  <c:v>49.924625375698099</c:v>
                </c:pt>
                <c:pt idx="47">
                  <c:v>50.453912136720902</c:v>
                </c:pt>
                <c:pt idx="48">
                  <c:v>50.8792334066761</c:v>
                </c:pt>
                <c:pt idx="49">
                  <c:v>51.0920696263019</c:v>
                </c:pt>
                <c:pt idx="50">
                  <c:v>51.070286839184902</c:v>
                </c:pt>
                <c:pt idx="51">
                  <c:v>50.879698678256702</c:v>
                </c:pt>
                <c:pt idx="52">
                  <c:v>50.661805205700603</c:v>
                </c:pt>
                <c:pt idx="53">
                  <c:v>50.496458800379202</c:v>
                </c:pt>
                <c:pt idx="54">
                  <c:v>50.4178366309688</c:v>
                </c:pt>
                <c:pt idx="55">
                  <c:v>50.448300151208798</c:v>
                </c:pt>
                <c:pt idx="56">
                  <c:v>50.618840208700298</c:v>
                </c:pt>
                <c:pt idx="57">
                  <c:v>50.851155210173999</c:v>
                </c:pt>
                <c:pt idx="58">
                  <c:v>51.082862945777599</c:v>
                </c:pt>
                <c:pt idx="59">
                  <c:v>51.348265396766898</c:v>
                </c:pt>
                <c:pt idx="60">
                  <c:v>51.655414326292401</c:v>
                </c:pt>
                <c:pt idx="61">
                  <c:v>51.980260418258098</c:v>
                </c:pt>
                <c:pt idx="62">
                  <c:v>52.307680468867403</c:v>
                </c:pt>
                <c:pt idx="63">
                  <c:v>52.577533361896599</c:v>
                </c:pt>
                <c:pt idx="64">
                  <c:v>52.751904797778998</c:v>
                </c:pt>
                <c:pt idx="65">
                  <c:v>52.849468181902203</c:v>
                </c:pt>
                <c:pt idx="66">
                  <c:v>52.9238052064252</c:v>
                </c:pt>
                <c:pt idx="67">
                  <c:v>52.988296975795699</c:v>
                </c:pt>
                <c:pt idx="68">
                  <c:v>53.051595717753102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692-4AEA-83FC-24CEEFA12B7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65223944"/>
        <c:axId val="465220024"/>
      </c:lineChart>
      <c:catAx>
        <c:axId val="465223944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700"/>
            </a:pPr>
            <a:endParaRPr lang="es-MX"/>
          </a:p>
        </c:txPr>
        <c:crossAx val="465220024"/>
        <c:crossesAt val="50"/>
        <c:auto val="1"/>
        <c:lblAlgn val="ctr"/>
        <c:lblOffset val="50"/>
        <c:tickLblSkip val="4"/>
        <c:tickMarkSkip val="12"/>
        <c:noMultiLvlLbl val="1"/>
      </c:catAx>
      <c:valAx>
        <c:axId val="465220024"/>
        <c:scaling>
          <c:orientation val="minMax"/>
          <c:max val="60"/>
          <c:min val="30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#,##0_ ;[Red]\-#,##0\ 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700"/>
            </a:pPr>
            <a:endParaRPr lang="es-MX"/>
          </a:p>
        </c:txPr>
        <c:crossAx val="465223944"/>
        <c:crosses val="autoZero"/>
        <c:crossBetween val="between"/>
        <c:majorUnit val="5"/>
      </c:valAx>
      <c:spPr>
        <a:noFill/>
        <a:ln w="0">
          <a:solidFill>
            <a:schemeClr val="bg1">
              <a:lumMod val="50000"/>
            </a:schemeClr>
          </a:solidFill>
        </a:ln>
      </c:spPr>
    </c:plotArea>
    <c:legend>
      <c:legendPos val="r"/>
      <c:layout>
        <c:manualLayout>
          <c:xMode val="edge"/>
          <c:yMode val="edge"/>
          <c:x val="5.9069735006973524E-2"/>
          <c:y val="0.94671349206349209"/>
          <c:w val="0.88181964232671406"/>
          <c:h val="5.3286423517454364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800"/>
          </a:pPr>
          <a:endParaRPr lang="es-MX"/>
        </a:p>
      </c:txPr>
    </c:legend>
    <c:plotVisOnly val="1"/>
    <c:dispBlanksAs val="gap"/>
    <c:showDLblsOverMax val="0"/>
  </c:chart>
  <c:spPr>
    <a:noFill/>
    <a:ln w="6350">
      <a:solidFill>
        <a:srgbClr val="000000">
          <a:alpha val="95000"/>
        </a:srgbClr>
      </a:solidFill>
    </a:ln>
    <a:effectLst>
      <a:outerShdw dist="16510" dir="2700000" algn="tl" rotWithShape="0">
        <a:srgbClr val="000000"/>
      </a:outerShdw>
    </a:effectLst>
  </c:spPr>
  <c:txPr>
    <a:bodyPr/>
    <a:lstStyle/>
    <a:p>
      <a:pPr>
        <a:defRPr sz="7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5844892666095457E-2"/>
          <c:y val="4.6876569207740387E-2"/>
          <c:w val="0.91277806917975435"/>
          <c:h val="0.81415685993223252"/>
        </c:manualLayout>
      </c:layout>
      <c:lineChart>
        <c:grouping val="standard"/>
        <c:varyColors val="0"/>
        <c:ser>
          <c:idx val="2"/>
          <c:order val="0"/>
          <c:tx>
            <c:strRef>
              <c:f>Datos!$AB$6</c:f>
              <c:strCache>
                <c:ptCount val="1"/>
                <c:pt idx="0">
                  <c:v>Serie original</c:v>
                </c:pt>
              </c:strCache>
            </c:strRef>
          </c:tx>
          <c:spPr>
            <a:ln w="19050" cmpd="sng">
              <a:solidFill>
                <a:srgbClr val="4A7EBB"/>
              </a:solidFill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Datos!$AB$175:$AB$246</c:f>
              <c:numCache>
                <c:formatCode>0.0</c:formatCode>
                <c:ptCount val="69"/>
                <c:pt idx="0">
                  <c:v>53.414000000000001</c:v>
                </c:pt>
                <c:pt idx="1">
                  <c:v>52.680999999999997</c:v>
                </c:pt>
                <c:pt idx="2">
                  <c:v>54.572000000000003</c:v>
                </c:pt>
                <c:pt idx="3">
                  <c:v>53.228999999999999</c:v>
                </c:pt>
                <c:pt idx="4">
                  <c:v>52.22</c:v>
                </c:pt>
                <c:pt idx="5">
                  <c:v>52.573</c:v>
                </c:pt>
                <c:pt idx="6">
                  <c:v>56.46</c:v>
                </c:pt>
                <c:pt idx="7">
                  <c:v>56.865000000000002</c:v>
                </c:pt>
                <c:pt idx="8">
                  <c:v>55.91</c:v>
                </c:pt>
                <c:pt idx="9">
                  <c:v>54.93</c:v>
                </c:pt>
                <c:pt idx="10">
                  <c:v>53.674999999999997</c:v>
                </c:pt>
                <c:pt idx="11">
                  <c:v>54.716999999999999</c:v>
                </c:pt>
                <c:pt idx="12">
                  <c:v>54.194000000000003</c:v>
                </c:pt>
                <c:pt idx="13">
                  <c:v>54.981999999999999</c:v>
                </c:pt>
                <c:pt idx="14">
                  <c:v>55.744999999999997</c:v>
                </c:pt>
                <c:pt idx="15">
                  <c:v>56.078000000000003</c:v>
                </c:pt>
                <c:pt idx="16">
                  <c:v>53.561999999999998</c:v>
                </c:pt>
                <c:pt idx="17">
                  <c:v>53.494999999999997</c:v>
                </c:pt>
                <c:pt idx="18">
                  <c:v>51.915999999999997</c:v>
                </c:pt>
                <c:pt idx="19">
                  <c:v>51.029000000000003</c:v>
                </c:pt>
                <c:pt idx="20">
                  <c:v>52.502000000000002</c:v>
                </c:pt>
                <c:pt idx="21">
                  <c:v>51.411000000000001</c:v>
                </c:pt>
                <c:pt idx="22">
                  <c:v>49.686999999999998</c:v>
                </c:pt>
                <c:pt idx="23">
                  <c:v>51.16</c:v>
                </c:pt>
                <c:pt idx="24">
                  <c:v>51.534999999999997</c:v>
                </c:pt>
                <c:pt idx="25">
                  <c:v>51.262999999999998</c:v>
                </c:pt>
                <c:pt idx="26">
                  <c:v>46.475000000000001</c:v>
                </c:pt>
                <c:pt idx="27">
                  <c:v>39.131</c:v>
                </c:pt>
                <c:pt idx="28">
                  <c:v>37.898000000000003</c:v>
                </c:pt>
                <c:pt idx="29">
                  <c:v>38.35</c:v>
                </c:pt>
                <c:pt idx="30">
                  <c:v>41.348999999999997</c:v>
                </c:pt>
                <c:pt idx="31">
                  <c:v>42.073</c:v>
                </c:pt>
                <c:pt idx="32">
                  <c:v>41.798999999999999</c:v>
                </c:pt>
                <c:pt idx="33">
                  <c:v>42.920999999999999</c:v>
                </c:pt>
                <c:pt idx="34">
                  <c:v>43.59</c:v>
                </c:pt>
                <c:pt idx="35">
                  <c:v>44.841000000000001</c:v>
                </c:pt>
                <c:pt idx="36">
                  <c:v>45.468000000000004</c:v>
                </c:pt>
                <c:pt idx="37">
                  <c:v>45.674999999999997</c:v>
                </c:pt>
                <c:pt idx="38">
                  <c:v>49.164000000000001</c:v>
                </c:pt>
                <c:pt idx="39">
                  <c:v>51.055999999999997</c:v>
                </c:pt>
                <c:pt idx="40">
                  <c:v>52.246000000000002</c:v>
                </c:pt>
                <c:pt idx="41">
                  <c:v>54.195999999999998</c:v>
                </c:pt>
                <c:pt idx="42">
                  <c:v>54.558</c:v>
                </c:pt>
                <c:pt idx="43">
                  <c:v>53.506</c:v>
                </c:pt>
                <c:pt idx="44">
                  <c:v>54.933</c:v>
                </c:pt>
                <c:pt idx="45">
                  <c:v>54.825000000000003</c:v>
                </c:pt>
                <c:pt idx="46">
                  <c:v>56.56</c:v>
                </c:pt>
                <c:pt idx="47">
                  <c:v>57.433999999999997</c:v>
                </c:pt>
                <c:pt idx="48">
                  <c:v>55.999000000000002</c:v>
                </c:pt>
                <c:pt idx="49">
                  <c:v>54.710999999999999</c:v>
                </c:pt>
                <c:pt idx="50">
                  <c:v>53.956000000000003</c:v>
                </c:pt>
                <c:pt idx="51">
                  <c:v>55.453000000000003</c:v>
                </c:pt>
                <c:pt idx="52">
                  <c:v>54.683</c:v>
                </c:pt>
                <c:pt idx="53">
                  <c:v>55.841000000000001</c:v>
                </c:pt>
                <c:pt idx="54">
                  <c:v>55.174999999999997</c:v>
                </c:pt>
                <c:pt idx="55">
                  <c:v>53.822000000000003</c:v>
                </c:pt>
                <c:pt idx="56">
                  <c:v>53.656999999999996</c:v>
                </c:pt>
                <c:pt idx="57">
                  <c:v>52.789000000000001</c:v>
                </c:pt>
                <c:pt idx="58">
                  <c:v>52.743000000000002</c:v>
                </c:pt>
                <c:pt idx="59">
                  <c:v>52.497999999999998</c:v>
                </c:pt>
                <c:pt idx="60">
                  <c:v>53.615000000000002</c:v>
                </c:pt>
                <c:pt idx="61">
                  <c:v>54.345999999999997</c:v>
                </c:pt>
                <c:pt idx="62">
                  <c:v>53.576999999999998</c:v>
                </c:pt>
                <c:pt idx="63">
                  <c:v>55.548000000000002</c:v>
                </c:pt>
                <c:pt idx="64">
                  <c:v>56.037999999999997</c:v>
                </c:pt>
                <c:pt idx="65">
                  <c:v>56.453000000000003</c:v>
                </c:pt>
                <c:pt idx="66">
                  <c:v>56.343000000000004</c:v>
                </c:pt>
                <c:pt idx="67">
                  <c:v>56.542000000000002</c:v>
                </c:pt>
                <c:pt idx="68">
                  <c:v>55.743000000000002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1C4-4DA6-A797-56246B1DD079}"/>
            </c:ext>
          </c:extLst>
        </c:ser>
        <c:ser>
          <c:idx val="0"/>
          <c:order val="1"/>
          <c:tx>
            <c:strRef>
              <c:f>Datos!$AC$6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9525">
              <a:solidFill>
                <a:srgbClr val="FF0000"/>
              </a:solidFill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Datos!$AC$175:$AC$246</c:f>
              <c:numCache>
                <c:formatCode>0.0</c:formatCode>
                <c:ptCount val="69"/>
                <c:pt idx="0">
                  <c:v>52.893464221078702</c:v>
                </c:pt>
                <c:pt idx="1">
                  <c:v>52.780639271138199</c:v>
                </c:pt>
                <c:pt idx="2">
                  <c:v>52.962665796562902</c:v>
                </c:pt>
                <c:pt idx="3">
                  <c:v>53.401967875513698</c:v>
                </c:pt>
                <c:pt idx="4">
                  <c:v>54.039027577092902</c:v>
                </c:pt>
                <c:pt idx="5">
                  <c:v>54.7158813085208</c:v>
                </c:pt>
                <c:pt idx="6">
                  <c:v>55.275805468365199</c:v>
                </c:pt>
                <c:pt idx="7">
                  <c:v>55.556005045345799</c:v>
                </c:pt>
                <c:pt idx="8">
                  <c:v>55.469510554607602</c:v>
                </c:pt>
                <c:pt idx="9">
                  <c:v>55.120516626964097</c:v>
                </c:pt>
                <c:pt idx="10">
                  <c:v>54.764246683886199</c:v>
                </c:pt>
                <c:pt idx="11">
                  <c:v>54.622439274787602</c:v>
                </c:pt>
                <c:pt idx="12">
                  <c:v>54.762736838501603</c:v>
                </c:pt>
                <c:pt idx="13">
                  <c:v>55.025732438606198</c:v>
                </c:pt>
                <c:pt idx="14">
                  <c:v>55.0963251734319</c:v>
                </c:pt>
                <c:pt idx="15">
                  <c:v>54.802478778668601</c:v>
                </c:pt>
                <c:pt idx="16">
                  <c:v>54.1662570709614</c:v>
                </c:pt>
                <c:pt idx="17">
                  <c:v>53.3431079058237</c:v>
                </c:pt>
                <c:pt idx="18">
                  <c:v>52.542139263194201</c:v>
                </c:pt>
                <c:pt idx="19">
                  <c:v>51.946270901214</c:v>
                </c:pt>
                <c:pt idx="20">
                  <c:v>51.655557542626099</c:v>
                </c:pt>
                <c:pt idx="21">
                  <c:v>51.537002719941398</c:v>
                </c:pt>
                <c:pt idx="22">
                  <c:v>51.330294754706102</c:v>
                </c:pt>
                <c:pt idx="23">
                  <c:v>50.8089878733539</c:v>
                </c:pt>
                <c:pt idx="24">
                  <c:v>49.893493600419298</c:v>
                </c:pt>
                <c:pt idx="25">
                  <c:v>48.559146329769099</c:v>
                </c:pt>
                <c:pt idx="26">
                  <c:v>46.959648571637999</c:v>
                </c:pt>
                <c:pt idx="27">
                  <c:v>45.291730821823499</c:v>
                </c:pt>
                <c:pt idx="28">
                  <c:v>43.766998883773603</c:v>
                </c:pt>
                <c:pt idx="29">
                  <c:v>42.620357796351101</c:v>
                </c:pt>
                <c:pt idx="30">
                  <c:v>41.981560749219099</c:v>
                </c:pt>
                <c:pt idx="31">
                  <c:v>41.821493592095699</c:v>
                </c:pt>
                <c:pt idx="32">
                  <c:v>42.062232247891899</c:v>
                </c:pt>
                <c:pt idx="33">
                  <c:v>42.645959017224598</c:v>
                </c:pt>
                <c:pt idx="34">
                  <c:v>43.529400261464197</c:v>
                </c:pt>
                <c:pt idx="35">
                  <c:v>44.6473993647502</c:v>
                </c:pt>
                <c:pt idx="36">
                  <c:v>45.982036296545701</c:v>
                </c:pt>
                <c:pt idx="37">
                  <c:v>47.542632775764702</c:v>
                </c:pt>
                <c:pt idx="38">
                  <c:v>49.234797101374902</c:v>
                </c:pt>
                <c:pt idx="39">
                  <c:v>50.885658032435501</c:v>
                </c:pt>
                <c:pt idx="40">
                  <c:v>52.302737757992602</c:v>
                </c:pt>
                <c:pt idx="41">
                  <c:v>53.377845483021503</c:v>
                </c:pt>
                <c:pt idx="42">
                  <c:v>54.127987663108897</c:v>
                </c:pt>
                <c:pt idx="43">
                  <c:v>54.669402346974699</c:v>
                </c:pt>
                <c:pt idx="44">
                  <c:v>55.107357073083598</c:v>
                </c:pt>
                <c:pt idx="45">
                  <c:v>55.4429145677001</c:v>
                </c:pt>
                <c:pt idx="46">
                  <c:v>55.666985013217399</c:v>
                </c:pt>
                <c:pt idx="47">
                  <c:v>55.724244915264102</c:v>
                </c:pt>
                <c:pt idx="48">
                  <c:v>55.619229137950697</c:v>
                </c:pt>
                <c:pt idx="49">
                  <c:v>55.426264473197499</c:v>
                </c:pt>
                <c:pt idx="50">
                  <c:v>55.254857014575002</c:v>
                </c:pt>
                <c:pt idx="51">
                  <c:v>55.178302317223498</c:v>
                </c:pt>
                <c:pt idx="52">
                  <c:v>55.135592005926199</c:v>
                </c:pt>
                <c:pt idx="53">
                  <c:v>55.0216528480994</c:v>
                </c:pt>
                <c:pt idx="54">
                  <c:v>54.695268992617301</c:v>
                </c:pt>
                <c:pt idx="55">
                  <c:v>54.161161714479</c:v>
                </c:pt>
                <c:pt idx="56">
                  <c:v>53.571775187706997</c:v>
                </c:pt>
                <c:pt idx="57">
                  <c:v>53.101630345292698</c:v>
                </c:pt>
                <c:pt idx="58">
                  <c:v>52.873398368659203</c:v>
                </c:pt>
                <c:pt idx="59">
                  <c:v>52.945681298827502</c:v>
                </c:pt>
                <c:pt idx="60">
                  <c:v>53.321827293045402</c:v>
                </c:pt>
                <c:pt idx="61">
                  <c:v>53.893930597240903</c:v>
                </c:pt>
                <c:pt idx="62">
                  <c:v>54.577005934068197</c:v>
                </c:pt>
                <c:pt idx="63">
                  <c:v>55.2622082228661</c:v>
                </c:pt>
                <c:pt idx="64">
                  <c:v>55.821717028696703</c:v>
                </c:pt>
                <c:pt idx="65">
                  <c:v>56.182937193088101</c:v>
                </c:pt>
                <c:pt idx="66">
                  <c:v>56.321269885687101</c:v>
                </c:pt>
                <c:pt idx="67">
                  <c:v>56.271147849460398</c:v>
                </c:pt>
                <c:pt idx="68">
                  <c:v>56.094021848767603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1C4-4DA6-A797-56246B1DD07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65226688"/>
        <c:axId val="512822688"/>
      </c:lineChart>
      <c:catAx>
        <c:axId val="465226688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700"/>
            </a:pPr>
            <a:endParaRPr lang="es-MX"/>
          </a:p>
        </c:txPr>
        <c:crossAx val="512822688"/>
        <c:crossesAt val="50"/>
        <c:auto val="1"/>
        <c:lblAlgn val="ctr"/>
        <c:lblOffset val="50"/>
        <c:tickLblSkip val="4"/>
        <c:tickMarkSkip val="12"/>
        <c:noMultiLvlLbl val="1"/>
      </c:catAx>
      <c:valAx>
        <c:axId val="512822688"/>
        <c:scaling>
          <c:orientation val="minMax"/>
          <c:max val="60"/>
          <c:min val="35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#,##0_ ;[Red]\-#,##0\ 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700"/>
            </a:pPr>
            <a:endParaRPr lang="es-MX"/>
          </a:p>
        </c:txPr>
        <c:crossAx val="465226688"/>
        <c:crosses val="autoZero"/>
        <c:crossBetween val="between"/>
        <c:majorUnit val="5"/>
      </c:valAx>
      <c:spPr>
        <a:noFill/>
        <a:ln w="0">
          <a:solidFill>
            <a:schemeClr val="bg1">
              <a:lumMod val="50000"/>
            </a:schemeClr>
          </a:solidFill>
        </a:ln>
      </c:spPr>
    </c:plotArea>
    <c:legend>
      <c:legendPos val="r"/>
      <c:layout>
        <c:manualLayout>
          <c:xMode val="edge"/>
          <c:yMode val="edge"/>
          <c:x val="5.9069772827269988E-2"/>
          <c:y val="0.946713491161425"/>
          <c:w val="0.88181964232671406"/>
          <c:h val="5.3286423517454364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800"/>
          </a:pPr>
          <a:endParaRPr lang="es-MX"/>
        </a:p>
      </c:txPr>
    </c:legend>
    <c:plotVisOnly val="1"/>
    <c:dispBlanksAs val="gap"/>
    <c:showDLblsOverMax val="0"/>
  </c:chart>
  <c:spPr>
    <a:noFill/>
    <a:ln w="6350">
      <a:solidFill>
        <a:srgbClr val="000000">
          <a:alpha val="95000"/>
        </a:srgbClr>
      </a:solidFill>
    </a:ln>
    <a:effectLst>
      <a:outerShdw dist="16510" dir="2700000" algn="tl" rotWithShape="0">
        <a:schemeClr val="tx1"/>
      </a:outerShdw>
    </a:effectLst>
  </c:spPr>
  <c:txPr>
    <a:bodyPr/>
    <a:lstStyle/>
    <a:p>
      <a:pPr>
        <a:defRPr sz="7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5844869042763604E-2"/>
          <c:y val="4.1829794854448134E-2"/>
          <c:w val="0.91277806917975435"/>
          <c:h val="0.81415685993223252"/>
        </c:manualLayout>
      </c:layout>
      <c:lineChart>
        <c:grouping val="standard"/>
        <c:varyColors val="0"/>
        <c:ser>
          <c:idx val="2"/>
          <c:order val="0"/>
          <c:tx>
            <c:strRef>
              <c:f>Datos!$AB$6</c:f>
              <c:strCache>
                <c:ptCount val="1"/>
                <c:pt idx="0">
                  <c:v>Serie original</c:v>
                </c:pt>
              </c:strCache>
            </c:strRef>
          </c:tx>
          <c:spPr>
            <a:ln w="19050">
              <a:solidFill>
                <a:srgbClr val="4A7EBB"/>
              </a:solidFill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Datos!$AP$175:$AP$246</c:f>
              <c:numCache>
                <c:formatCode>0.0</c:formatCode>
                <c:ptCount val="69"/>
                <c:pt idx="0">
                  <c:v>46.667999999999999</c:v>
                </c:pt>
                <c:pt idx="1">
                  <c:v>46.759</c:v>
                </c:pt>
                <c:pt idx="2">
                  <c:v>47.204999999999998</c:v>
                </c:pt>
                <c:pt idx="3">
                  <c:v>47.753</c:v>
                </c:pt>
                <c:pt idx="4">
                  <c:v>46.847000000000001</c:v>
                </c:pt>
                <c:pt idx="5">
                  <c:v>45.677</c:v>
                </c:pt>
                <c:pt idx="6">
                  <c:v>50.816000000000003</c:v>
                </c:pt>
                <c:pt idx="7">
                  <c:v>51.688000000000002</c:v>
                </c:pt>
                <c:pt idx="8">
                  <c:v>50.189</c:v>
                </c:pt>
                <c:pt idx="9">
                  <c:v>49.951999999999998</c:v>
                </c:pt>
                <c:pt idx="10">
                  <c:v>48.406999999999996</c:v>
                </c:pt>
                <c:pt idx="11">
                  <c:v>48.911999999999999</c:v>
                </c:pt>
                <c:pt idx="12">
                  <c:v>51.53</c:v>
                </c:pt>
                <c:pt idx="13">
                  <c:v>51.915999999999997</c:v>
                </c:pt>
                <c:pt idx="14">
                  <c:v>51.779000000000003</c:v>
                </c:pt>
                <c:pt idx="15">
                  <c:v>51.682000000000002</c:v>
                </c:pt>
                <c:pt idx="16">
                  <c:v>49.999000000000002</c:v>
                </c:pt>
                <c:pt idx="17">
                  <c:v>48.883000000000003</c:v>
                </c:pt>
                <c:pt idx="18">
                  <c:v>48.188000000000002</c:v>
                </c:pt>
                <c:pt idx="19">
                  <c:v>47.677</c:v>
                </c:pt>
                <c:pt idx="20">
                  <c:v>48.247999999999998</c:v>
                </c:pt>
                <c:pt idx="21">
                  <c:v>46.48</c:v>
                </c:pt>
                <c:pt idx="22">
                  <c:v>46.328000000000003</c:v>
                </c:pt>
                <c:pt idx="23">
                  <c:v>46.377000000000002</c:v>
                </c:pt>
                <c:pt idx="24">
                  <c:v>44.718000000000004</c:v>
                </c:pt>
                <c:pt idx="25">
                  <c:v>47.720999999999997</c:v>
                </c:pt>
                <c:pt idx="26">
                  <c:v>42.463000000000001</c:v>
                </c:pt>
                <c:pt idx="27">
                  <c:v>33.156999999999996</c:v>
                </c:pt>
                <c:pt idx="28">
                  <c:v>31.510999999999999</c:v>
                </c:pt>
                <c:pt idx="29">
                  <c:v>35.286999999999999</c:v>
                </c:pt>
                <c:pt idx="30">
                  <c:v>36.719000000000001</c:v>
                </c:pt>
                <c:pt idx="31">
                  <c:v>35.371000000000002</c:v>
                </c:pt>
                <c:pt idx="32">
                  <c:v>36.024999999999999</c:v>
                </c:pt>
                <c:pt idx="33">
                  <c:v>37.661000000000001</c:v>
                </c:pt>
                <c:pt idx="34">
                  <c:v>36.695</c:v>
                </c:pt>
                <c:pt idx="35">
                  <c:v>38.085999999999999</c:v>
                </c:pt>
                <c:pt idx="36">
                  <c:v>37.146000000000001</c:v>
                </c:pt>
                <c:pt idx="37">
                  <c:v>39.048999999999999</c:v>
                </c:pt>
                <c:pt idx="38">
                  <c:v>42.91</c:v>
                </c:pt>
                <c:pt idx="39">
                  <c:v>45.307000000000002</c:v>
                </c:pt>
                <c:pt idx="40">
                  <c:v>47.826999999999998</c:v>
                </c:pt>
                <c:pt idx="41">
                  <c:v>50.371000000000002</c:v>
                </c:pt>
                <c:pt idx="42">
                  <c:v>49.527999999999999</c:v>
                </c:pt>
                <c:pt idx="43">
                  <c:v>48.061999999999998</c:v>
                </c:pt>
                <c:pt idx="44">
                  <c:v>49.698</c:v>
                </c:pt>
                <c:pt idx="45">
                  <c:v>51.189</c:v>
                </c:pt>
                <c:pt idx="46">
                  <c:v>52.84</c:v>
                </c:pt>
                <c:pt idx="47">
                  <c:v>55.435000000000002</c:v>
                </c:pt>
                <c:pt idx="48">
                  <c:v>49.545999999999999</c:v>
                </c:pt>
                <c:pt idx="49">
                  <c:v>50.459000000000003</c:v>
                </c:pt>
                <c:pt idx="50">
                  <c:v>51.031999999999996</c:v>
                </c:pt>
                <c:pt idx="51">
                  <c:v>53.496000000000002</c:v>
                </c:pt>
                <c:pt idx="52">
                  <c:v>52.901000000000003</c:v>
                </c:pt>
                <c:pt idx="53">
                  <c:v>49.078000000000003</c:v>
                </c:pt>
                <c:pt idx="54">
                  <c:v>47.814999999999998</c:v>
                </c:pt>
                <c:pt idx="55">
                  <c:v>44.386000000000003</c:v>
                </c:pt>
                <c:pt idx="56">
                  <c:v>43.104999999999997</c:v>
                </c:pt>
                <c:pt idx="57">
                  <c:v>47.637999999999998</c:v>
                </c:pt>
                <c:pt idx="58">
                  <c:v>47.585000000000001</c:v>
                </c:pt>
                <c:pt idx="59">
                  <c:v>43.274999999999999</c:v>
                </c:pt>
                <c:pt idx="60">
                  <c:v>43.893999999999998</c:v>
                </c:pt>
                <c:pt idx="61">
                  <c:v>49.515000000000001</c:v>
                </c:pt>
                <c:pt idx="62">
                  <c:v>54.173999999999999</c:v>
                </c:pt>
                <c:pt idx="63">
                  <c:v>54.988999999999997</c:v>
                </c:pt>
                <c:pt idx="64">
                  <c:v>56.923000000000002</c:v>
                </c:pt>
                <c:pt idx="65">
                  <c:v>55.326999999999998</c:v>
                </c:pt>
                <c:pt idx="66">
                  <c:v>58.634999999999998</c:v>
                </c:pt>
                <c:pt idx="67">
                  <c:v>58.631</c:v>
                </c:pt>
                <c:pt idx="68">
                  <c:v>58.747999999999998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F06-41CF-AC0B-A05DDADADBEC}"/>
            </c:ext>
          </c:extLst>
        </c:ser>
        <c:ser>
          <c:idx val="0"/>
          <c:order val="1"/>
          <c:tx>
            <c:strRef>
              <c:f>Datos!$AQ$6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9525">
              <a:solidFill>
                <a:srgbClr val="FF0000"/>
              </a:solidFill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Datos!$AQ$175:$AQ$246</c:f>
              <c:numCache>
                <c:formatCode>0.0</c:formatCode>
                <c:ptCount val="69"/>
                <c:pt idx="0">
                  <c:v>47.409321985200798</c:v>
                </c:pt>
                <c:pt idx="1">
                  <c:v>46.990509228387701</c:v>
                </c:pt>
                <c:pt idx="2">
                  <c:v>46.980561728960701</c:v>
                </c:pt>
                <c:pt idx="3">
                  <c:v>47.418200437553899</c:v>
                </c:pt>
                <c:pt idx="4">
                  <c:v>48.232817661058299</c:v>
                </c:pt>
                <c:pt idx="5">
                  <c:v>49.178983305986598</c:v>
                </c:pt>
                <c:pt idx="6">
                  <c:v>49.900250680824897</c:v>
                </c:pt>
                <c:pt idx="7">
                  <c:v>50.208336124622299</c:v>
                </c:pt>
                <c:pt idx="8">
                  <c:v>50.171001952823602</c:v>
                </c:pt>
                <c:pt idx="9">
                  <c:v>49.978823588949801</c:v>
                </c:pt>
                <c:pt idx="10">
                  <c:v>49.906964816827397</c:v>
                </c:pt>
                <c:pt idx="11">
                  <c:v>50.148759221087403</c:v>
                </c:pt>
                <c:pt idx="12">
                  <c:v>50.682542391045502</c:v>
                </c:pt>
                <c:pt idx="13">
                  <c:v>51.2098357346987</c:v>
                </c:pt>
                <c:pt idx="14">
                  <c:v>51.375452845915703</c:v>
                </c:pt>
                <c:pt idx="15">
                  <c:v>51.046380626339598</c:v>
                </c:pt>
                <c:pt idx="16">
                  <c:v>50.319615503691402</c:v>
                </c:pt>
                <c:pt idx="17">
                  <c:v>49.401417718504398</c:v>
                </c:pt>
                <c:pt idx="18">
                  <c:v>48.5691722433913</c:v>
                </c:pt>
                <c:pt idx="19">
                  <c:v>47.9394938126011</c:v>
                </c:pt>
                <c:pt idx="20">
                  <c:v>47.452134967259198</c:v>
                </c:pt>
                <c:pt idx="21">
                  <c:v>47.024154669443199</c:v>
                </c:pt>
                <c:pt idx="22">
                  <c:v>46.531159448128697</c:v>
                </c:pt>
                <c:pt idx="23">
                  <c:v>45.841226852170003</c:v>
                </c:pt>
                <c:pt idx="24">
                  <c:v>44.802475985861101</c:v>
                </c:pt>
                <c:pt idx="25">
                  <c:v>43.380654151641899</c:v>
                </c:pt>
                <c:pt idx="26">
                  <c:v>41.646869653565197</c:v>
                </c:pt>
                <c:pt idx="27">
                  <c:v>39.760907339721498</c:v>
                </c:pt>
                <c:pt idx="28">
                  <c:v>38.020209352916702</c:v>
                </c:pt>
                <c:pt idx="29">
                  <c:v>36.718240816988299</c:v>
                </c:pt>
                <c:pt idx="30">
                  <c:v>36.020168770738401</c:v>
                </c:pt>
                <c:pt idx="31">
                  <c:v>35.876523575187399</c:v>
                </c:pt>
                <c:pt idx="32">
                  <c:v>36.0724760819406</c:v>
                </c:pt>
                <c:pt idx="33">
                  <c:v>36.398665254775104</c:v>
                </c:pt>
                <c:pt idx="34">
                  <c:v>36.803028701907898</c:v>
                </c:pt>
                <c:pt idx="35">
                  <c:v>37.429728744939297</c:v>
                </c:pt>
                <c:pt idx="36">
                  <c:v>38.556103596094303</c:v>
                </c:pt>
                <c:pt idx="37">
                  <c:v>40.357432709979797</c:v>
                </c:pt>
                <c:pt idx="38">
                  <c:v>42.646874800394301</c:v>
                </c:pt>
                <c:pt idx="39">
                  <c:v>45.051128244820198</c:v>
                </c:pt>
                <c:pt idx="40">
                  <c:v>47.099140692563601</c:v>
                </c:pt>
                <c:pt idx="41">
                  <c:v>48.548733510967999</c:v>
                </c:pt>
                <c:pt idx="42">
                  <c:v>49.472712512168897</c:v>
                </c:pt>
                <c:pt idx="43">
                  <c:v>50.049027260127197</c:v>
                </c:pt>
                <c:pt idx="44">
                  <c:v>50.495194186371201</c:v>
                </c:pt>
                <c:pt idx="45">
                  <c:v>50.8408034111647</c:v>
                </c:pt>
                <c:pt idx="46">
                  <c:v>51.0903871374435</c:v>
                </c:pt>
                <c:pt idx="47">
                  <c:v>51.320979969354497</c:v>
                </c:pt>
                <c:pt idx="48">
                  <c:v>51.524829660595302</c:v>
                </c:pt>
                <c:pt idx="49">
                  <c:v>51.687961235100097</c:v>
                </c:pt>
                <c:pt idx="50">
                  <c:v>51.761687784723001</c:v>
                </c:pt>
                <c:pt idx="51">
                  <c:v>51.530970556236802</c:v>
                </c:pt>
                <c:pt idx="52">
                  <c:v>50.729190450565</c:v>
                </c:pt>
                <c:pt idx="53">
                  <c:v>49.277516045737102</c:v>
                </c:pt>
                <c:pt idx="54">
                  <c:v>47.381609259245401</c:v>
                </c:pt>
                <c:pt idx="55">
                  <c:v>45.549423295215902</c:v>
                </c:pt>
                <c:pt idx="56">
                  <c:v>44.262761449088003</c:v>
                </c:pt>
                <c:pt idx="57">
                  <c:v>43.8846892587488</c:v>
                </c:pt>
                <c:pt idx="58">
                  <c:v>44.503192054749903</c:v>
                </c:pt>
                <c:pt idx="59">
                  <c:v>46.004583607131899</c:v>
                </c:pt>
                <c:pt idx="60">
                  <c:v>48.076210067167104</c:v>
                </c:pt>
                <c:pt idx="61">
                  <c:v>50.378642840166897</c:v>
                </c:pt>
                <c:pt idx="62">
                  <c:v>52.595434533607197</c:v>
                </c:pt>
                <c:pt idx="63">
                  <c:v>54.546284735127998</c:v>
                </c:pt>
                <c:pt idx="64">
                  <c:v>56.097967616347198</c:v>
                </c:pt>
                <c:pt idx="65">
                  <c:v>57.196189088345399</c:v>
                </c:pt>
                <c:pt idx="66">
                  <c:v>57.9169541802992</c:v>
                </c:pt>
                <c:pt idx="67">
                  <c:v>58.379724649514102</c:v>
                </c:pt>
                <c:pt idx="68">
                  <c:v>58.676549559304704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F06-41CF-AC0B-A05DDADADBE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12823080"/>
        <c:axId val="512827784"/>
      </c:lineChart>
      <c:catAx>
        <c:axId val="512823080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700"/>
            </a:pPr>
            <a:endParaRPr lang="es-MX"/>
          </a:p>
        </c:txPr>
        <c:crossAx val="512827784"/>
        <c:crossesAt val="50"/>
        <c:auto val="1"/>
        <c:lblAlgn val="ctr"/>
        <c:lblOffset val="50"/>
        <c:tickLblSkip val="4"/>
        <c:tickMarkSkip val="12"/>
        <c:noMultiLvlLbl val="1"/>
      </c:catAx>
      <c:valAx>
        <c:axId val="512827784"/>
        <c:scaling>
          <c:orientation val="minMax"/>
          <c:max val="62"/>
          <c:min val="30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#,##0_ ;[Red]\-#,##0\ 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700"/>
            </a:pPr>
            <a:endParaRPr lang="es-MX"/>
          </a:p>
        </c:txPr>
        <c:crossAx val="512823080"/>
        <c:crosses val="autoZero"/>
        <c:crossBetween val="between"/>
        <c:majorUnit val="5"/>
      </c:valAx>
      <c:spPr>
        <a:noFill/>
        <a:ln w="0">
          <a:solidFill>
            <a:schemeClr val="bg1">
              <a:lumMod val="50000"/>
            </a:schemeClr>
          </a:solidFill>
        </a:ln>
      </c:spPr>
    </c:plotArea>
    <c:legend>
      <c:legendPos val="r"/>
      <c:layout>
        <c:manualLayout>
          <c:xMode val="edge"/>
          <c:yMode val="edge"/>
          <c:x val="5.9069735006973524E-2"/>
          <c:y val="0.94671349206349209"/>
          <c:w val="0.88181964232671406"/>
          <c:h val="5.3286423517454364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800"/>
          </a:pPr>
          <a:endParaRPr lang="es-MX"/>
        </a:p>
      </c:txPr>
    </c:legend>
    <c:plotVisOnly val="1"/>
    <c:dispBlanksAs val="gap"/>
    <c:showDLblsOverMax val="0"/>
  </c:chart>
  <c:spPr>
    <a:noFill/>
    <a:ln w="6350">
      <a:solidFill>
        <a:srgbClr val="000000">
          <a:alpha val="95000"/>
        </a:srgbClr>
      </a:solidFill>
    </a:ln>
    <a:effectLst>
      <a:outerShdw dist="16510" dir="2700000" algn="tl" rotWithShape="0">
        <a:schemeClr val="tx1"/>
      </a:outerShdw>
    </a:effectLst>
  </c:spPr>
  <c:txPr>
    <a:bodyPr/>
    <a:lstStyle/>
    <a:p>
      <a:pPr>
        <a:defRPr sz="7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1078570669017205E-2"/>
          <c:y val="3.9415522226147387E-2"/>
          <c:w val="0.88876883780332061"/>
          <c:h val="0.76413444070199443"/>
        </c:manualLayout>
      </c:layout>
      <c:lineChart>
        <c:grouping val="standard"/>
        <c:varyColors val="0"/>
        <c:ser>
          <c:idx val="0"/>
          <c:order val="0"/>
          <c:tx>
            <c:strRef>
              <c:f>Datos!$C$3</c:f>
              <c:strCache>
                <c:ptCount val="1"/>
                <c:pt idx="0">
                  <c:v>ICE Manufacturero</c:v>
                </c:pt>
              </c:strCache>
            </c:strRef>
          </c:tx>
          <c:spPr>
            <a:ln w="19050">
              <a:solidFill>
                <a:srgbClr val="FF0000"/>
              </a:solidFill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Datos!$D$175:$D$246</c:f>
              <c:numCache>
                <c:formatCode>0.0</c:formatCode>
                <c:ptCount val="69"/>
                <c:pt idx="0">
                  <c:v>50.751107079741899</c:v>
                </c:pt>
                <c:pt idx="1">
                  <c:v>51.038956603713999</c:v>
                </c:pt>
                <c:pt idx="2">
                  <c:v>51.300738999771198</c:v>
                </c:pt>
                <c:pt idx="3">
                  <c:v>51.527309459249999</c:v>
                </c:pt>
                <c:pt idx="4">
                  <c:v>51.714028348704403</c:v>
                </c:pt>
                <c:pt idx="5">
                  <c:v>51.938410745387102</c:v>
                </c:pt>
                <c:pt idx="6">
                  <c:v>52.2522468419712</c:v>
                </c:pt>
                <c:pt idx="7">
                  <c:v>52.465354669930299</c:v>
                </c:pt>
                <c:pt idx="8">
                  <c:v>52.310406336570203</c:v>
                </c:pt>
                <c:pt idx="9">
                  <c:v>51.935573356842802</c:v>
                </c:pt>
                <c:pt idx="10">
                  <c:v>51.760253834132001</c:v>
                </c:pt>
                <c:pt idx="11">
                  <c:v>51.985519670374103</c:v>
                </c:pt>
                <c:pt idx="12">
                  <c:v>52.497071917490601</c:v>
                </c:pt>
                <c:pt idx="13">
                  <c:v>53.088015033614397</c:v>
                </c:pt>
                <c:pt idx="14">
                  <c:v>53.396216549286798</c:v>
                </c:pt>
                <c:pt idx="15">
                  <c:v>53.259045615461602</c:v>
                </c:pt>
                <c:pt idx="16">
                  <c:v>52.787265345716101</c:v>
                </c:pt>
                <c:pt idx="17">
                  <c:v>52.184758726254898</c:v>
                </c:pt>
                <c:pt idx="18">
                  <c:v>51.544446559839798</c:v>
                </c:pt>
                <c:pt idx="19">
                  <c:v>50.999401591372703</c:v>
                </c:pt>
                <c:pt idx="20">
                  <c:v>50.606633307663799</c:v>
                </c:pt>
                <c:pt idx="21">
                  <c:v>50.325247275293599</c:v>
                </c:pt>
                <c:pt idx="22">
                  <c:v>49.9350713452015</c:v>
                </c:pt>
                <c:pt idx="23">
                  <c:v>49.274139925758398</c:v>
                </c:pt>
                <c:pt idx="24">
                  <c:v>48.081461449613798</c:v>
                </c:pt>
                <c:pt idx="25">
                  <c:v>46.231541368526102</c:v>
                </c:pt>
                <c:pt idx="26">
                  <c:v>43.910591751820199</c:v>
                </c:pt>
                <c:pt idx="27">
                  <c:v>41.617799144882397</c:v>
                </c:pt>
                <c:pt idx="28">
                  <c:v>39.830715381879301</c:v>
                </c:pt>
                <c:pt idx="29">
                  <c:v>38.893132736800801</c:v>
                </c:pt>
                <c:pt idx="30">
                  <c:v>38.872340947931001</c:v>
                </c:pt>
                <c:pt idx="31">
                  <c:v>39.551193273140399</c:v>
                </c:pt>
                <c:pt idx="32">
                  <c:v>40.555679873872698</c:v>
                </c:pt>
                <c:pt idx="33">
                  <c:v>41.587578778502099</c:v>
                </c:pt>
                <c:pt idx="34">
                  <c:v>42.428816710285197</c:v>
                </c:pt>
                <c:pt idx="35">
                  <c:v>43.023266764013698</c:v>
                </c:pt>
                <c:pt idx="36">
                  <c:v>43.669398665836503</c:v>
                </c:pt>
                <c:pt idx="37">
                  <c:v>44.681739717873903</c:v>
                </c:pt>
                <c:pt idx="38">
                  <c:v>46.166180279752602</c:v>
                </c:pt>
                <c:pt idx="39">
                  <c:v>48.003021529664103</c:v>
                </c:pt>
                <c:pt idx="40">
                  <c:v>49.763690289760298</c:v>
                </c:pt>
                <c:pt idx="41">
                  <c:v>50.983540532988201</c:v>
                </c:pt>
                <c:pt idx="42">
                  <c:v>51.529591817998998</c:v>
                </c:pt>
                <c:pt idx="43">
                  <c:v>51.702829424167298</c:v>
                </c:pt>
                <c:pt idx="44">
                  <c:v>51.893807339786598</c:v>
                </c:pt>
                <c:pt idx="45">
                  <c:v>52.1996401465262</c:v>
                </c:pt>
                <c:pt idx="46">
                  <c:v>52.5696222607517</c:v>
                </c:pt>
                <c:pt idx="47">
                  <c:v>52.7171182822646</c:v>
                </c:pt>
                <c:pt idx="48">
                  <c:v>52.556487164016303</c:v>
                </c:pt>
                <c:pt idx="49">
                  <c:v>52.297951792012299</c:v>
                </c:pt>
                <c:pt idx="50">
                  <c:v>52.173778033010102</c:v>
                </c:pt>
                <c:pt idx="51">
                  <c:v>52.142621084247402</c:v>
                </c:pt>
                <c:pt idx="52">
                  <c:v>52.0945288830736</c:v>
                </c:pt>
                <c:pt idx="53">
                  <c:v>51.952545455432997</c:v>
                </c:pt>
                <c:pt idx="54">
                  <c:v>51.721558759935597</c:v>
                </c:pt>
                <c:pt idx="55">
                  <c:v>51.387580167269</c:v>
                </c:pt>
                <c:pt idx="56">
                  <c:v>51.028353975324002</c:v>
                </c:pt>
                <c:pt idx="57">
                  <c:v>50.658797212274898</c:v>
                </c:pt>
                <c:pt idx="58">
                  <c:v>50.462541809625002</c:v>
                </c:pt>
                <c:pt idx="59">
                  <c:v>50.7132441524708</c:v>
                </c:pt>
                <c:pt idx="60">
                  <c:v>51.423080520057702</c:v>
                </c:pt>
                <c:pt idx="61">
                  <c:v>52.269041192267601</c:v>
                </c:pt>
                <c:pt idx="62">
                  <c:v>52.944575736598502</c:v>
                </c:pt>
                <c:pt idx="63">
                  <c:v>53.294700417813601</c:v>
                </c:pt>
                <c:pt idx="64">
                  <c:v>53.415696884599598</c:v>
                </c:pt>
                <c:pt idx="65">
                  <c:v>53.4957913979446</c:v>
                </c:pt>
                <c:pt idx="66">
                  <c:v>53.617775922221902</c:v>
                </c:pt>
                <c:pt idx="67">
                  <c:v>53.7202340578663</c:v>
                </c:pt>
                <c:pt idx="68">
                  <c:v>53.767063215839599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E51-41C9-918C-9245ECEAC052}"/>
            </c:ext>
          </c:extLst>
        </c:ser>
        <c:ser>
          <c:idx val="1"/>
          <c:order val="1"/>
          <c:tx>
            <c:strRef>
              <c:f>Datos!$O$3</c:f>
              <c:strCache>
                <c:ptCount val="1"/>
                <c:pt idx="0">
                  <c:v>ICE Construcción</c:v>
                </c:pt>
              </c:strCache>
            </c:strRef>
          </c:tx>
          <c:spPr>
            <a:ln w="19050" cmpd="thinThick">
              <a:solidFill>
                <a:srgbClr val="33CC33"/>
              </a:solidFill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Datos!$P$175:$P$246</c:f>
              <c:numCache>
                <c:formatCode>0.0</c:formatCode>
                <c:ptCount val="69"/>
                <c:pt idx="0">
                  <c:v>46.053521287100502</c:v>
                </c:pt>
                <c:pt idx="1">
                  <c:v>45.854303975558402</c:v>
                </c:pt>
                <c:pt idx="2">
                  <c:v>45.940940571962201</c:v>
                </c:pt>
                <c:pt idx="3">
                  <c:v>46.229608617197101</c:v>
                </c:pt>
                <c:pt idx="4">
                  <c:v>46.687966349792298</c:v>
                </c:pt>
                <c:pt idx="5">
                  <c:v>47.2228695148669</c:v>
                </c:pt>
                <c:pt idx="6">
                  <c:v>47.776569163224799</c:v>
                </c:pt>
                <c:pt idx="7">
                  <c:v>48.224605142233798</c:v>
                </c:pt>
                <c:pt idx="8">
                  <c:v>48.494505377243001</c:v>
                </c:pt>
                <c:pt idx="9">
                  <c:v>48.547968801880998</c:v>
                </c:pt>
                <c:pt idx="10">
                  <c:v>48.407570383316099</c:v>
                </c:pt>
                <c:pt idx="11">
                  <c:v>48.1851293958985</c:v>
                </c:pt>
                <c:pt idx="12">
                  <c:v>48.029137509810099</c:v>
                </c:pt>
                <c:pt idx="13">
                  <c:v>48.0119561535572</c:v>
                </c:pt>
                <c:pt idx="14">
                  <c:v>48.0670819178222</c:v>
                </c:pt>
                <c:pt idx="15">
                  <c:v>48.083247558942602</c:v>
                </c:pt>
                <c:pt idx="16">
                  <c:v>48.017188075058598</c:v>
                </c:pt>
                <c:pt idx="17">
                  <c:v>47.821786758067802</c:v>
                </c:pt>
                <c:pt idx="18">
                  <c:v>47.578064360562003</c:v>
                </c:pt>
                <c:pt idx="19">
                  <c:v>47.347728204599399</c:v>
                </c:pt>
                <c:pt idx="20">
                  <c:v>47.190936715885698</c:v>
                </c:pt>
                <c:pt idx="21">
                  <c:v>47.056074089861099</c:v>
                </c:pt>
                <c:pt idx="22">
                  <c:v>46.831547039684501</c:v>
                </c:pt>
                <c:pt idx="23">
                  <c:v>46.395585667699002</c:v>
                </c:pt>
                <c:pt idx="24">
                  <c:v>45.696125765551301</c:v>
                </c:pt>
                <c:pt idx="25">
                  <c:v>44.752560262000401</c:v>
                </c:pt>
                <c:pt idx="26">
                  <c:v>43.621769893253202</c:v>
                </c:pt>
                <c:pt idx="27">
                  <c:v>42.395168001764098</c:v>
                </c:pt>
                <c:pt idx="28">
                  <c:v>41.225625653736799</c:v>
                </c:pt>
                <c:pt idx="29">
                  <c:v>40.321248597605702</c:v>
                </c:pt>
                <c:pt idx="30">
                  <c:v>39.8243170730751</c:v>
                </c:pt>
                <c:pt idx="31">
                  <c:v>39.728583442465698</c:v>
                </c:pt>
                <c:pt idx="32">
                  <c:v>39.995894947417703</c:v>
                </c:pt>
                <c:pt idx="33">
                  <c:v>40.519986094332602</c:v>
                </c:pt>
                <c:pt idx="34">
                  <c:v>41.167892868745703</c:v>
                </c:pt>
                <c:pt idx="35">
                  <c:v>41.8113048220686</c:v>
                </c:pt>
                <c:pt idx="36">
                  <c:v>42.4403258191576</c:v>
                </c:pt>
                <c:pt idx="37">
                  <c:v>43.141039155811498</c:v>
                </c:pt>
                <c:pt idx="38">
                  <c:v>44.006530953815798</c:v>
                </c:pt>
                <c:pt idx="39">
                  <c:v>45.016412734344598</c:v>
                </c:pt>
                <c:pt idx="40">
                  <c:v>46.0343014848956</c:v>
                </c:pt>
                <c:pt idx="41">
                  <c:v>46.943231189932902</c:v>
                </c:pt>
                <c:pt idx="42">
                  <c:v>47.7176407935032</c:v>
                </c:pt>
                <c:pt idx="43">
                  <c:v>48.354992325349897</c:v>
                </c:pt>
                <c:pt idx="44">
                  <c:v>48.885744694726398</c:v>
                </c:pt>
                <c:pt idx="45">
                  <c:v>49.383593067804703</c:v>
                </c:pt>
                <c:pt idx="46">
                  <c:v>49.924625375698099</c:v>
                </c:pt>
                <c:pt idx="47">
                  <c:v>50.453912136720902</c:v>
                </c:pt>
                <c:pt idx="48">
                  <c:v>50.8792334066761</c:v>
                </c:pt>
                <c:pt idx="49">
                  <c:v>51.0920696263019</c:v>
                </c:pt>
                <c:pt idx="50">
                  <c:v>51.070286839184902</c:v>
                </c:pt>
                <c:pt idx="51">
                  <c:v>50.879698678256702</c:v>
                </c:pt>
                <c:pt idx="52">
                  <c:v>50.661805205700603</c:v>
                </c:pt>
                <c:pt idx="53">
                  <c:v>50.496458800379202</c:v>
                </c:pt>
                <c:pt idx="54">
                  <c:v>50.4178366309688</c:v>
                </c:pt>
                <c:pt idx="55">
                  <c:v>50.448300151208798</c:v>
                </c:pt>
                <c:pt idx="56">
                  <c:v>50.618840208700298</c:v>
                </c:pt>
                <c:pt idx="57">
                  <c:v>50.851155210173999</c:v>
                </c:pt>
                <c:pt idx="58">
                  <c:v>51.082862945777599</c:v>
                </c:pt>
                <c:pt idx="59">
                  <c:v>51.348265396766898</c:v>
                </c:pt>
                <c:pt idx="60">
                  <c:v>51.655414326292401</c:v>
                </c:pt>
                <c:pt idx="61">
                  <c:v>51.980260418258098</c:v>
                </c:pt>
                <c:pt idx="62">
                  <c:v>52.307680468867403</c:v>
                </c:pt>
                <c:pt idx="63">
                  <c:v>52.577533361896599</c:v>
                </c:pt>
                <c:pt idx="64">
                  <c:v>52.751904797778998</c:v>
                </c:pt>
                <c:pt idx="65">
                  <c:v>52.849468181902203</c:v>
                </c:pt>
                <c:pt idx="66">
                  <c:v>52.9238052064252</c:v>
                </c:pt>
                <c:pt idx="67">
                  <c:v>52.988296975795699</c:v>
                </c:pt>
                <c:pt idx="68">
                  <c:v>53.051595717753102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E51-41C9-918C-9245ECEAC052}"/>
            </c:ext>
          </c:extLst>
        </c:ser>
        <c:ser>
          <c:idx val="2"/>
          <c:order val="2"/>
          <c:tx>
            <c:strRef>
              <c:f>Datos!$AB$3</c:f>
              <c:strCache>
                <c:ptCount val="1"/>
                <c:pt idx="0">
                  <c:v>ICE Comercio</c:v>
                </c:pt>
              </c:strCache>
            </c:strRef>
          </c:tx>
          <c:spPr>
            <a:ln w="19050">
              <a:solidFill>
                <a:srgbClr val="0000FF"/>
              </a:solidFill>
              <a:prstDash val="sysDash"/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Datos!$AC$175:$AC$246</c:f>
              <c:numCache>
                <c:formatCode>0.0</c:formatCode>
                <c:ptCount val="69"/>
                <c:pt idx="0">
                  <c:v>52.893464221078702</c:v>
                </c:pt>
                <c:pt idx="1">
                  <c:v>52.780639271138199</c:v>
                </c:pt>
                <c:pt idx="2">
                  <c:v>52.962665796562902</c:v>
                </c:pt>
                <c:pt idx="3">
                  <c:v>53.401967875513698</c:v>
                </c:pt>
                <c:pt idx="4">
                  <c:v>54.039027577092902</c:v>
                </c:pt>
                <c:pt idx="5">
                  <c:v>54.7158813085208</c:v>
                </c:pt>
                <c:pt idx="6">
                  <c:v>55.275805468365199</c:v>
                </c:pt>
                <c:pt idx="7">
                  <c:v>55.556005045345799</c:v>
                </c:pt>
                <c:pt idx="8">
                  <c:v>55.469510554607602</c:v>
                </c:pt>
                <c:pt idx="9">
                  <c:v>55.120516626964097</c:v>
                </c:pt>
                <c:pt idx="10">
                  <c:v>54.764246683886199</c:v>
                </c:pt>
                <c:pt idx="11">
                  <c:v>54.622439274787602</c:v>
                </c:pt>
                <c:pt idx="12">
                  <c:v>54.762736838501603</c:v>
                </c:pt>
                <c:pt idx="13">
                  <c:v>55.025732438606198</c:v>
                </c:pt>
                <c:pt idx="14">
                  <c:v>55.0963251734319</c:v>
                </c:pt>
                <c:pt idx="15">
                  <c:v>54.802478778668601</c:v>
                </c:pt>
                <c:pt idx="16">
                  <c:v>54.1662570709614</c:v>
                </c:pt>
                <c:pt idx="17">
                  <c:v>53.3431079058237</c:v>
                </c:pt>
                <c:pt idx="18">
                  <c:v>52.542139263194201</c:v>
                </c:pt>
                <c:pt idx="19">
                  <c:v>51.946270901214</c:v>
                </c:pt>
                <c:pt idx="20">
                  <c:v>51.655557542626099</c:v>
                </c:pt>
                <c:pt idx="21">
                  <c:v>51.537002719941398</c:v>
                </c:pt>
                <c:pt idx="22">
                  <c:v>51.330294754706102</c:v>
                </c:pt>
                <c:pt idx="23">
                  <c:v>50.8089878733539</c:v>
                </c:pt>
                <c:pt idx="24">
                  <c:v>49.893493600419298</c:v>
                </c:pt>
                <c:pt idx="25">
                  <c:v>48.559146329769099</c:v>
                </c:pt>
                <c:pt idx="26">
                  <c:v>46.959648571637999</c:v>
                </c:pt>
                <c:pt idx="27">
                  <c:v>45.291730821823499</c:v>
                </c:pt>
                <c:pt idx="28">
                  <c:v>43.766998883773603</c:v>
                </c:pt>
                <c:pt idx="29">
                  <c:v>42.620357796351101</c:v>
                </c:pt>
                <c:pt idx="30">
                  <c:v>41.981560749219099</c:v>
                </c:pt>
                <c:pt idx="31">
                  <c:v>41.821493592095699</c:v>
                </c:pt>
                <c:pt idx="32">
                  <c:v>42.062232247891899</c:v>
                </c:pt>
                <c:pt idx="33">
                  <c:v>42.645959017224598</c:v>
                </c:pt>
                <c:pt idx="34">
                  <c:v>43.529400261464197</c:v>
                </c:pt>
                <c:pt idx="35">
                  <c:v>44.6473993647502</c:v>
                </c:pt>
                <c:pt idx="36">
                  <c:v>45.982036296545701</c:v>
                </c:pt>
                <c:pt idx="37">
                  <c:v>47.542632775764702</c:v>
                </c:pt>
                <c:pt idx="38">
                  <c:v>49.234797101374902</c:v>
                </c:pt>
                <c:pt idx="39">
                  <c:v>50.885658032435501</c:v>
                </c:pt>
                <c:pt idx="40">
                  <c:v>52.302737757992602</c:v>
                </c:pt>
                <c:pt idx="41">
                  <c:v>53.377845483021503</c:v>
                </c:pt>
                <c:pt idx="42">
                  <c:v>54.127987663108897</c:v>
                </c:pt>
                <c:pt idx="43">
                  <c:v>54.669402346974699</c:v>
                </c:pt>
                <c:pt idx="44">
                  <c:v>55.107357073083598</c:v>
                </c:pt>
                <c:pt idx="45">
                  <c:v>55.4429145677001</c:v>
                </c:pt>
                <c:pt idx="46">
                  <c:v>55.666985013217399</c:v>
                </c:pt>
                <c:pt idx="47">
                  <c:v>55.724244915264102</c:v>
                </c:pt>
                <c:pt idx="48">
                  <c:v>55.619229137950697</c:v>
                </c:pt>
                <c:pt idx="49">
                  <c:v>55.426264473197499</c:v>
                </c:pt>
                <c:pt idx="50">
                  <c:v>55.254857014575002</c:v>
                </c:pt>
                <c:pt idx="51">
                  <c:v>55.178302317223498</c:v>
                </c:pt>
                <c:pt idx="52">
                  <c:v>55.135592005926199</c:v>
                </c:pt>
                <c:pt idx="53">
                  <c:v>55.0216528480994</c:v>
                </c:pt>
                <c:pt idx="54">
                  <c:v>54.695268992617301</c:v>
                </c:pt>
                <c:pt idx="55">
                  <c:v>54.161161714479</c:v>
                </c:pt>
                <c:pt idx="56">
                  <c:v>53.571775187706997</c:v>
                </c:pt>
                <c:pt idx="57">
                  <c:v>53.101630345292698</c:v>
                </c:pt>
                <c:pt idx="58">
                  <c:v>52.873398368659203</c:v>
                </c:pt>
                <c:pt idx="59">
                  <c:v>52.945681298827502</c:v>
                </c:pt>
                <c:pt idx="60">
                  <c:v>53.321827293045402</c:v>
                </c:pt>
                <c:pt idx="61">
                  <c:v>53.893930597240903</c:v>
                </c:pt>
                <c:pt idx="62">
                  <c:v>54.577005934068197</c:v>
                </c:pt>
                <c:pt idx="63">
                  <c:v>55.2622082228661</c:v>
                </c:pt>
                <c:pt idx="64">
                  <c:v>55.821717028696703</c:v>
                </c:pt>
                <c:pt idx="65">
                  <c:v>56.182937193088101</c:v>
                </c:pt>
                <c:pt idx="66">
                  <c:v>56.321269885687101</c:v>
                </c:pt>
                <c:pt idx="67">
                  <c:v>56.271147849460398</c:v>
                </c:pt>
                <c:pt idx="68">
                  <c:v>56.094021848767603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5E51-41C9-918C-9245ECEAC052}"/>
            </c:ext>
          </c:extLst>
        </c:ser>
        <c:ser>
          <c:idx val="3"/>
          <c:order val="3"/>
          <c:tx>
            <c:strRef>
              <c:f>Datos!$AP$3</c:f>
              <c:strCache>
                <c:ptCount val="1"/>
                <c:pt idx="0">
                  <c:v>ICE Servicios</c:v>
                </c:pt>
              </c:strCache>
            </c:strRef>
          </c:tx>
          <c:spPr>
            <a:ln w="22225">
              <a:solidFill>
                <a:srgbClr val="000066"/>
              </a:solidFill>
              <a:prstDash val="sysDot"/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Datos!$AQ$175:$AQ$246</c:f>
              <c:numCache>
                <c:formatCode>0.0</c:formatCode>
                <c:ptCount val="69"/>
                <c:pt idx="0">
                  <c:v>47.409321985200798</c:v>
                </c:pt>
                <c:pt idx="1">
                  <c:v>46.990509228387701</c:v>
                </c:pt>
                <c:pt idx="2">
                  <c:v>46.980561728960701</c:v>
                </c:pt>
                <c:pt idx="3">
                  <c:v>47.418200437553899</c:v>
                </c:pt>
                <c:pt idx="4">
                  <c:v>48.232817661058299</c:v>
                </c:pt>
                <c:pt idx="5">
                  <c:v>49.178983305986598</c:v>
                </c:pt>
                <c:pt idx="6">
                  <c:v>49.900250680824897</c:v>
                </c:pt>
                <c:pt idx="7">
                  <c:v>50.208336124622299</c:v>
                </c:pt>
                <c:pt idx="8">
                  <c:v>50.171001952823602</c:v>
                </c:pt>
                <c:pt idx="9">
                  <c:v>49.978823588949801</c:v>
                </c:pt>
                <c:pt idx="10">
                  <c:v>49.906964816827397</c:v>
                </c:pt>
                <c:pt idx="11">
                  <c:v>50.148759221087403</c:v>
                </c:pt>
                <c:pt idx="12">
                  <c:v>50.682542391045502</c:v>
                </c:pt>
                <c:pt idx="13">
                  <c:v>51.2098357346987</c:v>
                </c:pt>
                <c:pt idx="14">
                  <c:v>51.375452845915703</c:v>
                </c:pt>
                <c:pt idx="15">
                  <c:v>51.046380626339598</c:v>
                </c:pt>
                <c:pt idx="16">
                  <c:v>50.319615503691402</c:v>
                </c:pt>
                <c:pt idx="17">
                  <c:v>49.401417718504398</c:v>
                </c:pt>
                <c:pt idx="18">
                  <c:v>48.5691722433913</c:v>
                </c:pt>
                <c:pt idx="19">
                  <c:v>47.9394938126011</c:v>
                </c:pt>
                <c:pt idx="20">
                  <c:v>47.452134967259198</c:v>
                </c:pt>
                <c:pt idx="21">
                  <c:v>47.024154669443199</c:v>
                </c:pt>
                <c:pt idx="22">
                  <c:v>46.531159448128697</c:v>
                </c:pt>
                <c:pt idx="23">
                  <c:v>45.841226852170003</c:v>
                </c:pt>
                <c:pt idx="24">
                  <c:v>44.802475985861101</c:v>
                </c:pt>
                <c:pt idx="25">
                  <c:v>43.380654151641899</c:v>
                </c:pt>
                <c:pt idx="26">
                  <c:v>41.646869653565197</c:v>
                </c:pt>
                <c:pt idx="27">
                  <c:v>39.760907339721498</c:v>
                </c:pt>
                <c:pt idx="28">
                  <c:v>38.020209352916702</c:v>
                </c:pt>
                <c:pt idx="29">
                  <c:v>36.718240816988299</c:v>
                </c:pt>
                <c:pt idx="30">
                  <c:v>36.020168770738401</c:v>
                </c:pt>
                <c:pt idx="31">
                  <c:v>35.876523575187399</c:v>
                </c:pt>
                <c:pt idx="32">
                  <c:v>36.0724760819406</c:v>
                </c:pt>
                <c:pt idx="33">
                  <c:v>36.398665254775104</c:v>
                </c:pt>
                <c:pt idx="34">
                  <c:v>36.803028701907898</c:v>
                </c:pt>
                <c:pt idx="35">
                  <c:v>37.429728744939297</c:v>
                </c:pt>
                <c:pt idx="36">
                  <c:v>38.556103596094303</c:v>
                </c:pt>
                <c:pt idx="37">
                  <c:v>40.357432709979797</c:v>
                </c:pt>
                <c:pt idx="38">
                  <c:v>42.646874800394301</c:v>
                </c:pt>
                <c:pt idx="39">
                  <c:v>45.051128244820198</c:v>
                </c:pt>
                <c:pt idx="40">
                  <c:v>47.099140692563601</c:v>
                </c:pt>
                <c:pt idx="41">
                  <c:v>48.548733510967999</c:v>
                </c:pt>
                <c:pt idx="42">
                  <c:v>49.472712512168897</c:v>
                </c:pt>
                <c:pt idx="43">
                  <c:v>50.049027260127197</c:v>
                </c:pt>
                <c:pt idx="44">
                  <c:v>50.495194186371201</c:v>
                </c:pt>
                <c:pt idx="45">
                  <c:v>50.8408034111647</c:v>
                </c:pt>
                <c:pt idx="46">
                  <c:v>51.0903871374435</c:v>
                </c:pt>
                <c:pt idx="47">
                  <c:v>51.320979969354497</c:v>
                </c:pt>
                <c:pt idx="48">
                  <c:v>51.524829660595302</c:v>
                </c:pt>
                <c:pt idx="49">
                  <c:v>51.687961235100097</c:v>
                </c:pt>
                <c:pt idx="50">
                  <c:v>51.761687784723001</c:v>
                </c:pt>
                <c:pt idx="51">
                  <c:v>51.530970556236802</c:v>
                </c:pt>
                <c:pt idx="52">
                  <c:v>50.729190450565</c:v>
                </c:pt>
                <c:pt idx="53">
                  <c:v>49.277516045737102</c:v>
                </c:pt>
                <c:pt idx="54">
                  <c:v>47.381609259245401</c:v>
                </c:pt>
                <c:pt idx="55">
                  <c:v>45.549423295215902</c:v>
                </c:pt>
                <c:pt idx="56">
                  <c:v>44.262761449088003</c:v>
                </c:pt>
                <c:pt idx="57">
                  <c:v>43.8846892587488</c:v>
                </c:pt>
                <c:pt idx="58">
                  <c:v>44.503192054749903</c:v>
                </c:pt>
                <c:pt idx="59">
                  <c:v>46.004583607131899</c:v>
                </c:pt>
                <c:pt idx="60">
                  <c:v>48.076210067167104</c:v>
                </c:pt>
                <c:pt idx="61">
                  <c:v>50.378642840166897</c:v>
                </c:pt>
                <c:pt idx="62">
                  <c:v>52.595434533607197</c:v>
                </c:pt>
                <c:pt idx="63">
                  <c:v>54.546284735127998</c:v>
                </c:pt>
                <c:pt idx="64">
                  <c:v>56.097967616347198</c:v>
                </c:pt>
                <c:pt idx="65">
                  <c:v>57.196189088345399</c:v>
                </c:pt>
                <c:pt idx="66">
                  <c:v>57.9169541802992</c:v>
                </c:pt>
                <c:pt idx="67">
                  <c:v>58.379724649514102</c:v>
                </c:pt>
                <c:pt idx="68">
                  <c:v>58.676549559304704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5E51-41C9-918C-9245ECEAC0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12826608"/>
        <c:axId val="512825040"/>
      </c:lineChart>
      <c:catAx>
        <c:axId val="512826608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500"/>
            </a:pPr>
            <a:endParaRPr lang="es-MX"/>
          </a:p>
        </c:txPr>
        <c:crossAx val="512825040"/>
        <c:crossesAt val="50"/>
        <c:auto val="1"/>
        <c:lblAlgn val="ctr"/>
        <c:lblOffset val="100"/>
        <c:tickLblSkip val="4"/>
        <c:tickMarkSkip val="12"/>
        <c:noMultiLvlLbl val="1"/>
      </c:catAx>
      <c:valAx>
        <c:axId val="512825040"/>
        <c:scaling>
          <c:orientation val="minMax"/>
          <c:max val="60"/>
          <c:min val="30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#,##0_ ;[Red]\-#,##0\ 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600"/>
            </a:pPr>
            <a:endParaRPr lang="es-MX"/>
          </a:p>
        </c:txPr>
        <c:crossAx val="512826608"/>
        <c:crosses val="autoZero"/>
        <c:crossBetween val="between"/>
        <c:majorUnit val="5"/>
        <c:minorUnit val="2"/>
      </c:valAx>
      <c:spPr>
        <a:noFill/>
      </c:spPr>
    </c:plotArea>
    <c:legend>
      <c:legendPos val="b"/>
      <c:legendEntry>
        <c:idx val="1"/>
        <c:txPr>
          <a:bodyPr/>
          <a:lstStyle/>
          <a:p>
            <a:pPr>
              <a:defRPr sz="550"/>
            </a:pPr>
            <a:endParaRPr lang="es-MX"/>
          </a:p>
        </c:txPr>
      </c:legendEntry>
      <c:layout>
        <c:manualLayout>
          <c:xMode val="edge"/>
          <c:yMode val="edge"/>
          <c:x val="1.5842911877394637E-2"/>
          <c:y val="0.91261835367941579"/>
          <c:w val="0.96500812313146334"/>
          <c:h val="8.7381646320584178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5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0768258749648994E-2"/>
          <c:y val="3.299034478292457E-2"/>
          <c:w val="0.91402330779054919"/>
          <c:h val="0.7696032249747119"/>
        </c:manualLayout>
      </c:layout>
      <c:lineChart>
        <c:grouping val="standard"/>
        <c:varyColors val="0"/>
        <c:ser>
          <c:idx val="0"/>
          <c:order val="0"/>
          <c:tx>
            <c:strRef>
              <c:f>Datos!$C$3</c:f>
              <c:strCache>
                <c:ptCount val="1"/>
                <c:pt idx="0">
                  <c:v>ICE Manufacturero</c:v>
                </c:pt>
              </c:strCache>
            </c:strRef>
          </c:tx>
          <c:spPr>
            <a:ln w="12700">
              <a:solidFill>
                <a:srgbClr val="FF0000"/>
              </a:solidFill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Datos!$F$175:$F$246</c:f>
              <c:numCache>
                <c:formatCode>0.0</c:formatCode>
                <c:ptCount val="69"/>
                <c:pt idx="0">
                  <c:v>42.130918681320601</c:v>
                </c:pt>
                <c:pt idx="1">
                  <c:v>42.698081045813197</c:v>
                </c:pt>
                <c:pt idx="2">
                  <c:v>43.222950356511603</c:v>
                </c:pt>
                <c:pt idx="3">
                  <c:v>43.590279566257401</c:v>
                </c:pt>
                <c:pt idx="4">
                  <c:v>43.756807292711699</c:v>
                </c:pt>
                <c:pt idx="5">
                  <c:v>43.8123819811846</c:v>
                </c:pt>
                <c:pt idx="6">
                  <c:v>43.7983208306904</c:v>
                </c:pt>
                <c:pt idx="7">
                  <c:v>43.746929072984102</c:v>
                </c:pt>
                <c:pt idx="8">
                  <c:v>43.733444444700901</c:v>
                </c:pt>
                <c:pt idx="9">
                  <c:v>43.804114345764802</c:v>
                </c:pt>
                <c:pt idx="10">
                  <c:v>44.053812983563802</c:v>
                </c:pt>
                <c:pt idx="11">
                  <c:v>44.584295316525797</c:v>
                </c:pt>
                <c:pt idx="12">
                  <c:v>45.394472141192701</c:v>
                </c:pt>
                <c:pt idx="13">
                  <c:v>46.225420051025601</c:v>
                </c:pt>
                <c:pt idx="14">
                  <c:v>46.737503547629501</c:v>
                </c:pt>
                <c:pt idx="15">
                  <c:v>46.667553900391802</c:v>
                </c:pt>
                <c:pt idx="16">
                  <c:v>45.966148912737701</c:v>
                </c:pt>
                <c:pt idx="17">
                  <c:v>44.768633537298797</c:v>
                </c:pt>
                <c:pt idx="18">
                  <c:v>43.371097240292798</c:v>
                </c:pt>
                <c:pt idx="19">
                  <c:v>42.118956167977302</c:v>
                </c:pt>
                <c:pt idx="20">
                  <c:v>41.1632882022666</c:v>
                </c:pt>
                <c:pt idx="21">
                  <c:v>40.463319519488202</c:v>
                </c:pt>
                <c:pt idx="22">
                  <c:v>39.683745394205303</c:v>
                </c:pt>
                <c:pt idx="23">
                  <c:v>38.320776092174</c:v>
                </c:pt>
                <c:pt idx="24">
                  <c:v>36.052971835370798</c:v>
                </c:pt>
                <c:pt idx="25">
                  <c:v>32.896596162072598</c:v>
                </c:pt>
                <c:pt idx="26">
                  <c:v>29.1244968072108</c:v>
                </c:pt>
                <c:pt idx="27">
                  <c:v>25.313088237093801</c:v>
                </c:pt>
                <c:pt idx="28">
                  <c:v>22.128067162275599</c:v>
                </c:pt>
                <c:pt idx="29">
                  <c:v>20.074655631020999</c:v>
                </c:pt>
                <c:pt idx="30">
                  <c:v>19.326463972983301</c:v>
                </c:pt>
                <c:pt idx="31">
                  <c:v>19.6770927726912</c:v>
                </c:pt>
                <c:pt idx="32">
                  <c:v>20.634013478817</c:v>
                </c:pt>
                <c:pt idx="33">
                  <c:v>21.720212072345898</c:v>
                </c:pt>
                <c:pt idx="34">
                  <c:v>22.643516617319399</c:v>
                </c:pt>
                <c:pt idx="35">
                  <c:v>23.3999754705148</c:v>
                </c:pt>
                <c:pt idx="36">
                  <c:v>24.164285848780398</c:v>
                </c:pt>
                <c:pt idx="37">
                  <c:v>25.235420370400298</c:v>
                </c:pt>
                <c:pt idx="38">
                  <c:v>26.789496684278799</c:v>
                </c:pt>
                <c:pt idx="39">
                  <c:v>28.6823867789799</c:v>
                </c:pt>
                <c:pt idx="40">
                  <c:v>30.595686475640299</c:v>
                </c:pt>
                <c:pt idx="41">
                  <c:v>32.236059398363103</c:v>
                </c:pt>
                <c:pt idx="42">
                  <c:v>33.440965216553003</c:v>
                </c:pt>
                <c:pt idx="43">
                  <c:v>34.215989143682698</c:v>
                </c:pt>
                <c:pt idx="44">
                  <c:v>34.771202201464099</c:v>
                </c:pt>
                <c:pt idx="45">
                  <c:v>35.302442355703498</c:v>
                </c:pt>
                <c:pt idx="46">
                  <c:v>35.868073281286598</c:v>
                </c:pt>
                <c:pt idx="47">
                  <c:v>36.516304474075397</c:v>
                </c:pt>
                <c:pt idx="48">
                  <c:v>37.280048860817303</c:v>
                </c:pt>
                <c:pt idx="49">
                  <c:v>38.0681531485737</c:v>
                </c:pt>
                <c:pt idx="50">
                  <c:v>38.839946651347802</c:v>
                </c:pt>
                <c:pt idx="51">
                  <c:v>39.568511800388499</c:v>
                </c:pt>
                <c:pt idx="52">
                  <c:v>40.132963299580702</c:v>
                </c:pt>
                <c:pt idx="53">
                  <c:v>40.438830316708703</c:v>
                </c:pt>
                <c:pt idx="54">
                  <c:v>40.4480216030503</c:v>
                </c:pt>
                <c:pt idx="55">
                  <c:v>40.148585821849103</c:v>
                </c:pt>
                <c:pt idx="56">
                  <c:v>39.711074167749402</c:v>
                </c:pt>
                <c:pt idx="57">
                  <c:v>39.381605226692002</c:v>
                </c:pt>
                <c:pt idx="58">
                  <c:v>39.422407254766497</c:v>
                </c:pt>
                <c:pt idx="59">
                  <c:v>39.858172271085799</c:v>
                </c:pt>
                <c:pt idx="60">
                  <c:v>40.548652231252099</c:v>
                </c:pt>
                <c:pt idx="61">
                  <c:v>41.375278838945903</c:v>
                </c:pt>
                <c:pt idx="62">
                  <c:v>42.191960750783998</c:v>
                </c:pt>
                <c:pt idx="63">
                  <c:v>42.877839630072302</c:v>
                </c:pt>
                <c:pt idx="64">
                  <c:v>43.4382947320493</c:v>
                </c:pt>
                <c:pt idx="65">
                  <c:v>43.884733396143503</c:v>
                </c:pt>
                <c:pt idx="66">
                  <c:v>44.263690613907897</c:v>
                </c:pt>
                <c:pt idx="67">
                  <c:v>44.671924010911297</c:v>
                </c:pt>
                <c:pt idx="68">
                  <c:v>45.039796671732098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F9C-45E6-BEAA-9CDD9A578266}"/>
            </c:ext>
          </c:extLst>
        </c:ser>
        <c:ser>
          <c:idx val="1"/>
          <c:order val="1"/>
          <c:tx>
            <c:strRef>
              <c:f>Datos!$O$3</c:f>
              <c:strCache>
                <c:ptCount val="1"/>
                <c:pt idx="0">
                  <c:v>ICE Construcción</c:v>
                </c:pt>
              </c:strCache>
            </c:strRef>
          </c:tx>
          <c:spPr>
            <a:ln w="12700" cmpd="thinThick">
              <a:solidFill>
                <a:srgbClr val="33CC33"/>
              </a:solidFill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Datos!$S$175:$S$246</c:f>
              <c:numCache>
                <c:formatCode>0.0</c:formatCode>
                <c:ptCount val="69"/>
                <c:pt idx="0">
                  <c:v>21.5598926782462</c:v>
                </c:pt>
                <c:pt idx="1">
                  <c:v>21.298858649147</c:v>
                </c:pt>
                <c:pt idx="2">
                  <c:v>21.2964685460414</c:v>
                </c:pt>
                <c:pt idx="3">
                  <c:v>21.526768603835698</c:v>
                </c:pt>
                <c:pt idx="4">
                  <c:v>22.011152490322502</c:v>
                </c:pt>
                <c:pt idx="5">
                  <c:v>22.682488309771699</c:v>
                </c:pt>
                <c:pt idx="6">
                  <c:v>23.508096136448401</c:v>
                </c:pt>
                <c:pt idx="7">
                  <c:v>24.263949035838401</c:v>
                </c:pt>
                <c:pt idx="8">
                  <c:v>24.4731854865366</c:v>
                </c:pt>
                <c:pt idx="9">
                  <c:v>24.061803081518701</c:v>
                </c:pt>
                <c:pt idx="10">
                  <c:v>23.504709033424898</c:v>
                </c:pt>
                <c:pt idx="11">
                  <c:v>22.884363711713799</c:v>
                </c:pt>
                <c:pt idx="12">
                  <c:v>22.169745758929999</c:v>
                </c:pt>
                <c:pt idx="13">
                  <c:v>21.253613872725101</c:v>
                </c:pt>
                <c:pt idx="14">
                  <c:v>20.116646921474999</c:v>
                </c:pt>
                <c:pt idx="15">
                  <c:v>18.867330038576601</c:v>
                </c:pt>
                <c:pt idx="16">
                  <c:v>17.771358259015599</c:v>
                </c:pt>
                <c:pt idx="17">
                  <c:v>17.1301180720268</c:v>
                </c:pt>
                <c:pt idx="18">
                  <c:v>16.904508561781402</c:v>
                </c:pt>
                <c:pt idx="19">
                  <c:v>16.943680774843401</c:v>
                </c:pt>
                <c:pt idx="20">
                  <c:v>17.2838103778472</c:v>
                </c:pt>
                <c:pt idx="21">
                  <c:v>17.6927133415853</c:v>
                </c:pt>
                <c:pt idx="22">
                  <c:v>17.816317945622099</c:v>
                </c:pt>
                <c:pt idx="23">
                  <c:v>17.4448968518853</c:v>
                </c:pt>
                <c:pt idx="24">
                  <c:v>16.563156837149499</c:v>
                </c:pt>
                <c:pt idx="25">
                  <c:v>15.244872587502</c:v>
                </c:pt>
                <c:pt idx="26">
                  <c:v>13.7182140122253</c:v>
                </c:pt>
                <c:pt idx="27">
                  <c:v>12.2195968952994</c:v>
                </c:pt>
                <c:pt idx="28">
                  <c:v>10.867609058411899</c:v>
                </c:pt>
                <c:pt idx="29">
                  <c:v>9.7563469996981596</c:v>
                </c:pt>
                <c:pt idx="30">
                  <c:v>9.1921352148810396</c:v>
                </c:pt>
                <c:pt idx="31">
                  <c:v>9.3739505316231195</c:v>
                </c:pt>
                <c:pt idx="32">
                  <c:v>10.092308443077201</c:v>
                </c:pt>
                <c:pt idx="33">
                  <c:v>11.053529566818399</c:v>
                </c:pt>
                <c:pt idx="34">
                  <c:v>11.965134597961001</c:v>
                </c:pt>
                <c:pt idx="35">
                  <c:v>12.817984365504101</c:v>
                </c:pt>
                <c:pt idx="36">
                  <c:v>13.6288157864397</c:v>
                </c:pt>
                <c:pt idx="37">
                  <c:v>14.3920463174262</c:v>
                </c:pt>
                <c:pt idx="38">
                  <c:v>15.3130113477511</c:v>
                </c:pt>
                <c:pt idx="39">
                  <c:v>16.511130637448801</c:v>
                </c:pt>
                <c:pt idx="40">
                  <c:v>17.9061285827935</c:v>
                </c:pt>
                <c:pt idx="41">
                  <c:v>19.115846495463401</c:v>
                </c:pt>
                <c:pt idx="42">
                  <c:v>19.693303065961999</c:v>
                </c:pt>
                <c:pt idx="43">
                  <c:v>19.655638773887699</c:v>
                </c:pt>
                <c:pt idx="44">
                  <c:v>19.5721435753645</c:v>
                </c:pt>
                <c:pt idx="45">
                  <c:v>19.976279435725001</c:v>
                </c:pt>
                <c:pt idx="46">
                  <c:v>20.947251404298999</c:v>
                </c:pt>
                <c:pt idx="47">
                  <c:v>22.111191138932</c:v>
                </c:pt>
                <c:pt idx="48">
                  <c:v>23.405392701743601</c:v>
                </c:pt>
                <c:pt idx="49">
                  <c:v>24.766513478816599</c:v>
                </c:pt>
                <c:pt idx="50">
                  <c:v>26.126463490572998</c:v>
                </c:pt>
                <c:pt idx="51">
                  <c:v>27.227461188463401</c:v>
                </c:pt>
                <c:pt idx="52">
                  <c:v>27.6848410959097</c:v>
                </c:pt>
                <c:pt idx="53">
                  <c:v>27.705514856362701</c:v>
                </c:pt>
                <c:pt idx="54">
                  <c:v>27.755833863725702</c:v>
                </c:pt>
                <c:pt idx="55">
                  <c:v>28.066803655329799</c:v>
                </c:pt>
                <c:pt idx="56">
                  <c:v>28.568086293552899</c:v>
                </c:pt>
                <c:pt idx="57">
                  <c:v>29.051056492497398</c:v>
                </c:pt>
                <c:pt idx="58">
                  <c:v>29.853506340121999</c:v>
                </c:pt>
                <c:pt idx="59">
                  <c:v>31.217324757146901</c:v>
                </c:pt>
                <c:pt idx="60">
                  <c:v>33.053518667804198</c:v>
                </c:pt>
                <c:pt idx="61">
                  <c:v>35.169460844101103</c:v>
                </c:pt>
                <c:pt idx="62">
                  <c:v>36.719564045950797</c:v>
                </c:pt>
                <c:pt idx="63">
                  <c:v>37.589828350148302</c:v>
                </c:pt>
                <c:pt idx="64">
                  <c:v>37.955138271540797</c:v>
                </c:pt>
                <c:pt idx="65">
                  <c:v>38.291469425796102</c:v>
                </c:pt>
                <c:pt idx="66">
                  <c:v>38.650755956608698</c:v>
                </c:pt>
                <c:pt idx="67">
                  <c:v>38.967204630030999</c:v>
                </c:pt>
                <c:pt idx="68">
                  <c:v>39.093848810876999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F9C-45E6-BEAA-9CDD9A578266}"/>
            </c:ext>
          </c:extLst>
        </c:ser>
        <c:ser>
          <c:idx val="2"/>
          <c:order val="2"/>
          <c:tx>
            <c:strRef>
              <c:f>Datos!$AB$3</c:f>
              <c:strCache>
                <c:ptCount val="1"/>
                <c:pt idx="0">
                  <c:v>ICE Comercio</c:v>
                </c:pt>
              </c:strCache>
            </c:strRef>
          </c:tx>
          <c:spPr>
            <a:ln w="12700">
              <a:solidFill>
                <a:srgbClr val="0000FF"/>
              </a:solidFill>
              <a:prstDash val="sysDash"/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Datos!$AF$175:$AF$246</c:f>
              <c:numCache>
                <c:formatCode>0.0</c:formatCode>
                <c:ptCount val="69"/>
                <c:pt idx="0">
                  <c:v>44.991622489442797</c:v>
                </c:pt>
                <c:pt idx="1">
                  <c:v>44.311446377620499</c:v>
                </c:pt>
                <c:pt idx="2">
                  <c:v>43.915956394422501</c:v>
                </c:pt>
                <c:pt idx="3">
                  <c:v>44.066069538867097</c:v>
                </c:pt>
                <c:pt idx="4">
                  <c:v>45.012090091420703</c:v>
                </c:pt>
                <c:pt idx="5">
                  <c:v>46.529671322492803</c:v>
                </c:pt>
                <c:pt idx="6">
                  <c:v>48.2994034947072</c:v>
                </c:pt>
                <c:pt idx="7">
                  <c:v>49.772136348495302</c:v>
                </c:pt>
                <c:pt idx="8">
                  <c:v>50.1976610310425</c:v>
                </c:pt>
                <c:pt idx="9">
                  <c:v>49.310715495867498</c:v>
                </c:pt>
                <c:pt idx="10">
                  <c:v>47.617506305538299</c:v>
                </c:pt>
                <c:pt idx="11">
                  <c:v>45.9387660907624</c:v>
                </c:pt>
                <c:pt idx="12">
                  <c:v>45.002258612782398</c:v>
                </c:pt>
                <c:pt idx="13">
                  <c:v>44.9459162421836</c:v>
                </c:pt>
                <c:pt idx="14">
                  <c:v>45.246066207643899</c:v>
                </c:pt>
                <c:pt idx="15">
                  <c:v>45.329201873447097</c:v>
                </c:pt>
                <c:pt idx="16">
                  <c:v>44.835436950677902</c:v>
                </c:pt>
                <c:pt idx="17">
                  <c:v>43.629830805174798</c:v>
                </c:pt>
                <c:pt idx="18">
                  <c:v>41.9499156992119</c:v>
                </c:pt>
                <c:pt idx="19">
                  <c:v>40.201870076589699</c:v>
                </c:pt>
                <c:pt idx="20">
                  <c:v>38.908914634448003</c:v>
                </c:pt>
                <c:pt idx="21">
                  <c:v>38.102522094308902</c:v>
                </c:pt>
                <c:pt idx="22">
                  <c:v>37.319172394963701</c:v>
                </c:pt>
                <c:pt idx="23">
                  <c:v>36.104566909220601</c:v>
                </c:pt>
                <c:pt idx="24">
                  <c:v>34.2380061159962</c:v>
                </c:pt>
                <c:pt idx="25">
                  <c:v>31.626856134685099</c:v>
                </c:pt>
                <c:pt idx="26">
                  <c:v>28.4772366108987</c:v>
                </c:pt>
                <c:pt idx="27">
                  <c:v>25.115682195913202</c:v>
                </c:pt>
                <c:pt idx="28">
                  <c:v>22.044922335972299</c:v>
                </c:pt>
                <c:pt idx="29">
                  <c:v>19.834625637046599</c:v>
                </c:pt>
                <c:pt idx="30">
                  <c:v>18.810754446608499</c:v>
                </c:pt>
                <c:pt idx="31">
                  <c:v>18.8988479274478</c:v>
                </c:pt>
                <c:pt idx="32">
                  <c:v>19.784885939509799</c:v>
                </c:pt>
                <c:pt idx="33">
                  <c:v>21.077667395567701</c:v>
                </c:pt>
                <c:pt idx="34">
                  <c:v>22.514575840428702</c:v>
                </c:pt>
                <c:pt idx="35">
                  <c:v>23.836897305221601</c:v>
                </c:pt>
                <c:pt idx="36">
                  <c:v>25.012740950226199</c:v>
                </c:pt>
                <c:pt idx="37">
                  <c:v>26.2824865925006</c:v>
                </c:pt>
                <c:pt idx="38">
                  <c:v>27.738464636406501</c:v>
                </c:pt>
                <c:pt idx="39">
                  <c:v>29.322953241515499</c:v>
                </c:pt>
                <c:pt idx="40">
                  <c:v>30.781261624676802</c:v>
                </c:pt>
                <c:pt idx="41">
                  <c:v>31.931729816623001</c:v>
                </c:pt>
                <c:pt idx="42">
                  <c:v>32.813539701038003</c:v>
                </c:pt>
                <c:pt idx="43">
                  <c:v>33.507106042624798</c:v>
                </c:pt>
                <c:pt idx="44">
                  <c:v>34.110712304178598</c:v>
                </c:pt>
                <c:pt idx="45">
                  <c:v>34.644177799732198</c:v>
                </c:pt>
                <c:pt idx="46">
                  <c:v>35.148457064836002</c:v>
                </c:pt>
                <c:pt idx="47">
                  <c:v>35.558466068821602</c:v>
                </c:pt>
                <c:pt idx="48">
                  <c:v>35.895725519089901</c:v>
                </c:pt>
                <c:pt idx="49">
                  <c:v>36.357887711359901</c:v>
                </c:pt>
                <c:pt idx="50">
                  <c:v>37.218363672783497</c:v>
                </c:pt>
                <c:pt idx="51">
                  <c:v>38.594191393456398</c:v>
                </c:pt>
                <c:pt idx="52">
                  <c:v>40.154059121219298</c:v>
                </c:pt>
                <c:pt idx="53">
                  <c:v>41.375267385091703</c:v>
                </c:pt>
                <c:pt idx="54">
                  <c:v>41.6158532388664</c:v>
                </c:pt>
                <c:pt idx="55">
                  <c:v>40.782447130269098</c:v>
                </c:pt>
                <c:pt idx="56">
                  <c:v>39.2946248583645</c:v>
                </c:pt>
                <c:pt idx="57">
                  <c:v>37.814837488352602</c:v>
                </c:pt>
                <c:pt idx="58">
                  <c:v>36.870185520362</c:v>
                </c:pt>
                <c:pt idx="59">
                  <c:v>36.748816836755999</c:v>
                </c:pt>
                <c:pt idx="60">
                  <c:v>37.5246637936322</c:v>
                </c:pt>
                <c:pt idx="61">
                  <c:v>38.790851611019598</c:v>
                </c:pt>
                <c:pt idx="62">
                  <c:v>40.191211048924004</c:v>
                </c:pt>
                <c:pt idx="63">
                  <c:v>41.522923890133697</c:v>
                </c:pt>
                <c:pt idx="64">
                  <c:v>42.626717199204897</c:v>
                </c:pt>
                <c:pt idx="65">
                  <c:v>43.471467408320699</c:v>
                </c:pt>
                <c:pt idx="66">
                  <c:v>44.056005834722598</c:v>
                </c:pt>
                <c:pt idx="67">
                  <c:v>44.348490917740598</c:v>
                </c:pt>
                <c:pt idx="68">
                  <c:v>44.322451305137598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5F9C-45E6-BEAA-9CDD9A578266}"/>
            </c:ext>
          </c:extLst>
        </c:ser>
        <c:ser>
          <c:idx val="3"/>
          <c:order val="3"/>
          <c:tx>
            <c:strRef>
              <c:f>Datos!$AP$3</c:f>
              <c:strCache>
                <c:ptCount val="1"/>
                <c:pt idx="0">
                  <c:v>ICE Servicios</c:v>
                </c:pt>
              </c:strCache>
            </c:strRef>
          </c:tx>
          <c:spPr>
            <a:ln w="15875">
              <a:solidFill>
                <a:srgbClr val="000066"/>
              </a:solidFill>
              <a:prstDash val="sysDot"/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Datos!$AS$175:$AS$246</c:f>
              <c:numCache>
                <c:formatCode>0.0</c:formatCode>
                <c:ptCount val="69"/>
                <c:pt idx="0">
                  <c:v>34.704847567927999</c:v>
                </c:pt>
                <c:pt idx="1">
                  <c:v>33.089061340290698</c:v>
                </c:pt>
                <c:pt idx="2">
                  <c:v>32.462645279795801</c:v>
                </c:pt>
                <c:pt idx="3">
                  <c:v>32.830840800086598</c:v>
                </c:pt>
                <c:pt idx="4">
                  <c:v>34.0769636596089</c:v>
                </c:pt>
                <c:pt idx="5">
                  <c:v>35.720097869181799</c:v>
                </c:pt>
                <c:pt idx="6">
                  <c:v>37.045511426027304</c:v>
                </c:pt>
                <c:pt idx="7">
                  <c:v>37.514808163592797</c:v>
                </c:pt>
                <c:pt idx="8">
                  <c:v>37.079517415368301</c:v>
                </c:pt>
                <c:pt idx="9">
                  <c:v>36.002105741460497</c:v>
                </c:pt>
                <c:pt idx="10">
                  <c:v>34.930192639901598</c:v>
                </c:pt>
                <c:pt idx="11">
                  <c:v>34.684339013873903</c:v>
                </c:pt>
                <c:pt idx="12">
                  <c:v>35.659491605144098</c:v>
                </c:pt>
                <c:pt idx="13">
                  <c:v>37.319408549654703</c:v>
                </c:pt>
                <c:pt idx="14">
                  <c:v>38.771958382948299</c:v>
                </c:pt>
                <c:pt idx="15">
                  <c:v>39.429718861633702</c:v>
                </c:pt>
                <c:pt idx="16">
                  <c:v>39.054462252917403</c:v>
                </c:pt>
                <c:pt idx="17">
                  <c:v>37.8114376637295</c:v>
                </c:pt>
                <c:pt idx="18">
                  <c:v>36.172682900690603</c:v>
                </c:pt>
                <c:pt idx="19">
                  <c:v>34.602497052343502</c:v>
                </c:pt>
                <c:pt idx="20">
                  <c:v>33.262745548182401</c:v>
                </c:pt>
                <c:pt idx="21">
                  <c:v>32.256162229230704</c:v>
                </c:pt>
                <c:pt idx="22">
                  <c:v>31.450973413513399</c:v>
                </c:pt>
                <c:pt idx="23">
                  <c:v>30.388491259431699</c:v>
                </c:pt>
                <c:pt idx="24">
                  <c:v>28.699063830353101</c:v>
                </c:pt>
                <c:pt idx="25">
                  <c:v>26.3083235396773</c:v>
                </c:pt>
                <c:pt idx="26">
                  <c:v>23.3123541911777</c:v>
                </c:pt>
                <c:pt idx="27">
                  <c:v>19.971577808024801</c:v>
                </c:pt>
                <c:pt idx="28">
                  <c:v>16.82880144816</c:v>
                </c:pt>
                <c:pt idx="29">
                  <c:v>14.6416944873312</c:v>
                </c:pt>
                <c:pt idx="30">
                  <c:v>13.680765274357601</c:v>
                </c:pt>
                <c:pt idx="31">
                  <c:v>13.6999041054372</c:v>
                </c:pt>
                <c:pt idx="32">
                  <c:v>14.1752355760981</c:v>
                </c:pt>
                <c:pt idx="33">
                  <c:v>14.714649006888999</c:v>
                </c:pt>
                <c:pt idx="34">
                  <c:v>15.1195008639886</c:v>
                </c:pt>
                <c:pt idx="35">
                  <c:v>15.537819394089301</c:v>
                </c:pt>
                <c:pt idx="36">
                  <c:v>16.258391021586899</c:v>
                </c:pt>
                <c:pt idx="37">
                  <c:v>17.483172925073401</c:v>
                </c:pt>
                <c:pt idx="38">
                  <c:v>19.2000234679141</c:v>
                </c:pt>
                <c:pt idx="39">
                  <c:v>21.096950894427</c:v>
                </c:pt>
                <c:pt idx="40">
                  <c:v>22.829881817099299</c:v>
                </c:pt>
                <c:pt idx="41">
                  <c:v>24.2555672713906</c:v>
                </c:pt>
                <c:pt idx="42">
                  <c:v>25.568939977454999</c:v>
                </c:pt>
                <c:pt idx="43">
                  <c:v>26.9244840745102</c:v>
                </c:pt>
                <c:pt idx="44">
                  <c:v>28.3341781009055</c:v>
                </c:pt>
                <c:pt idx="45">
                  <c:v>29.559419015373798</c:v>
                </c:pt>
                <c:pt idx="46">
                  <c:v>30.491906487580302</c:v>
                </c:pt>
                <c:pt idx="47">
                  <c:v>31.2937409288438</c:v>
                </c:pt>
                <c:pt idx="48">
                  <c:v>32.180695968692397</c:v>
                </c:pt>
                <c:pt idx="49">
                  <c:v>33.208228271506698</c:v>
                </c:pt>
                <c:pt idx="50">
                  <c:v>34.372407830044502</c:v>
                </c:pt>
                <c:pt idx="51">
                  <c:v>35.371502469829998</c:v>
                </c:pt>
                <c:pt idx="52">
                  <c:v>35.672395964538801</c:v>
                </c:pt>
                <c:pt idx="53">
                  <c:v>35.153833992084202</c:v>
                </c:pt>
                <c:pt idx="54">
                  <c:v>34.129475144318498</c:v>
                </c:pt>
                <c:pt idx="55">
                  <c:v>33.009680093506603</c:v>
                </c:pt>
                <c:pt idx="56">
                  <c:v>32.338432808356302</c:v>
                </c:pt>
                <c:pt idx="57">
                  <c:v>32.554838593884803</c:v>
                </c:pt>
                <c:pt idx="58">
                  <c:v>33.890310352292602</c:v>
                </c:pt>
                <c:pt idx="59">
                  <c:v>36.263491735301102</c:v>
                </c:pt>
                <c:pt idx="60">
                  <c:v>39.385714101856699</c:v>
                </c:pt>
                <c:pt idx="61">
                  <c:v>42.832386776001997</c:v>
                </c:pt>
                <c:pt idx="62">
                  <c:v>46.092044026171401</c:v>
                </c:pt>
                <c:pt idx="63">
                  <c:v>48.733877438551602</c:v>
                </c:pt>
                <c:pt idx="64">
                  <c:v>50.562458902545302</c:v>
                </c:pt>
                <c:pt idx="65">
                  <c:v>51.527440164324801</c:v>
                </c:pt>
                <c:pt idx="66">
                  <c:v>51.880845201238401</c:v>
                </c:pt>
                <c:pt idx="67">
                  <c:v>52.154308823529398</c:v>
                </c:pt>
                <c:pt idx="68">
                  <c:v>52.530510180995499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5F9C-45E6-BEAA-9CDD9A57826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12824648"/>
        <c:axId val="512825432"/>
      </c:lineChart>
      <c:catAx>
        <c:axId val="512824648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500"/>
            </a:pPr>
            <a:endParaRPr lang="es-MX"/>
          </a:p>
        </c:txPr>
        <c:crossAx val="512825432"/>
        <c:crossesAt val="50"/>
        <c:auto val="1"/>
        <c:lblAlgn val="ctr"/>
        <c:lblOffset val="100"/>
        <c:tickLblSkip val="4"/>
        <c:tickMarkSkip val="12"/>
        <c:noMultiLvlLbl val="1"/>
      </c:catAx>
      <c:valAx>
        <c:axId val="512825432"/>
        <c:scaling>
          <c:orientation val="minMax"/>
          <c:max val="60"/>
          <c:min val="0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#,##0_ ;[Red]\-#,##0\ 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600"/>
            </a:pPr>
            <a:endParaRPr lang="es-MX"/>
          </a:p>
        </c:txPr>
        <c:crossAx val="512824648"/>
        <c:crosses val="autoZero"/>
        <c:crossBetween val="between"/>
        <c:majorUnit val="10"/>
        <c:minorUnit val="2"/>
      </c:valAx>
      <c:spPr>
        <a:noFill/>
      </c:spPr>
    </c:plotArea>
    <c:legend>
      <c:legendPos val="b"/>
      <c:legendEntry>
        <c:idx val="0"/>
        <c:txPr>
          <a:bodyPr/>
          <a:lstStyle/>
          <a:p>
            <a:pPr>
              <a:defRPr sz="550"/>
            </a:pPr>
            <a:endParaRPr lang="es-MX"/>
          </a:p>
        </c:txPr>
      </c:legendEntry>
      <c:legendEntry>
        <c:idx val="1"/>
        <c:txPr>
          <a:bodyPr/>
          <a:lstStyle/>
          <a:p>
            <a:pPr>
              <a:defRPr sz="550"/>
            </a:pPr>
            <a:endParaRPr lang="es-MX"/>
          </a:p>
        </c:txPr>
      </c:legendEntry>
      <c:legendEntry>
        <c:idx val="2"/>
        <c:txPr>
          <a:bodyPr/>
          <a:lstStyle/>
          <a:p>
            <a:pPr>
              <a:defRPr sz="550"/>
            </a:pPr>
            <a:endParaRPr lang="es-MX"/>
          </a:p>
        </c:txPr>
      </c:legendEntry>
      <c:layout>
        <c:manualLayout>
          <c:xMode val="edge"/>
          <c:yMode val="edge"/>
          <c:x val="3.6781609195402297E-3"/>
          <c:y val="0.9055421770487514"/>
          <c:w val="0.97585071350164654"/>
          <c:h val="9.4457609934087111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5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2603240740740735E-2"/>
          <c:y val="3.9415674603174605E-2"/>
          <c:w val="0.90836653895274588"/>
          <c:h val="0.763943259455517"/>
        </c:manualLayout>
      </c:layout>
      <c:lineChart>
        <c:grouping val="standard"/>
        <c:varyColors val="0"/>
        <c:ser>
          <c:idx val="0"/>
          <c:order val="0"/>
          <c:tx>
            <c:strRef>
              <c:f>Datos!$C$3</c:f>
              <c:strCache>
                <c:ptCount val="1"/>
                <c:pt idx="0">
                  <c:v>ICE Manufacturero</c:v>
                </c:pt>
              </c:strCache>
            </c:strRef>
          </c:tx>
          <c:spPr>
            <a:ln w="12700">
              <a:solidFill>
                <a:srgbClr val="FF0000"/>
              </a:solidFill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Datos!$H$175:$H$246</c:f>
              <c:numCache>
                <c:formatCode>0.0</c:formatCode>
                <c:ptCount val="69"/>
                <c:pt idx="0">
                  <c:v>46.248309989717796</c:v>
                </c:pt>
                <c:pt idx="1">
                  <c:v>46.106020659362898</c:v>
                </c:pt>
                <c:pt idx="2">
                  <c:v>46.111712938816297</c:v>
                </c:pt>
                <c:pt idx="3">
                  <c:v>46.330750957025899</c:v>
                </c:pt>
                <c:pt idx="4">
                  <c:v>46.747902174060101</c:v>
                </c:pt>
                <c:pt idx="5">
                  <c:v>47.362702826157502</c:v>
                </c:pt>
                <c:pt idx="6">
                  <c:v>48.104527761643297</c:v>
                </c:pt>
                <c:pt idx="7">
                  <c:v>48.634135821154601</c:v>
                </c:pt>
                <c:pt idx="8">
                  <c:v>48.5803723113372</c:v>
                </c:pt>
                <c:pt idx="9">
                  <c:v>48.144462076669299</c:v>
                </c:pt>
                <c:pt idx="10">
                  <c:v>47.902700774880103</c:v>
                </c:pt>
                <c:pt idx="11">
                  <c:v>48.179492017850599</c:v>
                </c:pt>
                <c:pt idx="12">
                  <c:v>48.851406492597803</c:v>
                </c:pt>
                <c:pt idx="13">
                  <c:v>49.476809058843799</c:v>
                </c:pt>
                <c:pt idx="14">
                  <c:v>49.668032776332403</c:v>
                </c:pt>
                <c:pt idx="15">
                  <c:v>49.292325187681897</c:v>
                </c:pt>
                <c:pt idx="16">
                  <c:v>48.628463447115699</c:v>
                </c:pt>
                <c:pt idx="17">
                  <c:v>48.003212555199902</c:v>
                </c:pt>
                <c:pt idx="18">
                  <c:v>47.514286470879</c:v>
                </c:pt>
                <c:pt idx="19">
                  <c:v>47.169150611936097</c:v>
                </c:pt>
                <c:pt idx="20">
                  <c:v>46.940367833869203</c:v>
                </c:pt>
                <c:pt idx="21">
                  <c:v>46.812334717492</c:v>
                </c:pt>
                <c:pt idx="22">
                  <c:v>46.569054696568102</c:v>
                </c:pt>
                <c:pt idx="23">
                  <c:v>46.0325870566394</c:v>
                </c:pt>
                <c:pt idx="24">
                  <c:v>44.883183230349303</c:v>
                </c:pt>
                <c:pt idx="25">
                  <c:v>42.7270314926783</c:v>
                </c:pt>
                <c:pt idx="26">
                  <c:v>39.647693240659699</c:v>
                </c:pt>
                <c:pt idx="27">
                  <c:v>36.249613669942697</c:v>
                </c:pt>
                <c:pt idx="28">
                  <c:v>33.263968125288102</c:v>
                </c:pt>
                <c:pt idx="29">
                  <c:v>31.322017092526401</c:v>
                </c:pt>
                <c:pt idx="30">
                  <c:v>30.676582409994101</c:v>
                </c:pt>
                <c:pt idx="31">
                  <c:v>31.135142514092902</c:v>
                </c:pt>
                <c:pt idx="32">
                  <c:v>32.091290926539202</c:v>
                </c:pt>
                <c:pt idx="33">
                  <c:v>33.1409564751471</c:v>
                </c:pt>
                <c:pt idx="34">
                  <c:v>34.140169611668597</c:v>
                </c:pt>
                <c:pt idx="35">
                  <c:v>35.101265973610403</c:v>
                </c:pt>
                <c:pt idx="36">
                  <c:v>36.422566882647402</c:v>
                </c:pt>
                <c:pt idx="37">
                  <c:v>38.457130733608203</c:v>
                </c:pt>
                <c:pt idx="38">
                  <c:v>41.142518519659603</c:v>
                </c:pt>
                <c:pt idx="39">
                  <c:v>44.193504119829001</c:v>
                </c:pt>
                <c:pt idx="40">
                  <c:v>47.011384672611399</c:v>
                </c:pt>
                <c:pt idx="41">
                  <c:v>49.123843707318898</c:v>
                </c:pt>
                <c:pt idx="42">
                  <c:v>50.304886324240698</c:v>
                </c:pt>
                <c:pt idx="43">
                  <c:v>50.852744287201197</c:v>
                </c:pt>
                <c:pt idx="44">
                  <c:v>51.233029501196</c:v>
                </c:pt>
                <c:pt idx="45">
                  <c:v>51.520952497303</c:v>
                </c:pt>
                <c:pt idx="46">
                  <c:v>51.6341916524513</c:v>
                </c:pt>
                <c:pt idx="47">
                  <c:v>51.3826616252653</c:v>
                </c:pt>
                <c:pt idx="48">
                  <c:v>50.8705152809355</c:v>
                </c:pt>
                <c:pt idx="49">
                  <c:v>50.427093482620101</c:v>
                </c:pt>
                <c:pt idx="50">
                  <c:v>50.276767680339098</c:v>
                </c:pt>
                <c:pt idx="51">
                  <c:v>50.277795577202198</c:v>
                </c:pt>
                <c:pt idx="52">
                  <c:v>50.100813044580498</c:v>
                </c:pt>
                <c:pt idx="53">
                  <c:v>49.641962630822697</c:v>
                </c:pt>
                <c:pt idx="54">
                  <c:v>49.1095817553703</c:v>
                </c:pt>
                <c:pt idx="55">
                  <c:v>48.693854559041</c:v>
                </c:pt>
                <c:pt idx="56">
                  <c:v>48.530972939208297</c:v>
                </c:pt>
                <c:pt idx="57">
                  <c:v>48.553718303808999</c:v>
                </c:pt>
                <c:pt idx="58">
                  <c:v>48.769255166901097</c:v>
                </c:pt>
                <c:pt idx="59">
                  <c:v>49.260932110954499</c:v>
                </c:pt>
                <c:pt idx="60">
                  <c:v>50.000096231032103</c:v>
                </c:pt>
                <c:pt idx="61">
                  <c:v>50.827436809055399</c:v>
                </c:pt>
                <c:pt idx="62">
                  <c:v>51.550589693937603</c:v>
                </c:pt>
                <c:pt idx="63">
                  <c:v>52.108304040388902</c:v>
                </c:pt>
                <c:pt idx="64">
                  <c:v>52.592536588907699</c:v>
                </c:pt>
                <c:pt idx="65">
                  <c:v>53.026827866675497</c:v>
                </c:pt>
                <c:pt idx="66">
                  <c:v>53.400841276404101</c:v>
                </c:pt>
                <c:pt idx="67">
                  <c:v>53.616200958632099</c:v>
                </c:pt>
                <c:pt idx="68">
                  <c:v>53.696907321181101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BDA-4994-8A71-3BA2A12DE950}"/>
            </c:ext>
          </c:extLst>
        </c:ser>
        <c:ser>
          <c:idx val="1"/>
          <c:order val="1"/>
          <c:tx>
            <c:strRef>
              <c:f>Datos!$O$3</c:f>
              <c:strCache>
                <c:ptCount val="1"/>
                <c:pt idx="0">
                  <c:v>ICE Construcción</c:v>
                </c:pt>
              </c:strCache>
            </c:strRef>
          </c:tx>
          <c:spPr>
            <a:ln w="12700" cmpd="thinThick">
              <a:solidFill>
                <a:srgbClr val="33CC33"/>
              </a:solidFill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Datos!$U$175:$U$246</c:f>
              <c:numCache>
                <c:formatCode>0.0</c:formatCode>
                <c:ptCount val="69"/>
                <c:pt idx="0">
                  <c:v>36.258404771964699</c:v>
                </c:pt>
                <c:pt idx="1">
                  <c:v>36.1001610417986</c:v>
                </c:pt>
                <c:pt idx="2">
                  <c:v>36.225907229445703</c:v>
                </c:pt>
                <c:pt idx="3">
                  <c:v>36.6159169651539</c:v>
                </c:pt>
                <c:pt idx="4">
                  <c:v>37.2302506922098</c:v>
                </c:pt>
                <c:pt idx="5">
                  <c:v>37.950420358131097</c:v>
                </c:pt>
                <c:pt idx="6">
                  <c:v>38.609502860965399</c:v>
                </c:pt>
                <c:pt idx="7">
                  <c:v>39.112426488136698</c:v>
                </c:pt>
                <c:pt idx="8">
                  <c:v>39.3989833962384</c:v>
                </c:pt>
                <c:pt idx="9">
                  <c:v>39.488457969904502</c:v>
                </c:pt>
                <c:pt idx="10">
                  <c:v>39.465491695001496</c:v>
                </c:pt>
                <c:pt idx="11">
                  <c:v>39.498998004931003</c:v>
                </c:pt>
                <c:pt idx="12">
                  <c:v>39.7832188315381</c:v>
                </c:pt>
                <c:pt idx="13">
                  <c:v>40.265701322995199</c:v>
                </c:pt>
                <c:pt idx="14">
                  <c:v>40.772947036904597</c:v>
                </c:pt>
                <c:pt idx="15">
                  <c:v>41.201202956906599</c:v>
                </c:pt>
                <c:pt idx="16">
                  <c:v>41.465887471940903</c:v>
                </c:pt>
                <c:pt idx="17">
                  <c:v>41.430013005922397</c:v>
                </c:pt>
                <c:pt idx="18">
                  <c:v>41.150248712152901</c:v>
                </c:pt>
                <c:pt idx="19">
                  <c:v>40.804217588706699</c:v>
                </c:pt>
                <c:pt idx="20">
                  <c:v>40.562283829173701</c:v>
                </c:pt>
                <c:pt idx="21">
                  <c:v>40.472686871289703</c:v>
                </c:pt>
                <c:pt idx="22">
                  <c:v>40.375038095937001</c:v>
                </c:pt>
                <c:pt idx="23">
                  <c:v>39.955564656397399</c:v>
                </c:pt>
                <c:pt idx="24">
                  <c:v>38.913579538239702</c:v>
                </c:pt>
                <c:pt idx="25">
                  <c:v>37.166672647314599</c:v>
                </c:pt>
                <c:pt idx="26">
                  <c:v>34.811479352376097</c:v>
                </c:pt>
                <c:pt idx="27">
                  <c:v>32.0974724653191</c:v>
                </c:pt>
                <c:pt idx="28">
                  <c:v>29.4492763296936</c:v>
                </c:pt>
                <c:pt idx="29">
                  <c:v>27.327469601997901</c:v>
                </c:pt>
                <c:pt idx="30">
                  <c:v>25.998441029841501</c:v>
                </c:pt>
                <c:pt idx="31">
                  <c:v>25.453432333630602</c:v>
                </c:pt>
                <c:pt idx="32">
                  <c:v>25.554777511118498</c:v>
                </c:pt>
                <c:pt idx="33">
                  <c:v>26.056727005029199</c:v>
                </c:pt>
                <c:pt idx="34">
                  <c:v>26.669274449624901</c:v>
                </c:pt>
                <c:pt idx="35">
                  <c:v>27.266040394279099</c:v>
                </c:pt>
                <c:pt idx="36">
                  <c:v>27.889436413431799</c:v>
                </c:pt>
                <c:pt idx="37">
                  <c:v>28.766562921544701</c:v>
                </c:pt>
                <c:pt idx="38">
                  <c:v>30.064017375302601</c:v>
                </c:pt>
                <c:pt idx="39">
                  <c:v>31.7956837937604</c:v>
                </c:pt>
                <c:pt idx="40">
                  <c:v>33.825759633559002</c:v>
                </c:pt>
                <c:pt idx="41">
                  <c:v>36.006802218494201</c:v>
                </c:pt>
                <c:pt idx="42">
                  <c:v>38.204257247338397</c:v>
                </c:pt>
                <c:pt idx="43">
                  <c:v>40.255141313018001</c:v>
                </c:pt>
                <c:pt idx="44">
                  <c:v>42.002446280441497</c:v>
                </c:pt>
                <c:pt idx="45">
                  <c:v>43.476974819113401</c:v>
                </c:pt>
                <c:pt idx="46">
                  <c:v>44.739505071747601</c:v>
                </c:pt>
                <c:pt idx="47">
                  <c:v>45.914412940398499</c:v>
                </c:pt>
                <c:pt idx="48">
                  <c:v>47.100831557250601</c:v>
                </c:pt>
                <c:pt idx="49">
                  <c:v>48.307923417043099</c:v>
                </c:pt>
                <c:pt idx="50">
                  <c:v>49.511174350402797</c:v>
                </c:pt>
                <c:pt idx="51">
                  <c:v>50.5436184087173</c:v>
                </c:pt>
                <c:pt idx="52">
                  <c:v>51.116225520708397</c:v>
                </c:pt>
                <c:pt idx="53">
                  <c:v>51.142492285439602</c:v>
                </c:pt>
                <c:pt idx="54">
                  <c:v>50.678434458835497</c:v>
                </c:pt>
                <c:pt idx="55">
                  <c:v>49.983814823354201</c:v>
                </c:pt>
                <c:pt idx="56">
                  <c:v>49.372983966182098</c:v>
                </c:pt>
                <c:pt idx="57">
                  <c:v>48.966878150142698</c:v>
                </c:pt>
                <c:pt idx="58">
                  <c:v>48.8323274381234</c:v>
                </c:pt>
                <c:pt idx="59">
                  <c:v>48.999565941713698</c:v>
                </c:pt>
                <c:pt idx="60">
                  <c:v>49.340318225455903</c:v>
                </c:pt>
                <c:pt idx="61">
                  <c:v>49.779897422951798</c:v>
                </c:pt>
                <c:pt idx="62">
                  <c:v>50.2527830435818</c:v>
                </c:pt>
                <c:pt idx="63">
                  <c:v>50.684185526649301</c:v>
                </c:pt>
                <c:pt idx="64">
                  <c:v>50.999199742866303</c:v>
                </c:pt>
                <c:pt idx="65">
                  <c:v>51.1017986169539</c:v>
                </c:pt>
                <c:pt idx="66">
                  <c:v>51.019651350055703</c:v>
                </c:pt>
                <c:pt idx="67">
                  <c:v>50.883319255310099</c:v>
                </c:pt>
                <c:pt idx="68">
                  <c:v>50.742375774104801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BDA-4994-8A71-3BA2A12DE950}"/>
            </c:ext>
          </c:extLst>
        </c:ser>
        <c:ser>
          <c:idx val="2"/>
          <c:order val="2"/>
          <c:tx>
            <c:strRef>
              <c:f>Datos!$AB$3</c:f>
              <c:strCache>
                <c:ptCount val="1"/>
                <c:pt idx="0">
                  <c:v>ICE Comercio</c:v>
                </c:pt>
              </c:strCache>
            </c:strRef>
          </c:tx>
          <c:spPr>
            <a:ln w="12700">
              <a:solidFill>
                <a:srgbClr val="0000FF"/>
              </a:solidFill>
              <a:prstDash val="sysDash"/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Datos!$AH$175:$AH$246</c:f>
              <c:numCache>
                <c:formatCode>0.0</c:formatCode>
                <c:ptCount val="69"/>
                <c:pt idx="0">
                  <c:v>42.455891129256301</c:v>
                </c:pt>
                <c:pt idx="1">
                  <c:v>42.6385304812149</c:v>
                </c:pt>
                <c:pt idx="2">
                  <c:v>43.0819432231254</c:v>
                </c:pt>
                <c:pt idx="3">
                  <c:v>43.700274915596097</c:v>
                </c:pt>
                <c:pt idx="4">
                  <c:v>44.331501317708103</c:v>
                </c:pt>
                <c:pt idx="5">
                  <c:v>44.924051609063099</c:v>
                </c:pt>
                <c:pt idx="6">
                  <c:v>45.310007681873699</c:v>
                </c:pt>
                <c:pt idx="7">
                  <c:v>45.386148192352699</c:v>
                </c:pt>
                <c:pt idx="8">
                  <c:v>45.307799501489299</c:v>
                </c:pt>
                <c:pt idx="9">
                  <c:v>45.305956649361498</c:v>
                </c:pt>
                <c:pt idx="10">
                  <c:v>45.605806001547698</c:v>
                </c:pt>
                <c:pt idx="11">
                  <c:v>46.245419693469898</c:v>
                </c:pt>
                <c:pt idx="12">
                  <c:v>47.099530128543698</c:v>
                </c:pt>
                <c:pt idx="13">
                  <c:v>47.782822318765497</c:v>
                </c:pt>
                <c:pt idx="14">
                  <c:v>47.948753215051198</c:v>
                </c:pt>
                <c:pt idx="15">
                  <c:v>47.500758037628003</c:v>
                </c:pt>
                <c:pt idx="16">
                  <c:v>46.601516116530902</c:v>
                </c:pt>
                <c:pt idx="17">
                  <c:v>45.563820035620701</c:v>
                </c:pt>
                <c:pt idx="18">
                  <c:v>44.665861775276099</c:v>
                </c:pt>
                <c:pt idx="19">
                  <c:v>44.123212559711398</c:v>
                </c:pt>
                <c:pt idx="20">
                  <c:v>43.955734565058499</c:v>
                </c:pt>
                <c:pt idx="21">
                  <c:v>44.027693363355098</c:v>
                </c:pt>
                <c:pt idx="22">
                  <c:v>44.048925442059499</c:v>
                </c:pt>
                <c:pt idx="23">
                  <c:v>43.630590576068897</c:v>
                </c:pt>
                <c:pt idx="24">
                  <c:v>42.4983730946417</c:v>
                </c:pt>
                <c:pt idx="25">
                  <c:v>40.500120876009298</c:v>
                </c:pt>
                <c:pt idx="26">
                  <c:v>37.7620061999773</c:v>
                </c:pt>
                <c:pt idx="27">
                  <c:v>34.659349212356702</c:v>
                </c:pt>
                <c:pt idx="28">
                  <c:v>31.693560628892101</c:v>
                </c:pt>
                <c:pt idx="29">
                  <c:v>29.318622822222999</c:v>
                </c:pt>
                <c:pt idx="30">
                  <c:v>27.831090620205799</c:v>
                </c:pt>
                <c:pt idx="31">
                  <c:v>27.2062666651135</c:v>
                </c:pt>
                <c:pt idx="32">
                  <c:v>27.325916017457502</c:v>
                </c:pt>
                <c:pt idx="33">
                  <c:v>28.047170640240601</c:v>
                </c:pt>
                <c:pt idx="34">
                  <c:v>29.269099028723801</c:v>
                </c:pt>
                <c:pt idx="35">
                  <c:v>30.980220144839802</c:v>
                </c:pt>
                <c:pt idx="36">
                  <c:v>33.191058564664303</c:v>
                </c:pt>
                <c:pt idx="37">
                  <c:v>35.912140243789402</c:v>
                </c:pt>
                <c:pt idx="38">
                  <c:v>39.040455723766797</c:v>
                </c:pt>
                <c:pt idx="39">
                  <c:v>42.328238037969498</c:v>
                </c:pt>
                <c:pt idx="40">
                  <c:v>45.413606384608102</c:v>
                </c:pt>
                <c:pt idx="41">
                  <c:v>48.022305583186899</c:v>
                </c:pt>
                <c:pt idx="42">
                  <c:v>50.000877836505197</c:v>
                </c:pt>
                <c:pt idx="43">
                  <c:v>51.397863752739298</c:v>
                </c:pt>
                <c:pt idx="44">
                  <c:v>52.3918753189661</c:v>
                </c:pt>
                <c:pt idx="45">
                  <c:v>53.074593591056498</c:v>
                </c:pt>
                <c:pt idx="46">
                  <c:v>53.524682478837498</c:v>
                </c:pt>
                <c:pt idx="47">
                  <c:v>53.777302802334702</c:v>
                </c:pt>
                <c:pt idx="48">
                  <c:v>53.8679840906536</c:v>
                </c:pt>
                <c:pt idx="49">
                  <c:v>53.819034151096602</c:v>
                </c:pt>
                <c:pt idx="50">
                  <c:v>53.601289771374098</c:v>
                </c:pt>
                <c:pt idx="51">
                  <c:v>53.204761371755197</c:v>
                </c:pt>
                <c:pt idx="52">
                  <c:v>52.616568706834997</c:v>
                </c:pt>
                <c:pt idx="53">
                  <c:v>51.919918194808297</c:v>
                </c:pt>
                <c:pt idx="54">
                  <c:v>51.228822398190097</c:v>
                </c:pt>
                <c:pt idx="55">
                  <c:v>50.729959595940102</c:v>
                </c:pt>
                <c:pt idx="56">
                  <c:v>50.509276781240203</c:v>
                </c:pt>
                <c:pt idx="57">
                  <c:v>50.613959097404098</c:v>
                </c:pt>
                <c:pt idx="58">
                  <c:v>51.007001715472398</c:v>
                </c:pt>
                <c:pt idx="59">
                  <c:v>51.587910161908603</c:v>
                </c:pt>
                <c:pt idx="60">
                  <c:v>52.304043014953102</c:v>
                </c:pt>
                <c:pt idx="61">
                  <c:v>53.1089935351661</c:v>
                </c:pt>
                <c:pt idx="62">
                  <c:v>53.9799644248126</c:v>
                </c:pt>
                <c:pt idx="63">
                  <c:v>54.834676051390801</c:v>
                </c:pt>
                <c:pt idx="64">
                  <c:v>55.530910188119002</c:v>
                </c:pt>
                <c:pt idx="65">
                  <c:v>55.919654781291598</c:v>
                </c:pt>
                <c:pt idx="66">
                  <c:v>55.939478859925401</c:v>
                </c:pt>
                <c:pt idx="67">
                  <c:v>55.701759430984097</c:v>
                </c:pt>
                <c:pt idx="68">
                  <c:v>55.3799168469561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BDA-4994-8A71-3BA2A12DE950}"/>
            </c:ext>
          </c:extLst>
        </c:ser>
        <c:ser>
          <c:idx val="3"/>
          <c:order val="3"/>
          <c:tx>
            <c:strRef>
              <c:f>Datos!$AP$3</c:f>
              <c:strCache>
                <c:ptCount val="1"/>
                <c:pt idx="0">
                  <c:v>ICE Servicios</c:v>
                </c:pt>
              </c:strCache>
            </c:strRef>
          </c:tx>
          <c:spPr>
            <a:ln w="15875">
              <a:solidFill>
                <a:srgbClr val="000066"/>
              </a:solidFill>
              <a:prstDash val="sysDot"/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Datos!$AU$175:$AU$246</c:f>
              <c:numCache>
                <c:formatCode>0.0</c:formatCode>
                <c:ptCount val="69"/>
                <c:pt idx="0">
                  <c:v>39.8778783197302</c:v>
                </c:pt>
                <c:pt idx="1">
                  <c:v>39.602837237896999</c:v>
                </c:pt>
                <c:pt idx="2">
                  <c:v>39.518365907020502</c:v>
                </c:pt>
                <c:pt idx="3">
                  <c:v>39.880960000164201</c:v>
                </c:pt>
                <c:pt idx="4">
                  <c:v>40.663817754380098</c:v>
                </c:pt>
                <c:pt idx="5">
                  <c:v>41.682036394946799</c:v>
                </c:pt>
                <c:pt idx="6">
                  <c:v>42.740629765897999</c:v>
                </c:pt>
                <c:pt idx="7">
                  <c:v>43.386695499958499</c:v>
                </c:pt>
                <c:pt idx="8">
                  <c:v>43.304395113108498</c:v>
                </c:pt>
                <c:pt idx="9">
                  <c:v>42.783288109774901</c:v>
                </c:pt>
                <c:pt idx="10">
                  <c:v>42.840242698478001</c:v>
                </c:pt>
                <c:pt idx="11">
                  <c:v>43.895933772110197</c:v>
                </c:pt>
                <c:pt idx="12">
                  <c:v>45.5765071986837</c:v>
                </c:pt>
                <c:pt idx="13">
                  <c:v>46.927009872480497</c:v>
                </c:pt>
                <c:pt idx="14">
                  <c:v>47.199317153434798</c:v>
                </c:pt>
                <c:pt idx="15">
                  <c:v>46.372431098313399</c:v>
                </c:pt>
                <c:pt idx="16">
                  <c:v>45.026427807486598</c:v>
                </c:pt>
                <c:pt idx="17">
                  <c:v>43.789666392431101</c:v>
                </c:pt>
                <c:pt idx="18">
                  <c:v>43.0264742904155</c:v>
                </c:pt>
                <c:pt idx="19">
                  <c:v>42.614340189222503</c:v>
                </c:pt>
                <c:pt idx="20">
                  <c:v>42.2892344714109</c:v>
                </c:pt>
                <c:pt idx="21">
                  <c:v>41.885826195335603</c:v>
                </c:pt>
                <c:pt idx="22">
                  <c:v>41.426503369942402</c:v>
                </c:pt>
                <c:pt idx="23">
                  <c:v>40.728606383467401</c:v>
                </c:pt>
                <c:pt idx="24">
                  <c:v>39.4096022266828</c:v>
                </c:pt>
                <c:pt idx="25">
                  <c:v>37.305420431447601</c:v>
                </c:pt>
                <c:pt idx="26">
                  <c:v>34.361976737677402</c:v>
                </c:pt>
                <c:pt idx="27">
                  <c:v>31.0348125116905</c:v>
                </c:pt>
                <c:pt idx="28">
                  <c:v>27.840765901040601</c:v>
                </c:pt>
                <c:pt idx="29">
                  <c:v>25.021717536685301</c:v>
                </c:pt>
                <c:pt idx="30">
                  <c:v>22.870087104780101</c:v>
                </c:pt>
                <c:pt idx="31">
                  <c:v>21.6124311124107</c:v>
                </c:pt>
                <c:pt idx="32">
                  <c:v>21.224984272526999</c:v>
                </c:pt>
                <c:pt idx="33">
                  <c:v>21.506317480016801</c:v>
                </c:pt>
                <c:pt idx="34">
                  <c:v>22.209610315159701</c:v>
                </c:pt>
                <c:pt idx="35">
                  <c:v>23.434513185008399</c:v>
                </c:pt>
                <c:pt idx="36">
                  <c:v>25.433391306662301</c:v>
                </c:pt>
                <c:pt idx="37">
                  <c:v>28.527373387738901</c:v>
                </c:pt>
                <c:pt idx="38">
                  <c:v>32.638619985394399</c:v>
                </c:pt>
                <c:pt idx="39">
                  <c:v>37.378034094200899</c:v>
                </c:pt>
                <c:pt idx="40">
                  <c:v>41.8919734116947</c:v>
                </c:pt>
                <c:pt idx="41">
                  <c:v>45.381588229437398</c:v>
                </c:pt>
                <c:pt idx="42">
                  <c:v>47.598227889757297</c:v>
                </c:pt>
                <c:pt idx="43">
                  <c:v>48.957745371653601</c:v>
                </c:pt>
                <c:pt idx="44">
                  <c:v>50.337103557487502</c:v>
                </c:pt>
                <c:pt idx="45">
                  <c:v>51.735264026684398</c:v>
                </c:pt>
                <c:pt idx="46">
                  <c:v>52.438252071268799</c:v>
                </c:pt>
                <c:pt idx="47">
                  <c:v>51.935586685154</c:v>
                </c:pt>
                <c:pt idx="48">
                  <c:v>50.686376666866003</c:v>
                </c:pt>
                <c:pt idx="49">
                  <c:v>50.065810823781099</c:v>
                </c:pt>
                <c:pt idx="50">
                  <c:v>50.679798930171202</c:v>
                </c:pt>
                <c:pt idx="51">
                  <c:v>51.902770886377901</c:v>
                </c:pt>
                <c:pt idx="52">
                  <c:v>52.260728880059602</c:v>
                </c:pt>
                <c:pt idx="53">
                  <c:v>50.695293384721303</c:v>
                </c:pt>
                <c:pt idx="54">
                  <c:v>48.046067750114602</c:v>
                </c:pt>
                <c:pt idx="55">
                  <c:v>45.742441888118101</c:v>
                </c:pt>
                <c:pt idx="56">
                  <c:v>44.464289724346798</c:v>
                </c:pt>
                <c:pt idx="57">
                  <c:v>43.846089402310596</c:v>
                </c:pt>
                <c:pt idx="58">
                  <c:v>43.292068603462901</c:v>
                </c:pt>
                <c:pt idx="59">
                  <c:v>43.210967142844702</c:v>
                </c:pt>
                <c:pt idx="60">
                  <c:v>44.258689899549204</c:v>
                </c:pt>
                <c:pt idx="61">
                  <c:v>46.793217522807097</c:v>
                </c:pt>
                <c:pt idx="62">
                  <c:v>49.893435763914802</c:v>
                </c:pt>
                <c:pt idx="63">
                  <c:v>52.452311244868397</c:v>
                </c:pt>
                <c:pt idx="64">
                  <c:v>54.258284772846103</c:v>
                </c:pt>
                <c:pt idx="65">
                  <c:v>55.632924451231197</c:v>
                </c:pt>
                <c:pt idx="66">
                  <c:v>56.991664428035698</c:v>
                </c:pt>
                <c:pt idx="67">
                  <c:v>58.083510560233997</c:v>
                </c:pt>
                <c:pt idx="68">
                  <c:v>58.623386837092397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7BDA-4994-8A71-3BA2A12DE9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12826216"/>
        <c:axId val="458972112"/>
      </c:lineChart>
      <c:catAx>
        <c:axId val="512826216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500"/>
            </a:pPr>
            <a:endParaRPr lang="es-MX"/>
          </a:p>
        </c:txPr>
        <c:crossAx val="458972112"/>
        <c:crossesAt val="50"/>
        <c:auto val="1"/>
        <c:lblAlgn val="ctr"/>
        <c:lblOffset val="100"/>
        <c:tickLblSkip val="4"/>
        <c:tickMarkSkip val="12"/>
        <c:noMultiLvlLbl val="1"/>
      </c:catAx>
      <c:valAx>
        <c:axId val="458972112"/>
        <c:scaling>
          <c:orientation val="minMax"/>
          <c:max val="60"/>
          <c:min val="20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#,##0_ ;[Red]\-#,##0\ 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600"/>
            </a:pPr>
            <a:endParaRPr lang="es-MX"/>
          </a:p>
        </c:txPr>
        <c:crossAx val="512826216"/>
        <c:crosses val="autoZero"/>
        <c:crossBetween val="between"/>
        <c:majorUnit val="10"/>
        <c:minorUnit val="2"/>
      </c:valAx>
      <c:spPr>
        <a:noFill/>
      </c:spPr>
    </c:plotArea>
    <c:legend>
      <c:legendPos val="b"/>
      <c:layout>
        <c:manualLayout>
          <c:xMode val="edge"/>
          <c:yMode val="edge"/>
          <c:x val="3.6782797834755136E-3"/>
          <c:y val="0.9059709149486882"/>
          <c:w val="0.99206085824419898"/>
          <c:h val="9.4029085051311675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5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0768258749648994E-2"/>
          <c:y val="5.2266375519339769E-2"/>
          <c:w val="0.90836653895274588"/>
          <c:h val="0.75096825089680419"/>
        </c:manualLayout>
      </c:layout>
      <c:lineChart>
        <c:grouping val="standard"/>
        <c:varyColors val="0"/>
        <c:ser>
          <c:idx val="0"/>
          <c:order val="0"/>
          <c:tx>
            <c:strRef>
              <c:f>Datos!$C$3</c:f>
              <c:strCache>
                <c:ptCount val="1"/>
                <c:pt idx="0">
                  <c:v>ICE Manufacturero</c:v>
                </c:pt>
              </c:strCache>
            </c:strRef>
          </c:tx>
          <c:spPr>
            <a:ln w="12700">
              <a:solidFill>
                <a:srgbClr val="FF0000"/>
              </a:solidFill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Datos!$J$175:$J$246</c:f>
              <c:numCache>
                <c:formatCode>0.0</c:formatCode>
                <c:ptCount val="69"/>
                <c:pt idx="0">
                  <c:v>51.049783024816797</c:v>
                </c:pt>
                <c:pt idx="1">
                  <c:v>51.210496475762703</c:v>
                </c:pt>
                <c:pt idx="2">
                  <c:v>51.410249485577197</c:v>
                </c:pt>
                <c:pt idx="3">
                  <c:v>51.709647967334902</c:v>
                </c:pt>
                <c:pt idx="4">
                  <c:v>52.128039243134502</c:v>
                </c:pt>
                <c:pt idx="5">
                  <c:v>52.635723642549898</c:v>
                </c:pt>
                <c:pt idx="6">
                  <c:v>53.140790139910401</c:v>
                </c:pt>
                <c:pt idx="7">
                  <c:v>53.609946983242899</c:v>
                </c:pt>
                <c:pt idx="8">
                  <c:v>53.971002525993804</c:v>
                </c:pt>
                <c:pt idx="9">
                  <c:v>54.214259309238898</c:v>
                </c:pt>
                <c:pt idx="10">
                  <c:v>54.358689316779802</c:v>
                </c:pt>
                <c:pt idx="11">
                  <c:v>54.468449985520401</c:v>
                </c:pt>
                <c:pt idx="12">
                  <c:v>54.598927420298601</c:v>
                </c:pt>
                <c:pt idx="13">
                  <c:v>54.738846996462001</c:v>
                </c:pt>
                <c:pt idx="14">
                  <c:v>54.742236651943699</c:v>
                </c:pt>
                <c:pt idx="15">
                  <c:v>54.510067038783099</c:v>
                </c:pt>
                <c:pt idx="16">
                  <c:v>54.092123103284699</c:v>
                </c:pt>
                <c:pt idx="17">
                  <c:v>53.602331060064003</c:v>
                </c:pt>
                <c:pt idx="18">
                  <c:v>53.149818854645503</c:v>
                </c:pt>
                <c:pt idx="19">
                  <c:v>52.808373749018102</c:v>
                </c:pt>
                <c:pt idx="20">
                  <c:v>52.5618445330187</c:v>
                </c:pt>
                <c:pt idx="21">
                  <c:v>52.3413172152352</c:v>
                </c:pt>
                <c:pt idx="22">
                  <c:v>52.007678049998198</c:v>
                </c:pt>
                <c:pt idx="23">
                  <c:v>51.489678492038799</c:v>
                </c:pt>
                <c:pt idx="24">
                  <c:v>50.755028450656901</c:v>
                </c:pt>
                <c:pt idx="25">
                  <c:v>49.919573227012997</c:v>
                </c:pt>
                <c:pt idx="26">
                  <c:v>49.128095423633397</c:v>
                </c:pt>
                <c:pt idx="27">
                  <c:v>48.5536456687244</c:v>
                </c:pt>
                <c:pt idx="28">
                  <c:v>48.323455419786498</c:v>
                </c:pt>
                <c:pt idx="29">
                  <c:v>48.507551211152602</c:v>
                </c:pt>
                <c:pt idx="30">
                  <c:v>49.046581650480299</c:v>
                </c:pt>
                <c:pt idx="31">
                  <c:v>49.780279867289003</c:v>
                </c:pt>
                <c:pt idx="32">
                  <c:v>50.581809694435101</c:v>
                </c:pt>
                <c:pt idx="33">
                  <c:v>51.402594724318</c:v>
                </c:pt>
                <c:pt idx="34">
                  <c:v>52.238495218188703</c:v>
                </c:pt>
                <c:pt idx="35">
                  <c:v>53.059618480633098</c:v>
                </c:pt>
                <c:pt idx="36">
                  <c:v>53.8415238747491</c:v>
                </c:pt>
                <c:pt idx="37">
                  <c:v>54.587974934515003</c:v>
                </c:pt>
                <c:pt idx="38">
                  <c:v>55.258914860683802</c:v>
                </c:pt>
                <c:pt idx="39">
                  <c:v>55.833652238629298</c:v>
                </c:pt>
                <c:pt idx="40">
                  <c:v>56.262001724338901</c:v>
                </c:pt>
                <c:pt idx="41">
                  <c:v>56.583391829427399</c:v>
                </c:pt>
                <c:pt idx="42">
                  <c:v>56.885019615357898</c:v>
                </c:pt>
                <c:pt idx="43">
                  <c:v>57.162909232990998</c:v>
                </c:pt>
                <c:pt idx="44">
                  <c:v>57.338232985344803</c:v>
                </c:pt>
                <c:pt idx="45">
                  <c:v>57.302129511566903</c:v>
                </c:pt>
                <c:pt idx="46">
                  <c:v>57.0423094516673</c:v>
                </c:pt>
                <c:pt idx="47">
                  <c:v>56.6100257517217</c:v>
                </c:pt>
                <c:pt idx="48">
                  <c:v>56.083976354151297</c:v>
                </c:pt>
                <c:pt idx="49">
                  <c:v>55.536661196519603</c:v>
                </c:pt>
                <c:pt idx="50">
                  <c:v>55.063988210109599</c:v>
                </c:pt>
                <c:pt idx="51">
                  <c:v>54.728401242955599</c:v>
                </c:pt>
                <c:pt idx="52">
                  <c:v>54.4685996531733</c:v>
                </c:pt>
                <c:pt idx="53">
                  <c:v>54.177017937649801</c:v>
                </c:pt>
                <c:pt idx="54">
                  <c:v>53.7585653525081</c:v>
                </c:pt>
                <c:pt idx="55">
                  <c:v>53.253109545624099</c:v>
                </c:pt>
                <c:pt idx="56">
                  <c:v>52.823353530631103</c:v>
                </c:pt>
                <c:pt idx="57">
                  <c:v>52.648489873735002</c:v>
                </c:pt>
                <c:pt idx="58">
                  <c:v>52.826930684754103</c:v>
                </c:pt>
                <c:pt idx="59">
                  <c:v>53.352683198829702</c:v>
                </c:pt>
                <c:pt idx="60">
                  <c:v>54.159880751481403</c:v>
                </c:pt>
                <c:pt idx="61">
                  <c:v>55.063798918439403</c:v>
                </c:pt>
                <c:pt idx="62">
                  <c:v>55.8245723447179</c:v>
                </c:pt>
                <c:pt idx="63">
                  <c:v>56.276152317310299</c:v>
                </c:pt>
                <c:pt idx="64">
                  <c:v>56.421027582190099</c:v>
                </c:pt>
                <c:pt idx="65">
                  <c:v>56.3837821567096</c:v>
                </c:pt>
                <c:pt idx="66">
                  <c:v>56.289755629769203</c:v>
                </c:pt>
                <c:pt idx="67">
                  <c:v>56.220939452425398</c:v>
                </c:pt>
                <c:pt idx="68">
                  <c:v>56.195876075791702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BC2-442B-A129-388F6EE13DE6}"/>
            </c:ext>
          </c:extLst>
        </c:ser>
        <c:ser>
          <c:idx val="1"/>
          <c:order val="1"/>
          <c:tx>
            <c:strRef>
              <c:f>Datos!$O$3</c:f>
              <c:strCache>
                <c:ptCount val="1"/>
                <c:pt idx="0">
                  <c:v>ICE Construcción</c:v>
                </c:pt>
              </c:strCache>
            </c:strRef>
          </c:tx>
          <c:spPr>
            <a:ln w="12700" cmpd="thinThick">
              <a:solidFill>
                <a:srgbClr val="33CC33"/>
              </a:solidFill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Datos!$W$175:$W$246</c:f>
              <c:numCache>
                <c:formatCode>0.0</c:formatCode>
                <c:ptCount val="69"/>
                <c:pt idx="0">
                  <c:v>55.976428949538501</c:v>
                </c:pt>
                <c:pt idx="1">
                  <c:v>56.1189606935895</c:v>
                </c:pt>
                <c:pt idx="2">
                  <c:v>56.582388119418198</c:v>
                </c:pt>
                <c:pt idx="3">
                  <c:v>57.2842376695721</c:v>
                </c:pt>
                <c:pt idx="4">
                  <c:v>58.157211005839599</c:v>
                </c:pt>
                <c:pt idx="5">
                  <c:v>58.992615405746697</c:v>
                </c:pt>
                <c:pt idx="6">
                  <c:v>59.626428140945301</c:v>
                </c:pt>
                <c:pt idx="7">
                  <c:v>59.925424899717697</c:v>
                </c:pt>
                <c:pt idx="8">
                  <c:v>59.897314318433303</c:v>
                </c:pt>
                <c:pt idx="9">
                  <c:v>59.653408402741398</c:v>
                </c:pt>
                <c:pt idx="10">
                  <c:v>59.406342628167998</c:v>
                </c:pt>
                <c:pt idx="11">
                  <c:v>59.364730510618003</c:v>
                </c:pt>
                <c:pt idx="12">
                  <c:v>59.640794257913399</c:v>
                </c:pt>
                <c:pt idx="13">
                  <c:v>60.1970278876367</c:v>
                </c:pt>
                <c:pt idx="14">
                  <c:v>60.864920659545199</c:v>
                </c:pt>
                <c:pt idx="15">
                  <c:v>61.4665644108264</c:v>
                </c:pt>
                <c:pt idx="16">
                  <c:v>61.915148217093503</c:v>
                </c:pt>
                <c:pt idx="17">
                  <c:v>62.178014055995</c:v>
                </c:pt>
                <c:pt idx="18">
                  <c:v>62.326995000989903</c:v>
                </c:pt>
                <c:pt idx="19">
                  <c:v>62.353020510729102</c:v>
                </c:pt>
                <c:pt idx="20">
                  <c:v>62.298753475829301</c:v>
                </c:pt>
                <c:pt idx="21">
                  <c:v>62.122178832765201</c:v>
                </c:pt>
                <c:pt idx="22">
                  <c:v>61.7599221090301</c:v>
                </c:pt>
                <c:pt idx="23">
                  <c:v>61.125382697395203</c:v>
                </c:pt>
                <c:pt idx="24">
                  <c:v>60.218968101501197</c:v>
                </c:pt>
                <c:pt idx="25">
                  <c:v>59.2185228606672</c:v>
                </c:pt>
                <c:pt idx="26">
                  <c:v>58.276838405682597</c:v>
                </c:pt>
                <c:pt idx="27">
                  <c:v>57.516499814745302</c:v>
                </c:pt>
                <c:pt idx="28">
                  <c:v>57.0379302452844</c:v>
                </c:pt>
                <c:pt idx="29">
                  <c:v>56.931724307485702</c:v>
                </c:pt>
                <c:pt idx="30">
                  <c:v>57.1862012665812</c:v>
                </c:pt>
                <c:pt idx="31">
                  <c:v>57.692004283823202</c:v>
                </c:pt>
                <c:pt idx="32">
                  <c:v>58.292835132521901</c:v>
                </c:pt>
                <c:pt idx="33">
                  <c:v>58.866135822102798</c:v>
                </c:pt>
                <c:pt idx="34">
                  <c:v>59.389783757996398</c:v>
                </c:pt>
                <c:pt idx="35">
                  <c:v>59.819159041362198</c:v>
                </c:pt>
                <c:pt idx="36">
                  <c:v>60.162901633158299</c:v>
                </c:pt>
                <c:pt idx="37">
                  <c:v>60.5379526828536</c:v>
                </c:pt>
                <c:pt idx="38">
                  <c:v>60.998898825589499</c:v>
                </c:pt>
                <c:pt idx="39">
                  <c:v>61.509877215714297</c:v>
                </c:pt>
                <c:pt idx="40">
                  <c:v>61.923738359864402</c:v>
                </c:pt>
                <c:pt idx="41">
                  <c:v>62.159060007172798</c:v>
                </c:pt>
                <c:pt idx="42">
                  <c:v>62.266026689429999</c:v>
                </c:pt>
                <c:pt idx="43">
                  <c:v>62.359802881635602</c:v>
                </c:pt>
                <c:pt idx="44">
                  <c:v>62.539365332608497</c:v>
                </c:pt>
                <c:pt idx="45">
                  <c:v>62.867319546666103</c:v>
                </c:pt>
                <c:pt idx="46">
                  <c:v>63.256903239905</c:v>
                </c:pt>
                <c:pt idx="47">
                  <c:v>63.463564827381298</c:v>
                </c:pt>
                <c:pt idx="48">
                  <c:v>63.229637035345803</c:v>
                </c:pt>
                <c:pt idx="49">
                  <c:v>62.443593886073401</c:v>
                </c:pt>
                <c:pt idx="50">
                  <c:v>61.212075291931903</c:v>
                </c:pt>
                <c:pt idx="51">
                  <c:v>59.832440225162102</c:v>
                </c:pt>
                <c:pt idx="52">
                  <c:v>58.6132336317824</c:v>
                </c:pt>
                <c:pt idx="53">
                  <c:v>57.801367352666603</c:v>
                </c:pt>
                <c:pt idx="54">
                  <c:v>57.449927904290703</c:v>
                </c:pt>
                <c:pt idx="55">
                  <c:v>57.456174456957903</c:v>
                </c:pt>
                <c:pt idx="56">
                  <c:v>57.600766750789198</c:v>
                </c:pt>
                <c:pt idx="57">
                  <c:v>57.650814709304001</c:v>
                </c:pt>
                <c:pt idx="58">
                  <c:v>57.505579159324498</c:v>
                </c:pt>
                <c:pt idx="59">
                  <c:v>57.212916987711303</c:v>
                </c:pt>
                <c:pt idx="60">
                  <c:v>56.889505794192999</c:v>
                </c:pt>
                <c:pt idx="61">
                  <c:v>56.730230174410899</c:v>
                </c:pt>
                <c:pt idx="62">
                  <c:v>56.861737883166597</c:v>
                </c:pt>
                <c:pt idx="63">
                  <c:v>57.280951068917297</c:v>
                </c:pt>
                <c:pt idx="64">
                  <c:v>57.848930847396304</c:v>
                </c:pt>
                <c:pt idx="65">
                  <c:v>58.383478482453903</c:v>
                </c:pt>
                <c:pt idx="66">
                  <c:v>58.770337553024</c:v>
                </c:pt>
                <c:pt idx="67">
                  <c:v>58.967894666253102</c:v>
                </c:pt>
                <c:pt idx="68">
                  <c:v>58.999643209839299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BC2-442B-A129-388F6EE13DE6}"/>
            </c:ext>
          </c:extLst>
        </c:ser>
        <c:ser>
          <c:idx val="2"/>
          <c:order val="2"/>
          <c:tx>
            <c:strRef>
              <c:f>Datos!$AB$3</c:f>
              <c:strCache>
                <c:ptCount val="1"/>
                <c:pt idx="0">
                  <c:v>ICE Comercio</c:v>
                </c:pt>
              </c:strCache>
            </c:strRef>
          </c:tx>
          <c:spPr>
            <a:ln w="12700">
              <a:solidFill>
                <a:srgbClr val="0000FF"/>
              </a:solidFill>
              <a:prstDash val="sysDash"/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Datos!$AK$175:$AK$246</c:f>
              <c:numCache>
                <c:formatCode>0.0</c:formatCode>
                <c:ptCount val="69"/>
                <c:pt idx="0">
                  <c:v>54.451475156417203</c:v>
                </c:pt>
                <c:pt idx="1">
                  <c:v>54.534958474565002</c:v>
                </c:pt>
                <c:pt idx="2">
                  <c:v>54.950582798539301</c:v>
                </c:pt>
                <c:pt idx="3">
                  <c:v>55.679183547204701</c:v>
                </c:pt>
                <c:pt idx="4">
                  <c:v>56.650474557175997</c:v>
                </c:pt>
                <c:pt idx="5">
                  <c:v>57.711450943129101</c:v>
                </c:pt>
                <c:pt idx="6">
                  <c:v>58.645635086601203</c:v>
                </c:pt>
                <c:pt idx="7">
                  <c:v>59.284676485865297</c:v>
                </c:pt>
                <c:pt idx="8">
                  <c:v>59.581032593312699</c:v>
                </c:pt>
                <c:pt idx="9">
                  <c:v>59.637569164822899</c:v>
                </c:pt>
                <c:pt idx="10">
                  <c:v>59.678524105125099</c:v>
                </c:pt>
                <c:pt idx="11">
                  <c:v>59.884766291163601</c:v>
                </c:pt>
                <c:pt idx="12">
                  <c:v>60.238613799378399</c:v>
                </c:pt>
                <c:pt idx="13">
                  <c:v>60.579523582376297</c:v>
                </c:pt>
                <c:pt idx="14">
                  <c:v>60.610852305323199</c:v>
                </c:pt>
                <c:pt idx="15">
                  <c:v>60.281887991688798</c:v>
                </c:pt>
                <c:pt idx="16">
                  <c:v>59.725452659542803</c:v>
                </c:pt>
                <c:pt idx="17">
                  <c:v>59.083855268401003</c:v>
                </c:pt>
                <c:pt idx="18">
                  <c:v>58.586077212807503</c:v>
                </c:pt>
                <c:pt idx="19">
                  <c:v>58.309651309531603</c:v>
                </c:pt>
                <c:pt idx="20">
                  <c:v>58.202479774571401</c:v>
                </c:pt>
                <c:pt idx="21">
                  <c:v>58.097704649274696</c:v>
                </c:pt>
                <c:pt idx="22">
                  <c:v>57.817752192402899</c:v>
                </c:pt>
                <c:pt idx="23">
                  <c:v>57.363568959019098</c:v>
                </c:pt>
                <c:pt idx="24">
                  <c:v>56.800893374895402</c:v>
                </c:pt>
                <c:pt idx="25">
                  <c:v>56.265824526421298</c:v>
                </c:pt>
                <c:pt idx="26">
                  <c:v>55.967705177304303</c:v>
                </c:pt>
                <c:pt idx="27">
                  <c:v>56.056072763086398</c:v>
                </c:pt>
                <c:pt idx="28">
                  <c:v>56.528158743463003</c:v>
                </c:pt>
                <c:pt idx="29">
                  <c:v>57.274017100829198</c:v>
                </c:pt>
                <c:pt idx="30">
                  <c:v>58.119783844090001</c:v>
                </c:pt>
                <c:pt idx="31">
                  <c:v>58.879882059980503</c:v>
                </c:pt>
                <c:pt idx="32">
                  <c:v>59.494710448789</c:v>
                </c:pt>
                <c:pt idx="33">
                  <c:v>60.030629145422701</c:v>
                </c:pt>
                <c:pt idx="34">
                  <c:v>60.579384481192299</c:v>
                </c:pt>
                <c:pt idx="35">
                  <c:v>61.173644955179498</c:v>
                </c:pt>
                <c:pt idx="36">
                  <c:v>61.803540475293502</c:v>
                </c:pt>
                <c:pt idx="37">
                  <c:v>62.474050101549501</c:v>
                </c:pt>
                <c:pt idx="38">
                  <c:v>63.051565015921</c:v>
                </c:pt>
                <c:pt idx="39">
                  <c:v>63.4669110009185</c:v>
                </c:pt>
                <c:pt idx="40">
                  <c:v>63.703254345621403</c:v>
                </c:pt>
                <c:pt idx="41">
                  <c:v>63.840474418994802</c:v>
                </c:pt>
                <c:pt idx="42">
                  <c:v>63.905605182650604</c:v>
                </c:pt>
                <c:pt idx="43">
                  <c:v>63.9123748293243</c:v>
                </c:pt>
                <c:pt idx="44">
                  <c:v>63.8481343419582</c:v>
                </c:pt>
                <c:pt idx="45">
                  <c:v>63.6022099171417</c:v>
                </c:pt>
                <c:pt idx="46">
                  <c:v>63.134194217891299</c:v>
                </c:pt>
                <c:pt idx="47">
                  <c:v>62.484704024851702</c:v>
                </c:pt>
                <c:pt idx="48">
                  <c:v>61.751727450937402</c:v>
                </c:pt>
                <c:pt idx="49">
                  <c:v>61.022126458606898</c:v>
                </c:pt>
                <c:pt idx="50">
                  <c:v>60.3677286135432</c:v>
                </c:pt>
                <c:pt idx="51">
                  <c:v>59.869851906925298</c:v>
                </c:pt>
                <c:pt idx="52">
                  <c:v>59.473344390412102</c:v>
                </c:pt>
                <c:pt idx="53">
                  <c:v>59.087471266131203</c:v>
                </c:pt>
                <c:pt idx="54">
                  <c:v>58.646275363181701</c:v>
                </c:pt>
                <c:pt idx="55">
                  <c:v>58.1732346033738</c:v>
                </c:pt>
                <c:pt idx="56">
                  <c:v>57.750360795157398</c:v>
                </c:pt>
                <c:pt idx="57">
                  <c:v>57.471023815194101</c:v>
                </c:pt>
                <c:pt idx="58">
                  <c:v>57.384007442248198</c:v>
                </c:pt>
                <c:pt idx="59">
                  <c:v>57.498487318409197</c:v>
                </c:pt>
                <c:pt idx="60">
                  <c:v>57.777835198856899</c:v>
                </c:pt>
                <c:pt idx="61">
                  <c:v>58.111903608001903</c:v>
                </c:pt>
                <c:pt idx="62">
                  <c:v>58.400005001190799</c:v>
                </c:pt>
                <c:pt idx="63">
                  <c:v>58.512924070563798</c:v>
                </c:pt>
                <c:pt idx="64">
                  <c:v>58.420811804673001</c:v>
                </c:pt>
                <c:pt idx="65">
                  <c:v>58.184912624270197</c:v>
                </c:pt>
                <c:pt idx="66">
                  <c:v>57.895013938696003</c:v>
                </c:pt>
                <c:pt idx="67">
                  <c:v>57.667909320901501</c:v>
                </c:pt>
                <c:pt idx="68">
                  <c:v>57.571366136241402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BC2-442B-A129-388F6EE13DE6}"/>
            </c:ext>
          </c:extLst>
        </c:ser>
        <c:ser>
          <c:idx val="3"/>
          <c:order val="3"/>
          <c:tx>
            <c:strRef>
              <c:f>Datos!$AP$3</c:f>
              <c:strCache>
                <c:ptCount val="1"/>
                <c:pt idx="0">
                  <c:v>ICE Servicios</c:v>
                </c:pt>
              </c:strCache>
            </c:strRef>
          </c:tx>
          <c:spPr>
            <a:ln w="15875">
              <a:solidFill>
                <a:srgbClr val="000066"/>
              </a:solidFill>
              <a:prstDash val="sysDot"/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Datos!$AW$175:$AW$246</c:f>
              <c:numCache>
                <c:formatCode>0.0</c:formatCode>
                <c:ptCount val="69"/>
                <c:pt idx="0">
                  <c:v>50.574624405340998</c:v>
                </c:pt>
                <c:pt idx="1">
                  <c:v>50.823987210058696</c:v>
                </c:pt>
                <c:pt idx="2">
                  <c:v>51.533583588463102</c:v>
                </c:pt>
                <c:pt idx="3">
                  <c:v>52.751864675702997</c:v>
                </c:pt>
                <c:pt idx="4">
                  <c:v>54.276633821688598</c:v>
                </c:pt>
                <c:pt idx="5">
                  <c:v>55.709630866452301</c:v>
                </c:pt>
                <c:pt idx="6">
                  <c:v>56.697690242746901</c:v>
                </c:pt>
                <c:pt idx="7">
                  <c:v>57.183155357273101</c:v>
                </c:pt>
                <c:pt idx="8">
                  <c:v>57.353987405046198</c:v>
                </c:pt>
                <c:pt idx="9">
                  <c:v>57.477185398256999</c:v>
                </c:pt>
                <c:pt idx="10">
                  <c:v>57.820817402254598</c:v>
                </c:pt>
                <c:pt idx="11">
                  <c:v>58.435510793168703</c:v>
                </c:pt>
                <c:pt idx="12">
                  <c:v>59.125081586540603</c:v>
                </c:pt>
                <c:pt idx="13">
                  <c:v>59.535486769188203</c:v>
                </c:pt>
                <c:pt idx="14">
                  <c:v>59.320796141938601</c:v>
                </c:pt>
                <c:pt idx="15">
                  <c:v>58.491266912252797</c:v>
                </c:pt>
                <c:pt idx="16">
                  <c:v>57.334098321119697</c:v>
                </c:pt>
                <c:pt idx="17">
                  <c:v>56.221446356275301</c:v>
                </c:pt>
                <c:pt idx="18">
                  <c:v>55.477714151031499</c:v>
                </c:pt>
                <c:pt idx="19">
                  <c:v>55.069085129092898</c:v>
                </c:pt>
                <c:pt idx="20">
                  <c:v>54.803577756608703</c:v>
                </c:pt>
                <c:pt idx="21">
                  <c:v>54.484891718928097</c:v>
                </c:pt>
                <c:pt idx="22">
                  <c:v>53.966718675639299</c:v>
                </c:pt>
                <c:pt idx="23">
                  <c:v>53.279302776190697</c:v>
                </c:pt>
                <c:pt idx="24">
                  <c:v>52.577947002749298</c:v>
                </c:pt>
                <c:pt idx="25">
                  <c:v>52.046858867059903</c:v>
                </c:pt>
                <c:pt idx="26">
                  <c:v>51.771409274787601</c:v>
                </c:pt>
                <c:pt idx="27">
                  <c:v>51.7268047691541</c:v>
                </c:pt>
                <c:pt idx="28">
                  <c:v>51.951207408672197</c:v>
                </c:pt>
                <c:pt idx="29">
                  <c:v>52.408119326491203</c:v>
                </c:pt>
                <c:pt idx="30">
                  <c:v>53.023214867053397</c:v>
                </c:pt>
                <c:pt idx="31">
                  <c:v>53.720910291872897</c:v>
                </c:pt>
                <c:pt idx="32">
                  <c:v>54.427387563645503</c:v>
                </c:pt>
                <c:pt idx="33">
                  <c:v>55.086714758992997</c:v>
                </c:pt>
                <c:pt idx="34">
                  <c:v>55.752719053224403</c:v>
                </c:pt>
                <c:pt idx="35">
                  <c:v>56.490546050128302</c:v>
                </c:pt>
                <c:pt idx="36">
                  <c:v>57.412194230736802</c:v>
                </c:pt>
                <c:pt idx="37">
                  <c:v>58.5152914384377</c:v>
                </c:pt>
                <c:pt idx="38">
                  <c:v>59.605860538452198</c:v>
                </c:pt>
                <c:pt idx="39">
                  <c:v>60.399558130426698</c:v>
                </c:pt>
                <c:pt idx="40">
                  <c:v>60.648359440225803</c:v>
                </c:pt>
                <c:pt idx="41">
                  <c:v>60.449501087381201</c:v>
                </c:pt>
                <c:pt idx="42">
                  <c:v>60.166462611456303</c:v>
                </c:pt>
                <c:pt idx="43">
                  <c:v>60.021072419543202</c:v>
                </c:pt>
                <c:pt idx="44">
                  <c:v>60.092403187192097</c:v>
                </c:pt>
                <c:pt idx="45">
                  <c:v>60.236797113937698</c:v>
                </c:pt>
                <c:pt idx="46">
                  <c:v>60.234775806482602</c:v>
                </c:pt>
                <c:pt idx="47">
                  <c:v>60.034639205751198</c:v>
                </c:pt>
                <c:pt idx="48">
                  <c:v>59.554376755297902</c:v>
                </c:pt>
                <c:pt idx="49">
                  <c:v>58.815961341829997</c:v>
                </c:pt>
                <c:pt idx="50">
                  <c:v>57.906587387080599</c:v>
                </c:pt>
                <c:pt idx="51">
                  <c:v>56.757089100031301</c:v>
                </c:pt>
                <c:pt idx="52">
                  <c:v>55.288355469536299</c:v>
                </c:pt>
                <c:pt idx="53">
                  <c:v>53.499057763132299</c:v>
                </c:pt>
                <c:pt idx="54">
                  <c:v>51.548613663546597</c:v>
                </c:pt>
                <c:pt idx="55">
                  <c:v>49.790240503435101</c:v>
                </c:pt>
                <c:pt idx="56">
                  <c:v>48.562307441412997</c:v>
                </c:pt>
                <c:pt idx="57">
                  <c:v>48.048338306344597</c:v>
                </c:pt>
                <c:pt idx="58">
                  <c:v>48.315374865205797</c:v>
                </c:pt>
                <c:pt idx="59">
                  <c:v>49.3466514612917</c:v>
                </c:pt>
                <c:pt idx="60">
                  <c:v>50.948127686072901</c:v>
                </c:pt>
                <c:pt idx="61">
                  <c:v>52.9105493785327</c:v>
                </c:pt>
                <c:pt idx="62">
                  <c:v>54.905384198159602</c:v>
                </c:pt>
                <c:pt idx="63">
                  <c:v>56.669742652518302</c:v>
                </c:pt>
                <c:pt idx="64">
                  <c:v>58.024224123229303</c:v>
                </c:pt>
                <c:pt idx="65">
                  <c:v>58.893075298169201</c:v>
                </c:pt>
                <c:pt idx="66">
                  <c:v>59.3883987154002</c:v>
                </c:pt>
                <c:pt idx="67">
                  <c:v>59.652550745649698</c:v>
                </c:pt>
                <c:pt idx="68">
                  <c:v>59.8070934681841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6BC2-442B-A129-388F6EE13DE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58970152"/>
        <c:axId val="458970544"/>
      </c:lineChart>
      <c:catAx>
        <c:axId val="458970152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500"/>
            </a:pPr>
            <a:endParaRPr lang="es-MX"/>
          </a:p>
        </c:txPr>
        <c:crossAx val="458970544"/>
        <c:crossesAt val="50"/>
        <c:auto val="1"/>
        <c:lblAlgn val="ctr"/>
        <c:lblOffset val="100"/>
        <c:tickLblSkip val="4"/>
        <c:tickMarkSkip val="12"/>
        <c:noMultiLvlLbl val="1"/>
      </c:catAx>
      <c:valAx>
        <c:axId val="458970544"/>
        <c:scaling>
          <c:orientation val="minMax"/>
          <c:max val="70"/>
          <c:min val="40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#,##0_ ;[Red]\-#,##0\ 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600"/>
            </a:pPr>
            <a:endParaRPr lang="es-MX"/>
          </a:p>
        </c:txPr>
        <c:crossAx val="458970152"/>
        <c:crosses val="autoZero"/>
        <c:crossBetween val="between"/>
        <c:majorUnit val="5"/>
        <c:minorUnit val="2"/>
      </c:valAx>
      <c:spPr>
        <a:noFill/>
      </c:spPr>
    </c:plotArea>
    <c:legend>
      <c:legendPos val="b"/>
      <c:layout>
        <c:manualLayout>
          <c:xMode val="edge"/>
          <c:yMode val="edge"/>
          <c:x val="0"/>
          <c:y val="0.90602201413777972"/>
          <c:w val="1"/>
          <c:h val="9.3977985862220392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5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865DF-501A-4AA9-8F57-3578B5BBC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Boletines</Template>
  <TotalTime>19</TotalTime>
  <Pages>16</Pages>
  <Words>4468</Words>
  <Characters>24574</Characters>
  <Application>Microsoft Office Word</Application>
  <DocSecurity>0</DocSecurity>
  <Lines>204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de prensa. Indicadores de Opinión del Sector Manufacturero</vt:lpstr>
    </vt:vector>
  </TitlesOfParts>
  <Company>INEGI</Company>
  <LinksUpToDate>false</LinksUpToDate>
  <CharactersWithSpaces>28985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prensa. Indicadores de Opinión del Sector Manufacturero</dc:title>
  <dc:subject/>
  <dc:creator>INEGI</dc:creator>
  <cp:keywords>ICE Manufacturas, ICE Construcción, ICE Comercio, ICE Servicios</cp:keywords>
  <cp:lastModifiedBy>MORONES RUIZ FABIOLA CRISTINA</cp:lastModifiedBy>
  <cp:revision>6</cp:revision>
  <cp:lastPrinted>2023-06-29T20:59:00Z</cp:lastPrinted>
  <dcterms:created xsi:type="dcterms:W3CDTF">2023-09-29T17:36:00Z</dcterms:created>
  <dcterms:modified xsi:type="dcterms:W3CDTF">2023-09-29T20:01:00Z</dcterms:modified>
  <cp:category>Encuesta Mensual de Opinión Empresarial (EMOE)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5b1c7817d08afbf9a011247088f4ca623eadc366da43889652c3926a8b20337c</vt:lpwstr>
  </property>
</Properties>
</file>