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0315924"/>
    <w:p w14:paraId="4D95D34F" w14:textId="77777777" w:rsidR="00B24BAF" w:rsidRDefault="00B24BAF" w:rsidP="00B24BA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D86F38" wp14:editId="152F71F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E301" w14:textId="51D43603" w:rsidR="00B24BAF" w:rsidRPr="00794C57" w:rsidRDefault="00B24BAF" w:rsidP="00B24BAF">
                            <w:pPr>
                              <w:jc w:val="right"/>
                            </w:pPr>
                            <w:bookmarkStart w:id="1" w:name="_Hlk130313056"/>
                            <w:bookmarkStart w:id="2" w:name="_Hlk130313057"/>
                            <w:bookmarkStart w:id="3" w:name="_Hlk130313845"/>
                            <w:bookmarkStart w:id="4" w:name="_Hlk130313846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publicación: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26 de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mayo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86F38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.55pt;width:262.7pt;height:26.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" stroked="f">
                <v:textbox>
                  <w:txbxContent>
                    <w:p w14:paraId="16B7E301" w14:textId="51D43603" w:rsidR="00B24BAF" w:rsidRPr="00794C57" w:rsidRDefault="00B24BAF" w:rsidP="00B24BAF">
                      <w:pPr>
                        <w:jc w:val="right"/>
                      </w:pPr>
                      <w:bookmarkStart w:id="5" w:name="_Hlk130313056"/>
                      <w:bookmarkStart w:id="6" w:name="_Hlk130313057"/>
                      <w:bookmarkStart w:id="7" w:name="_Hlk130313845"/>
                      <w:bookmarkStart w:id="8" w:name="_Hlk130313846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publicación: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26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de </w:t>
                      </w:r>
                      <w:bookmarkEnd w:id="5"/>
                      <w:bookmarkEnd w:id="6"/>
                      <w:bookmarkEnd w:id="7"/>
                      <w:bookmarkEnd w:id="8"/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mayo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0A615E36" w14:textId="546802C6" w:rsidR="00B24BAF" w:rsidRDefault="00B24BAF" w:rsidP="0082401B">
      <w:pPr>
        <w:pStyle w:val="Profesin"/>
        <w:outlineLvl w:val="0"/>
        <w:rPr>
          <w:rFonts w:ascii="Arial Negrita" w:hAnsi="Arial Negrita"/>
          <w:spacing w:val="20"/>
          <w:sz w:val="24"/>
        </w:rPr>
      </w:pPr>
    </w:p>
    <w:p w14:paraId="353F58DF" w14:textId="77777777" w:rsidR="00B24BAF" w:rsidRDefault="00B24BAF" w:rsidP="0082401B">
      <w:pPr>
        <w:pStyle w:val="Profesin"/>
        <w:outlineLvl w:val="0"/>
        <w:rPr>
          <w:rFonts w:ascii="Arial Negrita" w:hAnsi="Arial Negrita"/>
          <w:spacing w:val="20"/>
          <w:sz w:val="24"/>
        </w:rPr>
      </w:pPr>
    </w:p>
    <w:p w14:paraId="236D08E4" w14:textId="364B8606" w:rsidR="0082401B" w:rsidRPr="00B24BAF" w:rsidRDefault="0082401B" w:rsidP="0082401B">
      <w:pPr>
        <w:pStyle w:val="Profesin"/>
        <w:outlineLvl w:val="0"/>
        <w:rPr>
          <w:rFonts w:ascii="Arial Negrita" w:hAnsi="Arial Negrita"/>
          <w:sz w:val="24"/>
          <w:lang w:val="es-MX"/>
        </w:rPr>
      </w:pPr>
      <w:r w:rsidRPr="00B24BAF">
        <w:rPr>
          <w:rFonts w:ascii="Arial Negrita" w:hAnsi="Arial Negrita"/>
          <w:sz w:val="24"/>
        </w:rPr>
        <w:t>INDICADOR GLOBAL DE LA ACTIVIDAD ECONÓMICA</w:t>
      </w:r>
      <w:r w:rsidR="00524FC0" w:rsidRPr="00B24BAF">
        <w:rPr>
          <w:rFonts w:ascii="Arial Negrita" w:hAnsi="Arial Negrita"/>
          <w:sz w:val="24"/>
          <w:szCs w:val="22"/>
          <w:vertAlign w:val="superscript"/>
        </w:rPr>
        <w:footnoteReference w:id="2"/>
      </w:r>
    </w:p>
    <w:p w14:paraId="28FACCD3" w14:textId="7E6F0044" w:rsidR="0082401B" w:rsidRPr="00B24BAF" w:rsidRDefault="006B321B" w:rsidP="00586724">
      <w:pPr>
        <w:pStyle w:val="Profesin"/>
        <w:spacing w:before="60"/>
        <w:rPr>
          <w:rFonts w:ascii="Arial Negrita" w:hAnsi="Arial Negrita"/>
          <w:sz w:val="24"/>
        </w:rPr>
      </w:pPr>
      <w:r w:rsidRPr="00B24BAF">
        <w:rPr>
          <w:rFonts w:ascii="Arial Negrita" w:hAnsi="Arial Negrita"/>
          <w:sz w:val="24"/>
        </w:rPr>
        <w:t>febre</w:t>
      </w:r>
      <w:r w:rsidR="003A2DF4" w:rsidRPr="00B24BAF">
        <w:rPr>
          <w:rFonts w:ascii="Arial Negrita" w:hAnsi="Arial Negrita"/>
          <w:sz w:val="24"/>
        </w:rPr>
        <w:t>ro</w:t>
      </w:r>
      <w:r w:rsidR="00586724" w:rsidRPr="00B24BAF">
        <w:rPr>
          <w:rFonts w:ascii="Arial Negrita" w:hAnsi="Arial Negrita"/>
          <w:sz w:val="24"/>
        </w:rPr>
        <w:t xml:space="preserve"> de 202</w:t>
      </w:r>
      <w:r w:rsidR="003A2DF4" w:rsidRPr="00B24BAF">
        <w:rPr>
          <w:rFonts w:ascii="Arial Negrita" w:hAnsi="Arial Negrita"/>
          <w:sz w:val="24"/>
        </w:rPr>
        <w:t>3</w:t>
      </w:r>
    </w:p>
    <w:p w14:paraId="5A4856BA" w14:textId="77777777" w:rsidR="005A6089" w:rsidRPr="00B24BAF" w:rsidRDefault="005A6089" w:rsidP="005A6089">
      <w:pPr>
        <w:pStyle w:val="bullet"/>
        <w:keepLines w:val="0"/>
        <w:spacing w:before="0" w:after="0"/>
        <w:ind w:left="0" w:right="51" w:firstLine="0"/>
        <w:rPr>
          <w:rFonts w:cs="Arial"/>
          <w:b w:val="0"/>
          <w:color w:val="auto"/>
          <w:spacing w:val="0"/>
          <w:szCs w:val="24"/>
        </w:rPr>
      </w:pPr>
    </w:p>
    <w:p w14:paraId="5F2CBB1C" w14:textId="6817208B" w:rsidR="00635009" w:rsidRPr="00B24BAF" w:rsidRDefault="00933C58" w:rsidP="005A6089">
      <w:pPr>
        <w:pStyle w:val="bullet"/>
        <w:keepLines w:val="0"/>
        <w:spacing w:before="0" w:after="0"/>
        <w:ind w:left="0" w:right="51" w:firstLine="0"/>
        <w:rPr>
          <w:rFonts w:cs="Arial"/>
          <w:b w:val="0"/>
          <w:color w:val="auto"/>
          <w:spacing w:val="0"/>
          <w:szCs w:val="24"/>
        </w:rPr>
      </w:pPr>
      <w:r w:rsidRPr="00B24BAF">
        <w:rPr>
          <w:rFonts w:cs="Arial"/>
          <w:b w:val="0"/>
          <w:color w:val="auto"/>
          <w:spacing w:val="0"/>
          <w:szCs w:val="24"/>
        </w:rPr>
        <w:t xml:space="preserve">En </w:t>
      </w:r>
      <w:r w:rsidR="006B321B" w:rsidRPr="00B24BAF">
        <w:rPr>
          <w:rFonts w:cs="Arial"/>
          <w:b w:val="0"/>
          <w:color w:val="auto"/>
          <w:spacing w:val="0"/>
          <w:szCs w:val="24"/>
        </w:rPr>
        <w:t>f</w:t>
      </w:r>
      <w:r w:rsidR="000A1908" w:rsidRPr="00B24BAF">
        <w:rPr>
          <w:rFonts w:cs="Arial"/>
          <w:b w:val="0"/>
          <w:color w:val="auto"/>
          <w:spacing w:val="0"/>
          <w:szCs w:val="24"/>
        </w:rPr>
        <w:t>e</w:t>
      </w:r>
      <w:r w:rsidR="006B321B" w:rsidRPr="00B24BAF">
        <w:rPr>
          <w:rFonts w:cs="Arial"/>
          <w:b w:val="0"/>
          <w:color w:val="auto"/>
          <w:spacing w:val="0"/>
          <w:szCs w:val="24"/>
        </w:rPr>
        <w:t>br</w:t>
      </w:r>
      <w:r w:rsidR="00866CA6" w:rsidRPr="00B24BAF">
        <w:rPr>
          <w:rFonts w:cs="Arial"/>
          <w:b w:val="0"/>
          <w:color w:val="auto"/>
          <w:spacing w:val="0"/>
          <w:szCs w:val="24"/>
        </w:rPr>
        <w:t>ero</w:t>
      </w:r>
      <w:r w:rsidR="000A1908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Pr="00B24BAF">
        <w:rPr>
          <w:rFonts w:cs="Arial"/>
          <w:b w:val="0"/>
          <w:color w:val="auto"/>
          <w:spacing w:val="0"/>
          <w:szCs w:val="24"/>
        </w:rPr>
        <w:t>de 202</w:t>
      </w:r>
      <w:r w:rsidR="00866CA6" w:rsidRPr="00B24BAF">
        <w:rPr>
          <w:rFonts w:cs="Arial"/>
          <w:b w:val="0"/>
          <w:color w:val="auto"/>
          <w:spacing w:val="0"/>
          <w:szCs w:val="24"/>
        </w:rPr>
        <w:t>3</w:t>
      </w:r>
      <w:r w:rsidRPr="00B24BAF">
        <w:rPr>
          <w:rFonts w:cs="Arial"/>
          <w:b w:val="0"/>
          <w:color w:val="auto"/>
          <w:spacing w:val="0"/>
          <w:szCs w:val="24"/>
        </w:rPr>
        <w:t xml:space="preserve"> y con cifras desestacionalizadas</w:t>
      </w:r>
      <w:r w:rsidR="005B195E" w:rsidRPr="00B24BAF">
        <w:rPr>
          <w:rFonts w:cs="Arial"/>
          <w:b w:val="0"/>
          <w:color w:val="auto"/>
          <w:spacing w:val="0"/>
          <w:szCs w:val="24"/>
        </w:rPr>
        <w:t>,</w:t>
      </w:r>
      <w:r w:rsidRPr="00B24BAF">
        <w:rPr>
          <w:rFonts w:cs="Arial"/>
          <w:b w:val="0"/>
          <w:color w:val="auto"/>
          <w:spacing w:val="0"/>
          <w:szCs w:val="24"/>
          <w:vertAlign w:val="superscript"/>
        </w:rPr>
        <w:footnoteReference w:id="3"/>
      </w:r>
      <w:r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635009" w:rsidRPr="00B24BAF">
        <w:rPr>
          <w:rFonts w:cs="Arial"/>
          <w:b w:val="0"/>
          <w:color w:val="auto"/>
          <w:spacing w:val="0"/>
          <w:szCs w:val="24"/>
        </w:rPr>
        <w:t xml:space="preserve">el Indicador Global de la Actividad Económica (IGAE) </w:t>
      </w:r>
      <w:r w:rsidR="00AF58B1" w:rsidRPr="00B24BAF">
        <w:rPr>
          <w:rFonts w:cs="Arial"/>
          <w:b w:val="0"/>
          <w:color w:val="auto"/>
          <w:spacing w:val="0"/>
          <w:szCs w:val="24"/>
        </w:rPr>
        <w:t>creci</w:t>
      </w:r>
      <w:r w:rsidR="006D687C" w:rsidRPr="00B24BAF">
        <w:rPr>
          <w:rFonts w:cs="Arial"/>
          <w:b w:val="0"/>
          <w:color w:val="auto"/>
          <w:spacing w:val="0"/>
          <w:szCs w:val="24"/>
        </w:rPr>
        <w:t>ó 0.</w:t>
      </w:r>
      <w:r w:rsidR="002B2680" w:rsidRPr="00B24BAF">
        <w:rPr>
          <w:rFonts w:cs="Arial"/>
          <w:b w:val="0"/>
          <w:color w:val="auto"/>
          <w:spacing w:val="0"/>
          <w:szCs w:val="24"/>
        </w:rPr>
        <w:t>1</w:t>
      </w:r>
      <w:r w:rsidR="00A86E06" w:rsidRPr="00B24BAF">
        <w:rPr>
          <w:rFonts w:cs="Arial"/>
          <w:b w:val="0"/>
          <w:color w:val="auto"/>
          <w:spacing w:val="0"/>
          <w:szCs w:val="24"/>
        </w:rPr>
        <w:t> </w:t>
      </w:r>
      <w:r w:rsidR="006D687C" w:rsidRPr="00B24BAF">
        <w:rPr>
          <w:rFonts w:cs="Arial"/>
          <w:b w:val="0"/>
          <w:color w:val="auto"/>
          <w:spacing w:val="0"/>
          <w:szCs w:val="24"/>
        </w:rPr>
        <w:t>%</w:t>
      </w:r>
      <w:r w:rsidR="00691F2C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F47076" w:rsidRPr="00B24BAF">
        <w:rPr>
          <w:rFonts w:cs="Arial"/>
          <w:b w:val="0"/>
          <w:color w:val="auto"/>
          <w:spacing w:val="0"/>
          <w:szCs w:val="24"/>
        </w:rPr>
        <w:t>a</w:t>
      </w:r>
      <w:r w:rsidR="004F259B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FE0E4C" w:rsidRPr="00B24BAF">
        <w:rPr>
          <w:rFonts w:cs="Arial"/>
          <w:b w:val="0"/>
          <w:color w:val="auto"/>
          <w:spacing w:val="0"/>
          <w:szCs w:val="24"/>
        </w:rPr>
        <w:t>tasa</w:t>
      </w:r>
      <w:r w:rsidR="004F259B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FE0E4C" w:rsidRPr="00B24BAF">
        <w:rPr>
          <w:rFonts w:cs="Arial"/>
          <w:b w:val="0"/>
          <w:color w:val="auto"/>
          <w:spacing w:val="0"/>
          <w:szCs w:val="24"/>
        </w:rPr>
        <w:t>mensual.</w:t>
      </w:r>
    </w:p>
    <w:p w14:paraId="68DE9BD0" w14:textId="77777777" w:rsidR="005A6089" w:rsidRDefault="005A6089" w:rsidP="005A6089">
      <w:pPr>
        <w:pStyle w:val="bullet"/>
        <w:keepLines w:val="0"/>
        <w:spacing w:before="360" w:after="0"/>
        <w:ind w:left="0" w:right="51" w:firstLine="0"/>
        <w:rPr>
          <w:rFonts w:cs="Arial"/>
          <w:b w:val="0"/>
          <w:color w:val="auto"/>
          <w:szCs w:val="24"/>
        </w:rPr>
      </w:pPr>
    </w:p>
    <w:p w14:paraId="1C457B84" w14:textId="77777777" w:rsidR="005A6089" w:rsidRPr="00F25EC7" w:rsidRDefault="005A6089" w:rsidP="005A6089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Indicador Global de la Actividad Económica</w:t>
      </w:r>
    </w:p>
    <w:p w14:paraId="30A031A0" w14:textId="77777777" w:rsidR="005A6089" w:rsidRPr="00F25EC7" w:rsidRDefault="005A6089" w:rsidP="005A608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0C9C8339" w14:textId="77777777" w:rsidR="005A6089" w:rsidRPr="00F25EC7" w:rsidRDefault="005A6089" w:rsidP="005A608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7BC1337" wp14:editId="1539F7EE">
            <wp:extent cx="4680000" cy="2520000"/>
            <wp:effectExtent l="0" t="0" r="25400" b="1397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455726" w14:textId="6B62C8BE" w:rsidR="005A6089" w:rsidRDefault="005A6089" w:rsidP="005A6089">
      <w:pPr>
        <w:pStyle w:val="bullet"/>
        <w:keepLines w:val="0"/>
        <w:spacing w:before="0" w:after="0"/>
        <w:ind w:left="708" w:right="51" w:firstLine="426"/>
        <w:rPr>
          <w:rFonts w:cs="Arial"/>
          <w:b w:val="0"/>
          <w:color w:val="auto"/>
          <w:szCs w:val="24"/>
        </w:rPr>
      </w:pPr>
      <w:r w:rsidRPr="00F25EC7">
        <w:rPr>
          <w:color w:val="auto"/>
          <w:sz w:val="16"/>
          <w:szCs w:val="16"/>
        </w:rPr>
        <w:t>Fuente: INEGI</w:t>
      </w:r>
    </w:p>
    <w:p w14:paraId="2A2DFECD" w14:textId="52C28896" w:rsidR="005A6089" w:rsidRDefault="005A6089" w:rsidP="005A6089">
      <w:pPr>
        <w:pStyle w:val="bullet"/>
        <w:keepLines w:val="0"/>
        <w:spacing w:before="0" w:after="0"/>
        <w:ind w:left="0" w:right="51" w:firstLine="0"/>
        <w:rPr>
          <w:rFonts w:cs="Arial"/>
          <w:b w:val="0"/>
          <w:color w:val="auto"/>
          <w:szCs w:val="24"/>
        </w:rPr>
      </w:pPr>
    </w:p>
    <w:p w14:paraId="0BFECADF" w14:textId="77777777" w:rsidR="005A6089" w:rsidRDefault="005A6089" w:rsidP="005A6089">
      <w:pPr>
        <w:pStyle w:val="bullet"/>
        <w:keepLines w:val="0"/>
        <w:spacing w:before="0" w:after="0"/>
        <w:ind w:left="0" w:right="51" w:firstLine="0"/>
        <w:rPr>
          <w:rFonts w:cs="Arial"/>
          <w:b w:val="0"/>
          <w:color w:val="auto"/>
          <w:szCs w:val="24"/>
        </w:rPr>
      </w:pPr>
    </w:p>
    <w:p w14:paraId="52131862" w14:textId="264B19EA" w:rsidR="00635009" w:rsidRPr="00B24BAF" w:rsidRDefault="00505095" w:rsidP="005A6089">
      <w:pPr>
        <w:pStyle w:val="bullet"/>
        <w:keepLines w:val="0"/>
        <w:spacing w:before="0" w:after="0"/>
        <w:ind w:left="0" w:right="51" w:firstLine="0"/>
        <w:rPr>
          <w:rFonts w:cs="Arial"/>
          <w:b w:val="0"/>
          <w:color w:val="auto"/>
          <w:spacing w:val="0"/>
          <w:szCs w:val="24"/>
        </w:rPr>
      </w:pPr>
      <w:r w:rsidRPr="00B24BAF">
        <w:rPr>
          <w:rFonts w:cs="Arial"/>
          <w:b w:val="0"/>
          <w:color w:val="auto"/>
          <w:spacing w:val="0"/>
          <w:szCs w:val="24"/>
        </w:rPr>
        <w:t>P</w:t>
      </w:r>
      <w:r w:rsidR="00F85371" w:rsidRPr="00B24BAF">
        <w:rPr>
          <w:rFonts w:cs="Arial"/>
          <w:b w:val="0"/>
          <w:color w:val="auto"/>
          <w:spacing w:val="0"/>
          <w:szCs w:val="24"/>
        </w:rPr>
        <w:t>or componente</w:t>
      </w:r>
      <w:r w:rsidR="006D2188" w:rsidRPr="00B24BAF">
        <w:rPr>
          <w:rFonts w:cs="Arial"/>
          <w:b w:val="0"/>
          <w:color w:val="auto"/>
          <w:spacing w:val="0"/>
          <w:szCs w:val="24"/>
        </w:rPr>
        <w:t xml:space="preserve"> y con </w:t>
      </w:r>
      <w:r w:rsidR="009F088F" w:rsidRPr="00B24BAF">
        <w:rPr>
          <w:rFonts w:cs="Arial"/>
          <w:b w:val="0"/>
          <w:color w:val="auto"/>
          <w:spacing w:val="0"/>
          <w:szCs w:val="24"/>
        </w:rPr>
        <w:t>dato</w:t>
      </w:r>
      <w:r w:rsidR="006D2188" w:rsidRPr="00B24BAF">
        <w:rPr>
          <w:rFonts w:cs="Arial"/>
          <w:b w:val="0"/>
          <w:color w:val="auto"/>
          <w:spacing w:val="0"/>
          <w:szCs w:val="24"/>
        </w:rPr>
        <w:t>s ajustad</w:t>
      </w:r>
      <w:r w:rsidR="009F088F" w:rsidRPr="00B24BAF">
        <w:rPr>
          <w:rFonts w:cs="Arial"/>
          <w:b w:val="0"/>
          <w:color w:val="auto"/>
          <w:spacing w:val="0"/>
          <w:szCs w:val="24"/>
        </w:rPr>
        <w:t>o</w:t>
      </w:r>
      <w:r w:rsidR="006D2188" w:rsidRPr="00B24BAF">
        <w:rPr>
          <w:rFonts w:cs="Arial"/>
          <w:b w:val="0"/>
          <w:color w:val="auto"/>
          <w:spacing w:val="0"/>
          <w:szCs w:val="24"/>
        </w:rPr>
        <w:t>s por estacionalidad</w:t>
      </w:r>
      <w:r w:rsidR="00F85371" w:rsidRPr="00B24BAF">
        <w:rPr>
          <w:rFonts w:cs="Arial"/>
          <w:b w:val="0"/>
          <w:color w:val="auto"/>
          <w:spacing w:val="0"/>
          <w:szCs w:val="24"/>
        </w:rPr>
        <w:t xml:space="preserve">, </w:t>
      </w:r>
      <w:r w:rsidR="281FAB53" w:rsidRPr="00B24BAF">
        <w:rPr>
          <w:rFonts w:cs="Arial"/>
          <w:b w:val="0"/>
          <w:color w:val="auto"/>
          <w:spacing w:val="0"/>
          <w:szCs w:val="24"/>
        </w:rPr>
        <w:t xml:space="preserve">en </w:t>
      </w:r>
      <w:r w:rsidR="006B321B" w:rsidRPr="00B24BAF">
        <w:rPr>
          <w:rFonts w:cs="Arial"/>
          <w:b w:val="0"/>
          <w:color w:val="auto"/>
          <w:spacing w:val="0"/>
          <w:szCs w:val="24"/>
        </w:rPr>
        <w:t>f</w:t>
      </w:r>
      <w:r w:rsidR="00866CA6" w:rsidRPr="00B24BAF">
        <w:rPr>
          <w:rFonts w:cs="Arial"/>
          <w:b w:val="0"/>
          <w:color w:val="auto"/>
          <w:spacing w:val="0"/>
          <w:szCs w:val="24"/>
        </w:rPr>
        <w:t>e</w:t>
      </w:r>
      <w:r w:rsidR="006B321B" w:rsidRPr="00B24BAF">
        <w:rPr>
          <w:rFonts w:cs="Arial"/>
          <w:b w:val="0"/>
          <w:color w:val="auto"/>
          <w:spacing w:val="0"/>
          <w:szCs w:val="24"/>
        </w:rPr>
        <w:t>br</w:t>
      </w:r>
      <w:r w:rsidR="00866CA6" w:rsidRPr="00B24BAF">
        <w:rPr>
          <w:rFonts w:cs="Arial"/>
          <w:b w:val="0"/>
          <w:color w:val="auto"/>
          <w:spacing w:val="0"/>
          <w:szCs w:val="24"/>
        </w:rPr>
        <w:t>ero</w:t>
      </w:r>
      <w:r w:rsidR="281FAB53" w:rsidRPr="00B24BAF">
        <w:rPr>
          <w:rFonts w:cs="Arial"/>
          <w:b w:val="0"/>
          <w:color w:val="auto"/>
          <w:spacing w:val="0"/>
          <w:szCs w:val="24"/>
        </w:rPr>
        <w:t xml:space="preserve"> de 202</w:t>
      </w:r>
      <w:r w:rsidR="00866CA6" w:rsidRPr="00B24BAF">
        <w:rPr>
          <w:rFonts w:cs="Arial"/>
          <w:b w:val="0"/>
          <w:color w:val="auto"/>
          <w:spacing w:val="0"/>
          <w:szCs w:val="24"/>
        </w:rPr>
        <w:t>3</w:t>
      </w:r>
      <w:r w:rsidR="007241C5" w:rsidRPr="00B24BAF">
        <w:rPr>
          <w:rFonts w:cs="Arial"/>
          <w:b w:val="0"/>
          <w:color w:val="auto"/>
          <w:spacing w:val="0"/>
          <w:szCs w:val="24"/>
        </w:rPr>
        <w:t>,</w:t>
      </w:r>
      <w:r w:rsidR="281FAB53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DC2421" w:rsidRPr="00B24BAF">
        <w:rPr>
          <w:rFonts w:cs="Arial"/>
          <w:b w:val="0"/>
          <w:color w:val="auto"/>
          <w:spacing w:val="0"/>
          <w:szCs w:val="24"/>
        </w:rPr>
        <w:t xml:space="preserve">la variación mensual </w:t>
      </w:r>
      <w:r w:rsidR="006D2188" w:rsidRPr="00B24BAF">
        <w:rPr>
          <w:rFonts w:cs="Arial"/>
          <w:b w:val="0"/>
          <w:color w:val="auto"/>
          <w:spacing w:val="0"/>
          <w:szCs w:val="24"/>
        </w:rPr>
        <w:t>fue la siguiente</w:t>
      </w:r>
      <w:bookmarkStart w:id="5" w:name="_Hlk127896160"/>
      <w:r w:rsidR="006D2188" w:rsidRPr="00B24BAF">
        <w:rPr>
          <w:rFonts w:cs="Arial"/>
          <w:b w:val="0"/>
          <w:color w:val="auto"/>
          <w:spacing w:val="0"/>
          <w:szCs w:val="24"/>
        </w:rPr>
        <w:t xml:space="preserve">: </w:t>
      </w:r>
      <w:bookmarkStart w:id="6" w:name="_Hlk104195075"/>
      <w:r w:rsidR="00F85371" w:rsidRPr="00B24BAF">
        <w:rPr>
          <w:rFonts w:cs="Arial"/>
          <w:b w:val="0"/>
          <w:color w:val="auto"/>
          <w:spacing w:val="0"/>
          <w:szCs w:val="24"/>
        </w:rPr>
        <w:t>las</w:t>
      </w:r>
      <w:r w:rsidR="00C77FF3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3B047A" w:rsidRPr="00B24BAF">
        <w:rPr>
          <w:rFonts w:cs="Arial"/>
          <w:b w:val="0"/>
          <w:color w:val="auto"/>
          <w:spacing w:val="0"/>
          <w:szCs w:val="24"/>
        </w:rPr>
        <w:t xml:space="preserve">actividades </w:t>
      </w:r>
      <w:r w:rsidR="0090272F" w:rsidRPr="00B24BAF">
        <w:rPr>
          <w:rFonts w:cs="Arial"/>
          <w:b w:val="0"/>
          <w:color w:val="auto"/>
          <w:spacing w:val="0"/>
          <w:szCs w:val="24"/>
        </w:rPr>
        <w:t>primarias</w:t>
      </w:r>
      <w:r w:rsidR="00B9530E" w:rsidRPr="00B24BAF">
        <w:rPr>
          <w:rFonts w:cs="Arial"/>
          <w:b w:val="0"/>
          <w:color w:val="auto"/>
          <w:spacing w:val="0"/>
          <w:szCs w:val="24"/>
        </w:rPr>
        <w:t xml:space="preserve"> incrementaron</w:t>
      </w:r>
      <w:r w:rsidR="00AF58B1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2B2680" w:rsidRPr="00B24BAF">
        <w:rPr>
          <w:rFonts w:cs="Arial"/>
          <w:b w:val="0"/>
          <w:color w:val="auto"/>
          <w:spacing w:val="0"/>
          <w:szCs w:val="24"/>
        </w:rPr>
        <w:t>4.2</w:t>
      </w:r>
      <w:r w:rsidR="00D8553F" w:rsidRPr="00B24BAF">
        <w:rPr>
          <w:rFonts w:cs="Arial"/>
          <w:b w:val="0"/>
          <w:color w:val="auto"/>
          <w:spacing w:val="0"/>
          <w:szCs w:val="24"/>
        </w:rPr>
        <w:t> </w:t>
      </w:r>
      <w:r w:rsidR="00AF58B1" w:rsidRPr="00B24BAF">
        <w:rPr>
          <w:rFonts w:cs="Arial"/>
          <w:b w:val="0"/>
          <w:color w:val="auto"/>
          <w:spacing w:val="0"/>
          <w:szCs w:val="24"/>
        </w:rPr>
        <w:t>%</w:t>
      </w:r>
      <w:r w:rsidR="002B2680" w:rsidRPr="00B24BAF">
        <w:rPr>
          <w:rFonts w:cs="Arial"/>
          <w:b w:val="0"/>
          <w:color w:val="auto"/>
          <w:spacing w:val="0"/>
          <w:szCs w:val="24"/>
        </w:rPr>
        <w:t>;</w:t>
      </w:r>
      <w:r w:rsidR="00AF58B1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C77FF3" w:rsidRPr="00B24BAF">
        <w:rPr>
          <w:rFonts w:cs="Arial"/>
          <w:b w:val="0"/>
          <w:color w:val="auto"/>
          <w:spacing w:val="0"/>
          <w:szCs w:val="24"/>
        </w:rPr>
        <w:t xml:space="preserve">las </w:t>
      </w:r>
      <w:r w:rsidR="0090272F" w:rsidRPr="00B24BAF">
        <w:rPr>
          <w:rFonts w:cs="Arial"/>
          <w:b w:val="0"/>
          <w:color w:val="auto"/>
          <w:spacing w:val="0"/>
          <w:szCs w:val="24"/>
        </w:rPr>
        <w:t>secundarias</w:t>
      </w:r>
      <w:r w:rsidR="002B2680" w:rsidRPr="00B24BAF">
        <w:rPr>
          <w:rFonts w:cs="Arial"/>
          <w:b w:val="0"/>
          <w:color w:val="auto"/>
          <w:spacing w:val="0"/>
          <w:szCs w:val="24"/>
        </w:rPr>
        <w:t>,</w:t>
      </w:r>
      <w:r w:rsidR="00B9530E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2B2680" w:rsidRPr="00B24BAF">
        <w:rPr>
          <w:rFonts w:cs="Arial"/>
          <w:b w:val="0"/>
          <w:color w:val="auto"/>
          <w:spacing w:val="0"/>
          <w:szCs w:val="24"/>
        </w:rPr>
        <w:t>0.7</w:t>
      </w:r>
      <w:r w:rsidR="00D8553F" w:rsidRPr="00B24BAF">
        <w:rPr>
          <w:rFonts w:cs="Arial"/>
          <w:b w:val="0"/>
          <w:color w:val="auto"/>
          <w:spacing w:val="0"/>
          <w:szCs w:val="24"/>
        </w:rPr>
        <w:t> </w:t>
      </w:r>
      <w:r w:rsidR="002B2680" w:rsidRPr="00B24BAF">
        <w:rPr>
          <w:rFonts w:cs="Arial"/>
          <w:b w:val="0"/>
          <w:color w:val="auto"/>
          <w:spacing w:val="0"/>
          <w:szCs w:val="24"/>
        </w:rPr>
        <w:t>%</w:t>
      </w:r>
      <w:r w:rsidR="0096099E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2B2680" w:rsidRPr="00B24BAF">
        <w:rPr>
          <w:rFonts w:cs="Arial"/>
          <w:b w:val="0"/>
          <w:color w:val="auto"/>
          <w:spacing w:val="0"/>
          <w:szCs w:val="24"/>
        </w:rPr>
        <w:t>y l</w:t>
      </w:r>
      <w:r w:rsidR="00B9530E" w:rsidRPr="00B24BAF">
        <w:rPr>
          <w:rFonts w:cs="Arial"/>
          <w:b w:val="0"/>
          <w:color w:val="auto"/>
          <w:spacing w:val="0"/>
          <w:szCs w:val="24"/>
        </w:rPr>
        <w:t xml:space="preserve">as </w:t>
      </w:r>
      <w:r w:rsidR="0090272F" w:rsidRPr="00B24BAF">
        <w:rPr>
          <w:rFonts w:cs="Arial"/>
          <w:b w:val="0"/>
          <w:color w:val="auto"/>
          <w:spacing w:val="0"/>
          <w:szCs w:val="24"/>
        </w:rPr>
        <w:t>terciarias</w:t>
      </w:r>
      <w:r w:rsidR="00B9530E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2B2680" w:rsidRPr="00B24BAF">
        <w:rPr>
          <w:rFonts w:cs="Arial"/>
          <w:b w:val="0"/>
          <w:color w:val="auto"/>
          <w:spacing w:val="0"/>
          <w:szCs w:val="24"/>
        </w:rPr>
        <w:t>disminuyeron 0.1 por ciento.</w:t>
      </w:r>
    </w:p>
    <w:bookmarkEnd w:id="5"/>
    <w:bookmarkEnd w:id="6"/>
    <w:p w14:paraId="062721DF" w14:textId="77777777" w:rsidR="005A6089" w:rsidRPr="00B24BAF" w:rsidRDefault="005A6089" w:rsidP="005A6089">
      <w:pPr>
        <w:pStyle w:val="bullet"/>
        <w:keepLines w:val="0"/>
        <w:spacing w:before="0" w:after="0"/>
        <w:ind w:left="0" w:right="51" w:firstLine="0"/>
        <w:rPr>
          <w:rFonts w:cs="Arial"/>
          <w:b w:val="0"/>
          <w:color w:val="auto"/>
          <w:spacing w:val="0"/>
          <w:szCs w:val="24"/>
        </w:rPr>
      </w:pPr>
    </w:p>
    <w:p w14:paraId="419B4111" w14:textId="59E6CBD9" w:rsidR="00635009" w:rsidRPr="00B24BAF" w:rsidRDefault="001561D9" w:rsidP="005A6089">
      <w:pPr>
        <w:pStyle w:val="bullet"/>
        <w:keepLines w:val="0"/>
        <w:spacing w:before="0" w:after="0"/>
        <w:ind w:left="0" w:right="51" w:firstLine="0"/>
        <w:rPr>
          <w:rFonts w:cs="Arial"/>
          <w:b w:val="0"/>
          <w:smallCaps/>
          <w:color w:val="auto"/>
          <w:spacing w:val="0"/>
          <w:szCs w:val="24"/>
        </w:rPr>
      </w:pPr>
      <w:r w:rsidRPr="00B24BAF">
        <w:rPr>
          <w:rFonts w:cs="Arial"/>
          <w:b w:val="0"/>
          <w:color w:val="auto"/>
          <w:spacing w:val="0"/>
          <w:szCs w:val="24"/>
        </w:rPr>
        <w:t xml:space="preserve">En </w:t>
      </w:r>
      <w:r w:rsidR="00A175F4" w:rsidRPr="00B24BAF">
        <w:rPr>
          <w:rFonts w:cs="Arial"/>
          <w:b w:val="0"/>
          <w:color w:val="auto"/>
          <w:spacing w:val="0"/>
          <w:szCs w:val="24"/>
        </w:rPr>
        <w:t>el mes de referencia</w:t>
      </w:r>
      <w:r w:rsidRPr="00B24BAF">
        <w:rPr>
          <w:rFonts w:cs="Arial"/>
          <w:b w:val="0"/>
          <w:color w:val="auto"/>
          <w:spacing w:val="0"/>
          <w:szCs w:val="24"/>
        </w:rPr>
        <w:t>, a</w:t>
      </w:r>
      <w:r w:rsidR="00FA393C" w:rsidRPr="00B24BAF">
        <w:rPr>
          <w:rFonts w:cs="Arial"/>
          <w:b w:val="0"/>
          <w:color w:val="auto"/>
          <w:spacing w:val="0"/>
          <w:szCs w:val="24"/>
        </w:rPr>
        <w:t xml:space="preserve"> tasa anual y con series desestacionalizadas</w:t>
      </w:r>
      <w:r w:rsidR="00635009" w:rsidRPr="00B24BAF">
        <w:rPr>
          <w:rFonts w:cs="Arial"/>
          <w:b w:val="0"/>
          <w:color w:val="auto"/>
          <w:spacing w:val="0"/>
          <w:szCs w:val="24"/>
        </w:rPr>
        <w:t xml:space="preserve">, el IGAE </w:t>
      </w:r>
      <w:r w:rsidR="00255B20" w:rsidRPr="00B24BAF">
        <w:rPr>
          <w:rFonts w:cs="Arial"/>
          <w:b w:val="0"/>
          <w:color w:val="auto"/>
          <w:spacing w:val="0"/>
          <w:szCs w:val="24"/>
        </w:rPr>
        <w:t xml:space="preserve">aumentó </w:t>
      </w:r>
      <w:r w:rsidR="00C77FF3" w:rsidRPr="00B24BAF">
        <w:rPr>
          <w:rFonts w:cs="Arial"/>
          <w:b w:val="0"/>
          <w:color w:val="auto"/>
          <w:spacing w:val="0"/>
          <w:szCs w:val="24"/>
        </w:rPr>
        <w:t>3.</w:t>
      </w:r>
      <w:r w:rsidR="002B2680" w:rsidRPr="00B24BAF">
        <w:rPr>
          <w:rFonts w:cs="Arial"/>
          <w:b w:val="0"/>
          <w:color w:val="auto"/>
          <w:spacing w:val="0"/>
          <w:szCs w:val="24"/>
        </w:rPr>
        <w:t>9</w:t>
      </w:r>
      <w:r w:rsidR="0096099E" w:rsidRPr="00B24BAF">
        <w:rPr>
          <w:rFonts w:cs="Arial"/>
          <w:b w:val="0"/>
          <w:color w:val="auto"/>
          <w:spacing w:val="0"/>
          <w:szCs w:val="24"/>
        </w:rPr>
        <w:t> </w:t>
      </w:r>
      <w:r w:rsidR="00635009" w:rsidRPr="00B24BAF">
        <w:rPr>
          <w:rFonts w:cs="Arial"/>
          <w:b w:val="0"/>
          <w:color w:val="auto"/>
          <w:spacing w:val="0"/>
          <w:szCs w:val="24"/>
        </w:rPr>
        <w:t xml:space="preserve">% </w:t>
      </w:r>
      <w:r w:rsidR="00FA393C" w:rsidRPr="00B24BAF">
        <w:rPr>
          <w:rFonts w:cs="Arial"/>
          <w:b w:val="0"/>
          <w:color w:val="auto"/>
          <w:spacing w:val="0"/>
          <w:szCs w:val="24"/>
        </w:rPr>
        <w:t>en términos reales</w:t>
      </w:r>
      <w:r w:rsidR="00635009" w:rsidRPr="00B24BAF">
        <w:rPr>
          <w:rFonts w:cs="Arial"/>
          <w:b w:val="0"/>
          <w:color w:val="auto"/>
          <w:spacing w:val="0"/>
          <w:szCs w:val="24"/>
        </w:rPr>
        <w:t xml:space="preserve">. Por grandes grupos de </w:t>
      </w:r>
      <w:r w:rsidR="00D122C0" w:rsidRPr="00B24BAF">
        <w:rPr>
          <w:rFonts w:cs="Arial"/>
          <w:b w:val="0"/>
          <w:color w:val="auto"/>
          <w:spacing w:val="0"/>
          <w:szCs w:val="24"/>
        </w:rPr>
        <w:t>a</w:t>
      </w:r>
      <w:r w:rsidR="00635009" w:rsidRPr="00B24BAF">
        <w:rPr>
          <w:rFonts w:cs="Arial"/>
          <w:b w:val="0"/>
          <w:color w:val="auto"/>
          <w:spacing w:val="0"/>
          <w:szCs w:val="24"/>
        </w:rPr>
        <w:t>ctividades,</w:t>
      </w:r>
      <w:r w:rsidR="006B1245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D525B6" w:rsidRPr="00B24BAF">
        <w:rPr>
          <w:rFonts w:cs="Arial"/>
          <w:b w:val="0"/>
          <w:color w:val="auto"/>
          <w:spacing w:val="0"/>
          <w:szCs w:val="24"/>
        </w:rPr>
        <w:t xml:space="preserve">las </w:t>
      </w:r>
      <w:r w:rsidR="0090272F" w:rsidRPr="00B24BAF">
        <w:rPr>
          <w:rFonts w:cs="Arial"/>
          <w:b w:val="0"/>
          <w:color w:val="auto"/>
          <w:spacing w:val="0"/>
          <w:szCs w:val="24"/>
        </w:rPr>
        <w:t>primarias</w:t>
      </w:r>
      <w:r w:rsidR="00D525B6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AF58B1" w:rsidRPr="00B24BAF">
        <w:rPr>
          <w:rFonts w:cs="Arial"/>
          <w:b w:val="0"/>
          <w:color w:val="auto"/>
          <w:spacing w:val="0"/>
          <w:szCs w:val="24"/>
        </w:rPr>
        <w:t>ascendieron</w:t>
      </w:r>
      <w:r w:rsidR="00C77FF3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2B2680" w:rsidRPr="00B24BAF">
        <w:rPr>
          <w:rFonts w:cs="Arial"/>
          <w:b w:val="0"/>
          <w:color w:val="auto"/>
          <w:spacing w:val="0"/>
          <w:szCs w:val="24"/>
        </w:rPr>
        <w:t>8.2</w:t>
      </w:r>
      <w:r w:rsidR="00D525B6" w:rsidRPr="00B24BAF">
        <w:rPr>
          <w:rFonts w:cs="Arial"/>
          <w:b w:val="0"/>
          <w:color w:val="auto"/>
          <w:spacing w:val="0"/>
          <w:szCs w:val="24"/>
        </w:rPr>
        <w:t> </w:t>
      </w:r>
      <w:r w:rsidR="00C77FF3" w:rsidRPr="00B24BAF">
        <w:rPr>
          <w:rFonts w:cs="Arial"/>
          <w:b w:val="0"/>
          <w:color w:val="auto"/>
          <w:spacing w:val="0"/>
          <w:szCs w:val="24"/>
        </w:rPr>
        <w:t>%</w:t>
      </w:r>
      <w:r w:rsidR="00AF58B1" w:rsidRPr="00B24BAF">
        <w:rPr>
          <w:rFonts w:cs="Arial"/>
          <w:b w:val="0"/>
          <w:color w:val="auto"/>
          <w:spacing w:val="0"/>
          <w:szCs w:val="24"/>
        </w:rPr>
        <w:t>;</w:t>
      </w:r>
      <w:r w:rsidR="00C77FF3" w:rsidRPr="00B24BAF">
        <w:rPr>
          <w:rFonts w:cs="Arial"/>
          <w:b w:val="0"/>
          <w:color w:val="auto"/>
          <w:spacing w:val="0"/>
          <w:szCs w:val="24"/>
        </w:rPr>
        <w:t xml:space="preserve"> </w:t>
      </w:r>
      <w:r w:rsidR="00AF58B1" w:rsidRPr="00B24BAF">
        <w:rPr>
          <w:rFonts w:cs="Arial"/>
          <w:b w:val="0"/>
          <w:color w:val="auto"/>
          <w:spacing w:val="0"/>
          <w:szCs w:val="24"/>
        </w:rPr>
        <w:t xml:space="preserve">las </w:t>
      </w:r>
      <w:r w:rsidR="002B2680" w:rsidRPr="00B24BAF">
        <w:rPr>
          <w:rFonts w:cs="Arial"/>
          <w:b w:val="0"/>
          <w:color w:val="auto"/>
          <w:spacing w:val="0"/>
          <w:szCs w:val="24"/>
        </w:rPr>
        <w:t>terciarias</w:t>
      </w:r>
      <w:r w:rsidR="00AF58B1" w:rsidRPr="00B24BAF">
        <w:rPr>
          <w:rFonts w:cs="Arial"/>
          <w:b w:val="0"/>
          <w:color w:val="auto"/>
          <w:spacing w:val="0"/>
          <w:szCs w:val="24"/>
        </w:rPr>
        <w:t xml:space="preserve">, </w:t>
      </w:r>
      <w:r w:rsidR="002B2680" w:rsidRPr="00B24BAF">
        <w:rPr>
          <w:rFonts w:cs="Arial"/>
          <w:b w:val="0"/>
          <w:color w:val="auto"/>
          <w:spacing w:val="0"/>
          <w:szCs w:val="24"/>
        </w:rPr>
        <w:t>3.8</w:t>
      </w:r>
      <w:r w:rsidR="0096099E" w:rsidRPr="00B24BAF">
        <w:rPr>
          <w:rFonts w:cs="Arial"/>
          <w:b w:val="0"/>
          <w:color w:val="auto"/>
          <w:spacing w:val="0"/>
          <w:szCs w:val="24"/>
        </w:rPr>
        <w:t> </w:t>
      </w:r>
      <w:r w:rsidR="002C4012" w:rsidRPr="00B24BAF">
        <w:rPr>
          <w:rFonts w:cs="Arial"/>
          <w:b w:val="0"/>
          <w:color w:val="auto"/>
          <w:spacing w:val="0"/>
          <w:szCs w:val="24"/>
        </w:rPr>
        <w:t xml:space="preserve">% </w:t>
      </w:r>
      <w:r w:rsidR="002C1B44" w:rsidRPr="00B24BAF">
        <w:rPr>
          <w:rFonts w:cs="Arial"/>
          <w:b w:val="0"/>
          <w:color w:val="auto"/>
          <w:spacing w:val="0"/>
          <w:szCs w:val="24"/>
        </w:rPr>
        <w:t>y</w:t>
      </w:r>
      <w:r w:rsidR="00D525B6" w:rsidRPr="00B24BAF">
        <w:rPr>
          <w:rFonts w:cs="Arial"/>
          <w:b w:val="0"/>
          <w:color w:val="auto"/>
          <w:spacing w:val="0"/>
          <w:szCs w:val="24"/>
        </w:rPr>
        <w:t xml:space="preserve"> las </w:t>
      </w:r>
      <w:r w:rsidR="002B2680" w:rsidRPr="00B24BAF">
        <w:rPr>
          <w:rFonts w:cs="Arial"/>
          <w:b w:val="0"/>
          <w:color w:val="auto"/>
          <w:spacing w:val="0"/>
          <w:szCs w:val="24"/>
        </w:rPr>
        <w:t>secundarias</w:t>
      </w:r>
      <w:r w:rsidR="00AF58B1" w:rsidRPr="00B24BAF">
        <w:rPr>
          <w:rFonts w:cs="Arial"/>
          <w:b w:val="0"/>
          <w:color w:val="auto"/>
          <w:spacing w:val="0"/>
          <w:szCs w:val="24"/>
        </w:rPr>
        <w:t xml:space="preserve">, </w:t>
      </w:r>
      <w:r w:rsidR="002B2680" w:rsidRPr="00B24BAF">
        <w:rPr>
          <w:rFonts w:cs="Arial"/>
          <w:b w:val="0"/>
          <w:color w:val="auto"/>
          <w:spacing w:val="0"/>
          <w:szCs w:val="24"/>
        </w:rPr>
        <w:t>3.5</w:t>
      </w:r>
      <w:r w:rsidR="00D525B6" w:rsidRPr="00B24BAF">
        <w:rPr>
          <w:rFonts w:cs="Arial"/>
          <w:b w:val="0"/>
          <w:color w:val="auto"/>
          <w:spacing w:val="0"/>
          <w:szCs w:val="24"/>
        </w:rPr>
        <w:t> </w:t>
      </w:r>
      <w:r w:rsidR="00F54D0A" w:rsidRPr="00B24BAF">
        <w:rPr>
          <w:rFonts w:cs="Arial"/>
          <w:b w:val="0"/>
          <w:color w:val="auto"/>
          <w:spacing w:val="0"/>
          <w:szCs w:val="24"/>
        </w:rPr>
        <w:t>por</w:t>
      </w:r>
      <w:r w:rsidR="00D73614" w:rsidRPr="00B24BAF">
        <w:rPr>
          <w:rFonts w:cs="Arial"/>
          <w:b w:val="0"/>
          <w:color w:val="auto"/>
          <w:spacing w:val="0"/>
          <w:szCs w:val="24"/>
        </w:rPr>
        <w:t> </w:t>
      </w:r>
      <w:r w:rsidR="00F54D0A" w:rsidRPr="00B24BAF">
        <w:rPr>
          <w:rFonts w:cs="Arial"/>
          <w:b w:val="0"/>
          <w:color w:val="auto"/>
          <w:spacing w:val="0"/>
          <w:szCs w:val="24"/>
        </w:rPr>
        <w:t>ciento</w:t>
      </w:r>
      <w:r w:rsidR="009F088F" w:rsidRPr="00B24BAF">
        <w:rPr>
          <w:rFonts w:cs="Arial"/>
          <w:b w:val="0"/>
          <w:color w:val="auto"/>
          <w:spacing w:val="0"/>
          <w:szCs w:val="24"/>
        </w:rPr>
        <w:t>.</w:t>
      </w:r>
    </w:p>
    <w:p w14:paraId="01E2D8CA" w14:textId="77777777" w:rsidR="005A6089" w:rsidRDefault="005A6089" w:rsidP="00726EC7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</w:p>
    <w:p w14:paraId="36865816" w14:textId="3ABB9B36" w:rsidR="00505095" w:rsidRPr="00F25EC7" w:rsidRDefault="00505095" w:rsidP="00726EC7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Cuadro 1</w:t>
      </w:r>
    </w:p>
    <w:p w14:paraId="0AB7C089" w14:textId="0EDBEB85" w:rsidR="003D06C0" w:rsidRPr="00F25EC7" w:rsidRDefault="00635009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F25EC7">
        <w:rPr>
          <w:rFonts w:cs="Arial"/>
          <w:smallCaps/>
          <w:color w:val="auto"/>
          <w:spacing w:val="0"/>
          <w:sz w:val="22"/>
        </w:rPr>
        <w:t xml:space="preserve">Indicador </w:t>
      </w:r>
      <w:r w:rsidR="00D122C0" w:rsidRPr="00F25EC7">
        <w:rPr>
          <w:rFonts w:cs="Arial"/>
          <w:smallCaps/>
          <w:color w:val="auto"/>
          <w:spacing w:val="0"/>
          <w:sz w:val="22"/>
        </w:rPr>
        <w:t>G</w:t>
      </w:r>
      <w:r w:rsidRPr="00F25EC7">
        <w:rPr>
          <w:rFonts w:cs="Arial"/>
          <w:smallCaps/>
          <w:color w:val="auto"/>
          <w:spacing w:val="0"/>
          <w:sz w:val="22"/>
        </w:rPr>
        <w:t xml:space="preserve">lobal de la </w:t>
      </w:r>
      <w:r w:rsidR="00D122C0" w:rsidRPr="00F25EC7">
        <w:rPr>
          <w:rFonts w:cs="Arial"/>
          <w:smallCaps/>
          <w:color w:val="auto"/>
          <w:spacing w:val="0"/>
          <w:sz w:val="22"/>
        </w:rPr>
        <w:t>A</w:t>
      </w:r>
      <w:r w:rsidRPr="00F25EC7">
        <w:rPr>
          <w:rFonts w:cs="Arial"/>
          <w:smallCaps/>
          <w:color w:val="auto"/>
          <w:spacing w:val="0"/>
          <w:sz w:val="22"/>
        </w:rPr>
        <w:t xml:space="preserve">ctividad </w:t>
      </w:r>
      <w:r w:rsidR="00D122C0" w:rsidRPr="00F25EC7">
        <w:rPr>
          <w:rFonts w:cs="Arial"/>
          <w:smallCaps/>
          <w:color w:val="auto"/>
          <w:spacing w:val="0"/>
          <w:sz w:val="22"/>
        </w:rPr>
        <w:t>E</w:t>
      </w:r>
      <w:r w:rsidRPr="00F25EC7">
        <w:rPr>
          <w:rFonts w:cs="Arial"/>
          <w:smallCaps/>
          <w:color w:val="auto"/>
          <w:spacing w:val="0"/>
          <w:sz w:val="22"/>
        </w:rPr>
        <w:t>conómica</w:t>
      </w:r>
    </w:p>
    <w:p w14:paraId="3A2F57E4" w14:textId="77777777" w:rsidR="000C1106" w:rsidRPr="001A50C7" w:rsidRDefault="00AC1CC7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0"/>
          <w:szCs w:val="18"/>
        </w:rPr>
      </w:pPr>
      <w:r w:rsidRPr="001A50C7">
        <w:rPr>
          <w:rFonts w:cs="Arial"/>
          <w:smallCaps/>
          <w:color w:val="auto"/>
          <w:spacing w:val="0"/>
          <w:sz w:val="20"/>
          <w:szCs w:val="18"/>
        </w:rPr>
        <w:t>c</w:t>
      </w:r>
      <w:r w:rsidR="00635009" w:rsidRPr="001A50C7">
        <w:rPr>
          <w:rFonts w:cs="Arial"/>
          <w:smallCaps/>
          <w:color w:val="auto"/>
          <w:spacing w:val="0"/>
          <w:sz w:val="20"/>
          <w:szCs w:val="18"/>
        </w:rPr>
        <w:t>ifras desestacionalizadas</w:t>
      </w:r>
    </w:p>
    <w:p w14:paraId="58FA4A24" w14:textId="0BBE7D79" w:rsidR="00635009" w:rsidRPr="00774559" w:rsidRDefault="006B321B" w:rsidP="00A175F4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0"/>
        </w:rPr>
      </w:pPr>
      <w:r>
        <w:rPr>
          <w:rFonts w:cs="Arial"/>
          <w:smallCaps/>
          <w:color w:val="auto"/>
          <w:spacing w:val="0"/>
          <w:sz w:val="20"/>
        </w:rPr>
        <w:t>f</w:t>
      </w:r>
      <w:r w:rsidR="000C1106" w:rsidRPr="00774559">
        <w:rPr>
          <w:rFonts w:cs="Arial"/>
          <w:smallCaps/>
          <w:color w:val="auto"/>
          <w:spacing w:val="0"/>
          <w:sz w:val="20"/>
        </w:rPr>
        <w:t>e</w:t>
      </w:r>
      <w:r>
        <w:rPr>
          <w:rFonts w:cs="Arial"/>
          <w:smallCaps/>
          <w:color w:val="auto"/>
          <w:spacing w:val="0"/>
          <w:sz w:val="20"/>
        </w:rPr>
        <w:t>br</w:t>
      </w:r>
      <w:r w:rsidR="00866CA6">
        <w:rPr>
          <w:rFonts w:cs="Arial"/>
          <w:smallCaps/>
          <w:color w:val="auto"/>
          <w:spacing w:val="0"/>
          <w:sz w:val="20"/>
        </w:rPr>
        <w:t>ero</w:t>
      </w:r>
      <w:r w:rsidR="000C1106" w:rsidRPr="00774559">
        <w:rPr>
          <w:rFonts w:cs="Arial"/>
          <w:smallCaps/>
          <w:color w:val="auto"/>
          <w:spacing w:val="0"/>
          <w:sz w:val="20"/>
        </w:rPr>
        <w:t xml:space="preserve"> de 202</w:t>
      </w:r>
      <w:r w:rsidR="00866CA6">
        <w:rPr>
          <w:rFonts w:cs="Arial"/>
          <w:smallCaps/>
          <w:color w:val="auto"/>
          <w:spacing w:val="0"/>
          <w:sz w:val="20"/>
        </w:rPr>
        <w:t>3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73"/>
        <w:gridCol w:w="1473"/>
      </w:tblGrid>
      <w:tr w:rsidR="00F1403B" w:rsidRPr="00F25EC7" w14:paraId="28456D6C" w14:textId="77777777" w:rsidTr="001A50C7">
        <w:trPr>
          <w:trHeight w:val="510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6985C2C7" w14:textId="77777777" w:rsidR="00F1403B" w:rsidRPr="00F25EC7" w:rsidRDefault="00F1403B" w:rsidP="009B249B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F25EC7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4B8E2C47" w14:textId="24A96AC7" w:rsidR="00F1403B" w:rsidRPr="00F25EC7" w:rsidRDefault="00F1403B" w:rsidP="009B249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Variación </w:t>
            </w:r>
            <w:r w:rsidR="00FB590E" w:rsidRPr="00F25EC7">
              <w:rPr>
                <w:rFonts w:ascii="Arial" w:hAnsi="Arial"/>
                <w:color w:val="auto"/>
                <w:sz w:val="18"/>
              </w:rPr>
              <w:t>porcentual</w:t>
            </w:r>
            <w:r w:rsidRPr="00F25EC7">
              <w:rPr>
                <w:rFonts w:ascii="Arial" w:hAnsi="Arial"/>
                <w:color w:val="auto"/>
                <w:sz w:val="18"/>
              </w:rPr>
              <w:t xml:space="preserve"> </w:t>
            </w:r>
            <w:r w:rsidR="00A53A9F">
              <w:rPr>
                <w:rFonts w:ascii="Arial" w:hAnsi="Arial"/>
                <w:color w:val="auto"/>
                <w:sz w:val="18"/>
              </w:rPr>
              <w:t xml:space="preserve">real </w:t>
            </w:r>
            <w:r w:rsidR="00A53A9F">
              <w:rPr>
                <w:rFonts w:ascii="Arial" w:hAnsi="Arial"/>
                <w:color w:val="auto"/>
                <w:sz w:val="18"/>
              </w:rPr>
              <w:br/>
            </w:r>
            <w:r w:rsidRPr="00F25EC7">
              <w:rPr>
                <w:rFonts w:ascii="Arial" w:hAnsi="Arial"/>
                <w:color w:val="auto"/>
                <w:sz w:val="18"/>
              </w:rPr>
              <w:t>respecto</w:t>
            </w:r>
            <w:r w:rsidR="00D55D7D" w:rsidRPr="00F25EC7">
              <w:rPr>
                <w:rFonts w:ascii="Arial" w:hAnsi="Arial"/>
                <w:color w:val="auto"/>
                <w:sz w:val="18"/>
              </w:rPr>
              <w:t xml:space="preserve"> al</w:t>
            </w:r>
            <w:r w:rsidRPr="00F25EC7">
              <w:rPr>
                <w:rFonts w:ascii="Arial" w:hAnsi="Arial"/>
                <w:color w:val="auto"/>
                <w:sz w:val="18"/>
              </w:rPr>
              <w:t>:</w:t>
            </w:r>
          </w:p>
        </w:tc>
      </w:tr>
      <w:tr w:rsidR="00F1403B" w:rsidRPr="00F25EC7" w14:paraId="71D3A8E2" w14:textId="77777777" w:rsidTr="001A50C7">
        <w:trPr>
          <w:trHeight w:val="510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A83829B" w14:textId="77777777" w:rsidR="00F1403B" w:rsidRPr="00F25EC7" w:rsidRDefault="00F1403B" w:rsidP="009B249B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363AE3" w14:textId="45D57FA6" w:rsidR="00F1403B" w:rsidRPr="00F25EC7" w:rsidRDefault="003672B4" w:rsidP="009B249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F1403B" w:rsidRPr="00F25EC7">
              <w:rPr>
                <w:rFonts w:ascii="Arial" w:hAnsi="Arial"/>
                <w:color w:val="auto"/>
                <w:sz w:val="18"/>
              </w:rPr>
              <w:t>es previo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57E1AB7" w14:textId="1224CADE" w:rsidR="00F1403B" w:rsidRPr="00F25EC7" w:rsidRDefault="003672B4" w:rsidP="009B249B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m</w:t>
            </w:r>
            <w:r w:rsidR="00E46CE2" w:rsidRPr="00F25EC7">
              <w:rPr>
                <w:rFonts w:ascii="Arial" w:hAnsi="Arial"/>
                <w:color w:val="auto"/>
                <w:sz w:val="18"/>
              </w:rPr>
              <w:t xml:space="preserve">ismo </w:t>
            </w:r>
            <w:r w:rsidR="00F1403B" w:rsidRPr="00F25EC7">
              <w:rPr>
                <w:rFonts w:ascii="Arial" w:hAnsi="Arial"/>
                <w:color w:val="auto"/>
                <w:sz w:val="18"/>
              </w:rPr>
              <w:t xml:space="preserve">mes </w:t>
            </w:r>
            <w:r w:rsidR="000F4ED4" w:rsidRPr="00F25EC7">
              <w:rPr>
                <w:rFonts w:ascii="Arial" w:hAnsi="Arial"/>
                <w:color w:val="auto"/>
                <w:sz w:val="18"/>
              </w:rPr>
              <w:br/>
            </w:r>
            <w:r w:rsidR="00D55D7D" w:rsidRPr="00F25EC7">
              <w:rPr>
                <w:rFonts w:ascii="Arial" w:hAnsi="Arial"/>
                <w:color w:val="auto"/>
                <w:sz w:val="18"/>
              </w:rPr>
              <w:t xml:space="preserve">de </w:t>
            </w:r>
            <w:r w:rsidR="00E46CE2" w:rsidRPr="00F25EC7">
              <w:rPr>
                <w:rFonts w:ascii="Arial" w:hAnsi="Arial"/>
                <w:color w:val="auto"/>
                <w:sz w:val="18"/>
              </w:rPr>
              <w:t>202</w:t>
            </w:r>
            <w:r w:rsidR="00866CA6">
              <w:rPr>
                <w:rFonts w:ascii="Arial" w:hAnsi="Arial"/>
                <w:color w:val="auto"/>
                <w:sz w:val="18"/>
              </w:rPr>
              <w:t>2</w:t>
            </w:r>
          </w:p>
        </w:tc>
      </w:tr>
      <w:tr w:rsidR="00F1403B" w:rsidRPr="00F25EC7" w14:paraId="4B2979A1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002CE1A" w14:textId="3B068C7B" w:rsidR="00F1403B" w:rsidRPr="00F25EC7" w:rsidRDefault="00F1403B" w:rsidP="009B249B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 w:rsidRPr="00F25EC7"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66A999C7" w14:textId="40EECB65" w:rsidR="00F1403B" w:rsidRPr="00F25EC7" w:rsidRDefault="00AF58B1" w:rsidP="00694F65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0.</w:t>
            </w:r>
            <w:r w:rsidR="002B2680">
              <w:rPr>
                <w:b/>
                <w:sz w:val="1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137D5B6F" w14:textId="55CB7C33" w:rsidR="00F1403B" w:rsidRPr="00F25EC7" w:rsidRDefault="00AF58B1" w:rsidP="00370971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  <w:r w:rsidR="002B2680">
              <w:rPr>
                <w:b/>
                <w:bCs/>
                <w:sz w:val="18"/>
              </w:rPr>
              <w:t>9</w:t>
            </w:r>
          </w:p>
        </w:tc>
      </w:tr>
      <w:tr w:rsidR="00F1403B" w:rsidRPr="00F25EC7" w14:paraId="0F77F5A5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12BFA32" w14:textId="7A37717F" w:rsidR="00F1403B" w:rsidRPr="00F25EC7" w:rsidRDefault="00F1403B" w:rsidP="009B249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>Actividades</w:t>
            </w:r>
            <w:r w:rsidR="00D122C0" w:rsidRPr="00F25EC7">
              <w:rPr>
                <w:rFonts w:ascii="Arial" w:hAnsi="Arial"/>
                <w:color w:val="auto"/>
                <w:sz w:val="18"/>
              </w:rPr>
              <w:t xml:space="preserve"> p</w:t>
            </w:r>
            <w:r w:rsidRPr="00F25EC7">
              <w:rPr>
                <w:rFonts w:ascii="Arial" w:hAnsi="Arial"/>
                <w:color w:val="auto"/>
                <w:sz w:val="18"/>
              </w:rPr>
              <w:t>rimarias</w:t>
            </w:r>
          </w:p>
        </w:tc>
        <w:tc>
          <w:tcPr>
            <w:tcW w:w="147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F2A086F" w14:textId="62BF668D" w:rsidR="00F1403B" w:rsidRPr="00F25EC7" w:rsidRDefault="002B2680" w:rsidP="00694F65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4.2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6A9273F9" w14:textId="2A90D3F0" w:rsidR="00F1403B" w:rsidRPr="00F25EC7" w:rsidRDefault="002B2680" w:rsidP="00370971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</w:tr>
      <w:tr w:rsidR="00F1403B" w:rsidRPr="00F25EC7" w14:paraId="7346AD25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8177AC9" w14:textId="6ADB912C" w:rsidR="00F1403B" w:rsidRPr="00F25EC7" w:rsidRDefault="00F1403B" w:rsidP="009B249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Actividades </w:t>
            </w:r>
            <w:r w:rsidR="00D122C0" w:rsidRPr="00F25EC7">
              <w:rPr>
                <w:rFonts w:ascii="Arial" w:hAnsi="Arial"/>
                <w:color w:val="auto"/>
                <w:sz w:val="18"/>
              </w:rPr>
              <w:t>s</w:t>
            </w:r>
            <w:r w:rsidRPr="00F25EC7">
              <w:rPr>
                <w:rFonts w:ascii="Arial" w:hAnsi="Arial"/>
                <w:color w:val="auto"/>
                <w:sz w:val="18"/>
              </w:rPr>
              <w:t>ecundarias</w:t>
            </w:r>
          </w:p>
        </w:tc>
        <w:tc>
          <w:tcPr>
            <w:tcW w:w="147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7CE1B35" w14:textId="12922CF0" w:rsidR="00F1403B" w:rsidRPr="00F25EC7" w:rsidRDefault="002B2680" w:rsidP="00694F65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08F67DD9" w14:textId="3296DF98" w:rsidR="00F1403B" w:rsidRPr="00F25EC7" w:rsidRDefault="002B2680" w:rsidP="00370971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3.5</w:t>
            </w:r>
          </w:p>
        </w:tc>
      </w:tr>
      <w:tr w:rsidR="006851DA" w:rsidRPr="00F25EC7" w14:paraId="74F787AE" w14:textId="77777777" w:rsidTr="001A50C7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DE432" w14:textId="093CB3E0" w:rsidR="006851DA" w:rsidRPr="00F25EC7" w:rsidRDefault="006851DA" w:rsidP="009B249B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 w:rsidRPr="00F25EC7">
              <w:rPr>
                <w:rFonts w:ascii="Arial" w:hAnsi="Arial"/>
                <w:color w:val="auto"/>
                <w:sz w:val="18"/>
              </w:rPr>
              <w:t xml:space="preserve">Actividades </w:t>
            </w:r>
            <w:r w:rsidR="00D122C0" w:rsidRPr="00F25EC7">
              <w:rPr>
                <w:rFonts w:ascii="Arial" w:hAnsi="Arial"/>
                <w:color w:val="auto"/>
                <w:sz w:val="18"/>
              </w:rPr>
              <w:t>t</w:t>
            </w:r>
            <w:r w:rsidRPr="00F25EC7">
              <w:rPr>
                <w:rFonts w:ascii="Arial" w:hAnsi="Arial"/>
                <w:color w:val="auto"/>
                <w:sz w:val="18"/>
              </w:rPr>
              <w:t>erciarias</w:t>
            </w:r>
          </w:p>
        </w:tc>
        <w:tc>
          <w:tcPr>
            <w:tcW w:w="1473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7B382B66" w14:textId="084C84C5" w:rsidR="006851DA" w:rsidRPr="00F25EC7" w:rsidRDefault="002B2680" w:rsidP="00694F65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-0.1</w:t>
            </w:r>
          </w:p>
        </w:tc>
        <w:tc>
          <w:tcPr>
            <w:tcW w:w="1473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4E5F512" w14:textId="57A7FA87" w:rsidR="006851DA" w:rsidRPr="00F25EC7" w:rsidRDefault="002B2680" w:rsidP="006851DA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3.8</w:t>
            </w:r>
          </w:p>
        </w:tc>
      </w:tr>
    </w:tbl>
    <w:p w14:paraId="49B0358D" w14:textId="5F2683ED" w:rsidR="00635009" w:rsidRPr="00F25EC7" w:rsidRDefault="00635009" w:rsidP="00AC0614">
      <w:pPr>
        <w:ind w:left="1985" w:right="1468" w:hanging="425"/>
        <w:rPr>
          <w:sz w:val="16"/>
          <w:szCs w:val="16"/>
        </w:rPr>
      </w:pPr>
      <w:r w:rsidRPr="00F25EC7">
        <w:rPr>
          <w:sz w:val="16"/>
          <w:szCs w:val="16"/>
        </w:rPr>
        <w:t>Nota:</w:t>
      </w:r>
      <w:r w:rsidR="00AC0614" w:rsidRPr="00F25EC7">
        <w:rPr>
          <w:sz w:val="16"/>
          <w:szCs w:val="16"/>
        </w:rPr>
        <w:tab/>
      </w:r>
      <w:r w:rsidRPr="00F25EC7">
        <w:rPr>
          <w:sz w:val="16"/>
          <w:szCs w:val="16"/>
        </w:rPr>
        <w:t xml:space="preserve">La serie desestacionalizada del </w:t>
      </w:r>
      <w:r w:rsidR="007D69AA" w:rsidRPr="00F25EC7">
        <w:rPr>
          <w:sz w:val="16"/>
          <w:szCs w:val="16"/>
        </w:rPr>
        <w:t>Indicador Global de la Actividad Económica (</w:t>
      </w:r>
      <w:r w:rsidRPr="00F25EC7">
        <w:rPr>
          <w:sz w:val="16"/>
          <w:szCs w:val="16"/>
        </w:rPr>
        <w:t>IGAE</w:t>
      </w:r>
      <w:r w:rsidR="007D69AA" w:rsidRPr="00F25EC7">
        <w:rPr>
          <w:sz w:val="16"/>
          <w:szCs w:val="16"/>
        </w:rPr>
        <w:t>)</w:t>
      </w:r>
      <w:r w:rsidRPr="00F25EC7">
        <w:rPr>
          <w:sz w:val="16"/>
        </w:rPr>
        <w:t xml:space="preserve"> se calcula de manera independiente a la de sus componentes.</w:t>
      </w:r>
    </w:p>
    <w:p w14:paraId="0803370C" w14:textId="3F6E98A9" w:rsidR="00635009" w:rsidRDefault="00635009" w:rsidP="000F4ED4">
      <w:pPr>
        <w:tabs>
          <w:tab w:val="num" w:pos="1843"/>
          <w:tab w:val="left" w:pos="7939"/>
        </w:tabs>
        <w:ind w:left="1559" w:right="1469"/>
        <w:rPr>
          <w:sz w:val="16"/>
          <w:szCs w:val="16"/>
        </w:rPr>
      </w:pPr>
      <w:r w:rsidRPr="00F25EC7">
        <w:rPr>
          <w:sz w:val="16"/>
          <w:szCs w:val="16"/>
        </w:rPr>
        <w:t>Fuente: INEGI</w:t>
      </w:r>
    </w:p>
    <w:p w14:paraId="10E365B0" w14:textId="7EC0BFB0" w:rsidR="00B24BAF" w:rsidRDefault="00B24BAF" w:rsidP="000F4ED4">
      <w:pPr>
        <w:tabs>
          <w:tab w:val="num" w:pos="1843"/>
          <w:tab w:val="left" w:pos="7939"/>
        </w:tabs>
        <w:ind w:left="1559" w:right="1469"/>
        <w:rPr>
          <w:sz w:val="16"/>
          <w:lang w:val="es-MX"/>
        </w:rPr>
      </w:pPr>
    </w:p>
    <w:p w14:paraId="4386D054" w14:textId="25F2F711" w:rsidR="00B24BAF" w:rsidRDefault="00B24BAF" w:rsidP="000F4ED4">
      <w:pPr>
        <w:tabs>
          <w:tab w:val="num" w:pos="1843"/>
          <w:tab w:val="left" w:pos="7939"/>
        </w:tabs>
        <w:ind w:left="1559" w:right="1469"/>
        <w:rPr>
          <w:sz w:val="16"/>
          <w:lang w:val="es-MX"/>
        </w:rPr>
      </w:pPr>
    </w:p>
    <w:p w14:paraId="1D3B94AA" w14:textId="77777777" w:rsidR="00B24BAF" w:rsidRPr="00C33FBE" w:rsidRDefault="00B24BAF" w:rsidP="00B24BAF">
      <w:pPr>
        <w:spacing w:before="360"/>
        <w:rPr>
          <w:b/>
          <w:iCs/>
          <w:smallCaps/>
          <w:lang w:val="es-MX"/>
        </w:rPr>
      </w:pPr>
      <w:r w:rsidRPr="00C33FBE">
        <w:rPr>
          <w:b/>
          <w:iCs/>
          <w:smallCaps/>
          <w:lang w:val="es-MX"/>
        </w:rPr>
        <w:t>Nota al usuario</w:t>
      </w:r>
    </w:p>
    <w:p w14:paraId="79937F3A" w14:textId="77777777" w:rsidR="00B24BAF" w:rsidRDefault="00B24BAF" w:rsidP="00B24BAF">
      <w:pPr>
        <w:tabs>
          <w:tab w:val="num" w:pos="1843"/>
          <w:tab w:val="left" w:pos="7939"/>
        </w:tabs>
        <w:ind w:right="1469"/>
      </w:pPr>
    </w:p>
    <w:p w14:paraId="292E1EBF" w14:textId="665EE971" w:rsidR="00B24BAF" w:rsidRDefault="00B24BAF" w:rsidP="00B24BAF">
      <w:pPr>
        <w:tabs>
          <w:tab w:val="num" w:pos="1843"/>
          <w:tab w:val="left" w:pos="7939"/>
        </w:tabs>
        <w:ind w:right="51"/>
      </w:pPr>
      <w:r w:rsidRPr="00B17FF9"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t>I</w:t>
      </w:r>
      <w:r>
        <w:t>GAE,</w:t>
      </w:r>
      <w:r w:rsidRPr="00B17FF9">
        <w:rPr>
          <w:rStyle w:val="TextodegloboCar"/>
        </w:rPr>
        <w:t xml:space="preserve"> </w:t>
      </w:r>
      <w:r w:rsidRPr="009948F4">
        <w:rPr>
          <w:rStyle w:val="Refdenotaalpie"/>
        </w:rPr>
        <w:footnoteReference w:id="4"/>
      </w:r>
      <w:r w:rsidRPr="00D467CB">
        <w:t xml:space="preserve"> </w:t>
      </w:r>
      <w:r>
        <w:t xml:space="preserve">en febrero de 2023, registró porcentajes apropiados de acuerdo con el diseño estadístico de las muestras. </w:t>
      </w:r>
      <w:r w:rsidRPr="009948F4">
        <w:t>Se incorporan datos actualizados de las actividades de los servicios financieros de enero de 2023</w:t>
      </w:r>
      <w:r w:rsidRPr="00E15142">
        <w:rPr>
          <w:color w:val="0000CC"/>
        </w:rPr>
        <w:t>.</w:t>
      </w:r>
      <w:r>
        <w:t xml:space="preserve"> Asimismo, la captación de la Estadística de la Industria </w:t>
      </w:r>
      <w:proofErr w:type="spellStart"/>
      <w:r>
        <w:t>Minerometalúrgica</w:t>
      </w:r>
      <w:proofErr w:type="spellEnd"/>
      <w:r>
        <w:t xml:space="preserve"> (EIMM), de los registros administrativos y los datos primarios que divulga el </w:t>
      </w:r>
      <w:r w:rsidRPr="0094698A">
        <w:t>Instituto</w:t>
      </w:r>
      <w:r>
        <w:t xml:space="preserve"> Nacional de Estadística y Geografía (INEGI)</w:t>
      </w:r>
      <w:r w:rsidRPr="00823E60">
        <w:t xml:space="preserve"> </w:t>
      </w:r>
      <w:r w:rsidRPr="0094698A">
        <w:t>permitió la generación de estadísticas con niveles altos de cobertura y precisión estadística.</w:t>
      </w:r>
      <w:r>
        <w:t xml:space="preserve"> Para las actividades </w:t>
      </w:r>
      <w:r w:rsidRPr="003F6D42">
        <w:t xml:space="preserve">agropecuarias, </w:t>
      </w:r>
      <w:r>
        <w:t>petroleras, de energía, gas y agua,</w:t>
      </w:r>
      <w:r w:rsidRPr="003F6D42">
        <w:t xml:space="preserve"> de servicios financieros y del gobierno</w:t>
      </w:r>
      <w:r>
        <w:t>,</w:t>
      </w:r>
      <w:r w:rsidRPr="003F6D42">
        <w:t xml:space="preserve"> </w:t>
      </w:r>
      <w:r>
        <w:t>se incluyeron los registros administrativos provenientes de las empresas y Unidades del Estado que se recibieron oportunamente vía correo electrónico e internet.</w:t>
      </w:r>
    </w:p>
    <w:p w14:paraId="622E90E1" w14:textId="2F78F91B" w:rsidR="00B24BAF" w:rsidRDefault="00B24BAF" w:rsidP="00B24BAF">
      <w:pPr>
        <w:tabs>
          <w:tab w:val="num" w:pos="1843"/>
          <w:tab w:val="left" w:pos="7939"/>
        </w:tabs>
        <w:ind w:right="51"/>
        <w:rPr>
          <w:lang w:val="es-MX"/>
        </w:rPr>
      </w:pPr>
    </w:p>
    <w:p w14:paraId="1DC0F922" w14:textId="77777777" w:rsidR="00896707" w:rsidRDefault="00896707" w:rsidP="00B24BAF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7" w:name="_Hlk128411818"/>
    </w:p>
    <w:p w14:paraId="7B1CBE5C" w14:textId="605AFDA1" w:rsidR="00B24BAF" w:rsidRPr="00AD7286" w:rsidRDefault="00B24BAF" w:rsidP="00B24BAF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8" w:name="_GoBack"/>
      <w:bookmarkEnd w:id="8"/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18BFD34C" w14:textId="77777777" w:rsidR="00B24BAF" w:rsidRDefault="00B24BAF" w:rsidP="00B24B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1219D877" w14:textId="77777777" w:rsidR="00B24BAF" w:rsidRPr="00653B38" w:rsidRDefault="00B24BAF" w:rsidP="00B24B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491F625" w14:textId="77777777" w:rsidR="00B24BAF" w:rsidRPr="00E42BFD" w:rsidRDefault="00B24BAF" w:rsidP="00B24B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6E9CA3A8" w14:textId="77777777" w:rsidR="00B24BAF" w:rsidRDefault="00B24BAF" w:rsidP="00B24B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EF953D4" w14:textId="0A3F6968" w:rsidR="00B24BAF" w:rsidRDefault="00B24BAF" w:rsidP="00B24BAF">
      <w:pPr>
        <w:tabs>
          <w:tab w:val="num" w:pos="1843"/>
          <w:tab w:val="left" w:pos="7939"/>
        </w:tabs>
        <w:ind w:right="51"/>
        <w:jc w:val="center"/>
        <w:rPr>
          <w:lang w:val="es-MX"/>
        </w:rPr>
      </w:pPr>
      <w:r>
        <w:rPr>
          <w:rFonts w:ascii="Calibri" w:hAnsi="Calibri" w:cs="Calibri"/>
          <w:b/>
          <w:bCs/>
          <w:noProof/>
          <w:sz w:val="18"/>
          <w:szCs w:val="18"/>
        </w:rPr>
        <w:drawing>
          <wp:inline distT="0" distB="0" distL="0" distR="0" wp14:anchorId="3DBB7A8C" wp14:editId="5C591670">
            <wp:extent cx="3038475" cy="276225"/>
            <wp:effectExtent l="0" t="0" r="9525" b="9525"/>
            <wp:docPr id="9" name="img_logo_inegiInforma_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_inegiInforma_d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49F38BA4" w14:textId="77777777" w:rsidR="00B24BAF" w:rsidRPr="00B24BAF" w:rsidRDefault="00B24BAF" w:rsidP="00B24BAF">
      <w:pPr>
        <w:tabs>
          <w:tab w:val="num" w:pos="1843"/>
          <w:tab w:val="left" w:pos="7939"/>
        </w:tabs>
        <w:ind w:right="51"/>
        <w:rPr>
          <w:lang w:val="es-MX"/>
        </w:rPr>
      </w:pPr>
    </w:p>
    <w:p w14:paraId="14EE41D1" w14:textId="3FBA4FFB" w:rsidR="00AB2E43" w:rsidRDefault="00326EC6">
      <w:pPr>
        <w:jc w:val="left"/>
        <w:rPr>
          <w:b/>
          <w:iCs/>
          <w:smallCaps/>
        </w:rPr>
        <w:sectPr w:rsidR="00AB2E43" w:rsidSect="00AB2E43">
          <w:headerReference w:type="default" r:id="rId11"/>
          <w:footerReference w:type="default" r:id="rId12"/>
          <w:pgSz w:w="12242" w:h="15842" w:code="1"/>
          <w:pgMar w:top="2552" w:right="1418" w:bottom="1134" w:left="1134" w:header="567" w:footer="567" w:gutter="0"/>
          <w:paperSrc w:first="261" w:other="261"/>
          <w:pgNumType w:start="1"/>
          <w:cols w:space="720"/>
          <w:docGrid w:linePitch="360"/>
        </w:sectPr>
      </w:pPr>
      <w:r>
        <w:rPr>
          <w:b/>
          <w:iCs/>
          <w:smallCaps/>
        </w:rPr>
        <w:br w:type="page"/>
      </w:r>
    </w:p>
    <w:p w14:paraId="3549935A" w14:textId="37C657CC" w:rsidR="00326EC6" w:rsidRDefault="00AB2E43" w:rsidP="00AB2E43">
      <w:pPr>
        <w:jc w:val="center"/>
        <w:rPr>
          <w:b/>
          <w:iCs/>
          <w:smallCaps/>
        </w:rPr>
      </w:pPr>
      <w:r>
        <w:rPr>
          <w:b/>
          <w:iCs/>
          <w:smallCaps/>
        </w:rPr>
        <w:lastRenderedPageBreak/>
        <w:t xml:space="preserve">NOTA TÉCNICA </w:t>
      </w:r>
    </w:p>
    <w:p w14:paraId="3BAFB4AC" w14:textId="77777777" w:rsidR="00AB2E43" w:rsidRDefault="00AB2E43">
      <w:pPr>
        <w:jc w:val="left"/>
        <w:rPr>
          <w:b/>
          <w:iCs/>
          <w:smallCaps/>
        </w:rPr>
      </w:pPr>
    </w:p>
    <w:p w14:paraId="1E0E1C1E" w14:textId="51048405" w:rsidR="00E0502F" w:rsidRPr="00F84757" w:rsidRDefault="00E0502F" w:rsidP="00F17F15">
      <w:pPr>
        <w:jc w:val="left"/>
        <w:rPr>
          <w:b/>
          <w:iCs/>
          <w:smallCaps/>
        </w:rPr>
      </w:pPr>
      <w:r w:rsidRPr="00F84757">
        <w:rPr>
          <w:b/>
          <w:iCs/>
          <w:smallCaps/>
        </w:rPr>
        <w:t>Principales resultados</w:t>
      </w:r>
    </w:p>
    <w:p w14:paraId="1E596558" w14:textId="77777777" w:rsidR="00E0502F" w:rsidRPr="00FD7571" w:rsidRDefault="00E0502F" w:rsidP="00CE0DBE">
      <w:pPr>
        <w:pStyle w:val="parrafo1"/>
        <w:spacing w:before="24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>Cifras desestacionalizadas</w:t>
      </w:r>
    </w:p>
    <w:p w14:paraId="461029C7" w14:textId="69A12FA9" w:rsidR="00635009" w:rsidRPr="00F25EC7" w:rsidRDefault="003F6F9A" w:rsidP="00CE0DBE">
      <w:pPr>
        <w:spacing w:before="240"/>
        <w:rPr>
          <w:lang w:val="es-MX"/>
        </w:rPr>
      </w:pPr>
      <w:r w:rsidRPr="00F25EC7">
        <w:rPr>
          <w:lang w:val="es-MX"/>
        </w:rPr>
        <w:t xml:space="preserve">En </w:t>
      </w:r>
      <w:r w:rsidR="006B321B">
        <w:rPr>
          <w:lang w:val="es-MX"/>
        </w:rPr>
        <w:t>f</w:t>
      </w:r>
      <w:r w:rsidR="00B5116E">
        <w:rPr>
          <w:lang w:val="es-MX"/>
        </w:rPr>
        <w:t>e</w:t>
      </w:r>
      <w:r w:rsidR="006B321B">
        <w:rPr>
          <w:lang w:val="es-MX"/>
        </w:rPr>
        <w:t>br</w:t>
      </w:r>
      <w:r w:rsidR="00866CA6">
        <w:rPr>
          <w:lang w:val="es-MX"/>
        </w:rPr>
        <w:t>ero</w:t>
      </w:r>
      <w:r w:rsidR="00B5116E">
        <w:rPr>
          <w:lang w:val="es-MX"/>
        </w:rPr>
        <w:t xml:space="preserve"> </w:t>
      </w:r>
      <w:r w:rsidRPr="00F25EC7">
        <w:rPr>
          <w:lang w:val="es-MX"/>
        </w:rPr>
        <w:t>de 202</w:t>
      </w:r>
      <w:r w:rsidR="00866CA6">
        <w:rPr>
          <w:lang w:val="es-MX"/>
        </w:rPr>
        <w:t>3</w:t>
      </w:r>
      <w:r w:rsidR="0090272F">
        <w:rPr>
          <w:lang w:val="es-MX"/>
        </w:rPr>
        <w:t xml:space="preserve"> y a tasa mensual</w:t>
      </w:r>
      <w:r w:rsidRPr="00F25EC7">
        <w:rPr>
          <w:lang w:val="es-MX"/>
        </w:rPr>
        <w:t xml:space="preserve">, </w:t>
      </w:r>
      <w:r w:rsidR="00635009" w:rsidRPr="00F25EC7">
        <w:rPr>
          <w:lang w:val="es-MX"/>
        </w:rPr>
        <w:t xml:space="preserve">el Indicador Global de la Actividad Económica (IGAE) </w:t>
      </w:r>
      <w:r w:rsidR="006F2BBF">
        <w:rPr>
          <w:lang w:val="es-MX"/>
        </w:rPr>
        <w:t>creci</w:t>
      </w:r>
      <w:r w:rsidR="00350627">
        <w:rPr>
          <w:lang w:val="es-MX"/>
        </w:rPr>
        <w:t>ó 0.</w:t>
      </w:r>
      <w:r w:rsidR="00973324">
        <w:rPr>
          <w:lang w:val="es-MX"/>
        </w:rPr>
        <w:t>1</w:t>
      </w:r>
      <w:r w:rsidR="00D77F93">
        <w:rPr>
          <w:lang w:val="es-MX"/>
        </w:rPr>
        <w:t> </w:t>
      </w:r>
      <w:r w:rsidR="00350627">
        <w:rPr>
          <w:lang w:val="es-MX"/>
        </w:rPr>
        <w:t>%</w:t>
      </w:r>
      <w:r w:rsidR="00EC310B">
        <w:rPr>
          <w:lang w:val="es-MX"/>
        </w:rPr>
        <w:t>,</w:t>
      </w:r>
      <w:r w:rsidR="00684355">
        <w:rPr>
          <w:lang w:val="es-MX"/>
        </w:rPr>
        <w:t xml:space="preserve"> </w:t>
      </w:r>
      <w:r w:rsidR="00635009" w:rsidRPr="00F25EC7">
        <w:rPr>
          <w:lang w:val="es-MX"/>
        </w:rPr>
        <w:t>en</w:t>
      </w:r>
      <w:r w:rsidR="007D69AA" w:rsidRPr="00F25EC7">
        <w:rPr>
          <w:lang w:val="es-MX"/>
        </w:rPr>
        <w:t xml:space="preserve"> </w:t>
      </w:r>
      <w:r w:rsidR="00635009" w:rsidRPr="00F25EC7">
        <w:rPr>
          <w:lang w:val="es-MX"/>
        </w:rPr>
        <w:t>términos reales.</w:t>
      </w:r>
    </w:p>
    <w:p w14:paraId="5530B54A" w14:textId="79361116" w:rsidR="00505095" w:rsidRPr="00F25EC7" w:rsidRDefault="00505095" w:rsidP="000F4ED4">
      <w:pPr>
        <w:pStyle w:val="bullet"/>
        <w:keepLines w:val="0"/>
        <w:spacing w:before="36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1</w:t>
      </w:r>
    </w:p>
    <w:p w14:paraId="596B3BDD" w14:textId="533B5A8A" w:rsidR="00635009" w:rsidRPr="00F25EC7" w:rsidRDefault="00635009" w:rsidP="0050509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4C705E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34CD6BD9" w14:textId="566A5238" w:rsidR="00635009" w:rsidRPr="00F25EC7" w:rsidRDefault="00635009" w:rsidP="00635009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F25EC7">
        <w:rPr>
          <w:rFonts w:ascii="Arial" w:hAnsi="Arial" w:cs="Arial"/>
          <w:color w:val="000000"/>
          <w:sz w:val="18"/>
          <w:lang w:val="es-MX"/>
        </w:rPr>
        <w:t>(Índice 2013=</w:t>
      </w:r>
      <w:r w:rsidRPr="00F25EC7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47AF24F2" w14:textId="3EDA8B8B" w:rsidR="00635009" w:rsidRPr="00F25EC7" w:rsidRDefault="00A96BF5" w:rsidP="00635009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1282EFB" wp14:editId="7AC251D0">
            <wp:extent cx="4680000" cy="2520000"/>
            <wp:effectExtent l="0" t="0" r="25400" b="1397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52942D7" w14:textId="6D05DC3A" w:rsidR="00635009" w:rsidRPr="00F25EC7" w:rsidRDefault="00635009" w:rsidP="00635009">
      <w:pPr>
        <w:pStyle w:val="Textoindependiente"/>
        <w:tabs>
          <w:tab w:val="center" w:pos="1985"/>
          <w:tab w:val="left" w:pos="7949"/>
        </w:tabs>
        <w:spacing w:before="0"/>
        <w:ind w:left="1134" w:right="51"/>
        <w:jc w:val="left"/>
        <w:rPr>
          <w:b/>
          <w:smallCaps/>
          <w:color w:val="auto"/>
          <w:sz w:val="16"/>
          <w:szCs w:val="16"/>
        </w:rPr>
      </w:pPr>
      <w:r w:rsidRPr="00F25EC7">
        <w:rPr>
          <w:color w:val="auto"/>
          <w:sz w:val="16"/>
          <w:szCs w:val="16"/>
        </w:rPr>
        <w:t>Fuente: INEGI</w:t>
      </w:r>
    </w:p>
    <w:p w14:paraId="7DF77122" w14:textId="49FF8797" w:rsidR="007E2646" w:rsidRPr="00F25EC7" w:rsidRDefault="004858D1" w:rsidP="002B2680">
      <w:pPr>
        <w:spacing w:before="360"/>
        <w:rPr>
          <w:color w:val="000000"/>
          <w:sz w:val="20"/>
          <w:lang w:val="es-MX"/>
        </w:rPr>
      </w:pPr>
      <w:r w:rsidRPr="00F25EC7">
        <w:rPr>
          <w:lang w:val="es-MX"/>
        </w:rPr>
        <w:t>E</w:t>
      </w:r>
      <w:r w:rsidR="00511C33" w:rsidRPr="00F25EC7">
        <w:rPr>
          <w:lang w:val="es-MX"/>
        </w:rPr>
        <w:t xml:space="preserve">n el </w:t>
      </w:r>
      <w:r w:rsidR="000C1106">
        <w:rPr>
          <w:lang w:val="es-MX"/>
        </w:rPr>
        <w:t xml:space="preserve">mismo </w:t>
      </w:r>
      <w:r w:rsidR="00511C33" w:rsidRPr="00F25EC7">
        <w:rPr>
          <w:lang w:val="es-MX"/>
        </w:rPr>
        <w:t xml:space="preserve">mes </w:t>
      </w:r>
      <w:r w:rsidR="008F7EFD">
        <w:rPr>
          <w:lang w:val="es-MX"/>
        </w:rPr>
        <w:t xml:space="preserve">de </w:t>
      </w:r>
      <w:r w:rsidR="000C1106">
        <w:rPr>
          <w:lang w:val="es-MX"/>
        </w:rPr>
        <w:t>referencia</w:t>
      </w:r>
      <w:r w:rsidR="00511C33" w:rsidRPr="00F25EC7">
        <w:rPr>
          <w:lang w:val="es-MX"/>
        </w:rPr>
        <w:t xml:space="preserve">, </w:t>
      </w:r>
      <w:r w:rsidR="00511C33" w:rsidRPr="002B2680">
        <w:rPr>
          <w:lang w:val="es-MX"/>
        </w:rPr>
        <w:t>l</w:t>
      </w:r>
      <w:r w:rsidR="00BB7C68" w:rsidRPr="002B2680">
        <w:rPr>
          <w:lang w:val="es-MX"/>
        </w:rPr>
        <w:t xml:space="preserve">a </w:t>
      </w:r>
      <w:r w:rsidR="00F104AA" w:rsidRPr="002B2680">
        <w:rPr>
          <w:lang w:val="es-MX"/>
        </w:rPr>
        <w:t xml:space="preserve">variación </w:t>
      </w:r>
      <w:r w:rsidR="00BB7C68" w:rsidRPr="002B2680">
        <w:rPr>
          <w:lang w:val="es-MX"/>
        </w:rPr>
        <w:t xml:space="preserve">mensual de cada </w:t>
      </w:r>
      <w:r w:rsidR="00D42D32" w:rsidRPr="002B2680">
        <w:rPr>
          <w:lang w:val="es-MX"/>
        </w:rPr>
        <w:t>componente</w:t>
      </w:r>
      <w:r w:rsidR="00BF23C8" w:rsidRPr="002B2680">
        <w:rPr>
          <w:lang w:val="es-MX"/>
        </w:rPr>
        <w:t xml:space="preserve"> </w:t>
      </w:r>
      <w:r w:rsidR="00F104AA" w:rsidRPr="002B2680">
        <w:rPr>
          <w:lang w:val="es-MX"/>
        </w:rPr>
        <w:t xml:space="preserve">fue la </w:t>
      </w:r>
      <w:r w:rsidR="00BF23C8" w:rsidRPr="002B2680">
        <w:rPr>
          <w:lang w:val="es-MX"/>
        </w:rPr>
        <w:t>siguiente</w:t>
      </w:r>
      <w:r w:rsidR="002B2680" w:rsidRPr="002B2680">
        <w:t>: las actividades primarias incrementaron 4.2</w:t>
      </w:r>
      <w:r w:rsidR="00D8553F">
        <w:rPr>
          <w:lang w:val="es-MX"/>
        </w:rPr>
        <w:t> </w:t>
      </w:r>
      <w:r w:rsidR="002B2680" w:rsidRPr="002B2680">
        <w:t>%; las secundarias, 0.7</w:t>
      </w:r>
      <w:r w:rsidR="00D8553F">
        <w:rPr>
          <w:lang w:val="es-MX"/>
        </w:rPr>
        <w:t> </w:t>
      </w:r>
      <w:r w:rsidR="002B2680" w:rsidRPr="002B2680">
        <w:t>% y las terciarias disminuyeron 0.1 por ciento.</w:t>
      </w:r>
      <w:r w:rsidR="007E2646" w:rsidRPr="00F25EC7">
        <w:rPr>
          <w:color w:val="000000"/>
          <w:sz w:val="20"/>
          <w:lang w:val="es-MX"/>
        </w:rPr>
        <w:br w:type="page"/>
      </w:r>
    </w:p>
    <w:p w14:paraId="4CEA515E" w14:textId="28A09B62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2</w:t>
      </w:r>
    </w:p>
    <w:p w14:paraId="524A5759" w14:textId="7A395032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E63104" w:rsidRPr="00F25EC7">
        <w:rPr>
          <w:b/>
          <w:smallCaps/>
          <w:color w:val="auto"/>
          <w:sz w:val="22"/>
          <w:szCs w:val="22"/>
        </w:rPr>
        <w:t>p</w:t>
      </w:r>
      <w:r w:rsidRPr="00F25EC7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F25EC7" w:rsidRDefault="00635009" w:rsidP="00D020E3">
      <w:pPr>
        <w:pStyle w:val="p0"/>
        <w:keepLines w:val="0"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F25EC7">
        <w:rPr>
          <w:rFonts w:ascii="Arial" w:hAnsi="Arial"/>
          <w:color w:val="000000"/>
          <w:sz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382D5A24" w:rsidR="00635009" w:rsidRPr="00F25EC7" w:rsidRDefault="00A96BF5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3EE7ED2C" wp14:editId="2E859E6E">
            <wp:extent cx="4680000" cy="2520000"/>
            <wp:effectExtent l="0" t="0" r="25400" b="1397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593544F" w14:textId="5E5AF3A0" w:rsidR="00635009" w:rsidRPr="00F25EC7" w:rsidRDefault="00635009" w:rsidP="00D020E3">
      <w:pPr>
        <w:pStyle w:val="p0"/>
        <w:keepLines w:val="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236E5F7E" w14:textId="1BCE051E" w:rsidR="00505095" w:rsidRPr="00F25EC7" w:rsidRDefault="00505095" w:rsidP="00D020E3">
      <w:pPr>
        <w:pStyle w:val="bullet"/>
        <w:keepLines w:val="0"/>
        <w:spacing w:before="600"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3</w:t>
      </w:r>
    </w:p>
    <w:p w14:paraId="09A079F8" w14:textId="33825813" w:rsidR="00635009" w:rsidRPr="00F25EC7" w:rsidRDefault="00635009" w:rsidP="00D020E3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s</w:t>
      </w:r>
      <w:r w:rsidRPr="00F25EC7">
        <w:rPr>
          <w:b/>
          <w:smallCaps/>
          <w:color w:val="auto"/>
          <w:sz w:val="22"/>
          <w:szCs w:val="22"/>
        </w:rPr>
        <w:t>ecundarias</w:t>
      </w:r>
    </w:p>
    <w:p w14:paraId="305C93FE" w14:textId="47BEA1A9" w:rsidR="00635009" w:rsidRPr="00F25EC7" w:rsidRDefault="00635009" w:rsidP="00D020E3">
      <w:pPr>
        <w:pStyle w:val="p0"/>
        <w:keepLines w:val="0"/>
        <w:spacing w:before="0"/>
        <w:ind w:left="992" w:right="1021"/>
        <w:jc w:val="center"/>
        <w:rPr>
          <w:rFonts w:ascii="Arial" w:hAnsi="Arial"/>
          <w:color w:val="auto"/>
        </w:rPr>
      </w:pPr>
      <w:r w:rsidRPr="3CE819E1">
        <w:rPr>
          <w:rFonts w:ascii="Arial" w:hAnsi="Arial"/>
          <w:color w:val="000000"/>
          <w:sz w:val="18"/>
          <w:szCs w:val="18"/>
          <w:lang w:val="es-MX"/>
        </w:rPr>
        <w:t>(Índice 2013=</w:t>
      </w:r>
      <w:r w:rsidRPr="00F25EC7">
        <w:rPr>
          <w:rFonts w:ascii="Arial" w:hAnsi="Arial"/>
          <w:color w:val="000000"/>
          <w:sz w:val="18"/>
          <w:szCs w:val="18"/>
          <w:lang w:val="es-MX"/>
        </w:rPr>
        <w:t>100)</w:t>
      </w:r>
      <w:r w:rsidRPr="00F25EC7">
        <w:rPr>
          <w:rFonts w:ascii="Arial" w:hAnsi="Arial"/>
          <w:noProof/>
          <w:lang w:val="es-MX" w:eastAsia="es-MX"/>
        </w:rPr>
        <w:t xml:space="preserve"> </w:t>
      </w:r>
      <w:r w:rsidR="00A96BF5">
        <w:rPr>
          <w:noProof/>
        </w:rPr>
        <w:drawing>
          <wp:inline distT="0" distB="0" distL="0" distR="0" wp14:anchorId="774C9FAA" wp14:editId="18B2858D">
            <wp:extent cx="4680000" cy="2520000"/>
            <wp:effectExtent l="0" t="0" r="25400" b="1397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AA63756" w14:textId="321EB037" w:rsidR="00635009" w:rsidRPr="00F25EC7" w:rsidRDefault="00635009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43515B41" w14:textId="77777777" w:rsidR="00635009" w:rsidRPr="004F6229" w:rsidRDefault="00635009" w:rsidP="00D020E3">
      <w:pPr>
        <w:jc w:val="left"/>
        <w:rPr>
          <w:bCs/>
          <w:smallCaps/>
          <w:snapToGrid w:val="0"/>
          <w:sz w:val="22"/>
          <w:szCs w:val="22"/>
        </w:rPr>
      </w:pPr>
      <w:r w:rsidRPr="004F6229">
        <w:rPr>
          <w:bCs/>
          <w:smallCaps/>
        </w:rPr>
        <w:br w:type="page"/>
      </w:r>
    </w:p>
    <w:p w14:paraId="1491DCED" w14:textId="5E1ED1FA" w:rsidR="00505095" w:rsidRPr="00F25EC7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 4</w:t>
      </w:r>
    </w:p>
    <w:p w14:paraId="1EBDCB71" w14:textId="1A6A0DD2" w:rsidR="00635009" w:rsidRPr="00F25EC7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F25EC7">
        <w:rPr>
          <w:b/>
          <w:smallCaps/>
          <w:color w:val="auto"/>
          <w:sz w:val="22"/>
          <w:szCs w:val="22"/>
        </w:rPr>
        <w:t xml:space="preserve">Actividades </w:t>
      </w:r>
      <w:r w:rsidR="00120898" w:rsidRPr="00F25EC7">
        <w:rPr>
          <w:b/>
          <w:smallCaps/>
          <w:color w:val="auto"/>
          <w:sz w:val="22"/>
          <w:szCs w:val="22"/>
        </w:rPr>
        <w:t>t</w:t>
      </w:r>
      <w:r w:rsidRPr="00F25EC7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F25EC7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 w:rsidRPr="00F25EC7">
        <w:rPr>
          <w:color w:val="000000"/>
          <w:sz w:val="18"/>
          <w:lang w:val="es-MX"/>
        </w:rPr>
        <w:t>(Índice 2013=</w:t>
      </w:r>
      <w:r w:rsidRPr="00F25EC7">
        <w:rPr>
          <w:color w:val="000000"/>
          <w:sz w:val="18"/>
          <w:szCs w:val="18"/>
          <w:lang w:val="es-MX"/>
        </w:rPr>
        <w:t>100)</w:t>
      </w:r>
    </w:p>
    <w:p w14:paraId="430C6A50" w14:textId="665FE335" w:rsidR="00635009" w:rsidRPr="00F25EC7" w:rsidRDefault="00A96BF5" w:rsidP="00635009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079C4864" wp14:editId="1191D988">
            <wp:extent cx="4680000" cy="2512609"/>
            <wp:effectExtent l="0" t="0" r="25400" b="2159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A9B4912" w14:textId="77777777" w:rsidR="00AE1D38" w:rsidRPr="00F25EC7" w:rsidRDefault="00AE1D38" w:rsidP="00D020E3">
      <w:pPr>
        <w:pStyle w:val="p0"/>
        <w:keepLines w:val="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F25EC7">
        <w:rPr>
          <w:rFonts w:ascii="Arial" w:hAnsi="Arial"/>
          <w:color w:val="auto"/>
          <w:sz w:val="16"/>
          <w:szCs w:val="16"/>
        </w:rPr>
        <w:t>Fuente: INEGI</w:t>
      </w:r>
    </w:p>
    <w:p w14:paraId="0767CE30" w14:textId="3C491DD3" w:rsidR="00635009" w:rsidRPr="00FD7571" w:rsidRDefault="00635009" w:rsidP="00822132">
      <w:pPr>
        <w:pStyle w:val="parrafo1"/>
        <w:spacing w:before="240"/>
        <w:ind w:left="709" w:right="584"/>
        <w:rPr>
          <w:rFonts w:cs="Arial"/>
          <w:b/>
          <w:iCs/>
        </w:rPr>
      </w:pPr>
      <w:r w:rsidRPr="00FD7571">
        <w:rPr>
          <w:rFonts w:cs="Arial"/>
          <w:b/>
          <w:iCs/>
        </w:rPr>
        <w:t xml:space="preserve">Cifras </w:t>
      </w:r>
      <w:r w:rsidR="00AB5C65" w:rsidRPr="00FD7571">
        <w:rPr>
          <w:rFonts w:cs="Arial"/>
          <w:b/>
          <w:iCs/>
        </w:rPr>
        <w:t>o</w:t>
      </w:r>
      <w:r w:rsidRPr="00FD7571">
        <w:rPr>
          <w:rFonts w:cs="Arial"/>
          <w:b/>
          <w:iCs/>
        </w:rPr>
        <w:t>riginales</w:t>
      </w:r>
    </w:p>
    <w:p w14:paraId="345DCCD2" w14:textId="5C620087" w:rsidR="00635009" w:rsidRPr="00F25EC7" w:rsidRDefault="00635009" w:rsidP="008C2481">
      <w:pPr>
        <w:tabs>
          <w:tab w:val="num" w:pos="1843"/>
          <w:tab w:val="left" w:pos="7939"/>
        </w:tabs>
        <w:spacing w:before="200" w:after="120"/>
        <w:ind w:right="51"/>
        <w:rPr>
          <w:lang w:val="es-MX"/>
        </w:rPr>
      </w:pPr>
      <w:r w:rsidRPr="00F25EC7">
        <w:rPr>
          <w:lang w:val="es-MX"/>
        </w:rPr>
        <w:t xml:space="preserve">En la siguiente gráfica se muestra la variación </w:t>
      </w:r>
      <w:r w:rsidR="00677006" w:rsidRPr="00F25EC7">
        <w:rPr>
          <w:lang w:val="es-MX"/>
        </w:rPr>
        <w:t xml:space="preserve">anual </w:t>
      </w:r>
      <w:r w:rsidRPr="00F25EC7"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F25EC7" w:rsidRDefault="00505095" w:rsidP="00D020E3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 w:rsidRPr="00F25EC7">
        <w:rPr>
          <w:rFonts w:cs="Arial"/>
          <w:b w:val="0"/>
          <w:bCs/>
          <w:color w:val="auto"/>
          <w:spacing w:val="0"/>
          <w:sz w:val="20"/>
          <w:szCs w:val="18"/>
        </w:rPr>
        <w:t>Gráfica 5</w:t>
      </w:r>
    </w:p>
    <w:p w14:paraId="1D16520D" w14:textId="20B7FD29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G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A</w:t>
      </w:r>
      <w:r w:rsidRPr="00F25EC7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 w:rsidRPr="00F25EC7">
        <w:rPr>
          <w:rFonts w:ascii="Arial" w:hAnsi="Arial" w:cs="Arial"/>
          <w:b/>
          <w:smallCaps/>
          <w:color w:val="auto"/>
          <w:sz w:val="22"/>
        </w:rPr>
        <w:t>E</w:t>
      </w:r>
      <w:r w:rsidRPr="00F25EC7">
        <w:rPr>
          <w:rFonts w:ascii="Arial" w:hAnsi="Arial" w:cs="Arial"/>
          <w:b/>
          <w:smallCaps/>
          <w:color w:val="auto"/>
          <w:sz w:val="22"/>
        </w:rPr>
        <w:t>conómica</w:t>
      </w:r>
    </w:p>
    <w:p w14:paraId="7C567358" w14:textId="0636ABB4" w:rsidR="00D00DE1" w:rsidRPr="00F25EC7" w:rsidRDefault="00D122C0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25EC7">
        <w:rPr>
          <w:rFonts w:ascii="Arial" w:hAnsi="Arial" w:cs="Arial"/>
          <w:b/>
          <w:smallCaps/>
          <w:color w:val="auto"/>
          <w:sz w:val="22"/>
        </w:rPr>
        <w:t>y</w:t>
      </w:r>
      <w:r w:rsidR="00D00DE1" w:rsidRPr="00F25EC7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279E5829" w:rsidR="00D00DE1" w:rsidRPr="00A86884" w:rsidRDefault="006B321B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0"/>
        </w:rPr>
      </w:pPr>
      <w:proofErr w:type="spellStart"/>
      <w:r>
        <w:rPr>
          <w:rFonts w:ascii="Arial" w:hAnsi="Arial" w:cs="Arial"/>
          <w:b/>
          <w:smallCaps/>
          <w:color w:val="auto"/>
          <w:sz w:val="20"/>
        </w:rPr>
        <w:t>f</w:t>
      </w:r>
      <w:r w:rsidR="00866CA6">
        <w:rPr>
          <w:rFonts w:ascii="Arial" w:hAnsi="Arial" w:cs="Arial"/>
          <w:b/>
          <w:smallCaps/>
          <w:color w:val="auto"/>
          <w:sz w:val="20"/>
        </w:rPr>
        <w:t>e</w:t>
      </w:r>
      <w:r>
        <w:rPr>
          <w:rFonts w:ascii="Arial" w:hAnsi="Arial" w:cs="Arial"/>
          <w:b/>
          <w:smallCaps/>
          <w:color w:val="auto"/>
          <w:sz w:val="20"/>
        </w:rPr>
        <w:t>br</w:t>
      </w:r>
      <w:r w:rsidR="00866CA6">
        <w:rPr>
          <w:rFonts w:ascii="Arial" w:hAnsi="Arial" w:cs="Arial"/>
          <w:b/>
          <w:smallCaps/>
          <w:color w:val="auto"/>
          <w:sz w:val="20"/>
        </w:rPr>
        <w:t>ero</w:t>
      </w:r>
      <w:r w:rsidR="00D00DE1" w:rsidRPr="00A86884">
        <w:rPr>
          <w:rFonts w:ascii="Arial" w:hAnsi="Arial" w:cs="Arial"/>
          <w:b/>
          <w:smallCaps/>
          <w:color w:val="auto"/>
          <w:sz w:val="20"/>
          <w:vertAlign w:val="superscript"/>
        </w:rPr>
        <w:t>p</w:t>
      </w:r>
      <w:proofErr w:type="spellEnd"/>
      <w:r w:rsidR="00D00DE1" w:rsidRPr="00A86884">
        <w:rPr>
          <w:rFonts w:ascii="Arial" w:hAnsi="Arial" w:cs="Arial"/>
          <w:color w:val="000000"/>
          <w:sz w:val="20"/>
          <w:vertAlign w:val="superscript"/>
        </w:rPr>
        <w:t>/</w:t>
      </w:r>
      <w:r w:rsidR="00D00DE1" w:rsidRPr="00A86884">
        <w:rPr>
          <w:rFonts w:ascii="Arial" w:hAnsi="Arial" w:cs="Arial"/>
          <w:b/>
          <w:smallCaps/>
          <w:color w:val="auto"/>
          <w:sz w:val="20"/>
        </w:rPr>
        <w:t xml:space="preserve"> de 202</w:t>
      </w:r>
      <w:r w:rsidR="00866CA6">
        <w:rPr>
          <w:rFonts w:ascii="Arial" w:hAnsi="Arial" w:cs="Arial"/>
          <w:b/>
          <w:smallCaps/>
          <w:color w:val="auto"/>
          <w:sz w:val="20"/>
        </w:rPr>
        <w:t>3</w:t>
      </w:r>
    </w:p>
    <w:p w14:paraId="1322AB54" w14:textId="031DBED3" w:rsidR="00D00DE1" w:rsidRPr="00F25EC7" w:rsidRDefault="00D00DE1" w:rsidP="00D020E3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F25EC7">
        <w:rPr>
          <w:rFonts w:ascii="Arial" w:hAnsi="Arial" w:cs="Arial"/>
          <w:color w:val="auto"/>
          <w:sz w:val="18"/>
        </w:rPr>
        <w:t xml:space="preserve">(Variación </w:t>
      </w:r>
      <w:r w:rsidR="00866884" w:rsidRPr="00F25EC7">
        <w:rPr>
          <w:rFonts w:ascii="Arial" w:hAnsi="Arial" w:cs="Arial"/>
          <w:color w:val="auto"/>
          <w:sz w:val="18"/>
        </w:rPr>
        <w:t>porcentual</w:t>
      </w:r>
      <w:r w:rsidRPr="00F25EC7">
        <w:rPr>
          <w:rFonts w:ascii="Arial" w:hAnsi="Arial" w:cs="Arial"/>
          <w:color w:val="auto"/>
          <w:sz w:val="18"/>
        </w:rPr>
        <w:t xml:space="preserve"> </w:t>
      </w:r>
      <w:r w:rsidR="00D122C0" w:rsidRPr="00F25EC7">
        <w:rPr>
          <w:rFonts w:ascii="Arial" w:hAnsi="Arial" w:cs="Arial"/>
          <w:color w:val="auto"/>
          <w:sz w:val="18"/>
        </w:rPr>
        <w:t>anual en términos reales</w:t>
      </w:r>
      <w:r w:rsidRPr="00F25EC7">
        <w:rPr>
          <w:rFonts w:ascii="Arial" w:hAnsi="Arial" w:cs="Arial"/>
          <w:color w:val="auto"/>
          <w:sz w:val="18"/>
        </w:rPr>
        <w:t>)</w:t>
      </w:r>
    </w:p>
    <w:p w14:paraId="34136D1D" w14:textId="21182355" w:rsidR="00D00DE1" w:rsidRPr="00F25EC7" w:rsidRDefault="00E10026" w:rsidP="00D020E3">
      <w:pPr>
        <w:pStyle w:val="p0"/>
        <w:keepLines w:val="0"/>
        <w:spacing w:before="0"/>
        <w:jc w:val="center"/>
        <w:rPr>
          <w:rFonts w:ascii="Arial" w:hAnsi="Arial"/>
          <w:color w:val="auto"/>
        </w:rPr>
      </w:pPr>
      <w:r>
        <w:rPr>
          <w:noProof/>
        </w:rPr>
        <w:drawing>
          <wp:inline distT="0" distB="0" distL="0" distR="0" wp14:anchorId="36103598" wp14:editId="0FB012B7">
            <wp:extent cx="4622400" cy="2232000"/>
            <wp:effectExtent l="0" t="0" r="26035" b="3556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84DC2D5" w14:textId="1FD842C3" w:rsidR="00D00DE1" w:rsidRPr="00F25EC7" w:rsidRDefault="00D00DE1" w:rsidP="00F42FC5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000000"/>
          <w:sz w:val="16"/>
          <w:szCs w:val="16"/>
          <w:lang w:val="es-MX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ab/>
        <w:t xml:space="preserve">El IGAE no incluye los subsectores de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provechamiento forestal, de pesca, caza y captura, ni la totalidad de las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 w:rsidRPr="00F25EC7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roducto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nterno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B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>ruto (PIB)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. </w:t>
      </w:r>
    </w:p>
    <w:p w14:paraId="0A38424B" w14:textId="7A04B766" w:rsidR="00D00DE1" w:rsidRPr="00F25EC7" w:rsidRDefault="00D00DE1" w:rsidP="00D7643D">
      <w:pPr>
        <w:pStyle w:val="p02"/>
        <w:keepLines w:val="0"/>
        <w:widowControl w:val="0"/>
        <w:spacing w:before="0"/>
        <w:ind w:left="1666" w:right="1133" w:hanging="425"/>
        <w:rPr>
          <w:rFonts w:ascii="Arial" w:hAnsi="Arial" w:cs="Arial"/>
          <w:color w:val="auto"/>
          <w:sz w:val="16"/>
          <w:lang w:val="es-MX"/>
        </w:rPr>
      </w:pPr>
      <w:r w:rsidRPr="00F25EC7">
        <w:rPr>
          <w:rFonts w:ascii="Arial" w:hAnsi="Arial" w:cs="Arial"/>
          <w:color w:val="auto"/>
          <w:sz w:val="16"/>
          <w:lang w:val="es-MX"/>
        </w:rPr>
        <w:t>p/</w:t>
      </w:r>
      <w:r w:rsidR="009C07A4">
        <w:rPr>
          <w:rFonts w:ascii="Arial" w:hAnsi="Arial" w:cs="Arial"/>
          <w:color w:val="auto"/>
          <w:sz w:val="16"/>
          <w:lang w:val="es-MX"/>
        </w:rPr>
        <w:t>:</w:t>
      </w:r>
      <w:r w:rsidR="00D7643D" w:rsidRPr="00F25EC7">
        <w:rPr>
          <w:rFonts w:ascii="Arial" w:hAnsi="Arial" w:cs="Arial"/>
          <w:color w:val="auto"/>
          <w:sz w:val="16"/>
          <w:lang w:val="es-MX"/>
        </w:rPr>
        <w:tab/>
      </w:r>
      <w:r w:rsidRPr="00F25EC7">
        <w:rPr>
          <w:rFonts w:ascii="Arial" w:hAnsi="Arial" w:cs="Arial"/>
          <w:color w:val="auto"/>
          <w:sz w:val="16"/>
          <w:lang w:val="es-MX"/>
        </w:rPr>
        <w:t xml:space="preserve">Cifras preliminares </w:t>
      </w:r>
    </w:p>
    <w:p w14:paraId="14F1293A" w14:textId="723B0249" w:rsidR="00635009" w:rsidRPr="00F25EC7" w:rsidRDefault="00D00DE1" w:rsidP="00F42FC5">
      <w:pPr>
        <w:pStyle w:val="p02"/>
        <w:keepLines w:val="0"/>
        <w:widowControl w:val="0"/>
        <w:spacing w:before="0"/>
        <w:ind w:left="1666" w:right="1077" w:hanging="425"/>
        <w:rPr>
          <w:rFonts w:ascii="Arial" w:hAnsi="Arial" w:cs="Arial"/>
          <w:b/>
          <w:smallCaps/>
          <w:color w:val="auto"/>
          <w:sz w:val="16"/>
        </w:rPr>
      </w:pPr>
      <w:r w:rsidRPr="00F25EC7">
        <w:rPr>
          <w:rFonts w:ascii="Arial" w:hAnsi="Arial" w:cs="Arial"/>
          <w:color w:val="000000"/>
          <w:sz w:val="16"/>
          <w:szCs w:val="16"/>
          <w:lang w:val="es-MX"/>
        </w:rPr>
        <w:t>Fuente:</w:t>
      </w:r>
      <w:r w:rsidR="00F42FC5" w:rsidRPr="00F25EC7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Pr="00F25EC7">
        <w:rPr>
          <w:rFonts w:ascii="Arial" w:hAnsi="Arial" w:cs="Arial"/>
          <w:color w:val="000000"/>
          <w:sz w:val="16"/>
          <w:szCs w:val="16"/>
          <w:lang w:val="es-MX"/>
        </w:rPr>
        <w:t>INEGI</w:t>
      </w:r>
    </w:p>
    <w:p w14:paraId="32A24E6E" w14:textId="14DE89CB" w:rsidR="00635009" w:rsidRPr="00C33FBE" w:rsidRDefault="00635009" w:rsidP="00A1118A">
      <w:pPr>
        <w:spacing w:before="360"/>
        <w:rPr>
          <w:b/>
          <w:iCs/>
          <w:smallCaps/>
          <w:lang w:val="es-MX"/>
        </w:rPr>
      </w:pPr>
      <w:bookmarkStart w:id="10" w:name="_Hlk40107795"/>
      <w:r w:rsidRPr="00C33FBE">
        <w:rPr>
          <w:b/>
          <w:iCs/>
          <w:smallCaps/>
          <w:lang w:val="es-MX"/>
        </w:rPr>
        <w:lastRenderedPageBreak/>
        <w:t>Nota al usuario</w:t>
      </w:r>
    </w:p>
    <w:p w14:paraId="5E8270D4" w14:textId="549F7822" w:rsidR="009948F4" w:rsidRPr="00F25EC7" w:rsidRDefault="009948F4" w:rsidP="00006C63">
      <w:pPr>
        <w:pStyle w:val="Default"/>
        <w:spacing w:before="240"/>
        <w:jc w:val="both"/>
      </w:pPr>
      <w:bookmarkStart w:id="11" w:name="_Hlk93568045"/>
      <w:bookmarkEnd w:id="10"/>
      <w:r w:rsidRPr="00B17FF9">
        <w:rPr>
          <w:color w:val="auto"/>
        </w:rPr>
        <w:t xml:space="preserve">La tasa de no respuesta </w:t>
      </w:r>
      <w:r>
        <w:t xml:space="preserve">en la captación de las encuestas económicas que se consideraron para la integración del </w:t>
      </w:r>
      <w:r w:rsidRPr="00D467CB">
        <w:rPr>
          <w:color w:val="auto"/>
        </w:rPr>
        <w:t>I</w:t>
      </w:r>
      <w:r>
        <w:rPr>
          <w:color w:val="auto"/>
        </w:rPr>
        <w:t>GAE,</w:t>
      </w:r>
      <w:r w:rsidRPr="00B17FF9">
        <w:rPr>
          <w:rStyle w:val="TextodegloboCar"/>
        </w:rPr>
        <w:t xml:space="preserve"> </w:t>
      </w:r>
      <w:r w:rsidRPr="009948F4">
        <w:rPr>
          <w:rStyle w:val="Refdenotaalpie"/>
        </w:rPr>
        <w:footnoteReference w:id="5"/>
      </w:r>
      <w:r w:rsidRPr="00D467CB">
        <w:rPr>
          <w:color w:val="auto"/>
        </w:rPr>
        <w:t xml:space="preserve"> </w:t>
      </w:r>
      <w:r>
        <w:t xml:space="preserve">en febrero de 2023, registró porcentajes apropiados de acuerdo con el diseño estadístico de las muestras. </w:t>
      </w:r>
      <w:r w:rsidRPr="009948F4">
        <w:rPr>
          <w:color w:val="auto"/>
        </w:rPr>
        <w:t>Se incorporan datos actualizados de las actividades de los servicios financieros de enero de 2023</w:t>
      </w:r>
      <w:r w:rsidRPr="00E15142">
        <w:rPr>
          <w:color w:val="0000CC"/>
        </w:rPr>
        <w:t>.</w:t>
      </w:r>
      <w:r>
        <w:t xml:space="preserve"> Asimismo, la captación de la Estadística de la Industria Minerometalúrgica (EIMM), de los registros administrativos y los datos primarios que divulga el </w:t>
      </w:r>
      <w:r w:rsidRPr="0094698A">
        <w:t>Instituto</w:t>
      </w:r>
      <w:r w:rsidR="00323FD8">
        <w:t xml:space="preserve"> Nacional de Estadística y Geografía (INEGI)</w:t>
      </w:r>
      <w:r w:rsidRPr="00823E60">
        <w:t xml:space="preserve"> </w:t>
      </w:r>
      <w:r w:rsidRPr="0094698A">
        <w:t>permitió la generación de estadísticas con niveles altos de cobertura y precisión estadística.</w:t>
      </w:r>
      <w:r>
        <w:t xml:space="preserve"> Para las actividades </w:t>
      </w:r>
      <w:r w:rsidRPr="003F6D42">
        <w:t xml:space="preserve">agropecuarias, </w:t>
      </w:r>
      <w:r>
        <w:t>petroleras, de energía, gas y agua,</w:t>
      </w:r>
      <w:r w:rsidRPr="003F6D42">
        <w:t xml:space="preserve"> de servicios financieros y del gobierno</w:t>
      </w:r>
      <w:r w:rsidR="00323FD8">
        <w:t>,</w:t>
      </w:r>
      <w:r w:rsidRPr="003F6D42">
        <w:t xml:space="preserve"> </w:t>
      </w:r>
      <w:r>
        <w:t>se incluyeron los registros administrativos provenientes de las empresas y Unidades del Estado que se recibieron oportunamente vía correo electrónico e internet.</w:t>
      </w:r>
    </w:p>
    <w:bookmarkEnd w:id="11"/>
    <w:p w14:paraId="4DA55726" w14:textId="7DE3C529" w:rsidR="00635009" w:rsidRPr="00F25EC7" w:rsidRDefault="006B64F8" w:rsidP="0037065E">
      <w:pPr>
        <w:spacing w:before="240"/>
      </w:pPr>
      <w:r>
        <w:t xml:space="preserve">Las cifras desestacionalizadas y de tendencia-ciclo pueden estar sujetas a revisiones por el impacto de la emergencia sanitaria de la COVID-19. La estrategia que siguió el INEGI fue revisar cada serie de tiempo y analizar la necesidad de incluir algún tratamiento especial en los modelos de ajuste estacional para los meses de la contingencia, como el de </w:t>
      </w:r>
      <w:proofErr w:type="spellStart"/>
      <w:r w:rsidRPr="00DD655C">
        <w:rPr>
          <w:i/>
          <w:iCs/>
        </w:rPr>
        <w:t>outliers</w:t>
      </w:r>
      <w:proofErr w:type="spellEnd"/>
      <w:r>
        <w:t>. Lo anterior</w:t>
      </w:r>
      <w:r w:rsidR="00EC310B">
        <w:t>,</w:t>
      </w:r>
      <w:r>
        <w:t xml:space="preserve"> con el objetivo de que los grandes cambios en los datos originales no influyeran de manera desproporcionada en los factores estacionales utilizados.</w:t>
      </w:r>
    </w:p>
    <w:p w14:paraId="553BFDD8" w14:textId="77777777" w:rsidR="0039697E" w:rsidRPr="00C33FBE" w:rsidRDefault="00635009" w:rsidP="00822132">
      <w:pPr>
        <w:tabs>
          <w:tab w:val="left" w:pos="5841"/>
        </w:tabs>
        <w:spacing w:before="480"/>
        <w:rPr>
          <w:b/>
          <w:iCs/>
          <w:smallCaps/>
          <w:lang w:val="es-MX"/>
        </w:rPr>
      </w:pPr>
      <w:bookmarkStart w:id="12" w:name="_Hlk93568301"/>
      <w:r w:rsidRPr="00C33FBE">
        <w:rPr>
          <w:b/>
          <w:iCs/>
          <w:smallCaps/>
          <w:lang w:val="es-MX"/>
        </w:rPr>
        <w:t>Nota metodológica</w:t>
      </w:r>
    </w:p>
    <w:p w14:paraId="4255E654" w14:textId="46736D7C" w:rsidR="00635009" w:rsidRPr="00F25EC7" w:rsidRDefault="00635009" w:rsidP="00822132">
      <w:pPr>
        <w:tabs>
          <w:tab w:val="left" w:pos="5841"/>
        </w:tabs>
        <w:spacing w:before="360"/>
        <w:rPr>
          <w:b/>
          <w:bCs/>
          <w:lang w:val="es-MX"/>
        </w:rPr>
      </w:pPr>
      <w:r w:rsidRPr="00F25EC7">
        <w:rPr>
          <w:lang w:val="es-MX"/>
        </w:rPr>
        <w:t>El IGAE permite conocer y dar seguimiento a la evolución del sector real de la economía en el corto plazo</w:t>
      </w:r>
      <w:r w:rsidR="003E429A" w:rsidRPr="00F25EC7">
        <w:rPr>
          <w:lang w:val="es-MX"/>
        </w:rPr>
        <w:t>.</w:t>
      </w:r>
      <w:r w:rsidRPr="00F25EC7">
        <w:rPr>
          <w:lang w:val="es-MX"/>
        </w:rPr>
        <w:t xml:space="preserve"> </w:t>
      </w:r>
      <w:r w:rsidR="003E429A" w:rsidRPr="00F25EC7">
        <w:rPr>
          <w:lang w:val="es-MX"/>
        </w:rPr>
        <w:t>Este</w:t>
      </w:r>
      <w:r w:rsidR="007F1270" w:rsidRPr="00F25EC7">
        <w:rPr>
          <w:lang w:val="es-MX"/>
        </w:rPr>
        <w:t xml:space="preserve"> proporciona </w:t>
      </w:r>
      <w:r w:rsidRPr="00F25EC7">
        <w:rPr>
          <w:lang w:val="es-MX"/>
        </w:rPr>
        <w:t>valiosa información para la toma de decisiones.</w:t>
      </w:r>
      <w:r w:rsidR="00F94EB1" w:rsidRPr="00F25EC7">
        <w:rPr>
          <w:lang w:val="es-MX"/>
        </w:rPr>
        <w:t xml:space="preserve"> </w:t>
      </w:r>
      <w:r w:rsidRPr="00F25EC7">
        <w:t>Su cobertura geográfica es nacional y alcanza una representatividad de 94.7</w:t>
      </w:r>
      <w:r w:rsidR="002265BF" w:rsidRPr="00F25EC7">
        <w:t xml:space="preserve"> </w:t>
      </w:r>
      <w:r w:rsidRPr="00F25EC7">
        <w:t>% del valor agregado bruto del año 2013, año base de los productos del Sistema de Cuentas Nacionales de México (SCNM).</w:t>
      </w:r>
    </w:p>
    <w:p w14:paraId="7471ECE5" w14:textId="176878FB" w:rsidR="00635009" w:rsidRPr="00F25EC7" w:rsidRDefault="008F7E10" w:rsidP="00822132">
      <w:pPr>
        <w:pStyle w:val="Textoindependiente"/>
        <w:spacing w:before="360"/>
        <w:ind w:right="51"/>
        <w:rPr>
          <w:color w:val="auto"/>
          <w:lang w:val="es-MX"/>
        </w:rPr>
      </w:pPr>
      <w:r w:rsidRPr="00F25EC7">
        <w:rPr>
          <w:color w:val="auto"/>
          <w:lang w:val="es-MX"/>
        </w:rPr>
        <w:t>Los datos</w:t>
      </w:r>
      <w:r w:rsidR="00635009" w:rsidRPr="00F25EC7">
        <w:rPr>
          <w:color w:val="auto"/>
          <w:lang w:val="es-MX"/>
        </w:rPr>
        <w:t xml:space="preserve"> mensuales del IGAE están disponibles desde enero de 1993</w:t>
      </w:r>
      <w:r w:rsidR="00C54145" w:rsidRPr="00F25EC7">
        <w:rPr>
          <w:color w:val="auto"/>
          <w:lang w:val="es-MX"/>
        </w:rPr>
        <w:t>,</w:t>
      </w:r>
      <w:r w:rsidR="00635009" w:rsidRPr="00F25EC7">
        <w:rPr>
          <w:color w:val="auto"/>
          <w:lang w:val="es-MX"/>
        </w:rPr>
        <w:t xml:space="preserve"> se expresan en índices de volumen físico con base fija en el año 2013, de tipo Laspeyres</w:t>
      </w:r>
      <w:r w:rsidR="00617999">
        <w:rPr>
          <w:color w:val="auto"/>
          <w:lang w:val="es-MX"/>
        </w:rPr>
        <w:t>,</w:t>
      </w:r>
      <w:r w:rsidR="007D6373" w:rsidRPr="00F25EC7">
        <w:rPr>
          <w:color w:val="auto"/>
          <w:lang w:val="es-MX"/>
        </w:rPr>
        <w:t xml:space="preserve"> y se</w:t>
      </w:r>
      <w:r w:rsidR="00A20CE5" w:rsidRPr="00F25EC7">
        <w:rPr>
          <w:color w:val="auto"/>
          <w:lang w:val="es-MX"/>
        </w:rPr>
        <w:t xml:space="preserve"> public</w:t>
      </w:r>
      <w:r w:rsidR="007D6373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>n</w:t>
      </w:r>
      <w:r w:rsidR="007D6373" w:rsidRPr="00F25EC7">
        <w:rPr>
          <w:color w:val="auto"/>
          <w:lang w:val="es-MX"/>
        </w:rPr>
        <w:t xml:space="preserve"> de</w:t>
      </w:r>
      <w:r w:rsidR="00A20CE5" w:rsidRPr="00F25EC7">
        <w:rPr>
          <w:color w:val="auto"/>
          <w:lang w:val="es-MX"/>
        </w:rPr>
        <w:t xml:space="preserve"> </w:t>
      </w:r>
      <w:r w:rsidR="00047E9D" w:rsidRPr="00F25EC7">
        <w:rPr>
          <w:color w:val="auto"/>
          <w:lang w:val="es-MX"/>
        </w:rPr>
        <w:t>forma</w:t>
      </w:r>
      <w:r w:rsidR="00A20CE5" w:rsidRPr="00F25EC7">
        <w:rPr>
          <w:color w:val="auto"/>
          <w:lang w:val="es-MX"/>
        </w:rPr>
        <w:t xml:space="preserve"> mensual, acumulad</w:t>
      </w:r>
      <w:r w:rsidR="00047E9D" w:rsidRPr="00F25EC7">
        <w:rPr>
          <w:color w:val="auto"/>
          <w:lang w:val="es-MX"/>
        </w:rPr>
        <w:t>a</w:t>
      </w:r>
      <w:r w:rsidR="00A20CE5" w:rsidRPr="00F25EC7">
        <w:rPr>
          <w:color w:val="auto"/>
          <w:lang w:val="es-MX"/>
        </w:rPr>
        <w:t xml:space="preserve"> y </w:t>
      </w:r>
      <w:r w:rsidR="00047E9D" w:rsidRPr="00F25EC7">
        <w:rPr>
          <w:color w:val="auto"/>
          <w:lang w:val="es-MX"/>
        </w:rPr>
        <w:t xml:space="preserve">con </w:t>
      </w:r>
      <w:r w:rsidR="00A20CE5" w:rsidRPr="00F25EC7">
        <w:rPr>
          <w:color w:val="auto"/>
          <w:lang w:val="es-MX"/>
        </w:rPr>
        <w:t>sus respectivas variaciones anuales.</w:t>
      </w:r>
    </w:p>
    <w:p w14:paraId="1A5E9FDA" w14:textId="007A34A0" w:rsidR="00673D8C" w:rsidRPr="00F25EC7" w:rsidRDefault="000866DA" w:rsidP="00822132">
      <w:pPr>
        <w:pStyle w:val="Textoindependiente"/>
        <w:spacing w:before="360"/>
        <w:ind w:right="51"/>
        <w:rPr>
          <w:color w:val="auto"/>
        </w:rPr>
      </w:pPr>
      <w:r w:rsidRPr="00F25EC7">
        <w:rPr>
          <w:color w:val="auto"/>
        </w:rPr>
        <w:t>Para la elaboración de l</w:t>
      </w:r>
      <w:r w:rsidR="00635009" w:rsidRPr="00F25EC7">
        <w:rPr>
          <w:color w:val="auto"/>
        </w:rPr>
        <w:t xml:space="preserve">as cifras </w:t>
      </w:r>
      <w:r w:rsidR="00635009" w:rsidRPr="00F25EC7">
        <w:rPr>
          <w:color w:val="auto"/>
          <w:lang w:val="es-MX"/>
        </w:rPr>
        <w:t>del IGAE</w:t>
      </w:r>
      <w:r w:rsidR="009C07A4">
        <w:rPr>
          <w:color w:val="auto"/>
          <w:lang w:val="es-MX"/>
        </w:rPr>
        <w:t>,</w:t>
      </w:r>
      <w:r w:rsidR="0063500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</w:rPr>
        <w:t>se utiliza el marco conceptual y metodológico empleado en el cálculo de las Cuentas de Bienes y Servicios del SCNM</w:t>
      </w:r>
      <w:r w:rsidR="00FC6354" w:rsidRPr="00F25EC7">
        <w:rPr>
          <w:color w:val="auto"/>
        </w:rPr>
        <w:t>,</w:t>
      </w:r>
      <w:r w:rsidR="00635009" w:rsidRPr="00F25EC7">
        <w:rPr>
          <w:color w:val="auto"/>
        </w:rPr>
        <w:t xml:space="preserve"> </w:t>
      </w:r>
      <w:r w:rsidR="00635009" w:rsidRPr="00F25EC7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 w:rsidRPr="00F25EC7">
        <w:rPr>
          <w:color w:val="auto"/>
          <w:lang w:val="es-MX"/>
        </w:rPr>
        <w:t>Además</w:t>
      </w:r>
      <w:r w:rsidR="00153834" w:rsidRPr="00F25EC7">
        <w:rPr>
          <w:color w:val="auto"/>
          <w:lang w:val="es-MX"/>
        </w:rPr>
        <w:t>,</w:t>
      </w:r>
      <w:r w:rsidR="00635009" w:rsidRPr="00F25EC7">
        <w:rPr>
          <w:color w:val="auto"/>
        </w:rPr>
        <w:t xml:space="preserve"> </w:t>
      </w:r>
      <w:r w:rsidR="00B012AC" w:rsidRPr="00F25EC7">
        <w:rPr>
          <w:color w:val="auto"/>
        </w:rPr>
        <w:t xml:space="preserve">se </w:t>
      </w:r>
      <w:r w:rsidR="0020030E" w:rsidRPr="00F25EC7">
        <w:rPr>
          <w:color w:val="auto"/>
        </w:rPr>
        <w:t>conside</w:t>
      </w:r>
      <w:r w:rsidR="00635009" w:rsidRPr="00F25EC7">
        <w:rPr>
          <w:color w:val="auto"/>
        </w:rPr>
        <w:t>ra</w:t>
      </w:r>
      <w:r w:rsidR="00A20CE5" w:rsidRPr="00F25EC7">
        <w:rPr>
          <w:color w:val="auto"/>
        </w:rPr>
        <w:t>n</w:t>
      </w:r>
      <w:r w:rsidR="00635009" w:rsidRPr="00F25EC7">
        <w:rPr>
          <w:color w:val="auto"/>
        </w:rPr>
        <w:t xml:space="preserve"> los lineamientos internacionales sobre contabilidad nacional establecido</w:t>
      </w:r>
      <w:r w:rsidR="00A20CE5" w:rsidRPr="00F25EC7">
        <w:rPr>
          <w:color w:val="auto"/>
        </w:rPr>
        <w:t>s</w:t>
      </w:r>
      <w:r w:rsidR="00635009" w:rsidRPr="00F25EC7">
        <w:rPr>
          <w:color w:val="auto"/>
        </w:rPr>
        <w:t xml:space="preserve"> por Naciones Unidas (NU), la Organización para la Cooperación y Desarrollo Económicos (OCDE), el Banco Mundial (BM), el </w:t>
      </w:r>
      <w:r w:rsidR="000C6FCF" w:rsidRPr="00F25EC7">
        <w:rPr>
          <w:color w:val="auto"/>
        </w:rPr>
        <w:t>F</w:t>
      </w:r>
      <w:r w:rsidR="00CC2C7C">
        <w:rPr>
          <w:color w:val="auto"/>
        </w:rPr>
        <w:t>ondo Monetario Internacional (F</w:t>
      </w:r>
      <w:r w:rsidR="000C6FCF" w:rsidRPr="00F25EC7">
        <w:rPr>
          <w:color w:val="auto"/>
        </w:rPr>
        <w:t>MI</w:t>
      </w:r>
      <w:r w:rsidR="00CC2C7C">
        <w:rPr>
          <w:color w:val="auto"/>
        </w:rPr>
        <w:t>)</w:t>
      </w:r>
      <w:r w:rsidR="000C6FCF" w:rsidRPr="00F25EC7">
        <w:rPr>
          <w:color w:val="auto"/>
        </w:rPr>
        <w:t xml:space="preserve"> </w:t>
      </w:r>
      <w:r w:rsidR="00635009" w:rsidRPr="00F25EC7">
        <w:rPr>
          <w:color w:val="auto"/>
        </w:rPr>
        <w:t>y la Comisión Europea</w:t>
      </w:r>
      <w:r w:rsidR="00A20CE5" w:rsidRPr="00F25EC7">
        <w:rPr>
          <w:color w:val="auto"/>
        </w:rPr>
        <w:t>.</w:t>
      </w:r>
      <w:r w:rsidR="00635009" w:rsidRPr="00F25EC7">
        <w:rPr>
          <w:color w:val="auto"/>
        </w:rPr>
        <w:t xml:space="preserve"> </w:t>
      </w:r>
      <w:r w:rsidR="00A20CE5" w:rsidRPr="00F25EC7">
        <w:rPr>
          <w:color w:val="auto"/>
        </w:rPr>
        <w:t>D</w:t>
      </w:r>
      <w:r w:rsidR="00635009" w:rsidRPr="00F25EC7">
        <w:rPr>
          <w:color w:val="auto"/>
        </w:rPr>
        <w:t>ichas recomendaciones se difund</w:t>
      </w:r>
      <w:r w:rsidR="00D832A6" w:rsidRPr="00F25EC7">
        <w:rPr>
          <w:color w:val="auto"/>
        </w:rPr>
        <w:t>en</w:t>
      </w:r>
      <w:r w:rsidR="00635009" w:rsidRPr="00F25EC7">
        <w:rPr>
          <w:color w:val="auto"/>
        </w:rPr>
        <w:t xml:space="preserve"> en el </w:t>
      </w:r>
      <w:r w:rsidR="00635009" w:rsidRPr="00F25EC7">
        <w:rPr>
          <w:color w:val="auto"/>
        </w:rPr>
        <w:lastRenderedPageBreak/>
        <w:t>Sistema de Cuentas Nacionales 2008 (SCN</w:t>
      </w:r>
      <w:r w:rsidR="00F42FC5" w:rsidRPr="00F25EC7">
        <w:rPr>
          <w:color w:val="auto"/>
        </w:rPr>
        <w:t xml:space="preserve"> </w:t>
      </w:r>
      <w:r w:rsidR="00635009" w:rsidRPr="00F25EC7">
        <w:rPr>
          <w:color w:val="auto"/>
        </w:rPr>
        <w:t xml:space="preserve">2008) y </w:t>
      </w:r>
      <w:r w:rsidR="009E2C80" w:rsidRPr="00F25EC7">
        <w:rPr>
          <w:color w:val="auto"/>
        </w:rPr>
        <w:t xml:space="preserve">en </w:t>
      </w:r>
      <w:r w:rsidR="00635009" w:rsidRPr="00F25EC7">
        <w:rPr>
          <w:color w:val="auto"/>
        </w:rPr>
        <w:t xml:space="preserve">el </w:t>
      </w:r>
      <w:r w:rsidR="00635009" w:rsidRPr="00F25EC7">
        <w:rPr>
          <w:i/>
          <w:iCs/>
          <w:color w:val="auto"/>
        </w:rPr>
        <w:t xml:space="preserve">Manual de </w:t>
      </w:r>
      <w:r w:rsidR="00E826FA">
        <w:rPr>
          <w:i/>
          <w:iCs/>
          <w:color w:val="auto"/>
        </w:rPr>
        <w:t>c</w:t>
      </w:r>
      <w:r w:rsidR="00635009" w:rsidRPr="00F25EC7">
        <w:rPr>
          <w:i/>
          <w:iCs/>
          <w:color w:val="auto"/>
        </w:rPr>
        <w:t xml:space="preserve">uentas </w:t>
      </w:r>
      <w:r w:rsidR="00E826FA">
        <w:rPr>
          <w:i/>
          <w:iCs/>
          <w:color w:val="auto"/>
        </w:rPr>
        <w:t>n</w:t>
      </w:r>
      <w:r w:rsidR="00635009" w:rsidRPr="00F25EC7">
        <w:rPr>
          <w:i/>
          <w:iCs/>
          <w:color w:val="auto"/>
        </w:rPr>
        <w:t xml:space="preserve">acionales </w:t>
      </w:r>
      <w:r w:rsidR="00E826FA">
        <w:rPr>
          <w:i/>
          <w:iCs/>
          <w:color w:val="auto"/>
        </w:rPr>
        <w:t>t</w:t>
      </w:r>
      <w:r w:rsidR="00635009" w:rsidRPr="00F25EC7">
        <w:rPr>
          <w:i/>
          <w:iCs/>
          <w:color w:val="auto"/>
        </w:rPr>
        <w:t>rimestrales</w:t>
      </w:r>
      <w:r w:rsidR="00E826FA">
        <w:rPr>
          <w:i/>
          <w:iCs/>
          <w:color w:val="auto"/>
        </w:rPr>
        <w:t>:</w:t>
      </w:r>
      <w:r w:rsidR="00635009" w:rsidRPr="00F25EC7">
        <w:rPr>
          <w:i/>
          <w:iCs/>
          <w:color w:val="auto"/>
        </w:rPr>
        <w:t xml:space="preserve"> Conceptos, </w:t>
      </w:r>
      <w:r w:rsidR="00E826FA">
        <w:rPr>
          <w:i/>
          <w:iCs/>
          <w:color w:val="auto"/>
        </w:rPr>
        <w:t>f</w:t>
      </w:r>
      <w:r w:rsidR="00635009" w:rsidRPr="00F25EC7">
        <w:rPr>
          <w:i/>
          <w:iCs/>
          <w:color w:val="auto"/>
        </w:rPr>
        <w:t xml:space="preserve">uentes de </w:t>
      </w:r>
      <w:r w:rsidR="00E826FA">
        <w:rPr>
          <w:i/>
          <w:iCs/>
          <w:color w:val="auto"/>
        </w:rPr>
        <w:t>d</w:t>
      </w:r>
      <w:r w:rsidR="00635009" w:rsidRPr="00F25EC7">
        <w:rPr>
          <w:i/>
          <w:iCs/>
          <w:color w:val="auto"/>
        </w:rPr>
        <w:t xml:space="preserve">atos y </w:t>
      </w:r>
      <w:r w:rsidR="00E826FA">
        <w:rPr>
          <w:i/>
          <w:iCs/>
          <w:color w:val="auto"/>
        </w:rPr>
        <w:t>c</w:t>
      </w:r>
      <w:r w:rsidR="00635009" w:rsidRPr="00F25EC7">
        <w:rPr>
          <w:i/>
          <w:iCs/>
          <w:color w:val="auto"/>
        </w:rPr>
        <w:t>ompilación</w:t>
      </w:r>
      <w:r w:rsidR="00A265B3">
        <w:rPr>
          <w:color w:val="auto"/>
        </w:rPr>
        <w:t xml:space="preserve"> </w:t>
      </w:r>
      <w:r w:rsidR="00635009" w:rsidRPr="00F25EC7">
        <w:rPr>
          <w:color w:val="auto"/>
        </w:rPr>
        <w:t>(CNT</w:t>
      </w:r>
      <w:r w:rsidR="00323FD8">
        <w:rPr>
          <w:color w:val="auto"/>
        </w:rPr>
        <w:t> </w:t>
      </w:r>
      <w:r w:rsidR="00635009" w:rsidRPr="00F25EC7">
        <w:rPr>
          <w:color w:val="auto"/>
        </w:rPr>
        <w:t>2001)</w:t>
      </w:r>
      <w:r w:rsidR="009E2C80" w:rsidRPr="00F25EC7">
        <w:rPr>
          <w:color w:val="auto"/>
        </w:rPr>
        <w:t>,</w:t>
      </w:r>
      <w:r w:rsidR="00635009" w:rsidRPr="00F25EC7">
        <w:rPr>
          <w:color w:val="auto"/>
        </w:rPr>
        <w:t xml:space="preserve"> editado por el </w:t>
      </w:r>
      <w:r w:rsidR="000C6FCF" w:rsidRPr="00F25EC7">
        <w:rPr>
          <w:color w:val="auto"/>
        </w:rPr>
        <w:t xml:space="preserve">FMI. </w:t>
      </w:r>
    </w:p>
    <w:p w14:paraId="6B021168" w14:textId="15F7DA1A" w:rsidR="00495E4C" w:rsidRPr="00F25EC7" w:rsidRDefault="00635009" w:rsidP="00726EC7">
      <w:pPr>
        <w:pStyle w:val="Textoindependiente"/>
        <w:ind w:right="51"/>
        <w:rPr>
          <w:color w:val="auto"/>
          <w:lang w:val="es-MX"/>
        </w:rPr>
      </w:pPr>
      <w:r w:rsidRPr="00F25EC7">
        <w:rPr>
          <w:color w:val="auto"/>
        </w:rPr>
        <w:t xml:space="preserve">Los </w:t>
      </w:r>
      <w:r w:rsidR="00FE1F08" w:rsidRPr="00F25EC7">
        <w:rPr>
          <w:color w:val="auto"/>
        </w:rPr>
        <w:t>datos</w:t>
      </w:r>
      <w:r w:rsidRPr="00F25EC7">
        <w:rPr>
          <w:color w:val="auto"/>
        </w:rPr>
        <w:t xml:space="preserve"> de corto plazo se alinean con las cifras anuales de las Cuentas de Bienes y Servicios</w:t>
      </w:r>
      <w:r w:rsidR="00540757" w:rsidRPr="00F25EC7">
        <w:rPr>
          <w:color w:val="auto"/>
        </w:rPr>
        <w:t>.</w:t>
      </w:r>
      <w:r w:rsidRPr="00F25EC7">
        <w:rPr>
          <w:color w:val="auto"/>
        </w:rPr>
        <w:t xml:space="preserve"> </w:t>
      </w:r>
      <w:r w:rsidR="00540757" w:rsidRPr="00F25EC7">
        <w:rPr>
          <w:color w:val="auto"/>
        </w:rPr>
        <w:t xml:space="preserve">Se </w:t>
      </w:r>
      <w:r w:rsidR="00FE1F08" w:rsidRPr="00F25EC7">
        <w:rPr>
          <w:color w:val="auto"/>
        </w:rPr>
        <w:t>u</w:t>
      </w:r>
      <w:r w:rsidR="00540757" w:rsidRPr="00F25EC7">
        <w:rPr>
          <w:color w:val="auto"/>
        </w:rPr>
        <w:t>tiliz</w:t>
      </w:r>
      <w:r w:rsidR="00FE1F08" w:rsidRPr="00F25EC7">
        <w:rPr>
          <w:color w:val="auto"/>
        </w:rPr>
        <w:t>a</w:t>
      </w:r>
      <w:r w:rsidRPr="00F25EC7">
        <w:rPr>
          <w:color w:val="auto"/>
        </w:rPr>
        <w:t xml:space="preserve"> la técnica Denton a nivel de clase de actividad económica</w:t>
      </w:r>
      <w:r w:rsidR="00BA187F" w:rsidRPr="00F25EC7">
        <w:rPr>
          <w:color w:val="auto"/>
        </w:rPr>
        <w:t xml:space="preserve">. </w:t>
      </w:r>
      <w:bookmarkStart w:id="13" w:name="_Hlk128043298"/>
      <w:r w:rsidR="00BA187F" w:rsidRPr="00F25EC7">
        <w:rPr>
          <w:color w:val="auto"/>
        </w:rPr>
        <w:t xml:space="preserve">Esto </w:t>
      </w:r>
      <w:r w:rsidRPr="00F25EC7">
        <w:rPr>
          <w:color w:val="auto"/>
        </w:rPr>
        <w:t xml:space="preserve">evita que </w:t>
      </w:r>
      <w:r w:rsidR="00BA187F" w:rsidRPr="00F25EC7">
        <w:rPr>
          <w:color w:val="auto"/>
        </w:rPr>
        <w:t>resultados que puedan diferir en su grado de cobertura o en la fecha de su disponibilidad</w:t>
      </w:r>
      <w:r w:rsidR="005B1453">
        <w:rPr>
          <w:color w:val="auto"/>
        </w:rPr>
        <w:t>,</w:t>
      </w:r>
      <w:r w:rsidR="00BA187F" w:rsidRPr="00F25EC7">
        <w:rPr>
          <w:color w:val="auto"/>
        </w:rPr>
        <w:t xml:space="preserve"> pero nunca en su base conceptual</w:t>
      </w:r>
      <w:r w:rsidR="005B1453">
        <w:rPr>
          <w:color w:val="auto"/>
        </w:rPr>
        <w:t xml:space="preserve">, </w:t>
      </w:r>
      <w:r w:rsidR="00BA187F" w:rsidRPr="00F25EC7">
        <w:rPr>
          <w:color w:val="auto"/>
        </w:rPr>
        <w:t>se</w:t>
      </w:r>
      <w:r w:rsidRPr="00F25EC7">
        <w:rPr>
          <w:color w:val="auto"/>
        </w:rPr>
        <w:t xml:space="preserve"> interpreten de diferente manera. </w:t>
      </w:r>
      <w:bookmarkEnd w:id="13"/>
      <w:r w:rsidRPr="00F25EC7">
        <w:rPr>
          <w:color w:val="auto"/>
        </w:rPr>
        <w:t xml:space="preserve">Los resultados de </w:t>
      </w:r>
      <w:r w:rsidRPr="00F25EC7">
        <w:rPr>
          <w:color w:val="auto"/>
          <w:lang w:val="es-MX"/>
        </w:rPr>
        <w:t xml:space="preserve">las </w:t>
      </w:r>
      <w:r w:rsidR="004268F0" w:rsidRPr="00F25EC7">
        <w:rPr>
          <w:color w:val="auto"/>
          <w:lang w:val="es-MX"/>
        </w:rPr>
        <w:t>a</w:t>
      </w:r>
      <w:r w:rsidRPr="00F25EC7">
        <w:rPr>
          <w:color w:val="auto"/>
          <w:lang w:val="es-MX"/>
        </w:rPr>
        <w:t xml:space="preserve">ctividades </w:t>
      </w:r>
      <w:r w:rsidR="004268F0" w:rsidRPr="00F25EC7">
        <w:rPr>
          <w:color w:val="auto"/>
          <w:lang w:val="es-MX"/>
        </w:rPr>
        <w:t>s</w:t>
      </w:r>
      <w:r w:rsidRPr="00F25EC7">
        <w:rPr>
          <w:color w:val="auto"/>
          <w:lang w:val="es-MX"/>
        </w:rPr>
        <w:t xml:space="preserve">ecundarias y </w:t>
      </w:r>
      <w:r w:rsidR="004268F0" w:rsidRPr="00F25EC7">
        <w:rPr>
          <w:color w:val="auto"/>
          <w:lang w:val="es-MX"/>
        </w:rPr>
        <w:t>t</w:t>
      </w:r>
      <w:r w:rsidRPr="00F25EC7">
        <w:rPr>
          <w:color w:val="auto"/>
          <w:lang w:val="es-MX"/>
        </w:rPr>
        <w:t>erciarias se desagregan en 13 actividades económicas.</w:t>
      </w:r>
    </w:p>
    <w:p w14:paraId="4AD82B8F" w14:textId="1D4D1018" w:rsidR="00635009" w:rsidRPr="00F25EC7" w:rsidRDefault="0086082F" w:rsidP="00726EC7">
      <w:pPr>
        <w:pStyle w:val="p0"/>
        <w:keepLines w:val="0"/>
        <w:widowControl/>
        <w:ind w:right="51"/>
        <w:rPr>
          <w:rFonts w:ascii="Arial" w:hAnsi="Arial"/>
          <w:color w:val="auto"/>
          <w:lang w:val="es-MX"/>
        </w:rPr>
      </w:pPr>
      <w:r w:rsidRPr="00F25EC7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r w:rsidR="005B1453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inero</w:t>
      </w:r>
      <w:r w:rsidR="00E46CE2" w:rsidRPr="00F25EC7">
        <w:rPr>
          <w:rFonts w:ascii="Arial" w:hAnsi="Arial"/>
          <w:snapToGrid/>
          <w:color w:val="auto"/>
          <w:lang w:val="es-MX"/>
        </w:rPr>
        <w:t>m</w:t>
      </w:r>
      <w:r w:rsidRPr="00F25EC7">
        <w:rPr>
          <w:rFonts w:ascii="Arial" w:hAnsi="Arial"/>
          <w:snapToGrid/>
          <w:color w:val="auto"/>
          <w:lang w:val="es-MX"/>
        </w:rPr>
        <w:t>etalúrgica (EIMM)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Mensual de la Industria Manufacturera (EMIM)</w:t>
      </w:r>
      <w:r w:rsidR="004A5656" w:rsidRPr="00F25EC7">
        <w:rPr>
          <w:rFonts w:ascii="Arial" w:hAnsi="Arial"/>
          <w:snapToGrid/>
          <w:color w:val="auto"/>
          <w:lang w:val="es-MX"/>
        </w:rPr>
        <w:t>,</w:t>
      </w:r>
      <w:r w:rsidRPr="00F25EC7">
        <w:rPr>
          <w:rFonts w:ascii="Arial" w:hAnsi="Arial"/>
          <w:snapToGrid/>
          <w:color w:val="auto"/>
          <w:lang w:val="es-MX"/>
        </w:rPr>
        <w:t xml:space="preserve"> Encuesta Nacional de Empresas Constructoras (ENEC)</w:t>
      </w:r>
      <w:r w:rsidR="004A5656" w:rsidRPr="00F25EC7">
        <w:rPr>
          <w:rFonts w:ascii="Arial" w:hAnsi="Arial"/>
          <w:snapToGrid/>
          <w:color w:val="auto"/>
          <w:lang w:val="es-MX"/>
        </w:rPr>
        <w:t>, Encuesta Mensual sobre Empresas Comerciales (EME</w:t>
      </w:r>
      <w:r w:rsidR="000F4ED4" w:rsidRPr="00F25EC7">
        <w:rPr>
          <w:rFonts w:ascii="Arial" w:hAnsi="Arial"/>
          <w:snapToGrid/>
          <w:color w:val="auto"/>
          <w:lang w:val="es-MX"/>
        </w:rPr>
        <w:t>C</w:t>
      </w:r>
      <w:r w:rsidR="004A5656" w:rsidRPr="00F25EC7">
        <w:rPr>
          <w:rFonts w:ascii="Arial" w:hAnsi="Arial"/>
          <w:snapToGrid/>
          <w:color w:val="auto"/>
          <w:lang w:val="es-MX"/>
        </w:rPr>
        <w:t>), Encuesta Mensual de Servicios (EMS)</w:t>
      </w:r>
      <w:r w:rsidRPr="00F25EC7">
        <w:rPr>
          <w:rFonts w:ascii="Arial" w:hAnsi="Arial"/>
          <w:snapToGrid/>
          <w:color w:val="auto"/>
          <w:lang w:val="es-MX"/>
        </w:rPr>
        <w:t xml:space="preserve"> y la Encuesta Nacional de Ocupación y Empleo (ENOE), elaboradas por el INEGI. También se obtienen datos proporcionados por cámaras y asociaciones de productores e instituciones públicas y privadas.</w:t>
      </w:r>
    </w:p>
    <w:p w14:paraId="011B607C" w14:textId="380E1F81" w:rsidR="00CA52A5" w:rsidRPr="00F25EC7" w:rsidRDefault="00CA52A5" w:rsidP="00726EC7">
      <w:pPr>
        <w:pStyle w:val="p0"/>
        <w:keepLines w:val="0"/>
        <w:widowControl/>
        <w:ind w:right="51"/>
        <w:rPr>
          <w:rFonts w:ascii="Arial" w:hAnsi="Arial"/>
          <w:color w:val="auto"/>
        </w:rPr>
      </w:pPr>
      <w:r w:rsidRPr="00F25EC7">
        <w:rPr>
          <w:rFonts w:ascii="Arial" w:hAnsi="Arial"/>
          <w:color w:val="auto"/>
        </w:rPr>
        <w:t>La mayoría de las series económicas se ven afectadas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972BBB4" w14:textId="1EEC52E8" w:rsidR="009908A8" w:rsidRPr="00F25EC7" w:rsidRDefault="00CA52A5" w:rsidP="00726EC7">
      <w:pPr>
        <w:spacing w:before="240"/>
        <w:ind w:right="51"/>
      </w:pPr>
      <w:r w:rsidRPr="00F25EC7">
        <w:t>La desestacionalización o ajuste estacional de series económicas consiste en remover estas influencias intra-anuales periódicas: su presencia dificulta diagnosticar y describir el comportamiento de una serie económica, pues no permite comparar adecuadamente un determinado mes con el inmediato anterior.</w:t>
      </w:r>
      <w:r w:rsidR="009908A8" w:rsidRPr="009908A8">
        <w:t xml:space="preserve"> </w:t>
      </w:r>
      <w:r w:rsidR="009908A8" w:rsidRPr="00F25EC7">
        <w:t>Analizar la serie desestacionalizada ayuda a realizar un mejor diagnóstico y pronóstico de su evolución, pues</w:t>
      </w:r>
      <w:r w:rsidR="005004A4">
        <w:t>,</w:t>
      </w:r>
      <w:r w:rsidR="009908A8" w:rsidRPr="00F25EC7">
        <w:t xml:space="preserve"> en el corto plazo, identifica la posible dirección de los movimientos que pudiera tener la variable en cuestión.</w:t>
      </w:r>
    </w:p>
    <w:p w14:paraId="68D1DD69" w14:textId="3BECEC5E" w:rsidR="00CA52A5" w:rsidRPr="00F25EC7" w:rsidRDefault="00CA52A5" w:rsidP="00726EC7">
      <w:pPr>
        <w:spacing w:before="240"/>
        <w:ind w:right="51"/>
      </w:pPr>
      <w:r w:rsidRPr="00F25EC7">
        <w:t>Las series originales se ajustan estacionalmente mediante el paquete estadístico X</w:t>
      </w:r>
      <w:r w:rsidRPr="00F25EC7">
        <w:noBreakHyphen/>
        <w:t>13ARIMA-SEATS. Para conocer la metodología, consúltese la siguiente liga:</w:t>
      </w:r>
    </w:p>
    <w:p w14:paraId="5627FB3B" w14:textId="0353FB1A" w:rsidR="00CA52A5" w:rsidRPr="00F25EC7" w:rsidRDefault="00353F97" w:rsidP="00CA52A5">
      <w:pPr>
        <w:rPr>
          <w:color w:val="1F497D"/>
          <w:sz w:val="22"/>
          <w:lang w:eastAsia="en-US"/>
        </w:rPr>
      </w:pPr>
      <w:hyperlink r:id="rId18" w:history="1">
        <w:r w:rsidR="00CA52A5" w:rsidRPr="00F25EC7">
          <w:rPr>
            <w:rStyle w:val="Hipervnculo"/>
          </w:rPr>
          <w:t>https://www.inegi.org.mx/app/biblioteca/ficha.html?upc=702825099060</w:t>
        </w:r>
      </w:hyperlink>
    </w:p>
    <w:p w14:paraId="3F942CD7" w14:textId="5B1DDE7E" w:rsidR="00CA52A5" w:rsidRPr="008F20BD" w:rsidRDefault="00EB7986" w:rsidP="00726EC7">
      <w:pPr>
        <w:spacing w:before="240"/>
        <w:ind w:right="51"/>
        <w:rPr>
          <w:spacing w:val="-4"/>
          <w:lang w:val="es-MX"/>
        </w:rPr>
      </w:pPr>
      <w:r w:rsidRPr="008F20BD">
        <w:rPr>
          <w:noProof/>
          <w:spacing w:val="-4"/>
        </w:rPr>
        <w:drawing>
          <wp:anchor distT="0" distB="0" distL="114300" distR="114300" simplePos="0" relativeHeight="251658240" behindDoc="0" locked="0" layoutInCell="1" allowOverlap="1" wp14:anchorId="1A789D84" wp14:editId="53062ECB">
            <wp:simplePos x="0" y="0"/>
            <wp:positionH relativeFrom="margin">
              <wp:align>left</wp:align>
            </wp:positionH>
            <wp:positionV relativeFrom="paragraph">
              <wp:posOffset>684530</wp:posOffset>
            </wp:positionV>
            <wp:extent cx="151130" cy="151130"/>
            <wp:effectExtent l="0" t="0" r="1270" b="1270"/>
            <wp:wrapNone/>
            <wp:docPr id="6" name="Picture 6" descr="http://www.inegi.org.mx/sistemas/bie/img/MetadatoC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2A5" w:rsidRPr="008F20BD">
        <w:rPr>
          <w:spacing w:val="-4"/>
        </w:rPr>
        <w:t>Las especificaciones de los modelos utilizados para realizar el ajuste estacional están disponibles en el Banco de Información Económica</w:t>
      </w:r>
      <w:r w:rsidR="00E841EB" w:rsidRPr="008F20BD">
        <w:rPr>
          <w:spacing w:val="-4"/>
        </w:rPr>
        <w:t xml:space="preserve"> (BIE)</w:t>
      </w:r>
      <w:r w:rsidR="00CA52A5" w:rsidRPr="008F20BD">
        <w:rPr>
          <w:spacing w:val="-4"/>
        </w:rPr>
        <w:t>. Selecci</w:t>
      </w:r>
      <w:r w:rsidR="001543BE" w:rsidRPr="008F20BD">
        <w:rPr>
          <w:spacing w:val="-4"/>
        </w:rPr>
        <w:t>o</w:t>
      </w:r>
      <w:r w:rsidR="00CA52A5" w:rsidRPr="008F20BD">
        <w:rPr>
          <w:spacing w:val="-4"/>
        </w:rPr>
        <w:t xml:space="preserve">ne </w:t>
      </w:r>
      <w:r w:rsidR="00E841EB" w:rsidRPr="008F20BD">
        <w:rPr>
          <w:spacing w:val="-4"/>
        </w:rPr>
        <w:t xml:space="preserve">«Indicadores económicos de coyuntura, Indicador Global de la </w:t>
      </w:r>
      <w:r w:rsidR="00F42FC5" w:rsidRPr="008F20BD">
        <w:rPr>
          <w:spacing w:val="-4"/>
        </w:rPr>
        <w:t>A</w:t>
      </w:r>
      <w:r w:rsidR="00E841EB" w:rsidRPr="008F20BD">
        <w:rPr>
          <w:spacing w:val="-4"/>
        </w:rPr>
        <w:t xml:space="preserve">ctividad Económica» y vaya al </w:t>
      </w:r>
      <w:r w:rsidR="6377977D" w:rsidRPr="008F20BD">
        <w:rPr>
          <w:spacing w:val="-4"/>
        </w:rPr>
        <w:t>i</w:t>
      </w:r>
      <w:r w:rsidR="00E841EB" w:rsidRPr="008F20BD">
        <w:rPr>
          <w:spacing w:val="-4"/>
        </w:rPr>
        <w:t xml:space="preserve">cono </w:t>
      </w:r>
      <w:r w:rsidR="00136477" w:rsidRPr="008F20BD">
        <w:rPr>
          <w:spacing w:val="-4"/>
        </w:rPr>
        <w:t>de información</w:t>
      </w:r>
      <w:r w:rsidR="00B24BAF">
        <w:rPr>
          <w:spacing w:val="-4"/>
        </w:rPr>
        <w:br/>
      </w:r>
      <w:r w:rsidR="003B1CD7" w:rsidRPr="008F20BD">
        <w:rPr>
          <w:spacing w:val="-4"/>
        </w:rPr>
        <w:t xml:space="preserve"> </w:t>
      </w:r>
      <w:r w:rsidR="00136477" w:rsidRPr="008F20BD">
        <w:rPr>
          <w:spacing w:val="-4"/>
        </w:rPr>
        <w:t xml:space="preserve">    correspondiente </w:t>
      </w:r>
      <w:r w:rsidR="00CA52A5" w:rsidRPr="008F20BD">
        <w:rPr>
          <w:spacing w:val="-4"/>
        </w:rPr>
        <w:t xml:space="preserve">a las «series desestacionalizadas </w:t>
      </w:r>
      <w:r w:rsidR="004E26D7" w:rsidRPr="008F20BD">
        <w:rPr>
          <w:spacing w:val="-4"/>
        </w:rPr>
        <w:t xml:space="preserve">y </w:t>
      </w:r>
      <w:r w:rsidR="00CA52A5" w:rsidRPr="008F20BD">
        <w:rPr>
          <w:spacing w:val="-4"/>
        </w:rPr>
        <w:t>de</w:t>
      </w:r>
      <w:r w:rsidR="003A4683" w:rsidRPr="008F20BD">
        <w:rPr>
          <w:spacing w:val="-4"/>
        </w:rPr>
        <w:t xml:space="preserve"> </w:t>
      </w:r>
      <w:r w:rsidR="00CA52A5" w:rsidRPr="008F20BD">
        <w:rPr>
          <w:spacing w:val="-4"/>
        </w:rPr>
        <w:t>tendencia-</w:t>
      </w:r>
      <w:r w:rsidR="00F42FC5" w:rsidRPr="008F20BD">
        <w:rPr>
          <w:spacing w:val="-4"/>
        </w:rPr>
        <w:t>c</w:t>
      </w:r>
      <w:r w:rsidR="00CA52A5" w:rsidRPr="008F20BD">
        <w:rPr>
          <w:spacing w:val="-4"/>
        </w:rPr>
        <w:t>iclo»</w:t>
      </w:r>
      <w:r w:rsidR="00D412F5" w:rsidRPr="008F20BD">
        <w:rPr>
          <w:spacing w:val="-4"/>
        </w:rPr>
        <w:t>.</w:t>
      </w:r>
    </w:p>
    <w:p w14:paraId="620BE18B" w14:textId="4F701EDA" w:rsidR="00635009" w:rsidRPr="00F25EC7" w:rsidRDefault="00270456" w:rsidP="00726EC7">
      <w:pPr>
        <w:pStyle w:val="Textoindependiente"/>
        <w:keepNext/>
        <w:keepLines/>
        <w:widowControl w:val="0"/>
        <w:spacing w:before="200"/>
        <w:ind w:right="51"/>
        <w:rPr>
          <w:color w:val="auto"/>
          <w:lang w:val="es-MX"/>
        </w:rPr>
      </w:pPr>
      <w:r w:rsidRPr="00F25EC7">
        <w:rPr>
          <w:color w:val="auto"/>
          <w:lang w:val="es-MX"/>
        </w:rPr>
        <w:lastRenderedPageBreak/>
        <w:t xml:space="preserve">Mediante </w:t>
      </w:r>
      <w:r w:rsidR="00982AD4" w:rsidRPr="00F25EC7">
        <w:rPr>
          <w:color w:val="auto"/>
          <w:lang w:val="es-MX"/>
        </w:rPr>
        <w:t xml:space="preserve">los indicadores de corto plazo del </w:t>
      </w:r>
      <w:r w:rsidR="00F42FC5" w:rsidRPr="00F25EC7">
        <w:rPr>
          <w:color w:val="auto"/>
          <w:lang w:val="es-MX"/>
        </w:rPr>
        <w:t>SCNM</w:t>
      </w:r>
      <w:r w:rsidR="00982AD4" w:rsidRPr="00F25EC7">
        <w:rPr>
          <w:color w:val="auto"/>
          <w:lang w:val="es-MX"/>
        </w:rPr>
        <w:t xml:space="preserve">, </w:t>
      </w:r>
      <w:r w:rsidRPr="00F25EC7">
        <w:rPr>
          <w:color w:val="auto"/>
          <w:lang w:val="es-MX"/>
        </w:rPr>
        <w:t xml:space="preserve">el INEGI </w:t>
      </w:r>
      <w:r w:rsidR="00982AD4" w:rsidRPr="00F25EC7">
        <w:rPr>
          <w:color w:val="auto"/>
          <w:lang w:val="es-MX"/>
        </w:rPr>
        <w:t>genera l</w:t>
      </w:r>
      <w:r w:rsidR="00635009" w:rsidRPr="00F25EC7">
        <w:rPr>
          <w:color w:val="auto"/>
          <w:lang w:val="es-MX"/>
        </w:rPr>
        <w:t xml:space="preserve">a información contenida en este documento y </w:t>
      </w:r>
      <w:r w:rsidR="00982AD4" w:rsidRPr="00F25EC7">
        <w:rPr>
          <w:color w:val="auto"/>
          <w:lang w:val="es-MX"/>
        </w:rPr>
        <w:t>la</w:t>
      </w:r>
      <w:r w:rsidR="00635009" w:rsidRPr="00F25EC7">
        <w:rPr>
          <w:color w:val="auto"/>
          <w:lang w:val="es-MX"/>
        </w:rPr>
        <w:t xml:space="preserve"> da a conocer </w:t>
      </w:r>
      <w:r w:rsidR="00622FA2" w:rsidRPr="00F25EC7">
        <w:rPr>
          <w:color w:val="auto"/>
          <w:lang w:val="es-MX"/>
        </w:rPr>
        <w:t xml:space="preserve">según </w:t>
      </w:r>
      <w:r w:rsidR="00635009" w:rsidRPr="00F25EC7">
        <w:rPr>
          <w:color w:val="auto"/>
          <w:lang w:val="es-MX"/>
        </w:rPr>
        <w:t>el</w:t>
      </w:r>
      <w:r w:rsidR="00263F59" w:rsidRPr="00F25EC7">
        <w:rPr>
          <w:color w:val="auto"/>
          <w:lang w:val="es-MX"/>
        </w:rPr>
        <w:t xml:space="preserve"> </w:t>
      </w:r>
      <w:r w:rsidR="00635009" w:rsidRPr="00F25EC7">
        <w:rPr>
          <w:color w:val="auto"/>
          <w:lang w:val="es-MX"/>
        </w:rPr>
        <w:t xml:space="preserve">Calendario de </w:t>
      </w:r>
      <w:r w:rsidR="004C705E" w:rsidRPr="00F25EC7">
        <w:rPr>
          <w:color w:val="auto"/>
          <w:lang w:val="es-MX"/>
        </w:rPr>
        <w:t>D</w:t>
      </w:r>
      <w:r w:rsidR="00635009" w:rsidRPr="00F25EC7">
        <w:rPr>
          <w:color w:val="auto"/>
          <w:lang w:val="es-MX"/>
        </w:rPr>
        <w:t xml:space="preserve">ifusión de </w:t>
      </w:r>
      <w:r w:rsidR="004C705E" w:rsidRPr="00F25EC7">
        <w:rPr>
          <w:color w:val="auto"/>
          <w:lang w:val="es-MX"/>
        </w:rPr>
        <w:t>I</w:t>
      </w:r>
      <w:r w:rsidR="00635009" w:rsidRPr="00F25EC7">
        <w:rPr>
          <w:color w:val="auto"/>
          <w:lang w:val="es-MX"/>
        </w:rPr>
        <w:t xml:space="preserve">nformación </w:t>
      </w:r>
      <w:r w:rsidR="004C705E" w:rsidRPr="00F25EC7">
        <w:rPr>
          <w:color w:val="auto"/>
          <w:lang w:val="es-MX"/>
        </w:rPr>
        <w:t>E</w:t>
      </w:r>
      <w:r w:rsidR="00635009" w:rsidRPr="00F25EC7">
        <w:rPr>
          <w:color w:val="auto"/>
          <w:lang w:val="es-MX"/>
        </w:rPr>
        <w:t xml:space="preserve">stadística y </w:t>
      </w:r>
      <w:r w:rsidR="004C705E" w:rsidRPr="00F25EC7">
        <w:rPr>
          <w:color w:val="auto"/>
          <w:lang w:val="es-MX"/>
        </w:rPr>
        <w:t>G</w:t>
      </w:r>
      <w:r w:rsidR="00635009" w:rsidRPr="00F25EC7">
        <w:rPr>
          <w:color w:val="auto"/>
          <w:lang w:val="es-MX"/>
        </w:rPr>
        <w:t>eográfica y de Interés Nacional.</w:t>
      </w:r>
    </w:p>
    <w:p w14:paraId="487FEF78" w14:textId="7052A94D" w:rsidR="00593F5A" w:rsidRPr="00F25EC7" w:rsidRDefault="00635009" w:rsidP="00726EC7">
      <w:pPr>
        <w:pStyle w:val="texto0"/>
        <w:keepNext/>
        <w:widowControl w:val="0"/>
        <w:ind w:right="51"/>
        <w:rPr>
          <w:rFonts w:cs="Arial"/>
          <w:color w:val="auto"/>
        </w:rPr>
      </w:pPr>
      <w:r w:rsidRPr="00F25EC7">
        <w:rPr>
          <w:rFonts w:cs="Arial"/>
          <w:color w:val="auto"/>
        </w:rPr>
        <w:t>Las series del IGAE</w:t>
      </w:r>
      <w:r w:rsidR="00EB40D2" w:rsidRPr="00F25EC7">
        <w:rPr>
          <w:rFonts w:cs="Arial"/>
          <w:color w:val="auto"/>
        </w:rPr>
        <w:t xml:space="preserve"> </w:t>
      </w:r>
      <w:r w:rsidR="00A911ED" w:rsidRPr="00F25EC7">
        <w:rPr>
          <w:rFonts w:cs="Arial"/>
          <w:color w:val="auto"/>
        </w:rPr>
        <w:t xml:space="preserve">se </w:t>
      </w:r>
      <w:r w:rsidR="00EB40D2" w:rsidRPr="00F25EC7">
        <w:rPr>
          <w:rFonts w:cs="Arial"/>
          <w:color w:val="auto"/>
        </w:rPr>
        <w:t>pueden</w:t>
      </w:r>
      <w:r w:rsidRPr="00F25EC7">
        <w:rPr>
          <w:rFonts w:cs="Arial"/>
          <w:color w:val="auto"/>
        </w:rPr>
        <w:t xml:space="preserve"> consulta</w:t>
      </w:r>
      <w:r w:rsidR="00A911ED" w:rsidRPr="00F25EC7">
        <w:rPr>
          <w:rFonts w:cs="Arial"/>
          <w:color w:val="auto"/>
        </w:rPr>
        <w:t>r</w:t>
      </w:r>
      <w:r w:rsidRPr="00F25EC7">
        <w:rPr>
          <w:rFonts w:cs="Arial"/>
          <w:color w:val="auto"/>
        </w:rPr>
        <w:t xml:space="preserve"> en la sección PIB y Cuentas Nacionales de México y en el </w:t>
      </w:r>
      <w:r w:rsidR="00F42FC5" w:rsidRPr="00F25EC7">
        <w:rPr>
          <w:rFonts w:cs="Arial"/>
          <w:color w:val="auto"/>
        </w:rPr>
        <w:t>BIE</w:t>
      </w:r>
      <w:r w:rsidRPr="00F25EC7">
        <w:rPr>
          <w:rFonts w:cs="Arial"/>
          <w:color w:val="auto"/>
        </w:rPr>
        <w:t xml:space="preserve">, </w:t>
      </w:r>
      <w:r w:rsidR="0081674D" w:rsidRPr="00F25EC7">
        <w:rPr>
          <w:rFonts w:cs="Arial"/>
          <w:color w:val="auto"/>
        </w:rPr>
        <w:t>en</w:t>
      </w:r>
      <w:r w:rsidRPr="00F25EC7">
        <w:rPr>
          <w:rFonts w:cs="Arial"/>
          <w:color w:val="auto"/>
        </w:rPr>
        <w:t xml:space="preserve"> la página del </w:t>
      </w:r>
      <w:r w:rsidR="0081674D" w:rsidRPr="00F25EC7">
        <w:rPr>
          <w:rFonts w:cs="Arial"/>
          <w:color w:val="auto"/>
        </w:rPr>
        <w:t>INEGI</w:t>
      </w:r>
      <w:r w:rsidRPr="00F25EC7">
        <w:rPr>
          <w:rFonts w:cs="Arial"/>
          <w:color w:val="auto"/>
        </w:rPr>
        <w:t xml:space="preserve">: </w:t>
      </w:r>
      <w:r w:rsidRPr="00F25EC7">
        <w:rPr>
          <w:rFonts w:cs="Arial"/>
          <w:color w:val="0000FF"/>
          <w:u w:val="single"/>
          <w:lang w:eastAsia="en-US"/>
        </w:rPr>
        <w:t>https://</w:t>
      </w:r>
      <w:hyperlink r:id="rId21" w:history="1">
        <w:r w:rsidRPr="00F25EC7">
          <w:rPr>
            <w:rStyle w:val="Hipervnculo"/>
            <w:rFonts w:cs="Arial"/>
            <w:lang w:eastAsia="en-US"/>
          </w:rPr>
          <w:t>www.inegi.org.mx</w:t>
        </w:r>
      </w:hyperlink>
      <w:bookmarkEnd w:id="12"/>
    </w:p>
    <w:sectPr w:rsidR="00593F5A" w:rsidRPr="00F25EC7" w:rsidSect="00AB2E43">
      <w:headerReference w:type="default" r:id="rId22"/>
      <w:type w:val="continuous"/>
      <w:pgSz w:w="12242" w:h="15842" w:code="1"/>
      <w:pgMar w:top="2552" w:right="1418" w:bottom="1134" w:left="1134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55101" w14:textId="77777777" w:rsidR="00353F97" w:rsidRDefault="00353F97">
      <w:r>
        <w:separator/>
      </w:r>
    </w:p>
  </w:endnote>
  <w:endnote w:type="continuationSeparator" w:id="0">
    <w:p w14:paraId="09140F3B" w14:textId="77777777" w:rsidR="00353F97" w:rsidRDefault="00353F97">
      <w:r>
        <w:continuationSeparator/>
      </w:r>
    </w:p>
  </w:endnote>
  <w:endnote w:type="continuationNotice" w:id="1">
    <w:p w14:paraId="43BC578D" w14:textId="77777777" w:rsidR="00353F97" w:rsidRDefault="00353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25" w14:textId="77777777" w:rsidR="003B5757" w:rsidRPr="00381F58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381F58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B4FEB" w14:textId="77777777" w:rsidR="00353F97" w:rsidRDefault="00353F97">
      <w:r>
        <w:separator/>
      </w:r>
    </w:p>
  </w:footnote>
  <w:footnote w:type="continuationSeparator" w:id="0">
    <w:p w14:paraId="76BCA308" w14:textId="77777777" w:rsidR="00353F97" w:rsidRDefault="00353F97">
      <w:r>
        <w:continuationSeparator/>
      </w:r>
    </w:p>
  </w:footnote>
  <w:footnote w:type="continuationNotice" w:id="1">
    <w:p w14:paraId="2749D9D1" w14:textId="77777777" w:rsidR="00353F97" w:rsidRDefault="00353F97"/>
  </w:footnote>
  <w:footnote w:id="2">
    <w:p w14:paraId="5AB093CB" w14:textId="25164645" w:rsidR="00524FC0" w:rsidRPr="00C07AE5" w:rsidRDefault="00524FC0" w:rsidP="00524FC0">
      <w:pPr>
        <w:pStyle w:val="Textonotapie"/>
        <w:ind w:left="142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</w:t>
      </w:r>
    </w:p>
  </w:footnote>
  <w:footnote w:id="3">
    <w:p w14:paraId="766DF887" w14:textId="351C9FC4" w:rsidR="00933C58" w:rsidRPr="00C07AE5" w:rsidRDefault="00933C58" w:rsidP="00933C58">
      <w:pPr>
        <w:pStyle w:val="Textonotapie"/>
        <w:ind w:left="142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</w:t>
      </w:r>
      <w:r w:rsidR="004C705E">
        <w:rPr>
          <w:sz w:val="16"/>
          <w:szCs w:val="16"/>
        </w:rPr>
        <w:t>o</w:t>
      </w:r>
      <w:r>
        <w:rPr>
          <w:sz w:val="16"/>
          <w:szCs w:val="16"/>
        </w:rPr>
        <w:t xml:space="preserve">s </w:t>
      </w:r>
      <w:r w:rsidR="004C705E">
        <w:rPr>
          <w:sz w:val="16"/>
          <w:szCs w:val="16"/>
        </w:rPr>
        <w:t>datos</w:t>
      </w:r>
      <w:r>
        <w:rPr>
          <w:sz w:val="16"/>
          <w:szCs w:val="16"/>
        </w:rPr>
        <w:t xml:space="preserve"> por dichos factores permite obtener las cifras desestacionalizadas</w:t>
      </w:r>
      <w:r w:rsidR="00622E10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622E10">
        <w:rPr>
          <w:sz w:val="16"/>
          <w:szCs w:val="16"/>
        </w:rPr>
        <w:t>S</w:t>
      </w:r>
      <w:r w:rsidR="00D367FF">
        <w:rPr>
          <w:sz w:val="16"/>
          <w:szCs w:val="16"/>
        </w:rPr>
        <w:t>u</w:t>
      </w:r>
      <w:r>
        <w:rPr>
          <w:sz w:val="16"/>
          <w:szCs w:val="16"/>
        </w:rPr>
        <w:t xml:space="preserve">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</w:footnote>
  <w:footnote w:id="4">
    <w:p w14:paraId="7F6B13EE" w14:textId="77777777" w:rsidR="00B24BAF" w:rsidRPr="009948F4" w:rsidRDefault="00B24BAF" w:rsidP="00B24BAF">
      <w:pPr>
        <w:pStyle w:val="Textonotapie"/>
        <w:ind w:left="170" w:hanging="170"/>
        <w:rPr>
          <w:sz w:val="16"/>
          <w:szCs w:val="16"/>
        </w:rPr>
      </w:pPr>
      <w:r w:rsidRPr="009948F4">
        <w:rPr>
          <w:rStyle w:val="Refdenotaalpie"/>
          <w:sz w:val="18"/>
          <w:szCs w:val="18"/>
        </w:rPr>
        <w:footnoteRef/>
      </w:r>
      <w:r>
        <w:t xml:space="preserve"> </w:t>
      </w:r>
      <w:r w:rsidRPr="009948F4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</w:footnote>
  <w:footnote w:id="5">
    <w:p w14:paraId="0897FBE8" w14:textId="2352BA0B" w:rsidR="009948F4" w:rsidRPr="009948F4" w:rsidRDefault="009948F4" w:rsidP="009948F4">
      <w:pPr>
        <w:pStyle w:val="Textonotapie"/>
        <w:ind w:left="170" w:hanging="170"/>
        <w:rPr>
          <w:sz w:val="16"/>
          <w:szCs w:val="16"/>
        </w:rPr>
      </w:pPr>
      <w:r w:rsidRPr="009948F4">
        <w:rPr>
          <w:rStyle w:val="Refdenotaalpie"/>
          <w:sz w:val="18"/>
          <w:szCs w:val="18"/>
        </w:rPr>
        <w:footnoteRef/>
      </w:r>
      <w:r>
        <w:t xml:space="preserve"> </w:t>
      </w:r>
      <w:r w:rsidRPr="009948F4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9" w:name="_Hlk131511726"/>
  <w:p w14:paraId="73381F54" w14:textId="4CA0C0DF" w:rsidR="00C52D66" w:rsidRDefault="005A6089" w:rsidP="005A6089"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54DA04" wp14:editId="5F5D0FE3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3248025" cy="790575"/>
              <wp:effectExtent l="0" t="0" r="9525" b="9525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73295" w14:textId="022E66E2" w:rsidR="005A6089" w:rsidRPr="00306ECD" w:rsidRDefault="005A6089" w:rsidP="005A6089">
                          <w:pPr>
                            <w:pStyle w:val="Encabezado"/>
                            <w:ind w:left="-142" w:right="49" w:hanging="142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>COMUNICADO DE PRENSA NÚM.</w:t>
                          </w:r>
                          <w:r w:rsidR="00813AA9">
                            <w:rPr>
                              <w:b/>
                              <w:color w:val="002060"/>
                            </w:rPr>
                            <w:t xml:space="preserve"> 204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/2</w:t>
                          </w:r>
                          <w:r>
                            <w:rPr>
                              <w:b/>
                              <w:color w:val="002060"/>
                            </w:rPr>
                            <w:t>3</w:t>
                          </w:r>
                        </w:p>
                        <w:p w14:paraId="77CC5019" w14:textId="353746C1" w:rsidR="005A6089" w:rsidRPr="00306ECD" w:rsidRDefault="005A6089" w:rsidP="005A6089">
                          <w:pPr>
                            <w:pStyle w:val="Encabezado"/>
                            <w:ind w:left="-567" w:right="49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 25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 xml:space="preserve">DE 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ABRIL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>DE 202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>3</w:t>
                          </w:r>
                        </w:p>
                        <w:p w14:paraId="7429C458" w14:textId="3B6A9406" w:rsidR="005A6089" w:rsidRDefault="005A6089" w:rsidP="005A6089">
                          <w:pPr>
                            <w:pStyle w:val="Encabezado"/>
                            <w:ind w:left="-567" w:right="49"/>
                            <w:jc w:val="right"/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PÁGINA 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begin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instrText xml:space="preserve"> PAGE  \* Arabic </w:instrTex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2060"/>
                            </w:rPr>
                            <w:t>1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end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</w:t>
                          </w:r>
                          <w:r w:rsidR="00813AA9">
                            <w:rPr>
                              <w:b/>
                              <w:color w:val="002060"/>
                            </w:rPr>
                            <w:t>8</w:t>
                          </w:r>
                        </w:p>
                        <w:p w14:paraId="015E4827" w14:textId="77777777" w:rsidR="005A6089" w:rsidRPr="00794C57" w:rsidRDefault="005A6089" w:rsidP="005A608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4DA0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left:0;text-align:left;margin-left:204.55pt;margin-top:.9pt;width:255.75pt;height:6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" stroked="f">
              <v:textbox>
                <w:txbxContent>
                  <w:p w14:paraId="21273295" w14:textId="022E66E2" w:rsidR="005A6089" w:rsidRPr="00306ECD" w:rsidRDefault="005A6089" w:rsidP="005A6089">
                    <w:pPr>
                      <w:pStyle w:val="Encabezado"/>
                      <w:ind w:left="-142" w:right="49" w:hanging="142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 w:rsidRPr="00306ECD">
                      <w:rPr>
                        <w:b/>
                        <w:color w:val="002060"/>
                      </w:rPr>
                      <w:t>COMUNICADO DE PRENSA NÚM.</w:t>
                    </w:r>
                    <w:r w:rsidR="00813AA9">
                      <w:rPr>
                        <w:b/>
                        <w:color w:val="002060"/>
                      </w:rPr>
                      <w:t xml:space="preserve"> 204</w:t>
                    </w:r>
                    <w:r w:rsidRPr="00306ECD">
                      <w:rPr>
                        <w:b/>
                        <w:color w:val="002060"/>
                      </w:rPr>
                      <w:t>/2</w:t>
                    </w:r>
                    <w:r>
                      <w:rPr>
                        <w:b/>
                        <w:color w:val="002060"/>
                      </w:rPr>
                      <w:t>3</w:t>
                    </w:r>
                  </w:p>
                  <w:p w14:paraId="77CC5019" w14:textId="353746C1" w:rsidR="005A6089" w:rsidRPr="00306ECD" w:rsidRDefault="005A6089" w:rsidP="005A6089">
                    <w:pPr>
                      <w:pStyle w:val="Encabezado"/>
                      <w:ind w:left="-567" w:right="49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>
                      <w:rPr>
                        <w:b/>
                        <w:color w:val="002060"/>
                        <w:lang w:val="pt-BR"/>
                      </w:rPr>
                      <w:t xml:space="preserve"> </w:t>
                    </w:r>
                    <w:r>
                      <w:rPr>
                        <w:b/>
                        <w:color w:val="002060"/>
                        <w:lang w:val="pt-BR"/>
                      </w:rPr>
                      <w:t>25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 xml:space="preserve">DE 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ABRIL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>DE 202</w:t>
                    </w:r>
                    <w:r>
                      <w:rPr>
                        <w:b/>
                        <w:color w:val="002060"/>
                        <w:lang w:val="pt-BR"/>
                      </w:rPr>
                      <w:t>3</w:t>
                    </w:r>
                  </w:p>
                  <w:p w14:paraId="7429C458" w14:textId="3B6A9406" w:rsidR="005A6089" w:rsidRDefault="005A6089" w:rsidP="005A6089">
                    <w:pPr>
                      <w:pStyle w:val="Encabezado"/>
                      <w:ind w:left="-567" w:right="49"/>
                      <w:jc w:val="right"/>
                    </w:pPr>
                    <w:r w:rsidRPr="00306ECD">
                      <w:rPr>
                        <w:b/>
                        <w:color w:val="002060"/>
                      </w:rPr>
                      <w:t xml:space="preserve">PÁGINA </w:t>
                    </w:r>
                    <w:r w:rsidRPr="00306ECD">
                      <w:rPr>
                        <w:b/>
                        <w:color w:val="002060"/>
                      </w:rPr>
                      <w:fldChar w:fldCharType="begin"/>
                    </w:r>
                    <w:r w:rsidRPr="00306ECD">
                      <w:rPr>
                        <w:b/>
                        <w:color w:val="002060"/>
                      </w:rPr>
                      <w:instrText xml:space="preserve"> PAGE  \* Arabic </w:instrText>
                    </w:r>
                    <w:r w:rsidRPr="00306ECD">
                      <w:rPr>
                        <w:b/>
                        <w:color w:val="002060"/>
                      </w:rPr>
                      <w:fldChar w:fldCharType="separate"/>
                    </w:r>
                    <w:r>
                      <w:rPr>
                        <w:b/>
                        <w:color w:val="002060"/>
                      </w:rPr>
                      <w:t>1</w:t>
                    </w:r>
                    <w:r w:rsidRPr="00306ECD">
                      <w:rPr>
                        <w:b/>
                        <w:color w:val="002060"/>
                      </w:rPr>
                      <w:fldChar w:fldCharType="end"/>
                    </w:r>
                    <w:r w:rsidRPr="00306ECD">
                      <w:rPr>
                        <w:b/>
                        <w:color w:val="002060"/>
                      </w:rPr>
                      <w:t>/</w:t>
                    </w:r>
                    <w:r w:rsidR="00813AA9">
                      <w:rPr>
                        <w:b/>
                        <w:color w:val="002060"/>
                      </w:rPr>
                      <w:t>8</w:t>
                    </w:r>
                  </w:p>
                  <w:p w14:paraId="015E4827" w14:textId="77777777" w:rsidR="005A6089" w:rsidRPr="00794C57" w:rsidRDefault="005A6089" w:rsidP="005A6089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bookmarkEnd w:id="9"/>
    <w:r w:rsidR="00E463F2">
      <w:rPr>
        <w:noProof/>
        <w:lang w:val="es-MX" w:eastAsia="es-MX"/>
      </w:rPr>
      <w:drawing>
        <wp:inline distT="0" distB="0" distL="0" distR="0" wp14:anchorId="2FF607B2" wp14:editId="0C92115B">
          <wp:extent cx="1008000" cy="988597"/>
          <wp:effectExtent l="0" t="0" r="1905" b="2540"/>
          <wp:docPr id="5" name="Picture 5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988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7FFF" w14:textId="77777777" w:rsidR="00AB2E43" w:rsidRDefault="00AB2E43" w:rsidP="00AB2E43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5E313067" wp14:editId="201AC64C">
          <wp:extent cx="1008000" cy="988597"/>
          <wp:effectExtent l="0" t="0" r="1905" b="2540"/>
          <wp:docPr id="3" name="Picture 5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988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7515F55"/>
    <w:multiLevelType w:val="hybridMultilevel"/>
    <w:tmpl w:val="05722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C5C68"/>
    <w:multiLevelType w:val="hybridMultilevel"/>
    <w:tmpl w:val="FFFFFFFF"/>
    <w:lvl w:ilvl="0" w:tplc="49BC2ABC">
      <w:numFmt w:val="decimal"/>
      <w:lvlText w:val="*"/>
      <w:lvlJc w:val="left"/>
      <w:pPr>
        <w:ind w:left="720" w:hanging="360"/>
      </w:pPr>
    </w:lvl>
    <w:lvl w:ilvl="1" w:tplc="F65CDD48">
      <w:start w:val="1"/>
      <w:numFmt w:val="lowerLetter"/>
      <w:lvlText w:val="%2."/>
      <w:lvlJc w:val="left"/>
      <w:pPr>
        <w:ind w:left="1440" w:hanging="360"/>
      </w:pPr>
    </w:lvl>
    <w:lvl w:ilvl="2" w:tplc="A5148DA2">
      <w:start w:val="1"/>
      <w:numFmt w:val="lowerRoman"/>
      <w:lvlText w:val="%3."/>
      <w:lvlJc w:val="right"/>
      <w:pPr>
        <w:ind w:left="2160" w:hanging="180"/>
      </w:pPr>
    </w:lvl>
    <w:lvl w:ilvl="3" w:tplc="0F7EA8FC">
      <w:start w:val="1"/>
      <w:numFmt w:val="decimal"/>
      <w:lvlText w:val="%4."/>
      <w:lvlJc w:val="left"/>
      <w:pPr>
        <w:ind w:left="2880" w:hanging="360"/>
      </w:pPr>
    </w:lvl>
    <w:lvl w:ilvl="4" w:tplc="48DA44C2">
      <w:start w:val="1"/>
      <w:numFmt w:val="lowerLetter"/>
      <w:lvlText w:val="%5."/>
      <w:lvlJc w:val="left"/>
      <w:pPr>
        <w:ind w:left="3600" w:hanging="360"/>
      </w:pPr>
    </w:lvl>
    <w:lvl w:ilvl="5" w:tplc="43D6E872">
      <w:start w:val="1"/>
      <w:numFmt w:val="lowerRoman"/>
      <w:lvlText w:val="%6."/>
      <w:lvlJc w:val="right"/>
      <w:pPr>
        <w:ind w:left="4320" w:hanging="180"/>
      </w:pPr>
    </w:lvl>
    <w:lvl w:ilvl="6" w:tplc="F59E355E">
      <w:start w:val="1"/>
      <w:numFmt w:val="decimal"/>
      <w:lvlText w:val="%7."/>
      <w:lvlJc w:val="left"/>
      <w:pPr>
        <w:ind w:left="5040" w:hanging="360"/>
      </w:pPr>
    </w:lvl>
    <w:lvl w:ilvl="7" w:tplc="A7C005F0">
      <w:start w:val="1"/>
      <w:numFmt w:val="lowerLetter"/>
      <w:lvlText w:val="%8."/>
      <w:lvlJc w:val="left"/>
      <w:pPr>
        <w:ind w:left="5760" w:hanging="360"/>
      </w:pPr>
    </w:lvl>
    <w:lvl w:ilvl="8" w:tplc="1CCC3E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8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7"/>
  </w:num>
  <w:num w:numId="12">
    <w:abstractNumId w:val="19"/>
  </w:num>
  <w:num w:numId="13">
    <w:abstractNumId w:val="20"/>
  </w:num>
  <w:num w:numId="14">
    <w:abstractNumId w:val="12"/>
  </w:num>
  <w:num w:numId="15">
    <w:abstractNumId w:val="8"/>
  </w:num>
  <w:num w:numId="16">
    <w:abstractNumId w:val="16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3"/>
  </w:num>
  <w:num w:numId="24">
    <w:abstractNumId w:val="18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1B47"/>
    <w:rsid w:val="00002466"/>
    <w:rsid w:val="00002665"/>
    <w:rsid w:val="000027BD"/>
    <w:rsid w:val="00002B26"/>
    <w:rsid w:val="00002BA8"/>
    <w:rsid w:val="0000349D"/>
    <w:rsid w:val="00003A50"/>
    <w:rsid w:val="00003C25"/>
    <w:rsid w:val="00003C68"/>
    <w:rsid w:val="00004291"/>
    <w:rsid w:val="0000458A"/>
    <w:rsid w:val="000050C6"/>
    <w:rsid w:val="00005940"/>
    <w:rsid w:val="00006B5A"/>
    <w:rsid w:val="00006C63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CA2"/>
    <w:rsid w:val="00011DC1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17D82"/>
    <w:rsid w:val="00020D0E"/>
    <w:rsid w:val="00020D39"/>
    <w:rsid w:val="00021432"/>
    <w:rsid w:val="00021492"/>
    <w:rsid w:val="000216A3"/>
    <w:rsid w:val="000218C3"/>
    <w:rsid w:val="00022469"/>
    <w:rsid w:val="000228C4"/>
    <w:rsid w:val="00022BEA"/>
    <w:rsid w:val="00022CA3"/>
    <w:rsid w:val="00022D8E"/>
    <w:rsid w:val="00023223"/>
    <w:rsid w:val="00024146"/>
    <w:rsid w:val="00024AC7"/>
    <w:rsid w:val="00025B42"/>
    <w:rsid w:val="000260EE"/>
    <w:rsid w:val="000262F0"/>
    <w:rsid w:val="00026641"/>
    <w:rsid w:val="00026B3C"/>
    <w:rsid w:val="00026B52"/>
    <w:rsid w:val="0002754B"/>
    <w:rsid w:val="000300AA"/>
    <w:rsid w:val="00030480"/>
    <w:rsid w:val="0003064D"/>
    <w:rsid w:val="0003065F"/>
    <w:rsid w:val="00030D10"/>
    <w:rsid w:val="00031231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A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2F93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13FA"/>
    <w:rsid w:val="0006228A"/>
    <w:rsid w:val="000622BD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0C59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2BB"/>
    <w:rsid w:val="000866DA"/>
    <w:rsid w:val="00087417"/>
    <w:rsid w:val="0008756B"/>
    <w:rsid w:val="0008798D"/>
    <w:rsid w:val="00087DB7"/>
    <w:rsid w:val="00090191"/>
    <w:rsid w:val="0009025D"/>
    <w:rsid w:val="00090817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50E7"/>
    <w:rsid w:val="00095360"/>
    <w:rsid w:val="000955AA"/>
    <w:rsid w:val="00095692"/>
    <w:rsid w:val="000957BC"/>
    <w:rsid w:val="00096737"/>
    <w:rsid w:val="00097B55"/>
    <w:rsid w:val="00097C0A"/>
    <w:rsid w:val="000A0344"/>
    <w:rsid w:val="000A06B1"/>
    <w:rsid w:val="000A0823"/>
    <w:rsid w:val="000A1908"/>
    <w:rsid w:val="000A21D6"/>
    <w:rsid w:val="000A2F4F"/>
    <w:rsid w:val="000A2F92"/>
    <w:rsid w:val="000A31EF"/>
    <w:rsid w:val="000A32D9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DE9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74"/>
    <w:rsid w:val="000B5FA3"/>
    <w:rsid w:val="000B6AF6"/>
    <w:rsid w:val="000B7955"/>
    <w:rsid w:val="000C0FEE"/>
    <w:rsid w:val="000C1051"/>
    <w:rsid w:val="000C1106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C6FCF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CEC"/>
    <w:rsid w:val="000D7FF6"/>
    <w:rsid w:val="000E03C0"/>
    <w:rsid w:val="000E0654"/>
    <w:rsid w:val="000E19B3"/>
    <w:rsid w:val="000E2846"/>
    <w:rsid w:val="000E2970"/>
    <w:rsid w:val="000E3099"/>
    <w:rsid w:val="000E3BD8"/>
    <w:rsid w:val="000E3C41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ED4"/>
    <w:rsid w:val="000F4FA7"/>
    <w:rsid w:val="000F536A"/>
    <w:rsid w:val="000F541D"/>
    <w:rsid w:val="000F5AD1"/>
    <w:rsid w:val="000F6277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00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C62"/>
    <w:rsid w:val="00114E47"/>
    <w:rsid w:val="00115A20"/>
    <w:rsid w:val="00116385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C4C"/>
    <w:rsid w:val="001311D7"/>
    <w:rsid w:val="001313EB"/>
    <w:rsid w:val="0013193B"/>
    <w:rsid w:val="00131D67"/>
    <w:rsid w:val="00132137"/>
    <w:rsid w:val="0013222E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477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66B"/>
    <w:rsid w:val="001418EF"/>
    <w:rsid w:val="00141A0B"/>
    <w:rsid w:val="00141AF4"/>
    <w:rsid w:val="001427B3"/>
    <w:rsid w:val="00142E09"/>
    <w:rsid w:val="0014377B"/>
    <w:rsid w:val="00143D3A"/>
    <w:rsid w:val="001440AA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3BE"/>
    <w:rsid w:val="00154E90"/>
    <w:rsid w:val="001557A9"/>
    <w:rsid w:val="00155878"/>
    <w:rsid w:val="0015599D"/>
    <w:rsid w:val="00155A36"/>
    <w:rsid w:val="001561D9"/>
    <w:rsid w:val="00156279"/>
    <w:rsid w:val="00156B20"/>
    <w:rsid w:val="0015714C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3102"/>
    <w:rsid w:val="00164CD1"/>
    <w:rsid w:val="001655BD"/>
    <w:rsid w:val="00165810"/>
    <w:rsid w:val="00165E36"/>
    <w:rsid w:val="0016614B"/>
    <w:rsid w:val="001665FD"/>
    <w:rsid w:val="00166809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530"/>
    <w:rsid w:val="00175869"/>
    <w:rsid w:val="00175CF4"/>
    <w:rsid w:val="0017618C"/>
    <w:rsid w:val="001763FA"/>
    <w:rsid w:val="001763FC"/>
    <w:rsid w:val="00176592"/>
    <w:rsid w:val="00176A7F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C4D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6298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0C7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F66"/>
    <w:rsid w:val="001C0136"/>
    <w:rsid w:val="001C0A6E"/>
    <w:rsid w:val="001C0AD1"/>
    <w:rsid w:val="001C0BCC"/>
    <w:rsid w:val="001C117D"/>
    <w:rsid w:val="001C1468"/>
    <w:rsid w:val="001C158A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C4D"/>
    <w:rsid w:val="001C3E2D"/>
    <w:rsid w:val="001C40B8"/>
    <w:rsid w:val="001C48B6"/>
    <w:rsid w:val="001C48C7"/>
    <w:rsid w:val="001C4A9E"/>
    <w:rsid w:val="001C545E"/>
    <w:rsid w:val="001C6CAB"/>
    <w:rsid w:val="001C6CC1"/>
    <w:rsid w:val="001C7130"/>
    <w:rsid w:val="001C7E70"/>
    <w:rsid w:val="001D0068"/>
    <w:rsid w:val="001D01C6"/>
    <w:rsid w:val="001D092F"/>
    <w:rsid w:val="001D1AEF"/>
    <w:rsid w:val="001D1E29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F24"/>
    <w:rsid w:val="001E385F"/>
    <w:rsid w:val="001E39E4"/>
    <w:rsid w:val="001E3F11"/>
    <w:rsid w:val="001E41C7"/>
    <w:rsid w:val="001E490C"/>
    <w:rsid w:val="001E4C68"/>
    <w:rsid w:val="001E50FD"/>
    <w:rsid w:val="001E5310"/>
    <w:rsid w:val="001E59DC"/>
    <w:rsid w:val="001E5AA3"/>
    <w:rsid w:val="001E5DD7"/>
    <w:rsid w:val="001E5EEE"/>
    <w:rsid w:val="001E63AD"/>
    <w:rsid w:val="001E7358"/>
    <w:rsid w:val="001E7473"/>
    <w:rsid w:val="001E7C72"/>
    <w:rsid w:val="001E7EDD"/>
    <w:rsid w:val="001F02CD"/>
    <w:rsid w:val="001F05C6"/>
    <w:rsid w:val="001F08BF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31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A4"/>
    <w:rsid w:val="001F65E0"/>
    <w:rsid w:val="001F696A"/>
    <w:rsid w:val="001F6EE3"/>
    <w:rsid w:val="001F720B"/>
    <w:rsid w:val="001F7362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624A"/>
    <w:rsid w:val="0021657F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5FC7"/>
    <w:rsid w:val="002260D7"/>
    <w:rsid w:val="002265BF"/>
    <w:rsid w:val="00226B17"/>
    <w:rsid w:val="0022712B"/>
    <w:rsid w:val="002276A4"/>
    <w:rsid w:val="00227843"/>
    <w:rsid w:val="00227A99"/>
    <w:rsid w:val="00227C8B"/>
    <w:rsid w:val="002309DE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7D"/>
    <w:rsid w:val="00233EDD"/>
    <w:rsid w:val="0023482B"/>
    <w:rsid w:val="0023482C"/>
    <w:rsid w:val="0023499B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4A"/>
    <w:rsid w:val="0024310E"/>
    <w:rsid w:val="00243204"/>
    <w:rsid w:val="00243AC5"/>
    <w:rsid w:val="0024405D"/>
    <w:rsid w:val="00244516"/>
    <w:rsid w:val="002445E0"/>
    <w:rsid w:val="00244CF8"/>
    <w:rsid w:val="002454F0"/>
    <w:rsid w:val="00245B65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B20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10D8"/>
    <w:rsid w:val="00261A6C"/>
    <w:rsid w:val="0026265A"/>
    <w:rsid w:val="002629E2"/>
    <w:rsid w:val="00262BA8"/>
    <w:rsid w:val="00262BC8"/>
    <w:rsid w:val="00263C36"/>
    <w:rsid w:val="00263F59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456"/>
    <w:rsid w:val="00270965"/>
    <w:rsid w:val="00271E5D"/>
    <w:rsid w:val="00272082"/>
    <w:rsid w:val="002730C5"/>
    <w:rsid w:val="0027349D"/>
    <w:rsid w:val="00273516"/>
    <w:rsid w:val="00273985"/>
    <w:rsid w:val="00273B82"/>
    <w:rsid w:val="00273E7A"/>
    <w:rsid w:val="00274372"/>
    <w:rsid w:val="0027475A"/>
    <w:rsid w:val="00275230"/>
    <w:rsid w:val="00275366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09C"/>
    <w:rsid w:val="0028468D"/>
    <w:rsid w:val="0028470C"/>
    <w:rsid w:val="00284B5F"/>
    <w:rsid w:val="00285032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8D2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40F"/>
    <w:rsid w:val="002A45BD"/>
    <w:rsid w:val="002A46FA"/>
    <w:rsid w:val="002A5227"/>
    <w:rsid w:val="002A522F"/>
    <w:rsid w:val="002A57BC"/>
    <w:rsid w:val="002A581C"/>
    <w:rsid w:val="002A61AC"/>
    <w:rsid w:val="002A62BB"/>
    <w:rsid w:val="002A6DB8"/>
    <w:rsid w:val="002A7EC7"/>
    <w:rsid w:val="002B00FE"/>
    <w:rsid w:val="002B047C"/>
    <w:rsid w:val="002B0A7C"/>
    <w:rsid w:val="002B0D43"/>
    <w:rsid w:val="002B0E27"/>
    <w:rsid w:val="002B10B6"/>
    <w:rsid w:val="002B10D3"/>
    <w:rsid w:val="002B1113"/>
    <w:rsid w:val="002B1867"/>
    <w:rsid w:val="002B1EA3"/>
    <w:rsid w:val="002B2680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C94"/>
    <w:rsid w:val="002B7DCC"/>
    <w:rsid w:val="002C0144"/>
    <w:rsid w:val="002C0CAC"/>
    <w:rsid w:val="002C1B44"/>
    <w:rsid w:val="002C1F28"/>
    <w:rsid w:val="002C2517"/>
    <w:rsid w:val="002C254B"/>
    <w:rsid w:val="002C25DE"/>
    <w:rsid w:val="002C27E8"/>
    <w:rsid w:val="002C2ACB"/>
    <w:rsid w:val="002C2F60"/>
    <w:rsid w:val="002C4012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CC6"/>
    <w:rsid w:val="002E0067"/>
    <w:rsid w:val="002E02D0"/>
    <w:rsid w:val="002E0489"/>
    <w:rsid w:val="002E04C0"/>
    <w:rsid w:val="002E0544"/>
    <w:rsid w:val="002E09BE"/>
    <w:rsid w:val="002E0D1C"/>
    <w:rsid w:val="002E1DF4"/>
    <w:rsid w:val="002E1FFC"/>
    <w:rsid w:val="002E230E"/>
    <w:rsid w:val="002E2C3B"/>
    <w:rsid w:val="002E3C37"/>
    <w:rsid w:val="002E4250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BDA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768"/>
    <w:rsid w:val="00323B4E"/>
    <w:rsid w:val="00323FD8"/>
    <w:rsid w:val="00324FF5"/>
    <w:rsid w:val="00325490"/>
    <w:rsid w:val="003256A0"/>
    <w:rsid w:val="003258B4"/>
    <w:rsid w:val="003265DE"/>
    <w:rsid w:val="00326898"/>
    <w:rsid w:val="00326A08"/>
    <w:rsid w:val="00326EC6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3C5C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0B04"/>
    <w:rsid w:val="0034111B"/>
    <w:rsid w:val="00341EEA"/>
    <w:rsid w:val="00342559"/>
    <w:rsid w:val="00342D1A"/>
    <w:rsid w:val="0034339B"/>
    <w:rsid w:val="00343860"/>
    <w:rsid w:val="00343AB5"/>
    <w:rsid w:val="00343CEF"/>
    <w:rsid w:val="00344060"/>
    <w:rsid w:val="00344CEF"/>
    <w:rsid w:val="00344D3F"/>
    <w:rsid w:val="00344F44"/>
    <w:rsid w:val="0034511C"/>
    <w:rsid w:val="00345191"/>
    <w:rsid w:val="0034550A"/>
    <w:rsid w:val="003458A8"/>
    <w:rsid w:val="00345B7B"/>
    <w:rsid w:val="0034620C"/>
    <w:rsid w:val="00346579"/>
    <w:rsid w:val="0034668A"/>
    <w:rsid w:val="00346C50"/>
    <w:rsid w:val="003474B3"/>
    <w:rsid w:val="00347A1B"/>
    <w:rsid w:val="00347CA3"/>
    <w:rsid w:val="00347F9F"/>
    <w:rsid w:val="00350627"/>
    <w:rsid w:val="00350636"/>
    <w:rsid w:val="00351032"/>
    <w:rsid w:val="0035149A"/>
    <w:rsid w:val="00351668"/>
    <w:rsid w:val="003524F4"/>
    <w:rsid w:val="00352775"/>
    <w:rsid w:val="00352F14"/>
    <w:rsid w:val="003530B3"/>
    <w:rsid w:val="00353F97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2B4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9D5"/>
    <w:rsid w:val="0037714B"/>
    <w:rsid w:val="00377475"/>
    <w:rsid w:val="00377496"/>
    <w:rsid w:val="0037777C"/>
    <w:rsid w:val="00377A8C"/>
    <w:rsid w:val="0038054C"/>
    <w:rsid w:val="0038061C"/>
    <w:rsid w:val="0038063E"/>
    <w:rsid w:val="00381168"/>
    <w:rsid w:val="00381537"/>
    <w:rsid w:val="00381E3D"/>
    <w:rsid w:val="00381F58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3231"/>
    <w:rsid w:val="00393237"/>
    <w:rsid w:val="0039335A"/>
    <w:rsid w:val="0039372B"/>
    <w:rsid w:val="0039383D"/>
    <w:rsid w:val="00393906"/>
    <w:rsid w:val="00394FE8"/>
    <w:rsid w:val="00395069"/>
    <w:rsid w:val="003955AD"/>
    <w:rsid w:val="00395A0A"/>
    <w:rsid w:val="0039697E"/>
    <w:rsid w:val="00396C46"/>
    <w:rsid w:val="00397BF1"/>
    <w:rsid w:val="00397F3C"/>
    <w:rsid w:val="003A0A67"/>
    <w:rsid w:val="003A1273"/>
    <w:rsid w:val="003A1596"/>
    <w:rsid w:val="003A1FEA"/>
    <w:rsid w:val="003A2DF4"/>
    <w:rsid w:val="003A344A"/>
    <w:rsid w:val="003A3622"/>
    <w:rsid w:val="003A36D4"/>
    <w:rsid w:val="003A3E25"/>
    <w:rsid w:val="003A4139"/>
    <w:rsid w:val="003A4683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47A"/>
    <w:rsid w:val="003B0A8B"/>
    <w:rsid w:val="003B106D"/>
    <w:rsid w:val="003B1083"/>
    <w:rsid w:val="003B12DB"/>
    <w:rsid w:val="003B13AB"/>
    <w:rsid w:val="003B1862"/>
    <w:rsid w:val="003B1C5D"/>
    <w:rsid w:val="003B1CD7"/>
    <w:rsid w:val="003B1EAD"/>
    <w:rsid w:val="003B1F1C"/>
    <w:rsid w:val="003B23A8"/>
    <w:rsid w:val="003B3546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988"/>
    <w:rsid w:val="003C1CAF"/>
    <w:rsid w:val="003C22D4"/>
    <w:rsid w:val="003C29AF"/>
    <w:rsid w:val="003C2C17"/>
    <w:rsid w:val="003C3209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04B"/>
    <w:rsid w:val="003D3779"/>
    <w:rsid w:val="003D425A"/>
    <w:rsid w:val="003D4866"/>
    <w:rsid w:val="003D4ADC"/>
    <w:rsid w:val="003D507A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1B7B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80D"/>
    <w:rsid w:val="003F3A44"/>
    <w:rsid w:val="003F3F07"/>
    <w:rsid w:val="003F4B92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850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3F42"/>
    <w:rsid w:val="004347A7"/>
    <w:rsid w:val="00434800"/>
    <w:rsid w:val="00434F9C"/>
    <w:rsid w:val="00435D61"/>
    <w:rsid w:val="00435F09"/>
    <w:rsid w:val="00435F6F"/>
    <w:rsid w:val="00436548"/>
    <w:rsid w:val="00436C20"/>
    <w:rsid w:val="004373A1"/>
    <w:rsid w:val="00440392"/>
    <w:rsid w:val="00440502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298"/>
    <w:rsid w:val="00447603"/>
    <w:rsid w:val="00447999"/>
    <w:rsid w:val="00447AC5"/>
    <w:rsid w:val="00447C3C"/>
    <w:rsid w:val="00447EAD"/>
    <w:rsid w:val="004504A7"/>
    <w:rsid w:val="00450899"/>
    <w:rsid w:val="004508B7"/>
    <w:rsid w:val="00450FE9"/>
    <w:rsid w:val="00451A7B"/>
    <w:rsid w:val="004522A6"/>
    <w:rsid w:val="004526A3"/>
    <w:rsid w:val="004529D7"/>
    <w:rsid w:val="00452A11"/>
    <w:rsid w:val="00453172"/>
    <w:rsid w:val="00453BF4"/>
    <w:rsid w:val="00453D19"/>
    <w:rsid w:val="00454571"/>
    <w:rsid w:val="00455037"/>
    <w:rsid w:val="004551E8"/>
    <w:rsid w:val="00455AFA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6030D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E8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85"/>
    <w:rsid w:val="004A4692"/>
    <w:rsid w:val="004A4A53"/>
    <w:rsid w:val="004A5656"/>
    <w:rsid w:val="004A5912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826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38C"/>
    <w:rsid w:val="004C4829"/>
    <w:rsid w:val="004C49F8"/>
    <w:rsid w:val="004C4D30"/>
    <w:rsid w:val="004C4EAB"/>
    <w:rsid w:val="004C50C7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834"/>
    <w:rsid w:val="004E0E82"/>
    <w:rsid w:val="004E169C"/>
    <w:rsid w:val="004E1BF0"/>
    <w:rsid w:val="004E1E6A"/>
    <w:rsid w:val="004E26D7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59B"/>
    <w:rsid w:val="004F2641"/>
    <w:rsid w:val="004F27F3"/>
    <w:rsid w:val="004F29B9"/>
    <w:rsid w:val="004F2B8E"/>
    <w:rsid w:val="004F2C85"/>
    <w:rsid w:val="004F32BF"/>
    <w:rsid w:val="004F3E38"/>
    <w:rsid w:val="004F3E6A"/>
    <w:rsid w:val="004F469D"/>
    <w:rsid w:val="004F5346"/>
    <w:rsid w:val="004F54CA"/>
    <w:rsid w:val="004F56A5"/>
    <w:rsid w:val="004F5C09"/>
    <w:rsid w:val="004F5D58"/>
    <w:rsid w:val="004F5E4E"/>
    <w:rsid w:val="004F61F6"/>
    <w:rsid w:val="004F6229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4A4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5C9"/>
    <w:rsid w:val="00504A55"/>
    <w:rsid w:val="00505095"/>
    <w:rsid w:val="00505F08"/>
    <w:rsid w:val="00506610"/>
    <w:rsid w:val="0050671D"/>
    <w:rsid w:val="0050672C"/>
    <w:rsid w:val="00506C4C"/>
    <w:rsid w:val="0050700E"/>
    <w:rsid w:val="005074A0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7C"/>
    <w:rsid w:val="005166C3"/>
    <w:rsid w:val="00516EA5"/>
    <w:rsid w:val="005179DA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39F"/>
    <w:rsid w:val="005243EB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A08"/>
    <w:rsid w:val="00536A58"/>
    <w:rsid w:val="00536AB4"/>
    <w:rsid w:val="00537127"/>
    <w:rsid w:val="0053764B"/>
    <w:rsid w:val="005379BC"/>
    <w:rsid w:val="0054069F"/>
    <w:rsid w:val="00540757"/>
    <w:rsid w:val="005408D5"/>
    <w:rsid w:val="00540BE1"/>
    <w:rsid w:val="00540F85"/>
    <w:rsid w:val="00541307"/>
    <w:rsid w:val="00541B60"/>
    <w:rsid w:val="00541DB8"/>
    <w:rsid w:val="00541DDA"/>
    <w:rsid w:val="00541F9A"/>
    <w:rsid w:val="00542599"/>
    <w:rsid w:val="00542EB4"/>
    <w:rsid w:val="00543C95"/>
    <w:rsid w:val="0054413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15"/>
    <w:rsid w:val="00547753"/>
    <w:rsid w:val="005479F5"/>
    <w:rsid w:val="00547D90"/>
    <w:rsid w:val="00550046"/>
    <w:rsid w:val="005508EF"/>
    <w:rsid w:val="00550F24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1F2D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802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9F7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6724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89"/>
    <w:rsid w:val="005A60BA"/>
    <w:rsid w:val="005A761B"/>
    <w:rsid w:val="005B096F"/>
    <w:rsid w:val="005B0987"/>
    <w:rsid w:val="005B0FB5"/>
    <w:rsid w:val="005B1191"/>
    <w:rsid w:val="005B1205"/>
    <w:rsid w:val="005B1453"/>
    <w:rsid w:val="005B195E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4FBD"/>
    <w:rsid w:val="005C5113"/>
    <w:rsid w:val="005C54B8"/>
    <w:rsid w:val="005C557C"/>
    <w:rsid w:val="005C56B7"/>
    <w:rsid w:val="005C5CDF"/>
    <w:rsid w:val="005C61C4"/>
    <w:rsid w:val="005C677E"/>
    <w:rsid w:val="005C68A0"/>
    <w:rsid w:val="005C6A82"/>
    <w:rsid w:val="005C6B0C"/>
    <w:rsid w:val="005C6BD2"/>
    <w:rsid w:val="005C6CD0"/>
    <w:rsid w:val="005C6DC2"/>
    <w:rsid w:val="005C7072"/>
    <w:rsid w:val="005C742F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048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92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48"/>
    <w:rsid w:val="0060008E"/>
    <w:rsid w:val="006005A4"/>
    <w:rsid w:val="006005C1"/>
    <w:rsid w:val="00600661"/>
    <w:rsid w:val="006011A0"/>
    <w:rsid w:val="006016B8"/>
    <w:rsid w:val="006021B3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7CF"/>
    <w:rsid w:val="00605986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999"/>
    <w:rsid w:val="00617A80"/>
    <w:rsid w:val="00617F9A"/>
    <w:rsid w:val="00620493"/>
    <w:rsid w:val="006205E1"/>
    <w:rsid w:val="006208EE"/>
    <w:rsid w:val="0062091D"/>
    <w:rsid w:val="00620C44"/>
    <w:rsid w:val="0062100E"/>
    <w:rsid w:val="006211A5"/>
    <w:rsid w:val="0062193E"/>
    <w:rsid w:val="006219BC"/>
    <w:rsid w:val="00622789"/>
    <w:rsid w:val="0062292B"/>
    <w:rsid w:val="00622E10"/>
    <w:rsid w:val="00622F8E"/>
    <w:rsid w:val="00622FA2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2B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43B2"/>
    <w:rsid w:val="00644746"/>
    <w:rsid w:val="00645210"/>
    <w:rsid w:val="00645933"/>
    <w:rsid w:val="006459B3"/>
    <w:rsid w:val="00645D57"/>
    <w:rsid w:val="0064681C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855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174"/>
    <w:rsid w:val="00663688"/>
    <w:rsid w:val="0066398B"/>
    <w:rsid w:val="00663F53"/>
    <w:rsid w:val="0066486A"/>
    <w:rsid w:val="0066527F"/>
    <w:rsid w:val="006653B7"/>
    <w:rsid w:val="00665CDF"/>
    <w:rsid w:val="00666754"/>
    <w:rsid w:val="00666AEA"/>
    <w:rsid w:val="00667025"/>
    <w:rsid w:val="00667FB2"/>
    <w:rsid w:val="00670009"/>
    <w:rsid w:val="006701CB"/>
    <w:rsid w:val="006702EB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F0B"/>
    <w:rsid w:val="00677006"/>
    <w:rsid w:val="006773D1"/>
    <w:rsid w:val="00677A43"/>
    <w:rsid w:val="006801BB"/>
    <w:rsid w:val="006802E3"/>
    <w:rsid w:val="00680CC6"/>
    <w:rsid w:val="006817DA"/>
    <w:rsid w:val="00681FF0"/>
    <w:rsid w:val="0068223D"/>
    <w:rsid w:val="0068241B"/>
    <w:rsid w:val="00683889"/>
    <w:rsid w:val="006842A2"/>
    <w:rsid w:val="00684355"/>
    <w:rsid w:val="006848BB"/>
    <w:rsid w:val="00684AF9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1F2C"/>
    <w:rsid w:val="006920CA"/>
    <w:rsid w:val="006927F0"/>
    <w:rsid w:val="00692C4E"/>
    <w:rsid w:val="00692C73"/>
    <w:rsid w:val="006936DB"/>
    <w:rsid w:val="00693801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0F58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0A5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21B"/>
    <w:rsid w:val="006B3EFD"/>
    <w:rsid w:val="006B40C8"/>
    <w:rsid w:val="006B465A"/>
    <w:rsid w:val="006B472A"/>
    <w:rsid w:val="006B5182"/>
    <w:rsid w:val="006B549F"/>
    <w:rsid w:val="006B5635"/>
    <w:rsid w:val="006B5959"/>
    <w:rsid w:val="006B64F8"/>
    <w:rsid w:val="006B65CB"/>
    <w:rsid w:val="006B765D"/>
    <w:rsid w:val="006C0668"/>
    <w:rsid w:val="006C0867"/>
    <w:rsid w:val="006C12F3"/>
    <w:rsid w:val="006C215A"/>
    <w:rsid w:val="006C24C7"/>
    <w:rsid w:val="006C273C"/>
    <w:rsid w:val="006C374A"/>
    <w:rsid w:val="006C3769"/>
    <w:rsid w:val="006C3A0F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6B3"/>
    <w:rsid w:val="006D381C"/>
    <w:rsid w:val="006D39EA"/>
    <w:rsid w:val="006D3CE0"/>
    <w:rsid w:val="006D4801"/>
    <w:rsid w:val="006D487E"/>
    <w:rsid w:val="006D4A33"/>
    <w:rsid w:val="006D4E3C"/>
    <w:rsid w:val="006D53DF"/>
    <w:rsid w:val="006D54F7"/>
    <w:rsid w:val="006D5604"/>
    <w:rsid w:val="006D5CDA"/>
    <w:rsid w:val="006D687C"/>
    <w:rsid w:val="006D6E5E"/>
    <w:rsid w:val="006D7902"/>
    <w:rsid w:val="006D79AC"/>
    <w:rsid w:val="006D7C9D"/>
    <w:rsid w:val="006D7D85"/>
    <w:rsid w:val="006E045E"/>
    <w:rsid w:val="006E09E9"/>
    <w:rsid w:val="006E0B21"/>
    <w:rsid w:val="006E1390"/>
    <w:rsid w:val="006E171B"/>
    <w:rsid w:val="006E19F1"/>
    <w:rsid w:val="006E1C11"/>
    <w:rsid w:val="006E2C6D"/>
    <w:rsid w:val="006E33D2"/>
    <w:rsid w:val="006E374B"/>
    <w:rsid w:val="006E3B50"/>
    <w:rsid w:val="006E3FE7"/>
    <w:rsid w:val="006E4081"/>
    <w:rsid w:val="006E44D3"/>
    <w:rsid w:val="006E4705"/>
    <w:rsid w:val="006E470D"/>
    <w:rsid w:val="006E49DF"/>
    <w:rsid w:val="006E4E81"/>
    <w:rsid w:val="006E510A"/>
    <w:rsid w:val="006E58CF"/>
    <w:rsid w:val="006E6241"/>
    <w:rsid w:val="006E645F"/>
    <w:rsid w:val="006E6F3D"/>
    <w:rsid w:val="006F117D"/>
    <w:rsid w:val="006F1195"/>
    <w:rsid w:val="006F13F3"/>
    <w:rsid w:val="006F183A"/>
    <w:rsid w:val="006F1DBD"/>
    <w:rsid w:val="006F1E00"/>
    <w:rsid w:val="006F1F53"/>
    <w:rsid w:val="006F2A37"/>
    <w:rsid w:val="006F2BBF"/>
    <w:rsid w:val="006F301F"/>
    <w:rsid w:val="006F3858"/>
    <w:rsid w:val="006F463D"/>
    <w:rsid w:val="006F477C"/>
    <w:rsid w:val="006F5847"/>
    <w:rsid w:val="006F5B1A"/>
    <w:rsid w:val="006F5F76"/>
    <w:rsid w:val="006F6790"/>
    <w:rsid w:val="006F704E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7D6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6BF5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1C5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6E1C"/>
    <w:rsid w:val="00726EC7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741"/>
    <w:rsid w:val="00747EF3"/>
    <w:rsid w:val="00747FB1"/>
    <w:rsid w:val="007505F4"/>
    <w:rsid w:val="00750979"/>
    <w:rsid w:val="00750BA2"/>
    <w:rsid w:val="0075131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5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145C"/>
    <w:rsid w:val="0078285C"/>
    <w:rsid w:val="00782B30"/>
    <w:rsid w:val="007834D1"/>
    <w:rsid w:val="00783952"/>
    <w:rsid w:val="00783A36"/>
    <w:rsid w:val="00784105"/>
    <w:rsid w:val="007845D4"/>
    <w:rsid w:val="00784DF0"/>
    <w:rsid w:val="00785A38"/>
    <w:rsid w:val="00785C2A"/>
    <w:rsid w:val="0078668F"/>
    <w:rsid w:val="00786706"/>
    <w:rsid w:val="00786A44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2CEC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66A"/>
    <w:rsid w:val="007B49C4"/>
    <w:rsid w:val="007B4D74"/>
    <w:rsid w:val="007B4DC6"/>
    <w:rsid w:val="007B5132"/>
    <w:rsid w:val="007B69E8"/>
    <w:rsid w:val="007B6B45"/>
    <w:rsid w:val="007B6C17"/>
    <w:rsid w:val="007B743C"/>
    <w:rsid w:val="007B7CD6"/>
    <w:rsid w:val="007C0165"/>
    <w:rsid w:val="007C048B"/>
    <w:rsid w:val="007C0508"/>
    <w:rsid w:val="007C057E"/>
    <w:rsid w:val="007C12C1"/>
    <w:rsid w:val="007C1541"/>
    <w:rsid w:val="007C1905"/>
    <w:rsid w:val="007C19DF"/>
    <w:rsid w:val="007C2239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49F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25B9"/>
    <w:rsid w:val="007D2BE8"/>
    <w:rsid w:val="007D3066"/>
    <w:rsid w:val="007D3B0F"/>
    <w:rsid w:val="007D40D9"/>
    <w:rsid w:val="007D421B"/>
    <w:rsid w:val="007D4490"/>
    <w:rsid w:val="007D4579"/>
    <w:rsid w:val="007D51EB"/>
    <w:rsid w:val="007D53FC"/>
    <w:rsid w:val="007D56F1"/>
    <w:rsid w:val="007D58BB"/>
    <w:rsid w:val="007D6373"/>
    <w:rsid w:val="007D6835"/>
    <w:rsid w:val="007D69AA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4E51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8001C1"/>
    <w:rsid w:val="0080026A"/>
    <w:rsid w:val="00800340"/>
    <w:rsid w:val="00800821"/>
    <w:rsid w:val="00800953"/>
    <w:rsid w:val="00801255"/>
    <w:rsid w:val="0080197B"/>
    <w:rsid w:val="00801C1F"/>
    <w:rsid w:val="0080217E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BB6"/>
    <w:rsid w:val="00806EFD"/>
    <w:rsid w:val="00807074"/>
    <w:rsid w:val="00807234"/>
    <w:rsid w:val="008073AA"/>
    <w:rsid w:val="00807E43"/>
    <w:rsid w:val="00807F69"/>
    <w:rsid w:val="0081003E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3AA9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17563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132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5E63"/>
    <w:rsid w:val="00836A67"/>
    <w:rsid w:val="00836CEB"/>
    <w:rsid w:val="00840EAF"/>
    <w:rsid w:val="008416BF"/>
    <w:rsid w:val="008416FD"/>
    <w:rsid w:val="0084188F"/>
    <w:rsid w:val="008423D2"/>
    <w:rsid w:val="00842408"/>
    <w:rsid w:val="00842659"/>
    <w:rsid w:val="0084293A"/>
    <w:rsid w:val="0084298D"/>
    <w:rsid w:val="0084354C"/>
    <w:rsid w:val="0084375D"/>
    <w:rsid w:val="00843806"/>
    <w:rsid w:val="00843F96"/>
    <w:rsid w:val="0084416F"/>
    <w:rsid w:val="00844462"/>
    <w:rsid w:val="008449FE"/>
    <w:rsid w:val="00844D79"/>
    <w:rsid w:val="00844E4C"/>
    <w:rsid w:val="00845287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7CE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09D"/>
    <w:rsid w:val="008611C1"/>
    <w:rsid w:val="008612EE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38FB"/>
    <w:rsid w:val="00864186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A6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808B9"/>
    <w:rsid w:val="00880B30"/>
    <w:rsid w:val="00880F1D"/>
    <w:rsid w:val="0088172A"/>
    <w:rsid w:val="00881F90"/>
    <w:rsid w:val="00882798"/>
    <w:rsid w:val="00882988"/>
    <w:rsid w:val="00884093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18"/>
    <w:rsid w:val="008870E1"/>
    <w:rsid w:val="00887184"/>
    <w:rsid w:val="008879EA"/>
    <w:rsid w:val="00890139"/>
    <w:rsid w:val="008915A3"/>
    <w:rsid w:val="0089160E"/>
    <w:rsid w:val="00891D7D"/>
    <w:rsid w:val="008921B1"/>
    <w:rsid w:val="008922BB"/>
    <w:rsid w:val="00892670"/>
    <w:rsid w:val="00892687"/>
    <w:rsid w:val="00893386"/>
    <w:rsid w:val="0089363C"/>
    <w:rsid w:val="00893657"/>
    <w:rsid w:val="00893671"/>
    <w:rsid w:val="008938AF"/>
    <w:rsid w:val="008941FB"/>
    <w:rsid w:val="00894565"/>
    <w:rsid w:val="0089486F"/>
    <w:rsid w:val="008950D6"/>
    <w:rsid w:val="00895B46"/>
    <w:rsid w:val="00896474"/>
    <w:rsid w:val="00896707"/>
    <w:rsid w:val="00896DBC"/>
    <w:rsid w:val="00896DF8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6041"/>
    <w:rsid w:val="008A60F8"/>
    <w:rsid w:val="008A62A8"/>
    <w:rsid w:val="008A69FE"/>
    <w:rsid w:val="008A6EC7"/>
    <w:rsid w:val="008A6F36"/>
    <w:rsid w:val="008A7286"/>
    <w:rsid w:val="008A7B50"/>
    <w:rsid w:val="008A7CDE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4E5E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481"/>
    <w:rsid w:val="008C2855"/>
    <w:rsid w:val="008C29FE"/>
    <w:rsid w:val="008C32CA"/>
    <w:rsid w:val="008C361C"/>
    <w:rsid w:val="008C3967"/>
    <w:rsid w:val="008C431E"/>
    <w:rsid w:val="008C4759"/>
    <w:rsid w:val="008C4C5B"/>
    <w:rsid w:val="008C51A0"/>
    <w:rsid w:val="008C54BD"/>
    <w:rsid w:val="008C54C4"/>
    <w:rsid w:val="008C5798"/>
    <w:rsid w:val="008C6056"/>
    <w:rsid w:val="008C6628"/>
    <w:rsid w:val="008C695A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2647"/>
    <w:rsid w:val="008D3E6A"/>
    <w:rsid w:val="008D53E2"/>
    <w:rsid w:val="008D5908"/>
    <w:rsid w:val="008D5AF1"/>
    <w:rsid w:val="008D61E4"/>
    <w:rsid w:val="008D62EA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639"/>
    <w:rsid w:val="008E7CC9"/>
    <w:rsid w:val="008F02A1"/>
    <w:rsid w:val="008F0E69"/>
    <w:rsid w:val="008F12FF"/>
    <w:rsid w:val="008F20BD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8F7EFD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72F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F4C"/>
    <w:rsid w:val="0091006A"/>
    <w:rsid w:val="00910B57"/>
    <w:rsid w:val="00911058"/>
    <w:rsid w:val="0091148A"/>
    <w:rsid w:val="00912347"/>
    <w:rsid w:val="0091268D"/>
    <w:rsid w:val="009129C1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60B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C99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AD2"/>
    <w:rsid w:val="00933B8A"/>
    <w:rsid w:val="00933C58"/>
    <w:rsid w:val="00933EE8"/>
    <w:rsid w:val="00934141"/>
    <w:rsid w:val="009341AA"/>
    <w:rsid w:val="009341B5"/>
    <w:rsid w:val="0093429A"/>
    <w:rsid w:val="00935280"/>
    <w:rsid w:val="009352D3"/>
    <w:rsid w:val="009354C0"/>
    <w:rsid w:val="009355BB"/>
    <w:rsid w:val="00935789"/>
    <w:rsid w:val="009359C5"/>
    <w:rsid w:val="00935CFA"/>
    <w:rsid w:val="00935DDA"/>
    <w:rsid w:val="009361E8"/>
    <w:rsid w:val="00936247"/>
    <w:rsid w:val="00936501"/>
    <w:rsid w:val="009366AD"/>
    <w:rsid w:val="00936782"/>
    <w:rsid w:val="00936EE8"/>
    <w:rsid w:val="00937036"/>
    <w:rsid w:val="009377A1"/>
    <w:rsid w:val="00940028"/>
    <w:rsid w:val="00940850"/>
    <w:rsid w:val="00940B1D"/>
    <w:rsid w:val="00940E71"/>
    <w:rsid w:val="0094243B"/>
    <w:rsid w:val="009425EB"/>
    <w:rsid w:val="009428A4"/>
    <w:rsid w:val="00942D72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923"/>
    <w:rsid w:val="00954E64"/>
    <w:rsid w:val="00954F67"/>
    <w:rsid w:val="00955AA9"/>
    <w:rsid w:val="00955AB2"/>
    <w:rsid w:val="00955E60"/>
    <w:rsid w:val="00955EC8"/>
    <w:rsid w:val="0095699A"/>
    <w:rsid w:val="00956B34"/>
    <w:rsid w:val="00956BF4"/>
    <w:rsid w:val="00956C33"/>
    <w:rsid w:val="0095702D"/>
    <w:rsid w:val="009571A6"/>
    <w:rsid w:val="0095722F"/>
    <w:rsid w:val="0095752A"/>
    <w:rsid w:val="009577C1"/>
    <w:rsid w:val="009602BA"/>
    <w:rsid w:val="0096099E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89D"/>
    <w:rsid w:val="009669CC"/>
    <w:rsid w:val="00967655"/>
    <w:rsid w:val="00967C10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324"/>
    <w:rsid w:val="00973A35"/>
    <w:rsid w:val="009741F3"/>
    <w:rsid w:val="00974630"/>
    <w:rsid w:val="00974A1E"/>
    <w:rsid w:val="00975110"/>
    <w:rsid w:val="0097559A"/>
    <w:rsid w:val="00975D48"/>
    <w:rsid w:val="00975D68"/>
    <w:rsid w:val="00976546"/>
    <w:rsid w:val="009768B1"/>
    <w:rsid w:val="00976FCF"/>
    <w:rsid w:val="0097768A"/>
    <w:rsid w:val="009777AA"/>
    <w:rsid w:val="00980BAC"/>
    <w:rsid w:val="00980DF0"/>
    <w:rsid w:val="00980F3F"/>
    <w:rsid w:val="00981024"/>
    <w:rsid w:val="00981424"/>
    <w:rsid w:val="00981D1C"/>
    <w:rsid w:val="00982214"/>
    <w:rsid w:val="009823D4"/>
    <w:rsid w:val="00982474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8A8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8F4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4457"/>
    <w:rsid w:val="009B5973"/>
    <w:rsid w:val="009B5B48"/>
    <w:rsid w:val="009B62E6"/>
    <w:rsid w:val="009B67C4"/>
    <w:rsid w:val="009B689A"/>
    <w:rsid w:val="009B68B1"/>
    <w:rsid w:val="009B6A3F"/>
    <w:rsid w:val="009B6C5A"/>
    <w:rsid w:val="009B71E1"/>
    <w:rsid w:val="009C0448"/>
    <w:rsid w:val="009C0615"/>
    <w:rsid w:val="009C07A4"/>
    <w:rsid w:val="009C0CF8"/>
    <w:rsid w:val="009C0D49"/>
    <w:rsid w:val="009C0DCC"/>
    <w:rsid w:val="009C0E2D"/>
    <w:rsid w:val="009C125A"/>
    <w:rsid w:val="009C1EB2"/>
    <w:rsid w:val="009C1FE7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B18"/>
    <w:rsid w:val="009C7163"/>
    <w:rsid w:val="009C77A3"/>
    <w:rsid w:val="009C7F92"/>
    <w:rsid w:val="009D0130"/>
    <w:rsid w:val="009D1082"/>
    <w:rsid w:val="009D18F9"/>
    <w:rsid w:val="009D20AC"/>
    <w:rsid w:val="009D20C9"/>
    <w:rsid w:val="009D21C8"/>
    <w:rsid w:val="009D26D8"/>
    <w:rsid w:val="009D2EBF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D93"/>
    <w:rsid w:val="009D3EDD"/>
    <w:rsid w:val="009D48BA"/>
    <w:rsid w:val="009D4B7E"/>
    <w:rsid w:val="009D4D48"/>
    <w:rsid w:val="009D4DC6"/>
    <w:rsid w:val="009D5106"/>
    <w:rsid w:val="009D5D71"/>
    <w:rsid w:val="009D66B9"/>
    <w:rsid w:val="009D68BB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5013"/>
    <w:rsid w:val="009E5292"/>
    <w:rsid w:val="009E56B0"/>
    <w:rsid w:val="009E5917"/>
    <w:rsid w:val="009E6223"/>
    <w:rsid w:val="009E6E74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B4A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1F42"/>
    <w:rsid w:val="00A02D3C"/>
    <w:rsid w:val="00A032EA"/>
    <w:rsid w:val="00A0408F"/>
    <w:rsid w:val="00A040E1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18A"/>
    <w:rsid w:val="00A11671"/>
    <w:rsid w:val="00A1187C"/>
    <w:rsid w:val="00A11D21"/>
    <w:rsid w:val="00A11F80"/>
    <w:rsid w:val="00A12CCC"/>
    <w:rsid w:val="00A12D1A"/>
    <w:rsid w:val="00A12E07"/>
    <w:rsid w:val="00A12F3D"/>
    <w:rsid w:val="00A13A4E"/>
    <w:rsid w:val="00A142FE"/>
    <w:rsid w:val="00A15479"/>
    <w:rsid w:val="00A15566"/>
    <w:rsid w:val="00A15B2D"/>
    <w:rsid w:val="00A163CD"/>
    <w:rsid w:val="00A16778"/>
    <w:rsid w:val="00A16B57"/>
    <w:rsid w:val="00A175F4"/>
    <w:rsid w:val="00A17B63"/>
    <w:rsid w:val="00A20224"/>
    <w:rsid w:val="00A207CF"/>
    <w:rsid w:val="00A20CE5"/>
    <w:rsid w:val="00A21424"/>
    <w:rsid w:val="00A21997"/>
    <w:rsid w:val="00A233DB"/>
    <w:rsid w:val="00A238E8"/>
    <w:rsid w:val="00A23A98"/>
    <w:rsid w:val="00A24217"/>
    <w:rsid w:val="00A244E9"/>
    <w:rsid w:val="00A24622"/>
    <w:rsid w:val="00A246A3"/>
    <w:rsid w:val="00A259A8"/>
    <w:rsid w:val="00A25ABB"/>
    <w:rsid w:val="00A25E39"/>
    <w:rsid w:val="00A265B3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4608"/>
    <w:rsid w:val="00A4539E"/>
    <w:rsid w:val="00A45F82"/>
    <w:rsid w:val="00A46080"/>
    <w:rsid w:val="00A461CB"/>
    <w:rsid w:val="00A46C6C"/>
    <w:rsid w:val="00A46EB1"/>
    <w:rsid w:val="00A47073"/>
    <w:rsid w:val="00A47523"/>
    <w:rsid w:val="00A47A54"/>
    <w:rsid w:val="00A47C59"/>
    <w:rsid w:val="00A50097"/>
    <w:rsid w:val="00A50CB6"/>
    <w:rsid w:val="00A50FEC"/>
    <w:rsid w:val="00A51CA2"/>
    <w:rsid w:val="00A51FC3"/>
    <w:rsid w:val="00A5237D"/>
    <w:rsid w:val="00A52F07"/>
    <w:rsid w:val="00A532FC"/>
    <w:rsid w:val="00A53624"/>
    <w:rsid w:val="00A53A9F"/>
    <w:rsid w:val="00A544FB"/>
    <w:rsid w:val="00A54F72"/>
    <w:rsid w:val="00A554CC"/>
    <w:rsid w:val="00A5579B"/>
    <w:rsid w:val="00A56560"/>
    <w:rsid w:val="00A565B6"/>
    <w:rsid w:val="00A567E2"/>
    <w:rsid w:val="00A56806"/>
    <w:rsid w:val="00A57F15"/>
    <w:rsid w:val="00A60066"/>
    <w:rsid w:val="00A60179"/>
    <w:rsid w:val="00A613B7"/>
    <w:rsid w:val="00A61782"/>
    <w:rsid w:val="00A61FDA"/>
    <w:rsid w:val="00A62759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5F42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884"/>
    <w:rsid w:val="00A86D62"/>
    <w:rsid w:val="00A86E06"/>
    <w:rsid w:val="00A87218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8EF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4553"/>
    <w:rsid w:val="00A952EF"/>
    <w:rsid w:val="00A96484"/>
    <w:rsid w:val="00A96790"/>
    <w:rsid w:val="00A96852"/>
    <w:rsid w:val="00A96BF5"/>
    <w:rsid w:val="00A96C21"/>
    <w:rsid w:val="00A97207"/>
    <w:rsid w:val="00A9791D"/>
    <w:rsid w:val="00A97D4A"/>
    <w:rsid w:val="00A97DB8"/>
    <w:rsid w:val="00AA00A1"/>
    <w:rsid w:val="00AA0209"/>
    <w:rsid w:val="00AA0320"/>
    <w:rsid w:val="00AA03A6"/>
    <w:rsid w:val="00AA050F"/>
    <w:rsid w:val="00AA0C1A"/>
    <w:rsid w:val="00AA1128"/>
    <w:rsid w:val="00AA1337"/>
    <w:rsid w:val="00AA194A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180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C12"/>
    <w:rsid w:val="00AB212D"/>
    <w:rsid w:val="00AB217C"/>
    <w:rsid w:val="00AB28E5"/>
    <w:rsid w:val="00AB2E43"/>
    <w:rsid w:val="00AB32C1"/>
    <w:rsid w:val="00AB3552"/>
    <w:rsid w:val="00AB49C3"/>
    <w:rsid w:val="00AB55F8"/>
    <w:rsid w:val="00AB5C65"/>
    <w:rsid w:val="00AB5DF2"/>
    <w:rsid w:val="00AB659D"/>
    <w:rsid w:val="00AB69E8"/>
    <w:rsid w:val="00AB6C4D"/>
    <w:rsid w:val="00AB72D5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BFE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1D38"/>
    <w:rsid w:val="00AE23C8"/>
    <w:rsid w:val="00AE241A"/>
    <w:rsid w:val="00AE265A"/>
    <w:rsid w:val="00AE28BA"/>
    <w:rsid w:val="00AE308D"/>
    <w:rsid w:val="00AE3242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A7E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8B1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A5C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AC8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BAF"/>
    <w:rsid w:val="00B24C16"/>
    <w:rsid w:val="00B24D66"/>
    <w:rsid w:val="00B258AF"/>
    <w:rsid w:val="00B25BA4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58C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F95"/>
    <w:rsid w:val="00B4106F"/>
    <w:rsid w:val="00B414F1"/>
    <w:rsid w:val="00B41BE7"/>
    <w:rsid w:val="00B424F7"/>
    <w:rsid w:val="00B42568"/>
    <w:rsid w:val="00B42884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83E"/>
    <w:rsid w:val="00B50ADB"/>
    <w:rsid w:val="00B51163"/>
    <w:rsid w:val="00B5116E"/>
    <w:rsid w:val="00B51604"/>
    <w:rsid w:val="00B51D47"/>
    <w:rsid w:val="00B51F1C"/>
    <w:rsid w:val="00B51F64"/>
    <w:rsid w:val="00B52431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2B8"/>
    <w:rsid w:val="00B7095E"/>
    <w:rsid w:val="00B70B1B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6B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30E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87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5FA9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6E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524E"/>
    <w:rsid w:val="00C05428"/>
    <w:rsid w:val="00C058A3"/>
    <w:rsid w:val="00C05E05"/>
    <w:rsid w:val="00C069CA"/>
    <w:rsid w:val="00C0711F"/>
    <w:rsid w:val="00C07258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17DE9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3FBE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4A1"/>
    <w:rsid w:val="00C4151E"/>
    <w:rsid w:val="00C416FD"/>
    <w:rsid w:val="00C41E73"/>
    <w:rsid w:val="00C41FA0"/>
    <w:rsid w:val="00C42143"/>
    <w:rsid w:val="00C4271F"/>
    <w:rsid w:val="00C42A6C"/>
    <w:rsid w:val="00C42B60"/>
    <w:rsid w:val="00C43E4A"/>
    <w:rsid w:val="00C43FD4"/>
    <w:rsid w:val="00C4445E"/>
    <w:rsid w:val="00C44846"/>
    <w:rsid w:val="00C455D9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113F"/>
    <w:rsid w:val="00C529C6"/>
    <w:rsid w:val="00C52D66"/>
    <w:rsid w:val="00C53337"/>
    <w:rsid w:val="00C536E4"/>
    <w:rsid w:val="00C538AE"/>
    <w:rsid w:val="00C53C32"/>
    <w:rsid w:val="00C53E7A"/>
    <w:rsid w:val="00C54145"/>
    <w:rsid w:val="00C5418B"/>
    <w:rsid w:val="00C54481"/>
    <w:rsid w:val="00C54492"/>
    <w:rsid w:val="00C544B6"/>
    <w:rsid w:val="00C54601"/>
    <w:rsid w:val="00C54E26"/>
    <w:rsid w:val="00C557FA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3FF"/>
    <w:rsid w:val="00C62F26"/>
    <w:rsid w:val="00C6318D"/>
    <w:rsid w:val="00C637B1"/>
    <w:rsid w:val="00C65030"/>
    <w:rsid w:val="00C6527B"/>
    <w:rsid w:val="00C652A1"/>
    <w:rsid w:val="00C655E4"/>
    <w:rsid w:val="00C65613"/>
    <w:rsid w:val="00C65738"/>
    <w:rsid w:val="00C6590A"/>
    <w:rsid w:val="00C65FF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2F71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77FF3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0CA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463"/>
    <w:rsid w:val="00CA14DE"/>
    <w:rsid w:val="00CA1756"/>
    <w:rsid w:val="00CA1C3C"/>
    <w:rsid w:val="00CA2A10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9"/>
    <w:rsid w:val="00CA4ADE"/>
    <w:rsid w:val="00CA4C39"/>
    <w:rsid w:val="00CA4EF3"/>
    <w:rsid w:val="00CA52A5"/>
    <w:rsid w:val="00CA530C"/>
    <w:rsid w:val="00CA575F"/>
    <w:rsid w:val="00CA6C14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4C5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6E2"/>
    <w:rsid w:val="00CC2B9C"/>
    <w:rsid w:val="00CC2C7C"/>
    <w:rsid w:val="00CC326E"/>
    <w:rsid w:val="00CC38EE"/>
    <w:rsid w:val="00CC46F6"/>
    <w:rsid w:val="00CC566D"/>
    <w:rsid w:val="00CC5931"/>
    <w:rsid w:val="00CC6AA6"/>
    <w:rsid w:val="00CC6ACF"/>
    <w:rsid w:val="00CC6B13"/>
    <w:rsid w:val="00CC722F"/>
    <w:rsid w:val="00CC726E"/>
    <w:rsid w:val="00CC7476"/>
    <w:rsid w:val="00CC75EE"/>
    <w:rsid w:val="00CD0BAE"/>
    <w:rsid w:val="00CD0D3E"/>
    <w:rsid w:val="00CD1017"/>
    <w:rsid w:val="00CD129C"/>
    <w:rsid w:val="00CD12BA"/>
    <w:rsid w:val="00CD181E"/>
    <w:rsid w:val="00CD1A65"/>
    <w:rsid w:val="00CD22AB"/>
    <w:rsid w:val="00CD2488"/>
    <w:rsid w:val="00CD2C45"/>
    <w:rsid w:val="00CD387C"/>
    <w:rsid w:val="00CD4350"/>
    <w:rsid w:val="00CD4727"/>
    <w:rsid w:val="00CD473F"/>
    <w:rsid w:val="00CD474C"/>
    <w:rsid w:val="00CD47B8"/>
    <w:rsid w:val="00CD5589"/>
    <w:rsid w:val="00CD5AEF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DBE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B33"/>
    <w:rsid w:val="00D020E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5AD"/>
    <w:rsid w:val="00D05695"/>
    <w:rsid w:val="00D056E9"/>
    <w:rsid w:val="00D0572A"/>
    <w:rsid w:val="00D05CB6"/>
    <w:rsid w:val="00D06325"/>
    <w:rsid w:val="00D06858"/>
    <w:rsid w:val="00D06F5F"/>
    <w:rsid w:val="00D075F3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6B81"/>
    <w:rsid w:val="00D175C7"/>
    <w:rsid w:val="00D17E09"/>
    <w:rsid w:val="00D20150"/>
    <w:rsid w:val="00D20886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5BEA"/>
    <w:rsid w:val="00D367FF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5B6"/>
    <w:rsid w:val="00D52E06"/>
    <w:rsid w:val="00D53650"/>
    <w:rsid w:val="00D54ECE"/>
    <w:rsid w:val="00D553C7"/>
    <w:rsid w:val="00D55D7D"/>
    <w:rsid w:val="00D5648F"/>
    <w:rsid w:val="00D5651D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90C"/>
    <w:rsid w:val="00D72AC2"/>
    <w:rsid w:val="00D72CAE"/>
    <w:rsid w:val="00D733B8"/>
    <w:rsid w:val="00D73614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7643D"/>
    <w:rsid w:val="00D77F93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53F"/>
    <w:rsid w:val="00D85A2F"/>
    <w:rsid w:val="00D86265"/>
    <w:rsid w:val="00D86605"/>
    <w:rsid w:val="00D86763"/>
    <w:rsid w:val="00D87BDC"/>
    <w:rsid w:val="00D9041F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AD9"/>
    <w:rsid w:val="00DA3B9A"/>
    <w:rsid w:val="00DA3CF1"/>
    <w:rsid w:val="00DA405C"/>
    <w:rsid w:val="00DA4B0E"/>
    <w:rsid w:val="00DA50E4"/>
    <w:rsid w:val="00DA5A28"/>
    <w:rsid w:val="00DA5BEB"/>
    <w:rsid w:val="00DA6BFD"/>
    <w:rsid w:val="00DA736F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510A"/>
    <w:rsid w:val="00DB5178"/>
    <w:rsid w:val="00DB522E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DBC"/>
    <w:rsid w:val="00DC6E13"/>
    <w:rsid w:val="00DC6E1B"/>
    <w:rsid w:val="00DC7328"/>
    <w:rsid w:val="00DC7EBE"/>
    <w:rsid w:val="00DD118E"/>
    <w:rsid w:val="00DD12EF"/>
    <w:rsid w:val="00DD158F"/>
    <w:rsid w:val="00DD16FB"/>
    <w:rsid w:val="00DD1862"/>
    <w:rsid w:val="00DD235A"/>
    <w:rsid w:val="00DD2381"/>
    <w:rsid w:val="00DD2B1D"/>
    <w:rsid w:val="00DD3108"/>
    <w:rsid w:val="00DD345C"/>
    <w:rsid w:val="00DD3821"/>
    <w:rsid w:val="00DD391B"/>
    <w:rsid w:val="00DD3A61"/>
    <w:rsid w:val="00DD4252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D6C9C"/>
    <w:rsid w:val="00DD7477"/>
    <w:rsid w:val="00DE01AB"/>
    <w:rsid w:val="00DE07F6"/>
    <w:rsid w:val="00DE0B85"/>
    <w:rsid w:val="00DE12BD"/>
    <w:rsid w:val="00DE1532"/>
    <w:rsid w:val="00DE1694"/>
    <w:rsid w:val="00DE179B"/>
    <w:rsid w:val="00DE1840"/>
    <w:rsid w:val="00DE1EEE"/>
    <w:rsid w:val="00DE201E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735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7C5"/>
    <w:rsid w:val="00DE792F"/>
    <w:rsid w:val="00DE7A1D"/>
    <w:rsid w:val="00DF0A8D"/>
    <w:rsid w:val="00DF0E97"/>
    <w:rsid w:val="00DF11F0"/>
    <w:rsid w:val="00DF1956"/>
    <w:rsid w:val="00DF1AD2"/>
    <w:rsid w:val="00DF1D62"/>
    <w:rsid w:val="00DF2170"/>
    <w:rsid w:val="00DF2B08"/>
    <w:rsid w:val="00DF2F5E"/>
    <w:rsid w:val="00DF2FC2"/>
    <w:rsid w:val="00DF381B"/>
    <w:rsid w:val="00DF3D62"/>
    <w:rsid w:val="00DF572E"/>
    <w:rsid w:val="00DF596A"/>
    <w:rsid w:val="00DF6559"/>
    <w:rsid w:val="00DF6619"/>
    <w:rsid w:val="00DF6DA6"/>
    <w:rsid w:val="00DF708D"/>
    <w:rsid w:val="00DF7326"/>
    <w:rsid w:val="00DF7679"/>
    <w:rsid w:val="00DF7EB8"/>
    <w:rsid w:val="00E0031E"/>
    <w:rsid w:val="00E00FD5"/>
    <w:rsid w:val="00E01956"/>
    <w:rsid w:val="00E02047"/>
    <w:rsid w:val="00E023E5"/>
    <w:rsid w:val="00E02837"/>
    <w:rsid w:val="00E039BC"/>
    <w:rsid w:val="00E03ADB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26"/>
    <w:rsid w:val="00E1006A"/>
    <w:rsid w:val="00E105B9"/>
    <w:rsid w:val="00E1079E"/>
    <w:rsid w:val="00E10DA0"/>
    <w:rsid w:val="00E10F6A"/>
    <w:rsid w:val="00E112FA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D16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6E5F"/>
    <w:rsid w:val="00E3751A"/>
    <w:rsid w:val="00E377A6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269A"/>
    <w:rsid w:val="00E52776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52D"/>
    <w:rsid w:val="00E62CC5"/>
    <w:rsid w:val="00E62CF0"/>
    <w:rsid w:val="00E62E5D"/>
    <w:rsid w:val="00E62E8C"/>
    <w:rsid w:val="00E63104"/>
    <w:rsid w:val="00E64434"/>
    <w:rsid w:val="00E6450D"/>
    <w:rsid w:val="00E64AD4"/>
    <w:rsid w:val="00E64F58"/>
    <w:rsid w:val="00E65073"/>
    <w:rsid w:val="00E659FF"/>
    <w:rsid w:val="00E65E8C"/>
    <w:rsid w:val="00E66152"/>
    <w:rsid w:val="00E66800"/>
    <w:rsid w:val="00E66BF1"/>
    <w:rsid w:val="00E66D78"/>
    <w:rsid w:val="00E673C1"/>
    <w:rsid w:val="00E67BED"/>
    <w:rsid w:val="00E67C5C"/>
    <w:rsid w:val="00E67E55"/>
    <w:rsid w:val="00E70504"/>
    <w:rsid w:val="00E70AF9"/>
    <w:rsid w:val="00E70CAD"/>
    <w:rsid w:val="00E70DA5"/>
    <w:rsid w:val="00E70E30"/>
    <w:rsid w:val="00E71198"/>
    <w:rsid w:val="00E71D9F"/>
    <w:rsid w:val="00E71E4F"/>
    <w:rsid w:val="00E72092"/>
    <w:rsid w:val="00E72486"/>
    <w:rsid w:val="00E724EF"/>
    <w:rsid w:val="00E7264E"/>
    <w:rsid w:val="00E72651"/>
    <w:rsid w:val="00E72A44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2135"/>
    <w:rsid w:val="00E82258"/>
    <w:rsid w:val="00E826FA"/>
    <w:rsid w:val="00E82862"/>
    <w:rsid w:val="00E82CA0"/>
    <w:rsid w:val="00E82E17"/>
    <w:rsid w:val="00E841EB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D2F"/>
    <w:rsid w:val="00E97EA7"/>
    <w:rsid w:val="00E97FB1"/>
    <w:rsid w:val="00EA0474"/>
    <w:rsid w:val="00EA0F09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A7453"/>
    <w:rsid w:val="00EB0A68"/>
    <w:rsid w:val="00EB0E6A"/>
    <w:rsid w:val="00EB0FE6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B7986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10B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F8"/>
    <w:rsid w:val="00ED49E2"/>
    <w:rsid w:val="00ED5030"/>
    <w:rsid w:val="00ED547D"/>
    <w:rsid w:val="00ED596C"/>
    <w:rsid w:val="00ED5ACF"/>
    <w:rsid w:val="00ED77FE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FFD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2A6C"/>
    <w:rsid w:val="00EF3393"/>
    <w:rsid w:val="00EF347C"/>
    <w:rsid w:val="00EF3C6A"/>
    <w:rsid w:val="00EF3F1A"/>
    <w:rsid w:val="00EF463E"/>
    <w:rsid w:val="00EF5059"/>
    <w:rsid w:val="00EF541D"/>
    <w:rsid w:val="00EF571F"/>
    <w:rsid w:val="00EF579C"/>
    <w:rsid w:val="00EF57BB"/>
    <w:rsid w:val="00EF585C"/>
    <w:rsid w:val="00EF591A"/>
    <w:rsid w:val="00EF59D9"/>
    <w:rsid w:val="00EF5B95"/>
    <w:rsid w:val="00EF5D47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20F"/>
    <w:rsid w:val="00F104AA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ACD"/>
    <w:rsid w:val="00F13C6A"/>
    <w:rsid w:val="00F13C93"/>
    <w:rsid w:val="00F1403B"/>
    <w:rsid w:val="00F140EB"/>
    <w:rsid w:val="00F14212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B75"/>
    <w:rsid w:val="00F22EE2"/>
    <w:rsid w:val="00F232DA"/>
    <w:rsid w:val="00F243E0"/>
    <w:rsid w:val="00F24874"/>
    <w:rsid w:val="00F24980"/>
    <w:rsid w:val="00F24B20"/>
    <w:rsid w:val="00F24EF6"/>
    <w:rsid w:val="00F25C36"/>
    <w:rsid w:val="00F25EC7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5952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2FC5"/>
    <w:rsid w:val="00F43980"/>
    <w:rsid w:val="00F43AB8"/>
    <w:rsid w:val="00F443B0"/>
    <w:rsid w:val="00F444E7"/>
    <w:rsid w:val="00F44725"/>
    <w:rsid w:val="00F447EA"/>
    <w:rsid w:val="00F44943"/>
    <w:rsid w:val="00F453DF"/>
    <w:rsid w:val="00F463C7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4D0A"/>
    <w:rsid w:val="00F553E8"/>
    <w:rsid w:val="00F55903"/>
    <w:rsid w:val="00F55AA3"/>
    <w:rsid w:val="00F55DFC"/>
    <w:rsid w:val="00F56942"/>
    <w:rsid w:val="00F56C88"/>
    <w:rsid w:val="00F57B51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2B58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BBD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49E"/>
    <w:rsid w:val="00F77C33"/>
    <w:rsid w:val="00F77D71"/>
    <w:rsid w:val="00F806C7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5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516"/>
    <w:rsid w:val="00FA4A3B"/>
    <w:rsid w:val="00FA6214"/>
    <w:rsid w:val="00FA62C1"/>
    <w:rsid w:val="00FA6B17"/>
    <w:rsid w:val="00FA7860"/>
    <w:rsid w:val="00FB0060"/>
    <w:rsid w:val="00FB0121"/>
    <w:rsid w:val="00FB012F"/>
    <w:rsid w:val="00FB0A08"/>
    <w:rsid w:val="00FB0AD3"/>
    <w:rsid w:val="00FB0D58"/>
    <w:rsid w:val="00FB185F"/>
    <w:rsid w:val="00FB2009"/>
    <w:rsid w:val="00FB20A3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0E"/>
    <w:rsid w:val="00FB59E5"/>
    <w:rsid w:val="00FB5B33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7F1"/>
    <w:rsid w:val="00FC2A8A"/>
    <w:rsid w:val="00FC2E45"/>
    <w:rsid w:val="00FC337A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B11"/>
    <w:rsid w:val="00FC6E6C"/>
    <w:rsid w:val="00FC6E74"/>
    <w:rsid w:val="00FC7186"/>
    <w:rsid w:val="00FC742F"/>
    <w:rsid w:val="00FC7C89"/>
    <w:rsid w:val="00FD0BFB"/>
    <w:rsid w:val="00FD0F61"/>
    <w:rsid w:val="00FD1280"/>
    <w:rsid w:val="00FD12C7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571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5AB"/>
    <w:rsid w:val="00FF09BD"/>
    <w:rsid w:val="00FF13EB"/>
    <w:rsid w:val="00FF1744"/>
    <w:rsid w:val="00FF20EF"/>
    <w:rsid w:val="00FF2265"/>
    <w:rsid w:val="00FF2877"/>
    <w:rsid w:val="00FF3496"/>
    <w:rsid w:val="00FF3CA1"/>
    <w:rsid w:val="00FF4177"/>
    <w:rsid w:val="00FF4675"/>
    <w:rsid w:val="00FF48C8"/>
    <w:rsid w:val="00FF5B2E"/>
    <w:rsid w:val="00FF6024"/>
    <w:rsid w:val="00FF7692"/>
    <w:rsid w:val="00FF7932"/>
    <w:rsid w:val="046E89A3"/>
    <w:rsid w:val="05945313"/>
    <w:rsid w:val="0979EBC3"/>
    <w:rsid w:val="0AAD5945"/>
    <w:rsid w:val="0C5DAB15"/>
    <w:rsid w:val="0CFEC710"/>
    <w:rsid w:val="0E931D23"/>
    <w:rsid w:val="0F00922F"/>
    <w:rsid w:val="12588C91"/>
    <w:rsid w:val="133FF3AB"/>
    <w:rsid w:val="13A95D03"/>
    <w:rsid w:val="13E502C9"/>
    <w:rsid w:val="160A19BB"/>
    <w:rsid w:val="1904C2E4"/>
    <w:rsid w:val="1A26E392"/>
    <w:rsid w:val="1ADE5467"/>
    <w:rsid w:val="1CCC666A"/>
    <w:rsid w:val="1E43FF5F"/>
    <w:rsid w:val="229EEB27"/>
    <w:rsid w:val="237EBBAD"/>
    <w:rsid w:val="249CDB0D"/>
    <w:rsid w:val="281FAB53"/>
    <w:rsid w:val="2CAD3C49"/>
    <w:rsid w:val="352101D1"/>
    <w:rsid w:val="373CB0D2"/>
    <w:rsid w:val="37AA06AC"/>
    <w:rsid w:val="386D698F"/>
    <w:rsid w:val="3B106BD3"/>
    <w:rsid w:val="3B5BB3EA"/>
    <w:rsid w:val="3CADFF68"/>
    <w:rsid w:val="3CE819E1"/>
    <w:rsid w:val="41C0453D"/>
    <w:rsid w:val="427C7695"/>
    <w:rsid w:val="42E5FE6C"/>
    <w:rsid w:val="436B5782"/>
    <w:rsid w:val="4BC3BD62"/>
    <w:rsid w:val="5116F196"/>
    <w:rsid w:val="5221948D"/>
    <w:rsid w:val="52ACAD5E"/>
    <w:rsid w:val="5473DE96"/>
    <w:rsid w:val="58AAC567"/>
    <w:rsid w:val="58AF57F3"/>
    <w:rsid w:val="59042767"/>
    <w:rsid w:val="59E05480"/>
    <w:rsid w:val="5F2C42C0"/>
    <w:rsid w:val="61250D5D"/>
    <w:rsid w:val="6377977D"/>
    <w:rsid w:val="66F2C643"/>
    <w:rsid w:val="688F20D8"/>
    <w:rsid w:val="69CB5A1E"/>
    <w:rsid w:val="6C84DDF1"/>
    <w:rsid w:val="6F87C7D9"/>
    <w:rsid w:val="6FAD9F03"/>
    <w:rsid w:val="70DD6423"/>
    <w:rsid w:val="714C99B7"/>
    <w:rsid w:val="77F239B7"/>
    <w:rsid w:val="78A021AC"/>
    <w:rsid w:val="78B9FDD9"/>
    <w:rsid w:val="7A70F167"/>
    <w:rsid w:val="7ADC731F"/>
    <w:rsid w:val="7BBC4DEA"/>
    <w:rsid w:val="7F23E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97E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18" Type="http://schemas.openxmlformats.org/officeDocument/2006/relationships/hyperlink" Target="https://www.inegi.org.mx/app/biblioteca/ficha.html?upc=70282509906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egi.org.m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javascript:AddMetaDato('2951','Sistema%20de%20indicadores%20c&#237;clicos',''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chart" Target="charts/chart3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3\02-23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3\02-23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3\02-23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3\02-23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3\02-23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GAE\2023\02-23\Gr&#225;ficas%20IGAE%20(cifras%20originale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4539676141513357E-2"/>
          <c:w val="0.90581803245737869"/>
          <c:h val="0.820123274760339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Datos!$C$19:$C$80</c:f>
              <c:numCache>
                <c:formatCode>0.0</c:formatCode>
                <c:ptCount val="62"/>
                <c:pt idx="0">
                  <c:v>111.810787534182</c:v>
                </c:pt>
                <c:pt idx="1">
                  <c:v>112.193583126568</c:v>
                </c:pt>
                <c:pt idx="2">
                  <c:v>113.076577495842</c:v>
                </c:pt>
                <c:pt idx="3">
                  <c:v>112.66060675636901</c:v>
                </c:pt>
                <c:pt idx="4">
                  <c:v>113.178823042091</c:v>
                </c:pt>
                <c:pt idx="5">
                  <c:v>112.843879239438</c:v>
                </c:pt>
                <c:pt idx="6">
                  <c:v>113.19836307988599</c:v>
                </c:pt>
                <c:pt idx="7">
                  <c:v>113.49313836947</c:v>
                </c:pt>
                <c:pt idx="8">
                  <c:v>113.640406072632</c:v>
                </c:pt>
                <c:pt idx="9">
                  <c:v>113.21757061029901</c:v>
                </c:pt>
                <c:pt idx="10">
                  <c:v>113.09771835316501</c:v>
                </c:pt>
                <c:pt idx="11">
                  <c:v>112.54705967592901</c:v>
                </c:pt>
                <c:pt idx="12">
                  <c:v>113.332773055373</c:v>
                </c:pt>
                <c:pt idx="13">
                  <c:v>113.075056753</c:v>
                </c:pt>
                <c:pt idx="14">
                  <c:v>112.245334849112</c:v>
                </c:pt>
                <c:pt idx="15">
                  <c:v>112.513150890768</c:v>
                </c:pt>
                <c:pt idx="16">
                  <c:v>112.380750488793</c:v>
                </c:pt>
                <c:pt idx="17">
                  <c:v>112.56415994157901</c:v>
                </c:pt>
                <c:pt idx="18">
                  <c:v>112.626278606697</c:v>
                </c:pt>
                <c:pt idx="19">
                  <c:v>112.921058461461</c:v>
                </c:pt>
                <c:pt idx="20">
                  <c:v>113.41195503291701</c:v>
                </c:pt>
                <c:pt idx="21">
                  <c:v>112.844370903501</c:v>
                </c:pt>
                <c:pt idx="22">
                  <c:v>112.29873047137301</c:v>
                </c:pt>
                <c:pt idx="23">
                  <c:v>111.98500898532301</c:v>
                </c:pt>
                <c:pt idx="24">
                  <c:v>113.31833973368801</c:v>
                </c:pt>
                <c:pt idx="25">
                  <c:v>111.713384700921</c:v>
                </c:pt>
                <c:pt idx="26">
                  <c:v>109.46799708955599</c:v>
                </c:pt>
                <c:pt idx="27">
                  <c:v>90.326447452170399</c:v>
                </c:pt>
                <c:pt idx="28">
                  <c:v>87.749709313711605</c:v>
                </c:pt>
                <c:pt idx="29">
                  <c:v>96.313807057745294</c:v>
                </c:pt>
                <c:pt idx="30">
                  <c:v>101.68822544037801</c:v>
                </c:pt>
                <c:pt idx="31">
                  <c:v>103.73059776801399</c:v>
                </c:pt>
                <c:pt idx="32">
                  <c:v>106.625617947552</c:v>
                </c:pt>
                <c:pt idx="33">
                  <c:v>107.855097818926</c:v>
                </c:pt>
                <c:pt idx="34">
                  <c:v>108.568502400824</c:v>
                </c:pt>
                <c:pt idx="35">
                  <c:v>108.53342253274199</c:v>
                </c:pt>
                <c:pt idx="36">
                  <c:v>108.104331071215</c:v>
                </c:pt>
                <c:pt idx="37">
                  <c:v>106.91324446346999</c:v>
                </c:pt>
                <c:pt idx="38">
                  <c:v>109.78885339728799</c:v>
                </c:pt>
                <c:pt idx="39">
                  <c:v>109.60852453715</c:v>
                </c:pt>
                <c:pt idx="40">
                  <c:v>109.456418684331</c:v>
                </c:pt>
                <c:pt idx="41">
                  <c:v>108.947762964728</c:v>
                </c:pt>
                <c:pt idx="42">
                  <c:v>108.84236733965599</c:v>
                </c:pt>
                <c:pt idx="43">
                  <c:v>107.286683973344</c:v>
                </c:pt>
                <c:pt idx="44">
                  <c:v>107.648593607278</c:v>
                </c:pt>
                <c:pt idx="45">
                  <c:v>108.001655004599</c:v>
                </c:pt>
                <c:pt idx="46">
                  <c:v>108.899150952222</c:v>
                </c:pt>
                <c:pt idx="47">
                  <c:v>109.841791743656</c:v>
                </c:pt>
                <c:pt idx="48">
                  <c:v>109.962050924539</c:v>
                </c:pt>
                <c:pt idx="49">
                  <c:v>109.91028534343801</c:v>
                </c:pt>
                <c:pt idx="50">
                  <c:v>110.419499245282</c:v>
                </c:pt>
                <c:pt idx="51">
                  <c:v>111.57867479444501</c:v>
                </c:pt>
                <c:pt idx="52">
                  <c:v>111.62228070526599</c:v>
                </c:pt>
                <c:pt idx="53">
                  <c:v>111.295090996352</c:v>
                </c:pt>
                <c:pt idx="54">
                  <c:v>112.038335956168</c:v>
                </c:pt>
                <c:pt idx="55">
                  <c:v>112.32348949606499</c:v>
                </c:pt>
                <c:pt idx="56">
                  <c:v>113.198931915801</c:v>
                </c:pt>
                <c:pt idx="57">
                  <c:v>113.237145337385</c:v>
                </c:pt>
                <c:pt idx="58">
                  <c:v>112.815614175403</c:v>
                </c:pt>
                <c:pt idx="59">
                  <c:v>113.276228796754</c:v>
                </c:pt>
                <c:pt idx="60">
                  <c:v>113.982480737194</c:v>
                </c:pt>
                <c:pt idx="61">
                  <c:v>114.145196424963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28-4312-A293-E8B0EB4A95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Datos!$D$19:$D$80</c:f>
              <c:numCache>
                <c:formatCode>0.0</c:formatCode>
                <c:ptCount val="62"/>
                <c:pt idx="0">
                  <c:v>112.08601671581</c:v>
                </c:pt>
                <c:pt idx="1">
                  <c:v>112.35709000675099</c:v>
                </c:pt>
                <c:pt idx="2">
                  <c:v>112.60330990698399</c:v>
                </c:pt>
                <c:pt idx="3">
                  <c:v>112.81483549357201</c:v>
                </c:pt>
                <c:pt idx="4">
                  <c:v>113.00562720563499</c:v>
                </c:pt>
                <c:pt idx="5">
                  <c:v>113.175419770543</c:v>
                </c:pt>
                <c:pt idx="6">
                  <c:v>113.28425651758</c:v>
                </c:pt>
                <c:pt idx="7">
                  <c:v>113.328072323697</c:v>
                </c:pt>
                <c:pt idx="8">
                  <c:v>113.330292446489</c:v>
                </c:pt>
                <c:pt idx="9">
                  <c:v>113.28317786475</c:v>
                </c:pt>
                <c:pt idx="10">
                  <c:v>113.180063759731</c:v>
                </c:pt>
                <c:pt idx="11">
                  <c:v>113.042357914872</c:v>
                </c:pt>
                <c:pt idx="12">
                  <c:v>112.886245908104</c:v>
                </c:pt>
                <c:pt idx="13">
                  <c:v>112.739505344308</c:v>
                </c:pt>
                <c:pt idx="14">
                  <c:v>112.605927257405</c:v>
                </c:pt>
                <c:pt idx="15">
                  <c:v>112.51740245408</c:v>
                </c:pt>
                <c:pt idx="16">
                  <c:v>112.515684664631</c:v>
                </c:pt>
                <c:pt idx="17">
                  <c:v>112.615397635138</c:v>
                </c:pt>
                <c:pt idx="18">
                  <c:v>112.771067922895</c:v>
                </c:pt>
                <c:pt idx="19">
                  <c:v>112.89462311093</c:v>
                </c:pt>
                <c:pt idx="20">
                  <c:v>112.902468696526</c:v>
                </c:pt>
                <c:pt idx="21">
                  <c:v>112.78008669292601</c:v>
                </c:pt>
                <c:pt idx="22">
                  <c:v>112.527376679618</c:v>
                </c:pt>
                <c:pt idx="23">
                  <c:v>112.144050309208</c:v>
                </c:pt>
                <c:pt idx="24">
                  <c:v>111.688448676135</c:v>
                </c:pt>
                <c:pt idx="25">
                  <c:v>111.258305311252</c:v>
                </c:pt>
                <c:pt idx="26">
                  <c:v>110.916350082801</c:v>
                </c:pt>
                <c:pt idx="27">
                  <c:v>107.47762173755299</c:v>
                </c:pt>
                <c:pt idx="28">
                  <c:v>107.245315372389</c:v>
                </c:pt>
                <c:pt idx="29">
                  <c:v>107.084565065711</c:v>
                </c:pt>
                <c:pt idx="30">
                  <c:v>107.052405531338</c:v>
                </c:pt>
                <c:pt idx="31">
                  <c:v>107.15150038789101</c:v>
                </c:pt>
                <c:pt idx="32">
                  <c:v>107.34338758575601</c:v>
                </c:pt>
                <c:pt idx="33">
                  <c:v>107.607219690146</c:v>
                </c:pt>
                <c:pt idx="34">
                  <c:v>107.950752115743</c:v>
                </c:pt>
                <c:pt idx="35">
                  <c:v>108.35639886822101</c:v>
                </c:pt>
                <c:pt idx="36">
                  <c:v>108.748846794321</c:v>
                </c:pt>
                <c:pt idx="37">
                  <c:v>109.042265836921</c:v>
                </c:pt>
                <c:pt idx="38">
                  <c:v>109.23212087348099</c:v>
                </c:pt>
                <c:pt idx="39">
                  <c:v>109.34406982216601</c:v>
                </c:pt>
                <c:pt idx="40">
                  <c:v>109.350534670215</c:v>
                </c:pt>
                <c:pt idx="41">
                  <c:v>109.211568074243</c:v>
                </c:pt>
                <c:pt idx="42">
                  <c:v>108.982350775621</c:v>
                </c:pt>
                <c:pt idx="43">
                  <c:v>108.794571557449</c:v>
                </c:pt>
                <c:pt idx="44">
                  <c:v>108.75103004082899</c:v>
                </c:pt>
                <c:pt idx="45">
                  <c:v>108.850001110299</c:v>
                </c:pt>
                <c:pt idx="46">
                  <c:v>109.072279434938</c:v>
                </c:pt>
                <c:pt idx="47">
                  <c:v>109.414308907183</c:v>
                </c:pt>
                <c:pt idx="48">
                  <c:v>109.835053212359</c:v>
                </c:pt>
                <c:pt idx="49">
                  <c:v>110.281772215218</c:v>
                </c:pt>
                <c:pt idx="50">
                  <c:v>110.68708495191601</c:v>
                </c:pt>
                <c:pt idx="51">
                  <c:v>111.03668605626601</c:v>
                </c:pt>
                <c:pt idx="52">
                  <c:v>111.392423665351</c:v>
                </c:pt>
                <c:pt idx="53">
                  <c:v>111.76876380261599</c:v>
                </c:pt>
                <c:pt idx="54">
                  <c:v>112.125234339695</c:v>
                </c:pt>
                <c:pt idx="55">
                  <c:v>112.437521682412</c:v>
                </c:pt>
                <c:pt idx="56">
                  <c:v>112.72627655778</c:v>
                </c:pt>
                <c:pt idx="57">
                  <c:v>113.016490350171</c:v>
                </c:pt>
                <c:pt idx="58">
                  <c:v>113.290806748272</c:v>
                </c:pt>
                <c:pt idx="59">
                  <c:v>113.51105493514299</c:v>
                </c:pt>
                <c:pt idx="60">
                  <c:v>113.702650448963</c:v>
                </c:pt>
                <c:pt idx="61">
                  <c:v>113.904006142754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228-4312-A293-E8B0EB4A95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4.4539676141513357E-2"/>
          <c:w val="0.90581803245737869"/>
          <c:h val="0.820123274760339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Datos!$C$19:$C$80</c:f>
              <c:numCache>
                <c:formatCode>0.0</c:formatCode>
                <c:ptCount val="62"/>
                <c:pt idx="0">
                  <c:v>111.810787534182</c:v>
                </c:pt>
                <c:pt idx="1">
                  <c:v>112.193583126568</c:v>
                </c:pt>
                <c:pt idx="2">
                  <c:v>113.076577495842</c:v>
                </c:pt>
                <c:pt idx="3">
                  <c:v>112.66060675636901</c:v>
                </c:pt>
                <c:pt idx="4">
                  <c:v>113.178823042091</c:v>
                </c:pt>
                <c:pt idx="5">
                  <c:v>112.843879239438</c:v>
                </c:pt>
                <c:pt idx="6">
                  <c:v>113.19836307988599</c:v>
                </c:pt>
                <c:pt idx="7">
                  <c:v>113.49313836947</c:v>
                </c:pt>
                <c:pt idx="8">
                  <c:v>113.640406072632</c:v>
                </c:pt>
                <c:pt idx="9">
                  <c:v>113.21757061029901</c:v>
                </c:pt>
                <c:pt idx="10">
                  <c:v>113.09771835316501</c:v>
                </c:pt>
                <c:pt idx="11">
                  <c:v>112.54705967592901</c:v>
                </c:pt>
                <c:pt idx="12">
                  <c:v>113.332773055373</c:v>
                </c:pt>
                <c:pt idx="13">
                  <c:v>113.075056753</c:v>
                </c:pt>
                <c:pt idx="14">
                  <c:v>112.245334849112</c:v>
                </c:pt>
                <c:pt idx="15">
                  <c:v>112.513150890768</c:v>
                </c:pt>
                <c:pt idx="16">
                  <c:v>112.380750488793</c:v>
                </c:pt>
                <c:pt idx="17">
                  <c:v>112.56415994157901</c:v>
                </c:pt>
                <c:pt idx="18">
                  <c:v>112.626278606697</c:v>
                </c:pt>
                <c:pt idx="19">
                  <c:v>112.921058461461</c:v>
                </c:pt>
                <c:pt idx="20">
                  <c:v>113.41195503291701</c:v>
                </c:pt>
                <c:pt idx="21">
                  <c:v>112.844370903501</c:v>
                </c:pt>
                <c:pt idx="22">
                  <c:v>112.29873047137301</c:v>
                </c:pt>
                <c:pt idx="23">
                  <c:v>111.98500898532301</c:v>
                </c:pt>
                <c:pt idx="24">
                  <c:v>113.31833973368801</c:v>
                </c:pt>
                <c:pt idx="25">
                  <c:v>111.713384700921</c:v>
                </c:pt>
                <c:pt idx="26">
                  <c:v>109.46799708955599</c:v>
                </c:pt>
                <c:pt idx="27">
                  <c:v>90.326447452170399</c:v>
                </c:pt>
                <c:pt idx="28">
                  <c:v>87.749709313711605</c:v>
                </c:pt>
                <c:pt idx="29">
                  <c:v>96.313807057745294</c:v>
                </c:pt>
                <c:pt idx="30">
                  <c:v>101.68822544037801</c:v>
                </c:pt>
                <c:pt idx="31">
                  <c:v>103.73059776801399</c:v>
                </c:pt>
                <c:pt idx="32">
                  <c:v>106.625617947552</c:v>
                </c:pt>
                <c:pt idx="33">
                  <c:v>107.855097818926</c:v>
                </c:pt>
                <c:pt idx="34">
                  <c:v>108.568502400824</c:v>
                </c:pt>
                <c:pt idx="35">
                  <c:v>108.53342253274199</c:v>
                </c:pt>
                <c:pt idx="36">
                  <c:v>108.104331071215</c:v>
                </c:pt>
                <c:pt idx="37">
                  <c:v>106.91324446346999</c:v>
                </c:pt>
                <c:pt idx="38">
                  <c:v>109.78885339728799</c:v>
                </c:pt>
                <c:pt idx="39">
                  <c:v>109.60852453715</c:v>
                </c:pt>
                <c:pt idx="40">
                  <c:v>109.456418684331</c:v>
                </c:pt>
                <c:pt idx="41">
                  <c:v>108.947762964728</c:v>
                </c:pt>
                <c:pt idx="42">
                  <c:v>108.84236733965599</c:v>
                </c:pt>
                <c:pt idx="43">
                  <c:v>107.286683973344</c:v>
                </c:pt>
                <c:pt idx="44">
                  <c:v>107.648593607278</c:v>
                </c:pt>
                <c:pt idx="45">
                  <c:v>108.001655004599</c:v>
                </c:pt>
                <c:pt idx="46">
                  <c:v>108.899150952222</c:v>
                </c:pt>
                <c:pt idx="47">
                  <c:v>109.841791743656</c:v>
                </c:pt>
                <c:pt idx="48">
                  <c:v>109.962050924539</c:v>
                </c:pt>
                <c:pt idx="49">
                  <c:v>109.91028534343801</c:v>
                </c:pt>
                <c:pt idx="50">
                  <c:v>110.419499245282</c:v>
                </c:pt>
                <c:pt idx="51">
                  <c:v>111.57867479444501</c:v>
                </c:pt>
                <c:pt idx="52">
                  <c:v>111.62228070526599</c:v>
                </c:pt>
                <c:pt idx="53">
                  <c:v>111.295090996352</c:v>
                </c:pt>
                <c:pt idx="54">
                  <c:v>112.038335956168</c:v>
                </c:pt>
                <c:pt idx="55">
                  <c:v>112.32348949606499</c:v>
                </c:pt>
                <c:pt idx="56">
                  <c:v>113.198931915801</c:v>
                </c:pt>
                <c:pt idx="57">
                  <c:v>113.237145337385</c:v>
                </c:pt>
                <c:pt idx="58">
                  <c:v>112.815614175403</c:v>
                </c:pt>
                <c:pt idx="59">
                  <c:v>113.276228796754</c:v>
                </c:pt>
                <c:pt idx="60">
                  <c:v>113.982480737194</c:v>
                </c:pt>
                <c:pt idx="61">
                  <c:v>114.145196424963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45-432F-9A08-2690D77A4A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Datos!$A$7:$B$79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Datos!$D$19:$D$80</c:f>
              <c:numCache>
                <c:formatCode>0.0</c:formatCode>
                <c:ptCount val="62"/>
                <c:pt idx="0">
                  <c:v>112.08601671581</c:v>
                </c:pt>
                <c:pt idx="1">
                  <c:v>112.35709000675099</c:v>
                </c:pt>
                <c:pt idx="2">
                  <c:v>112.60330990698399</c:v>
                </c:pt>
                <c:pt idx="3">
                  <c:v>112.81483549357201</c:v>
                </c:pt>
                <c:pt idx="4">
                  <c:v>113.00562720563499</c:v>
                </c:pt>
                <c:pt idx="5">
                  <c:v>113.175419770543</c:v>
                </c:pt>
                <c:pt idx="6">
                  <c:v>113.28425651758</c:v>
                </c:pt>
                <c:pt idx="7">
                  <c:v>113.328072323697</c:v>
                </c:pt>
                <c:pt idx="8">
                  <c:v>113.330292446489</c:v>
                </c:pt>
                <c:pt idx="9">
                  <c:v>113.28317786475</c:v>
                </c:pt>
                <c:pt idx="10">
                  <c:v>113.180063759731</c:v>
                </c:pt>
                <c:pt idx="11">
                  <c:v>113.042357914872</c:v>
                </c:pt>
                <c:pt idx="12">
                  <c:v>112.886245908104</c:v>
                </c:pt>
                <c:pt idx="13">
                  <c:v>112.739505344308</c:v>
                </c:pt>
                <c:pt idx="14">
                  <c:v>112.605927257405</c:v>
                </c:pt>
                <c:pt idx="15">
                  <c:v>112.51740245408</c:v>
                </c:pt>
                <c:pt idx="16">
                  <c:v>112.515684664631</c:v>
                </c:pt>
                <c:pt idx="17">
                  <c:v>112.615397635138</c:v>
                </c:pt>
                <c:pt idx="18">
                  <c:v>112.771067922895</c:v>
                </c:pt>
                <c:pt idx="19">
                  <c:v>112.89462311093</c:v>
                </c:pt>
                <c:pt idx="20">
                  <c:v>112.902468696526</c:v>
                </c:pt>
                <c:pt idx="21">
                  <c:v>112.78008669292601</c:v>
                </c:pt>
                <c:pt idx="22">
                  <c:v>112.527376679618</c:v>
                </c:pt>
                <c:pt idx="23">
                  <c:v>112.144050309208</c:v>
                </c:pt>
                <c:pt idx="24">
                  <c:v>111.688448676135</c:v>
                </c:pt>
                <c:pt idx="25">
                  <c:v>111.258305311252</c:v>
                </c:pt>
                <c:pt idx="26">
                  <c:v>110.916350082801</c:v>
                </c:pt>
                <c:pt idx="27">
                  <c:v>107.47762173755299</c:v>
                </c:pt>
                <c:pt idx="28">
                  <c:v>107.245315372389</c:v>
                </c:pt>
                <c:pt idx="29">
                  <c:v>107.084565065711</c:v>
                </c:pt>
                <c:pt idx="30">
                  <c:v>107.052405531338</c:v>
                </c:pt>
                <c:pt idx="31">
                  <c:v>107.15150038789101</c:v>
                </c:pt>
                <c:pt idx="32">
                  <c:v>107.34338758575601</c:v>
                </c:pt>
                <c:pt idx="33">
                  <c:v>107.607219690146</c:v>
                </c:pt>
                <c:pt idx="34">
                  <c:v>107.950752115743</c:v>
                </c:pt>
                <c:pt idx="35">
                  <c:v>108.35639886822101</c:v>
                </c:pt>
                <c:pt idx="36">
                  <c:v>108.748846794321</c:v>
                </c:pt>
                <c:pt idx="37">
                  <c:v>109.042265836921</c:v>
                </c:pt>
                <c:pt idx="38">
                  <c:v>109.23212087348099</c:v>
                </c:pt>
                <c:pt idx="39">
                  <c:v>109.34406982216601</c:v>
                </c:pt>
                <c:pt idx="40">
                  <c:v>109.350534670215</c:v>
                </c:pt>
                <c:pt idx="41">
                  <c:v>109.211568074243</c:v>
                </c:pt>
                <c:pt idx="42">
                  <c:v>108.982350775621</c:v>
                </c:pt>
                <c:pt idx="43">
                  <c:v>108.794571557449</c:v>
                </c:pt>
                <c:pt idx="44">
                  <c:v>108.75103004082899</c:v>
                </c:pt>
                <c:pt idx="45">
                  <c:v>108.850001110299</c:v>
                </c:pt>
                <c:pt idx="46">
                  <c:v>109.072279434938</c:v>
                </c:pt>
                <c:pt idx="47">
                  <c:v>109.414308907183</c:v>
                </c:pt>
                <c:pt idx="48">
                  <c:v>109.835053212359</c:v>
                </c:pt>
                <c:pt idx="49">
                  <c:v>110.281772215218</c:v>
                </c:pt>
                <c:pt idx="50">
                  <c:v>110.68708495191601</c:v>
                </c:pt>
                <c:pt idx="51">
                  <c:v>111.03668605626601</c:v>
                </c:pt>
                <c:pt idx="52">
                  <c:v>111.392423665351</c:v>
                </c:pt>
                <c:pt idx="53">
                  <c:v>111.76876380261599</c:v>
                </c:pt>
                <c:pt idx="54">
                  <c:v>112.125234339695</c:v>
                </c:pt>
                <c:pt idx="55">
                  <c:v>112.437521682412</c:v>
                </c:pt>
                <c:pt idx="56">
                  <c:v>112.72627655778</c:v>
                </c:pt>
                <c:pt idx="57">
                  <c:v>113.016490350171</c:v>
                </c:pt>
                <c:pt idx="58">
                  <c:v>113.290806748272</c:v>
                </c:pt>
                <c:pt idx="59">
                  <c:v>113.51105493514299</c:v>
                </c:pt>
                <c:pt idx="60">
                  <c:v>113.702650448963</c:v>
                </c:pt>
                <c:pt idx="61">
                  <c:v>113.904006142754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45-432F-9A08-2690D77A4A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4.9440063699678259E-2"/>
          <c:w val="0.9058180324573788"/>
          <c:h val="0.818020995996456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Datos!$E$19:$E$80</c:f>
              <c:numCache>
                <c:formatCode>0.0</c:formatCode>
                <c:ptCount val="62"/>
                <c:pt idx="0">
                  <c:v>116.42677202226901</c:v>
                </c:pt>
                <c:pt idx="1">
                  <c:v>116.516731183559</c:v>
                </c:pt>
                <c:pt idx="2">
                  <c:v>115.45077750568601</c:v>
                </c:pt>
                <c:pt idx="3">
                  <c:v>116.049418926697</c:v>
                </c:pt>
                <c:pt idx="4">
                  <c:v>116.847134724527</c:v>
                </c:pt>
                <c:pt idx="5">
                  <c:v>113.86450688416799</c:v>
                </c:pt>
                <c:pt idx="6">
                  <c:v>112.235812943952</c:v>
                </c:pt>
                <c:pt idx="7">
                  <c:v>113.93557288906899</c:v>
                </c:pt>
                <c:pt idx="8">
                  <c:v>111.381228421564</c:v>
                </c:pt>
                <c:pt idx="9">
                  <c:v>106.81570126213499</c:v>
                </c:pt>
                <c:pt idx="10">
                  <c:v>118.65821406661701</c:v>
                </c:pt>
                <c:pt idx="11">
                  <c:v>116.873165507415</c:v>
                </c:pt>
                <c:pt idx="12">
                  <c:v>115.669302348263</c:v>
                </c:pt>
                <c:pt idx="13">
                  <c:v>125.014124746281</c:v>
                </c:pt>
                <c:pt idx="14">
                  <c:v>116.259308034939</c:v>
                </c:pt>
                <c:pt idx="15">
                  <c:v>115.711279331745</c:v>
                </c:pt>
                <c:pt idx="16">
                  <c:v>114.55138318119</c:v>
                </c:pt>
                <c:pt idx="17">
                  <c:v>116.063181563985</c:v>
                </c:pt>
                <c:pt idx="18">
                  <c:v>114.402308458262</c:v>
                </c:pt>
                <c:pt idx="19">
                  <c:v>112.831849626901</c:v>
                </c:pt>
                <c:pt idx="20">
                  <c:v>115.824547313483</c:v>
                </c:pt>
                <c:pt idx="21">
                  <c:v>115.105297917036</c:v>
                </c:pt>
                <c:pt idx="22">
                  <c:v>111.46075135910201</c:v>
                </c:pt>
                <c:pt idx="23">
                  <c:v>112.79392698415</c:v>
                </c:pt>
                <c:pt idx="24">
                  <c:v>115.827892019236</c:v>
                </c:pt>
                <c:pt idx="25">
                  <c:v>114.21161295350301</c:v>
                </c:pt>
                <c:pt idx="26">
                  <c:v>122.77012505144501</c:v>
                </c:pt>
                <c:pt idx="27">
                  <c:v>115.06023340971799</c:v>
                </c:pt>
                <c:pt idx="28">
                  <c:v>113.001262107613</c:v>
                </c:pt>
                <c:pt idx="29">
                  <c:v>112.002246383076</c:v>
                </c:pt>
                <c:pt idx="30">
                  <c:v>122.416137598329</c:v>
                </c:pt>
                <c:pt idx="31">
                  <c:v>117.061805775198</c:v>
                </c:pt>
                <c:pt idx="32">
                  <c:v>119.59445687565901</c:v>
                </c:pt>
                <c:pt idx="33">
                  <c:v>121.901341334275</c:v>
                </c:pt>
                <c:pt idx="34">
                  <c:v>114.435533787221</c:v>
                </c:pt>
                <c:pt idx="35">
                  <c:v>109.870665333329</c:v>
                </c:pt>
                <c:pt idx="36">
                  <c:v>117.84593090916999</c:v>
                </c:pt>
                <c:pt idx="37">
                  <c:v>118.575818766799</c:v>
                </c:pt>
                <c:pt idx="38">
                  <c:v>118.08427432824701</c:v>
                </c:pt>
                <c:pt idx="39">
                  <c:v>115.15291794164</c:v>
                </c:pt>
                <c:pt idx="40">
                  <c:v>122.320621185907</c:v>
                </c:pt>
                <c:pt idx="41">
                  <c:v>122.417875206052</c:v>
                </c:pt>
                <c:pt idx="42">
                  <c:v>121.256924151538</c:v>
                </c:pt>
                <c:pt idx="43">
                  <c:v>117.219904266684</c:v>
                </c:pt>
                <c:pt idx="44">
                  <c:v>116.75477080108</c:v>
                </c:pt>
                <c:pt idx="45">
                  <c:v>116.483703590725</c:v>
                </c:pt>
                <c:pt idx="46">
                  <c:v>120.449977144915</c:v>
                </c:pt>
                <c:pt idx="47">
                  <c:v>118.634910389927</c:v>
                </c:pt>
                <c:pt idx="48">
                  <c:v>119.18863462363601</c:v>
                </c:pt>
                <c:pt idx="49">
                  <c:v>115.332478270574</c:v>
                </c:pt>
                <c:pt idx="50">
                  <c:v>121.847387467665</c:v>
                </c:pt>
                <c:pt idx="51">
                  <c:v>121.155565258691</c:v>
                </c:pt>
                <c:pt idx="52">
                  <c:v>126.25069588824201</c:v>
                </c:pt>
                <c:pt idx="53">
                  <c:v>118.513935486161</c:v>
                </c:pt>
                <c:pt idx="54">
                  <c:v>119.317637714651</c:v>
                </c:pt>
                <c:pt idx="55">
                  <c:v>125.090006850408</c:v>
                </c:pt>
                <c:pt idx="56">
                  <c:v>125.999466721041</c:v>
                </c:pt>
                <c:pt idx="57">
                  <c:v>122.05490400786501</c:v>
                </c:pt>
                <c:pt idx="58">
                  <c:v>127.783273476448</c:v>
                </c:pt>
                <c:pt idx="59">
                  <c:v>127.999325794548</c:v>
                </c:pt>
                <c:pt idx="60">
                  <c:v>119.78523095281599</c:v>
                </c:pt>
                <c:pt idx="61">
                  <c:v>124.771112484331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E8-4C00-BA3F-D1B37C0E50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Datos!$A$19:$B$80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Datos!$F$19:$F$80</c:f>
              <c:numCache>
                <c:formatCode>0.0</c:formatCode>
                <c:ptCount val="62"/>
                <c:pt idx="0">
                  <c:v>115.24399231256101</c:v>
                </c:pt>
                <c:pt idx="1">
                  <c:v>115.406911170195</c:v>
                </c:pt>
                <c:pt idx="2">
                  <c:v>115.368806710196</c:v>
                </c:pt>
                <c:pt idx="3">
                  <c:v>115.18040481852699</c:v>
                </c:pt>
                <c:pt idx="4">
                  <c:v>114.928265289542</c:v>
                </c:pt>
                <c:pt idx="5">
                  <c:v>114.70659321444199</c:v>
                </c:pt>
                <c:pt idx="6">
                  <c:v>114.568311114389</c:v>
                </c:pt>
                <c:pt idx="7">
                  <c:v>114.561201479519</c:v>
                </c:pt>
                <c:pt idx="8">
                  <c:v>114.705772215457</c:v>
                </c:pt>
                <c:pt idx="9">
                  <c:v>114.968827725143</c:v>
                </c:pt>
                <c:pt idx="10">
                  <c:v>115.29256821649901</c:v>
                </c:pt>
                <c:pt idx="11">
                  <c:v>115.62378603130399</c:v>
                </c:pt>
                <c:pt idx="12">
                  <c:v>115.90928315588999</c:v>
                </c:pt>
                <c:pt idx="13">
                  <c:v>116.068426462391</c:v>
                </c:pt>
                <c:pt idx="14">
                  <c:v>116.06298523780001</c:v>
                </c:pt>
                <c:pt idx="15">
                  <c:v>115.886494761028</c:v>
                </c:pt>
                <c:pt idx="16">
                  <c:v>115.563813644855</c:v>
                </c:pt>
                <c:pt idx="17">
                  <c:v>115.165935448516</c:v>
                </c:pt>
                <c:pt idx="18">
                  <c:v>114.783732132453</c:v>
                </c:pt>
                <c:pt idx="19">
                  <c:v>114.450053414625</c:v>
                </c:pt>
                <c:pt idx="20">
                  <c:v>114.18370134278</c:v>
                </c:pt>
                <c:pt idx="21">
                  <c:v>113.988109779377</c:v>
                </c:pt>
                <c:pt idx="22">
                  <c:v>113.84545891905999</c:v>
                </c:pt>
                <c:pt idx="23">
                  <c:v>113.78717540013101</c:v>
                </c:pt>
                <c:pt idx="24">
                  <c:v>113.85442625747901</c:v>
                </c:pt>
                <c:pt idx="25">
                  <c:v>114.057139685148</c:v>
                </c:pt>
                <c:pt idx="26">
                  <c:v>114.379282932466</c:v>
                </c:pt>
                <c:pt idx="27">
                  <c:v>114.80259189072601</c:v>
                </c:pt>
                <c:pt idx="28">
                  <c:v>115.309747878582</c:v>
                </c:pt>
                <c:pt idx="29">
                  <c:v>115.83961677975699</c:v>
                </c:pt>
                <c:pt idx="30">
                  <c:v>116.328180196182</c:v>
                </c:pt>
                <c:pt idx="31">
                  <c:v>116.746509752154</c:v>
                </c:pt>
                <c:pt idx="32">
                  <c:v>117.101348205858</c:v>
                </c:pt>
                <c:pt idx="33">
                  <c:v>117.412721525751</c:v>
                </c:pt>
                <c:pt idx="34">
                  <c:v>117.71637069518</c:v>
                </c:pt>
                <c:pt idx="35">
                  <c:v>118.010766556703</c:v>
                </c:pt>
                <c:pt idx="36">
                  <c:v>118.27385311354701</c:v>
                </c:pt>
                <c:pt idx="37">
                  <c:v>118.492526592773</c:v>
                </c:pt>
                <c:pt idx="38">
                  <c:v>118.68804223897899</c:v>
                </c:pt>
                <c:pt idx="39">
                  <c:v>118.84807867544799</c:v>
                </c:pt>
                <c:pt idx="40">
                  <c:v>118.963184662769</c:v>
                </c:pt>
                <c:pt idx="41">
                  <c:v>119.01746374843</c:v>
                </c:pt>
                <c:pt idx="42">
                  <c:v>119.008890484617</c:v>
                </c:pt>
                <c:pt idx="43">
                  <c:v>118.942003257972</c:v>
                </c:pt>
                <c:pt idx="44">
                  <c:v>118.83554529389301</c:v>
                </c:pt>
                <c:pt idx="45">
                  <c:v>118.709049731253</c:v>
                </c:pt>
                <c:pt idx="46">
                  <c:v>118.635109102513</c:v>
                </c:pt>
                <c:pt idx="47">
                  <c:v>118.666465936984</c:v>
                </c:pt>
                <c:pt idx="48">
                  <c:v>118.81543663711599</c:v>
                </c:pt>
                <c:pt idx="49">
                  <c:v>119.120911008449</c:v>
                </c:pt>
                <c:pt idx="50">
                  <c:v>119.599798398693</c:v>
                </c:pt>
                <c:pt idx="51">
                  <c:v>120.244633136185</c:v>
                </c:pt>
                <c:pt idx="52">
                  <c:v>120.996512593864</c:v>
                </c:pt>
                <c:pt idx="53">
                  <c:v>121.77881151566901</c:v>
                </c:pt>
                <c:pt idx="54">
                  <c:v>122.556565565664</c:v>
                </c:pt>
                <c:pt idx="55">
                  <c:v>123.288379332272</c:v>
                </c:pt>
                <c:pt idx="56">
                  <c:v>123.931612185737</c:v>
                </c:pt>
                <c:pt idx="57">
                  <c:v>124.44419992044</c:v>
                </c:pt>
                <c:pt idx="58">
                  <c:v>124.786319822214</c:v>
                </c:pt>
                <c:pt idx="59">
                  <c:v>124.94444126565</c:v>
                </c:pt>
                <c:pt idx="60">
                  <c:v>124.96372470543</c:v>
                </c:pt>
                <c:pt idx="61">
                  <c:v>124.89064250031799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E8-4C00-BA3F-D1B37C0E50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3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4468419686614184E-2"/>
          <c:w val="0.90581803245737891"/>
          <c:h val="0.817993984702212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Datos!$G$19:$G$80</c:f>
              <c:numCache>
                <c:formatCode>0.0</c:formatCode>
                <c:ptCount val="62"/>
                <c:pt idx="0">
                  <c:v>104.276289720414</c:v>
                </c:pt>
                <c:pt idx="1">
                  <c:v>104.665054494147</c:v>
                </c:pt>
                <c:pt idx="2">
                  <c:v>104.86199909473901</c:v>
                </c:pt>
                <c:pt idx="3">
                  <c:v>104.273763057412</c:v>
                </c:pt>
                <c:pt idx="4">
                  <c:v>105.524355903542</c:v>
                </c:pt>
                <c:pt idx="5">
                  <c:v>105.150353272115</c:v>
                </c:pt>
                <c:pt idx="6">
                  <c:v>105.049841991553</c:v>
                </c:pt>
                <c:pt idx="7">
                  <c:v>104.075841455093</c:v>
                </c:pt>
                <c:pt idx="8">
                  <c:v>104.65192754165</c:v>
                </c:pt>
                <c:pt idx="9">
                  <c:v>103.797926088156</c:v>
                </c:pt>
                <c:pt idx="10">
                  <c:v>103.00389929036599</c:v>
                </c:pt>
                <c:pt idx="11">
                  <c:v>102.409778719553</c:v>
                </c:pt>
                <c:pt idx="12">
                  <c:v>103.045148644986</c:v>
                </c:pt>
                <c:pt idx="13">
                  <c:v>104.460979224108</c:v>
                </c:pt>
                <c:pt idx="14">
                  <c:v>102.124202438315</c:v>
                </c:pt>
                <c:pt idx="15">
                  <c:v>102.989789824471</c:v>
                </c:pt>
                <c:pt idx="16">
                  <c:v>101.73223932569999</c:v>
                </c:pt>
                <c:pt idx="17">
                  <c:v>103.03896787768601</c:v>
                </c:pt>
                <c:pt idx="18">
                  <c:v>102.549666090161</c:v>
                </c:pt>
                <c:pt idx="19">
                  <c:v>102.775839916883</c:v>
                </c:pt>
                <c:pt idx="20">
                  <c:v>102.694399660616</c:v>
                </c:pt>
                <c:pt idx="21">
                  <c:v>100.359862266286</c:v>
                </c:pt>
                <c:pt idx="22">
                  <c:v>101.553785258999</c:v>
                </c:pt>
                <c:pt idx="23">
                  <c:v>101.258760096591</c:v>
                </c:pt>
                <c:pt idx="24">
                  <c:v>101.877145034869</c:v>
                </c:pt>
                <c:pt idx="25">
                  <c:v>102.095230410401</c:v>
                </c:pt>
                <c:pt idx="26">
                  <c:v>97.967729722920893</c:v>
                </c:pt>
                <c:pt idx="27">
                  <c:v>73.800241628283501</c:v>
                </c:pt>
                <c:pt idx="28">
                  <c:v>72.625643613496393</c:v>
                </c:pt>
                <c:pt idx="29">
                  <c:v>86.521767227671006</c:v>
                </c:pt>
                <c:pt idx="30">
                  <c:v>91.338225486733194</c:v>
                </c:pt>
                <c:pt idx="31">
                  <c:v>94.473786226645601</c:v>
                </c:pt>
                <c:pt idx="32">
                  <c:v>96.823330008973201</c:v>
                </c:pt>
                <c:pt idx="33">
                  <c:v>97.510137080058001</c:v>
                </c:pt>
                <c:pt idx="34">
                  <c:v>98.203647241513707</c:v>
                </c:pt>
                <c:pt idx="35">
                  <c:v>97.725730806415299</c:v>
                </c:pt>
                <c:pt idx="36">
                  <c:v>96.250294510785096</c:v>
                </c:pt>
                <c:pt idx="37">
                  <c:v>97.414713937107095</c:v>
                </c:pt>
                <c:pt idx="38">
                  <c:v>97.905676993453298</c:v>
                </c:pt>
                <c:pt idx="39">
                  <c:v>97.890735797639707</c:v>
                </c:pt>
                <c:pt idx="40">
                  <c:v>97.613845409689006</c:v>
                </c:pt>
                <c:pt idx="41">
                  <c:v>97.093592626140904</c:v>
                </c:pt>
                <c:pt idx="42">
                  <c:v>97.750919617581701</c:v>
                </c:pt>
                <c:pt idx="43">
                  <c:v>98.277516995393498</c:v>
                </c:pt>
                <c:pt idx="44">
                  <c:v>96.956752180782004</c:v>
                </c:pt>
                <c:pt idx="45">
                  <c:v>98.220501648753597</c:v>
                </c:pt>
                <c:pt idx="46">
                  <c:v>98.526014465279502</c:v>
                </c:pt>
                <c:pt idx="47">
                  <c:v>99.388530621879497</c:v>
                </c:pt>
                <c:pt idx="48">
                  <c:v>100.013854161954</c:v>
                </c:pt>
                <c:pt idx="49">
                  <c:v>99.737786568358501</c:v>
                </c:pt>
                <c:pt idx="50">
                  <c:v>100.21857890587999</c:v>
                </c:pt>
                <c:pt idx="51">
                  <c:v>100.59555490427699</c:v>
                </c:pt>
                <c:pt idx="52">
                  <c:v>100.876367177737</c:v>
                </c:pt>
                <c:pt idx="53">
                  <c:v>100.783997924801</c:v>
                </c:pt>
                <c:pt idx="54">
                  <c:v>101.328817980194</c:v>
                </c:pt>
                <c:pt idx="55">
                  <c:v>101.167262725035</c:v>
                </c:pt>
                <c:pt idx="56">
                  <c:v>101.15359505237601</c:v>
                </c:pt>
                <c:pt idx="57">
                  <c:v>101.587839066532</c:v>
                </c:pt>
                <c:pt idx="58">
                  <c:v>101.77418002619299</c:v>
                </c:pt>
                <c:pt idx="59">
                  <c:v>102.50003062819999</c:v>
                </c:pt>
                <c:pt idx="60">
                  <c:v>102.443840906913</c:v>
                </c:pt>
                <c:pt idx="61">
                  <c:v>103.195398238644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7B-46AB-A4EB-DF1B6CE7BB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Datos!$A$19:$B$80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Datos!$H$19:$H$80</c:f>
              <c:numCache>
                <c:formatCode>0.0</c:formatCode>
                <c:ptCount val="62"/>
                <c:pt idx="0">
                  <c:v>104.57952287161901</c:v>
                </c:pt>
                <c:pt idx="1">
                  <c:v>104.70046854515201</c:v>
                </c:pt>
                <c:pt idx="2">
                  <c:v>104.814585716869</c:v>
                </c:pt>
                <c:pt idx="3">
                  <c:v>104.914147856531</c:v>
                </c:pt>
                <c:pt idx="4">
                  <c:v>104.99199457231801</c:v>
                </c:pt>
                <c:pt idx="5">
                  <c:v>105.00777735212699</c:v>
                </c:pt>
                <c:pt idx="6">
                  <c:v>104.87913396654599</c:v>
                </c:pt>
                <c:pt idx="7">
                  <c:v>104.572458971253</c:v>
                </c:pt>
                <c:pt idx="8">
                  <c:v>104.15719309074299</c:v>
                </c:pt>
                <c:pt idx="9">
                  <c:v>103.684831759023</c:v>
                </c:pt>
                <c:pt idx="10">
                  <c:v>103.25627925321901</c:v>
                </c:pt>
                <c:pt idx="11">
                  <c:v>102.919257052597</c:v>
                </c:pt>
                <c:pt idx="12">
                  <c:v>102.67784708398599</c:v>
                </c:pt>
                <c:pt idx="13">
                  <c:v>102.542363325812</c:v>
                </c:pt>
                <c:pt idx="14">
                  <c:v>102.500621141072</c:v>
                </c:pt>
                <c:pt idx="15">
                  <c:v>102.53990493223699</c:v>
                </c:pt>
                <c:pt idx="16">
                  <c:v>102.606884678339</c:v>
                </c:pt>
                <c:pt idx="17">
                  <c:v>102.66997812077599</c:v>
                </c:pt>
                <c:pt idx="18">
                  <c:v>102.670916103617</c:v>
                </c:pt>
                <c:pt idx="19">
                  <c:v>102.56057931325</c:v>
                </c:pt>
                <c:pt idx="20">
                  <c:v>102.33656179256199</c:v>
                </c:pt>
                <c:pt idx="21">
                  <c:v>102.072920295074</c:v>
                </c:pt>
                <c:pt idx="22">
                  <c:v>101.85079556247599</c:v>
                </c:pt>
                <c:pt idx="23">
                  <c:v>101.713241591193</c:v>
                </c:pt>
                <c:pt idx="24">
                  <c:v>101.692647444922</c:v>
                </c:pt>
                <c:pt idx="25">
                  <c:v>101.735075985476</c:v>
                </c:pt>
                <c:pt idx="26">
                  <c:v>101.804940911225</c:v>
                </c:pt>
                <c:pt idx="27">
                  <c:v>94.995745566984297</c:v>
                </c:pt>
                <c:pt idx="28">
                  <c:v>95.093061974798104</c:v>
                </c:pt>
                <c:pt idx="29">
                  <c:v>95.311570352328602</c:v>
                </c:pt>
                <c:pt idx="30">
                  <c:v>95.706998509267194</c:v>
                </c:pt>
                <c:pt idx="31">
                  <c:v>96.255202386669495</c:v>
                </c:pt>
                <c:pt idx="32">
                  <c:v>96.833147486258</c:v>
                </c:pt>
                <c:pt idx="33">
                  <c:v>97.320576720474506</c:v>
                </c:pt>
                <c:pt idx="34">
                  <c:v>97.652035857109297</c:v>
                </c:pt>
                <c:pt idx="35">
                  <c:v>97.821756896807202</c:v>
                </c:pt>
                <c:pt idx="36">
                  <c:v>97.846678482894902</c:v>
                </c:pt>
                <c:pt idx="37">
                  <c:v>97.772219794172301</c:v>
                </c:pt>
                <c:pt idx="38">
                  <c:v>97.682142816861301</c:v>
                </c:pt>
                <c:pt idx="39">
                  <c:v>97.623016524591904</c:v>
                </c:pt>
                <c:pt idx="40">
                  <c:v>97.610039837837405</c:v>
                </c:pt>
                <c:pt idx="41">
                  <c:v>97.625305270895197</c:v>
                </c:pt>
                <c:pt idx="42">
                  <c:v>97.667334758804799</c:v>
                </c:pt>
                <c:pt idx="43">
                  <c:v>97.794227500775804</c:v>
                </c:pt>
                <c:pt idx="44">
                  <c:v>98.033411404586701</c:v>
                </c:pt>
                <c:pt idx="45">
                  <c:v>98.373662045865203</c:v>
                </c:pt>
                <c:pt idx="46">
                  <c:v>98.767065487284199</c:v>
                </c:pt>
                <c:pt idx="47">
                  <c:v>99.185219298062805</c:v>
                </c:pt>
                <c:pt idx="48">
                  <c:v>99.597489221593406</c:v>
                </c:pt>
                <c:pt idx="49">
                  <c:v>99.981844370825399</c:v>
                </c:pt>
                <c:pt idx="50">
                  <c:v>100.304703440186</c:v>
                </c:pt>
                <c:pt idx="51">
                  <c:v>100.555112602124</c:v>
                </c:pt>
                <c:pt idx="52">
                  <c:v>100.760345316574</c:v>
                </c:pt>
                <c:pt idx="53">
                  <c:v>100.92412055142</c:v>
                </c:pt>
                <c:pt idx="54">
                  <c:v>101.069431589521</c:v>
                </c:pt>
                <c:pt idx="55">
                  <c:v>101.204435054049</c:v>
                </c:pt>
                <c:pt idx="56">
                  <c:v>101.366074331923</c:v>
                </c:pt>
                <c:pt idx="57">
                  <c:v>101.604087686336</c:v>
                </c:pt>
                <c:pt idx="58">
                  <c:v>101.91581561800101</c:v>
                </c:pt>
                <c:pt idx="59">
                  <c:v>102.267497178808</c:v>
                </c:pt>
                <c:pt idx="60">
                  <c:v>102.62811004728999</c:v>
                </c:pt>
                <c:pt idx="61">
                  <c:v>102.970304043542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7B-46AB-A4EB-DF1B6CE7BB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4.9405278241123146E-2"/>
          <c:w val="0.90581803245737902"/>
          <c:h val="0.81088055253789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317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Datos!$A$19:$B$80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Datos!$I$19:$I$80</c:f>
              <c:numCache>
                <c:formatCode>0.0</c:formatCode>
                <c:ptCount val="62"/>
                <c:pt idx="0">
                  <c:v>115.560187029239</c:v>
                </c:pt>
                <c:pt idx="1">
                  <c:v>116.432616387896</c:v>
                </c:pt>
                <c:pt idx="2">
                  <c:v>117.52155404154701</c:v>
                </c:pt>
                <c:pt idx="3">
                  <c:v>117.01731773842501</c:v>
                </c:pt>
                <c:pt idx="4">
                  <c:v>117.260184138667</c:v>
                </c:pt>
                <c:pt idx="5">
                  <c:v>117.35690298428599</c:v>
                </c:pt>
                <c:pt idx="6">
                  <c:v>117.68782186303901</c:v>
                </c:pt>
                <c:pt idx="7">
                  <c:v>118.534108661771</c:v>
                </c:pt>
                <c:pt idx="8">
                  <c:v>118.38306244724799</c:v>
                </c:pt>
                <c:pt idx="9">
                  <c:v>118.26978357025</c:v>
                </c:pt>
                <c:pt idx="10">
                  <c:v>118.327583679065</c:v>
                </c:pt>
                <c:pt idx="11">
                  <c:v>117.69161737969399</c:v>
                </c:pt>
                <c:pt idx="12">
                  <c:v>118.343112571178</c:v>
                </c:pt>
                <c:pt idx="13">
                  <c:v>117.856306993156</c:v>
                </c:pt>
                <c:pt idx="14">
                  <c:v>117.541686950648</c:v>
                </c:pt>
                <c:pt idx="15">
                  <c:v>117.541028310252</c:v>
                </c:pt>
                <c:pt idx="16">
                  <c:v>118.14123554245499</c:v>
                </c:pt>
                <c:pt idx="17">
                  <c:v>117.893751271032</c:v>
                </c:pt>
                <c:pt idx="18">
                  <c:v>118.148966804566</c:v>
                </c:pt>
                <c:pt idx="19">
                  <c:v>118.430858691803</c:v>
                </c:pt>
                <c:pt idx="20">
                  <c:v>118.82983963346101</c:v>
                </c:pt>
                <c:pt idx="21">
                  <c:v>119.113249736127</c:v>
                </c:pt>
                <c:pt idx="22">
                  <c:v>118.43241692164101</c:v>
                </c:pt>
                <c:pt idx="23">
                  <c:v>117.785796396883</c:v>
                </c:pt>
                <c:pt idx="24">
                  <c:v>118.693086247674</c:v>
                </c:pt>
                <c:pt idx="25">
                  <c:v>117.752510928058</c:v>
                </c:pt>
                <c:pt idx="26">
                  <c:v>115.130973613664</c:v>
                </c:pt>
                <c:pt idx="27">
                  <c:v>97.979189823440805</c:v>
                </c:pt>
                <c:pt idx="28">
                  <c:v>94.803379927618195</c:v>
                </c:pt>
                <c:pt idx="29">
                  <c:v>101.275459571002</c:v>
                </c:pt>
                <c:pt idx="30">
                  <c:v>106.325744000867</c:v>
                </c:pt>
                <c:pt idx="31">
                  <c:v>108.08713606848499</c:v>
                </c:pt>
                <c:pt idx="32">
                  <c:v>111.194255365629</c:v>
                </c:pt>
                <c:pt idx="33">
                  <c:v>112.682474529366</c:v>
                </c:pt>
                <c:pt idx="34">
                  <c:v>113.81942336336699</c:v>
                </c:pt>
                <c:pt idx="35">
                  <c:v>114.38797389829099</c:v>
                </c:pt>
                <c:pt idx="36">
                  <c:v>113.473388280617</c:v>
                </c:pt>
                <c:pt idx="37">
                  <c:v>111.96314976085</c:v>
                </c:pt>
                <c:pt idx="38">
                  <c:v>115.987707851732</c:v>
                </c:pt>
                <c:pt idx="39">
                  <c:v>115.577687082766</c:v>
                </c:pt>
                <c:pt idx="40">
                  <c:v>115.49685522775</c:v>
                </c:pt>
                <c:pt idx="41">
                  <c:v>115.042422138609</c:v>
                </c:pt>
                <c:pt idx="42">
                  <c:v>114.415877708504</c:v>
                </c:pt>
                <c:pt idx="43">
                  <c:v>111.52113032046699</c:v>
                </c:pt>
                <c:pt idx="44">
                  <c:v>112.824020376627</c:v>
                </c:pt>
                <c:pt idx="45">
                  <c:v>112.68468527514599</c:v>
                </c:pt>
                <c:pt idx="46">
                  <c:v>113.99297098739299</c:v>
                </c:pt>
                <c:pt idx="47">
                  <c:v>115.019184812468</c:v>
                </c:pt>
                <c:pt idx="48">
                  <c:v>114.54836442333099</c:v>
                </c:pt>
                <c:pt idx="49">
                  <c:v>115.366648135864</c:v>
                </c:pt>
                <c:pt idx="50">
                  <c:v>115.466887639761</c:v>
                </c:pt>
                <c:pt idx="51">
                  <c:v>117.120592375017</c:v>
                </c:pt>
                <c:pt idx="52">
                  <c:v>116.980332213512</c:v>
                </c:pt>
                <c:pt idx="53">
                  <c:v>116.860356090053</c:v>
                </c:pt>
                <c:pt idx="54">
                  <c:v>117.42897882150299</c:v>
                </c:pt>
                <c:pt idx="55">
                  <c:v>117.770791264439</c:v>
                </c:pt>
                <c:pt idx="56">
                  <c:v>119.046304179179</c:v>
                </c:pt>
                <c:pt idx="57">
                  <c:v>118.942569862548</c:v>
                </c:pt>
                <c:pt idx="58">
                  <c:v>117.909904611157</c:v>
                </c:pt>
                <c:pt idx="59">
                  <c:v>118.386966605841</c:v>
                </c:pt>
                <c:pt idx="60">
                  <c:v>119.88286995247</c:v>
                </c:pt>
                <c:pt idx="61">
                  <c:v>119.73373215193099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C6-47EC-9650-630117D7B6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Datos!$A$19:$B$80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Datos!$J$19:$J$80</c:f>
              <c:numCache>
                <c:formatCode>0.0</c:formatCode>
                <c:ptCount val="62"/>
                <c:pt idx="0">
                  <c:v>116.08952078777401</c:v>
                </c:pt>
                <c:pt idx="1">
                  <c:v>116.488109850962</c:v>
                </c:pt>
                <c:pt idx="2">
                  <c:v>116.827631877252</c:v>
                </c:pt>
                <c:pt idx="3">
                  <c:v>117.11092291926801</c:v>
                </c:pt>
                <c:pt idx="4">
                  <c:v>117.384828560773</c:v>
                </c:pt>
                <c:pt idx="5">
                  <c:v>117.65665679401501</c:v>
                </c:pt>
                <c:pt idx="6">
                  <c:v>117.89527700904399</c:v>
                </c:pt>
                <c:pt idx="7">
                  <c:v>118.09828169740901</c:v>
                </c:pt>
                <c:pt idx="8">
                  <c:v>118.25372774725101</c:v>
                </c:pt>
                <c:pt idx="9">
                  <c:v>118.313649387034</c:v>
                </c:pt>
                <c:pt idx="10">
                  <c:v>118.24523148146</c:v>
                </c:pt>
                <c:pt idx="11">
                  <c:v>118.102640197616</c:v>
                </c:pt>
                <c:pt idx="12">
                  <c:v>117.945052437534</c:v>
                </c:pt>
                <c:pt idx="13">
                  <c:v>117.824946607615</c:v>
                </c:pt>
                <c:pt idx="14">
                  <c:v>117.76203037743799</c:v>
                </c:pt>
                <c:pt idx="15">
                  <c:v>117.758244147681</c:v>
                </c:pt>
                <c:pt idx="16">
                  <c:v>117.848847373897</c:v>
                </c:pt>
                <c:pt idx="17">
                  <c:v>118.045387346193</c:v>
                </c:pt>
                <c:pt idx="18">
                  <c:v>118.281202544115</c:v>
                </c:pt>
                <c:pt idx="19">
                  <c:v>118.500210225307</c:v>
                </c:pt>
                <c:pt idx="20">
                  <c:v>118.64693038637201</c:v>
                </c:pt>
                <c:pt idx="21">
                  <c:v>118.70089301716</c:v>
                </c:pt>
                <c:pt idx="22">
                  <c:v>118.619479815152</c:v>
                </c:pt>
                <c:pt idx="23">
                  <c:v>118.35863191595099</c:v>
                </c:pt>
                <c:pt idx="24">
                  <c:v>117.925766617305</c:v>
                </c:pt>
                <c:pt idx="25">
                  <c:v>117.44261703680201</c:v>
                </c:pt>
                <c:pt idx="26">
                  <c:v>117.025260972841</c:v>
                </c:pt>
                <c:pt idx="27">
                  <c:v>111.145914020834</c:v>
                </c:pt>
                <c:pt idx="28">
                  <c:v>110.968859650837</c:v>
                </c:pt>
                <c:pt idx="29">
                  <c:v>110.938403372005</c:v>
                </c:pt>
                <c:pt idx="30">
                  <c:v>111.13006053615899</c:v>
                </c:pt>
                <c:pt idx="31">
                  <c:v>111.51939699333499</c:v>
                </c:pt>
                <c:pt idx="32">
                  <c:v>112.01008590447201</c:v>
                </c:pt>
                <c:pt idx="33">
                  <c:v>112.568604203183</c:v>
                </c:pt>
                <c:pt idx="34">
                  <c:v>113.180050397221</c:v>
                </c:pt>
                <c:pt idx="35">
                  <c:v>113.815571900474</c:v>
                </c:pt>
                <c:pt idx="36">
                  <c:v>114.409180189729</c:v>
                </c:pt>
                <c:pt idx="37">
                  <c:v>114.867308610984</c:v>
                </c:pt>
                <c:pt idx="38">
                  <c:v>115.15879217285899</c:v>
                </c:pt>
                <c:pt idx="39">
                  <c:v>115.32089563089301</c:v>
                </c:pt>
                <c:pt idx="40">
                  <c:v>115.319865907002</c:v>
                </c:pt>
                <c:pt idx="41">
                  <c:v>115.10415270108101</c:v>
                </c:pt>
                <c:pt idx="42">
                  <c:v>114.74057266663399</c:v>
                </c:pt>
                <c:pt idx="43">
                  <c:v>114.364935377406</c:v>
                </c:pt>
                <c:pt idx="44">
                  <c:v>114.131150097297</c:v>
                </c:pt>
                <c:pt idx="45">
                  <c:v>114.0600096336</c:v>
                </c:pt>
                <c:pt idx="46">
                  <c:v>114.165109069994</c:v>
                </c:pt>
                <c:pt idx="47">
                  <c:v>114.456940657347</c:v>
                </c:pt>
                <c:pt idx="48">
                  <c:v>114.895793704448</c:v>
                </c:pt>
                <c:pt idx="49">
                  <c:v>115.41519905409299</c:v>
                </c:pt>
                <c:pt idx="50">
                  <c:v>115.919996267532</c:v>
                </c:pt>
                <c:pt idx="51">
                  <c:v>116.36521767285301</c:v>
                </c:pt>
                <c:pt idx="52">
                  <c:v>116.809653842339</c:v>
                </c:pt>
                <c:pt idx="53">
                  <c:v>117.272015649018</c:v>
                </c:pt>
                <c:pt idx="54">
                  <c:v>117.669897869998</c:v>
                </c:pt>
                <c:pt idx="55">
                  <c:v>117.98039521889299</c:v>
                </c:pt>
                <c:pt idx="56">
                  <c:v>118.242175762089</c:v>
                </c:pt>
                <c:pt idx="57">
                  <c:v>118.49553759894501</c:v>
                </c:pt>
                <c:pt idx="58">
                  <c:v>118.75684470559</c:v>
                </c:pt>
                <c:pt idx="59">
                  <c:v>118.998284314654</c:v>
                </c:pt>
                <c:pt idx="60">
                  <c:v>119.248548649527</c:v>
                </c:pt>
                <c:pt idx="61">
                  <c:v>119.53554958242501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2C6-47EC-9650-630117D7B6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2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10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63797169811314"/>
          <c:y val="5.5786070982700206E-2"/>
          <c:w val="0.70725825471698112"/>
          <c:h val="0.8675236311753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12700"/>
              <a:bevelB w="50800" h="127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1-D9D3-4A7E-A18B-D892DBBBB94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3-D9D3-4A7E-A18B-D892DBBBB94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75000"/>
                  <a:alpha val="70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5-D9D3-4A7E-A18B-D892DBBBB94E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12700"/>
                <a:bevelB w="50800" h="12700"/>
              </a:sp3d>
            </c:spPr>
            <c:extLst>
              <c:ext xmlns:c16="http://schemas.microsoft.com/office/drawing/2014/chart" uri="{C3380CC4-5D6E-409C-BE32-E72D297353CC}">
                <c16:uniqueId val="{00000007-D9D3-4A7E-A18B-D892DBBBB94E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D9D3-4A7E-A18B-D892DBBBB94E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D9D3-4A7E-A18B-D892DBBBB94E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D9D3-4A7E-A18B-D892DBBBB94E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D3-4A7E-A18B-D892DBBBB94E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D3-4A7E-A18B-D892DBBBB94E}"/>
                </c:ext>
              </c:extLst>
            </c:dLbl>
            <c:dLbl>
              <c:idx val="2"/>
              <c:layout>
                <c:manualLayout>
                  <c:x val="-1.0938415159345342E-2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D3-4A7E-A18B-D892DBBBB94E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9D3-4A7E-A18B-D892DBBBB9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secundarias</c:v>
                </c:pt>
                <c:pt idx="1">
                  <c:v>   Actividades terciarias</c:v>
                </c:pt>
                <c:pt idx="2">
                  <c:v>   Actividades  primarias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3.5337718630079999</c:v>
                </c:pt>
                <c:pt idx="1">
                  <c:v>3.8203947123059998</c:v>
                </c:pt>
                <c:pt idx="2">
                  <c:v>7.5092751976649996</c:v>
                </c:pt>
                <c:pt idx="3">
                  <c:v>3.8431146830760001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9D3-4A7E-A18B-D892DBBBB9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800" kern="0" cap="none" spc="0" normalizeH="0" baseline="0"/>
            </a:pPr>
            <a:endParaRPr lang="es-MX"/>
          </a:p>
        </c:txPr>
        <c:crossAx val="665995792"/>
        <c:crossesAt val="0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8.1999999999999993"/>
          <c:min val="0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800"/>
            </a:pPr>
            <a:endParaRPr lang="es-MX"/>
          </a:p>
        </c:txPr>
        <c:crossAx val="665998144"/>
        <c:crosses val="autoZero"/>
        <c:crossBetween val="between"/>
        <c:majorUnit val="2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9844-A4A8-4FC7-9D82-05AD26BD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1464</Words>
  <Characters>8056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lastModifiedBy>MARTINEZ GALINDO MINERVA JOAQUINA</cp:lastModifiedBy>
  <cp:revision>6</cp:revision>
  <cp:lastPrinted>2022-09-23T15:10:00Z</cp:lastPrinted>
  <dcterms:created xsi:type="dcterms:W3CDTF">2023-04-24T16:18:00Z</dcterms:created>
  <dcterms:modified xsi:type="dcterms:W3CDTF">2023-04-24T17:25:00Z</dcterms:modified>
  <cp:version>1</cp:version>
</cp:coreProperties>
</file>