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0B32" w14:textId="40B4A736" w:rsidR="00D65EF3" w:rsidRPr="00FC3C74" w:rsidRDefault="00060696" w:rsidP="00D65EF3">
      <w:pPr>
        <w:pStyle w:val="Ttulo"/>
        <w:ind w:left="709"/>
        <w:jc w:val="right"/>
        <w:rPr>
          <w:b w:val="0"/>
          <w:bCs/>
          <w:caps/>
          <w:sz w:val="16"/>
          <w:szCs w:val="16"/>
          <w:lang w:val="es-MX"/>
        </w:rPr>
      </w:pPr>
      <w:bookmarkStart w:id="0" w:name="_Hlk139987964"/>
      <w:bookmarkStart w:id="1" w:name="_Hlk61875621"/>
      <w:r>
        <w:rPr>
          <w:noProof/>
          <w:lang w:eastAsia="es-MX"/>
        </w:rPr>
        <mc:AlternateContent>
          <mc:Choice Requires="wps">
            <w:drawing>
              <wp:anchor distT="45720" distB="45720" distL="114300" distR="114300" simplePos="0" relativeHeight="251664384" behindDoc="0" locked="0" layoutInCell="1" allowOverlap="1" wp14:anchorId="71E45E4F" wp14:editId="31A22E75">
                <wp:simplePos x="0" y="0"/>
                <wp:positionH relativeFrom="margin">
                  <wp:posOffset>3043555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54D6FFF8" w14:textId="77777777" w:rsidR="00D25398" w:rsidRPr="00B30160" w:rsidRDefault="00D25398" w:rsidP="00D25398">
                            <w:pPr>
                              <w:jc w:val="right"/>
                              <w:rPr>
                                <w:rFonts w:ascii="Arial Negrita" w:hAnsi="Arial Negrita"/>
                                <w:color w:val="07BFBA"/>
                              </w:rPr>
                            </w:pPr>
                            <w:r w:rsidRPr="00B30160">
                              <w:rPr>
                                <w:rFonts w:ascii="Arial Negrita" w:hAnsi="Arial Negrita"/>
                                <w:color w:val="07BFBA"/>
                              </w:rPr>
                              <w:t xml:space="preserve">Próxima publicación: </w:t>
                            </w:r>
                            <w:r w:rsidRPr="00B30160">
                              <w:rPr>
                                <w:rFonts w:ascii="Arial Negrita" w:hAnsi="Arial Negrita"/>
                                <w:b/>
                                <w:bCs/>
                                <w:color w:val="07BFBA"/>
                              </w:rPr>
                              <w:t>3 de octubre</w:t>
                            </w:r>
                          </w:p>
                          <w:p w14:paraId="5726ABE0" w14:textId="77777777" w:rsidR="00D25398" w:rsidRDefault="00D25398" w:rsidP="00D25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5E4F" id="_x0000_t202" coordsize="21600,21600" o:spt="202" path="m,l,21600r21600,l21600,xe">
                <v:stroke joinstyle="miter"/>
                <v:path gradientshapeok="t" o:connecttype="rect"/>
              </v:shapetype>
              <v:shape id="Cuadro de texto 217" o:spid="_x0000_s1026" type="#_x0000_t202" style="position:absolute;left:0;text-align:left;margin-left:239.65pt;margin-top:0;width:262.7pt;height:2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" filled="f" stroked="f">
                <v:textbox>
                  <w:txbxContent>
                    <w:p w14:paraId="54D6FFF8" w14:textId="77777777" w:rsidR="00D25398" w:rsidRPr="00B30160" w:rsidRDefault="00D25398" w:rsidP="00D25398">
                      <w:pPr>
                        <w:jc w:val="right"/>
                        <w:rPr>
                          <w:rFonts w:ascii="Arial Negrita" w:hAnsi="Arial Negrita"/>
                          <w:color w:val="07BFBA"/>
                        </w:rPr>
                      </w:pPr>
                      <w:r w:rsidRPr="00B30160">
                        <w:rPr>
                          <w:rFonts w:ascii="Arial Negrita" w:hAnsi="Arial Negrita"/>
                          <w:color w:val="07BFBA"/>
                        </w:rPr>
                        <w:t xml:space="preserve">Próxima publicación: </w:t>
                      </w:r>
                      <w:r w:rsidRPr="00B30160">
                        <w:rPr>
                          <w:rFonts w:ascii="Arial Negrita" w:hAnsi="Arial Negrita"/>
                          <w:b/>
                          <w:bCs/>
                          <w:color w:val="07BFBA"/>
                        </w:rPr>
                        <w:t>3 de octubre</w:t>
                      </w:r>
                    </w:p>
                    <w:p w14:paraId="5726ABE0" w14:textId="77777777" w:rsidR="00D25398" w:rsidRDefault="00D25398" w:rsidP="00D25398"/>
                  </w:txbxContent>
                </v:textbox>
                <w10:wrap type="square" anchorx="margin"/>
              </v:shape>
            </w:pict>
          </mc:Fallback>
        </mc:AlternateContent>
      </w:r>
    </w:p>
    <w:bookmarkEnd w:id="0"/>
    <w:bookmarkEnd w:id="1"/>
    <w:p w14:paraId="79C82F79" w14:textId="417BAD50" w:rsidR="001F200A" w:rsidRDefault="001F200A" w:rsidP="00D65EF3">
      <w:pPr>
        <w:spacing w:before="360"/>
        <w:ind w:right="49"/>
        <w:rPr>
          <w:spacing w:val="2"/>
          <w:lang w:val="es-MX" w:eastAsia="en-US"/>
        </w:rPr>
      </w:pPr>
    </w:p>
    <w:p w14:paraId="4A544DF5" w14:textId="77777777" w:rsidR="00884809" w:rsidRPr="00884809" w:rsidRDefault="00884809" w:rsidP="00884809">
      <w:pPr>
        <w:spacing w:before="360"/>
        <w:jc w:val="center"/>
        <w:rPr>
          <w:b/>
          <w:bCs/>
          <w:caps/>
          <w:szCs w:val="28"/>
          <w:lang w:val="es-MX"/>
        </w:rPr>
      </w:pPr>
      <w:r w:rsidRPr="00884809">
        <w:rPr>
          <w:b/>
          <w:bCs/>
          <w:caps/>
          <w:szCs w:val="28"/>
          <w:lang w:val="es-MX"/>
        </w:rPr>
        <w:t xml:space="preserve">INDICADOR MENSUAL DEL CONSUMO PRIVADO </w:t>
      </w:r>
    </w:p>
    <w:p w14:paraId="274B885A" w14:textId="3E4B59A6" w:rsidR="00884809" w:rsidRPr="00884809" w:rsidRDefault="00884809" w:rsidP="00884809">
      <w:pPr>
        <w:jc w:val="center"/>
        <w:rPr>
          <w:b/>
          <w:smallCaps/>
          <w:sz w:val="22"/>
          <w:szCs w:val="28"/>
          <w:lang w:val="es-MX"/>
        </w:rPr>
      </w:pPr>
      <w:r>
        <w:rPr>
          <w:b/>
          <w:smallCaps/>
          <w:sz w:val="22"/>
          <w:szCs w:val="28"/>
          <w:lang w:val="es-MX"/>
        </w:rPr>
        <w:t>J</w:t>
      </w:r>
      <w:r w:rsidRPr="00884809">
        <w:rPr>
          <w:b/>
          <w:smallCaps/>
          <w:sz w:val="22"/>
          <w:szCs w:val="28"/>
          <w:lang w:val="es-MX"/>
        </w:rPr>
        <w:t>unio de 2023</w:t>
      </w:r>
    </w:p>
    <w:p w14:paraId="01B3F674" w14:textId="77777777" w:rsidR="00884809" w:rsidRDefault="00884809" w:rsidP="00884809">
      <w:pPr>
        <w:pStyle w:val="Prrafodelista"/>
        <w:spacing w:before="240"/>
        <w:ind w:left="0" w:right="51"/>
        <w:contextualSpacing w:val="0"/>
        <w:rPr>
          <w:snapToGrid w:val="0"/>
          <w:color w:val="000000" w:themeColor="text1"/>
          <w:szCs w:val="22"/>
          <w:bdr w:val="none" w:sz="0" w:space="0" w:color="auto" w:frame="1"/>
          <w:lang w:val="es-MX"/>
        </w:rPr>
      </w:pPr>
      <w:r w:rsidRPr="00884809">
        <w:rPr>
          <w:snapToGrid w:val="0"/>
          <w:color w:val="000000" w:themeColor="text1"/>
          <w:szCs w:val="22"/>
          <w:bdr w:val="none" w:sz="0" w:space="0" w:color="auto" w:frame="1"/>
          <w:lang w:val="es-MX"/>
        </w:rPr>
        <w:t>Con la actualización del Sistema de Cuentas Nacionales de México, se inicia la difusión de la nueva serie base 2018 del Indicador Mensual del Consumo Privado (IMCP).</w:t>
      </w:r>
    </w:p>
    <w:p w14:paraId="2FD9BEEB" w14:textId="77777777" w:rsidR="00C33543" w:rsidRPr="00C33543" w:rsidRDefault="00C33543" w:rsidP="00C33543">
      <w:pPr>
        <w:pStyle w:val="Prrafodelista"/>
        <w:spacing w:before="240"/>
        <w:ind w:left="0" w:right="51"/>
        <w:contextualSpacing w:val="0"/>
        <w:rPr>
          <w:snapToGrid w:val="0"/>
          <w:color w:val="000000" w:themeColor="text1"/>
          <w:szCs w:val="22"/>
          <w:bdr w:val="none" w:sz="0" w:space="0" w:color="auto" w:frame="1"/>
          <w:lang w:val="es-MX"/>
        </w:rPr>
      </w:pPr>
      <w:r w:rsidRPr="00C33543">
        <w:rPr>
          <w:snapToGrid w:val="0"/>
          <w:color w:val="000000" w:themeColor="text1"/>
          <w:szCs w:val="22"/>
          <w:bdr w:val="none" w:sz="0" w:space="0" w:color="auto" w:frame="1"/>
          <w:lang w:val="es-MX"/>
        </w:rPr>
        <w:t xml:space="preserve">En junio de 2023 y con cifras desestacionalizadas, el </w:t>
      </w:r>
      <w:bookmarkStart w:id="2" w:name="_Hlk144306694"/>
      <w:r w:rsidRPr="00C33543">
        <w:rPr>
          <w:snapToGrid w:val="0"/>
          <w:color w:val="000000" w:themeColor="text1"/>
          <w:szCs w:val="22"/>
          <w:bdr w:val="none" w:sz="0" w:space="0" w:color="auto" w:frame="1"/>
          <w:lang w:val="es-MX"/>
        </w:rPr>
        <w:t>IMCP</w:t>
      </w:r>
      <w:bookmarkEnd w:id="2"/>
      <w:r w:rsidRPr="00C33543">
        <w:rPr>
          <w:snapToGrid w:val="0"/>
          <w:color w:val="000000" w:themeColor="text1"/>
          <w:szCs w:val="22"/>
          <w:bdr w:val="none" w:sz="0" w:space="0" w:color="auto" w:frame="1"/>
          <w:lang w:val="es-MX"/>
        </w:rPr>
        <w:t xml:space="preserve"> aumentó, en términos reales, 0.3 % a tasa mensual. </w:t>
      </w:r>
    </w:p>
    <w:p w14:paraId="285C3955" w14:textId="77777777" w:rsidR="00C33543" w:rsidRDefault="00C33543" w:rsidP="00884809">
      <w:pPr>
        <w:pStyle w:val="Prrafodelista"/>
        <w:spacing w:before="240"/>
        <w:ind w:left="0" w:right="51"/>
        <w:contextualSpacing w:val="0"/>
        <w:rPr>
          <w:snapToGrid w:val="0"/>
          <w:color w:val="000000" w:themeColor="text1"/>
          <w:szCs w:val="22"/>
          <w:bdr w:val="none" w:sz="0" w:space="0" w:color="auto" w:frame="1"/>
          <w:lang w:val="es-MX"/>
        </w:rPr>
      </w:pPr>
    </w:p>
    <w:p w14:paraId="17BC8B83" w14:textId="77777777" w:rsidR="00C33543" w:rsidRDefault="00C33543" w:rsidP="00C33543">
      <w:pPr>
        <w:jc w:val="center"/>
        <w:outlineLvl w:val="3"/>
        <w:rPr>
          <w:b/>
          <w:smallCaps/>
          <w:sz w:val="22"/>
        </w:rPr>
      </w:pPr>
      <w:r>
        <w:rPr>
          <w:b/>
          <w:smallCaps/>
          <w:sz w:val="22"/>
        </w:rPr>
        <w:t xml:space="preserve">Indicador Mensual del Consumo Privado </w:t>
      </w:r>
    </w:p>
    <w:p w14:paraId="3740D989" w14:textId="77777777" w:rsidR="00C33543" w:rsidRDefault="00C33543" w:rsidP="00C33543">
      <w:pPr>
        <w:jc w:val="center"/>
        <w:outlineLvl w:val="3"/>
        <w:rPr>
          <w:sz w:val="18"/>
          <w:szCs w:val="18"/>
        </w:rPr>
      </w:pPr>
      <w:r>
        <w:rPr>
          <w:sz w:val="18"/>
          <w:szCs w:val="18"/>
        </w:rPr>
        <w:t>(Índice base 2018=100)</w:t>
      </w:r>
    </w:p>
    <w:p w14:paraId="4DE63868" w14:textId="77777777" w:rsidR="00C33543" w:rsidRDefault="00C33543" w:rsidP="00C33543">
      <w:pPr>
        <w:jc w:val="center"/>
        <w:rPr>
          <w:sz w:val="18"/>
          <w:szCs w:val="18"/>
        </w:rPr>
      </w:pPr>
      <w:r>
        <w:rPr>
          <w:noProof/>
        </w:rPr>
        <w:drawing>
          <wp:inline distT="0" distB="0" distL="0" distR="0" wp14:anchorId="16E486BD" wp14:editId="5811B183">
            <wp:extent cx="4320000" cy="2520000"/>
            <wp:effectExtent l="0" t="0" r="23495" b="33020"/>
            <wp:docPr id="1407100118"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0ECD3E" w14:textId="77777777" w:rsidR="00C33543" w:rsidRPr="00F8412E" w:rsidRDefault="00C33543" w:rsidP="00C33543">
      <w:pPr>
        <w:ind w:left="993" w:firstLine="708"/>
        <w:jc w:val="left"/>
        <w:rPr>
          <w:sz w:val="16"/>
        </w:rPr>
      </w:pPr>
      <w:r>
        <w:rPr>
          <w:sz w:val="16"/>
        </w:rPr>
        <w:t>Fuente: INEGI</w:t>
      </w:r>
    </w:p>
    <w:p w14:paraId="7AB8221F" w14:textId="77777777" w:rsidR="00884809" w:rsidRDefault="00884809" w:rsidP="00884809">
      <w:pPr>
        <w:pStyle w:val="Prrafodelista"/>
        <w:spacing w:before="240"/>
        <w:ind w:left="0" w:right="51"/>
        <w:contextualSpacing w:val="0"/>
        <w:rPr>
          <w:snapToGrid w:val="0"/>
          <w:color w:val="000000" w:themeColor="text1"/>
          <w:szCs w:val="22"/>
          <w:bdr w:val="none" w:sz="0" w:space="0" w:color="auto" w:frame="1"/>
          <w:lang w:val="es-MX"/>
        </w:rPr>
      </w:pPr>
    </w:p>
    <w:p w14:paraId="08BD96FE" w14:textId="77777777" w:rsidR="00C33543" w:rsidRDefault="00C33543" w:rsidP="00C33543">
      <w:pPr>
        <w:pStyle w:val="Prrafodelista"/>
        <w:spacing w:before="240"/>
        <w:ind w:left="0" w:right="51"/>
        <w:contextualSpacing w:val="0"/>
        <w:rPr>
          <w:snapToGrid w:val="0"/>
          <w:color w:val="000000" w:themeColor="text1"/>
          <w:szCs w:val="22"/>
          <w:bdr w:val="none" w:sz="0" w:space="0" w:color="auto" w:frame="1"/>
          <w:lang w:val="es-MX"/>
        </w:rPr>
      </w:pPr>
      <w:bookmarkStart w:id="3" w:name="_Hlk123837737"/>
      <w:r w:rsidRPr="00C33543">
        <w:rPr>
          <w:snapToGrid w:val="0"/>
          <w:color w:val="000000" w:themeColor="text1"/>
          <w:szCs w:val="22"/>
          <w:bdr w:val="none" w:sz="0" w:space="0" w:color="auto" w:frame="1"/>
          <w:lang w:val="es-MX"/>
        </w:rPr>
        <w:t xml:space="preserve">Por componente, en junio de este año y con datos ajustados por estacionalidad, </w:t>
      </w:r>
      <w:bookmarkStart w:id="4" w:name="_Hlk141815215"/>
      <w:bookmarkEnd w:id="3"/>
      <w:r w:rsidRPr="00C33543">
        <w:rPr>
          <w:snapToGrid w:val="0"/>
          <w:color w:val="000000" w:themeColor="text1"/>
          <w:szCs w:val="22"/>
          <w:bdr w:val="none" w:sz="0" w:space="0" w:color="auto" w:frame="1"/>
          <w:lang w:val="es-MX"/>
        </w:rPr>
        <w:t xml:space="preserve">el consumo de bienes de origen importado ascendió 2.4 % y el de bienes y servicios de origen nacional cayó 0.1 </w:t>
      </w:r>
      <w:bookmarkEnd w:id="4"/>
      <w:r w:rsidRPr="00C33543">
        <w:rPr>
          <w:snapToGrid w:val="0"/>
          <w:color w:val="000000" w:themeColor="text1"/>
          <w:szCs w:val="22"/>
          <w:bdr w:val="none" w:sz="0" w:space="0" w:color="auto" w:frame="1"/>
          <w:lang w:val="es-MX"/>
        </w:rPr>
        <w:t>por ciento.</w:t>
      </w:r>
    </w:p>
    <w:p w14:paraId="79BFF349" w14:textId="77777777" w:rsidR="00D97911" w:rsidRPr="003B5D54" w:rsidRDefault="00D97911" w:rsidP="00D97911">
      <w:pPr>
        <w:pStyle w:val="Prrafodelista"/>
        <w:spacing w:before="240"/>
        <w:ind w:left="0" w:right="51"/>
        <w:contextualSpacing w:val="0"/>
        <w:rPr>
          <w:snapToGrid w:val="0"/>
          <w:color w:val="000000" w:themeColor="text1"/>
          <w:szCs w:val="22"/>
          <w:bdr w:val="none" w:sz="0" w:space="0" w:color="auto" w:frame="1"/>
          <w:lang w:val="es-MX"/>
        </w:rPr>
      </w:pPr>
      <w:r w:rsidRPr="003B5D54">
        <w:rPr>
          <w:snapToGrid w:val="0"/>
          <w:color w:val="000000" w:themeColor="text1"/>
          <w:szCs w:val="22"/>
          <w:bdr w:val="none" w:sz="0" w:space="0" w:color="auto" w:frame="1"/>
          <w:lang w:val="es-MX"/>
        </w:rPr>
        <w:t>A tasa anual y con series desestacionalizadas, el IMCP incrementó 4.1 por ciento. A su interior, el gasto en bienes de origen importado creció 20.9 % y en bienes y servicios nacionales, 0.9 % (el de servicios subió 5.5 % y el de bienes retrocedió 2.9 %).</w:t>
      </w:r>
    </w:p>
    <w:p w14:paraId="2B5327DD" w14:textId="77777777" w:rsidR="003B5D54" w:rsidRDefault="003B5D54" w:rsidP="00C33543">
      <w:pPr>
        <w:pStyle w:val="Prrafodelista"/>
        <w:spacing w:before="240"/>
        <w:ind w:left="0" w:right="51"/>
        <w:contextualSpacing w:val="0"/>
        <w:rPr>
          <w:snapToGrid w:val="0"/>
          <w:color w:val="000000" w:themeColor="text1"/>
          <w:szCs w:val="22"/>
          <w:bdr w:val="none" w:sz="0" w:space="0" w:color="auto" w:frame="1"/>
          <w:lang w:val="es-MX"/>
        </w:rPr>
      </w:pPr>
    </w:p>
    <w:p w14:paraId="3CB517BE" w14:textId="177C853C" w:rsidR="003B5D54" w:rsidRDefault="003B5D54">
      <w:pPr>
        <w:spacing w:after="160" w:line="259" w:lineRule="auto"/>
        <w:jc w:val="left"/>
        <w:rPr>
          <w:snapToGrid w:val="0"/>
          <w:color w:val="000000" w:themeColor="text1"/>
          <w:szCs w:val="22"/>
          <w:bdr w:val="none" w:sz="0" w:space="0" w:color="auto" w:frame="1"/>
          <w:lang w:val="es-MX"/>
        </w:rPr>
      </w:pPr>
      <w:r>
        <w:rPr>
          <w:snapToGrid w:val="0"/>
          <w:color w:val="000000" w:themeColor="text1"/>
          <w:szCs w:val="22"/>
          <w:bdr w:val="none" w:sz="0" w:space="0" w:color="auto" w:frame="1"/>
          <w:lang w:val="es-MX"/>
        </w:rPr>
        <w:br w:type="page"/>
      </w:r>
    </w:p>
    <w:p w14:paraId="28551F59" w14:textId="77777777" w:rsidR="00D25398" w:rsidRDefault="00D25398" w:rsidP="003B5D54">
      <w:pPr>
        <w:pStyle w:val="p0"/>
        <w:spacing w:before="0"/>
        <w:jc w:val="center"/>
        <w:rPr>
          <w:b/>
          <w:smallCaps/>
          <w:color w:val="auto"/>
          <w:sz w:val="22"/>
          <w:szCs w:val="22"/>
        </w:rPr>
      </w:pPr>
      <w:bookmarkStart w:id="5" w:name="_Hlk144467001"/>
    </w:p>
    <w:p w14:paraId="04659EBF" w14:textId="77777777" w:rsidR="00D25398" w:rsidRDefault="00D25398" w:rsidP="003B5D54">
      <w:pPr>
        <w:pStyle w:val="p0"/>
        <w:spacing w:before="0"/>
        <w:jc w:val="center"/>
        <w:rPr>
          <w:b/>
          <w:smallCaps/>
          <w:color w:val="auto"/>
          <w:sz w:val="22"/>
          <w:szCs w:val="22"/>
        </w:rPr>
      </w:pPr>
    </w:p>
    <w:p w14:paraId="5C886F4D" w14:textId="31767437" w:rsidR="003B5D54" w:rsidRPr="00F72BEB" w:rsidRDefault="003B5D54" w:rsidP="003B5D54">
      <w:pPr>
        <w:pStyle w:val="p0"/>
        <w:spacing w:before="0"/>
        <w:jc w:val="center"/>
        <w:rPr>
          <w:b/>
          <w:smallCaps/>
          <w:color w:val="auto"/>
          <w:sz w:val="20"/>
        </w:rPr>
      </w:pPr>
      <w:r>
        <w:rPr>
          <w:b/>
          <w:smallCaps/>
          <w:color w:val="auto"/>
          <w:sz w:val="22"/>
          <w:szCs w:val="22"/>
        </w:rPr>
        <w:t xml:space="preserve">Indicador Mensual del Consumo Privado </w:t>
      </w:r>
      <w:r>
        <w:rPr>
          <w:b/>
          <w:smallCaps/>
          <w:color w:val="auto"/>
          <w:sz w:val="22"/>
          <w:szCs w:val="22"/>
        </w:rPr>
        <w:br/>
      </w:r>
      <w:r w:rsidRPr="00F72BEB">
        <w:rPr>
          <w:b/>
          <w:smallCaps/>
          <w:color w:val="auto"/>
          <w:sz w:val="20"/>
        </w:rPr>
        <w:t xml:space="preserve">cifras desestacionalizadas </w:t>
      </w:r>
    </w:p>
    <w:p w14:paraId="7922D4EE" w14:textId="77777777" w:rsidR="003B5D54" w:rsidRPr="003B4594" w:rsidRDefault="003B5D54" w:rsidP="003B5D54">
      <w:pPr>
        <w:pStyle w:val="p0"/>
        <w:spacing w:before="0"/>
        <w:jc w:val="center"/>
        <w:rPr>
          <w:b/>
          <w:smallCaps/>
          <w:color w:val="auto"/>
          <w:sz w:val="20"/>
        </w:rPr>
      </w:pPr>
      <w:r>
        <w:rPr>
          <w:b/>
          <w:smallCaps/>
          <w:color w:val="auto"/>
          <w:sz w:val="20"/>
        </w:rPr>
        <w:t>junio</w:t>
      </w:r>
      <w:r w:rsidRPr="003B4594">
        <w:rPr>
          <w:b/>
          <w:smallCaps/>
          <w:color w:val="auto"/>
          <w:sz w:val="20"/>
        </w:rPr>
        <w:t xml:space="preserve"> de 202</w:t>
      </w:r>
      <w:r>
        <w:rPr>
          <w:b/>
          <w:smallCaps/>
          <w:color w:val="auto"/>
          <w:sz w:val="20"/>
        </w:rPr>
        <w:t>3</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3B5D54" w14:paraId="6DF33F2C" w14:textId="77777777" w:rsidTr="00DB28D4">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9C9C9" w:themeFill="accent3" w:themeFillTint="99"/>
            <w:vAlign w:val="center"/>
            <w:hideMark/>
          </w:tcPr>
          <w:p w14:paraId="484FA73F" w14:textId="77777777" w:rsidR="003B5D54" w:rsidRDefault="003B5D54" w:rsidP="00DB28D4">
            <w:pPr>
              <w:pStyle w:val="p0"/>
              <w:tabs>
                <w:tab w:val="left" w:pos="546"/>
              </w:tabs>
              <w:spacing w:before="0"/>
              <w:jc w:val="left"/>
              <w:rPr>
                <w:color w:val="auto"/>
                <w:sz w:val="18"/>
                <w:lang w:val="es-ES"/>
              </w:rPr>
            </w:pPr>
            <w:r>
              <w:rPr>
                <w:color w:val="auto"/>
                <w:sz w:val="18"/>
                <w:lang w:val="es-ES"/>
              </w:rPr>
              <w:t>Consumo de bienes y servicios por origen</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9C9C9" w:themeFill="accent3" w:themeFillTint="99"/>
            <w:vAlign w:val="center"/>
            <w:hideMark/>
          </w:tcPr>
          <w:p w14:paraId="32CFEE3C" w14:textId="77777777" w:rsidR="003B5D54" w:rsidRDefault="003B5D54" w:rsidP="00DB28D4">
            <w:pPr>
              <w:pStyle w:val="p0"/>
              <w:keepNext/>
              <w:spacing w:before="0"/>
              <w:jc w:val="center"/>
              <w:rPr>
                <w:color w:val="auto"/>
                <w:sz w:val="18"/>
                <w:lang w:val="es-ES"/>
              </w:rPr>
            </w:pPr>
            <w:r>
              <w:rPr>
                <w:color w:val="auto"/>
                <w:sz w:val="18"/>
                <w:lang w:val="es-ES"/>
              </w:rPr>
              <w:t>Variación porcentual real respecto a:</w:t>
            </w:r>
          </w:p>
        </w:tc>
      </w:tr>
      <w:tr w:rsidR="003B5D54" w14:paraId="05175173" w14:textId="77777777" w:rsidTr="00DB28D4">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9C9C9" w:themeFill="accent3" w:themeFillTint="99"/>
            <w:vAlign w:val="center"/>
          </w:tcPr>
          <w:p w14:paraId="27CB70D9" w14:textId="77777777" w:rsidR="003B5D54" w:rsidRDefault="003B5D54" w:rsidP="00DB28D4">
            <w:pPr>
              <w:pStyle w:val="p0"/>
              <w:tabs>
                <w:tab w:val="left" w:pos="546"/>
              </w:tabs>
              <w:spacing w:before="0"/>
              <w:ind w:firstLine="537"/>
              <w:jc w:val="left"/>
              <w:rPr>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9C9C9" w:themeFill="accent3" w:themeFillTint="99"/>
            <w:vAlign w:val="center"/>
          </w:tcPr>
          <w:p w14:paraId="42B50408" w14:textId="77777777" w:rsidR="003B5D54" w:rsidRDefault="003B5D54" w:rsidP="00DB28D4">
            <w:pPr>
              <w:pStyle w:val="p0"/>
              <w:keepNext/>
              <w:spacing w:before="0"/>
              <w:jc w:val="center"/>
              <w:rPr>
                <w:color w:val="auto"/>
                <w:sz w:val="18"/>
                <w:lang w:val="es-ES"/>
              </w:rPr>
            </w:pPr>
            <w:r>
              <w:rPr>
                <w:color w:val="auto"/>
                <w:sz w:val="18"/>
                <w:lang w:val="es-ES"/>
              </w:rPr>
              <w:t>mayo</w:t>
            </w:r>
            <w:r>
              <w:rPr>
                <w:color w:val="auto"/>
                <w:sz w:val="18"/>
                <w:lang w:val="es-ES"/>
              </w:rPr>
              <w:br/>
              <w:t>de 2023</w:t>
            </w:r>
          </w:p>
        </w:tc>
        <w:tc>
          <w:tcPr>
            <w:tcW w:w="1765" w:type="dxa"/>
            <w:tcBorders>
              <w:top w:val="single" w:sz="4" w:space="0" w:color="404040"/>
              <w:left w:val="single" w:sz="4" w:space="0" w:color="404040"/>
              <w:bottom w:val="single" w:sz="4" w:space="0" w:color="404040"/>
              <w:right w:val="double" w:sz="4" w:space="0" w:color="auto"/>
            </w:tcBorders>
            <w:shd w:val="clear" w:color="auto" w:fill="C9C9C9" w:themeFill="accent3" w:themeFillTint="99"/>
            <w:vAlign w:val="center"/>
          </w:tcPr>
          <w:p w14:paraId="35688085" w14:textId="77777777" w:rsidR="003B5D54" w:rsidRDefault="003B5D54" w:rsidP="00DB28D4">
            <w:pPr>
              <w:pStyle w:val="p0"/>
              <w:keepNext/>
              <w:spacing w:before="0"/>
              <w:jc w:val="center"/>
              <w:rPr>
                <w:color w:val="auto"/>
                <w:sz w:val="18"/>
                <w:lang w:val="es-ES"/>
              </w:rPr>
            </w:pPr>
            <w:r>
              <w:rPr>
                <w:color w:val="auto"/>
                <w:sz w:val="18"/>
                <w:lang w:val="es-ES"/>
              </w:rPr>
              <w:t>junio</w:t>
            </w:r>
            <w:r>
              <w:rPr>
                <w:color w:val="auto"/>
                <w:sz w:val="18"/>
                <w:lang w:val="es-ES"/>
              </w:rPr>
              <w:br/>
              <w:t>de 2022</w:t>
            </w:r>
          </w:p>
        </w:tc>
      </w:tr>
      <w:tr w:rsidR="003B5D54" w:rsidRPr="00A75FAD" w14:paraId="3546A11C" w14:textId="77777777" w:rsidTr="00DB28D4">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6A9C682A" w14:textId="77777777" w:rsidR="003B5D54" w:rsidRPr="003654AA" w:rsidRDefault="003B5D54" w:rsidP="00DB28D4">
            <w:pPr>
              <w:pStyle w:val="p0"/>
              <w:tabs>
                <w:tab w:val="left" w:pos="5103"/>
              </w:tabs>
              <w:spacing w:before="0"/>
              <w:ind w:firstLine="62"/>
              <w:jc w:val="left"/>
              <w:rPr>
                <w:b/>
                <w:color w:val="auto"/>
                <w:sz w:val="18"/>
                <w:lang w:val="es-ES"/>
              </w:rPr>
            </w:pPr>
            <w:r w:rsidRPr="003654AA">
              <w:rPr>
                <w:sz w:val="18"/>
              </w:rPr>
              <w:br w:type="page"/>
            </w:r>
            <w:r w:rsidRPr="007E4657">
              <w:rPr>
                <w:b/>
                <w:color w:val="auto"/>
                <w:sz w:val="18"/>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0D5506BA" w14:textId="77777777" w:rsidR="003B5D54" w:rsidRPr="007E4657" w:rsidRDefault="003B5D54" w:rsidP="00DB28D4">
            <w:pPr>
              <w:tabs>
                <w:tab w:val="left" w:pos="5103"/>
              </w:tabs>
              <w:ind w:right="567"/>
              <w:jc w:val="right"/>
              <w:rPr>
                <w:b/>
                <w:sz w:val="18"/>
                <w:lang w:val="es-ES" w:eastAsia="en-US"/>
              </w:rPr>
            </w:pPr>
            <w:r>
              <w:rPr>
                <w:b/>
                <w:sz w:val="18"/>
                <w:lang w:val="es-ES" w:eastAsia="en-US"/>
              </w:rPr>
              <w:t>0.3</w:t>
            </w:r>
          </w:p>
        </w:tc>
        <w:tc>
          <w:tcPr>
            <w:tcW w:w="1765" w:type="dxa"/>
            <w:tcBorders>
              <w:top w:val="single" w:sz="4" w:space="0" w:color="404040"/>
              <w:left w:val="single" w:sz="4" w:space="0" w:color="404040"/>
              <w:bottom w:val="nil"/>
              <w:right w:val="double" w:sz="4" w:space="0" w:color="auto"/>
            </w:tcBorders>
            <w:vAlign w:val="center"/>
            <w:hideMark/>
          </w:tcPr>
          <w:p w14:paraId="11EFBD87" w14:textId="77777777" w:rsidR="003B5D54" w:rsidRPr="003654AA" w:rsidRDefault="003B5D54" w:rsidP="00DB28D4">
            <w:pPr>
              <w:tabs>
                <w:tab w:val="left" w:pos="5103"/>
              </w:tabs>
              <w:ind w:right="620"/>
              <w:jc w:val="right"/>
              <w:rPr>
                <w:b/>
                <w:sz w:val="18"/>
                <w:lang w:val="es-ES" w:eastAsia="en-US"/>
              </w:rPr>
            </w:pPr>
            <w:r>
              <w:rPr>
                <w:b/>
                <w:sz w:val="18"/>
                <w:lang w:val="es-ES" w:eastAsia="en-US"/>
              </w:rPr>
              <w:t>4.1</w:t>
            </w:r>
          </w:p>
        </w:tc>
      </w:tr>
      <w:tr w:rsidR="003B5D54" w:rsidRPr="00A75FAD" w14:paraId="017B1463"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719F8A6F" w14:textId="77777777" w:rsidR="003B5D54" w:rsidRDefault="003B5D54" w:rsidP="00DB28D4">
            <w:pPr>
              <w:pStyle w:val="p0"/>
              <w:tabs>
                <w:tab w:val="left" w:pos="5103"/>
              </w:tabs>
              <w:spacing w:before="0"/>
              <w:ind w:firstLine="313"/>
              <w:jc w:val="left"/>
              <w:rPr>
                <w:b/>
                <w:color w:val="auto"/>
                <w:sz w:val="18"/>
                <w:lang w:val="es-ES"/>
              </w:rPr>
            </w:pPr>
            <w:r>
              <w:rPr>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108EA74F" w14:textId="77777777" w:rsidR="003B5D54" w:rsidRPr="0051417B" w:rsidRDefault="003B5D54" w:rsidP="00DB28D4">
            <w:pPr>
              <w:tabs>
                <w:tab w:val="left" w:pos="5103"/>
              </w:tabs>
              <w:ind w:right="567"/>
              <w:jc w:val="right"/>
              <w:rPr>
                <w:b/>
                <w:sz w:val="18"/>
                <w:lang w:val="es-ES" w:eastAsia="en-US"/>
              </w:rPr>
            </w:pPr>
            <w:r>
              <w:rPr>
                <w:b/>
                <w:sz w:val="18"/>
                <w:lang w:val="es-ES" w:eastAsia="en-US"/>
              </w:rPr>
              <w:t>-0.1</w:t>
            </w:r>
          </w:p>
        </w:tc>
        <w:tc>
          <w:tcPr>
            <w:tcW w:w="1765" w:type="dxa"/>
            <w:tcBorders>
              <w:top w:val="nil"/>
              <w:left w:val="single" w:sz="4" w:space="0" w:color="404040"/>
              <w:bottom w:val="nil"/>
              <w:right w:val="double" w:sz="4" w:space="0" w:color="auto"/>
            </w:tcBorders>
            <w:vAlign w:val="center"/>
            <w:hideMark/>
          </w:tcPr>
          <w:p w14:paraId="4BB5333A" w14:textId="77777777" w:rsidR="003B5D54" w:rsidRPr="0051417B" w:rsidRDefault="003B5D54" w:rsidP="00DB28D4">
            <w:pPr>
              <w:tabs>
                <w:tab w:val="left" w:pos="5103"/>
              </w:tabs>
              <w:ind w:right="620"/>
              <w:jc w:val="right"/>
              <w:rPr>
                <w:b/>
                <w:sz w:val="18"/>
                <w:lang w:val="es-ES" w:eastAsia="en-US"/>
              </w:rPr>
            </w:pPr>
            <w:r>
              <w:rPr>
                <w:b/>
                <w:sz w:val="18"/>
                <w:lang w:val="es-ES" w:eastAsia="en-US"/>
              </w:rPr>
              <w:t>0.9</w:t>
            </w:r>
          </w:p>
        </w:tc>
      </w:tr>
      <w:tr w:rsidR="003B5D54" w:rsidRPr="00A75FAD" w14:paraId="40163C76"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69C9C50C" w14:textId="77777777" w:rsidR="003B5D54" w:rsidRDefault="003B5D54" w:rsidP="00DB28D4">
            <w:pPr>
              <w:pStyle w:val="p0"/>
              <w:tabs>
                <w:tab w:val="left" w:pos="5103"/>
              </w:tabs>
              <w:spacing w:before="0"/>
              <w:ind w:firstLine="454"/>
              <w:jc w:val="left"/>
              <w:rPr>
                <w:color w:val="auto"/>
                <w:sz w:val="18"/>
                <w:lang w:val="es-ES"/>
              </w:rPr>
            </w:pPr>
            <w:r>
              <w:rPr>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7C994834" w14:textId="77777777" w:rsidR="003B5D54" w:rsidRPr="0051417B" w:rsidRDefault="003B5D54" w:rsidP="00DB28D4">
            <w:pPr>
              <w:tabs>
                <w:tab w:val="left" w:pos="5103"/>
              </w:tabs>
              <w:ind w:right="567"/>
              <w:jc w:val="right"/>
              <w:rPr>
                <w:sz w:val="18"/>
                <w:lang w:val="es-ES" w:eastAsia="en-US"/>
              </w:rPr>
            </w:pPr>
            <w:r>
              <w:rPr>
                <w:sz w:val="18"/>
                <w:lang w:val="es-ES" w:eastAsia="en-US"/>
              </w:rPr>
              <w:t>-0.6</w:t>
            </w:r>
          </w:p>
        </w:tc>
        <w:tc>
          <w:tcPr>
            <w:tcW w:w="1765" w:type="dxa"/>
            <w:tcBorders>
              <w:top w:val="nil"/>
              <w:left w:val="single" w:sz="4" w:space="0" w:color="404040"/>
              <w:bottom w:val="nil"/>
              <w:right w:val="double" w:sz="4" w:space="0" w:color="auto"/>
            </w:tcBorders>
            <w:vAlign w:val="center"/>
            <w:hideMark/>
          </w:tcPr>
          <w:p w14:paraId="1F73FF4F" w14:textId="77777777" w:rsidR="003B5D54" w:rsidRPr="0051417B" w:rsidRDefault="003B5D54" w:rsidP="00DB28D4">
            <w:pPr>
              <w:tabs>
                <w:tab w:val="left" w:pos="5103"/>
              </w:tabs>
              <w:ind w:right="620"/>
              <w:jc w:val="right"/>
              <w:rPr>
                <w:sz w:val="18"/>
                <w:lang w:val="es-ES" w:eastAsia="en-US"/>
              </w:rPr>
            </w:pPr>
            <w:r>
              <w:rPr>
                <w:sz w:val="18"/>
                <w:lang w:val="es-ES" w:eastAsia="en-US"/>
              </w:rPr>
              <w:t>-2.9</w:t>
            </w:r>
          </w:p>
        </w:tc>
      </w:tr>
      <w:tr w:rsidR="003B5D54" w:rsidRPr="00A75FAD" w14:paraId="1AE7EAB7"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301A4EA3" w14:textId="77777777" w:rsidR="003B5D54" w:rsidRDefault="003B5D54" w:rsidP="00DB28D4">
            <w:pPr>
              <w:pStyle w:val="p0"/>
              <w:tabs>
                <w:tab w:val="left" w:pos="5103"/>
              </w:tabs>
              <w:spacing w:before="0"/>
              <w:ind w:firstLine="454"/>
              <w:jc w:val="left"/>
              <w:rPr>
                <w:color w:val="auto"/>
                <w:sz w:val="18"/>
                <w:lang w:val="es-ES"/>
              </w:rPr>
            </w:pPr>
            <w:r>
              <w:rPr>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7C479FE6" w14:textId="77777777" w:rsidR="003B5D54" w:rsidRPr="0051417B" w:rsidRDefault="003B5D54" w:rsidP="00DB28D4">
            <w:pPr>
              <w:tabs>
                <w:tab w:val="left" w:pos="5103"/>
              </w:tabs>
              <w:ind w:right="567"/>
              <w:jc w:val="right"/>
              <w:rPr>
                <w:sz w:val="18"/>
                <w:lang w:val="es-ES" w:eastAsia="en-US"/>
              </w:rPr>
            </w:pPr>
            <w:r>
              <w:rPr>
                <w:sz w:val="18"/>
                <w:lang w:val="es-ES" w:eastAsia="en-US"/>
              </w:rPr>
              <w:t>0.5</w:t>
            </w:r>
          </w:p>
        </w:tc>
        <w:tc>
          <w:tcPr>
            <w:tcW w:w="1765" w:type="dxa"/>
            <w:tcBorders>
              <w:top w:val="nil"/>
              <w:left w:val="single" w:sz="4" w:space="0" w:color="404040"/>
              <w:bottom w:val="nil"/>
              <w:right w:val="double" w:sz="4" w:space="0" w:color="auto"/>
            </w:tcBorders>
            <w:vAlign w:val="center"/>
            <w:hideMark/>
          </w:tcPr>
          <w:p w14:paraId="62CE2ED7" w14:textId="77777777" w:rsidR="003B5D54" w:rsidRPr="0051417B" w:rsidRDefault="003B5D54" w:rsidP="00DB28D4">
            <w:pPr>
              <w:tabs>
                <w:tab w:val="left" w:pos="5103"/>
              </w:tabs>
              <w:ind w:right="620"/>
              <w:jc w:val="right"/>
              <w:rPr>
                <w:sz w:val="18"/>
                <w:lang w:val="es-ES" w:eastAsia="en-US"/>
              </w:rPr>
            </w:pPr>
            <w:r>
              <w:rPr>
                <w:sz w:val="18"/>
                <w:lang w:val="es-ES" w:eastAsia="en-US"/>
              </w:rPr>
              <w:t>5.5</w:t>
            </w:r>
          </w:p>
        </w:tc>
      </w:tr>
      <w:tr w:rsidR="003B5D54" w:rsidRPr="00A75FAD" w14:paraId="03C7447C"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4E242494" w14:textId="77777777" w:rsidR="003B5D54" w:rsidRDefault="003B5D54" w:rsidP="00DB28D4">
            <w:pPr>
              <w:pStyle w:val="p0"/>
              <w:tabs>
                <w:tab w:val="left" w:pos="5103"/>
              </w:tabs>
              <w:spacing w:before="0"/>
              <w:ind w:firstLine="313"/>
              <w:jc w:val="left"/>
              <w:rPr>
                <w:b/>
                <w:color w:val="auto"/>
                <w:sz w:val="18"/>
                <w:lang w:val="es-ES"/>
              </w:rPr>
            </w:pPr>
            <w:r>
              <w:rPr>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5B9C2126" w14:textId="77777777" w:rsidR="003B5D54" w:rsidRPr="0051417B" w:rsidRDefault="003B5D54" w:rsidP="00DB28D4">
            <w:pPr>
              <w:tabs>
                <w:tab w:val="left" w:pos="5103"/>
              </w:tabs>
              <w:ind w:right="567"/>
              <w:jc w:val="right"/>
              <w:rPr>
                <w:b/>
                <w:sz w:val="18"/>
                <w:lang w:val="es-ES" w:eastAsia="en-US"/>
              </w:rPr>
            </w:pPr>
            <w:r>
              <w:rPr>
                <w:b/>
                <w:sz w:val="18"/>
                <w:lang w:val="es-ES" w:eastAsia="en-US"/>
              </w:rPr>
              <w:t>2.4</w:t>
            </w:r>
          </w:p>
        </w:tc>
        <w:tc>
          <w:tcPr>
            <w:tcW w:w="1765" w:type="dxa"/>
            <w:tcBorders>
              <w:top w:val="nil"/>
              <w:left w:val="single" w:sz="4" w:space="0" w:color="404040"/>
              <w:bottom w:val="nil"/>
              <w:right w:val="double" w:sz="4" w:space="0" w:color="auto"/>
            </w:tcBorders>
            <w:vAlign w:val="center"/>
            <w:hideMark/>
          </w:tcPr>
          <w:p w14:paraId="0FB0916A" w14:textId="77777777" w:rsidR="003B5D54" w:rsidRPr="0051417B" w:rsidRDefault="003B5D54" w:rsidP="00DB28D4">
            <w:pPr>
              <w:tabs>
                <w:tab w:val="left" w:pos="5103"/>
              </w:tabs>
              <w:ind w:right="620"/>
              <w:jc w:val="right"/>
              <w:rPr>
                <w:b/>
                <w:sz w:val="18"/>
                <w:lang w:val="es-ES" w:eastAsia="en-US"/>
              </w:rPr>
            </w:pPr>
            <w:r>
              <w:rPr>
                <w:b/>
                <w:sz w:val="18"/>
                <w:lang w:val="es-ES" w:eastAsia="en-US"/>
              </w:rPr>
              <w:t>20.9</w:t>
            </w:r>
            <w:r w:rsidRPr="0051417B">
              <w:rPr>
                <w:b/>
                <w:sz w:val="18"/>
                <w:lang w:val="es-ES" w:eastAsia="en-US"/>
              </w:rPr>
              <w:t xml:space="preserve"> </w:t>
            </w:r>
          </w:p>
        </w:tc>
      </w:tr>
      <w:tr w:rsidR="003B5D54" w:rsidRPr="00A75FAD" w14:paraId="640635CF" w14:textId="77777777" w:rsidTr="00DB28D4">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0E9B0CA3" w14:textId="77777777" w:rsidR="003B5D54" w:rsidRDefault="003B5D54" w:rsidP="00DB28D4">
            <w:pPr>
              <w:pStyle w:val="p0"/>
              <w:tabs>
                <w:tab w:val="left" w:pos="5103"/>
              </w:tabs>
              <w:spacing w:before="0"/>
              <w:ind w:firstLine="454"/>
              <w:jc w:val="left"/>
              <w:rPr>
                <w:color w:val="auto"/>
                <w:sz w:val="18"/>
                <w:lang w:val="es-ES"/>
              </w:rPr>
            </w:pPr>
            <w:r>
              <w:rPr>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D40768B" w14:textId="77777777" w:rsidR="003B5D54" w:rsidRPr="0051417B" w:rsidRDefault="003B5D54" w:rsidP="00DB28D4">
            <w:pPr>
              <w:tabs>
                <w:tab w:val="left" w:pos="5103"/>
              </w:tabs>
              <w:ind w:right="567"/>
              <w:jc w:val="right"/>
              <w:rPr>
                <w:sz w:val="18"/>
                <w:lang w:val="es-ES"/>
              </w:rPr>
            </w:pPr>
            <w:r>
              <w:rPr>
                <w:sz w:val="18"/>
                <w:lang w:val="es-ES"/>
              </w:rPr>
              <w:t>2.4</w:t>
            </w:r>
          </w:p>
        </w:tc>
        <w:tc>
          <w:tcPr>
            <w:tcW w:w="1765" w:type="dxa"/>
            <w:tcBorders>
              <w:top w:val="nil"/>
              <w:left w:val="single" w:sz="4" w:space="0" w:color="404040"/>
              <w:bottom w:val="double" w:sz="4" w:space="0" w:color="404040"/>
              <w:right w:val="double" w:sz="4" w:space="0" w:color="auto"/>
            </w:tcBorders>
            <w:vAlign w:val="center"/>
          </w:tcPr>
          <w:p w14:paraId="5D10AE93" w14:textId="77777777" w:rsidR="003B5D54" w:rsidRPr="0051417B" w:rsidRDefault="003B5D54" w:rsidP="00DB28D4">
            <w:pPr>
              <w:tabs>
                <w:tab w:val="left" w:pos="5103"/>
              </w:tabs>
              <w:ind w:right="620"/>
              <w:jc w:val="right"/>
              <w:rPr>
                <w:sz w:val="18"/>
                <w:lang w:val="es-ES"/>
              </w:rPr>
            </w:pPr>
            <w:r>
              <w:rPr>
                <w:sz w:val="18"/>
                <w:lang w:val="es-ES"/>
              </w:rPr>
              <w:t>20.9</w:t>
            </w:r>
          </w:p>
        </w:tc>
      </w:tr>
    </w:tbl>
    <w:p w14:paraId="5D4B426E" w14:textId="77777777" w:rsidR="003B5D54" w:rsidRPr="00994258" w:rsidRDefault="003B5D54" w:rsidP="003B5D54">
      <w:pPr>
        <w:pStyle w:val="p0"/>
        <w:tabs>
          <w:tab w:val="left" w:pos="5103"/>
        </w:tabs>
        <w:spacing w:before="0"/>
        <w:ind w:left="2492" w:right="1855" w:hanging="601"/>
        <w:rPr>
          <w:b/>
          <w:color w:val="auto"/>
          <w:sz w:val="16"/>
          <w:szCs w:val="16"/>
        </w:rPr>
      </w:pPr>
      <w:r w:rsidRPr="00E2461C">
        <w:rPr>
          <w:color w:val="auto"/>
          <w:sz w:val="16"/>
        </w:rPr>
        <w:t>Nota:</w:t>
      </w:r>
      <w:r w:rsidRPr="00E2461C">
        <w:rPr>
          <w:color w:val="auto"/>
          <w:sz w:val="16"/>
        </w:rPr>
        <w:tab/>
        <w:t xml:space="preserve">Las series desestacionalizadas de los principales agregados del </w:t>
      </w:r>
      <w:r>
        <w:rPr>
          <w:color w:val="auto"/>
          <w:sz w:val="16"/>
        </w:rPr>
        <w:t>c</w:t>
      </w:r>
      <w:r w:rsidRPr="00E2461C">
        <w:rPr>
          <w:color w:val="auto"/>
          <w:sz w:val="16"/>
        </w:rPr>
        <w:t>onsumo</w:t>
      </w:r>
      <w:r>
        <w:rPr>
          <w:color w:val="auto"/>
          <w:sz w:val="16"/>
        </w:rPr>
        <w:t xml:space="preserve"> p</w:t>
      </w:r>
      <w:r w:rsidRPr="00E2461C">
        <w:rPr>
          <w:color w:val="auto"/>
          <w:sz w:val="16"/>
        </w:rPr>
        <w:t>rivado se calculan de manera independiente a la de sus componentes.</w:t>
      </w:r>
    </w:p>
    <w:p w14:paraId="2B4055F2" w14:textId="77777777" w:rsidR="003B5D54" w:rsidRPr="00994258" w:rsidRDefault="003B5D54" w:rsidP="003B5D54">
      <w:pPr>
        <w:pStyle w:val="p0"/>
        <w:spacing w:before="0"/>
        <w:ind w:left="2492" w:right="1855" w:hanging="601"/>
        <w:rPr>
          <w:b/>
          <w:i/>
          <w:color w:val="000000" w:themeColor="text1"/>
          <w:sz w:val="16"/>
          <w:szCs w:val="16"/>
        </w:rPr>
      </w:pPr>
      <w:r w:rsidRPr="006346C0">
        <w:rPr>
          <w:color w:val="000000" w:themeColor="text1"/>
          <w:sz w:val="16"/>
          <w:szCs w:val="16"/>
        </w:rPr>
        <w:t>Fuente: INEGI</w:t>
      </w:r>
    </w:p>
    <w:p w14:paraId="42E11D79" w14:textId="77777777" w:rsidR="00D97911" w:rsidRPr="00551D1A" w:rsidRDefault="00D97911" w:rsidP="00D97911">
      <w:pPr>
        <w:pStyle w:val="parr2"/>
        <w:keepNext/>
        <w:keepLines/>
        <w:spacing w:before="360"/>
        <w:ind w:left="0" w:right="0"/>
        <w:rPr>
          <w:b/>
          <w:iCs/>
          <w:smallCaps/>
        </w:rPr>
      </w:pPr>
      <w:bookmarkStart w:id="6" w:name="_Hlk71222490"/>
      <w:bookmarkEnd w:id="5"/>
      <w:r w:rsidRPr="00551D1A">
        <w:rPr>
          <w:b/>
          <w:iCs/>
          <w:smallCaps/>
        </w:rPr>
        <w:t>Nota al usuario</w:t>
      </w:r>
    </w:p>
    <w:bookmarkEnd w:id="6"/>
    <w:p w14:paraId="51348D30" w14:textId="77777777" w:rsidR="00D97911" w:rsidRPr="006E3CDA" w:rsidRDefault="00D97911" w:rsidP="00D97911">
      <w:pPr>
        <w:pStyle w:val="Default"/>
        <w:keepNext/>
        <w:keepLines/>
        <w:spacing w:before="240"/>
        <w:jc w:val="both"/>
      </w:pPr>
      <w:r w:rsidRPr="006E3CDA">
        <w:t xml:space="preserve">En la integración del IMCP, en </w:t>
      </w:r>
      <w:r>
        <w:t>juni</w:t>
      </w:r>
      <w:r w:rsidRPr="006E3CDA">
        <w:t>o de 2023, se consideraron las encuestas económicas,</w:t>
      </w:r>
      <w:r w:rsidRPr="006E3CDA">
        <w:rPr>
          <w:vertAlign w:val="superscript"/>
        </w:rPr>
        <w:footnoteReference w:id="1"/>
      </w:r>
      <w:r w:rsidRPr="006E3CDA">
        <w:t xml:space="preserve"> los registros administrativos y los datos primarios que divulga el Instituto Nacional de Estadística y Geografía (INEGI), lo que permitió la generación de estadísticas con niveles altos de cobertura. Para las actividades agropecuarias, </w:t>
      </w:r>
      <w:r>
        <w:t xml:space="preserve">de </w:t>
      </w:r>
      <w:r w:rsidRPr="006E3CDA">
        <w:t>energía, gas y agua, servicios financieros y del gobierno se incluyeron los registros administrativos provenientes de las empresas y Unidades del Estado que se recibieron oportunamente vía correo electrónico e internet.</w:t>
      </w:r>
    </w:p>
    <w:p w14:paraId="1ECC1CE0" w14:textId="77777777" w:rsidR="003B5D54" w:rsidRPr="00C33543" w:rsidRDefault="003B5D54" w:rsidP="00C33543">
      <w:pPr>
        <w:pStyle w:val="Prrafodelista"/>
        <w:spacing w:before="240"/>
        <w:ind w:left="0" w:right="51"/>
        <w:contextualSpacing w:val="0"/>
        <w:rPr>
          <w:snapToGrid w:val="0"/>
          <w:color w:val="000000" w:themeColor="text1"/>
          <w:szCs w:val="22"/>
          <w:bdr w:val="none" w:sz="0" w:space="0" w:color="auto" w:frame="1"/>
          <w:lang w:val="es-MX"/>
        </w:rPr>
      </w:pPr>
    </w:p>
    <w:p w14:paraId="5B03C191" w14:textId="77777777" w:rsidR="00884809" w:rsidRPr="00884809" w:rsidRDefault="00884809" w:rsidP="00884809">
      <w:pPr>
        <w:pStyle w:val="Prrafodelista"/>
        <w:spacing w:before="240"/>
        <w:ind w:left="0" w:right="51"/>
        <w:contextualSpacing w:val="0"/>
        <w:rPr>
          <w:snapToGrid w:val="0"/>
          <w:color w:val="000000" w:themeColor="text1"/>
          <w:szCs w:val="22"/>
          <w:bdr w:val="none" w:sz="0" w:space="0" w:color="auto" w:frame="1"/>
          <w:lang w:val="es-MX"/>
        </w:rPr>
      </w:pPr>
    </w:p>
    <w:p w14:paraId="11C1F1EC" w14:textId="77777777" w:rsidR="00EB29AF" w:rsidRPr="00D549CD" w:rsidRDefault="00EB29AF" w:rsidP="00EB29AF">
      <w:pPr>
        <w:pStyle w:val="NormalWeb"/>
        <w:ind w:left="-426" w:right="-518"/>
        <w:contextualSpacing/>
        <w:jc w:val="center"/>
        <w:rPr>
          <w:rFonts w:ascii="Arial" w:hAnsi="Arial" w:cs="Arial"/>
          <w:lang w:val="es-ES_tradnl"/>
        </w:rPr>
      </w:pPr>
      <w:bookmarkStart w:id="7" w:name="_Hlk139988398"/>
      <w:r w:rsidRPr="00D549CD">
        <w:rPr>
          <w:rFonts w:ascii="Arial" w:hAnsi="Arial" w:cs="Arial"/>
          <w:lang w:val="es-ES_tradnl"/>
        </w:rPr>
        <w:t xml:space="preserve">Para consultas de medios y periodistas, escribir a: </w:t>
      </w:r>
      <w:hyperlink r:id="rId9" w:history="1">
        <w:r w:rsidRPr="00D549CD">
          <w:rPr>
            <w:rStyle w:val="Hipervnculo"/>
            <w:rFonts w:ascii="Arial" w:eastAsiaTheme="majorEastAsia" w:hAnsi="Arial" w:cs="Arial"/>
          </w:rPr>
          <w:t>comunicacionsocial@inegi.org.mx</w:t>
        </w:r>
      </w:hyperlink>
      <w:r w:rsidRPr="00D549CD">
        <w:rPr>
          <w:rFonts w:ascii="Arial" w:hAnsi="Arial" w:cs="Arial"/>
          <w:lang w:val="es-ES_tradnl"/>
        </w:rPr>
        <w:t xml:space="preserve">    </w:t>
      </w:r>
    </w:p>
    <w:p w14:paraId="586AAEC5" w14:textId="77777777" w:rsidR="00EB29AF" w:rsidRDefault="00EB29AF" w:rsidP="00EB29AF">
      <w:pPr>
        <w:pStyle w:val="NormalWeb"/>
        <w:spacing w:before="0" w:beforeAutospacing="0" w:after="0" w:afterAutospacing="0"/>
        <w:ind w:left="-426" w:right="-518"/>
        <w:contextualSpacing/>
        <w:jc w:val="center"/>
        <w:rPr>
          <w:rFonts w:ascii="Arial" w:hAnsi="Arial" w:cs="Arial"/>
          <w:lang w:val="es-ES_tradnl"/>
        </w:rPr>
      </w:pPr>
      <w:r w:rsidRPr="00D549CD">
        <w:rPr>
          <w:rFonts w:ascii="Arial" w:hAnsi="Arial" w:cs="Arial"/>
          <w:lang w:val="es-ES_tradnl"/>
        </w:rPr>
        <w:t xml:space="preserve">o llamar al teléfono (55) 52-78-10-00, </w:t>
      </w:r>
      <w:proofErr w:type="spellStart"/>
      <w:r w:rsidRPr="00D549CD">
        <w:rPr>
          <w:rFonts w:ascii="Arial" w:hAnsi="Arial" w:cs="Arial"/>
          <w:lang w:val="es-ES_tradnl"/>
        </w:rPr>
        <w:t>exts</w:t>
      </w:r>
      <w:proofErr w:type="spellEnd"/>
      <w:r w:rsidRPr="00D549CD">
        <w:rPr>
          <w:rFonts w:ascii="Arial" w:hAnsi="Arial" w:cs="Arial"/>
          <w:lang w:val="es-ES_tradnl"/>
        </w:rPr>
        <w:t>. 321064, 321134 y 321241</w:t>
      </w:r>
    </w:p>
    <w:p w14:paraId="46B460A8" w14:textId="77777777" w:rsidR="00D549CD" w:rsidRDefault="00D549CD" w:rsidP="00EB29AF">
      <w:pPr>
        <w:pStyle w:val="NormalWeb"/>
        <w:spacing w:before="0" w:beforeAutospacing="0" w:after="0" w:afterAutospacing="0"/>
        <w:ind w:left="-426" w:right="-518"/>
        <w:contextualSpacing/>
        <w:jc w:val="center"/>
        <w:rPr>
          <w:rFonts w:ascii="Arial" w:hAnsi="Arial" w:cs="Arial"/>
          <w:lang w:val="es-ES_tradnl"/>
        </w:rPr>
      </w:pPr>
    </w:p>
    <w:p w14:paraId="7913604D" w14:textId="77777777" w:rsidR="00D25398" w:rsidRPr="00D549CD" w:rsidRDefault="00D25398" w:rsidP="00EB29AF">
      <w:pPr>
        <w:pStyle w:val="NormalWeb"/>
        <w:spacing w:before="0" w:beforeAutospacing="0" w:after="0" w:afterAutospacing="0"/>
        <w:ind w:left="-426" w:right="-518"/>
        <w:contextualSpacing/>
        <w:jc w:val="center"/>
        <w:rPr>
          <w:rFonts w:ascii="Arial" w:hAnsi="Arial" w:cs="Arial"/>
          <w:lang w:val="es-ES_tradnl"/>
        </w:rPr>
      </w:pPr>
    </w:p>
    <w:p w14:paraId="436C0D1C" w14:textId="77777777" w:rsidR="00EB29AF" w:rsidRDefault="00EB29AF" w:rsidP="00EB29AF">
      <w:pPr>
        <w:pStyle w:val="NormalWeb"/>
        <w:spacing w:before="0" w:beforeAutospacing="0" w:after="0" w:afterAutospacing="0"/>
        <w:ind w:left="-426" w:right="-518"/>
        <w:contextualSpacing/>
        <w:jc w:val="center"/>
        <w:rPr>
          <w:rFonts w:ascii="Arial" w:hAnsi="Arial" w:cs="Arial"/>
        </w:rPr>
      </w:pPr>
      <w:r w:rsidRPr="00D549CD">
        <w:rPr>
          <w:rFonts w:ascii="Arial" w:hAnsi="Arial" w:cs="Arial"/>
        </w:rPr>
        <w:t>Dirección de Atención a Medios/ Dirección General Adjunta de Comunicación</w:t>
      </w:r>
    </w:p>
    <w:p w14:paraId="6AA41337" w14:textId="77777777" w:rsidR="00D549CD" w:rsidRPr="00D549CD" w:rsidRDefault="00D549CD" w:rsidP="00EB29AF">
      <w:pPr>
        <w:pStyle w:val="NormalWeb"/>
        <w:spacing w:before="0" w:beforeAutospacing="0" w:after="0" w:afterAutospacing="0"/>
        <w:ind w:left="-426" w:right="-518"/>
        <w:contextualSpacing/>
        <w:jc w:val="center"/>
        <w:rPr>
          <w:rFonts w:ascii="Arial" w:hAnsi="Arial" w:cs="Arial"/>
        </w:rPr>
      </w:pPr>
    </w:p>
    <w:bookmarkEnd w:id="7"/>
    <w:p w14:paraId="3FAACDEA" w14:textId="01CA5D37" w:rsidR="00D65EF3" w:rsidRDefault="00FF0366" w:rsidP="00FF0366">
      <w:pPr>
        <w:spacing w:before="120"/>
        <w:ind w:left="-425" w:right="-516"/>
        <w:contextualSpacing/>
        <w:jc w:val="center"/>
        <w:rPr>
          <w:noProof/>
          <w:lang w:eastAsia="es-MX"/>
        </w:rPr>
        <w:sectPr w:rsidR="00D65EF3" w:rsidSect="00060696">
          <w:headerReference w:type="default" r:id="rId10"/>
          <w:footerReference w:type="default" r:id="rId11"/>
          <w:pgSz w:w="12240" w:h="15840" w:code="119"/>
          <w:pgMar w:top="2693" w:right="1134" w:bottom="1134" w:left="1134" w:header="709" w:footer="709" w:gutter="0"/>
          <w:cols w:space="708"/>
          <w:docGrid w:linePitch="360"/>
        </w:sectPr>
      </w:pPr>
      <w:r w:rsidRPr="00511745">
        <w:rPr>
          <w:noProof/>
          <w:lang w:eastAsia="es-MX"/>
        </w:rPr>
        <w:drawing>
          <wp:inline distT="0" distB="0" distL="0" distR="0" wp14:anchorId="4DABF6CA" wp14:editId="59277F2B">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511745">
        <w:rPr>
          <w:noProof/>
          <w:lang w:eastAsia="es-MX"/>
        </w:rPr>
        <w:t xml:space="preserve"> </w:t>
      </w:r>
      <w:r w:rsidRPr="00511745">
        <w:rPr>
          <w:noProof/>
          <w:lang w:eastAsia="es-MX"/>
        </w:rPr>
        <w:drawing>
          <wp:inline distT="0" distB="0" distL="0" distR="0" wp14:anchorId="5B468204" wp14:editId="3AF6B4C9">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noProof/>
          <w:lang w:eastAsia="es-MX"/>
        </w:rPr>
        <w:t xml:space="preserve"> </w:t>
      </w:r>
      <w:r w:rsidRPr="00511745">
        <w:rPr>
          <w:noProof/>
          <w:lang w:eastAsia="es-MX"/>
        </w:rPr>
        <w:drawing>
          <wp:inline distT="0" distB="0" distL="0" distR="0" wp14:anchorId="25825AFD" wp14:editId="14E958D4">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noProof/>
          <w:lang w:eastAsia="es-MX"/>
        </w:rPr>
        <w:t xml:space="preserve"> </w:t>
      </w:r>
      <w:r w:rsidRPr="00511745">
        <w:rPr>
          <w:noProof/>
          <w:lang w:eastAsia="es-MX"/>
        </w:rPr>
        <w:drawing>
          <wp:inline distT="0" distB="0" distL="0" distR="0" wp14:anchorId="57018A57" wp14:editId="712516D3">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noProof/>
          <w:lang w:eastAsia="es-MX"/>
        </w:rPr>
        <w:t xml:space="preserve">  </w:t>
      </w:r>
      <w:r w:rsidRPr="00511745">
        <w:rPr>
          <w:noProof/>
          <w:lang w:eastAsia="es-MX"/>
        </w:rPr>
        <w:drawing>
          <wp:inline distT="0" distB="0" distL="0" distR="0" wp14:anchorId="36E99A15" wp14:editId="3AC8F42A">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sidR="00D65EF3">
        <w:rPr>
          <w:noProof/>
          <w:lang w:eastAsia="es-MX"/>
        </w:rPr>
        <w:tab/>
      </w:r>
    </w:p>
    <w:p w14:paraId="73D0D635" w14:textId="60AF07AA" w:rsidR="007875CB" w:rsidRDefault="00D65EF3" w:rsidP="00D0651F">
      <w:pPr>
        <w:pStyle w:val="Profesin"/>
        <w:spacing w:before="120"/>
        <w:outlineLvl w:val="0"/>
        <w:rPr>
          <w:sz w:val="24"/>
          <w:szCs w:val="24"/>
          <w:lang w:val="es-MX"/>
        </w:rPr>
      </w:pPr>
      <w:r w:rsidRPr="002A470D">
        <w:rPr>
          <w:sz w:val="24"/>
          <w:szCs w:val="24"/>
          <w:lang w:val="es-MX"/>
        </w:rPr>
        <w:lastRenderedPageBreak/>
        <w:t>Nota técnica</w:t>
      </w:r>
    </w:p>
    <w:p w14:paraId="592A0FA9" w14:textId="77777777" w:rsidR="00D972D3" w:rsidRDefault="00D972D3" w:rsidP="00D972D3">
      <w:pPr>
        <w:spacing w:before="720"/>
      </w:pPr>
      <w:r>
        <w:t>E</w:t>
      </w:r>
      <w:r w:rsidRPr="007B1557">
        <w:t>l Indicador Mensual del Consumo Privado (IMCP)</w:t>
      </w:r>
      <w:r>
        <w:t xml:space="preserve"> m</w:t>
      </w:r>
      <w:r w:rsidRPr="007B1557">
        <w:t xml:space="preserve">ide el comportamiento del gasto </w:t>
      </w:r>
      <w:r>
        <w:t xml:space="preserve">realizado por </w:t>
      </w:r>
      <w:r w:rsidRPr="007B1557">
        <w:t>los hogares en bienes y servicios de consumo</w:t>
      </w:r>
      <w:r>
        <w:t>,</w:t>
      </w:r>
      <w:r w:rsidRPr="007B1557">
        <w:t xml:space="preserve"> tanto de origen nacional como importado</w:t>
      </w:r>
      <w:r>
        <w:t>.</w:t>
      </w:r>
      <w:r w:rsidRPr="007B1557">
        <w:t xml:space="preserve"> </w:t>
      </w:r>
    </w:p>
    <w:p w14:paraId="3DA7B73D" w14:textId="77777777" w:rsidR="00D972D3" w:rsidRPr="0043069A" w:rsidRDefault="00D972D3" w:rsidP="00D972D3">
      <w:pPr>
        <w:pStyle w:val="Ttulo4"/>
        <w:keepNext w:val="0"/>
        <w:spacing w:before="240"/>
        <w:ind w:firstLine="709"/>
        <w:jc w:val="left"/>
        <w:rPr>
          <w:i w:val="0"/>
          <w:iCs w:val="0"/>
        </w:rPr>
      </w:pPr>
      <w:r w:rsidRPr="00D972D3">
        <w:rPr>
          <w:rFonts w:ascii="Arial" w:eastAsia="Times New Roman" w:hAnsi="Arial" w:cs="Times New Roman"/>
          <w:b/>
          <w:i w:val="0"/>
          <w:color w:val="auto"/>
          <w:szCs w:val="20"/>
          <w:lang w:val="es-MX"/>
        </w:rPr>
        <w:t>Cifras desestacionalizadas</w:t>
      </w:r>
      <w:r w:rsidRPr="00D972D3">
        <w:rPr>
          <w:i w:val="0"/>
          <w:color w:val="auto"/>
          <w:vertAlign w:val="superscript"/>
        </w:rPr>
        <w:footnoteReference w:id="2"/>
      </w:r>
    </w:p>
    <w:p w14:paraId="662D67C3" w14:textId="77777777" w:rsidR="00D972D3" w:rsidRPr="00D972D3" w:rsidRDefault="00D972D3" w:rsidP="00D972D3">
      <w:pPr>
        <w:widowControl w:val="0"/>
        <w:spacing w:before="220"/>
        <w:rPr>
          <w:rFonts w:cs="Times New Roman"/>
          <w:szCs w:val="20"/>
          <w:lang w:val="es-MX"/>
        </w:rPr>
      </w:pPr>
      <w:r w:rsidRPr="00D972D3">
        <w:rPr>
          <w:rFonts w:cs="Times New Roman"/>
          <w:szCs w:val="20"/>
          <w:lang w:val="es-MX"/>
        </w:rPr>
        <w:t>En junio de 2023 y a tasa mensual, el IMCP aumentó 0.3 %, en términos reales.</w:t>
      </w:r>
    </w:p>
    <w:p w14:paraId="76F2A46A" w14:textId="77777777" w:rsidR="00D972D3" w:rsidRPr="009A37CD" w:rsidRDefault="00D972D3" w:rsidP="00D972D3">
      <w:pPr>
        <w:pStyle w:val="p0"/>
        <w:jc w:val="center"/>
        <w:rPr>
          <w:color w:val="auto"/>
          <w:sz w:val="22"/>
          <w:szCs w:val="22"/>
        </w:rPr>
      </w:pPr>
      <w:r w:rsidRPr="009A37CD">
        <w:rPr>
          <w:color w:val="auto"/>
          <w:sz w:val="20"/>
          <w:szCs w:val="22"/>
        </w:rPr>
        <w:t>Cuadro 1</w:t>
      </w:r>
    </w:p>
    <w:p w14:paraId="559A6B05" w14:textId="77777777" w:rsidR="00D972D3" w:rsidRPr="00F72BEB" w:rsidRDefault="00D972D3" w:rsidP="00D972D3">
      <w:pPr>
        <w:pStyle w:val="p0"/>
        <w:spacing w:before="0"/>
        <w:jc w:val="center"/>
        <w:rPr>
          <w:b/>
          <w:smallCaps/>
          <w:color w:val="auto"/>
          <w:sz w:val="20"/>
        </w:rPr>
      </w:pPr>
      <w:r>
        <w:rPr>
          <w:b/>
          <w:smallCaps/>
          <w:color w:val="auto"/>
          <w:sz w:val="22"/>
          <w:szCs w:val="22"/>
        </w:rPr>
        <w:t xml:space="preserve">Indicador Mensual del Consumo Privado </w:t>
      </w:r>
      <w:r>
        <w:rPr>
          <w:b/>
          <w:smallCaps/>
          <w:color w:val="auto"/>
          <w:sz w:val="22"/>
          <w:szCs w:val="22"/>
        </w:rPr>
        <w:br/>
      </w:r>
      <w:r w:rsidRPr="00F72BEB">
        <w:rPr>
          <w:b/>
          <w:smallCaps/>
          <w:color w:val="auto"/>
          <w:sz w:val="20"/>
        </w:rPr>
        <w:t xml:space="preserve">cifras desestacionalizadas </w:t>
      </w:r>
    </w:p>
    <w:p w14:paraId="20088A0B" w14:textId="77777777" w:rsidR="00D972D3" w:rsidRPr="003B4594" w:rsidRDefault="00D972D3" w:rsidP="00D972D3">
      <w:pPr>
        <w:pStyle w:val="p0"/>
        <w:spacing w:before="0"/>
        <w:jc w:val="center"/>
        <w:rPr>
          <w:b/>
          <w:smallCaps/>
          <w:color w:val="auto"/>
          <w:sz w:val="20"/>
        </w:rPr>
      </w:pPr>
      <w:r>
        <w:rPr>
          <w:b/>
          <w:smallCaps/>
          <w:color w:val="auto"/>
          <w:sz w:val="20"/>
        </w:rPr>
        <w:t>junio</w:t>
      </w:r>
      <w:r w:rsidRPr="003B4594">
        <w:rPr>
          <w:b/>
          <w:smallCaps/>
          <w:color w:val="auto"/>
          <w:sz w:val="20"/>
        </w:rPr>
        <w:t xml:space="preserve"> de 202</w:t>
      </w:r>
      <w:r>
        <w:rPr>
          <w:b/>
          <w:smallCaps/>
          <w:color w:val="auto"/>
          <w:sz w:val="20"/>
        </w:rPr>
        <w:t>3</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D972D3" w14:paraId="643B85EC" w14:textId="77777777" w:rsidTr="00DB28D4">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9C9C9" w:themeFill="accent3" w:themeFillTint="99"/>
            <w:vAlign w:val="center"/>
            <w:hideMark/>
          </w:tcPr>
          <w:p w14:paraId="02A478B4" w14:textId="77777777" w:rsidR="00D972D3" w:rsidRDefault="00D972D3" w:rsidP="00DB28D4">
            <w:pPr>
              <w:pStyle w:val="p0"/>
              <w:tabs>
                <w:tab w:val="left" w:pos="546"/>
              </w:tabs>
              <w:spacing w:before="0"/>
              <w:jc w:val="left"/>
              <w:rPr>
                <w:color w:val="auto"/>
                <w:sz w:val="18"/>
                <w:lang w:val="es-ES"/>
              </w:rPr>
            </w:pPr>
            <w:r>
              <w:rPr>
                <w:color w:val="auto"/>
                <w:sz w:val="18"/>
                <w:lang w:val="es-ES"/>
              </w:rPr>
              <w:t>Consumo de bienes y servicios por origen</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9C9C9" w:themeFill="accent3" w:themeFillTint="99"/>
            <w:vAlign w:val="center"/>
            <w:hideMark/>
          </w:tcPr>
          <w:p w14:paraId="7AB74769" w14:textId="77777777" w:rsidR="00D972D3" w:rsidRDefault="00D972D3" w:rsidP="00DB28D4">
            <w:pPr>
              <w:pStyle w:val="p0"/>
              <w:keepNext/>
              <w:spacing w:before="0"/>
              <w:jc w:val="center"/>
              <w:rPr>
                <w:color w:val="auto"/>
                <w:sz w:val="18"/>
                <w:lang w:val="es-ES"/>
              </w:rPr>
            </w:pPr>
            <w:r>
              <w:rPr>
                <w:color w:val="auto"/>
                <w:sz w:val="18"/>
                <w:lang w:val="es-ES"/>
              </w:rPr>
              <w:t>Variación porcentual real respecto a:</w:t>
            </w:r>
          </w:p>
        </w:tc>
      </w:tr>
      <w:tr w:rsidR="00D972D3" w14:paraId="51E31FCC" w14:textId="77777777" w:rsidTr="00DB28D4">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9C9C9" w:themeFill="accent3" w:themeFillTint="99"/>
            <w:vAlign w:val="center"/>
          </w:tcPr>
          <w:p w14:paraId="5A8DAC8A" w14:textId="77777777" w:rsidR="00D972D3" w:rsidRDefault="00D972D3" w:rsidP="00DB28D4">
            <w:pPr>
              <w:pStyle w:val="p0"/>
              <w:tabs>
                <w:tab w:val="left" w:pos="546"/>
              </w:tabs>
              <w:spacing w:before="0"/>
              <w:ind w:firstLine="537"/>
              <w:jc w:val="left"/>
              <w:rPr>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9C9C9" w:themeFill="accent3" w:themeFillTint="99"/>
            <w:vAlign w:val="center"/>
          </w:tcPr>
          <w:p w14:paraId="08210300" w14:textId="77777777" w:rsidR="00D972D3" w:rsidRDefault="00D972D3" w:rsidP="00DB28D4">
            <w:pPr>
              <w:pStyle w:val="p0"/>
              <w:keepNext/>
              <w:spacing w:before="0"/>
              <w:jc w:val="center"/>
              <w:rPr>
                <w:color w:val="auto"/>
                <w:sz w:val="18"/>
                <w:lang w:val="es-ES"/>
              </w:rPr>
            </w:pPr>
            <w:r>
              <w:rPr>
                <w:color w:val="auto"/>
                <w:sz w:val="18"/>
                <w:lang w:val="es-ES"/>
              </w:rPr>
              <w:t>mayo</w:t>
            </w:r>
            <w:r>
              <w:rPr>
                <w:color w:val="auto"/>
                <w:sz w:val="18"/>
                <w:lang w:val="es-ES"/>
              </w:rPr>
              <w:br/>
              <w:t>de 2023</w:t>
            </w:r>
          </w:p>
        </w:tc>
        <w:tc>
          <w:tcPr>
            <w:tcW w:w="1765" w:type="dxa"/>
            <w:tcBorders>
              <w:top w:val="single" w:sz="4" w:space="0" w:color="404040"/>
              <w:left w:val="single" w:sz="4" w:space="0" w:color="404040"/>
              <w:bottom w:val="single" w:sz="4" w:space="0" w:color="404040"/>
              <w:right w:val="double" w:sz="4" w:space="0" w:color="auto"/>
            </w:tcBorders>
            <w:shd w:val="clear" w:color="auto" w:fill="C9C9C9" w:themeFill="accent3" w:themeFillTint="99"/>
            <w:vAlign w:val="center"/>
          </w:tcPr>
          <w:p w14:paraId="757CDACF" w14:textId="77777777" w:rsidR="00D972D3" w:rsidRDefault="00D972D3" w:rsidP="00DB28D4">
            <w:pPr>
              <w:pStyle w:val="p0"/>
              <w:keepNext/>
              <w:spacing w:before="0"/>
              <w:jc w:val="center"/>
              <w:rPr>
                <w:color w:val="auto"/>
                <w:sz w:val="18"/>
                <w:lang w:val="es-ES"/>
              </w:rPr>
            </w:pPr>
            <w:r>
              <w:rPr>
                <w:color w:val="auto"/>
                <w:sz w:val="18"/>
                <w:lang w:val="es-ES"/>
              </w:rPr>
              <w:t>junio</w:t>
            </w:r>
            <w:r>
              <w:rPr>
                <w:color w:val="auto"/>
                <w:sz w:val="18"/>
                <w:lang w:val="es-ES"/>
              </w:rPr>
              <w:br/>
              <w:t>de 2022</w:t>
            </w:r>
          </w:p>
        </w:tc>
      </w:tr>
      <w:tr w:rsidR="00D972D3" w:rsidRPr="00A75FAD" w14:paraId="0695F98F" w14:textId="77777777" w:rsidTr="00DB28D4">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1147C4D5" w14:textId="77777777" w:rsidR="00D972D3" w:rsidRPr="003654AA" w:rsidRDefault="00D972D3" w:rsidP="00DB28D4">
            <w:pPr>
              <w:pStyle w:val="p0"/>
              <w:tabs>
                <w:tab w:val="left" w:pos="5103"/>
              </w:tabs>
              <w:spacing w:before="0"/>
              <w:ind w:firstLine="62"/>
              <w:jc w:val="left"/>
              <w:rPr>
                <w:b/>
                <w:color w:val="auto"/>
                <w:sz w:val="18"/>
                <w:lang w:val="es-ES"/>
              </w:rPr>
            </w:pPr>
            <w:r w:rsidRPr="003654AA">
              <w:rPr>
                <w:sz w:val="18"/>
              </w:rPr>
              <w:br w:type="page"/>
            </w:r>
            <w:r w:rsidRPr="007E4657">
              <w:rPr>
                <w:b/>
                <w:color w:val="auto"/>
                <w:sz w:val="18"/>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0956CC31" w14:textId="77777777" w:rsidR="00D972D3" w:rsidRPr="007E4657" w:rsidRDefault="00D972D3" w:rsidP="00DB28D4">
            <w:pPr>
              <w:tabs>
                <w:tab w:val="left" w:pos="5103"/>
              </w:tabs>
              <w:ind w:right="567"/>
              <w:jc w:val="right"/>
              <w:rPr>
                <w:b/>
                <w:sz w:val="18"/>
                <w:lang w:val="es-ES" w:eastAsia="en-US"/>
              </w:rPr>
            </w:pPr>
            <w:r>
              <w:rPr>
                <w:b/>
                <w:sz w:val="18"/>
                <w:lang w:val="es-ES" w:eastAsia="en-US"/>
              </w:rPr>
              <w:t>0.3</w:t>
            </w:r>
          </w:p>
        </w:tc>
        <w:tc>
          <w:tcPr>
            <w:tcW w:w="1765" w:type="dxa"/>
            <w:tcBorders>
              <w:top w:val="single" w:sz="4" w:space="0" w:color="404040"/>
              <w:left w:val="single" w:sz="4" w:space="0" w:color="404040"/>
              <w:bottom w:val="nil"/>
              <w:right w:val="double" w:sz="4" w:space="0" w:color="auto"/>
            </w:tcBorders>
            <w:vAlign w:val="center"/>
            <w:hideMark/>
          </w:tcPr>
          <w:p w14:paraId="61E418BD" w14:textId="77777777" w:rsidR="00D972D3" w:rsidRPr="003654AA" w:rsidRDefault="00D972D3" w:rsidP="00DB28D4">
            <w:pPr>
              <w:tabs>
                <w:tab w:val="left" w:pos="5103"/>
              </w:tabs>
              <w:ind w:right="620"/>
              <w:jc w:val="right"/>
              <w:rPr>
                <w:b/>
                <w:sz w:val="18"/>
                <w:lang w:val="es-ES" w:eastAsia="en-US"/>
              </w:rPr>
            </w:pPr>
            <w:r>
              <w:rPr>
                <w:b/>
                <w:sz w:val="18"/>
                <w:lang w:val="es-ES" w:eastAsia="en-US"/>
              </w:rPr>
              <w:t>4.1</w:t>
            </w:r>
          </w:p>
        </w:tc>
      </w:tr>
      <w:tr w:rsidR="00D972D3" w:rsidRPr="00A75FAD" w14:paraId="662FC1E2"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42938FD5" w14:textId="77777777" w:rsidR="00D972D3" w:rsidRDefault="00D972D3" w:rsidP="00DB28D4">
            <w:pPr>
              <w:pStyle w:val="p0"/>
              <w:tabs>
                <w:tab w:val="left" w:pos="5103"/>
              </w:tabs>
              <w:spacing w:before="0"/>
              <w:ind w:firstLine="313"/>
              <w:jc w:val="left"/>
              <w:rPr>
                <w:b/>
                <w:color w:val="auto"/>
                <w:sz w:val="18"/>
                <w:lang w:val="es-ES"/>
              </w:rPr>
            </w:pPr>
            <w:r>
              <w:rPr>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3201B0A7" w14:textId="77777777" w:rsidR="00D972D3" w:rsidRPr="0051417B" w:rsidRDefault="00D972D3" w:rsidP="00DB28D4">
            <w:pPr>
              <w:tabs>
                <w:tab w:val="left" w:pos="5103"/>
              </w:tabs>
              <w:ind w:right="567"/>
              <w:jc w:val="right"/>
              <w:rPr>
                <w:b/>
                <w:sz w:val="18"/>
                <w:lang w:val="es-ES" w:eastAsia="en-US"/>
              </w:rPr>
            </w:pPr>
            <w:r>
              <w:rPr>
                <w:b/>
                <w:sz w:val="18"/>
                <w:lang w:val="es-ES" w:eastAsia="en-US"/>
              </w:rPr>
              <w:t>-0.1</w:t>
            </w:r>
          </w:p>
        </w:tc>
        <w:tc>
          <w:tcPr>
            <w:tcW w:w="1765" w:type="dxa"/>
            <w:tcBorders>
              <w:top w:val="nil"/>
              <w:left w:val="single" w:sz="4" w:space="0" w:color="404040"/>
              <w:bottom w:val="nil"/>
              <w:right w:val="double" w:sz="4" w:space="0" w:color="auto"/>
            </w:tcBorders>
            <w:vAlign w:val="center"/>
            <w:hideMark/>
          </w:tcPr>
          <w:p w14:paraId="05E2BB15" w14:textId="77777777" w:rsidR="00D972D3" w:rsidRPr="0051417B" w:rsidRDefault="00D972D3" w:rsidP="00DB28D4">
            <w:pPr>
              <w:tabs>
                <w:tab w:val="left" w:pos="5103"/>
              </w:tabs>
              <w:ind w:right="620"/>
              <w:jc w:val="right"/>
              <w:rPr>
                <w:b/>
                <w:sz w:val="18"/>
                <w:lang w:val="es-ES" w:eastAsia="en-US"/>
              </w:rPr>
            </w:pPr>
            <w:r>
              <w:rPr>
                <w:b/>
                <w:sz w:val="18"/>
                <w:lang w:val="es-ES" w:eastAsia="en-US"/>
              </w:rPr>
              <w:t>0.9</w:t>
            </w:r>
          </w:p>
        </w:tc>
      </w:tr>
      <w:tr w:rsidR="00D972D3" w:rsidRPr="00A75FAD" w14:paraId="3993B61D"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512DF037" w14:textId="77777777" w:rsidR="00D972D3" w:rsidRDefault="00D972D3" w:rsidP="00DB28D4">
            <w:pPr>
              <w:pStyle w:val="p0"/>
              <w:tabs>
                <w:tab w:val="left" w:pos="5103"/>
              </w:tabs>
              <w:spacing w:before="0"/>
              <w:ind w:firstLine="454"/>
              <w:jc w:val="left"/>
              <w:rPr>
                <w:color w:val="auto"/>
                <w:sz w:val="18"/>
                <w:lang w:val="es-ES"/>
              </w:rPr>
            </w:pPr>
            <w:r>
              <w:rPr>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6A654425" w14:textId="77777777" w:rsidR="00D972D3" w:rsidRPr="0051417B" w:rsidRDefault="00D972D3" w:rsidP="00DB28D4">
            <w:pPr>
              <w:tabs>
                <w:tab w:val="left" w:pos="5103"/>
              </w:tabs>
              <w:ind w:right="567"/>
              <w:jc w:val="right"/>
              <w:rPr>
                <w:sz w:val="18"/>
                <w:lang w:val="es-ES" w:eastAsia="en-US"/>
              </w:rPr>
            </w:pPr>
            <w:r>
              <w:rPr>
                <w:sz w:val="18"/>
                <w:lang w:val="es-ES" w:eastAsia="en-US"/>
              </w:rPr>
              <w:t>-0.6</w:t>
            </w:r>
          </w:p>
        </w:tc>
        <w:tc>
          <w:tcPr>
            <w:tcW w:w="1765" w:type="dxa"/>
            <w:tcBorders>
              <w:top w:val="nil"/>
              <w:left w:val="single" w:sz="4" w:space="0" w:color="404040"/>
              <w:bottom w:val="nil"/>
              <w:right w:val="double" w:sz="4" w:space="0" w:color="auto"/>
            </w:tcBorders>
            <w:vAlign w:val="center"/>
            <w:hideMark/>
          </w:tcPr>
          <w:p w14:paraId="49F43B4C" w14:textId="77777777" w:rsidR="00D972D3" w:rsidRPr="0051417B" w:rsidRDefault="00D972D3" w:rsidP="00DB28D4">
            <w:pPr>
              <w:tabs>
                <w:tab w:val="left" w:pos="5103"/>
              </w:tabs>
              <w:ind w:right="620"/>
              <w:jc w:val="right"/>
              <w:rPr>
                <w:sz w:val="18"/>
                <w:lang w:val="es-ES" w:eastAsia="en-US"/>
              </w:rPr>
            </w:pPr>
            <w:r>
              <w:rPr>
                <w:sz w:val="18"/>
                <w:lang w:val="es-ES" w:eastAsia="en-US"/>
              </w:rPr>
              <w:t>-2.9</w:t>
            </w:r>
          </w:p>
        </w:tc>
      </w:tr>
      <w:tr w:rsidR="00D972D3" w:rsidRPr="00A75FAD" w14:paraId="7338A3EC"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72BE58C3" w14:textId="77777777" w:rsidR="00D972D3" w:rsidRDefault="00D972D3" w:rsidP="00DB28D4">
            <w:pPr>
              <w:pStyle w:val="p0"/>
              <w:tabs>
                <w:tab w:val="left" w:pos="5103"/>
              </w:tabs>
              <w:spacing w:before="0"/>
              <w:ind w:firstLine="454"/>
              <w:jc w:val="left"/>
              <w:rPr>
                <w:color w:val="auto"/>
                <w:sz w:val="18"/>
                <w:lang w:val="es-ES"/>
              </w:rPr>
            </w:pPr>
            <w:r>
              <w:rPr>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0B603611" w14:textId="77777777" w:rsidR="00D972D3" w:rsidRPr="0051417B" w:rsidRDefault="00D972D3" w:rsidP="00DB28D4">
            <w:pPr>
              <w:tabs>
                <w:tab w:val="left" w:pos="5103"/>
              </w:tabs>
              <w:ind w:right="567"/>
              <w:jc w:val="right"/>
              <w:rPr>
                <w:sz w:val="18"/>
                <w:lang w:val="es-ES" w:eastAsia="en-US"/>
              </w:rPr>
            </w:pPr>
            <w:r>
              <w:rPr>
                <w:sz w:val="18"/>
                <w:lang w:val="es-ES" w:eastAsia="en-US"/>
              </w:rPr>
              <w:t>0.5</w:t>
            </w:r>
          </w:p>
        </w:tc>
        <w:tc>
          <w:tcPr>
            <w:tcW w:w="1765" w:type="dxa"/>
            <w:tcBorders>
              <w:top w:val="nil"/>
              <w:left w:val="single" w:sz="4" w:space="0" w:color="404040"/>
              <w:bottom w:val="nil"/>
              <w:right w:val="double" w:sz="4" w:space="0" w:color="auto"/>
            </w:tcBorders>
            <w:vAlign w:val="center"/>
            <w:hideMark/>
          </w:tcPr>
          <w:p w14:paraId="0506DC28" w14:textId="77777777" w:rsidR="00D972D3" w:rsidRPr="0051417B" w:rsidRDefault="00D972D3" w:rsidP="00DB28D4">
            <w:pPr>
              <w:tabs>
                <w:tab w:val="left" w:pos="5103"/>
              </w:tabs>
              <w:ind w:right="620"/>
              <w:jc w:val="right"/>
              <w:rPr>
                <w:sz w:val="18"/>
                <w:lang w:val="es-ES" w:eastAsia="en-US"/>
              </w:rPr>
            </w:pPr>
            <w:r>
              <w:rPr>
                <w:sz w:val="18"/>
                <w:lang w:val="es-ES" w:eastAsia="en-US"/>
              </w:rPr>
              <w:t>5.5</w:t>
            </w:r>
          </w:p>
        </w:tc>
      </w:tr>
      <w:tr w:rsidR="00D972D3" w:rsidRPr="00A75FAD" w14:paraId="6448FC5F" w14:textId="77777777" w:rsidTr="00DB28D4">
        <w:trPr>
          <w:cantSplit/>
          <w:trHeight w:val="255"/>
          <w:jc w:val="center"/>
        </w:trPr>
        <w:tc>
          <w:tcPr>
            <w:tcW w:w="2834" w:type="dxa"/>
            <w:tcBorders>
              <w:top w:val="nil"/>
              <w:left w:val="double" w:sz="4" w:space="0" w:color="auto"/>
              <w:bottom w:val="nil"/>
              <w:right w:val="single" w:sz="4" w:space="0" w:color="404040"/>
            </w:tcBorders>
            <w:vAlign w:val="center"/>
            <w:hideMark/>
          </w:tcPr>
          <w:p w14:paraId="5EF59A2E" w14:textId="77777777" w:rsidR="00D972D3" w:rsidRDefault="00D972D3" w:rsidP="00DB28D4">
            <w:pPr>
              <w:pStyle w:val="p0"/>
              <w:tabs>
                <w:tab w:val="left" w:pos="5103"/>
              </w:tabs>
              <w:spacing w:before="0"/>
              <w:ind w:firstLine="313"/>
              <w:jc w:val="left"/>
              <w:rPr>
                <w:b/>
                <w:color w:val="auto"/>
                <w:sz w:val="18"/>
                <w:lang w:val="es-ES"/>
              </w:rPr>
            </w:pPr>
            <w:r>
              <w:rPr>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0F28C3E2" w14:textId="77777777" w:rsidR="00D972D3" w:rsidRPr="0051417B" w:rsidRDefault="00D972D3" w:rsidP="00DB28D4">
            <w:pPr>
              <w:tabs>
                <w:tab w:val="left" w:pos="5103"/>
              </w:tabs>
              <w:ind w:right="567"/>
              <w:jc w:val="right"/>
              <w:rPr>
                <w:b/>
                <w:sz w:val="18"/>
                <w:lang w:val="es-ES" w:eastAsia="en-US"/>
              </w:rPr>
            </w:pPr>
            <w:r>
              <w:rPr>
                <w:b/>
                <w:sz w:val="18"/>
                <w:lang w:val="es-ES" w:eastAsia="en-US"/>
              </w:rPr>
              <w:t>2.4</w:t>
            </w:r>
          </w:p>
        </w:tc>
        <w:tc>
          <w:tcPr>
            <w:tcW w:w="1765" w:type="dxa"/>
            <w:tcBorders>
              <w:top w:val="nil"/>
              <w:left w:val="single" w:sz="4" w:space="0" w:color="404040"/>
              <w:bottom w:val="nil"/>
              <w:right w:val="double" w:sz="4" w:space="0" w:color="auto"/>
            </w:tcBorders>
            <w:vAlign w:val="center"/>
            <w:hideMark/>
          </w:tcPr>
          <w:p w14:paraId="29EF8188" w14:textId="77777777" w:rsidR="00D972D3" w:rsidRPr="0051417B" w:rsidRDefault="00D972D3" w:rsidP="00DB28D4">
            <w:pPr>
              <w:tabs>
                <w:tab w:val="left" w:pos="5103"/>
              </w:tabs>
              <w:ind w:right="620"/>
              <w:jc w:val="right"/>
              <w:rPr>
                <w:b/>
                <w:sz w:val="18"/>
                <w:lang w:val="es-ES" w:eastAsia="en-US"/>
              </w:rPr>
            </w:pPr>
            <w:r>
              <w:rPr>
                <w:b/>
                <w:sz w:val="18"/>
                <w:lang w:val="es-ES" w:eastAsia="en-US"/>
              </w:rPr>
              <w:t>20.9</w:t>
            </w:r>
            <w:r w:rsidRPr="0051417B">
              <w:rPr>
                <w:b/>
                <w:sz w:val="18"/>
                <w:lang w:val="es-ES" w:eastAsia="en-US"/>
              </w:rPr>
              <w:t xml:space="preserve"> </w:t>
            </w:r>
          </w:p>
        </w:tc>
      </w:tr>
      <w:tr w:rsidR="00D972D3" w:rsidRPr="00A75FAD" w14:paraId="56697DDD" w14:textId="77777777" w:rsidTr="00DB28D4">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5F06AAAB" w14:textId="77777777" w:rsidR="00D972D3" w:rsidRDefault="00D972D3" w:rsidP="00DB28D4">
            <w:pPr>
              <w:pStyle w:val="p0"/>
              <w:tabs>
                <w:tab w:val="left" w:pos="5103"/>
              </w:tabs>
              <w:spacing w:before="0"/>
              <w:ind w:firstLine="454"/>
              <w:jc w:val="left"/>
              <w:rPr>
                <w:color w:val="auto"/>
                <w:sz w:val="18"/>
                <w:lang w:val="es-ES"/>
              </w:rPr>
            </w:pPr>
            <w:r>
              <w:rPr>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1DCE3A04" w14:textId="77777777" w:rsidR="00D972D3" w:rsidRPr="0051417B" w:rsidRDefault="00D972D3" w:rsidP="00DB28D4">
            <w:pPr>
              <w:tabs>
                <w:tab w:val="left" w:pos="5103"/>
              </w:tabs>
              <w:ind w:right="567"/>
              <w:jc w:val="right"/>
              <w:rPr>
                <w:sz w:val="18"/>
                <w:lang w:val="es-ES"/>
              </w:rPr>
            </w:pPr>
            <w:r>
              <w:rPr>
                <w:sz w:val="18"/>
                <w:lang w:val="es-ES"/>
              </w:rPr>
              <w:t>2.4</w:t>
            </w:r>
          </w:p>
        </w:tc>
        <w:tc>
          <w:tcPr>
            <w:tcW w:w="1765" w:type="dxa"/>
            <w:tcBorders>
              <w:top w:val="nil"/>
              <w:left w:val="single" w:sz="4" w:space="0" w:color="404040"/>
              <w:bottom w:val="double" w:sz="4" w:space="0" w:color="404040"/>
              <w:right w:val="double" w:sz="4" w:space="0" w:color="auto"/>
            </w:tcBorders>
            <w:vAlign w:val="center"/>
          </w:tcPr>
          <w:p w14:paraId="0B946168" w14:textId="77777777" w:rsidR="00D972D3" w:rsidRPr="0051417B" w:rsidRDefault="00D972D3" w:rsidP="00DB28D4">
            <w:pPr>
              <w:tabs>
                <w:tab w:val="left" w:pos="5103"/>
              </w:tabs>
              <w:ind w:right="620"/>
              <w:jc w:val="right"/>
              <w:rPr>
                <w:sz w:val="18"/>
                <w:lang w:val="es-ES"/>
              </w:rPr>
            </w:pPr>
            <w:r>
              <w:rPr>
                <w:sz w:val="18"/>
                <w:lang w:val="es-ES"/>
              </w:rPr>
              <w:t>20.9</w:t>
            </w:r>
          </w:p>
        </w:tc>
      </w:tr>
    </w:tbl>
    <w:p w14:paraId="280E7222" w14:textId="77777777" w:rsidR="00D972D3" w:rsidRPr="00994258" w:rsidRDefault="00D972D3" w:rsidP="00D972D3">
      <w:pPr>
        <w:pStyle w:val="p0"/>
        <w:tabs>
          <w:tab w:val="left" w:pos="5103"/>
        </w:tabs>
        <w:spacing w:before="0"/>
        <w:ind w:left="2492" w:right="1855" w:hanging="601"/>
        <w:rPr>
          <w:b/>
          <w:color w:val="auto"/>
          <w:sz w:val="16"/>
          <w:szCs w:val="16"/>
        </w:rPr>
      </w:pPr>
      <w:r w:rsidRPr="00E2461C">
        <w:rPr>
          <w:color w:val="auto"/>
          <w:sz w:val="16"/>
        </w:rPr>
        <w:t>Nota:</w:t>
      </w:r>
      <w:r w:rsidRPr="00E2461C">
        <w:rPr>
          <w:color w:val="auto"/>
          <w:sz w:val="16"/>
        </w:rPr>
        <w:tab/>
        <w:t xml:space="preserve">Las series desestacionalizadas de los principales agregados del </w:t>
      </w:r>
      <w:r>
        <w:rPr>
          <w:color w:val="auto"/>
          <w:sz w:val="16"/>
        </w:rPr>
        <w:t>c</w:t>
      </w:r>
      <w:r w:rsidRPr="00E2461C">
        <w:rPr>
          <w:color w:val="auto"/>
          <w:sz w:val="16"/>
        </w:rPr>
        <w:t>onsumo</w:t>
      </w:r>
      <w:r>
        <w:rPr>
          <w:color w:val="auto"/>
          <w:sz w:val="16"/>
        </w:rPr>
        <w:t xml:space="preserve"> p</w:t>
      </w:r>
      <w:r w:rsidRPr="00E2461C">
        <w:rPr>
          <w:color w:val="auto"/>
          <w:sz w:val="16"/>
        </w:rPr>
        <w:t>rivado se calculan de manera independiente a la de sus componentes.</w:t>
      </w:r>
    </w:p>
    <w:p w14:paraId="4D3D5CF0" w14:textId="77777777" w:rsidR="00D972D3" w:rsidRPr="00994258" w:rsidRDefault="00D972D3" w:rsidP="00D972D3">
      <w:pPr>
        <w:pStyle w:val="p0"/>
        <w:spacing w:before="0"/>
        <w:ind w:left="2492" w:right="1855" w:hanging="601"/>
        <w:rPr>
          <w:b/>
          <w:i/>
          <w:color w:val="000000" w:themeColor="text1"/>
          <w:sz w:val="16"/>
          <w:szCs w:val="16"/>
        </w:rPr>
      </w:pPr>
      <w:r w:rsidRPr="006346C0">
        <w:rPr>
          <w:color w:val="000000" w:themeColor="text1"/>
          <w:sz w:val="16"/>
          <w:szCs w:val="16"/>
        </w:rPr>
        <w:t>Fuente: INEGI</w:t>
      </w:r>
    </w:p>
    <w:p w14:paraId="35F4F5BB" w14:textId="73561FE3" w:rsidR="00D972D3" w:rsidRDefault="00D972D3" w:rsidP="006B2980">
      <w:pPr>
        <w:spacing w:after="160" w:line="259" w:lineRule="auto"/>
        <w:jc w:val="center"/>
        <w:rPr>
          <w:sz w:val="20"/>
          <w:szCs w:val="22"/>
        </w:rPr>
      </w:pPr>
      <w:r>
        <w:rPr>
          <w:sz w:val="20"/>
          <w:szCs w:val="22"/>
        </w:rPr>
        <w:br w:type="page"/>
      </w:r>
      <w:r>
        <w:rPr>
          <w:sz w:val="20"/>
          <w:szCs w:val="22"/>
        </w:rPr>
        <w:lastRenderedPageBreak/>
        <w:t>Gráfica</w:t>
      </w:r>
      <w:r w:rsidRPr="009A37CD">
        <w:rPr>
          <w:sz w:val="20"/>
          <w:szCs w:val="22"/>
        </w:rPr>
        <w:t xml:space="preserve"> 1</w:t>
      </w:r>
    </w:p>
    <w:p w14:paraId="1183D709" w14:textId="77777777" w:rsidR="00D972D3" w:rsidRDefault="00D972D3" w:rsidP="00D972D3">
      <w:pPr>
        <w:jc w:val="center"/>
        <w:outlineLvl w:val="3"/>
        <w:rPr>
          <w:b/>
          <w:smallCaps/>
          <w:sz w:val="22"/>
        </w:rPr>
      </w:pPr>
      <w:bookmarkStart w:id="8" w:name="_Hlk144467277"/>
      <w:r>
        <w:rPr>
          <w:b/>
          <w:smallCaps/>
          <w:sz w:val="22"/>
        </w:rPr>
        <w:t xml:space="preserve">Indicador Mensual del Consumo Privado </w:t>
      </w:r>
    </w:p>
    <w:p w14:paraId="09DD2E6B" w14:textId="77777777" w:rsidR="00D972D3" w:rsidRDefault="00D972D3" w:rsidP="00D972D3">
      <w:pPr>
        <w:jc w:val="center"/>
        <w:outlineLvl w:val="3"/>
        <w:rPr>
          <w:sz w:val="18"/>
          <w:szCs w:val="18"/>
        </w:rPr>
      </w:pPr>
      <w:r>
        <w:rPr>
          <w:sz w:val="18"/>
          <w:szCs w:val="18"/>
        </w:rPr>
        <w:t>(Índice base 2018=100)</w:t>
      </w:r>
    </w:p>
    <w:p w14:paraId="054A708D" w14:textId="77777777" w:rsidR="00D972D3" w:rsidRDefault="00D972D3" w:rsidP="00D972D3">
      <w:pPr>
        <w:jc w:val="center"/>
        <w:rPr>
          <w:sz w:val="18"/>
          <w:szCs w:val="18"/>
        </w:rPr>
      </w:pPr>
      <w:r>
        <w:rPr>
          <w:noProof/>
        </w:rPr>
        <w:drawing>
          <wp:inline distT="0" distB="0" distL="0" distR="0" wp14:anchorId="6E0963BD" wp14:editId="7944467D">
            <wp:extent cx="4320000" cy="2520000"/>
            <wp:effectExtent l="0" t="0" r="23495" b="33020"/>
            <wp:docPr id="1941179460" name="Gráfico 194117946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CC951C" w14:textId="77777777" w:rsidR="00D972D3" w:rsidRPr="00F8412E" w:rsidRDefault="00D972D3" w:rsidP="00D972D3">
      <w:pPr>
        <w:ind w:left="993" w:firstLine="708"/>
        <w:jc w:val="left"/>
        <w:rPr>
          <w:sz w:val="16"/>
        </w:rPr>
      </w:pPr>
      <w:r>
        <w:rPr>
          <w:sz w:val="16"/>
        </w:rPr>
        <w:t>Fuente: INEGI</w:t>
      </w:r>
    </w:p>
    <w:bookmarkEnd w:id="8"/>
    <w:p w14:paraId="2A811C61" w14:textId="77777777" w:rsidR="00D972D3" w:rsidRPr="00D24AF6" w:rsidRDefault="00D972D3" w:rsidP="00D972D3">
      <w:pPr>
        <w:spacing w:before="240"/>
      </w:pPr>
      <w:r>
        <w:t xml:space="preserve">En el sexto mes de 2023 y con series desestacionalizadas, la variación mensual de los </w:t>
      </w:r>
      <w:r w:rsidRPr="00D24AF6">
        <w:t>componente</w:t>
      </w:r>
      <w:r>
        <w:t>s</w:t>
      </w:r>
      <w:r w:rsidRPr="008E0571">
        <w:t xml:space="preserve"> </w:t>
      </w:r>
      <w:r>
        <w:t>del IMCP fue la siguiente:</w:t>
      </w:r>
      <w:r w:rsidRPr="00D24AF6">
        <w:t xml:space="preserve"> </w:t>
      </w:r>
      <w:r w:rsidRPr="00E477FE">
        <w:t xml:space="preserve">el consumo de bienes de origen importado </w:t>
      </w:r>
      <w:r>
        <w:t>creció</w:t>
      </w:r>
      <w:r w:rsidRPr="00E477FE">
        <w:t xml:space="preserve"> 2.4</w:t>
      </w:r>
      <w:r>
        <w:t> </w:t>
      </w:r>
      <w:r w:rsidRPr="00E477FE">
        <w:t>% y el de bienes y servicios de origen nacional cayó 0.1 por ciento</w:t>
      </w:r>
      <w:r w:rsidRPr="00D24AF6">
        <w:t>.</w:t>
      </w:r>
    </w:p>
    <w:p w14:paraId="362A7A79" w14:textId="77777777" w:rsidR="00D972D3" w:rsidRDefault="00D972D3" w:rsidP="00D972D3">
      <w:pPr>
        <w:pStyle w:val="p0"/>
        <w:spacing w:before="360"/>
        <w:jc w:val="center"/>
        <w:rPr>
          <w:color w:val="auto"/>
          <w:sz w:val="20"/>
          <w:szCs w:val="22"/>
        </w:rPr>
      </w:pPr>
      <w:r w:rsidRPr="00B920A0">
        <w:rPr>
          <w:color w:val="auto"/>
          <w:sz w:val="20"/>
          <w:szCs w:val="22"/>
        </w:rPr>
        <w:t xml:space="preserve">Gráfica </w:t>
      </w:r>
      <w:r>
        <w:rPr>
          <w:color w:val="auto"/>
          <w:sz w:val="20"/>
          <w:szCs w:val="22"/>
        </w:rPr>
        <w:t>2</w:t>
      </w:r>
    </w:p>
    <w:p w14:paraId="16A94781" w14:textId="77777777" w:rsidR="00D972D3" w:rsidRDefault="00D972D3" w:rsidP="00D972D3">
      <w:pPr>
        <w:pStyle w:val="p0"/>
        <w:spacing w:before="0"/>
        <w:jc w:val="center"/>
        <w:rPr>
          <w:b/>
          <w:smallCaps/>
          <w:color w:val="000000"/>
          <w:sz w:val="22"/>
        </w:rPr>
      </w:pPr>
      <w:r>
        <w:rPr>
          <w:b/>
          <w:smallCaps/>
          <w:color w:val="000000"/>
          <w:sz w:val="22"/>
        </w:rPr>
        <w:t>Consumo de bienes y servicios de origen nacional</w:t>
      </w:r>
    </w:p>
    <w:p w14:paraId="7728E7A4" w14:textId="77777777" w:rsidR="00D972D3" w:rsidRDefault="00D972D3" w:rsidP="00D972D3">
      <w:pPr>
        <w:jc w:val="center"/>
        <w:rPr>
          <w:sz w:val="18"/>
          <w:szCs w:val="18"/>
        </w:rPr>
      </w:pPr>
      <w:r>
        <w:rPr>
          <w:sz w:val="18"/>
          <w:szCs w:val="18"/>
        </w:rPr>
        <w:t>(Índice base 2018=100)</w:t>
      </w:r>
    </w:p>
    <w:p w14:paraId="774B7F3A" w14:textId="77777777" w:rsidR="00D972D3" w:rsidRDefault="00D972D3" w:rsidP="00D972D3">
      <w:pPr>
        <w:jc w:val="center"/>
        <w:rPr>
          <w:sz w:val="18"/>
          <w:szCs w:val="18"/>
        </w:rPr>
      </w:pPr>
      <w:r>
        <w:rPr>
          <w:noProof/>
        </w:rPr>
        <w:drawing>
          <wp:inline distT="0" distB="0" distL="0" distR="0" wp14:anchorId="4B511AED" wp14:editId="0182D722">
            <wp:extent cx="4320000" cy="2520000"/>
            <wp:effectExtent l="0" t="0" r="23495" b="33020"/>
            <wp:docPr id="1714261444" name="Gráfico 1">
              <a:extLst xmlns:a="http://schemas.openxmlformats.org/drawingml/2006/main">
                <a:ext uri="{FF2B5EF4-FFF2-40B4-BE49-F238E27FC236}">
                  <a16:creationId xmlns:a16="http://schemas.microsoft.com/office/drawing/2014/main" id="{B9A3BDBB-AF62-412C-A09A-FCAF38F7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5CCFA1" w14:textId="77777777" w:rsidR="00D972D3" w:rsidRDefault="00D972D3" w:rsidP="00D972D3">
      <w:pPr>
        <w:pStyle w:val="p0"/>
        <w:spacing w:before="0"/>
        <w:ind w:left="993" w:firstLine="708"/>
        <w:jc w:val="left"/>
        <w:rPr>
          <w:color w:val="auto"/>
          <w:sz w:val="16"/>
        </w:rPr>
      </w:pPr>
      <w:r w:rsidRPr="00F0415D">
        <w:rPr>
          <w:color w:val="auto"/>
          <w:sz w:val="16"/>
        </w:rPr>
        <w:t>Fuente: INEGI</w:t>
      </w:r>
    </w:p>
    <w:p w14:paraId="51961B32" w14:textId="77777777" w:rsidR="00D972D3" w:rsidRDefault="00D972D3" w:rsidP="00D972D3">
      <w:pPr>
        <w:jc w:val="left"/>
        <w:rPr>
          <w:sz w:val="20"/>
          <w:szCs w:val="22"/>
        </w:rPr>
      </w:pPr>
      <w:r>
        <w:rPr>
          <w:sz w:val="20"/>
          <w:szCs w:val="22"/>
        </w:rPr>
        <w:br w:type="page"/>
      </w:r>
    </w:p>
    <w:p w14:paraId="069E207D" w14:textId="77777777" w:rsidR="00D972D3" w:rsidRDefault="00D972D3" w:rsidP="00D972D3">
      <w:pPr>
        <w:pStyle w:val="p0"/>
        <w:spacing w:before="360"/>
        <w:jc w:val="center"/>
        <w:rPr>
          <w:color w:val="auto"/>
          <w:sz w:val="20"/>
          <w:szCs w:val="22"/>
        </w:rPr>
      </w:pPr>
      <w:r w:rsidRPr="00B920A0">
        <w:rPr>
          <w:color w:val="auto"/>
          <w:sz w:val="20"/>
          <w:szCs w:val="22"/>
        </w:rPr>
        <w:lastRenderedPageBreak/>
        <w:t>Gráfica</w:t>
      </w:r>
      <w:r>
        <w:rPr>
          <w:color w:val="auto"/>
          <w:sz w:val="20"/>
          <w:szCs w:val="22"/>
        </w:rPr>
        <w:t xml:space="preserve"> 3</w:t>
      </w:r>
    </w:p>
    <w:p w14:paraId="7B510E48" w14:textId="77777777" w:rsidR="00D972D3" w:rsidRDefault="00D972D3" w:rsidP="00D972D3">
      <w:pPr>
        <w:jc w:val="center"/>
        <w:rPr>
          <w:b/>
          <w:smallCaps/>
          <w:color w:val="000000"/>
          <w:sz w:val="22"/>
        </w:rPr>
      </w:pPr>
      <w:r w:rsidRPr="00376D7C">
        <w:rPr>
          <w:b/>
          <w:smallCaps/>
          <w:color w:val="000000"/>
          <w:sz w:val="22"/>
        </w:rPr>
        <w:t xml:space="preserve">Consumo </w:t>
      </w:r>
      <w:r>
        <w:rPr>
          <w:b/>
          <w:smallCaps/>
          <w:color w:val="000000"/>
          <w:sz w:val="22"/>
        </w:rPr>
        <w:t>de</w:t>
      </w:r>
      <w:r w:rsidRPr="00376D7C">
        <w:rPr>
          <w:b/>
          <w:smallCaps/>
          <w:color w:val="000000"/>
          <w:sz w:val="22"/>
        </w:rPr>
        <w:t xml:space="preserve"> </w:t>
      </w:r>
      <w:r>
        <w:rPr>
          <w:b/>
          <w:smallCaps/>
          <w:color w:val="000000"/>
          <w:sz w:val="22"/>
        </w:rPr>
        <w:t>b</w:t>
      </w:r>
      <w:r w:rsidRPr="00376D7C">
        <w:rPr>
          <w:b/>
          <w:smallCaps/>
          <w:color w:val="000000"/>
          <w:sz w:val="22"/>
        </w:rPr>
        <w:t xml:space="preserve">ienes de origen importado </w:t>
      </w:r>
    </w:p>
    <w:p w14:paraId="6F9DED2B" w14:textId="77777777" w:rsidR="00D972D3" w:rsidRDefault="00D972D3" w:rsidP="00D972D3">
      <w:pPr>
        <w:jc w:val="center"/>
        <w:rPr>
          <w:sz w:val="18"/>
          <w:szCs w:val="18"/>
        </w:rPr>
      </w:pPr>
      <w:r>
        <w:rPr>
          <w:sz w:val="18"/>
          <w:szCs w:val="18"/>
        </w:rPr>
        <w:t xml:space="preserve">(Índice base 2018=100) </w:t>
      </w:r>
    </w:p>
    <w:p w14:paraId="18A08522" w14:textId="77777777" w:rsidR="00D972D3" w:rsidRDefault="00D972D3" w:rsidP="00D972D3">
      <w:pPr>
        <w:jc w:val="center"/>
        <w:rPr>
          <w:sz w:val="18"/>
          <w:szCs w:val="18"/>
        </w:rPr>
      </w:pPr>
      <w:r>
        <w:rPr>
          <w:noProof/>
        </w:rPr>
        <w:drawing>
          <wp:inline distT="0" distB="0" distL="0" distR="0" wp14:anchorId="1383EF72" wp14:editId="4785B5D1">
            <wp:extent cx="4320000" cy="2520000"/>
            <wp:effectExtent l="0" t="0" r="23495" b="33020"/>
            <wp:docPr id="1542312518" name="Gráfico 1">
              <a:extLst xmlns:a="http://schemas.openxmlformats.org/drawingml/2006/main">
                <a:ext uri="{FF2B5EF4-FFF2-40B4-BE49-F238E27FC236}">
                  <a16:creationId xmlns:a16="http://schemas.microsoft.com/office/drawing/2014/main" id="{936E08BB-C205-419A-9F68-505F278FF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201C3A" w14:textId="77777777" w:rsidR="00D972D3" w:rsidRDefault="00D972D3" w:rsidP="00D972D3">
      <w:pPr>
        <w:pStyle w:val="p0"/>
        <w:spacing w:before="0"/>
        <w:ind w:left="1134" w:firstLine="708"/>
        <w:rPr>
          <w:color w:val="auto"/>
          <w:sz w:val="20"/>
          <w:szCs w:val="22"/>
        </w:rPr>
      </w:pPr>
      <w:r w:rsidRPr="005F3E2F">
        <w:rPr>
          <w:color w:val="auto"/>
          <w:sz w:val="16"/>
        </w:rPr>
        <w:t>Fuente: INEGI</w:t>
      </w:r>
    </w:p>
    <w:p w14:paraId="27E7C3B9" w14:textId="77777777" w:rsidR="00D972D3" w:rsidRPr="006B2980" w:rsidRDefault="00D972D3" w:rsidP="006B2980">
      <w:pPr>
        <w:pStyle w:val="Ttulo4"/>
        <w:keepNext w:val="0"/>
        <w:keepLines w:val="0"/>
        <w:widowControl w:val="0"/>
        <w:spacing w:before="480"/>
        <w:ind w:left="142" w:firstLine="566"/>
        <w:rPr>
          <w:rFonts w:ascii="Arial" w:eastAsia="Times New Roman" w:hAnsi="Arial" w:cs="Times New Roman"/>
          <w:b/>
          <w:i w:val="0"/>
          <w:color w:val="auto"/>
          <w:szCs w:val="20"/>
          <w:lang w:val="es-MX"/>
        </w:rPr>
      </w:pPr>
      <w:r w:rsidRPr="006B2980">
        <w:rPr>
          <w:rFonts w:ascii="Arial" w:eastAsia="Times New Roman" w:hAnsi="Arial" w:cs="Times New Roman"/>
          <w:b/>
          <w:i w:val="0"/>
          <w:color w:val="auto"/>
          <w:szCs w:val="20"/>
          <w:lang w:val="es-MX"/>
        </w:rPr>
        <w:t xml:space="preserve">Cifras originales </w:t>
      </w:r>
    </w:p>
    <w:p w14:paraId="014C6435" w14:textId="77777777" w:rsidR="00D972D3" w:rsidRDefault="00D972D3" w:rsidP="00D972D3">
      <w:pPr>
        <w:pStyle w:val="p0"/>
        <w:jc w:val="center"/>
        <w:rPr>
          <w:color w:val="auto"/>
          <w:sz w:val="20"/>
          <w:szCs w:val="22"/>
        </w:rPr>
      </w:pPr>
      <w:r w:rsidRPr="009A37CD">
        <w:rPr>
          <w:color w:val="auto"/>
          <w:sz w:val="20"/>
          <w:szCs w:val="22"/>
        </w:rPr>
        <w:t xml:space="preserve">Cuadro </w:t>
      </w:r>
      <w:r>
        <w:rPr>
          <w:color w:val="auto"/>
          <w:sz w:val="20"/>
          <w:szCs w:val="22"/>
        </w:rPr>
        <w:t>2</w:t>
      </w:r>
    </w:p>
    <w:p w14:paraId="6AACEA1E" w14:textId="77777777" w:rsidR="00D972D3" w:rsidRDefault="00D972D3" w:rsidP="00D972D3">
      <w:pPr>
        <w:pStyle w:val="p0"/>
        <w:spacing w:before="0"/>
        <w:jc w:val="center"/>
        <w:rPr>
          <w:b/>
          <w:smallCaps/>
          <w:color w:val="auto"/>
          <w:sz w:val="22"/>
          <w:szCs w:val="22"/>
        </w:rPr>
      </w:pPr>
      <w:r>
        <w:rPr>
          <w:b/>
          <w:smallCaps/>
          <w:color w:val="auto"/>
          <w:sz w:val="22"/>
          <w:szCs w:val="22"/>
        </w:rPr>
        <w:t>Indicador Mensual del Consumo Privado</w:t>
      </w:r>
    </w:p>
    <w:p w14:paraId="069E68D4" w14:textId="77777777" w:rsidR="00D972D3" w:rsidRDefault="00D972D3" w:rsidP="00D972D3">
      <w:pPr>
        <w:pStyle w:val="p0"/>
        <w:spacing w:before="0"/>
        <w:jc w:val="center"/>
        <w:rPr>
          <w:smallCaps/>
          <w:color w:val="auto"/>
          <w:sz w:val="18"/>
        </w:rPr>
      </w:pPr>
      <w:r>
        <w:rPr>
          <w:smallCaps/>
          <w:color w:val="auto"/>
          <w:sz w:val="18"/>
        </w:rPr>
        <w:t>(</w:t>
      </w:r>
      <w:r>
        <w:rPr>
          <w:color w:val="auto"/>
          <w:sz w:val="18"/>
        </w:rPr>
        <w:t xml:space="preserve">Variación </w:t>
      </w:r>
      <w:r>
        <w:rPr>
          <w:color w:val="auto"/>
          <w:sz w:val="18"/>
          <w:szCs w:val="18"/>
        </w:rPr>
        <w:t>porcentual</w:t>
      </w:r>
      <w:r>
        <w:rPr>
          <w:color w:val="auto"/>
          <w:sz w:val="18"/>
        </w:rPr>
        <w:t xml:space="preserve"> real anual</w:t>
      </w:r>
      <w:r>
        <w:rPr>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D972D3" w14:paraId="280FD8AF" w14:textId="77777777" w:rsidTr="00DB28D4">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9C9C9" w:themeFill="accent3" w:themeFillTint="99"/>
            <w:vAlign w:val="center"/>
            <w:hideMark/>
          </w:tcPr>
          <w:p w14:paraId="0628497D" w14:textId="77777777" w:rsidR="00D972D3" w:rsidRDefault="00D972D3" w:rsidP="00DB28D4">
            <w:pPr>
              <w:pStyle w:val="p0"/>
              <w:tabs>
                <w:tab w:val="left" w:pos="546"/>
              </w:tabs>
              <w:spacing w:before="0"/>
              <w:jc w:val="left"/>
              <w:rPr>
                <w:color w:val="auto"/>
                <w:sz w:val="18"/>
                <w:szCs w:val="18"/>
                <w:lang w:val="es-ES"/>
              </w:rPr>
            </w:pPr>
            <w:r>
              <w:rPr>
                <w:color w:val="auto"/>
                <w:sz w:val="18"/>
                <w:szCs w:val="18"/>
                <w:lang w:val="es-ES"/>
              </w:rPr>
              <w:t>Consumo de bienes y servicios por origen</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9C9C9" w:themeFill="accent3" w:themeFillTint="99"/>
            <w:vAlign w:val="center"/>
            <w:hideMark/>
          </w:tcPr>
          <w:p w14:paraId="5297E3ED" w14:textId="77777777" w:rsidR="00D972D3" w:rsidRDefault="00D972D3" w:rsidP="00DB28D4">
            <w:pPr>
              <w:pStyle w:val="p0"/>
              <w:keepNext/>
              <w:spacing w:before="0"/>
              <w:jc w:val="center"/>
              <w:rPr>
                <w:color w:val="auto"/>
                <w:sz w:val="18"/>
                <w:szCs w:val="18"/>
                <w:lang w:val="es-ES"/>
              </w:rPr>
            </w:pPr>
            <w:r>
              <w:rPr>
                <w:color w:val="auto"/>
                <w:sz w:val="18"/>
                <w:szCs w:val="18"/>
                <w:lang w:val="es-ES"/>
              </w:rPr>
              <w:t>2023</w:t>
            </w:r>
            <w:r>
              <w:rPr>
                <w:color w:val="auto"/>
                <w:sz w:val="18"/>
                <w:szCs w:val="18"/>
                <w:vertAlign w:val="superscript"/>
                <w:lang w:val="es-ES"/>
              </w:rPr>
              <w:t>P</w:t>
            </w:r>
            <w:r w:rsidRPr="000942A4">
              <w:rPr>
                <w:color w:val="auto"/>
                <w:sz w:val="18"/>
                <w:szCs w:val="18"/>
                <w:vertAlign w:val="superscript"/>
                <w:lang w:val="es-ES"/>
              </w:rPr>
              <w:t>/</w:t>
            </w:r>
          </w:p>
        </w:tc>
      </w:tr>
      <w:tr w:rsidR="00D972D3" w14:paraId="1557DE17" w14:textId="77777777" w:rsidTr="00DB28D4">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9C9C9" w:themeFill="accent3" w:themeFillTint="99"/>
            <w:vAlign w:val="center"/>
          </w:tcPr>
          <w:p w14:paraId="02F88666" w14:textId="77777777" w:rsidR="00D972D3" w:rsidRDefault="00D972D3" w:rsidP="00DB28D4">
            <w:pPr>
              <w:pStyle w:val="p0"/>
              <w:tabs>
                <w:tab w:val="left" w:pos="546"/>
              </w:tabs>
              <w:spacing w:before="0"/>
              <w:ind w:firstLine="537"/>
              <w:jc w:val="left"/>
              <w:rPr>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9C9C9" w:themeFill="accent3" w:themeFillTint="99"/>
            <w:vAlign w:val="center"/>
          </w:tcPr>
          <w:p w14:paraId="13489BD9" w14:textId="77777777" w:rsidR="00D972D3" w:rsidRDefault="00D972D3" w:rsidP="00DB28D4">
            <w:pPr>
              <w:pStyle w:val="p0"/>
              <w:keepNext/>
              <w:spacing w:before="0"/>
              <w:jc w:val="center"/>
              <w:rPr>
                <w:color w:val="auto"/>
                <w:sz w:val="18"/>
                <w:szCs w:val="18"/>
                <w:lang w:val="es-ES"/>
              </w:rPr>
            </w:pPr>
            <w:r>
              <w:rPr>
                <w:color w:val="auto"/>
                <w:sz w:val="18"/>
                <w:szCs w:val="18"/>
                <w:lang w:val="es-ES"/>
              </w:rPr>
              <w:t>Junio</w:t>
            </w:r>
          </w:p>
        </w:tc>
        <w:tc>
          <w:tcPr>
            <w:tcW w:w="1499" w:type="dxa"/>
            <w:tcBorders>
              <w:top w:val="single" w:sz="4" w:space="0" w:color="404040"/>
              <w:left w:val="single" w:sz="4" w:space="0" w:color="404040"/>
              <w:bottom w:val="single" w:sz="4" w:space="0" w:color="404040"/>
              <w:right w:val="double" w:sz="4" w:space="0" w:color="auto"/>
            </w:tcBorders>
            <w:shd w:val="clear" w:color="auto" w:fill="C9C9C9" w:themeFill="accent3" w:themeFillTint="99"/>
            <w:vAlign w:val="center"/>
          </w:tcPr>
          <w:p w14:paraId="638F8E6D" w14:textId="77777777" w:rsidR="00D972D3" w:rsidRDefault="00D972D3" w:rsidP="00DB28D4">
            <w:pPr>
              <w:pStyle w:val="p0"/>
              <w:keepNext/>
              <w:spacing w:before="0"/>
              <w:jc w:val="center"/>
              <w:rPr>
                <w:color w:val="auto"/>
                <w:sz w:val="18"/>
                <w:szCs w:val="18"/>
                <w:lang w:val="es-ES"/>
              </w:rPr>
            </w:pPr>
            <w:r>
              <w:rPr>
                <w:color w:val="auto"/>
                <w:sz w:val="18"/>
                <w:szCs w:val="18"/>
                <w:lang w:val="es-ES"/>
              </w:rPr>
              <w:t>Ene. - Jun.</w:t>
            </w:r>
          </w:p>
        </w:tc>
      </w:tr>
      <w:tr w:rsidR="00D972D3" w:rsidRPr="00B2490F" w14:paraId="48215789" w14:textId="77777777" w:rsidTr="00DB28D4">
        <w:trPr>
          <w:cantSplit/>
          <w:trHeight w:val="255"/>
          <w:jc w:val="center"/>
        </w:trPr>
        <w:tc>
          <w:tcPr>
            <w:tcW w:w="2910" w:type="dxa"/>
            <w:tcBorders>
              <w:top w:val="single" w:sz="4" w:space="0" w:color="404040"/>
              <w:left w:val="double" w:sz="4" w:space="0" w:color="auto"/>
              <w:bottom w:val="nil"/>
              <w:right w:val="single" w:sz="4" w:space="0" w:color="404040"/>
            </w:tcBorders>
            <w:vAlign w:val="center"/>
            <w:hideMark/>
          </w:tcPr>
          <w:p w14:paraId="66EFE0CF" w14:textId="77777777" w:rsidR="00D972D3" w:rsidRPr="003654AA" w:rsidRDefault="00D972D3" w:rsidP="00DB28D4">
            <w:pPr>
              <w:pStyle w:val="p0"/>
              <w:spacing w:before="0"/>
              <w:ind w:firstLine="159"/>
              <w:jc w:val="left"/>
              <w:rPr>
                <w:b/>
                <w:color w:val="auto"/>
                <w:sz w:val="18"/>
                <w:lang w:val="es-ES"/>
              </w:rPr>
            </w:pPr>
            <w:r w:rsidRPr="003654AA">
              <w:rPr>
                <w:color w:val="auto"/>
                <w:sz w:val="18"/>
              </w:rPr>
              <w:br w:type="page"/>
            </w:r>
            <w:r w:rsidRPr="004E342D">
              <w:rPr>
                <w:b/>
                <w:color w:val="auto"/>
                <w:sz w:val="18"/>
                <w:lang w:val="es-ES"/>
              </w:rPr>
              <w:t>Total</w:t>
            </w:r>
            <w:r w:rsidRPr="00F551F3">
              <w:rPr>
                <w:rFonts w:ascii="Arial Negrita" w:hAnsi="Arial Negrita"/>
                <w:b/>
                <w:color w:val="auto"/>
                <w:sz w:val="18"/>
                <w:vertAlign w:val="superscript"/>
                <w:lang w:val="es-ES"/>
              </w:rPr>
              <w:t>1/</w:t>
            </w:r>
          </w:p>
        </w:tc>
        <w:tc>
          <w:tcPr>
            <w:tcW w:w="1499" w:type="dxa"/>
            <w:tcBorders>
              <w:top w:val="single" w:sz="4" w:space="0" w:color="404040"/>
              <w:left w:val="single" w:sz="4" w:space="0" w:color="404040"/>
              <w:bottom w:val="nil"/>
              <w:right w:val="single" w:sz="4" w:space="0" w:color="404040"/>
            </w:tcBorders>
            <w:vAlign w:val="center"/>
            <w:hideMark/>
          </w:tcPr>
          <w:p w14:paraId="1B9057D8" w14:textId="77777777" w:rsidR="00D972D3" w:rsidRPr="004E342D" w:rsidRDefault="00D972D3" w:rsidP="00DB28D4">
            <w:pPr>
              <w:tabs>
                <w:tab w:val="decimal" w:pos="670"/>
              </w:tabs>
              <w:jc w:val="left"/>
              <w:rPr>
                <w:b/>
                <w:sz w:val="18"/>
                <w:szCs w:val="18"/>
                <w:lang w:val="es-ES" w:eastAsia="en-US"/>
              </w:rPr>
            </w:pPr>
            <w:r>
              <w:rPr>
                <w:b/>
                <w:bCs/>
                <w:sz w:val="18"/>
                <w:szCs w:val="18"/>
              </w:rPr>
              <w:t>4.3</w:t>
            </w:r>
          </w:p>
        </w:tc>
        <w:tc>
          <w:tcPr>
            <w:tcW w:w="1499" w:type="dxa"/>
            <w:tcBorders>
              <w:top w:val="single" w:sz="4" w:space="0" w:color="404040"/>
              <w:left w:val="single" w:sz="4" w:space="0" w:color="404040"/>
              <w:bottom w:val="nil"/>
              <w:right w:val="double" w:sz="4" w:space="0" w:color="auto"/>
            </w:tcBorders>
            <w:vAlign w:val="center"/>
          </w:tcPr>
          <w:p w14:paraId="0B86A980" w14:textId="77777777" w:rsidR="00D972D3" w:rsidRPr="004E342D" w:rsidRDefault="00D972D3" w:rsidP="00DB28D4">
            <w:pPr>
              <w:tabs>
                <w:tab w:val="decimal" w:pos="581"/>
              </w:tabs>
              <w:jc w:val="left"/>
              <w:rPr>
                <w:b/>
                <w:sz w:val="18"/>
                <w:szCs w:val="18"/>
                <w:lang w:val="es-ES" w:eastAsia="en-US"/>
              </w:rPr>
            </w:pPr>
            <w:r>
              <w:rPr>
                <w:b/>
                <w:bCs/>
                <w:sz w:val="18"/>
                <w:szCs w:val="18"/>
              </w:rPr>
              <w:t>4.6</w:t>
            </w:r>
          </w:p>
        </w:tc>
      </w:tr>
      <w:tr w:rsidR="00D972D3" w:rsidRPr="00B2490F" w14:paraId="6C27C358" w14:textId="77777777" w:rsidTr="00DB28D4">
        <w:trPr>
          <w:cantSplit/>
          <w:trHeight w:val="255"/>
          <w:jc w:val="center"/>
        </w:trPr>
        <w:tc>
          <w:tcPr>
            <w:tcW w:w="2910" w:type="dxa"/>
            <w:tcBorders>
              <w:top w:val="nil"/>
              <w:left w:val="double" w:sz="4" w:space="0" w:color="auto"/>
              <w:bottom w:val="nil"/>
              <w:right w:val="single" w:sz="4" w:space="0" w:color="404040"/>
            </w:tcBorders>
            <w:vAlign w:val="center"/>
            <w:hideMark/>
          </w:tcPr>
          <w:p w14:paraId="4227F9E9" w14:textId="77777777" w:rsidR="00D972D3" w:rsidRPr="00B2490F" w:rsidRDefault="00D972D3" w:rsidP="00DB28D4">
            <w:pPr>
              <w:pStyle w:val="p0"/>
              <w:spacing w:before="0"/>
              <w:ind w:firstLine="313"/>
              <w:jc w:val="left"/>
              <w:rPr>
                <w:b/>
                <w:color w:val="auto"/>
                <w:sz w:val="18"/>
                <w:lang w:val="es-ES"/>
              </w:rPr>
            </w:pPr>
            <w:r w:rsidRPr="00B2490F">
              <w:rPr>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12AB4301" w14:textId="77777777" w:rsidR="00D972D3" w:rsidRPr="00065F2C" w:rsidRDefault="00D972D3" w:rsidP="00DB28D4">
            <w:pPr>
              <w:tabs>
                <w:tab w:val="decimal" w:pos="670"/>
              </w:tabs>
              <w:jc w:val="left"/>
              <w:rPr>
                <w:b/>
                <w:sz w:val="18"/>
                <w:szCs w:val="18"/>
                <w:lang w:val="es-ES" w:eastAsia="en-US"/>
              </w:rPr>
            </w:pPr>
            <w:r>
              <w:rPr>
                <w:b/>
                <w:bCs/>
                <w:sz w:val="18"/>
                <w:szCs w:val="18"/>
              </w:rPr>
              <w:t>0.9</w:t>
            </w:r>
          </w:p>
        </w:tc>
        <w:tc>
          <w:tcPr>
            <w:tcW w:w="1499" w:type="dxa"/>
            <w:tcBorders>
              <w:top w:val="nil"/>
              <w:left w:val="single" w:sz="4" w:space="0" w:color="404040"/>
              <w:bottom w:val="nil"/>
              <w:right w:val="double" w:sz="4" w:space="0" w:color="auto"/>
            </w:tcBorders>
            <w:vAlign w:val="center"/>
          </w:tcPr>
          <w:p w14:paraId="4F362B4B" w14:textId="77777777" w:rsidR="00D972D3" w:rsidRPr="00065F2C" w:rsidRDefault="00D972D3" w:rsidP="00DB28D4">
            <w:pPr>
              <w:tabs>
                <w:tab w:val="decimal" w:pos="581"/>
              </w:tabs>
              <w:jc w:val="left"/>
              <w:rPr>
                <w:b/>
                <w:sz w:val="18"/>
                <w:szCs w:val="18"/>
                <w:lang w:val="es-ES" w:eastAsia="en-US"/>
              </w:rPr>
            </w:pPr>
            <w:r>
              <w:rPr>
                <w:b/>
                <w:bCs/>
                <w:sz w:val="18"/>
                <w:szCs w:val="18"/>
              </w:rPr>
              <w:t>2.3</w:t>
            </w:r>
          </w:p>
        </w:tc>
      </w:tr>
      <w:tr w:rsidR="00D972D3" w:rsidRPr="00B2490F" w14:paraId="483E22DD" w14:textId="77777777" w:rsidTr="00DB28D4">
        <w:trPr>
          <w:cantSplit/>
          <w:trHeight w:val="255"/>
          <w:jc w:val="center"/>
        </w:trPr>
        <w:tc>
          <w:tcPr>
            <w:tcW w:w="2910" w:type="dxa"/>
            <w:tcBorders>
              <w:top w:val="nil"/>
              <w:left w:val="double" w:sz="4" w:space="0" w:color="auto"/>
              <w:bottom w:val="nil"/>
              <w:right w:val="single" w:sz="4" w:space="0" w:color="404040"/>
            </w:tcBorders>
            <w:vAlign w:val="center"/>
            <w:hideMark/>
          </w:tcPr>
          <w:p w14:paraId="4C7E04C6" w14:textId="77777777" w:rsidR="00D972D3" w:rsidRPr="00B2490F" w:rsidRDefault="00D972D3" w:rsidP="00DB28D4">
            <w:pPr>
              <w:pStyle w:val="p0"/>
              <w:spacing w:before="0"/>
              <w:ind w:firstLine="454"/>
              <w:jc w:val="left"/>
              <w:rPr>
                <w:color w:val="auto"/>
                <w:sz w:val="18"/>
                <w:lang w:val="es-ES"/>
              </w:rPr>
            </w:pPr>
            <w:r w:rsidRPr="00B2490F">
              <w:rPr>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989F8DF" w14:textId="77777777" w:rsidR="00D972D3" w:rsidRPr="00065F2C" w:rsidRDefault="00D972D3" w:rsidP="00DB28D4">
            <w:pPr>
              <w:tabs>
                <w:tab w:val="decimal" w:pos="670"/>
              </w:tabs>
              <w:jc w:val="left"/>
              <w:rPr>
                <w:sz w:val="18"/>
                <w:szCs w:val="18"/>
                <w:lang w:val="es-ES" w:eastAsia="en-US"/>
              </w:rPr>
            </w:pPr>
            <w:r>
              <w:rPr>
                <w:sz w:val="18"/>
                <w:szCs w:val="18"/>
              </w:rPr>
              <w:t>-2.8</w:t>
            </w:r>
          </w:p>
        </w:tc>
        <w:tc>
          <w:tcPr>
            <w:tcW w:w="1499" w:type="dxa"/>
            <w:tcBorders>
              <w:top w:val="nil"/>
              <w:left w:val="single" w:sz="4" w:space="0" w:color="404040"/>
              <w:bottom w:val="nil"/>
              <w:right w:val="double" w:sz="4" w:space="0" w:color="auto"/>
            </w:tcBorders>
            <w:vAlign w:val="center"/>
          </w:tcPr>
          <w:p w14:paraId="5D1D4DCA" w14:textId="77777777" w:rsidR="00D972D3" w:rsidRPr="00065F2C" w:rsidRDefault="00D972D3" w:rsidP="00DB28D4">
            <w:pPr>
              <w:tabs>
                <w:tab w:val="decimal" w:pos="581"/>
              </w:tabs>
              <w:jc w:val="left"/>
              <w:rPr>
                <w:sz w:val="18"/>
                <w:szCs w:val="18"/>
                <w:lang w:val="es-ES" w:eastAsia="en-US"/>
              </w:rPr>
            </w:pPr>
            <w:r>
              <w:rPr>
                <w:sz w:val="18"/>
                <w:szCs w:val="18"/>
              </w:rPr>
              <w:t>-0.1</w:t>
            </w:r>
          </w:p>
        </w:tc>
      </w:tr>
      <w:tr w:rsidR="00D972D3" w:rsidRPr="00B2490F" w14:paraId="3F9C7AA1" w14:textId="77777777" w:rsidTr="00DB28D4">
        <w:trPr>
          <w:cantSplit/>
          <w:trHeight w:val="255"/>
          <w:jc w:val="center"/>
        </w:trPr>
        <w:tc>
          <w:tcPr>
            <w:tcW w:w="2910" w:type="dxa"/>
            <w:tcBorders>
              <w:top w:val="nil"/>
              <w:left w:val="double" w:sz="4" w:space="0" w:color="auto"/>
              <w:bottom w:val="nil"/>
              <w:right w:val="single" w:sz="4" w:space="0" w:color="404040"/>
            </w:tcBorders>
            <w:vAlign w:val="center"/>
          </w:tcPr>
          <w:p w14:paraId="12CC4205" w14:textId="77777777" w:rsidR="00D972D3" w:rsidRPr="00B2490F" w:rsidRDefault="00D972D3" w:rsidP="00DB28D4">
            <w:pPr>
              <w:pStyle w:val="p0"/>
              <w:spacing w:before="0"/>
              <w:ind w:left="162" w:firstLine="454"/>
              <w:jc w:val="left"/>
              <w:rPr>
                <w:color w:val="auto"/>
                <w:sz w:val="18"/>
                <w:lang w:val="es-ES"/>
              </w:rPr>
            </w:pPr>
            <w:r w:rsidRPr="00B2490F">
              <w:rPr>
                <w:color w:val="auto"/>
                <w:sz w:val="18"/>
                <w:lang w:val="es-ES"/>
              </w:rPr>
              <w:t>Duraderos</w:t>
            </w:r>
          </w:p>
        </w:tc>
        <w:tc>
          <w:tcPr>
            <w:tcW w:w="1499" w:type="dxa"/>
            <w:tcBorders>
              <w:top w:val="nil"/>
              <w:left w:val="single" w:sz="4" w:space="0" w:color="404040"/>
              <w:bottom w:val="nil"/>
              <w:right w:val="single" w:sz="4" w:space="0" w:color="404040"/>
            </w:tcBorders>
            <w:vAlign w:val="center"/>
          </w:tcPr>
          <w:p w14:paraId="410D631A" w14:textId="77777777" w:rsidR="00D972D3" w:rsidRPr="00065F2C" w:rsidRDefault="00D972D3" w:rsidP="00DB28D4">
            <w:pPr>
              <w:tabs>
                <w:tab w:val="decimal" w:pos="670"/>
              </w:tabs>
              <w:jc w:val="left"/>
              <w:rPr>
                <w:sz w:val="18"/>
                <w:szCs w:val="18"/>
                <w:lang w:val="es-ES" w:eastAsia="en-US"/>
              </w:rPr>
            </w:pPr>
            <w:r>
              <w:rPr>
                <w:sz w:val="18"/>
                <w:szCs w:val="18"/>
              </w:rPr>
              <w:t>14.4</w:t>
            </w:r>
          </w:p>
        </w:tc>
        <w:tc>
          <w:tcPr>
            <w:tcW w:w="1499" w:type="dxa"/>
            <w:tcBorders>
              <w:top w:val="nil"/>
              <w:left w:val="single" w:sz="4" w:space="0" w:color="404040"/>
              <w:bottom w:val="nil"/>
              <w:right w:val="double" w:sz="4" w:space="0" w:color="auto"/>
            </w:tcBorders>
            <w:vAlign w:val="center"/>
          </w:tcPr>
          <w:p w14:paraId="399FB982" w14:textId="77777777" w:rsidR="00D972D3" w:rsidRPr="00065F2C" w:rsidRDefault="00D972D3" w:rsidP="00DB28D4">
            <w:pPr>
              <w:tabs>
                <w:tab w:val="decimal" w:pos="581"/>
              </w:tabs>
              <w:jc w:val="left"/>
              <w:rPr>
                <w:sz w:val="18"/>
                <w:szCs w:val="18"/>
                <w:lang w:val="es-ES" w:eastAsia="en-US"/>
              </w:rPr>
            </w:pPr>
            <w:r>
              <w:rPr>
                <w:sz w:val="18"/>
                <w:szCs w:val="18"/>
              </w:rPr>
              <w:t>12.9</w:t>
            </w:r>
          </w:p>
        </w:tc>
      </w:tr>
      <w:tr w:rsidR="00D972D3" w:rsidRPr="00B2490F" w14:paraId="17E36F83" w14:textId="77777777" w:rsidTr="00DB28D4">
        <w:trPr>
          <w:cantSplit/>
          <w:trHeight w:val="255"/>
          <w:jc w:val="center"/>
        </w:trPr>
        <w:tc>
          <w:tcPr>
            <w:tcW w:w="2910" w:type="dxa"/>
            <w:tcBorders>
              <w:top w:val="nil"/>
              <w:left w:val="double" w:sz="4" w:space="0" w:color="auto"/>
              <w:bottom w:val="nil"/>
              <w:right w:val="single" w:sz="4" w:space="0" w:color="404040"/>
            </w:tcBorders>
            <w:vAlign w:val="center"/>
          </w:tcPr>
          <w:p w14:paraId="71195A7C" w14:textId="77777777" w:rsidR="00D972D3" w:rsidRPr="00B2490F" w:rsidRDefault="00D972D3" w:rsidP="00DB28D4">
            <w:pPr>
              <w:pStyle w:val="p0"/>
              <w:spacing w:before="0"/>
              <w:ind w:left="162" w:firstLine="454"/>
              <w:jc w:val="left"/>
              <w:rPr>
                <w:color w:val="auto"/>
                <w:sz w:val="18"/>
                <w:lang w:val="es-ES"/>
              </w:rPr>
            </w:pPr>
            <w:r w:rsidRPr="00B2490F">
              <w:rPr>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74B14BBE" w14:textId="77777777" w:rsidR="00D972D3" w:rsidRPr="00065F2C" w:rsidRDefault="00D972D3" w:rsidP="00DB28D4">
            <w:pPr>
              <w:tabs>
                <w:tab w:val="decimal" w:pos="670"/>
              </w:tabs>
              <w:jc w:val="left"/>
              <w:rPr>
                <w:sz w:val="18"/>
                <w:szCs w:val="18"/>
                <w:lang w:val="es-ES" w:eastAsia="en-US"/>
              </w:rPr>
            </w:pPr>
            <w:r>
              <w:rPr>
                <w:sz w:val="18"/>
                <w:szCs w:val="18"/>
              </w:rPr>
              <w:t>5.1</w:t>
            </w:r>
          </w:p>
        </w:tc>
        <w:tc>
          <w:tcPr>
            <w:tcW w:w="1499" w:type="dxa"/>
            <w:tcBorders>
              <w:top w:val="nil"/>
              <w:left w:val="single" w:sz="4" w:space="0" w:color="404040"/>
              <w:bottom w:val="nil"/>
              <w:right w:val="double" w:sz="4" w:space="0" w:color="auto"/>
            </w:tcBorders>
            <w:vAlign w:val="center"/>
          </w:tcPr>
          <w:p w14:paraId="50B3AC3D" w14:textId="77777777" w:rsidR="00D972D3" w:rsidRPr="00065F2C" w:rsidRDefault="00D972D3" w:rsidP="00DB28D4">
            <w:pPr>
              <w:tabs>
                <w:tab w:val="decimal" w:pos="581"/>
              </w:tabs>
              <w:jc w:val="left"/>
              <w:rPr>
                <w:sz w:val="18"/>
                <w:szCs w:val="18"/>
                <w:lang w:val="es-ES" w:eastAsia="en-US"/>
              </w:rPr>
            </w:pPr>
            <w:r>
              <w:rPr>
                <w:sz w:val="18"/>
                <w:szCs w:val="18"/>
              </w:rPr>
              <w:t>3.1</w:t>
            </w:r>
          </w:p>
        </w:tc>
      </w:tr>
      <w:tr w:rsidR="00D972D3" w:rsidRPr="00B2490F" w14:paraId="472B210A" w14:textId="77777777" w:rsidTr="00DB28D4">
        <w:trPr>
          <w:cantSplit/>
          <w:trHeight w:val="255"/>
          <w:jc w:val="center"/>
        </w:trPr>
        <w:tc>
          <w:tcPr>
            <w:tcW w:w="2910" w:type="dxa"/>
            <w:tcBorders>
              <w:top w:val="nil"/>
              <w:left w:val="double" w:sz="4" w:space="0" w:color="auto"/>
              <w:bottom w:val="nil"/>
              <w:right w:val="single" w:sz="4" w:space="0" w:color="404040"/>
            </w:tcBorders>
            <w:vAlign w:val="center"/>
          </w:tcPr>
          <w:p w14:paraId="0B39B5C8" w14:textId="77777777" w:rsidR="00D972D3" w:rsidRPr="00B2490F" w:rsidRDefault="00D972D3" w:rsidP="00DB28D4">
            <w:pPr>
              <w:pStyle w:val="p0"/>
              <w:spacing w:before="0"/>
              <w:ind w:left="162" w:firstLine="454"/>
              <w:jc w:val="left"/>
              <w:rPr>
                <w:color w:val="auto"/>
                <w:sz w:val="18"/>
                <w:lang w:val="es-ES"/>
              </w:rPr>
            </w:pPr>
            <w:r w:rsidRPr="00B2490F">
              <w:rPr>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3FFF6E2E" w14:textId="77777777" w:rsidR="00D972D3" w:rsidRPr="00065F2C" w:rsidRDefault="00D972D3" w:rsidP="00DB28D4">
            <w:pPr>
              <w:tabs>
                <w:tab w:val="decimal" w:pos="670"/>
              </w:tabs>
              <w:jc w:val="left"/>
              <w:rPr>
                <w:sz w:val="18"/>
                <w:szCs w:val="18"/>
                <w:lang w:val="es-ES" w:eastAsia="en-US"/>
              </w:rPr>
            </w:pPr>
            <w:r>
              <w:rPr>
                <w:sz w:val="18"/>
                <w:szCs w:val="18"/>
              </w:rPr>
              <w:t>-6.2</w:t>
            </w:r>
          </w:p>
        </w:tc>
        <w:tc>
          <w:tcPr>
            <w:tcW w:w="1499" w:type="dxa"/>
            <w:tcBorders>
              <w:top w:val="nil"/>
              <w:left w:val="single" w:sz="4" w:space="0" w:color="404040"/>
              <w:bottom w:val="nil"/>
              <w:right w:val="double" w:sz="4" w:space="0" w:color="auto"/>
            </w:tcBorders>
            <w:vAlign w:val="center"/>
          </w:tcPr>
          <w:p w14:paraId="4532C136" w14:textId="77777777" w:rsidR="00D972D3" w:rsidRPr="00065F2C" w:rsidRDefault="00D972D3" w:rsidP="00DB28D4">
            <w:pPr>
              <w:tabs>
                <w:tab w:val="decimal" w:pos="581"/>
              </w:tabs>
              <w:jc w:val="left"/>
              <w:rPr>
                <w:sz w:val="18"/>
                <w:szCs w:val="18"/>
                <w:lang w:val="es-ES" w:eastAsia="en-US"/>
              </w:rPr>
            </w:pPr>
            <w:r>
              <w:rPr>
                <w:sz w:val="18"/>
                <w:szCs w:val="18"/>
              </w:rPr>
              <w:t>-2.2</w:t>
            </w:r>
          </w:p>
        </w:tc>
      </w:tr>
      <w:tr w:rsidR="00D972D3" w:rsidRPr="00B2490F" w14:paraId="7A3CD2BA" w14:textId="77777777" w:rsidTr="00DB28D4">
        <w:trPr>
          <w:cantSplit/>
          <w:trHeight w:val="255"/>
          <w:jc w:val="center"/>
        </w:trPr>
        <w:tc>
          <w:tcPr>
            <w:tcW w:w="2910" w:type="dxa"/>
            <w:tcBorders>
              <w:top w:val="nil"/>
              <w:left w:val="double" w:sz="4" w:space="0" w:color="auto"/>
              <w:bottom w:val="nil"/>
              <w:right w:val="single" w:sz="4" w:space="0" w:color="404040"/>
            </w:tcBorders>
            <w:vAlign w:val="center"/>
            <w:hideMark/>
          </w:tcPr>
          <w:p w14:paraId="5C9F501A" w14:textId="77777777" w:rsidR="00D972D3" w:rsidRPr="00B2490F" w:rsidRDefault="00D972D3" w:rsidP="00DB28D4">
            <w:pPr>
              <w:pStyle w:val="p0"/>
              <w:spacing w:before="0"/>
              <w:ind w:firstLine="454"/>
              <w:jc w:val="left"/>
              <w:rPr>
                <w:color w:val="auto"/>
                <w:sz w:val="18"/>
                <w:lang w:val="es-ES"/>
              </w:rPr>
            </w:pPr>
            <w:r w:rsidRPr="00B2490F">
              <w:rPr>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66D0DC9F" w14:textId="77777777" w:rsidR="00D972D3" w:rsidRPr="00065F2C" w:rsidRDefault="00D972D3" w:rsidP="00DB28D4">
            <w:pPr>
              <w:tabs>
                <w:tab w:val="decimal" w:pos="670"/>
              </w:tabs>
              <w:jc w:val="left"/>
              <w:rPr>
                <w:sz w:val="18"/>
                <w:szCs w:val="18"/>
                <w:lang w:val="es-ES" w:eastAsia="en-US"/>
              </w:rPr>
            </w:pPr>
            <w:r>
              <w:rPr>
                <w:sz w:val="18"/>
                <w:szCs w:val="18"/>
              </w:rPr>
              <w:t>5.5</w:t>
            </w:r>
          </w:p>
        </w:tc>
        <w:tc>
          <w:tcPr>
            <w:tcW w:w="1499" w:type="dxa"/>
            <w:tcBorders>
              <w:top w:val="nil"/>
              <w:left w:val="single" w:sz="4" w:space="0" w:color="404040"/>
              <w:bottom w:val="nil"/>
              <w:right w:val="double" w:sz="4" w:space="0" w:color="auto"/>
            </w:tcBorders>
            <w:vAlign w:val="center"/>
          </w:tcPr>
          <w:p w14:paraId="75AC9E2B" w14:textId="77777777" w:rsidR="00D972D3" w:rsidRPr="00065F2C" w:rsidRDefault="00D972D3" w:rsidP="00DB28D4">
            <w:pPr>
              <w:tabs>
                <w:tab w:val="decimal" w:pos="581"/>
              </w:tabs>
              <w:jc w:val="left"/>
              <w:rPr>
                <w:sz w:val="18"/>
                <w:szCs w:val="18"/>
                <w:lang w:val="es-ES" w:eastAsia="en-US"/>
              </w:rPr>
            </w:pPr>
            <w:r>
              <w:rPr>
                <w:sz w:val="18"/>
                <w:szCs w:val="18"/>
              </w:rPr>
              <w:t>5.3</w:t>
            </w:r>
          </w:p>
        </w:tc>
      </w:tr>
      <w:tr w:rsidR="00D972D3" w:rsidRPr="00B2490F" w14:paraId="418FEBF6" w14:textId="77777777" w:rsidTr="00DB28D4">
        <w:trPr>
          <w:cantSplit/>
          <w:trHeight w:val="255"/>
          <w:jc w:val="center"/>
        </w:trPr>
        <w:tc>
          <w:tcPr>
            <w:tcW w:w="2910" w:type="dxa"/>
            <w:tcBorders>
              <w:top w:val="nil"/>
              <w:left w:val="double" w:sz="4" w:space="0" w:color="auto"/>
              <w:bottom w:val="nil"/>
              <w:right w:val="single" w:sz="4" w:space="0" w:color="404040"/>
            </w:tcBorders>
            <w:vAlign w:val="center"/>
            <w:hideMark/>
          </w:tcPr>
          <w:p w14:paraId="0A6D1432" w14:textId="77777777" w:rsidR="00D972D3" w:rsidRPr="00B2490F" w:rsidRDefault="00D972D3" w:rsidP="00DB28D4">
            <w:pPr>
              <w:pStyle w:val="p0"/>
              <w:spacing w:before="0"/>
              <w:ind w:firstLine="313"/>
              <w:jc w:val="left"/>
              <w:rPr>
                <w:b/>
                <w:color w:val="auto"/>
                <w:sz w:val="18"/>
                <w:lang w:val="es-ES"/>
              </w:rPr>
            </w:pPr>
            <w:r w:rsidRPr="00B2490F">
              <w:rPr>
                <w:b/>
                <w:color w:val="auto"/>
                <w:sz w:val="18"/>
                <w:lang w:val="es-ES"/>
              </w:rPr>
              <w:t>Importado</w:t>
            </w:r>
            <w:r>
              <w:rPr>
                <w:b/>
                <w:color w:val="auto"/>
                <w:sz w:val="18"/>
                <w:lang w:val="es-ES"/>
              </w:rPr>
              <w:t xml:space="preserve"> </w:t>
            </w:r>
          </w:p>
        </w:tc>
        <w:tc>
          <w:tcPr>
            <w:tcW w:w="1499" w:type="dxa"/>
            <w:tcBorders>
              <w:top w:val="nil"/>
              <w:left w:val="single" w:sz="4" w:space="0" w:color="404040"/>
              <w:bottom w:val="nil"/>
              <w:right w:val="single" w:sz="4" w:space="0" w:color="404040"/>
            </w:tcBorders>
            <w:vAlign w:val="center"/>
            <w:hideMark/>
          </w:tcPr>
          <w:p w14:paraId="15AC87ED" w14:textId="77777777" w:rsidR="00D972D3" w:rsidRPr="00065F2C" w:rsidRDefault="00D972D3" w:rsidP="00DB28D4">
            <w:pPr>
              <w:tabs>
                <w:tab w:val="decimal" w:pos="670"/>
              </w:tabs>
              <w:jc w:val="left"/>
              <w:rPr>
                <w:b/>
                <w:sz w:val="18"/>
                <w:szCs w:val="18"/>
                <w:lang w:val="es-ES" w:eastAsia="en-US"/>
              </w:rPr>
            </w:pPr>
            <w:r>
              <w:rPr>
                <w:b/>
                <w:bCs/>
                <w:sz w:val="18"/>
                <w:szCs w:val="18"/>
              </w:rPr>
              <w:t>22.4</w:t>
            </w:r>
          </w:p>
        </w:tc>
        <w:tc>
          <w:tcPr>
            <w:tcW w:w="1499" w:type="dxa"/>
            <w:tcBorders>
              <w:top w:val="nil"/>
              <w:left w:val="single" w:sz="4" w:space="0" w:color="404040"/>
              <w:bottom w:val="nil"/>
              <w:right w:val="double" w:sz="4" w:space="0" w:color="auto"/>
            </w:tcBorders>
            <w:vAlign w:val="center"/>
          </w:tcPr>
          <w:p w14:paraId="16E746B3" w14:textId="77777777" w:rsidR="00D972D3" w:rsidRPr="00065F2C" w:rsidRDefault="00D972D3" w:rsidP="00DB28D4">
            <w:pPr>
              <w:tabs>
                <w:tab w:val="decimal" w:pos="581"/>
              </w:tabs>
              <w:jc w:val="left"/>
              <w:rPr>
                <w:b/>
                <w:sz w:val="18"/>
                <w:szCs w:val="18"/>
                <w:lang w:val="es-ES" w:eastAsia="en-US"/>
              </w:rPr>
            </w:pPr>
            <w:r w:rsidRPr="00065F2C">
              <w:rPr>
                <w:b/>
                <w:bCs/>
                <w:sz w:val="18"/>
                <w:szCs w:val="18"/>
              </w:rPr>
              <w:t>1</w:t>
            </w:r>
            <w:r>
              <w:rPr>
                <w:b/>
                <w:bCs/>
                <w:sz w:val="18"/>
                <w:szCs w:val="18"/>
              </w:rPr>
              <w:t>8.5</w:t>
            </w:r>
          </w:p>
        </w:tc>
      </w:tr>
      <w:tr w:rsidR="00D972D3" w:rsidRPr="00B2490F" w14:paraId="073AEB1A" w14:textId="77777777" w:rsidTr="00DB28D4">
        <w:trPr>
          <w:cantSplit/>
          <w:trHeight w:val="255"/>
          <w:jc w:val="center"/>
        </w:trPr>
        <w:tc>
          <w:tcPr>
            <w:tcW w:w="2910" w:type="dxa"/>
            <w:tcBorders>
              <w:top w:val="nil"/>
              <w:left w:val="double" w:sz="4" w:space="0" w:color="auto"/>
              <w:bottom w:val="nil"/>
              <w:right w:val="single" w:sz="4" w:space="0" w:color="404040"/>
            </w:tcBorders>
            <w:vAlign w:val="center"/>
            <w:hideMark/>
          </w:tcPr>
          <w:p w14:paraId="495C1947" w14:textId="77777777" w:rsidR="00D972D3" w:rsidRPr="00B2490F" w:rsidRDefault="00D972D3" w:rsidP="00DB28D4">
            <w:pPr>
              <w:pStyle w:val="p0"/>
              <w:spacing w:before="0"/>
              <w:ind w:firstLine="454"/>
              <w:jc w:val="left"/>
              <w:rPr>
                <w:color w:val="auto"/>
                <w:sz w:val="18"/>
                <w:lang w:val="es-ES"/>
              </w:rPr>
            </w:pPr>
            <w:r w:rsidRPr="00B2490F">
              <w:rPr>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6D429B9F" w14:textId="77777777" w:rsidR="00D972D3" w:rsidRPr="00065F2C" w:rsidRDefault="00D972D3" w:rsidP="00DB28D4">
            <w:pPr>
              <w:tabs>
                <w:tab w:val="decimal" w:pos="670"/>
              </w:tabs>
              <w:jc w:val="left"/>
              <w:rPr>
                <w:sz w:val="18"/>
                <w:szCs w:val="18"/>
                <w:lang w:val="es-ES" w:eastAsia="en-US"/>
              </w:rPr>
            </w:pPr>
            <w:r>
              <w:rPr>
                <w:sz w:val="18"/>
                <w:szCs w:val="18"/>
              </w:rPr>
              <w:t>22.4</w:t>
            </w:r>
          </w:p>
        </w:tc>
        <w:tc>
          <w:tcPr>
            <w:tcW w:w="1499" w:type="dxa"/>
            <w:tcBorders>
              <w:top w:val="nil"/>
              <w:left w:val="single" w:sz="4" w:space="0" w:color="404040"/>
              <w:bottom w:val="nil"/>
              <w:right w:val="double" w:sz="4" w:space="0" w:color="auto"/>
            </w:tcBorders>
            <w:vAlign w:val="center"/>
          </w:tcPr>
          <w:p w14:paraId="2F591301" w14:textId="77777777" w:rsidR="00D972D3" w:rsidRPr="00065F2C" w:rsidRDefault="00D972D3" w:rsidP="00DB28D4">
            <w:pPr>
              <w:tabs>
                <w:tab w:val="decimal" w:pos="581"/>
              </w:tabs>
              <w:jc w:val="left"/>
              <w:rPr>
                <w:sz w:val="18"/>
                <w:szCs w:val="18"/>
                <w:lang w:val="es-ES" w:eastAsia="en-US"/>
              </w:rPr>
            </w:pPr>
            <w:r w:rsidRPr="00065F2C">
              <w:rPr>
                <w:sz w:val="18"/>
                <w:szCs w:val="18"/>
              </w:rPr>
              <w:t>1</w:t>
            </w:r>
            <w:r>
              <w:rPr>
                <w:sz w:val="18"/>
                <w:szCs w:val="18"/>
              </w:rPr>
              <w:t>8.5</w:t>
            </w:r>
          </w:p>
        </w:tc>
      </w:tr>
      <w:tr w:rsidR="00D972D3" w:rsidRPr="00B2490F" w14:paraId="739F9B35" w14:textId="77777777" w:rsidTr="00DB28D4">
        <w:trPr>
          <w:cantSplit/>
          <w:trHeight w:val="255"/>
          <w:jc w:val="center"/>
        </w:trPr>
        <w:tc>
          <w:tcPr>
            <w:tcW w:w="2910" w:type="dxa"/>
            <w:tcBorders>
              <w:top w:val="nil"/>
              <w:left w:val="double" w:sz="4" w:space="0" w:color="auto"/>
              <w:bottom w:val="nil"/>
              <w:right w:val="single" w:sz="4" w:space="0" w:color="404040"/>
            </w:tcBorders>
            <w:vAlign w:val="center"/>
          </w:tcPr>
          <w:p w14:paraId="7A5A00D6" w14:textId="77777777" w:rsidR="00D972D3" w:rsidRPr="00B2490F" w:rsidRDefault="00D972D3" w:rsidP="00DB28D4">
            <w:pPr>
              <w:pStyle w:val="p0"/>
              <w:spacing w:before="0"/>
              <w:ind w:left="162" w:firstLine="454"/>
              <w:jc w:val="left"/>
              <w:rPr>
                <w:color w:val="auto"/>
                <w:sz w:val="18"/>
                <w:lang w:val="es-ES"/>
              </w:rPr>
            </w:pPr>
            <w:r w:rsidRPr="00B2490F">
              <w:rPr>
                <w:color w:val="auto"/>
                <w:sz w:val="18"/>
                <w:lang w:val="es-ES"/>
              </w:rPr>
              <w:t>Duraderos</w:t>
            </w:r>
          </w:p>
        </w:tc>
        <w:tc>
          <w:tcPr>
            <w:tcW w:w="1499" w:type="dxa"/>
            <w:tcBorders>
              <w:top w:val="nil"/>
              <w:left w:val="single" w:sz="4" w:space="0" w:color="404040"/>
              <w:bottom w:val="nil"/>
              <w:right w:val="single" w:sz="4" w:space="0" w:color="404040"/>
            </w:tcBorders>
            <w:vAlign w:val="center"/>
          </w:tcPr>
          <w:p w14:paraId="69DEFB04" w14:textId="77777777" w:rsidR="00D972D3" w:rsidRPr="00065F2C" w:rsidRDefault="00D972D3" w:rsidP="00DB28D4">
            <w:pPr>
              <w:tabs>
                <w:tab w:val="decimal" w:pos="670"/>
              </w:tabs>
              <w:jc w:val="left"/>
              <w:rPr>
                <w:sz w:val="18"/>
                <w:szCs w:val="18"/>
                <w:lang w:val="es-ES" w:eastAsia="en-US"/>
              </w:rPr>
            </w:pPr>
            <w:r>
              <w:rPr>
                <w:sz w:val="18"/>
                <w:szCs w:val="18"/>
              </w:rPr>
              <w:t>31.0</w:t>
            </w:r>
          </w:p>
        </w:tc>
        <w:tc>
          <w:tcPr>
            <w:tcW w:w="1499" w:type="dxa"/>
            <w:tcBorders>
              <w:top w:val="nil"/>
              <w:left w:val="single" w:sz="4" w:space="0" w:color="404040"/>
              <w:bottom w:val="nil"/>
              <w:right w:val="double" w:sz="4" w:space="0" w:color="auto"/>
            </w:tcBorders>
            <w:vAlign w:val="center"/>
          </w:tcPr>
          <w:p w14:paraId="2A50AA3C" w14:textId="77777777" w:rsidR="00D972D3" w:rsidRPr="00065F2C" w:rsidRDefault="00D972D3" w:rsidP="00DB28D4">
            <w:pPr>
              <w:tabs>
                <w:tab w:val="decimal" w:pos="581"/>
              </w:tabs>
              <w:jc w:val="left"/>
              <w:rPr>
                <w:sz w:val="18"/>
                <w:szCs w:val="18"/>
                <w:lang w:val="es-ES" w:eastAsia="en-US"/>
              </w:rPr>
            </w:pPr>
            <w:r>
              <w:rPr>
                <w:sz w:val="18"/>
                <w:szCs w:val="18"/>
              </w:rPr>
              <w:t>20.8</w:t>
            </w:r>
          </w:p>
        </w:tc>
      </w:tr>
      <w:tr w:rsidR="00D972D3" w:rsidRPr="00B2490F" w14:paraId="03C9666A" w14:textId="77777777" w:rsidTr="00DB28D4">
        <w:trPr>
          <w:cantSplit/>
          <w:trHeight w:val="255"/>
          <w:jc w:val="center"/>
        </w:trPr>
        <w:tc>
          <w:tcPr>
            <w:tcW w:w="2910" w:type="dxa"/>
            <w:tcBorders>
              <w:top w:val="nil"/>
              <w:left w:val="double" w:sz="4" w:space="0" w:color="auto"/>
              <w:bottom w:val="nil"/>
              <w:right w:val="single" w:sz="4" w:space="0" w:color="404040"/>
            </w:tcBorders>
            <w:vAlign w:val="center"/>
          </w:tcPr>
          <w:p w14:paraId="4D12312C" w14:textId="77777777" w:rsidR="00D972D3" w:rsidRPr="00B2490F" w:rsidRDefault="00D972D3" w:rsidP="00DB28D4">
            <w:pPr>
              <w:pStyle w:val="p0"/>
              <w:spacing w:before="0"/>
              <w:ind w:left="162" w:firstLine="454"/>
              <w:jc w:val="left"/>
              <w:rPr>
                <w:color w:val="auto"/>
                <w:sz w:val="18"/>
                <w:lang w:val="es-ES"/>
              </w:rPr>
            </w:pPr>
            <w:r w:rsidRPr="00B2490F">
              <w:rPr>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4DF534A2" w14:textId="77777777" w:rsidR="00D972D3" w:rsidRPr="00065F2C" w:rsidRDefault="00D972D3" w:rsidP="00DB28D4">
            <w:pPr>
              <w:tabs>
                <w:tab w:val="decimal" w:pos="670"/>
              </w:tabs>
              <w:jc w:val="left"/>
              <w:rPr>
                <w:sz w:val="18"/>
                <w:szCs w:val="18"/>
                <w:lang w:val="es-ES" w:eastAsia="en-US"/>
              </w:rPr>
            </w:pPr>
            <w:r>
              <w:rPr>
                <w:sz w:val="18"/>
                <w:szCs w:val="18"/>
              </w:rPr>
              <w:t>14.4</w:t>
            </w:r>
          </w:p>
        </w:tc>
        <w:tc>
          <w:tcPr>
            <w:tcW w:w="1499" w:type="dxa"/>
            <w:tcBorders>
              <w:top w:val="nil"/>
              <w:left w:val="single" w:sz="4" w:space="0" w:color="404040"/>
              <w:bottom w:val="nil"/>
              <w:right w:val="double" w:sz="4" w:space="0" w:color="auto"/>
            </w:tcBorders>
            <w:vAlign w:val="center"/>
          </w:tcPr>
          <w:p w14:paraId="52F107E9" w14:textId="77777777" w:rsidR="00D972D3" w:rsidRPr="00065F2C" w:rsidRDefault="00D972D3" w:rsidP="00DB28D4">
            <w:pPr>
              <w:tabs>
                <w:tab w:val="decimal" w:pos="581"/>
              </w:tabs>
              <w:jc w:val="left"/>
              <w:rPr>
                <w:sz w:val="18"/>
                <w:szCs w:val="18"/>
                <w:lang w:val="es-ES" w:eastAsia="en-US"/>
              </w:rPr>
            </w:pPr>
            <w:r>
              <w:rPr>
                <w:sz w:val="18"/>
                <w:szCs w:val="18"/>
              </w:rPr>
              <w:t>9.4</w:t>
            </w:r>
          </w:p>
        </w:tc>
      </w:tr>
      <w:tr w:rsidR="00D972D3" w:rsidRPr="00B2490F" w14:paraId="706A85FE" w14:textId="77777777" w:rsidTr="00DB28D4">
        <w:trPr>
          <w:cantSplit/>
          <w:trHeight w:val="255"/>
          <w:jc w:val="center"/>
        </w:trPr>
        <w:tc>
          <w:tcPr>
            <w:tcW w:w="2910" w:type="dxa"/>
            <w:tcBorders>
              <w:top w:val="nil"/>
              <w:left w:val="double" w:sz="4" w:space="0" w:color="auto"/>
              <w:bottom w:val="nil"/>
              <w:right w:val="single" w:sz="4" w:space="0" w:color="404040"/>
            </w:tcBorders>
            <w:vAlign w:val="center"/>
          </w:tcPr>
          <w:p w14:paraId="606AB225" w14:textId="77777777" w:rsidR="00D972D3" w:rsidRPr="00B2490F" w:rsidRDefault="00D972D3" w:rsidP="00DB28D4">
            <w:pPr>
              <w:pStyle w:val="p0"/>
              <w:spacing w:before="0"/>
              <w:ind w:left="162" w:firstLine="454"/>
              <w:jc w:val="left"/>
              <w:rPr>
                <w:color w:val="auto"/>
                <w:sz w:val="18"/>
                <w:lang w:val="es-ES"/>
              </w:rPr>
            </w:pPr>
            <w:r w:rsidRPr="00B2490F">
              <w:rPr>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84113C6" w14:textId="77777777" w:rsidR="00D972D3" w:rsidRPr="00065F2C" w:rsidRDefault="00D972D3" w:rsidP="00DB28D4">
            <w:pPr>
              <w:tabs>
                <w:tab w:val="decimal" w:pos="670"/>
              </w:tabs>
              <w:jc w:val="left"/>
              <w:rPr>
                <w:sz w:val="18"/>
                <w:szCs w:val="18"/>
                <w:lang w:val="es-ES" w:eastAsia="en-US"/>
              </w:rPr>
            </w:pPr>
            <w:r>
              <w:rPr>
                <w:sz w:val="18"/>
                <w:szCs w:val="18"/>
              </w:rPr>
              <w:t>20.9</w:t>
            </w:r>
          </w:p>
        </w:tc>
        <w:tc>
          <w:tcPr>
            <w:tcW w:w="1499" w:type="dxa"/>
            <w:tcBorders>
              <w:top w:val="nil"/>
              <w:left w:val="single" w:sz="4" w:space="0" w:color="404040"/>
              <w:bottom w:val="nil"/>
              <w:right w:val="double" w:sz="4" w:space="0" w:color="auto"/>
            </w:tcBorders>
            <w:vAlign w:val="center"/>
          </w:tcPr>
          <w:p w14:paraId="73A08711" w14:textId="77777777" w:rsidR="00D972D3" w:rsidRPr="00065F2C" w:rsidRDefault="00D972D3" w:rsidP="00DB28D4">
            <w:pPr>
              <w:tabs>
                <w:tab w:val="decimal" w:pos="581"/>
              </w:tabs>
              <w:jc w:val="left"/>
              <w:rPr>
                <w:sz w:val="18"/>
                <w:szCs w:val="18"/>
                <w:lang w:val="es-ES" w:eastAsia="en-US"/>
              </w:rPr>
            </w:pPr>
            <w:r>
              <w:rPr>
                <w:sz w:val="18"/>
                <w:szCs w:val="18"/>
              </w:rPr>
              <w:t>20.5</w:t>
            </w:r>
          </w:p>
        </w:tc>
      </w:tr>
      <w:tr w:rsidR="00D972D3" w:rsidRPr="00B2490F" w14:paraId="6EB17860" w14:textId="77777777" w:rsidTr="00DB28D4">
        <w:trPr>
          <w:cantSplit/>
          <w:trHeight w:val="255"/>
          <w:jc w:val="center"/>
        </w:trPr>
        <w:tc>
          <w:tcPr>
            <w:tcW w:w="2910" w:type="dxa"/>
            <w:tcBorders>
              <w:top w:val="nil"/>
              <w:left w:val="double" w:sz="4" w:space="0" w:color="auto"/>
              <w:bottom w:val="double" w:sz="4" w:space="0" w:color="auto"/>
              <w:right w:val="single" w:sz="4" w:space="0" w:color="404040"/>
            </w:tcBorders>
            <w:vAlign w:val="center"/>
          </w:tcPr>
          <w:p w14:paraId="41A353FD" w14:textId="77777777" w:rsidR="00D972D3" w:rsidRPr="00B2490F" w:rsidRDefault="00D972D3" w:rsidP="00DB28D4">
            <w:pPr>
              <w:pStyle w:val="p0"/>
              <w:spacing w:before="0"/>
              <w:ind w:left="447"/>
              <w:jc w:val="left"/>
              <w:rPr>
                <w:color w:val="auto"/>
                <w:sz w:val="18"/>
                <w:lang w:val="es-ES"/>
              </w:rPr>
            </w:pPr>
            <w:r>
              <w:rPr>
                <w:color w:val="auto"/>
                <w:sz w:val="18"/>
                <w:lang w:val="es-ES"/>
              </w:rPr>
              <w:t>Compras netas de residentes y no residentes</w:t>
            </w:r>
          </w:p>
        </w:tc>
        <w:tc>
          <w:tcPr>
            <w:tcW w:w="1499" w:type="dxa"/>
            <w:tcBorders>
              <w:top w:val="nil"/>
              <w:left w:val="single" w:sz="4" w:space="0" w:color="404040"/>
              <w:bottom w:val="double" w:sz="4" w:space="0" w:color="auto"/>
              <w:right w:val="single" w:sz="4" w:space="0" w:color="404040"/>
            </w:tcBorders>
            <w:vAlign w:val="center"/>
          </w:tcPr>
          <w:p w14:paraId="31D9EE59" w14:textId="77777777" w:rsidR="00D972D3" w:rsidRDefault="00D972D3" w:rsidP="00DB28D4">
            <w:pPr>
              <w:tabs>
                <w:tab w:val="decimal" w:pos="799"/>
              </w:tabs>
              <w:jc w:val="left"/>
              <w:rPr>
                <w:sz w:val="18"/>
                <w:szCs w:val="18"/>
              </w:rPr>
            </w:pPr>
            <w:r>
              <w:rPr>
                <w:sz w:val="18"/>
                <w:szCs w:val="18"/>
              </w:rPr>
              <w:t>NA</w:t>
            </w:r>
          </w:p>
        </w:tc>
        <w:tc>
          <w:tcPr>
            <w:tcW w:w="1499" w:type="dxa"/>
            <w:tcBorders>
              <w:top w:val="nil"/>
              <w:left w:val="single" w:sz="4" w:space="0" w:color="404040"/>
              <w:bottom w:val="double" w:sz="4" w:space="0" w:color="auto"/>
              <w:right w:val="double" w:sz="4" w:space="0" w:color="auto"/>
            </w:tcBorders>
            <w:vAlign w:val="center"/>
          </w:tcPr>
          <w:p w14:paraId="10999338" w14:textId="77777777" w:rsidR="00D972D3" w:rsidRDefault="00D972D3" w:rsidP="00DB28D4">
            <w:pPr>
              <w:tabs>
                <w:tab w:val="decimal" w:pos="716"/>
              </w:tabs>
              <w:jc w:val="left"/>
              <w:rPr>
                <w:sz w:val="18"/>
                <w:szCs w:val="18"/>
              </w:rPr>
            </w:pPr>
            <w:r>
              <w:rPr>
                <w:sz w:val="18"/>
                <w:szCs w:val="18"/>
              </w:rPr>
              <w:t>NA</w:t>
            </w:r>
          </w:p>
        </w:tc>
      </w:tr>
    </w:tbl>
    <w:p w14:paraId="2963DB16" w14:textId="52A5C65E" w:rsidR="00D972D3" w:rsidRDefault="00D972D3" w:rsidP="00D972D3">
      <w:pPr>
        <w:spacing w:before="20"/>
        <w:ind w:left="1276" w:right="-91" w:firstLine="851"/>
        <w:rPr>
          <w:sz w:val="16"/>
          <w:szCs w:val="16"/>
        </w:rPr>
      </w:pPr>
      <w:r w:rsidRPr="00B2490F">
        <w:rPr>
          <w:sz w:val="16"/>
          <w:szCs w:val="16"/>
          <w:vertAlign w:val="superscript"/>
        </w:rPr>
        <w:t>P</w:t>
      </w:r>
      <w:r w:rsidRPr="00B2490F">
        <w:rPr>
          <w:sz w:val="16"/>
          <w:szCs w:val="16"/>
        </w:rPr>
        <w:t xml:space="preserve">/ </w:t>
      </w:r>
      <w:r w:rsidR="006B2980">
        <w:rPr>
          <w:sz w:val="16"/>
          <w:szCs w:val="16"/>
        </w:rPr>
        <w:tab/>
      </w:r>
      <w:r w:rsidRPr="00B2490F">
        <w:rPr>
          <w:sz w:val="16"/>
          <w:szCs w:val="16"/>
        </w:rPr>
        <w:t>Cifras preliminares</w:t>
      </w:r>
    </w:p>
    <w:p w14:paraId="234C4893" w14:textId="77777777" w:rsidR="00D549CD" w:rsidRDefault="00D972D3" w:rsidP="00D972D3">
      <w:pPr>
        <w:ind w:left="2268" w:right="2036" w:hanging="141"/>
        <w:rPr>
          <w:sz w:val="16"/>
          <w:szCs w:val="16"/>
        </w:rPr>
      </w:pPr>
      <w:r w:rsidRPr="00F551F3">
        <w:rPr>
          <w:sz w:val="16"/>
          <w:szCs w:val="16"/>
          <w:vertAlign w:val="superscript"/>
        </w:rPr>
        <w:t>1/</w:t>
      </w:r>
      <w:r>
        <w:rPr>
          <w:sz w:val="16"/>
          <w:szCs w:val="16"/>
        </w:rPr>
        <w:t xml:space="preserve"> </w:t>
      </w:r>
      <w:r w:rsidR="006B2980">
        <w:rPr>
          <w:sz w:val="16"/>
          <w:szCs w:val="16"/>
        </w:rPr>
        <w:tab/>
      </w:r>
      <w:r w:rsidR="006B2980">
        <w:rPr>
          <w:sz w:val="16"/>
          <w:szCs w:val="16"/>
        </w:rPr>
        <w:tab/>
      </w:r>
      <w:r>
        <w:rPr>
          <w:sz w:val="16"/>
          <w:szCs w:val="16"/>
        </w:rPr>
        <w:t xml:space="preserve">Las compras netas de residentes y no residentes se contabilizan en el </w:t>
      </w:r>
    </w:p>
    <w:p w14:paraId="76D89728" w14:textId="4088FD67" w:rsidR="00D972D3" w:rsidRDefault="00D972D3" w:rsidP="00D549CD">
      <w:pPr>
        <w:ind w:left="2268" w:right="2036" w:firstLine="564"/>
        <w:rPr>
          <w:sz w:val="16"/>
          <w:szCs w:val="16"/>
        </w:rPr>
      </w:pPr>
      <w:proofErr w:type="gramStart"/>
      <w:r>
        <w:rPr>
          <w:sz w:val="16"/>
          <w:szCs w:val="16"/>
        </w:rPr>
        <w:t>total</w:t>
      </w:r>
      <w:proofErr w:type="gramEnd"/>
      <w:r>
        <w:rPr>
          <w:sz w:val="16"/>
          <w:szCs w:val="16"/>
        </w:rPr>
        <w:t xml:space="preserve"> del índice del volumen físico.</w:t>
      </w:r>
    </w:p>
    <w:p w14:paraId="6E2BD443" w14:textId="134E8B55" w:rsidR="00D972D3" w:rsidRPr="00B2490F" w:rsidRDefault="00D972D3" w:rsidP="00D972D3">
      <w:pPr>
        <w:ind w:left="2268" w:right="2036" w:hanging="141"/>
        <w:rPr>
          <w:sz w:val="16"/>
          <w:szCs w:val="16"/>
        </w:rPr>
      </w:pPr>
      <w:r>
        <w:rPr>
          <w:sz w:val="16"/>
          <w:szCs w:val="16"/>
        </w:rPr>
        <w:t xml:space="preserve">NA: </w:t>
      </w:r>
      <w:r w:rsidR="006B2980">
        <w:rPr>
          <w:sz w:val="16"/>
          <w:szCs w:val="16"/>
        </w:rPr>
        <w:tab/>
      </w:r>
      <w:r>
        <w:rPr>
          <w:sz w:val="16"/>
          <w:szCs w:val="16"/>
        </w:rPr>
        <w:t>No aplica.</w:t>
      </w:r>
    </w:p>
    <w:p w14:paraId="227AFC90" w14:textId="4743FB45" w:rsidR="00D972D3" w:rsidRDefault="00D972D3" w:rsidP="00D972D3">
      <w:pPr>
        <w:ind w:left="1276" w:right="-91" w:firstLine="851"/>
        <w:rPr>
          <w:sz w:val="16"/>
          <w:szCs w:val="16"/>
        </w:rPr>
      </w:pPr>
      <w:r>
        <w:rPr>
          <w:sz w:val="16"/>
          <w:szCs w:val="16"/>
        </w:rPr>
        <w:t xml:space="preserve">Fuente: </w:t>
      </w:r>
      <w:r w:rsidR="006B2980">
        <w:rPr>
          <w:sz w:val="16"/>
          <w:szCs w:val="16"/>
        </w:rPr>
        <w:tab/>
      </w:r>
      <w:r>
        <w:rPr>
          <w:sz w:val="16"/>
          <w:szCs w:val="16"/>
        </w:rPr>
        <w:t>INEGI</w:t>
      </w:r>
    </w:p>
    <w:p w14:paraId="6337DB47" w14:textId="77777777" w:rsidR="00D972D3" w:rsidRPr="00551D1A" w:rsidRDefault="00D972D3" w:rsidP="00D972D3">
      <w:pPr>
        <w:pStyle w:val="parr2"/>
        <w:keepNext/>
        <w:keepLines/>
        <w:spacing w:before="360"/>
        <w:ind w:left="0" w:right="0"/>
        <w:rPr>
          <w:b/>
          <w:iCs/>
          <w:smallCaps/>
        </w:rPr>
      </w:pPr>
      <w:bookmarkStart w:id="9" w:name="_Hlk144467645"/>
      <w:r w:rsidRPr="00551D1A">
        <w:rPr>
          <w:b/>
          <w:iCs/>
          <w:smallCaps/>
        </w:rPr>
        <w:lastRenderedPageBreak/>
        <w:t>Nota al usuario</w:t>
      </w:r>
    </w:p>
    <w:p w14:paraId="70E4311F" w14:textId="77777777" w:rsidR="00D972D3" w:rsidRPr="006E3CDA" w:rsidRDefault="00D972D3" w:rsidP="00D972D3">
      <w:pPr>
        <w:pStyle w:val="Default"/>
        <w:keepNext/>
        <w:keepLines/>
        <w:spacing w:before="240"/>
        <w:jc w:val="both"/>
      </w:pPr>
      <w:r w:rsidRPr="006E3CDA">
        <w:t xml:space="preserve">En la integración del IMCP, en </w:t>
      </w:r>
      <w:r>
        <w:t>juni</w:t>
      </w:r>
      <w:r w:rsidRPr="006E3CDA">
        <w:t>o de 2023, se consideraron las encuestas económicas,</w:t>
      </w:r>
      <w:r w:rsidRPr="006E3CDA">
        <w:rPr>
          <w:vertAlign w:val="superscript"/>
        </w:rPr>
        <w:footnoteReference w:id="3"/>
      </w:r>
      <w:r w:rsidRPr="006E3CDA">
        <w:t xml:space="preserve"> los registros administrativos y los datos primarios que divulga el Instituto Nacional de Estadística y Geografía (INEGI), lo que permitió la generación de estadísticas con niveles altos de cobertura. Para las actividades agropecuarias, </w:t>
      </w:r>
      <w:r>
        <w:t xml:space="preserve">de </w:t>
      </w:r>
      <w:r w:rsidRPr="006E3CDA">
        <w:t>energía, gas y agua, servicios financieros y del gobierno se incluyeron los registros administrativos provenientes de las empresas y Unidades del Estado que se recibieron oportunamente vía correo electrónico e internet.</w:t>
      </w:r>
    </w:p>
    <w:bookmarkEnd w:id="9"/>
    <w:p w14:paraId="7D3D558A" w14:textId="77777777" w:rsidR="00D972D3" w:rsidRPr="00551D1A" w:rsidRDefault="00D972D3" w:rsidP="00D972D3">
      <w:pPr>
        <w:pStyle w:val="Default"/>
        <w:spacing w:before="360"/>
        <w:jc w:val="both"/>
        <w:rPr>
          <w:b/>
          <w:iCs/>
          <w:smallCaps/>
        </w:rPr>
      </w:pPr>
      <w:r w:rsidRPr="00551D1A">
        <w:rPr>
          <w:b/>
          <w:iCs/>
          <w:smallCaps/>
        </w:rPr>
        <w:t>Nota metodológica</w:t>
      </w:r>
    </w:p>
    <w:p w14:paraId="350782E6" w14:textId="77777777" w:rsidR="00D972D3" w:rsidRDefault="00D972D3" w:rsidP="00D972D3">
      <w:pPr>
        <w:pStyle w:val="Default"/>
        <w:spacing w:before="240"/>
        <w:jc w:val="both"/>
      </w:pPr>
      <w:r w:rsidRPr="002408FD">
        <w:t>El IMCP mide el comportamiento del gasto realizado por los hogares en bienes y servicios de consumo, tanto de origen nacional como importado. Este permite dar seguimiento mensual al componente más significativo del Producto Interno Bruto (PIB), por el lado de la demanda</w:t>
      </w:r>
      <w:r>
        <w:t>.</w:t>
      </w:r>
    </w:p>
    <w:p w14:paraId="7C357D74" w14:textId="77777777" w:rsidR="00D972D3" w:rsidRDefault="00D972D3" w:rsidP="00D972D3">
      <w:pPr>
        <w:spacing w:before="240"/>
      </w:pPr>
      <w:r w:rsidRPr="002408FD">
        <w:t>Los datos del IMCP están disponibles en una serie larga desde enero de 1993 y se expresan en índices de volumen físico con base fija en el año 2018=100. La disponibilidad de información con periodicidad mensual y oportuna relacionada con la cuenta de viajes de la Balanza de Pagos permitió, en la actualización del año base a 2018, incorporar la medición mensual de las compras netas de residentes en el mercado exterior y robustecer los cálculos mensuales</w:t>
      </w:r>
      <w:r>
        <w:t>. De esta manera se acercaron los</w:t>
      </w:r>
      <w:r w:rsidRPr="002408FD">
        <w:t xml:space="preserve"> resultados a los</w:t>
      </w:r>
      <w:r>
        <w:t xml:space="preserve"> que se obtuvieron </w:t>
      </w:r>
      <w:r w:rsidRPr="002408FD">
        <w:t>en las mediciones trimestrales</w:t>
      </w:r>
      <w:r>
        <w:t>. Así, se pasó d</w:t>
      </w:r>
      <w:r w:rsidRPr="002408FD">
        <w:t xml:space="preserve">el </w:t>
      </w:r>
      <w:r w:rsidRPr="00D24AF6">
        <w:t xml:space="preserve">Indicador Mensual del Consumo Privado </w:t>
      </w:r>
      <w:r>
        <w:t>en el Mercado Interior (</w:t>
      </w:r>
      <w:r w:rsidRPr="002408FD">
        <w:t>IMCPMI</w:t>
      </w:r>
      <w:r>
        <w:t>)</w:t>
      </w:r>
      <w:r w:rsidRPr="002408FD">
        <w:t xml:space="preserve"> al IMCP. Se identific</w:t>
      </w:r>
      <w:r>
        <w:t>ó</w:t>
      </w:r>
      <w:r w:rsidRPr="002408FD">
        <w:t xml:space="preserve"> el gasto realizado en bienes y en servicios de origen nacional, así como en bienes de origen importado. En el caso de los bienes, se establece una diferenciación por su durabilidad: se los clasifica en duraderos, semi duraderos y no duraderos. Después, se distingue cada una de estas categorías con base en su origen, nacional o importado. La cobertura </w:t>
      </w:r>
      <w:hyperlink w:anchor="page3" w:history="1">
        <w:r w:rsidRPr="002408FD">
          <w:t xml:space="preserve">de este indicador es de 97.9 % </w:t>
        </w:r>
      </w:hyperlink>
      <w:r w:rsidRPr="002408FD">
        <w:t>en 2018, año base de los productos del Sistema de Cuentas Nacionales de México (SCNM)</w:t>
      </w:r>
      <w:r w:rsidRPr="006F503A">
        <w:t>.</w:t>
      </w:r>
    </w:p>
    <w:p w14:paraId="2B1ACB6B" w14:textId="77777777" w:rsidR="00D972D3" w:rsidRDefault="00D972D3" w:rsidP="00D972D3">
      <w:pPr>
        <w:spacing w:before="240"/>
      </w:pPr>
      <w:r w:rsidRPr="002408FD">
        <w:t>El indicador mensual se elabora con el «Sistema de Clasificación Industrial de América del Norte» (SCIAN) 2018, en su última versión disponible, con los criterios metodológicos, clasificadores y datos fuente que se emplean en los cálculos anuales y trimestrales del consumo privado total</w:t>
      </w:r>
      <w:r>
        <w:t>.</w:t>
      </w:r>
    </w:p>
    <w:p w14:paraId="3DFAA083" w14:textId="089C4BA6" w:rsidR="006B2980" w:rsidRDefault="00D972D3" w:rsidP="00D972D3">
      <w:pPr>
        <w:spacing w:before="240"/>
      </w:pPr>
      <w:r w:rsidRPr="002408FD">
        <w:t>El método de cálculo para los componentes de origen nacional se basa en la construcción de índices de ventas reales o de producción</w:t>
      </w:r>
      <w:r>
        <w:t>. Lo anterior,</w:t>
      </w:r>
      <w:r w:rsidRPr="002408FD">
        <w:t xml:space="preserve"> cuando no se dispone del primer concepto para cada clase de actividad</w:t>
      </w:r>
      <w:r>
        <w:t>,</w:t>
      </w:r>
      <w:r w:rsidRPr="002408FD">
        <w:t xml:space="preserve"> cuya producción </w:t>
      </w:r>
      <w:r>
        <w:t>se destina a</w:t>
      </w:r>
      <w:r w:rsidRPr="002408FD">
        <w:t xml:space="preserve">l consumo privado, de acuerdo con los Cuadros de Oferta y Utilización </w:t>
      </w:r>
      <w:r>
        <w:t xml:space="preserve">(COU), </w:t>
      </w:r>
      <w:r w:rsidRPr="002408FD">
        <w:t xml:space="preserve">actualizados </w:t>
      </w:r>
      <w:r>
        <w:t xml:space="preserve">al </w:t>
      </w:r>
      <w:r w:rsidRPr="002408FD">
        <w:t xml:space="preserve">año base 2018. Los índices de ventas o de producción, según sea el caso, </w:t>
      </w:r>
      <w:r>
        <w:t xml:space="preserve">se utilizan </w:t>
      </w:r>
      <w:r w:rsidRPr="002408FD">
        <w:t>para extrapolar el valor registrado por cada clase de actividad en el año base</w:t>
      </w:r>
      <w:r>
        <w:t>.</w:t>
      </w:r>
    </w:p>
    <w:p w14:paraId="6F0ECE82" w14:textId="77777777" w:rsidR="006B2980" w:rsidRDefault="006B2980">
      <w:pPr>
        <w:spacing w:after="160" w:line="259" w:lineRule="auto"/>
        <w:jc w:val="left"/>
      </w:pPr>
      <w:r>
        <w:br w:type="page"/>
      </w:r>
    </w:p>
    <w:p w14:paraId="52EC96DB" w14:textId="77777777" w:rsidR="00D972D3" w:rsidRPr="006F503A" w:rsidRDefault="00D972D3" w:rsidP="00D972D3">
      <w:pPr>
        <w:spacing w:before="240"/>
      </w:pPr>
      <w:r w:rsidRPr="002408FD">
        <w:lastRenderedPageBreak/>
        <w:t xml:space="preserve">El método de estimación del gasto en bienes de consumo final de origen importado se apoya en las compilaciones mensuales </w:t>
      </w:r>
      <w:r>
        <w:t xml:space="preserve">que se llevan a </w:t>
      </w:r>
      <w:r w:rsidRPr="002408FD">
        <w:t>cabo a nivel de fracción arancelaria. Los valores de las importaciones de bienes de consumo final</w:t>
      </w:r>
      <w:r>
        <w:t>,</w:t>
      </w:r>
      <w:r w:rsidRPr="002408FD">
        <w:t xml:space="preserve"> valoradas en pesos y agrupadas a nivel de rama de actividad</w:t>
      </w:r>
      <w:r>
        <w:t>,</w:t>
      </w:r>
      <w:r w:rsidRPr="002408FD">
        <w:t xml:space="preserve"> se deflactan </w:t>
      </w:r>
      <w:r>
        <w:t xml:space="preserve">para </w:t>
      </w:r>
      <w:r w:rsidRPr="002408FD">
        <w:t xml:space="preserve">encontrar su expresión en valores reales. Los índices deflactores se construyen considerando los índices de precios de exportación de bienes de consumo, a nivel de rama de actividad SCIAN 2018, elaborados por el Bureau </w:t>
      </w:r>
      <w:proofErr w:type="spellStart"/>
      <w:r w:rsidRPr="002408FD">
        <w:t>of</w:t>
      </w:r>
      <w:proofErr w:type="spellEnd"/>
      <w:r w:rsidRPr="002408FD">
        <w:t xml:space="preserve"> Labor </w:t>
      </w:r>
      <w:proofErr w:type="spellStart"/>
      <w:r w:rsidRPr="002408FD">
        <w:t>Statistics</w:t>
      </w:r>
      <w:proofErr w:type="spellEnd"/>
      <w:r w:rsidRPr="002408FD">
        <w:t xml:space="preserve"> de los Estados Unidos</w:t>
      </w:r>
      <w:r>
        <w:t xml:space="preserve"> de América (EUA)</w:t>
      </w:r>
      <w:r w:rsidRPr="002408FD">
        <w:t>. Estos índices expresan las variaciones de las cotizaciones de los bienes en dólares de E</w:t>
      </w:r>
      <w:r>
        <w:t>UA</w:t>
      </w:r>
      <w:r w:rsidRPr="002408FD">
        <w:t xml:space="preserve">, por lo que </w:t>
      </w:r>
      <w:r>
        <w:t xml:space="preserve">se ponderan de manera mensual </w:t>
      </w:r>
      <w:r w:rsidRPr="002408FD">
        <w:t>por el movimiento registrado en el tipo de cambio del peso mexicano frente al dólar de ese país</w:t>
      </w:r>
      <w:r>
        <w:t xml:space="preserve">. Así, se obtienen </w:t>
      </w:r>
      <w:r w:rsidRPr="002408FD">
        <w:t xml:space="preserve">los índices de precios </w:t>
      </w:r>
      <w:r>
        <w:t xml:space="preserve">para poder </w:t>
      </w:r>
      <w:r w:rsidRPr="002408FD">
        <w:t xml:space="preserve">deflactar los valores corrientes agrupados a nivel de rama de actividad. </w:t>
      </w:r>
      <w:r>
        <w:t xml:space="preserve">Considérese que </w:t>
      </w:r>
      <w:r w:rsidRPr="002408FD">
        <w:t>la mayor parte de las importaciones de este tipo de bienes</w:t>
      </w:r>
      <w:r>
        <w:t>,</w:t>
      </w:r>
      <w:r w:rsidRPr="002408FD">
        <w:t xml:space="preserve"> que se llevan a cabo en nuestro país</w:t>
      </w:r>
      <w:r>
        <w:t>,</w:t>
      </w:r>
      <w:r w:rsidRPr="002408FD">
        <w:t xml:space="preserve"> provienen de los </w:t>
      </w:r>
      <w:r>
        <w:t>EUA.</w:t>
      </w:r>
    </w:p>
    <w:p w14:paraId="59644485" w14:textId="77777777" w:rsidR="00D972D3" w:rsidRDefault="00D972D3" w:rsidP="00D972D3">
      <w:pPr>
        <w:spacing w:before="240"/>
        <w:outlineLvl w:val="3"/>
      </w:pPr>
      <w:r w:rsidRPr="006F503A">
        <w:t>La información estadística que respald</w:t>
      </w:r>
      <w:r>
        <w:t>a</w:t>
      </w:r>
      <w:r w:rsidRPr="006F503A">
        <w:t xml:space="preserve"> </w:t>
      </w:r>
      <w:r>
        <w:t>e</w:t>
      </w:r>
      <w:r w:rsidRPr="006F503A">
        <w:t xml:space="preserve">l cálculo de los índices mensuales de volumen físico del consumo privado </w:t>
      </w:r>
      <w:r>
        <w:t>proviene de</w:t>
      </w:r>
      <w:r w:rsidRPr="006F503A">
        <w:t xml:space="preserve"> distintas </w:t>
      </w:r>
      <w:r>
        <w:t>fuentes</w:t>
      </w:r>
      <w:r w:rsidRPr="006F503A">
        <w:t>:</w:t>
      </w:r>
    </w:p>
    <w:p w14:paraId="76A590E8" w14:textId="685F206E" w:rsidR="00D972D3" w:rsidRDefault="00D972D3" w:rsidP="00D972D3">
      <w:pPr>
        <w:pStyle w:val="Prrafodelista"/>
        <w:numPr>
          <w:ilvl w:val="0"/>
          <w:numId w:val="13"/>
        </w:numPr>
        <w:spacing w:before="240" w:line="240" w:lineRule="atLeast"/>
        <w:ind w:left="714" w:hanging="357"/>
        <w:contextualSpacing w:val="0"/>
        <w:outlineLvl w:val="3"/>
      </w:pPr>
      <w:r w:rsidRPr="002408FD">
        <w:t xml:space="preserve">Estadísticas mensuales elaboradas por el propio Instituto como la Encuesta Mensual de la Industria Manufacturera (EMIM), Encuesta Mensual sobre Empresas Comerciales (EMEC), Encuesta Mensual de Servicios (EMS), </w:t>
      </w:r>
      <w:r>
        <w:t>r</w:t>
      </w:r>
      <w:r w:rsidRPr="002408FD">
        <w:t xml:space="preserve">egistros del </w:t>
      </w:r>
      <w:r>
        <w:t>c</w:t>
      </w:r>
      <w:r w:rsidRPr="002408FD">
        <w:t xml:space="preserve">omercio </w:t>
      </w:r>
      <w:r>
        <w:t>e</w:t>
      </w:r>
      <w:r w:rsidRPr="002408FD">
        <w:t xml:space="preserve">xterior, Encuesta de Viajeros Internacionales e Índices Nacionales de Precios Productor (INPP) y </w:t>
      </w:r>
      <w:r>
        <w:t xml:space="preserve">de Precios </w:t>
      </w:r>
      <w:r w:rsidR="00757C65">
        <w:t xml:space="preserve">al </w:t>
      </w:r>
      <w:r w:rsidRPr="002408FD">
        <w:t>Consumidor (INPC)</w:t>
      </w:r>
      <w:r w:rsidRPr="006F503A">
        <w:t>.</w:t>
      </w:r>
    </w:p>
    <w:p w14:paraId="48B51861" w14:textId="77777777" w:rsidR="00D972D3" w:rsidRDefault="00D972D3" w:rsidP="00D972D3">
      <w:pPr>
        <w:pStyle w:val="Prrafodelista"/>
        <w:numPr>
          <w:ilvl w:val="0"/>
          <w:numId w:val="13"/>
        </w:numPr>
        <w:spacing w:before="120" w:line="240" w:lineRule="atLeast"/>
        <w:ind w:left="714" w:hanging="357"/>
        <w:contextualSpacing w:val="0"/>
        <w:outlineLvl w:val="3"/>
      </w:pPr>
      <w:r>
        <w:t>E</w:t>
      </w:r>
      <w:r w:rsidRPr="006F503A">
        <w:t xml:space="preserve">stadísticas producidas </w:t>
      </w:r>
      <w:r>
        <w:t>por</w:t>
      </w:r>
      <w:r w:rsidRPr="006F503A">
        <w:t xml:space="preserve"> fuentes externas al Instituto</w:t>
      </w:r>
      <w:r>
        <w:t>,</w:t>
      </w:r>
      <w:r w:rsidRPr="006F503A">
        <w:t xml:space="preserve"> </w:t>
      </w:r>
      <w:r>
        <w:t>como</w:t>
      </w:r>
      <w:r w:rsidRPr="006F503A">
        <w:t xml:space="preserve"> las series de corto plazo </w:t>
      </w:r>
      <w:r>
        <w:t xml:space="preserve">que provienen </w:t>
      </w:r>
      <w:r w:rsidRPr="006F503A">
        <w:t xml:space="preserve">de </w:t>
      </w:r>
      <w:r>
        <w:t>c</w:t>
      </w:r>
      <w:r w:rsidRPr="006F503A">
        <w:t xml:space="preserve">ámaras, </w:t>
      </w:r>
      <w:r>
        <w:t>a</w:t>
      </w:r>
      <w:r w:rsidRPr="006F503A">
        <w:t xml:space="preserve">sociaciones de </w:t>
      </w:r>
      <w:r>
        <w:t>p</w:t>
      </w:r>
      <w:r w:rsidRPr="006F503A">
        <w:t xml:space="preserve">roductores, </w:t>
      </w:r>
      <w:r>
        <w:t>o</w:t>
      </w:r>
      <w:r w:rsidRPr="006F503A">
        <w:t xml:space="preserve">rganismos y </w:t>
      </w:r>
      <w:r>
        <w:t>e</w:t>
      </w:r>
      <w:r w:rsidRPr="006F503A">
        <w:t xml:space="preserve">mpresas </w:t>
      </w:r>
      <w:r>
        <w:t>p</w:t>
      </w:r>
      <w:r w:rsidRPr="006F503A">
        <w:t xml:space="preserve">úblicas y </w:t>
      </w:r>
      <w:r>
        <w:t>p</w:t>
      </w:r>
      <w:r w:rsidRPr="006F503A">
        <w:t>rivadas</w:t>
      </w:r>
      <w:r>
        <w:t>, así como</w:t>
      </w:r>
      <w:r w:rsidRPr="006F503A">
        <w:t xml:space="preserve"> las estadísticas derivadas de registros administrativos</w:t>
      </w:r>
      <w:r>
        <w:t>.</w:t>
      </w:r>
      <w:r w:rsidRPr="006F503A">
        <w:t xml:space="preserve"> </w:t>
      </w:r>
      <w:r>
        <w:t>E</w:t>
      </w:r>
      <w:r w:rsidRPr="006F503A">
        <w:t>ntre</w:t>
      </w:r>
      <w:r>
        <w:t xml:space="preserve"> estos</w:t>
      </w:r>
      <w:r w:rsidRPr="006F503A">
        <w:t xml:space="preserve"> destacan: </w:t>
      </w:r>
      <w:r>
        <w:t xml:space="preserve">Secretaría de Agricultura y Desarrollo Rural, </w:t>
      </w:r>
      <w:r w:rsidRPr="006F503A">
        <w:t>Petróleos Mexicanos</w:t>
      </w:r>
      <w:r>
        <w:t>,</w:t>
      </w:r>
      <w:r w:rsidRPr="006F503A">
        <w:t xml:space="preserve"> Comisión Federal de Electricidad</w:t>
      </w:r>
      <w:r>
        <w:t>,</w:t>
      </w:r>
      <w:r w:rsidRPr="006F503A">
        <w:t xml:space="preserve"> Asociación Mexicana de la Industria Automotriz, A. C.</w:t>
      </w:r>
      <w:r>
        <w:t>,</w:t>
      </w:r>
      <w:r w:rsidRPr="006F503A">
        <w:t xml:space="preserve"> Banco de México</w:t>
      </w:r>
      <w:r>
        <w:t xml:space="preserve"> y</w:t>
      </w:r>
      <w:r w:rsidRPr="006F503A">
        <w:t xml:space="preserve"> </w:t>
      </w:r>
      <w:r w:rsidRPr="00352CCF">
        <w:t xml:space="preserve">Bureau </w:t>
      </w:r>
      <w:proofErr w:type="spellStart"/>
      <w:r w:rsidRPr="00352CCF">
        <w:t>of</w:t>
      </w:r>
      <w:proofErr w:type="spellEnd"/>
      <w:r w:rsidRPr="00352CCF">
        <w:t xml:space="preserve"> Labor </w:t>
      </w:r>
      <w:proofErr w:type="spellStart"/>
      <w:r w:rsidRPr="00352CCF">
        <w:t>Statistics</w:t>
      </w:r>
      <w:proofErr w:type="spellEnd"/>
      <w:r w:rsidRPr="006F503A">
        <w:t>.</w:t>
      </w:r>
    </w:p>
    <w:p w14:paraId="66752411" w14:textId="77777777" w:rsidR="00D972D3" w:rsidRDefault="00D972D3" w:rsidP="00D972D3">
      <w:pPr>
        <w:pStyle w:val="Prrafodelista"/>
        <w:numPr>
          <w:ilvl w:val="0"/>
          <w:numId w:val="13"/>
        </w:numPr>
        <w:spacing w:before="120" w:line="240" w:lineRule="atLeast"/>
        <w:ind w:left="714" w:hanging="357"/>
        <w:contextualSpacing w:val="0"/>
        <w:outlineLvl w:val="3"/>
      </w:pPr>
      <w:r w:rsidRPr="002408FD">
        <w:t xml:space="preserve">Cuantificación de </w:t>
      </w:r>
      <w:r>
        <w:t xml:space="preserve">las </w:t>
      </w:r>
      <w:r w:rsidRPr="002408FD">
        <w:t>actividades vinculadas con la producción de bienes que no cuentan con información de ventas. Para estas, se utiliza el índice de volumen físico calculado para la producción en el proceso del Indicador Mensual de la Actividad Industrial (IMAI)</w:t>
      </w:r>
      <w:r w:rsidRPr="006F503A">
        <w:t>.</w:t>
      </w:r>
    </w:p>
    <w:p w14:paraId="36F5906B" w14:textId="33B351D7" w:rsidR="006B2980" w:rsidRDefault="00D972D3" w:rsidP="00D972D3">
      <w:pPr>
        <w:pStyle w:val="Default"/>
        <w:spacing w:before="240"/>
        <w:jc w:val="both"/>
      </w:pPr>
      <w:r w:rsidRPr="002408FD">
        <w:t>Para evitar los problemas derivados del uso de metodologías y/</w:t>
      </w:r>
      <w:r>
        <w:t xml:space="preserve"> </w:t>
      </w:r>
      <w:r w:rsidRPr="002408FD">
        <w:t>o fuentes de información diferentes, los cálculos de corto plazo se alinean con la técnica Denton, a nivel de clase de actividad económica, con las cifras anuales de las Cuentas de Bienes y Servicios del SCNM</w:t>
      </w:r>
      <w:r>
        <w:t xml:space="preserve">. Su ventaja es que incluyen </w:t>
      </w:r>
      <w:r w:rsidRPr="002408FD">
        <w:t>información más completa y un mayor número de datos. De esta manera, se</w:t>
      </w:r>
      <w:r>
        <w:t xml:space="preserve"> evita </w:t>
      </w:r>
      <w:r w:rsidRPr="002408FD">
        <w:t>que se interpreten de diferente manera resultados que pueden diferir por su grado de cobertura</w:t>
      </w:r>
      <w:r>
        <w:t>,</w:t>
      </w:r>
      <w:r w:rsidRPr="002408FD">
        <w:t xml:space="preserve"> o por la fecha de su disponibilidad, pero nunca en su base conceptual</w:t>
      </w:r>
      <w:r w:rsidRPr="006F503A">
        <w:t>.</w:t>
      </w:r>
    </w:p>
    <w:p w14:paraId="015762C7" w14:textId="77777777" w:rsidR="006B2980" w:rsidRDefault="006B2980">
      <w:pPr>
        <w:spacing w:after="160" w:line="259" w:lineRule="auto"/>
        <w:jc w:val="left"/>
        <w:rPr>
          <w:color w:val="000000"/>
          <w:lang w:val="es-MX" w:eastAsia="es-MX"/>
        </w:rPr>
      </w:pPr>
      <w:r>
        <w:br w:type="page"/>
      </w:r>
    </w:p>
    <w:p w14:paraId="05B23676" w14:textId="65E6D09E" w:rsidR="006B2980" w:rsidRDefault="00D972D3" w:rsidP="00D972D3">
      <w:pPr>
        <w:pStyle w:val="Default"/>
        <w:spacing w:before="240"/>
        <w:jc w:val="both"/>
      </w:pPr>
      <w:r w:rsidRPr="002408FD">
        <w:lastRenderedPageBreak/>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meses previos a la Navidad. </w:t>
      </w:r>
    </w:p>
    <w:p w14:paraId="20DFFB53" w14:textId="77777777" w:rsidR="00D972D3" w:rsidRPr="002408FD" w:rsidRDefault="00D972D3" w:rsidP="00D972D3">
      <w:pPr>
        <w:pStyle w:val="Default"/>
        <w:keepLines/>
        <w:spacing w:before="240"/>
      </w:pPr>
      <w:r w:rsidRPr="002408FD">
        <w:rPr>
          <w:color w:val="auto"/>
        </w:rPr>
        <w:t xml:space="preserve">La desestacionalización o ajuste estacional de series económicas consiste en remover estas influencias </w:t>
      </w:r>
      <w:proofErr w:type="spellStart"/>
      <w:r w:rsidRPr="002408FD">
        <w:rPr>
          <w:color w:val="auto"/>
        </w:rPr>
        <w:t>intra-anuales</w:t>
      </w:r>
      <w:proofErr w:type="spellEnd"/>
      <w:r w:rsidRPr="002408FD">
        <w:rPr>
          <w:color w:val="auto"/>
        </w:rPr>
        <w:t>: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w:t>
      </w:r>
      <w:r>
        <w:rPr>
          <w:color w:val="auto"/>
        </w:rPr>
        <w:t xml:space="preserve">. </w:t>
      </w:r>
    </w:p>
    <w:p w14:paraId="4BB96A4E" w14:textId="77777777" w:rsidR="00D972D3" w:rsidRPr="002408FD" w:rsidRDefault="00D972D3" w:rsidP="00D972D3">
      <w:pPr>
        <w:spacing w:before="120"/>
      </w:pPr>
      <w:r w:rsidRPr="002408FD">
        <w:t>Las series originales se ajustan estacionalmente mediante el paquete estadístico X</w:t>
      </w:r>
      <w:r w:rsidRPr="002408FD">
        <w:noBreakHyphen/>
        <w:t>13ARIMA</w:t>
      </w:r>
      <w:r w:rsidRPr="002408FD">
        <w:noBreakHyphen/>
        <w:t>SEATS. Para conocer la metodología, consúltese la siguiente liga:</w:t>
      </w:r>
    </w:p>
    <w:p w14:paraId="2330134C" w14:textId="77777777" w:rsidR="00D972D3" w:rsidRDefault="00000000" w:rsidP="00D972D3">
      <w:pPr>
        <w:rPr>
          <w:rStyle w:val="Hipervnculo"/>
        </w:rPr>
      </w:pPr>
      <w:hyperlink r:id="rId25" w:history="1">
        <w:r w:rsidR="00D972D3" w:rsidRPr="002408FD">
          <w:rPr>
            <w:rStyle w:val="Hipervnculo"/>
          </w:rPr>
          <w:t>https://www.inegi.org.mx/app/biblioteca/ficha.html?upc=702825099060</w:t>
        </w:r>
      </w:hyperlink>
    </w:p>
    <w:p w14:paraId="0660FFBD" w14:textId="77777777" w:rsidR="00D972D3" w:rsidRDefault="00D972D3" w:rsidP="00D972D3">
      <w:pPr>
        <w:spacing w:before="240"/>
      </w:pPr>
      <w:r w:rsidRPr="005F0EC1">
        <w:rPr>
          <w:noProof/>
        </w:rPr>
        <w:drawing>
          <wp:anchor distT="0" distB="0" distL="36195" distR="36195" simplePos="0" relativeHeight="251662336" behindDoc="0" locked="0" layoutInCell="1" allowOverlap="1" wp14:anchorId="6F9CEA41" wp14:editId="3A41744B">
            <wp:simplePos x="0" y="0"/>
            <wp:positionH relativeFrom="margin">
              <wp:align>right</wp:align>
            </wp:positionH>
            <wp:positionV relativeFrom="paragraph">
              <wp:posOffset>538480</wp:posOffset>
            </wp:positionV>
            <wp:extent cx="144000" cy="144000"/>
            <wp:effectExtent l="0" t="0" r="8890" b="8890"/>
            <wp:wrapSquare wrapText="bothSides"/>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08FD">
        <w:rPr>
          <w:noProof/>
        </w:rPr>
        <w:t>Las especificaciones de los modelos utilizados para realizar el ajuste estacional están disponibles en el Banco de Información Económica (BIE). Seleccione «Indicadores económicos de coyuntura, Indicador del consumo privado» y vaya al icono de información correspondiente a las «series desestacionalizadas y de tendencia-ciclo»</w:t>
      </w:r>
      <w:r>
        <w:t xml:space="preserve">. </w:t>
      </w:r>
    </w:p>
    <w:p w14:paraId="523FA0D1" w14:textId="77777777" w:rsidR="00D972D3" w:rsidRDefault="00D972D3" w:rsidP="00D972D3">
      <w:pPr>
        <w:pStyle w:val="parrafo1"/>
        <w:widowControl w:val="0"/>
        <w:spacing w:before="240"/>
        <w:ind w:left="0" w:right="0"/>
      </w:pPr>
      <w:r>
        <w:rPr>
          <w:lang w:val="es-MX"/>
        </w:rPr>
        <w:t xml:space="preserve">La fecha de </w:t>
      </w:r>
      <w:r w:rsidRPr="00376C40">
        <w:rPr>
          <w:lang w:val="es-MX"/>
        </w:rPr>
        <w:t xml:space="preserve">divulgación del indicador </w:t>
      </w:r>
      <w:r>
        <w:rPr>
          <w:lang w:val="es-MX"/>
        </w:rPr>
        <w:t xml:space="preserve">es la que señala </w:t>
      </w:r>
      <w:r w:rsidRPr="00376C40">
        <w:rPr>
          <w:lang w:val="es-MX"/>
        </w:rPr>
        <w:t>el Calendario de Difusión de Información Estadística y Geográfica y de Interés Nacional</w:t>
      </w:r>
      <w:r>
        <w:rPr>
          <w:lang w:val="es-MX"/>
        </w:rPr>
        <w:t xml:space="preserve">. Las series se encuentran en las </w:t>
      </w:r>
      <w:r w:rsidRPr="00376C40">
        <w:rPr>
          <w:lang w:val="es-MX"/>
        </w:rPr>
        <w:t>secciones: Temas/</w:t>
      </w:r>
      <w:r>
        <w:rPr>
          <w:lang w:val="es-MX"/>
        </w:rPr>
        <w:t xml:space="preserve"> </w:t>
      </w:r>
      <w:r w:rsidRPr="00376C40">
        <w:rPr>
          <w:lang w:val="es-MX"/>
        </w:rPr>
        <w:t>PIB y Cuentas Nacionales, Programas de Información/</w:t>
      </w:r>
      <w:r>
        <w:rPr>
          <w:lang w:val="es-MX"/>
        </w:rPr>
        <w:t xml:space="preserve"> </w:t>
      </w:r>
      <w:r w:rsidRPr="00376C40">
        <w:rPr>
          <w:lang w:val="es-MX"/>
        </w:rPr>
        <w:t>Sistema de Cuentas Nacionales y Sistemas de Consulta/</w:t>
      </w:r>
      <w:r>
        <w:rPr>
          <w:lang w:val="es-MX"/>
        </w:rPr>
        <w:t xml:space="preserve"> </w:t>
      </w:r>
      <w:r w:rsidRPr="00376C40">
        <w:rPr>
          <w:lang w:val="es-MX"/>
        </w:rPr>
        <w:t xml:space="preserve">BIE, </w:t>
      </w:r>
      <w:r>
        <w:rPr>
          <w:lang w:val="es-MX"/>
        </w:rPr>
        <w:t xml:space="preserve">dentro del sitio del INEGI, </w:t>
      </w:r>
      <w:r w:rsidRPr="00376C40">
        <w:rPr>
          <w:lang w:val="es-MX"/>
        </w:rPr>
        <w:t>así como en las diferentes redes sociales del Instituto</w:t>
      </w:r>
      <w:r w:rsidRPr="00376C40">
        <w:t>.</w:t>
      </w:r>
    </w:p>
    <w:p w14:paraId="59B50C00" w14:textId="77777777" w:rsidR="00D97911" w:rsidRDefault="00D97911" w:rsidP="00D0651F">
      <w:pPr>
        <w:pStyle w:val="Profesin"/>
        <w:spacing w:before="120"/>
        <w:outlineLvl w:val="0"/>
        <w:rPr>
          <w:sz w:val="24"/>
          <w:szCs w:val="24"/>
          <w:lang w:val="es-MX"/>
        </w:rPr>
      </w:pPr>
    </w:p>
    <w:sectPr w:rsidR="00D97911" w:rsidSect="009C56A4">
      <w:headerReference w:type="even" r:id="rId28"/>
      <w:headerReference w:type="default" r:id="rId29"/>
      <w:footerReference w:type="even" r:id="rId30"/>
      <w:footerReference w:type="default" r:id="rId31"/>
      <w:headerReference w:type="first" r:id="rId32"/>
      <w:footerReference w:type="first" r:id="rId33"/>
      <w:pgSz w:w="12240" w:h="15840"/>
      <w:pgMar w:top="2410" w:right="1183"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45D2" w14:textId="77777777" w:rsidR="00BF0897" w:rsidRDefault="00BF0897" w:rsidP="000C6274">
      <w:r>
        <w:separator/>
      </w:r>
    </w:p>
  </w:endnote>
  <w:endnote w:type="continuationSeparator" w:id="0">
    <w:p w14:paraId="48F916E9" w14:textId="77777777" w:rsidR="00BF0897" w:rsidRDefault="00BF0897"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17B9" w14:textId="77777777" w:rsidR="00D65EF3" w:rsidRPr="00975B1E" w:rsidRDefault="00D65EF3" w:rsidP="00992BDF">
    <w:pPr>
      <w:pStyle w:val="Piedepgina"/>
      <w:jc w:val="center"/>
      <w:rPr>
        <w:b/>
        <w:bCs/>
        <w:color w:val="002060"/>
        <w:sz w:val="20"/>
        <w:szCs w:val="20"/>
      </w:rPr>
    </w:pPr>
    <w:r w:rsidRPr="00975B1E">
      <w:rPr>
        <w:b/>
        <w:bCs/>
        <w:color w:val="002060"/>
        <w:sz w:val="20"/>
        <w:szCs w:val="20"/>
      </w:rPr>
      <w:t>COMUNICACIÓN SOCIAL</w:t>
    </w:r>
  </w:p>
  <w:p w14:paraId="727D0CC4" w14:textId="77777777" w:rsidR="00D65EF3" w:rsidRPr="007B4B63" w:rsidRDefault="00D65EF3" w:rsidP="00992BD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3EEC" w14:textId="77777777" w:rsidR="00060696" w:rsidRDefault="000606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0B01" w14:textId="41EB8068" w:rsidR="005B70E8" w:rsidRPr="00CA02CE" w:rsidRDefault="005B70E8" w:rsidP="00B1305C">
    <w:pPr>
      <w:pStyle w:val="Piedepgina"/>
      <w:jc w:val="center"/>
      <w:rPr>
        <w:b/>
        <w:color w:val="002060"/>
        <w:sz w:val="20"/>
        <w:szCs w:val="20"/>
        <w:lang w:val="es-MX"/>
      </w:rPr>
    </w:pPr>
    <w:r w:rsidRPr="00CA02CE">
      <w:rPr>
        <w:b/>
        <w:color w:val="002060"/>
        <w:sz w:val="20"/>
        <w:szCs w:val="20"/>
        <w:lang w:val="es-MX"/>
      </w:rPr>
      <w:t>COMUNICACIÓN SOCIAL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E242" w14:textId="77777777" w:rsidR="00060696" w:rsidRDefault="000606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7EDE" w14:textId="77777777" w:rsidR="00BF0897" w:rsidRDefault="00BF0897" w:rsidP="000C6274">
      <w:r>
        <w:separator/>
      </w:r>
    </w:p>
  </w:footnote>
  <w:footnote w:type="continuationSeparator" w:id="0">
    <w:p w14:paraId="55C22F5D" w14:textId="77777777" w:rsidR="00BF0897" w:rsidRDefault="00BF0897" w:rsidP="000C6274">
      <w:r>
        <w:continuationSeparator/>
      </w:r>
    </w:p>
  </w:footnote>
  <w:footnote w:id="1">
    <w:p w14:paraId="6819494B" w14:textId="77777777" w:rsidR="00D97911" w:rsidRDefault="00D97911" w:rsidP="00D97911">
      <w:pPr>
        <w:pStyle w:val="Textonotapie"/>
        <w:ind w:left="170" w:hanging="170"/>
      </w:pPr>
      <w:r w:rsidRPr="0086211A">
        <w:rPr>
          <w:rStyle w:val="Refdenotaalpie"/>
          <w:bCs/>
          <w:sz w:val="18"/>
          <w:szCs w:val="16"/>
        </w:rPr>
        <w:footnoteRef/>
      </w:r>
      <w:r>
        <w:tab/>
      </w:r>
      <w:r w:rsidRPr="00495A08">
        <w:rPr>
          <w:sz w:val="16"/>
          <w:szCs w:val="16"/>
        </w:rPr>
        <w:t>Encuesta Mensual de la Industria Manufacturera (EMIM), Encuesta Mensual sobre Empresas Comerciales (EMEC) y Encuesta Mensual de Servicios (EMS)</w:t>
      </w:r>
    </w:p>
  </w:footnote>
  <w:footnote w:id="2">
    <w:p w14:paraId="4623542E" w14:textId="77777777" w:rsidR="00D972D3" w:rsidRPr="00140D9C" w:rsidRDefault="00D972D3" w:rsidP="00D972D3">
      <w:pPr>
        <w:pStyle w:val="Textonotapie"/>
        <w:ind w:left="170" w:hanging="170"/>
        <w:rPr>
          <w:sz w:val="16"/>
          <w:szCs w:val="16"/>
        </w:rPr>
      </w:pPr>
      <w:r w:rsidRPr="007022CF">
        <w:rPr>
          <w:rStyle w:val="Refdenotaalpie"/>
          <w:sz w:val="18"/>
        </w:rPr>
        <w:footnoteRef/>
      </w:r>
      <w:r w:rsidRPr="00140D9C">
        <w:rPr>
          <w:rStyle w:val="Refdenotaalpie"/>
          <w:sz w:val="18"/>
        </w:rPr>
        <w:t xml:space="preserve"> </w:t>
      </w:r>
      <w:r w:rsidRPr="00140D9C">
        <w:rPr>
          <w:sz w:val="18"/>
        </w:rPr>
        <w:tab/>
      </w:r>
      <w:r w:rsidRPr="00140D9C">
        <w:rPr>
          <w:sz w:val="16"/>
          <w:szCs w:val="16"/>
        </w:rPr>
        <w:t xml:space="preserve">La mayoría de las series económicas se ve afectada por factores estacionales y de calendario. El ajuste de </w:t>
      </w:r>
      <w:r>
        <w:rPr>
          <w:sz w:val="16"/>
          <w:szCs w:val="16"/>
        </w:rPr>
        <w:t>los datos</w:t>
      </w:r>
      <w:r w:rsidRPr="00140D9C">
        <w:rPr>
          <w:sz w:val="16"/>
          <w:szCs w:val="16"/>
        </w:rPr>
        <w:t xml:space="preserve"> por dichos factores permite obtener las cifras desestacionalizadas</w:t>
      </w:r>
      <w:r>
        <w:rPr>
          <w:sz w:val="16"/>
          <w:szCs w:val="16"/>
        </w:rPr>
        <w:t>.</w:t>
      </w:r>
      <w:r w:rsidRPr="00140D9C">
        <w:rPr>
          <w:sz w:val="16"/>
          <w:szCs w:val="16"/>
        </w:rPr>
        <w:t xml:space="preserve"> </w:t>
      </w:r>
      <w:r>
        <w:rPr>
          <w:sz w:val="16"/>
          <w:szCs w:val="16"/>
        </w:rPr>
        <w:t>Su</w:t>
      </w:r>
      <w:r w:rsidRPr="00140D9C">
        <w:rPr>
          <w:sz w:val="16"/>
          <w:szCs w:val="16"/>
        </w:rPr>
        <w:t xml:space="preserve"> análisis ayuda a realizar un mejor diagnóstico de la evolución de las variables.</w:t>
      </w:r>
    </w:p>
  </w:footnote>
  <w:footnote w:id="3">
    <w:p w14:paraId="5EDADBA4" w14:textId="77777777" w:rsidR="00D972D3" w:rsidRDefault="00D972D3" w:rsidP="00D972D3">
      <w:pPr>
        <w:pStyle w:val="Textonotapie"/>
        <w:ind w:left="170" w:hanging="170"/>
      </w:pPr>
      <w:r w:rsidRPr="0086211A">
        <w:rPr>
          <w:rStyle w:val="Refdenotaalpie"/>
          <w:bCs/>
          <w:sz w:val="18"/>
          <w:szCs w:val="16"/>
        </w:rPr>
        <w:footnoteRef/>
      </w:r>
      <w:r>
        <w:tab/>
      </w:r>
      <w:r w:rsidRPr="00495A08">
        <w:rPr>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52F8" w14:textId="4A17BF97" w:rsidR="00D25398" w:rsidRDefault="00D25398" w:rsidP="00D25398">
    <w:pPr>
      <w:pStyle w:val="Encabezado"/>
      <w:ind w:left="-142" w:right="49" w:hanging="142"/>
      <w:jc w:val="right"/>
      <w:rPr>
        <w:b/>
        <w:color w:val="002060"/>
      </w:rPr>
    </w:pPr>
    <w:r>
      <w:rPr>
        <w:noProof/>
        <w14:ligatures w14:val="standardContextual"/>
      </w:rPr>
      <w:drawing>
        <wp:anchor distT="0" distB="0" distL="114300" distR="114300" simplePos="0" relativeHeight="251658240" behindDoc="0" locked="0" layoutInCell="1" allowOverlap="1" wp14:anchorId="0C1DDF6C" wp14:editId="1BF1B430">
          <wp:simplePos x="0" y="0"/>
          <wp:positionH relativeFrom="margin">
            <wp:posOffset>-104775</wp:posOffset>
          </wp:positionH>
          <wp:positionV relativeFrom="paragraph">
            <wp:posOffset>-2540</wp:posOffset>
          </wp:positionV>
          <wp:extent cx="2761200" cy="795600"/>
          <wp:effectExtent l="0" t="0" r="1270" b="5080"/>
          <wp:wrapSquare wrapText="bothSides"/>
          <wp:docPr id="1739081688" name="Imagen 1739081688"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2398AC55" w14:textId="69946546" w:rsidR="00D25398" w:rsidRPr="00306ECD" w:rsidRDefault="00D25398" w:rsidP="00D25398">
    <w:pPr>
      <w:pStyle w:val="Encabezado"/>
      <w:ind w:left="-142" w:right="49" w:hanging="142"/>
      <w:jc w:val="right"/>
      <w:rPr>
        <w:b/>
        <w:color w:val="002060"/>
        <w:lang w:val="pt-BR"/>
      </w:rPr>
    </w:pPr>
    <w:r w:rsidRPr="00306ECD">
      <w:rPr>
        <w:b/>
        <w:color w:val="002060"/>
      </w:rPr>
      <w:t xml:space="preserve">COMUNICADO DE PRENSA NÚM. </w:t>
    </w:r>
    <w:r>
      <w:rPr>
        <w:b/>
        <w:color w:val="002060"/>
      </w:rPr>
      <w:t>532</w:t>
    </w:r>
    <w:r w:rsidRPr="00306ECD">
      <w:rPr>
        <w:b/>
        <w:color w:val="002060"/>
      </w:rPr>
      <w:t>/2</w:t>
    </w:r>
    <w:r>
      <w:rPr>
        <w:b/>
        <w:color w:val="002060"/>
      </w:rPr>
      <w:t>3</w:t>
    </w:r>
  </w:p>
  <w:p w14:paraId="3317EC5B" w14:textId="00BC0ACF" w:rsidR="00D25398" w:rsidRPr="00306ECD" w:rsidRDefault="00D25398" w:rsidP="00D25398">
    <w:pPr>
      <w:pStyle w:val="Encabezado"/>
      <w:tabs>
        <w:tab w:val="clear" w:pos="4419"/>
        <w:tab w:val="clear" w:pos="8838"/>
      </w:tabs>
      <w:ind w:left="-567" w:right="49"/>
      <w:jc w:val="right"/>
      <w:rPr>
        <w:b/>
        <w:color w:val="002060"/>
        <w:lang w:val="pt-BR"/>
      </w:rPr>
    </w:pPr>
    <w:r>
      <w:rPr>
        <w:b/>
        <w:color w:val="002060"/>
        <w:lang w:val="pt-BR"/>
      </w:rPr>
      <w:t xml:space="preserve">4 DE SEPTIEMBRE </w:t>
    </w:r>
    <w:r w:rsidRPr="00306ECD">
      <w:rPr>
        <w:b/>
        <w:color w:val="002060"/>
        <w:lang w:val="pt-BR"/>
      </w:rPr>
      <w:t>DE 202</w:t>
    </w:r>
    <w:r>
      <w:rPr>
        <w:b/>
        <w:color w:val="002060"/>
        <w:lang w:val="pt-BR"/>
      </w:rPr>
      <w:t>3</w:t>
    </w:r>
  </w:p>
  <w:p w14:paraId="37D330BB" w14:textId="4ABF9F2F" w:rsidR="00D25398" w:rsidRPr="00F22E89" w:rsidRDefault="00D25398" w:rsidP="00D25398">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85C7" w14:textId="77777777" w:rsidR="00060696" w:rsidRDefault="000606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60F6" w14:textId="77777777" w:rsidR="00060696" w:rsidRDefault="00060696" w:rsidP="00060696">
    <w:pPr>
      <w:pStyle w:val="Encabezado"/>
      <w:ind w:left="-142" w:right="49" w:hanging="142"/>
      <w:jc w:val="right"/>
      <w:rPr>
        <w:b/>
        <w:color w:val="002060"/>
      </w:rPr>
    </w:pPr>
    <w:r>
      <w:rPr>
        <w:noProof/>
        <w14:ligatures w14:val="standardContextual"/>
      </w:rPr>
      <w:drawing>
        <wp:anchor distT="0" distB="0" distL="114300" distR="114300" simplePos="0" relativeHeight="251660288" behindDoc="0" locked="0" layoutInCell="1" allowOverlap="1" wp14:anchorId="7D50EB28" wp14:editId="245A4875">
          <wp:simplePos x="0" y="0"/>
          <wp:positionH relativeFrom="margin">
            <wp:posOffset>-104775</wp:posOffset>
          </wp:positionH>
          <wp:positionV relativeFrom="paragraph">
            <wp:posOffset>-2540</wp:posOffset>
          </wp:positionV>
          <wp:extent cx="2761200" cy="795600"/>
          <wp:effectExtent l="0" t="0" r="1270" b="5080"/>
          <wp:wrapSquare wrapText="bothSides"/>
          <wp:docPr id="2132233980" name="Imagen 2132233980"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394A80CE" w14:textId="77777777" w:rsidR="00060696" w:rsidRPr="00306ECD" w:rsidRDefault="00060696" w:rsidP="00060696">
    <w:pPr>
      <w:pStyle w:val="Encabezado"/>
      <w:ind w:left="-142" w:right="49" w:hanging="142"/>
      <w:jc w:val="right"/>
      <w:rPr>
        <w:b/>
        <w:color w:val="002060"/>
        <w:lang w:val="pt-BR"/>
      </w:rPr>
    </w:pPr>
    <w:r w:rsidRPr="00306ECD">
      <w:rPr>
        <w:b/>
        <w:color w:val="002060"/>
      </w:rPr>
      <w:t xml:space="preserve">COMUNICADO DE PRENSA NÚM. </w:t>
    </w:r>
    <w:r>
      <w:rPr>
        <w:b/>
        <w:color w:val="002060"/>
      </w:rPr>
      <w:t>532</w:t>
    </w:r>
    <w:r w:rsidRPr="00306ECD">
      <w:rPr>
        <w:b/>
        <w:color w:val="002060"/>
      </w:rPr>
      <w:t>/2</w:t>
    </w:r>
    <w:r>
      <w:rPr>
        <w:b/>
        <w:color w:val="002060"/>
      </w:rPr>
      <w:t>3</w:t>
    </w:r>
  </w:p>
  <w:p w14:paraId="7A3C2497" w14:textId="77777777" w:rsidR="00060696" w:rsidRPr="00306ECD" w:rsidRDefault="00060696" w:rsidP="00060696">
    <w:pPr>
      <w:pStyle w:val="Encabezado"/>
      <w:tabs>
        <w:tab w:val="clear" w:pos="4419"/>
        <w:tab w:val="clear" w:pos="8838"/>
      </w:tabs>
      <w:ind w:left="-567" w:right="49"/>
      <w:jc w:val="right"/>
      <w:rPr>
        <w:b/>
        <w:color w:val="002060"/>
        <w:lang w:val="pt-BR"/>
      </w:rPr>
    </w:pPr>
    <w:r>
      <w:rPr>
        <w:b/>
        <w:color w:val="002060"/>
        <w:lang w:val="pt-BR"/>
      </w:rPr>
      <w:t xml:space="preserve">4 DE SEPTIEMBRE </w:t>
    </w:r>
    <w:r w:rsidRPr="00306ECD">
      <w:rPr>
        <w:b/>
        <w:color w:val="002060"/>
        <w:lang w:val="pt-BR"/>
      </w:rPr>
      <w:t>DE 202</w:t>
    </w:r>
    <w:r>
      <w:rPr>
        <w:b/>
        <w:color w:val="002060"/>
        <w:lang w:val="pt-BR"/>
      </w:rPr>
      <w:t>3</w:t>
    </w:r>
  </w:p>
  <w:p w14:paraId="7054B92D" w14:textId="77777777" w:rsidR="00060696" w:rsidRPr="00F22E89" w:rsidRDefault="00060696" w:rsidP="00060696">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06C9" w14:textId="77777777" w:rsidR="00060696" w:rsidRDefault="000606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4"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5"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0"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16cid:durableId="1772966473">
    <w:abstractNumId w:val="11"/>
  </w:num>
  <w:num w:numId="2" w16cid:durableId="2069113627">
    <w:abstractNumId w:val="5"/>
  </w:num>
  <w:num w:numId="3" w16cid:durableId="1248155600">
    <w:abstractNumId w:val="5"/>
  </w:num>
  <w:num w:numId="4" w16cid:durableId="39987180">
    <w:abstractNumId w:val="7"/>
  </w:num>
  <w:num w:numId="5" w16cid:durableId="106319122">
    <w:abstractNumId w:val="4"/>
  </w:num>
  <w:num w:numId="6" w16cid:durableId="258871808">
    <w:abstractNumId w:val="3"/>
  </w:num>
  <w:num w:numId="7" w16cid:durableId="709107672">
    <w:abstractNumId w:val="0"/>
  </w:num>
  <w:num w:numId="8" w16cid:durableId="1546022756">
    <w:abstractNumId w:val="9"/>
  </w:num>
  <w:num w:numId="9" w16cid:durableId="1733698516">
    <w:abstractNumId w:val="8"/>
  </w:num>
  <w:num w:numId="10" w16cid:durableId="609705493">
    <w:abstractNumId w:val="10"/>
  </w:num>
  <w:num w:numId="11" w16cid:durableId="618952875">
    <w:abstractNumId w:val="2"/>
  </w:num>
  <w:num w:numId="12" w16cid:durableId="1418093398">
    <w:abstractNumId w:val="6"/>
  </w:num>
  <w:num w:numId="13" w16cid:durableId="139869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4106"/>
    <w:rsid w:val="000072C5"/>
    <w:rsid w:val="00010522"/>
    <w:rsid w:val="00016646"/>
    <w:rsid w:val="0002265D"/>
    <w:rsid w:val="0003220E"/>
    <w:rsid w:val="0003265F"/>
    <w:rsid w:val="00034ECA"/>
    <w:rsid w:val="00035B2D"/>
    <w:rsid w:val="0003695A"/>
    <w:rsid w:val="000450B4"/>
    <w:rsid w:val="000470D3"/>
    <w:rsid w:val="00047A3E"/>
    <w:rsid w:val="00050827"/>
    <w:rsid w:val="00053348"/>
    <w:rsid w:val="00054B9E"/>
    <w:rsid w:val="000553C7"/>
    <w:rsid w:val="00057AC4"/>
    <w:rsid w:val="0006067A"/>
    <w:rsid w:val="00060696"/>
    <w:rsid w:val="00061006"/>
    <w:rsid w:val="000714C8"/>
    <w:rsid w:val="00073344"/>
    <w:rsid w:val="000748D4"/>
    <w:rsid w:val="00084D56"/>
    <w:rsid w:val="00086170"/>
    <w:rsid w:val="0009053A"/>
    <w:rsid w:val="00090AEA"/>
    <w:rsid w:val="0009326F"/>
    <w:rsid w:val="000962A2"/>
    <w:rsid w:val="00097F12"/>
    <w:rsid w:val="000A04EA"/>
    <w:rsid w:val="000A103C"/>
    <w:rsid w:val="000A35C0"/>
    <w:rsid w:val="000A5577"/>
    <w:rsid w:val="000B42C2"/>
    <w:rsid w:val="000B4D9D"/>
    <w:rsid w:val="000C13D5"/>
    <w:rsid w:val="000C398E"/>
    <w:rsid w:val="000C6274"/>
    <w:rsid w:val="000C6BC9"/>
    <w:rsid w:val="000C706B"/>
    <w:rsid w:val="000C771D"/>
    <w:rsid w:val="000D1651"/>
    <w:rsid w:val="000D1EEA"/>
    <w:rsid w:val="000D23DF"/>
    <w:rsid w:val="000D31CF"/>
    <w:rsid w:val="000D71DC"/>
    <w:rsid w:val="000E2454"/>
    <w:rsid w:val="000E493E"/>
    <w:rsid w:val="000E5100"/>
    <w:rsid w:val="000E70FB"/>
    <w:rsid w:val="000F004A"/>
    <w:rsid w:val="000F0CAB"/>
    <w:rsid w:val="000F18D6"/>
    <w:rsid w:val="000F6612"/>
    <w:rsid w:val="000F6DC3"/>
    <w:rsid w:val="00101402"/>
    <w:rsid w:val="001039B9"/>
    <w:rsid w:val="00103F91"/>
    <w:rsid w:val="00107B89"/>
    <w:rsid w:val="00111067"/>
    <w:rsid w:val="00132C9D"/>
    <w:rsid w:val="0013736D"/>
    <w:rsid w:val="00141492"/>
    <w:rsid w:val="00153A6E"/>
    <w:rsid w:val="001553B2"/>
    <w:rsid w:val="00160246"/>
    <w:rsid w:val="00161138"/>
    <w:rsid w:val="00162B84"/>
    <w:rsid w:val="00163389"/>
    <w:rsid w:val="0016625A"/>
    <w:rsid w:val="00170EED"/>
    <w:rsid w:val="00171C46"/>
    <w:rsid w:val="00175FC7"/>
    <w:rsid w:val="00176C88"/>
    <w:rsid w:val="00177C42"/>
    <w:rsid w:val="00177F40"/>
    <w:rsid w:val="001855D2"/>
    <w:rsid w:val="0019317D"/>
    <w:rsid w:val="001942EF"/>
    <w:rsid w:val="00194A07"/>
    <w:rsid w:val="00195F2B"/>
    <w:rsid w:val="00197A2A"/>
    <w:rsid w:val="001A1AC6"/>
    <w:rsid w:val="001A1AF8"/>
    <w:rsid w:val="001A1C63"/>
    <w:rsid w:val="001A263A"/>
    <w:rsid w:val="001A274B"/>
    <w:rsid w:val="001A7B72"/>
    <w:rsid w:val="001A7CE2"/>
    <w:rsid w:val="001B10FA"/>
    <w:rsid w:val="001B198F"/>
    <w:rsid w:val="001B341F"/>
    <w:rsid w:val="001B3476"/>
    <w:rsid w:val="001B693B"/>
    <w:rsid w:val="001B7A7D"/>
    <w:rsid w:val="001C13C9"/>
    <w:rsid w:val="001C1FB1"/>
    <w:rsid w:val="001D1F7B"/>
    <w:rsid w:val="001D6C2D"/>
    <w:rsid w:val="001E064A"/>
    <w:rsid w:val="001E57DF"/>
    <w:rsid w:val="001E7F8F"/>
    <w:rsid w:val="001F200A"/>
    <w:rsid w:val="001F3DEE"/>
    <w:rsid w:val="001F4D24"/>
    <w:rsid w:val="001F4EBC"/>
    <w:rsid w:val="001F61DE"/>
    <w:rsid w:val="001F6370"/>
    <w:rsid w:val="00200EC2"/>
    <w:rsid w:val="00202EB0"/>
    <w:rsid w:val="00203199"/>
    <w:rsid w:val="00204A91"/>
    <w:rsid w:val="00205EFB"/>
    <w:rsid w:val="0021287E"/>
    <w:rsid w:val="00213D4B"/>
    <w:rsid w:val="002159C4"/>
    <w:rsid w:val="00216D0C"/>
    <w:rsid w:val="00217092"/>
    <w:rsid w:val="002207D9"/>
    <w:rsid w:val="00221398"/>
    <w:rsid w:val="00224A3C"/>
    <w:rsid w:val="00224D8A"/>
    <w:rsid w:val="0023113D"/>
    <w:rsid w:val="002333CE"/>
    <w:rsid w:val="0023507E"/>
    <w:rsid w:val="002363D6"/>
    <w:rsid w:val="00236510"/>
    <w:rsid w:val="00244F9B"/>
    <w:rsid w:val="00245720"/>
    <w:rsid w:val="002458BE"/>
    <w:rsid w:val="0024599A"/>
    <w:rsid w:val="00246686"/>
    <w:rsid w:val="002474DF"/>
    <w:rsid w:val="00252D77"/>
    <w:rsid w:val="0025395A"/>
    <w:rsid w:val="002603DB"/>
    <w:rsid w:val="00267525"/>
    <w:rsid w:val="00267B93"/>
    <w:rsid w:val="002709C5"/>
    <w:rsid w:val="00271466"/>
    <w:rsid w:val="00272236"/>
    <w:rsid w:val="0027269D"/>
    <w:rsid w:val="002741E6"/>
    <w:rsid w:val="002743E4"/>
    <w:rsid w:val="00280EE6"/>
    <w:rsid w:val="00283FA0"/>
    <w:rsid w:val="00284920"/>
    <w:rsid w:val="00284FDE"/>
    <w:rsid w:val="0028666F"/>
    <w:rsid w:val="00287769"/>
    <w:rsid w:val="0029262E"/>
    <w:rsid w:val="00295421"/>
    <w:rsid w:val="002A1471"/>
    <w:rsid w:val="002A43D5"/>
    <w:rsid w:val="002A4D99"/>
    <w:rsid w:val="002A5373"/>
    <w:rsid w:val="002B46FC"/>
    <w:rsid w:val="002C01CD"/>
    <w:rsid w:val="002C0E68"/>
    <w:rsid w:val="002C732B"/>
    <w:rsid w:val="002D0BDD"/>
    <w:rsid w:val="002D0F45"/>
    <w:rsid w:val="002D6B21"/>
    <w:rsid w:val="002D6E73"/>
    <w:rsid w:val="002D6E86"/>
    <w:rsid w:val="002D78D8"/>
    <w:rsid w:val="002D7904"/>
    <w:rsid w:val="002D7E86"/>
    <w:rsid w:val="002E1806"/>
    <w:rsid w:val="002E2231"/>
    <w:rsid w:val="002E2623"/>
    <w:rsid w:val="002E3032"/>
    <w:rsid w:val="002E3700"/>
    <w:rsid w:val="002F2316"/>
    <w:rsid w:val="002F4003"/>
    <w:rsid w:val="002F4429"/>
    <w:rsid w:val="002F615F"/>
    <w:rsid w:val="002F6ED7"/>
    <w:rsid w:val="002F7B97"/>
    <w:rsid w:val="00301069"/>
    <w:rsid w:val="003012E4"/>
    <w:rsid w:val="003039D6"/>
    <w:rsid w:val="003064A0"/>
    <w:rsid w:val="0031484F"/>
    <w:rsid w:val="00317BDA"/>
    <w:rsid w:val="00320961"/>
    <w:rsid w:val="00322E87"/>
    <w:rsid w:val="003234EB"/>
    <w:rsid w:val="0032384A"/>
    <w:rsid w:val="00323AEC"/>
    <w:rsid w:val="0033063B"/>
    <w:rsid w:val="003330D4"/>
    <w:rsid w:val="00334F24"/>
    <w:rsid w:val="0033534E"/>
    <w:rsid w:val="00350B26"/>
    <w:rsid w:val="00352F19"/>
    <w:rsid w:val="00353E90"/>
    <w:rsid w:val="00355656"/>
    <w:rsid w:val="003576E6"/>
    <w:rsid w:val="00366549"/>
    <w:rsid w:val="00366D94"/>
    <w:rsid w:val="003673FD"/>
    <w:rsid w:val="0037093D"/>
    <w:rsid w:val="00373C07"/>
    <w:rsid w:val="00375369"/>
    <w:rsid w:val="00375F3E"/>
    <w:rsid w:val="003803F5"/>
    <w:rsid w:val="00382340"/>
    <w:rsid w:val="00384886"/>
    <w:rsid w:val="00384957"/>
    <w:rsid w:val="00384AF1"/>
    <w:rsid w:val="00386754"/>
    <w:rsid w:val="00386919"/>
    <w:rsid w:val="003969C3"/>
    <w:rsid w:val="00396D16"/>
    <w:rsid w:val="003A1040"/>
    <w:rsid w:val="003A1909"/>
    <w:rsid w:val="003B4B57"/>
    <w:rsid w:val="003B5D54"/>
    <w:rsid w:val="003C2766"/>
    <w:rsid w:val="003C42B8"/>
    <w:rsid w:val="003C6637"/>
    <w:rsid w:val="003D5485"/>
    <w:rsid w:val="003D643B"/>
    <w:rsid w:val="003D6D66"/>
    <w:rsid w:val="003D6D87"/>
    <w:rsid w:val="003E036A"/>
    <w:rsid w:val="003E6C5D"/>
    <w:rsid w:val="003E6E02"/>
    <w:rsid w:val="003E7511"/>
    <w:rsid w:val="003F09D5"/>
    <w:rsid w:val="003F243A"/>
    <w:rsid w:val="003F532F"/>
    <w:rsid w:val="003F7413"/>
    <w:rsid w:val="003F76EA"/>
    <w:rsid w:val="0040320C"/>
    <w:rsid w:val="004045A0"/>
    <w:rsid w:val="00405D06"/>
    <w:rsid w:val="0041141B"/>
    <w:rsid w:val="0042023D"/>
    <w:rsid w:val="00423257"/>
    <w:rsid w:val="00424464"/>
    <w:rsid w:val="00425751"/>
    <w:rsid w:val="00427A6C"/>
    <w:rsid w:val="00430803"/>
    <w:rsid w:val="00435FBC"/>
    <w:rsid w:val="00436889"/>
    <w:rsid w:val="004424A8"/>
    <w:rsid w:val="0044276C"/>
    <w:rsid w:val="00443242"/>
    <w:rsid w:val="004443C6"/>
    <w:rsid w:val="00445441"/>
    <w:rsid w:val="004525C6"/>
    <w:rsid w:val="0045328D"/>
    <w:rsid w:val="00457072"/>
    <w:rsid w:val="00460B63"/>
    <w:rsid w:val="00463B1E"/>
    <w:rsid w:val="00464BFE"/>
    <w:rsid w:val="00466337"/>
    <w:rsid w:val="00470472"/>
    <w:rsid w:val="004732C0"/>
    <w:rsid w:val="004778D7"/>
    <w:rsid w:val="004800B5"/>
    <w:rsid w:val="00480ED4"/>
    <w:rsid w:val="00482790"/>
    <w:rsid w:val="00483F04"/>
    <w:rsid w:val="00492C45"/>
    <w:rsid w:val="00494643"/>
    <w:rsid w:val="00494B24"/>
    <w:rsid w:val="004A1525"/>
    <w:rsid w:val="004A407A"/>
    <w:rsid w:val="004B6E80"/>
    <w:rsid w:val="004C0318"/>
    <w:rsid w:val="004C2407"/>
    <w:rsid w:val="004C2498"/>
    <w:rsid w:val="004C5DAB"/>
    <w:rsid w:val="004C5F35"/>
    <w:rsid w:val="004C79D0"/>
    <w:rsid w:val="004D6559"/>
    <w:rsid w:val="004E3D7D"/>
    <w:rsid w:val="004E73F9"/>
    <w:rsid w:val="004F5900"/>
    <w:rsid w:val="004F604D"/>
    <w:rsid w:val="004F6EF0"/>
    <w:rsid w:val="00505645"/>
    <w:rsid w:val="00506444"/>
    <w:rsid w:val="00507CDE"/>
    <w:rsid w:val="00513BBD"/>
    <w:rsid w:val="005162CA"/>
    <w:rsid w:val="00517F9C"/>
    <w:rsid w:val="00521F27"/>
    <w:rsid w:val="005240DB"/>
    <w:rsid w:val="0052503C"/>
    <w:rsid w:val="0052512C"/>
    <w:rsid w:val="00537358"/>
    <w:rsid w:val="00544AC9"/>
    <w:rsid w:val="00544B4B"/>
    <w:rsid w:val="00550851"/>
    <w:rsid w:val="0055232D"/>
    <w:rsid w:val="0055237B"/>
    <w:rsid w:val="00556121"/>
    <w:rsid w:val="00564CBE"/>
    <w:rsid w:val="00565DD5"/>
    <w:rsid w:val="005660FD"/>
    <w:rsid w:val="00567E89"/>
    <w:rsid w:val="005716E7"/>
    <w:rsid w:val="00573EF9"/>
    <w:rsid w:val="00574A3E"/>
    <w:rsid w:val="005763C4"/>
    <w:rsid w:val="00577F92"/>
    <w:rsid w:val="00580506"/>
    <w:rsid w:val="005819A3"/>
    <w:rsid w:val="00591109"/>
    <w:rsid w:val="00594DFB"/>
    <w:rsid w:val="00595318"/>
    <w:rsid w:val="005A19BF"/>
    <w:rsid w:val="005B1287"/>
    <w:rsid w:val="005B5233"/>
    <w:rsid w:val="005B6065"/>
    <w:rsid w:val="005B6FEF"/>
    <w:rsid w:val="005B70E8"/>
    <w:rsid w:val="005C7ABE"/>
    <w:rsid w:val="005D590C"/>
    <w:rsid w:val="005D5C50"/>
    <w:rsid w:val="005D78A9"/>
    <w:rsid w:val="005E48B7"/>
    <w:rsid w:val="005F2F73"/>
    <w:rsid w:val="005F7262"/>
    <w:rsid w:val="00607911"/>
    <w:rsid w:val="00611C24"/>
    <w:rsid w:val="0061324A"/>
    <w:rsid w:val="00613F40"/>
    <w:rsid w:val="00620961"/>
    <w:rsid w:val="00621F21"/>
    <w:rsid w:val="00627142"/>
    <w:rsid w:val="006334BC"/>
    <w:rsid w:val="00633585"/>
    <w:rsid w:val="00635D4A"/>
    <w:rsid w:val="0063675E"/>
    <w:rsid w:val="00641430"/>
    <w:rsid w:val="00641BE4"/>
    <w:rsid w:val="00650C02"/>
    <w:rsid w:val="00657138"/>
    <w:rsid w:val="00665F2F"/>
    <w:rsid w:val="006678C6"/>
    <w:rsid w:val="00672FD9"/>
    <w:rsid w:val="0067352B"/>
    <w:rsid w:val="00675204"/>
    <w:rsid w:val="006757FC"/>
    <w:rsid w:val="0067756B"/>
    <w:rsid w:val="00680184"/>
    <w:rsid w:val="00682EAD"/>
    <w:rsid w:val="00686A97"/>
    <w:rsid w:val="00690835"/>
    <w:rsid w:val="00691424"/>
    <w:rsid w:val="00693B21"/>
    <w:rsid w:val="00696670"/>
    <w:rsid w:val="00696B72"/>
    <w:rsid w:val="006973BE"/>
    <w:rsid w:val="006B170A"/>
    <w:rsid w:val="006B2980"/>
    <w:rsid w:val="006C0FCC"/>
    <w:rsid w:val="006C2751"/>
    <w:rsid w:val="006D0A73"/>
    <w:rsid w:val="006D3CA1"/>
    <w:rsid w:val="006E7831"/>
    <w:rsid w:val="006F40F3"/>
    <w:rsid w:val="006F5A13"/>
    <w:rsid w:val="006F5BCE"/>
    <w:rsid w:val="007023B7"/>
    <w:rsid w:val="007024A4"/>
    <w:rsid w:val="00703F96"/>
    <w:rsid w:val="0070536A"/>
    <w:rsid w:val="00705DC3"/>
    <w:rsid w:val="00713F12"/>
    <w:rsid w:val="00721747"/>
    <w:rsid w:val="0072601A"/>
    <w:rsid w:val="00727128"/>
    <w:rsid w:val="007311BB"/>
    <w:rsid w:val="0073132B"/>
    <w:rsid w:val="00731CB5"/>
    <w:rsid w:val="00732D68"/>
    <w:rsid w:val="00741B11"/>
    <w:rsid w:val="00742523"/>
    <w:rsid w:val="00743D5F"/>
    <w:rsid w:val="00744EC7"/>
    <w:rsid w:val="0074564A"/>
    <w:rsid w:val="00747C33"/>
    <w:rsid w:val="00747C82"/>
    <w:rsid w:val="0075009C"/>
    <w:rsid w:val="00751652"/>
    <w:rsid w:val="00753613"/>
    <w:rsid w:val="00753AC8"/>
    <w:rsid w:val="00756972"/>
    <w:rsid w:val="00757C65"/>
    <w:rsid w:val="00761D08"/>
    <w:rsid w:val="0076211B"/>
    <w:rsid w:val="00766E74"/>
    <w:rsid w:val="00770891"/>
    <w:rsid w:val="007708CF"/>
    <w:rsid w:val="00772E32"/>
    <w:rsid w:val="00774602"/>
    <w:rsid w:val="0077749F"/>
    <w:rsid w:val="00777806"/>
    <w:rsid w:val="00777B70"/>
    <w:rsid w:val="00777F83"/>
    <w:rsid w:val="0078009C"/>
    <w:rsid w:val="00780557"/>
    <w:rsid w:val="0078155B"/>
    <w:rsid w:val="00781C40"/>
    <w:rsid w:val="00785400"/>
    <w:rsid w:val="007875CB"/>
    <w:rsid w:val="0079029A"/>
    <w:rsid w:val="00790C87"/>
    <w:rsid w:val="00791950"/>
    <w:rsid w:val="00792182"/>
    <w:rsid w:val="00794D28"/>
    <w:rsid w:val="0079547A"/>
    <w:rsid w:val="00797471"/>
    <w:rsid w:val="007A3001"/>
    <w:rsid w:val="007B3FF1"/>
    <w:rsid w:val="007B4D22"/>
    <w:rsid w:val="007C55D6"/>
    <w:rsid w:val="007C7D4D"/>
    <w:rsid w:val="007D7C26"/>
    <w:rsid w:val="007E1307"/>
    <w:rsid w:val="007E1C60"/>
    <w:rsid w:val="007E230A"/>
    <w:rsid w:val="007E463E"/>
    <w:rsid w:val="007F31A0"/>
    <w:rsid w:val="007F3709"/>
    <w:rsid w:val="007F7BCD"/>
    <w:rsid w:val="007F7E26"/>
    <w:rsid w:val="00801770"/>
    <w:rsid w:val="00804D3F"/>
    <w:rsid w:val="0081087A"/>
    <w:rsid w:val="00810F05"/>
    <w:rsid w:val="00811759"/>
    <w:rsid w:val="0081177A"/>
    <w:rsid w:val="00811B4F"/>
    <w:rsid w:val="0081478C"/>
    <w:rsid w:val="0081503A"/>
    <w:rsid w:val="00815841"/>
    <w:rsid w:val="00815D76"/>
    <w:rsid w:val="00816187"/>
    <w:rsid w:val="008173BA"/>
    <w:rsid w:val="008174F9"/>
    <w:rsid w:val="0082022A"/>
    <w:rsid w:val="00820B33"/>
    <w:rsid w:val="0083045A"/>
    <w:rsid w:val="008315C4"/>
    <w:rsid w:val="00837117"/>
    <w:rsid w:val="008412F7"/>
    <w:rsid w:val="008425BD"/>
    <w:rsid w:val="008430D0"/>
    <w:rsid w:val="00844681"/>
    <w:rsid w:val="00847005"/>
    <w:rsid w:val="0084722D"/>
    <w:rsid w:val="00850ECE"/>
    <w:rsid w:val="0085588D"/>
    <w:rsid w:val="00856756"/>
    <w:rsid w:val="0086082B"/>
    <w:rsid w:val="008764C0"/>
    <w:rsid w:val="008803FC"/>
    <w:rsid w:val="00881E0A"/>
    <w:rsid w:val="00882D88"/>
    <w:rsid w:val="008839D6"/>
    <w:rsid w:val="00883CB4"/>
    <w:rsid w:val="00883CFF"/>
    <w:rsid w:val="00884809"/>
    <w:rsid w:val="0088509B"/>
    <w:rsid w:val="00886D71"/>
    <w:rsid w:val="008933FC"/>
    <w:rsid w:val="00893A3F"/>
    <w:rsid w:val="00894425"/>
    <w:rsid w:val="00896529"/>
    <w:rsid w:val="008977A5"/>
    <w:rsid w:val="008A2FE5"/>
    <w:rsid w:val="008B5119"/>
    <w:rsid w:val="008C17A8"/>
    <w:rsid w:val="008C29F1"/>
    <w:rsid w:val="008C5BB4"/>
    <w:rsid w:val="008D005A"/>
    <w:rsid w:val="008D5088"/>
    <w:rsid w:val="008D5A0D"/>
    <w:rsid w:val="008E6F59"/>
    <w:rsid w:val="008E74A6"/>
    <w:rsid w:val="008F1E41"/>
    <w:rsid w:val="008F1EED"/>
    <w:rsid w:val="008F2730"/>
    <w:rsid w:val="008F635C"/>
    <w:rsid w:val="008F6C8B"/>
    <w:rsid w:val="0090393A"/>
    <w:rsid w:val="0090415D"/>
    <w:rsid w:val="009048BC"/>
    <w:rsid w:val="009048E4"/>
    <w:rsid w:val="00905564"/>
    <w:rsid w:val="00906E15"/>
    <w:rsid w:val="00915177"/>
    <w:rsid w:val="00920D15"/>
    <w:rsid w:val="00920F37"/>
    <w:rsid w:val="00923900"/>
    <w:rsid w:val="00924FED"/>
    <w:rsid w:val="0092670E"/>
    <w:rsid w:val="009267DF"/>
    <w:rsid w:val="00926DF4"/>
    <w:rsid w:val="0093383B"/>
    <w:rsid w:val="00934FDE"/>
    <w:rsid w:val="00937F91"/>
    <w:rsid w:val="009413A9"/>
    <w:rsid w:val="009460DA"/>
    <w:rsid w:val="00946B17"/>
    <w:rsid w:val="00947402"/>
    <w:rsid w:val="009475E0"/>
    <w:rsid w:val="00960952"/>
    <w:rsid w:val="00971EB5"/>
    <w:rsid w:val="009724AA"/>
    <w:rsid w:val="0097262A"/>
    <w:rsid w:val="009734F1"/>
    <w:rsid w:val="00975822"/>
    <w:rsid w:val="00982136"/>
    <w:rsid w:val="00982E0B"/>
    <w:rsid w:val="00986B02"/>
    <w:rsid w:val="00987CF3"/>
    <w:rsid w:val="0099052F"/>
    <w:rsid w:val="009934C1"/>
    <w:rsid w:val="0099570C"/>
    <w:rsid w:val="0099781C"/>
    <w:rsid w:val="009A0C2C"/>
    <w:rsid w:val="009B0C88"/>
    <w:rsid w:val="009B45F8"/>
    <w:rsid w:val="009B4723"/>
    <w:rsid w:val="009B6644"/>
    <w:rsid w:val="009B6CCB"/>
    <w:rsid w:val="009B7FF2"/>
    <w:rsid w:val="009C1F1A"/>
    <w:rsid w:val="009C2034"/>
    <w:rsid w:val="009C2424"/>
    <w:rsid w:val="009C3DDE"/>
    <w:rsid w:val="009C56A4"/>
    <w:rsid w:val="009D0060"/>
    <w:rsid w:val="009D0F14"/>
    <w:rsid w:val="009D6F20"/>
    <w:rsid w:val="009D7C6C"/>
    <w:rsid w:val="009D7EBE"/>
    <w:rsid w:val="009E293B"/>
    <w:rsid w:val="009E421D"/>
    <w:rsid w:val="009E512A"/>
    <w:rsid w:val="009E76AA"/>
    <w:rsid w:val="009F050F"/>
    <w:rsid w:val="009F2FB7"/>
    <w:rsid w:val="00A03A79"/>
    <w:rsid w:val="00A04BD9"/>
    <w:rsid w:val="00A116ED"/>
    <w:rsid w:val="00A12D10"/>
    <w:rsid w:val="00A15AA9"/>
    <w:rsid w:val="00A167FC"/>
    <w:rsid w:val="00A173C4"/>
    <w:rsid w:val="00A17D5F"/>
    <w:rsid w:val="00A206A5"/>
    <w:rsid w:val="00A2119D"/>
    <w:rsid w:val="00A213DE"/>
    <w:rsid w:val="00A2570A"/>
    <w:rsid w:val="00A26FF1"/>
    <w:rsid w:val="00A31886"/>
    <w:rsid w:val="00A34868"/>
    <w:rsid w:val="00A379C5"/>
    <w:rsid w:val="00A430AF"/>
    <w:rsid w:val="00A43189"/>
    <w:rsid w:val="00A4353F"/>
    <w:rsid w:val="00A4729C"/>
    <w:rsid w:val="00A47669"/>
    <w:rsid w:val="00A50E32"/>
    <w:rsid w:val="00A52152"/>
    <w:rsid w:val="00A522CF"/>
    <w:rsid w:val="00A540A4"/>
    <w:rsid w:val="00A571DD"/>
    <w:rsid w:val="00A5759D"/>
    <w:rsid w:val="00A579FD"/>
    <w:rsid w:val="00A57F0B"/>
    <w:rsid w:val="00A60873"/>
    <w:rsid w:val="00A6303C"/>
    <w:rsid w:val="00A63549"/>
    <w:rsid w:val="00A665C4"/>
    <w:rsid w:val="00A67BFD"/>
    <w:rsid w:val="00A70E4F"/>
    <w:rsid w:val="00A7360E"/>
    <w:rsid w:val="00A7488D"/>
    <w:rsid w:val="00A7514B"/>
    <w:rsid w:val="00A8360F"/>
    <w:rsid w:val="00A84B78"/>
    <w:rsid w:val="00A925BA"/>
    <w:rsid w:val="00A92EE5"/>
    <w:rsid w:val="00A97B22"/>
    <w:rsid w:val="00A97CD7"/>
    <w:rsid w:val="00AA0093"/>
    <w:rsid w:val="00AA0F77"/>
    <w:rsid w:val="00AA32D3"/>
    <w:rsid w:val="00AA42CB"/>
    <w:rsid w:val="00AA4F05"/>
    <w:rsid w:val="00AA5CD0"/>
    <w:rsid w:val="00AB46E6"/>
    <w:rsid w:val="00AC1E24"/>
    <w:rsid w:val="00AC25FC"/>
    <w:rsid w:val="00AC361D"/>
    <w:rsid w:val="00AC3FD7"/>
    <w:rsid w:val="00AC7900"/>
    <w:rsid w:val="00AD23DA"/>
    <w:rsid w:val="00AD2C2E"/>
    <w:rsid w:val="00AD5CBC"/>
    <w:rsid w:val="00AD7286"/>
    <w:rsid w:val="00AE0B22"/>
    <w:rsid w:val="00AE1479"/>
    <w:rsid w:val="00AE191E"/>
    <w:rsid w:val="00AE71B4"/>
    <w:rsid w:val="00AE790C"/>
    <w:rsid w:val="00AF21DF"/>
    <w:rsid w:val="00AF4BED"/>
    <w:rsid w:val="00AF584F"/>
    <w:rsid w:val="00AF6C86"/>
    <w:rsid w:val="00B01288"/>
    <w:rsid w:val="00B057D6"/>
    <w:rsid w:val="00B1305C"/>
    <w:rsid w:val="00B13865"/>
    <w:rsid w:val="00B13B93"/>
    <w:rsid w:val="00B145C5"/>
    <w:rsid w:val="00B14A2F"/>
    <w:rsid w:val="00B15797"/>
    <w:rsid w:val="00B16B83"/>
    <w:rsid w:val="00B2523F"/>
    <w:rsid w:val="00B26EA9"/>
    <w:rsid w:val="00B276CE"/>
    <w:rsid w:val="00B430A9"/>
    <w:rsid w:val="00B44AC2"/>
    <w:rsid w:val="00B44D33"/>
    <w:rsid w:val="00B455CC"/>
    <w:rsid w:val="00B46BD6"/>
    <w:rsid w:val="00B478A3"/>
    <w:rsid w:val="00B502AC"/>
    <w:rsid w:val="00B6226E"/>
    <w:rsid w:val="00B64FDE"/>
    <w:rsid w:val="00B666EF"/>
    <w:rsid w:val="00B67DAD"/>
    <w:rsid w:val="00B70C22"/>
    <w:rsid w:val="00B76938"/>
    <w:rsid w:val="00B7721D"/>
    <w:rsid w:val="00B83D54"/>
    <w:rsid w:val="00B86234"/>
    <w:rsid w:val="00B90E01"/>
    <w:rsid w:val="00B92366"/>
    <w:rsid w:val="00B92B7E"/>
    <w:rsid w:val="00B9473A"/>
    <w:rsid w:val="00B9535D"/>
    <w:rsid w:val="00BA5FFF"/>
    <w:rsid w:val="00BA6CF5"/>
    <w:rsid w:val="00BB1B95"/>
    <w:rsid w:val="00BB3F4F"/>
    <w:rsid w:val="00BC096F"/>
    <w:rsid w:val="00BC0BE6"/>
    <w:rsid w:val="00BC28B3"/>
    <w:rsid w:val="00BC39A7"/>
    <w:rsid w:val="00BC73A9"/>
    <w:rsid w:val="00BD0D3E"/>
    <w:rsid w:val="00BD6B18"/>
    <w:rsid w:val="00BE3A9F"/>
    <w:rsid w:val="00BE53D9"/>
    <w:rsid w:val="00BE574B"/>
    <w:rsid w:val="00BE6BEE"/>
    <w:rsid w:val="00BF0897"/>
    <w:rsid w:val="00BF1F09"/>
    <w:rsid w:val="00BF2D92"/>
    <w:rsid w:val="00BF316F"/>
    <w:rsid w:val="00BF351C"/>
    <w:rsid w:val="00BF3EF8"/>
    <w:rsid w:val="00BF679F"/>
    <w:rsid w:val="00BF7F3A"/>
    <w:rsid w:val="00C03346"/>
    <w:rsid w:val="00C03F9B"/>
    <w:rsid w:val="00C0571A"/>
    <w:rsid w:val="00C06C72"/>
    <w:rsid w:val="00C076F9"/>
    <w:rsid w:val="00C103CA"/>
    <w:rsid w:val="00C114AC"/>
    <w:rsid w:val="00C1175A"/>
    <w:rsid w:val="00C16141"/>
    <w:rsid w:val="00C23E07"/>
    <w:rsid w:val="00C25921"/>
    <w:rsid w:val="00C27710"/>
    <w:rsid w:val="00C27E9A"/>
    <w:rsid w:val="00C32157"/>
    <w:rsid w:val="00C32AC4"/>
    <w:rsid w:val="00C33543"/>
    <w:rsid w:val="00C36E4D"/>
    <w:rsid w:val="00C37899"/>
    <w:rsid w:val="00C37D46"/>
    <w:rsid w:val="00C42A91"/>
    <w:rsid w:val="00C45B1C"/>
    <w:rsid w:val="00C45D31"/>
    <w:rsid w:val="00C45F4C"/>
    <w:rsid w:val="00C51A91"/>
    <w:rsid w:val="00C54711"/>
    <w:rsid w:val="00C54D3D"/>
    <w:rsid w:val="00C60B7D"/>
    <w:rsid w:val="00C61159"/>
    <w:rsid w:val="00C64536"/>
    <w:rsid w:val="00C74DC9"/>
    <w:rsid w:val="00C75811"/>
    <w:rsid w:val="00C80932"/>
    <w:rsid w:val="00C814A6"/>
    <w:rsid w:val="00C84778"/>
    <w:rsid w:val="00C8732F"/>
    <w:rsid w:val="00C911D6"/>
    <w:rsid w:val="00C9453C"/>
    <w:rsid w:val="00C9568E"/>
    <w:rsid w:val="00C95D40"/>
    <w:rsid w:val="00C97466"/>
    <w:rsid w:val="00CA02CE"/>
    <w:rsid w:val="00CA2DD0"/>
    <w:rsid w:val="00CB13A2"/>
    <w:rsid w:val="00CB1812"/>
    <w:rsid w:val="00CB53AE"/>
    <w:rsid w:val="00CB53B0"/>
    <w:rsid w:val="00CB603D"/>
    <w:rsid w:val="00CC0124"/>
    <w:rsid w:val="00CC3184"/>
    <w:rsid w:val="00CC3461"/>
    <w:rsid w:val="00CC42A5"/>
    <w:rsid w:val="00CC4CBF"/>
    <w:rsid w:val="00CC4F5E"/>
    <w:rsid w:val="00CD03F0"/>
    <w:rsid w:val="00CD0B2E"/>
    <w:rsid w:val="00CD2AF7"/>
    <w:rsid w:val="00CD3DCC"/>
    <w:rsid w:val="00CD3F07"/>
    <w:rsid w:val="00CD414C"/>
    <w:rsid w:val="00CD5A2C"/>
    <w:rsid w:val="00CE1C12"/>
    <w:rsid w:val="00CE27B5"/>
    <w:rsid w:val="00CE2D57"/>
    <w:rsid w:val="00CE6190"/>
    <w:rsid w:val="00CE6426"/>
    <w:rsid w:val="00CE78BA"/>
    <w:rsid w:val="00CF0DF4"/>
    <w:rsid w:val="00CF27CD"/>
    <w:rsid w:val="00CF343D"/>
    <w:rsid w:val="00CF49EB"/>
    <w:rsid w:val="00D00119"/>
    <w:rsid w:val="00D01E77"/>
    <w:rsid w:val="00D0313B"/>
    <w:rsid w:val="00D0334E"/>
    <w:rsid w:val="00D04490"/>
    <w:rsid w:val="00D05485"/>
    <w:rsid w:val="00D05F1F"/>
    <w:rsid w:val="00D0651F"/>
    <w:rsid w:val="00D112AD"/>
    <w:rsid w:val="00D1284D"/>
    <w:rsid w:val="00D12E82"/>
    <w:rsid w:val="00D15F1D"/>
    <w:rsid w:val="00D1650D"/>
    <w:rsid w:val="00D20387"/>
    <w:rsid w:val="00D2144E"/>
    <w:rsid w:val="00D21630"/>
    <w:rsid w:val="00D21AD8"/>
    <w:rsid w:val="00D2236A"/>
    <w:rsid w:val="00D25398"/>
    <w:rsid w:val="00D25D13"/>
    <w:rsid w:val="00D26428"/>
    <w:rsid w:val="00D43B30"/>
    <w:rsid w:val="00D4634A"/>
    <w:rsid w:val="00D549CD"/>
    <w:rsid w:val="00D54A6E"/>
    <w:rsid w:val="00D56CF2"/>
    <w:rsid w:val="00D57007"/>
    <w:rsid w:val="00D61511"/>
    <w:rsid w:val="00D65AEB"/>
    <w:rsid w:val="00D65EF3"/>
    <w:rsid w:val="00D67280"/>
    <w:rsid w:val="00D81F0F"/>
    <w:rsid w:val="00D83189"/>
    <w:rsid w:val="00D90C9A"/>
    <w:rsid w:val="00D915E5"/>
    <w:rsid w:val="00D92905"/>
    <w:rsid w:val="00D972D3"/>
    <w:rsid w:val="00D97911"/>
    <w:rsid w:val="00DA2C65"/>
    <w:rsid w:val="00DA359D"/>
    <w:rsid w:val="00DA35D0"/>
    <w:rsid w:val="00DA3B48"/>
    <w:rsid w:val="00DA4BD6"/>
    <w:rsid w:val="00DA6D7C"/>
    <w:rsid w:val="00DA73AC"/>
    <w:rsid w:val="00DA775F"/>
    <w:rsid w:val="00DB0EF3"/>
    <w:rsid w:val="00DB2529"/>
    <w:rsid w:val="00DB2D82"/>
    <w:rsid w:val="00DB48A3"/>
    <w:rsid w:val="00DB6638"/>
    <w:rsid w:val="00DB6723"/>
    <w:rsid w:val="00DB736A"/>
    <w:rsid w:val="00DC089A"/>
    <w:rsid w:val="00DC104A"/>
    <w:rsid w:val="00DC4B8A"/>
    <w:rsid w:val="00DC5480"/>
    <w:rsid w:val="00DC6732"/>
    <w:rsid w:val="00DD1E96"/>
    <w:rsid w:val="00DD39E0"/>
    <w:rsid w:val="00DD596D"/>
    <w:rsid w:val="00DD5B15"/>
    <w:rsid w:val="00DE23CF"/>
    <w:rsid w:val="00DE3233"/>
    <w:rsid w:val="00DE53AB"/>
    <w:rsid w:val="00DE5527"/>
    <w:rsid w:val="00DE7F57"/>
    <w:rsid w:val="00DF430B"/>
    <w:rsid w:val="00DF438F"/>
    <w:rsid w:val="00DF69B1"/>
    <w:rsid w:val="00E0633F"/>
    <w:rsid w:val="00E23DB7"/>
    <w:rsid w:val="00E279EF"/>
    <w:rsid w:val="00E27BBF"/>
    <w:rsid w:val="00E32151"/>
    <w:rsid w:val="00E329F7"/>
    <w:rsid w:val="00E341F3"/>
    <w:rsid w:val="00E3537C"/>
    <w:rsid w:val="00E35541"/>
    <w:rsid w:val="00E37B46"/>
    <w:rsid w:val="00E43900"/>
    <w:rsid w:val="00E43D14"/>
    <w:rsid w:val="00E52CFE"/>
    <w:rsid w:val="00E536F1"/>
    <w:rsid w:val="00E55DD5"/>
    <w:rsid w:val="00E61F6B"/>
    <w:rsid w:val="00E6240A"/>
    <w:rsid w:val="00E6493D"/>
    <w:rsid w:val="00E6587E"/>
    <w:rsid w:val="00E67AC6"/>
    <w:rsid w:val="00E77D80"/>
    <w:rsid w:val="00E81E97"/>
    <w:rsid w:val="00E833B7"/>
    <w:rsid w:val="00E83A79"/>
    <w:rsid w:val="00E962A4"/>
    <w:rsid w:val="00E96B90"/>
    <w:rsid w:val="00EA1305"/>
    <w:rsid w:val="00EA13F7"/>
    <w:rsid w:val="00EA15AF"/>
    <w:rsid w:val="00EA328B"/>
    <w:rsid w:val="00EA5844"/>
    <w:rsid w:val="00EA5A03"/>
    <w:rsid w:val="00EA665E"/>
    <w:rsid w:val="00EB29AF"/>
    <w:rsid w:val="00EC1ACD"/>
    <w:rsid w:val="00EC4063"/>
    <w:rsid w:val="00EC628B"/>
    <w:rsid w:val="00EC6E48"/>
    <w:rsid w:val="00EC772F"/>
    <w:rsid w:val="00ED1768"/>
    <w:rsid w:val="00ED347B"/>
    <w:rsid w:val="00ED3FDE"/>
    <w:rsid w:val="00ED4DD4"/>
    <w:rsid w:val="00ED5DB1"/>
    <w:rsid w:val="00EE0B75"/>
    <w:rsid w:val="00EE2942"/>
    <w:rsid w:val="00EE37F4"/>
    <w:rsid w:val="00EE3F24"/>
    <w:rsid w:val="00EE53FE"/>
    <w:rsid w:val="00EE58DD"/>
    <w:rsid w:val="00EF0AD2"/>
    <w:rsid w:val="00EF1EB7"/>
    <w:rsid w:val="00EF2BA5"/>
    <w:rsid w:val="00EF4242"/>
    <w:rsid w:val="00EF6E6A"/>
    <w:rsid w:val="00EF7639"/>
    <w:rsid w:val="00F0528C"/>
    <w:rsid w:val="00F05F09"/>
    <w:rsid w:val="00F07553"/>
    <w:rsid w:val="00F10095"/>
    <w:rsid w:val="00F1021C"/>
    <w:rsid w:val="00F14996"/>
    <w:rsid w:val="00F14EA0"/>
    <w:rsid w:val="00F20BEA"/>
    <w:rsid w:val="00F228AA"/>
    <w:rsid w:val="00F258FD"/>
    <w:rsid w:val="00F3053B"/>
    <w:rsid w:val="00F31FB3"/>
    <w:rsid w:val="00F42CE3"/>
    <w:rsid w:val="00F44BD3"/>
    <w:rsid w:val="00F45E68"/>
    <w:rsid w:val="00F50E36"/>
    <w:rsid w:val="00F514C6"/>
    <w:rsid w:val="00F54653"/>
    <w:rsid w:val="00F54A6C"/>
    <w:rsid w:val="00F56BEF"/>
    <w:rsid w:val="00F60010"/>
    <w:rsid w:val="00F60E24"/>
    <w:rsid w:val="00F62653"/>
    <w:rsid w:val="00F6342C"/>
    <w:rsid w:val="00F6471F"/>
    <w:rsid w:val="00F65F87"/>
    <w:rsid w:val="00F67FE4"/>
    <w:rsid w:val="00F70CBE"/>
    <w:rsid w:val="00F75489"/>
    <w:rsid w:val="00F801F5"/>
    <w:rsid w:val="00F8333D"/>
    <w:rsid w:val="00F86421"/>
    <w:rsid w:val="00F86C63"/>
    <w:rsid w:val="00F87816"/>
    <w:rsid w:val="00F87B5F"/>
    <w:rsid w:val="00F934F1"/>
    <w:rsid w:val="00F957B4"/>
    <w:rsid w:val="00FA011E"/>
    <w:rsid w:val="00FA23AD"/>
    <w:rsid w:val="00FA2F66"/>
    <w:rsid w:val="00FA69FE"/>
    <w:rsid w:val="00FA76F8"/>
    <w:rsid w:val="00FB06B1"/>
    <w:rsid w:val="00FB1BD2"/>
    <w:rsid w:val="00FB3904"/>
    <w:rsid w:val="00FB44B6"/>
    <w:rsid w:val="00FB595A"/>
    <w:rsid w:val="00FC02B0"/>
    <w:rsid w:val="00FC4ABC"/>
    <w:rsid w:val="00FD2654"/>
    <w:rsid w:val="00FD3741"/>
    <w:rsid w:val="00FE0189"/>
    <w:rsid w:val="00FE1E0A"/>
    <w:rsid w:val="00FE26DF"/>
    <w:rsid w:val="00FE4C92"/>
    <w:rsid w:val="00FF0366"/>
    <w:rsid w:val="00FF0FD7"/>
    <w:rsid w:val="00FF4AA6"/>
    <w:rsid w:val="00FF5FE0"/>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nhideWhenUsed/>
    <w:qFormat/>
    <w:rsid w:val="009B47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C6274"/>
    <w:pPr>
      <w:tabs>
        <w:tab w:val="center" w:pos="4419"/>
        <w:tab w:val="right" w:pos="8838"/>
      </w:tabs>
    </w:pPr>
  </w:style>
  <w:style w:type="character" w:customStyle="1" w:styleId="EncabezadoCar">
    <w:name w:val="Encabezado Car"/>
    <w:basedOn w:val="Fuentedeprrafopredeter"/>
    <w:link w:val="Encabezado"/>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5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D65EF3"/>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65EF3"/>
    <w:pPr>
      <w:jc w:val="center"/>
    </w:pPr>
    <w:rPr>
      <w:rFonts w:cs="Times New Roman"/>
      <w:b/>
      <w:szCs w:val="20"/>
      <w:lang w:val="es-ES"/>
    </w:rPr>
  </w:style>
  <w:style w:type="character" w:customStyle="1" w:styleId="TtuloCar">
    <w:name w:val="Título Car"/>
    <w:basedOn w:val="Fuentedeprrafopredeter"/>
    <w:link w:val="Ttulo"/>
    <w:rsid w:val="00D65EF3"/>
    <w:rPr>
      <w:rFonts w:ascii="Arial" w:eastAsia="Times New Roman" w:hAnsi="Arial" w:cs="Times New Roman"/>
      <w:b/>
      <w:sz w:val="24"/>
      <w:szCs w:val="20"/>
      <w:lang w:val="es-ES" w:eastAsia="es-ES"/>
    </w:rPr>
  </w:style>
  <w:style w:type="paragraph" w:customStyle="1" w:styleId="bulnot">
    <w:name w:val="bulnot"/>
    <w:basedOn w:val="Normal"/>
    <w:rsid w:val="00E55DD5"/>
    <w:pPr>
      <w:tabs>
        <w:tab w:val="left" w:pos="851"/>
      </w:tabs>
      <w:spacing w:before="360"/>
      <w:ind w:left="1985" w:right="2036" w:hanging="273"/>
    </w:pPr>
    <w:rPr>
      <w:rFonts w:cs="Times New Roman"/>
      <w:b/>
      <w:color w:val="0000FF"/>
      <w:spacing w:val="10"/>
      <w:sz w:val="22"/>
      <w:szCs w:val="20"/>
      <w:lang w:val="es-MX"/>
    </w:rPr>
  </w:style>
  <w:style w:type="paragraph" w:styleId="Textonotaalfinal">
    <w:name w:val="endnote text"/>
    <w:basedOn w:val="Normal"/>
    <w:link w:val="TextonotaalfinalCar"/>
    <w:semiHidden/>
    <w:rsid w:val="00E55DD5"/>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E55DD5"/>
    <w:rPr>
      <w:rFonts w:ascii="Times New Roman" w:eastAsia="Times New Roman" w:hAnsi="Times New Roman" w:cs="Times New Roman"/>
      <w:sz w:val="20"/>
      <w:szCs w:val="20"/>
      <w:lang w:eastAsia="es-ES"/>
    </w:rPr>
  </w:style>
  <w:style w:type="character" w:customStyle="1" w:styleId="Ttulo4Car">
    <w:name w:val="Título 4 Car"/>
    <w:basedOn w:val="Fuentedeprrafopredeter"/>
    <w:link w:val="Ttulo4"/>
    <w:rsid w:val="009B4723"/>
    <w:rPr>
      <w:rFonts w:asciiTheme="majorHAnsi" w:eastAsiaTheme="majorEastAsia" w:hAnsiTheme="majorHAnsi" w:cstheme="majorBidi"/>
      <w:i/>
      <w:iCs/>
      <w:color w:val="2F5496" w:themeColor="accent1" w:themeShade="BF"/>
      <w:sz w:val="24"/>
      <w:szCs w:val="24"/>
      <w:lang w:val="es-ES_tradnl" w:eastAsia="es-ES"/>
    </w:rPr>
  </w:style>
  <w:style w:type="paragraph" w:customStyle="1" w:styleId="texto">
    <w:name w:val="texto"/>
    <w:basedOn w:val="Normal"/>
    <w:uiPriority w:val="99"/>
    <w:rsid w:val="009B4723"/>
    <w:pPr>
      <w:keepLines/>
      <w:spacing w:before="240"/>
    </w:pPr>
    <w:rPr>
      <w:rFonts w:cs="Times New Roman"/>
      <w:color w:val="000080"/>
      <w:szCs w:val="20"/>
      <w:lang w:val="es-MX"/>
    </w:rPr>
  </w:style>
  <w:style w:type="table" w:customStyle="1" w:styleId="Tablaconcuadrcula1">
    <w:name w:val="Tabla con cuadrícula1"/>
    <w:basedOn w:val="Tablanormal"/>
    <w:next w:val="Tablaconcuadrcula"/>
    <w:uiPriority w:val="59"/>
    <w:rsid w:val="009C56A4"/>
    <w:pPr>
      <w:widowControl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9C56A4"/>
  </w:style>
  <w:style w:type="paragraph" w:customStyle="1" w:styleId="estado">
    <w:name w:val="estado"/>
    <w:basedOn w:val="Normal"/>
    <w:rsid w:val="009C56A4"/>
    <w:pPr>
      <w:spacing w:before="360" w:line="320" w:lineRule="exact"/>
      <w:ind w:left="567" w:hanging="567"/>
    </w:pPr>
    <w:rPr>
      <w:rFonts w:cs="Times New Roman"/>
      <w:szCs w:val="20"/>
      <w:lang w:val="es-MX"/>
    </w:rPr>
  </w:style>
  <w:style w:type="paragraph" w:styleId="Textoindependiente">
    <w:name w:val="Body Text"/>
    <w:basedOn w:val="Normal"/>
    <w:link w:val="TextoindependienteCar"/>
    <w:rsid w:val="00A84B78"/>
    <w:pPr>
      <w:spacing w:before="240"/>
    </w:pPr>
    <w:rPr>
      <w:color w:val="0000FF"/>
    </w:rPr>
  </w:style>
  <w:style w:type="character" w:customStyle="1" w:styleId="TextoindependienteCar">
    <w:name w:val="Texto independiente Car"/>
    <w:basedOn w:val="Fuentedeprrafopredeter"/>
    <w:link w:val="Textoindependiente"/>
    <w:rsid w:val="00A84B78"/>
    <w:rPr>
      <w:rFonts w:ascii="Arial" w:eastAsia="Times New Roman" w:hAnsi="Arial" w:cs="Arial"/>
      <w:color w:val="0000FF"/>
      <w:sz w:val="24"/>
      <w:szCs w:val="24"/>
      <w:lang w:val="es-ES_tradnl" w:eastAsia="es-ES"/>
    </w:rPr>
  </w:style>
  <w:style w:type="paragraph" w:styleId="Subttulo">
    <w:name w:val="Subtitle"/>
    <w:basedOn w:val="Normal"/>
    <w:link w:val="SubttuloCar"/>
    <w:qFormat/>
    <w:rsid w:val="00C9568E"/>
    <w:pPr>
      <w:jc w:val="center"/>
    </w:pPr>
    <w:rPr>
      <w:b/>
      <w:bCs/>
    </w:rPr>
  </w:style>
  <w:style w:type="character" w:customStyle="1" w:styleId="SubttuloCar">
    <w:name w:val="Subtítulo Car"/>
    <w:basedOn w:val="Fuentedeprrafopredeter"/>
    <w:link w:val="Subttulo"/>
    <w:rsid w:val="00C9568E"/>
    <w:rPr>
      <w:rFonts w:ascii="Arial" w:eastAsia="Times New Roman" w:hAnsi="Arial" w:cs="Arial"/>
      <w:b/>
      <w:bCs/>
      <w:sz w:val="24"/>
      <w:szCs w:val="24"/>
      <w:lang w:val="es-ES_tradnl" w:eastAsia="es-ES"/>
    </w:rPr>
  </w:style>
  <w:style w:type="paragraph" w:customStyle="1" w:styleId="Default">
    <w:name w:val="Default"/>
    <w:rsid w:val="0028666F"/>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parr2">
    <w:name w:val="parr2"/>
    <w:basedOn w:val="Normal"/>
    <w:rsid w:val="00D97911"/>
    <w:pPr>
      <w:spacing w:before="600"/>
      <w:ind w:left="567" w:right="15"/>
    </w:pPr>
    <w:rPr>
      <w:rFonts w:cs="Times New Roman"/>
      <w:szCs w:val="20"/>
    </w:rPr>
  </w:style>
  <w:style w:type="paragraph" w:customStyle="1" w:styleId="parrafo1">
    <w:name w:val="parrafo1"/>
    <w:basedOn w:val="p0"/>
    <w:rsid w:val="00D972D3"/>
    <w:pPr>
      <w:keepLines w:val="0"/>
      <w:widowControl/>
      <w:spacing w:before="480"/>
      <w:ind w:left="426" w:right="443"/>
    </w:pPr>
    <w:rPr>
      <w:rFonts w:ascii="Arial" w:hAnsi="Arial" w:cs="Times New Roman"/>
      <w:snapToGrid/>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youtube.com/user/INEGIInforma"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png"/><Relationship Id="rId25" Type="http://schemas.openxmlformats.org/officeDocument/2006/relationships/hyperlink" Target="https://www.inegi.org.mx/app/biblioteca/ficha.html?upc=702825099060"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3\Juni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3\Juni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3\Juni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3\Juni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76448051906306336"/>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'!$C$5:$C$70</c:f>
              <c:numCache>
                <c:formatCode>0.0</c:formatCode>
                <c:ptCount val="66"/>
                <c:pt idx="0">
                  <c:v>99.767234472338302</c:v>
                </c:pt>
                <c:pt idx="1">
                  <c:v>99.835512754148994</c:v>
                </c:pt>
                <c:pt idx="2">
                  <c:v>100.04999220550501</c:v>
                </c:pt>
                <c:pt idx="3">
                  <c:v>99.708081283181301</c:v>
                </c:pt>
                <c:pt idx="4">
                  <c:v>99.930018035618303</c:v>
                </c:pt>
                <c:pt idx="5">
                  <c:v>99.601962515819494</c:v>
                </c:pt>
                <c:pt idx="6">
                  <c:v>100.17239080460701</c:v>
                </c:pt>
                <c:pt idx="7">
                  <c:v>100.705540919301</c:v>
                </c:pt>
                <c:pt idx="8">
                  <c:v>100.80057360757399</c:v>
                </c:pt>
                <c:pt idx="9">
                  <c:v>99.894311334948398</c:v>
                </c:pt>
                <c:pt idx="10">
                  <c:v>100.238377172208</c:v>
                </c:pt>
                <c:pt idx="11">
                  <c:v>99.735779284023096</c:v>
                </c:pt>
                <c:pt idx="12">
                  <c:v>101.30229786412001</c:v>
                </c:pt>
                <c:pt idx="13">
                  <c:v>101.30068197909701</c:v>
                </c:pt>
                <c:pt idx="14">
                  <c:v>99.406971491497501</c:v>
                </c:pt>
                <c:pt idx="15">
                  <c:v>100.568567329958</c:v>
                </c:pt>
                <c:pt idx="16">
                  <c:v>100.79043865559299</c:v>
                </c:pt>
                <c:pt idx="17">
                  <c:v>101.63629167039301</c:v>
                </c:pt>
                <c:pt idx="18">
                  <c:v>101.637027272561</c:v>
                </c:pt>
                <c:pt idx="19">
                  <c:v>101.188595078764</c:v>
                </c:pt>
                <c:pt idx="20">
                  <c:v>101.841389770322</c:v>
                </c:pt>
                <c:pt idx="21">
                  <c:v>101.670786103569</c:v>
                </c:pt>
                <c:pt idx="22">
                  <c:v>101.84610461611</c:v>
                </c:pt>
                <c:pt idx="23">
                  <c:v>101.00723837629</c:v>
                </c:pt>
                <c:pt idx="24">
                  <c:v>101.48134583606701</c:v>
                </c:pt>
                <c:pt idx="25">
                  <c:v>101.180942476341</c:v>
                </c:pt>
                <c:pt idx="26">
                  <c:v>94.778450286533101</c:v>
                </c:pt>
                <c:pt idx="27">
                  <c:v>77.554107701689802</c:v>
                </c:pt>
                <c:pt idx="28">
                  <c:v>76.360475109238493</c:v>
                </c:pt>
                <c:pt idx="29">
                  <c:v>82.903076239552107</c:v>
                </c:pt>
                <c:pt idx="30">
                  <c:v>86.979031477664293</c:v>
                </c:pt>
                <c:pt idx="31">
                  <c:v>88.791639094563394</c:v>
                </c:pt>
                <c:pt idx="32">
                  <c:v>91.993926617006494</c:v>
                </c:pt>
                <c:pt idx="33">
                  <c:v>93.226039136309694</c:v>
                </c:pt>
                <c:pt idx="34">
                  <c:v>94.289089923572206</c:v>
                </c:pt>
                <c:pt idx="35">
                  <c:v>94.661008990262104</c:v>
                </c:pt>
                <c:pt idx="36">
                  <c:v>94.746121893323505</c:v>
                </c:pt>
                <c:pt idx="37">
                  <c:v>94.145078177361498</c:v>
                </c:pt>
                <c:pt idx="38">
                  <c:v>96.160535221360107</c:v>
                </c:pt>
                <c:pt idx="39">
                  <c:v>96.284076638663393</c:v>
                </c:pt>
                <c:pt idx="40">
                  <c:v>97.015781468708298</c:v>
                </c:pt>
                <c:pt idx="41">
                  <c:v>97.231836851572695</c:v>
                </c:pt>
                <c:pt idx="42">
                  <c:v>98.136117947476905</c:v>
                </c:pt>
                <c:pt idx="43">
                  <c:v>97.988389365333106</c:v>
                </c:pt>
                <c:pt idx="44">
                  <c:v>98.910622338306695</c:v>
                </c:pt>
                <c:pt idx="45">
                  <c:v>99.659580546881799</c:v>
                </c:pt>
                <c:pt idx="46">
                  <c:v>100.297594926382</c:v>
                </c:pt>
                <c:pt idx="47">
                  <c:v>101.63517452359601</c:v>
                </c:pt>
                <c:pt idx="48">
                  <c:v>100.717186347119</c:v>
                </c:pt>
                <c:pt idx="49">
                  <c:v>102.520300314319</c:v>
                </c:pt>
                <c:pt idx="50">
                  <c:v>103.03802006558401</c:v>
                </c:pt>
                <c:pt idx="51">
                  <c:v>103.206232615652</c:v>
                </c:pt>
                <c:pt idx="52">
                  <c:v>103.73143686314199</c:v>
                </c:pt>
                <c:pt idx="53">
                  <c:v>103.936078944008</c:v>
                </c:pt>
                <c:pt idx="54">
                  <c:v>103.646834046395</c:v>
                </c:pt>
                <c:pt idx="55">
                  <c:v>104.464658567027</c:v>
                </c:pt>
                <c:pt idx="56">
                  <c:v>105.017889684689</c:v>
                </c:pt>
                <c:pt idx="57">
                  <c:v>104.936159880782</c:v>
                </c:pt>
                <c:pt idx="58">
                  <c:v>104.717842093502</c:v>
                </c:pt>
                <c:pt idx="59">
                  <c:v>105.385868756322</c:v>
                </c:pt>
                <c:pt idx="60">
                  <c:v>107.025875222396</c:v>
                </c:pt>
                <c:pt idx="61">
                  <c:v>106.45997598162199</c:v>
                </c:pt>
                <c:pt idx="62">
                  <c:v>106.81180147588</c:v>
                </c:pt>
                <c:pt idx="63">
                  <c:v>107.971775608344</c:v>
                </c:pt>
                <c:pt idx="64">
                  <c:v>107.818690406432</c:v>
                </c:pt>
                <c:pt idx="65">
                  <c:v>108.193875677905</c:v>
                </c:pt>
              </c:numCache>
            </c:numRef>
          </c:val>
          <c:extLst>
            <c:ext xmlns:c16="http://schemas.microsoft.com/office/drawing/2014/chart" uri="{C3380CC4-5D6E-409C-BE32-E72D297353CC}">
              <c16:uniqueId val="{00000000-9785-46E5-9F28-FAFC33C9A170}"/>
            </c:ext>
          </c:extLst>
        </c:ser>
        <c:dLbls>
          <c:showLegendKey val="0"/>
          <c:showVal val="0"/>
          <c:showCatName val="0"/>
          <c:showSerName val="0"/>
          <c:showPercent val="0"/>
          <c:showBubbleSize val="0"/>
        </c:dLbls>
        <c:gapWidth val="7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'!$D$5:$D$70</c:f>
              <c:numCache>
                <c:formatCode>0.0</c:formatCode>
                <c:ptCount val="66"/>
                <c:pt idx="0">
                  <c:v>99.637512337578002</c:v>
                </c:pt>
                <c:pt idx="1">
                  <c:v>99.774030799682293</c:v>
                </c:pt>
                <c:pt idx="2">
                  <c:v>99.826930934116305</c:v>
                </c:pt>
                <c:pt idx="3">
                  <c:v>99.863688187568101</c:v>
                </c:pt>
                <c:pt idx="4">
                  <c:v>99.937765845674804</c:v>
                </c:pt>
                <c:pt idx="5">
                  <c:v>100.059670449881</c:v>
                </c:pt>
                <c:pt idx="6">
                  <c:v>100.180160490845</c:v>
                </c:pt>
                <c:pt idx="7">
                  <c:v>100.25504824594201</c:v>
                </c:pt>
                <c:pt idx="8">
                  <c:v>100.298277451971</c:v>
                </c:pt>
                <c:pt idx="9">
                  <c:v>100.340318853338</c:v>
                </c:pt>
                <c:pt idx="10">
                  <c:v>100.400509566257</c:v>
                </c:pt>
                <c:pt idx="11">
                  <c:v>100.480262658135</c:v>
                </c:pt>
                <c:pt idx="12">
                  <c:v>100.58035721567801</c:v>
                </c:pt>
                <c:pt idx="13">
                  <c:v>100.71597203431401</c:v>
                </c:pt>
                <c:pt idx="14">
                  <c:v>100.848574313078</c:v>
                </c:pt>
                <c:pt idx="15">
                  <c:v>100.959907289808</c:v>
                </c:pt>
                <c:pt idx="16">
                  <c:v>101.06746260388501</c:v>
                </c:pt>
                <c:pt idx="17">
                  <c:v>101.226254747818</c:v>
                </c:pt>
                <c:pt idx="18">
                  <c:v>101.41476300679101</c:v>
                </c:pt>
                <c:pt idx="19">
                  <c:v>101.586376372597</c:v>
                </c:pt>
                <c:pt idx="20">
                  <c:v>101.650801897138</c:v>
                </c:pt>
                <c:pt idx="21">
                  <c:v>101.59829959805</c:v>
                </c:pt>
                <c:pt idx="22">
                  <c:v>101.493539997187</c:v>
                </c:pt>
                <c:pt idx="23">
                  <c:v>101.406716059397</c:v>
                </c:pt>
                <c:pt idx="24">
                  <c:v>101.39260860857399</c:v>
                </c:pt>
                <c:pt idx="25">
                  <c:v>101.474434735049</c:v>
                </c:pt>
                <c:pt idx="26">
                  <c:v>94.843345376741794</c:v>
                </c:pt>
                <c:pt idx="27">
                  <c:v>91.043236379906503</c:v>
                </c:pt>
                <c:pt idx="28">
                  <c:v>91.323056449545902</c:v>
                </c:pt>
                <c:pt idx="29">
                  <c:v>91.596754767030106</c:v>
                </c:pt>
                <c:pt idx="30">
                  <c:v>91.897487049692103</c:v>
                </c:pt>
                <c:pt idx="31">
                  <c:v>92.279600385828402</c:v>
                </c:pt>
                <c:pt idx="32">
                  <c:v>92.740815813554804</c:v>
                </c:pt>
                <c:pt idx="33">
                  <c:v>93.279105482088696</c:v>
                </c:pt>
                <c:pt idx="34">
                  <c:v>93.850038793433299</c:v>
                </c:pt>
                <c:pt idx="35">
                  <c:v>94.413302806517507</c:v>
                </c:pt>
                <c:pt idx="36">
                  <c:v>94.938468992768705</c:v>
                </c:pt>
                <c:pt idx="37">
                  <c:v>95.433406276259205</c:v>
                </c:pt>
                <c:pt idx="38">
                  <c:v>95.908980615387804</c:v>
                </c:pt>
                <c:pt idx="39">
                  <c:v>96.380292463939</c:v>
                </c:pt>
                <c:pt idx="40">
                  <c:v>96.865470946127601</c:v>
                </c:pt>
                <c:pt idx="41">
                  <c:v>97.339337440206407</c:v>
                </c:pt>
                <c:pt idx="42">
                  <c:v>97.840177828925704</c:v>
                </c:pt>
                <c:pt idx="43">
                  <c:v>98.382623504828899</c:v>
                </c:pt>
                <c:pt idx="44">
                  <c:v>98.978178967924407</c:v>
                </c:pt>
                <c:pt idx="45">
                  <c:v>99.626365601414506</c:v>
                </c:pt>
                <c:pt idx="46">
                  <c:v>100.300758732581</c:v>
                </c:pt>
                <c:pt idx="47">
                  <c:v>100.984243852975</c:v>
                </c:pt>
                <c:pt idx="48">
                  <c:v>101.65392568380599</c:v>
                </c:pt>
                <c:pt idx="49">
                  <c:v>102.268449715713</c:v>
                </c:pt>
                <c:pt idx="50">
                  <c:v>102.78617685159</c:v>
                </c:pt>
                <c:pt idx="51">
                  <c:v>103.220783133483</c:v>
                </c:pt>
                <c:pt idx="52">
                  <c:v>103.588982032084</c:v>
                </c:pt>
                <c:pt idx="53">
                  <c:v>103.89697366056301</c:v>
                </c:pt>
                <c:pt idx="54">
                  <c:v>104.12844264893999</c:v>
                </c:pt>
                <c:pt idx="55">
                  <c:v>104.335497375974</c:v>
                </c:pt>
                <c:pt idx="56">
                  <c:v>104.602692064354</c:v>
                </c:pt>
                <c:pt idx="57">
                  <c:v>104.91213254026501</c:v>
                </c:pt>
                <c:pt idx="58">
                  <c:v>105.27985182603101</c:v>
                </c:pt>
                <c:pt idx="59">
                  <c:v>105.709883365251</c:v>
                </c:pt>
                <c:pt idx="60">
                  <c:v>106.177487415683</c:v>
                </c:pt>
                <c:pt idx="61">
                  <c:v>106.655101833571</c:v>
                </c:pt>
                <c:pt idx="62">
                  <c:v>107.123130546574</c:v>
                </c:pt>
                <c:pt idx="63">
                  <c:v>107.54980185625899</c:v>
                </c:pt>
                <c:pt idx="64">
                  <c:v>107.93745989893</c:v>
                </c:pt>
                <c:pt idx="65">
                  <c:v>108.336481199669</c:v>
                </c:pt>
              </c:numCache>
            </c:numRef>
          </c:val>
          <c:smooth val="0"/>
          <c:extLst>
            <c:ext xmlns:c16="http://schemas.microsoft.com/office/drawing/2014/chart" uri="{C3380CC4-5D6E-409C-BE32-E72D297353CC}">
              <c16:uniqueId val="{00000001-9785-46E5-9F28-FAFC33C9A170}"/>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15"/>
          <c:min val="7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75000"/>
            </a:schemeClr>
          </a:solidFill>
        </a:ln>
      </c:spPr>
    </c:plotArea>
    <c:legend>
      <c:legendPos val="b"/>
      <c:layout>
        <c:manualLayout>
          <c:xMode val="edge"/>
          <c:yMode val="edge"/>
          <c:x val="0.12584150129330204"/>
          <c:y val="0.93342071173484964"/>
          <c:w val="0.78343655439478144"/>
          <c:h val="2.779972543872010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76448051906306336"/>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'!$C$5:$C$70</c:f>
              <c:numCache>
                <c:formatCode>0.0</c:formatCode>
                <c:ptCount val="66"/>
                <c:pt idx="0">
                  <c:v>99.767234472338302</c:v>
                </c:pt>
                <c:pt idx="1">
                  <c:v>99.835512754148994</c:v>
                </c:pt>
                <c:pt idx="2">
                  <c:v>100.04999220550501</c:v>
                </c:pt>
                <c:pt idx="3">
                  <c:v>99.708081283181301</c:v>
                </c:pt>
                <c:pt idx="4">
                  <c:v>99.930018035618303</c:v>
                </c:pt>
                <c:pt idx="5">
                  <c:v>99.601962515819494</c:v>
                </c:pt>
                <c:pt idx="6">
                  <c:v>100.17239080460701</c:v>
                </c:pt>
                <c:pt idx="7">
                  <c:v>100.705540919301</c:v>
                </c:pt>
                <c:pt idx="8">
                  <c:v>100.80057360757399</c:v>
                </c:pt>
                <c:pt idx="9">
                  <c:v>99.894311334948398</c:v>
                </c:pt>
                <c:pt idx="10">
                  <c:v>100.238377172208</c:v>
                </c:pt>
                <c:pt idx="11">
                  <c:v>99.735779284023096</c:v>
                </c:pt>
                <c:pt idx="12">
                  <c:v>101.30229786412001</c:v>
                </c:pt>
                <c:pt idx="13">
                  <c:v>101.30068197909701</c:v>
                </c:pt>
                <c:pt idx="14">
                  <c:v>99.406971491497501</c:v>
                </c:pt>
                <c:pt idx="15">
                  <c:v>100.568567329958</c:v>
                </c:pt>
                <c:pt idx="16">
                  <c:v>100.79043865559299</c:v>
                </c:pt>
                <c:pt idx="17">
                  <c:v>101.63629167039301</c:v>
                </c:pt>
                <c:pt idx="18">
                  <c:v>101.637027272561</c:v>
                </c:pt>
                <c:pt idx="19">
                  <c:v>101.188595078764</c:v>
                </c:pt>
                <c:pt idx="20">
                  <c:v>101.841389770322</c:v>
                </c:pt>
                <c:pt idx="21">
                  <c:v>101.670786103569</c:v>
                </c:pt>
                <c:pt idx="22">
                  <c:v>101.84610461611</c:v>
                </c:pt>
                <c:pt idx="23">
                  <c:v>101.00723837629</c:v>
                </c:pt>
                <c:pt idx="24">
                  <c:v>101.48134583606701</c:v>
                </c:pt>
                <c:pt idx="25">
                  <c:v>101.180942476341</c:v>
                </c:pt>
                <c:pt idx="26">
                  <c:v>94.778450286533101</c:v>
                </c:pt>
                <c:pt idx="27">
                  <c:v>77.554107701689802</c:v>
                </c:pt>
                <c:pt idx="28">
                  <c:v>76.360475109238493</c:v>
                </c:pt>
                <c:pt idx="29">
                  <c:v>82.903076239552107</c:v>
                </c:pt>
                <c:pt idx="30">
                  <c:v>86.979031477664293</c:v>
                </c:pt>
                <c:pt idx="31">
                  <c:v>88.791639094563394</c:v>
                </c:pt>
                <c:pt idx="32">
                  <c:v>91.993926617006494</c:v>
                </c:pt>
                <c:pt idx="33">
                  <c:v>93.226039136309694</c:v>
                </c:pt>
                <c:pt idx="34">
                  <c:v>94.289089923572206</c:v>
                </c:pt>
                <c:pt idx="35">
                  <c:v>94.661008990262104</c:v>
                </c:pt>
                <c:pt idx="36">
                  <c:v>94.746121893323505</c:v>
                </c:pt>
                <c:pt idx="37">
                  <c:v>94.145078177361498</c:v>
                </c:pt>
                <c:pt idx="38">
                  <c:v>96.160535221360107</c:v>
                </c:pt>
                <c:pt idx="39">
                  <c:v>96.284076638663393</c:v>
                </c:pt>
                <c:pt idx="40">
                  <c:v>97.015781468708298</c:v>
                </c:pt>
                <c:pt idx="41">
                  <c:v>97.231836851572695</c:v>
                </c:pt>
                <c:pt idx="42">
                  <c:v>98.136117947476905</c:v>
                </c:pt>
                <c:pt idx="43">
                  <c:v>97.988389365333106</c:v>
                </c:pt>
                <c:pt idx="44">
                  <c:v>98.910622338306695</c:v>
                </c:pt>
                <c:pt idx="45">
                  <c:v>99.659580546881799</c:v>
                </c:pt>
                <c:pt idx="46">
                  <c:v>100.297594926382</c:v>
                </c:pt>
                <c:pt idx="47">
                  <c:v>101.63517452359601</c:v>
                </c:pt>
                <c:pt idx="48">
                  <c:v>100.717186347119</c:v>
                </c:pt>
                <c:pt idx="49">
                  <c:v>102.520300314319</c:v>
                </c:pt>
                <c:pt idx="50">
                  <c:v>103.03802006558401</c:v>
                </c:pt>
                <c:pt idx="51">
                  <c:v>103.206232615652</c:v>
                </c:pt>
                <c:pt idx="52">
                  <c:v>103.73143686314199</c:v>
                </c:pt>
                <c:pt idx="53">
                  <c:v>103.936078944008</c:v>
                </c:pt>
                <c:pt idx="54">
                  <c:v>103.646834046395</c:v>
                </c:pt>
                <c:pt idx="55">
                  <c:v>104.464658567027</c:v>
                </c:pt>
                <c:pt idx="56">
                  <c:v>105.017889684689</c:v>
                </c:pt>
                <c:pt idx="57">
                  <c:v>104.936159880782</c:v>
                </c:pt>
                <c:pt idx="58">
                  <c:v>104.717842093502</c:v>
                </c:pt>
                <c:pt idx="59">
                  <c:v>105.385868756322</c:v>
                </c:pt>
                <c:pt idx="60">
                  <c:v>107.025875222396</c:v>
                </c:pt>
                <c:pt idx="61">
                  <c:v>106.45997598162199</c:v>
                </c:pt>
                <c:pt idx="62">
                  <c:v>106.81180147588</c:v>
                </c:pt>
                <c:pt idx="63">
                  <c:v>107.971775608344</c:v>
                </c:pt>
                <c:pt idx="64">
                  <c:v>107.818690406432</c:v>
                </c:pt>
                <c:pt idx="65">
                  <c:v>108.193875677905</c:v>
                </c:pt>
              </c:numCache>
            </c:numRef>
          </c:val>
          <c:extLst>
            <c:ext xmlns:c16="http://schemas.microsoft.com/office/drawing/2014/chart" uri="{C3380CC4-5D6E-409C-BE32-E72D297353CC}">
              <c16:uniqueId val="{00000000-9C11-4D1A-9194-A074425522E9}"/>
            </c:ext>
          </c:extLst>
        </c:ser>
        <c:dLbls>
          <c:showLegendKey val="0"/>
          <c:showVal val="0"/>
          <c:showCatName val="0"/>
          <c:showSerName val="0"/>
          <c:showPercent val="0"/>
          <c:showBubbleSize val="0"/>
        </c:dLbls>
        <c:gapWidth val="7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'!$D$5:$D$70</c:f>
              <c:numCache>
                <c:formatCode>0.0</c:formatCode>
                <c:ptCount val="66"/>
                <c:pt idx="0">
                  <c:v>99.637512337578002</c:v>
                </c:pt>
                <c:pt idx="1">
                  <c:v>99.774030799682293</c:v>
                </c:pt>
                <c:pt idx="2">
                  <c:v>99.826930934116305</c:v>
                </c:pt>
                <c:pt idx="3">
                  <c:v>99.863688187568101</c:v>
                </c:pt>
                <c:pt idx="4">
                  <c:v>99.937765845674804</c:v>
                </c:pt>
                <c:pt idx="5">
                  <c:v>100.059670449881</c:v>
                </c:pt>
                <c:pt idx="6">
                  <c:v>100.180160490845</c:v>
                </c:pt>
                <c:pt idx="7">
                  <c:v>100.25504824594201</c:v>
                </c:pt>
                <c:pt idx="8">
                  <c:v>100.298277451971</c:v>
                </c:pt>
                <c:pt idx="9">
                  <c:v>100.340318853338</c:v>
                </c:pt>
                <c:pt idx="10">
                  <c:v>100.400509566257</c:v>
                </c:pt>
                <c:pt idx="11">
                  <c:v>100.480262658135</c:v>
                </c:pt>
                <c:pt idx="12">
                  <c:v>100.58035721567801</c:v>
                </c:pt>
                <c:pt idx="13">
                  <c:v>100.71597203431401</c:v>
                </c:pt>
                <c:pt idx="14">
                  <c:v>100.848574313078</c:v>
                </c:pt>
                <c:pt idx="15">
                  <c:v>100.959907289808</c:v>
                </c:pt>
                <c:pt idx="16">
                  <c:v>101.06746260388501</c:v>
                </c:pt>
                <c:pt idx="17">
                  <c:v>101.226254747818</c:v>
                </c:pt>
                <c:pt idx="18">
                  <c:v>101.41476300679101</c:v>
                </c:pt>
                <c:pt idx="19">
                  <c:v>101.586376372597</c:v>
                </c:pt>
                <c:pt idx="20">
                  <c:v>101.650801897138</c:v>
                </c:pt>
                <c:pt idx="21">
                  <c:v>101.59829959805</c:v>
                </c:pt>
                <c:pt idx="22">
                  <c:v>101.493539997187</c:v>
                </c:pt>
                <c:pt idx="23">
                  <c:v>101.406716059397</c:v>
                </c:pt>
                <c:pt idx="24">
                  <c:v>101.39260860857399</c:v>
                </c:pt>
                <c:pt idx="25">
                  <c:v>101.474434735049</c:v>
                </c:pt>
                <c:pt idx="26">
                  <c:v>94.843345376741794</c:v>
                </c:pt>
                <c:pt idx="27">
                  <c:v>91.043236379906503</c:v>
                </c:pt>
                <c:pt idx="28">
                  <c:v>91.323056449545902</c:v>
                </c:pt>
                <c:pt idx="29">
                  <c:v>91.596754767030106</c:v>
                </c:pt>
                <c:pt idx="30">
                  <c:v>91.897487049692103</c:v>
                </c:pt>
                <c:pt idx="31">
                  <c:v>92.279600385828402</c:v>
                </c:pt>
                <c:pt idx="32">
                  <c:v>92.740815813554804</c:v>
                </c:pt>
                <c:pt idx="33">
                  <c:v>93.279105482088696</c:v>
                </c:pt>
                <c:pt idx="34">
                  <c:v>93.850038793433299</c:v>
                </c:pt>
                <c:pt idx="35">
                  <c:v>94.413302806517507</c:v>
                </c:pt>
                <c:pt idx="36">
                  <c:v>94.938468992768705</c:v>
                </c:pt>
                <c:pt idx="37">
                  <c:v>95.433406276259205</c:v>
                </c:pt>
                <c:pt idx="38">
                  <c:v>95.908980615387804</c:v>
                </c:pt>
                <c:pt idx="39">
                  <c:v>96.380292463939</c:v>
                </c:pt>
                <c:pt idx="40">
                  <c:v>96.865470946127601</c:v>
                </c:pt>
                <c:pt idx="41">
                  <c:v>97.339337440206407</c:v>
                </c:pt>
                <c:pt idx="42">
                  <c:v>97.840177828925704</c:v>
                </c:pt>
                <c:pt idx="43">
                  <c:v>98.382623504828899</c:v>
                </c:pt>
                <c:pt idx="44">
                  <c:v>98.978178967924407</c:v>
                </c:pt>
                <c:pt idx="45">
                  <c:v>99.626365601414506</c:v>
                </c:pt>
                <c:pt idx="46">
                  <c:v>100.300758732581</c:v>
                </c:pt>
                <c:pt idx="47">
                  <c:v>100.984243852975</c:v>
                </c:pt>
                <c:pt idx="48">
                  <c:v>101.65392568380599</c:v>
                </c:pt>
                <c:pt idx="49">
                  <c:v>102.268449715713</c:v>
                </c:pt>
                <c:pt idx="50">
                  <c:v>102.78617685159</c:v>
                </c:pt>
                <c:pt idx="51">
                  <c:v>103.220783133483</c:v>
                </c:pt>
                <c:pt idx="52">
                  <c:v>103.588982032084</c:v>
                </c:pt>
                <c:pt idx="53">
                  <c:v>103.89697366056301</c:v>
                </c:pt>
                <c:pt idx="54">
                  <c:v>104.12844264893999</c:v>
                </c:pt>
                <c:pt idx="55">
                  <c:v>104.335497375974</c:v>
                </c:pt>
                <c:pt idx="56">
                  <c:v>104.602692064354</c:v>
                </c:pt>
                <c:pt idx="57">
                  <c:v>104.91213254026501</c:v>
                </c:pt>
                <c:pt idx="58">
                  <c:v>105.27985182603101</c:v>
                </c:pt>
                <c:pt idx="59">
                  <c:v>105.709883365251</c:v>
                </c:pt>
                <c:pt idx="60">
                  <c:v>106.177487415683</c:v>
                </c:pt>
                <c:pt idx="61">
                  <c:v>106.655101833571</c:v>
                </c:pt>
                <c:pt idx="62">
                  <c:v>107.123130546574</c:v>
                </c:pt>
                <c:pt idx="63">
                  <c:v>107.54980185625899</c:v>
                </c:pt>
                <c:pt idx="64">
                  <c:v>107.93745989893</c:v>
                </c:pt>
                <c:pt idx="65">
                  <c:v>108.336481199669</c:v>
                </c:pt>
              </c:numCache>
            </c:numRef>
          </c:val>
          <c:smooth val="0"/>
          <c:extLst>
            <c:ext xmlns:c16="http://schemas.microsoft.com/office/drawing/2014/chart" uri="{C3380CC4-5D6E-409C-BE32-E72D297353CC}">
              <c16:uniqueId val="{00000001-9C11-4D1A-9194-A074425522E9}"/>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15"/>
          <c:min val="7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75000"/>
            </a:schemeClr>
          </a:solidFill>
        </a:ln>
      </c:spPr>
    </c:plotArea>
    <c:legend>
      <c:legendPos val="b"/>
      <c:layout>
        <c:manualLayout>
          <c:xMode val="edge"/>
          <c:yMode val="edge"/>
          <c:x val="0.12584150129330204"/>
          <c:y val="0.93342071173484964"/>
          <c:w val="0.78343655439478144"/>
          <c:h val="2.779972543872010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772282477782752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'!$E$5:$E$70</c:f>
              <c:numCache>
                <c:formatCode>0.0</c:formatCode>
                <c:ptCount val="66"/>
                <c:pt idx="0">
                  <c:v>99.707721883390306</c:v>
                </c:pt>
                <c:pt idx="1">
                  <c:v>99.866392771251299</c:v>
                </c:pt>
                <c:pt idx="2">
                  <c:v>100.130156588456</c:v>
                </c:pt>
                <c:pt idx="3">
                  <c:v>99.7409359046341</c:v>
                </c:pt>
                <c:pt idx="4">
                  <c:v>100.007865469609</c:v>
                </c:pt>
                <c:pt idx="5">
                  <c:v>99.709295491620693</c:v>
                </c:pt>
                <c:pt idx="6">
                  <c:v>100.26764737692601</c:v>
                </c:pt>
                <c:pt idx="7">
                  <c:v>100.45211713427101</c:v>
                </c:pt>
                <c:pt idx="8">
                  <c:v>100.59410785382801</c:v>
                </c:pt>
                <c:pt idx="9">
                  <c:v>99.832537644090095</c:v>
                </c:pt>
                <c:pt idx="10">
                  <c:v>100.13800332653</c:v>
                </c:pt>
                <c:pt idx="11">
                  <c:v>99.840120438132601</c:v>
                </c:pt>
                <c:pt idx="12">
                  <c:v>101.16024365937101</c:v>
                </c:pt>
                <c:pt idx="13">
                  <c:v>101.476360984842</c:v>
                </c:pt>
                <c:pt idx="14">
                  <c:v>100.244664844048</c:v>
                </c:pt>
                <c:pt idx="15">
                  <c:v>100.46942169399701</c:v>
                </c:pt>
                <c:pt idx="16">
                  <c:v>101.041906564564</c:v>
                </c:pt>
                <c:pt idx="17">
                  <c:v>101.96632107975699</c:v>
                </c:pt>
                <c:pt idx="18">
                  <c:v>101.366419667757</c:v>
                </c:pt>
                <c:pt idx="19">
                  <c:v>101.329932049444</c:v>
                </c:pt>
                <c:pt idx="20">
                  <c:v>101.899754906352</c:v>
                </c:pt>
                <c:pt idx="21">
                  <c:v>100.895108270641</c:v>
                </c:pt>
                <c:pt idx="22">
                  <c:v>101.70055269532099</c:v>
                </c:pt>
                <c:pt idx="23">
                  <c:v>101.069922092814</c:v>
                </c:pt>
                <c:pt idx="24">
                  <c:v>101.945598513622</c:v>
                </c:pt>
                <c:pt idx="25">
                  <c:v>102.216897942326</c:v>
                </c:pt>
                <c:pt idx="26">
                  <c:v>96.103469650630899</c:v>
                </c:pt>
                <c:pt idx="27">
                  <c:v>77.015624160906498</c:v>
                </c:pt>
                <c:pt idx="28">
                  <c:v>76.300508425445599</c:v>
                </c:pt>
                <c:pt idx="29">
                  <c:v>82.833795719272302</c:v>
                </c:pt>
                <c:pt idx="30">
                  <c:v>86.878649460690298</c:v>
                </c:pt>
                <c:pt idx="31">
                  <c:v>88.193554672629205</c:v>
                </c:pt>
                <c:pt idx="32">
                  <c:v>91.916911328831404</c:v>
                </c:pt>
                <c:pt idx="33">
                  <c:v>92.996538034816993</c:v>
                </c:pt>
                <c:pt idx="34">
                  <c:v>92.946332024599599</c:v>
                </c:pt>
                <c:pt idx="35">
                  <c:v>92.922633757037701</c:v>
                </c:pt>
                <c:pt idx="36">
                  <c:v>92.456781172050498</c:v>
                </c:pt>
                <c:pt idx="37">
                  <c:v>92.266072051828104</c:v>
                </c:pt>
                <c:pt idx="38">
                  <c:v>94.036475584464895</c:v>
                </c:pt>
                <c:pt idx="39">
                  <c:v>94.780246922271502</c:v>
                </c:pt>
                <c:pt idx="40">
                  <c:v>95.584495937437595</c:v>
                </c:pt>
                <c:pt idx="41">
                  <c:v>96.190058288664602</c:v>
                </c:pt>
                <c:pt idx="42">
                  <c:v>96.837029007641505</c:v>
                </c:pt>
                <c:pt idx="43">
                  <c:v>96.701975414108603</c:v>
                </c:pt>
                <c:pt idx="44">
                  <c:v>97.765310729770107</c:v>
                </c:pt>
                <c:pt idx="45">
                  <c:v>98.306349334169497</c:v>
                </c:pt>
                <c:pt idx="46">
                  <c:v>99.040713485437095</c:v>
                </c:pt>
                <c:pt idx="47">
                  <c:v>100.154222880925</c:v>
                </c:pt>
                <c:pt idx="48">
                  <c:v>99.727951590580105</c:v>
                </c:pt>
                <c:pt idx="49">
                  <c:v>100.668890534114</c:v>
                </c:pt>
                <c:pt idx="50">
                  <c:v>101.58347710564</c:v>
                </c:pt>
                <c:pt idx="51">
                  <c:v>101.48985318353201</c:v>
                </c:pt>
                <c:pt idx="52">
                  <c:v>102.133162762848</c:v>
                </c:pt>
                <c:pt idx="53">
                  <c:v>102.004170589601</c:v>
                </c:pt>
                <c:pt idx="54">
                  <c:v>101.951495100862</c:v>
                </c:pt>
                <c:pt idx="55">
                  <c:v>102.384432660627</c:v>
                </c:pt>
                <c:pt idx="56">
                  <c:v>102.60632077229</c:v>
                </c:pt>
                <c:pt idx="57">
                  <c:v>102.733997294264</c:v>
                </c:pt>
                <c:pt idx="58">
                  <c:v>102.662055910851</c:v>
                </c:pt>
                <c:pt idx="59">
                  <c:v>103.46714041354301</c:v>
                </c:pt>
                <c:pt idx="60">
                  <c:v>103.98142019837999</c:v>
                </c:pt>
                <c:pt idx="61">
                  <c:v>104.02365681669799</c:v>
                </c:pt>
                <c:pt idx="62">
                  <c:v>103.38797732063099</c:v>
                </c:pt>
                <c:pt idx="63">
                  <c:v>103.926003492101</c:v>
                </c:pt>
                <c:pt idx="64">
                  <c:v>102.967820836033</c:v>
                </c:pt>
                <c:pt idx="65">
                  <c:v>102.915229474795</c:v>
                </c:pt>
              </c:numCache>
            </c:numRef>
          </c:val>
          <c:extLst>
            <c:ext xmlns:c16="http://schemas.microsoft.com/office/drawing/2014/chart" uri="{C3380CC4-5D6E-409C-BE32-E72D297353CC}">
              <c16:uniqueId val="{00000000-21C5-408E-9583-C167B630844D}"/>
            </c:ext>
          </c:extLst>
        </c:ser>
        <c:dLbls>
          <c:showLegendKey val="0"/>
          <c:showVal val="0"/>
          <c:showCatName val="0"/>
          <c:showSerName val="0"/>
          <c:showPercent val="0"/>
          <c:showBubbleSize val="0"/>
        </c:dLbls>
        <c:gapWidth val="7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'!$F$5:$F$70</c:f>
              <c:numCache>
                <c:formatCode>0.0</c:formatCode>
                <c:ptCount val="66"/>
                <c:pt idx="0">
                  <c:v>99.524184456954202</c:v>
                </c:pt>
                <c:pt idx="1">
                  <c:v>99.727911302780399</c:v>
                </c:pt>
                <c:pt idx="2">
                  <c:v>99.852451499738606</c:v>
                </c:pt>
                <c:pt idx="3">
                  <c:v>99.931703190860503</c:v>
                </c:pt>
                <c:pt idx="4">
                  <c:v>100.015803435837</c:v>
                </c:pt>
                <c:pt idx="5">
                  <c:v>100.09549107782701</c:v>
                </c:pt>
                <c:pt idx="6">
                  <c:v>100.15100068901501</c:v>
                </c:pt>
                <c:pt idx="7">
                  <c:v>100.173341600144</c:v>
                </c:pt>
                <c:pt idx="8">
                  <c:v>100.192726314163</c:v>
                </c:pt>
                <c:pt idx="9">
                  <c:v>100.24218919716201</c:v>
                </c:pt>
                <c:pt idx="10">
                  <c:v>100.322489216527</c:v>
                </c:pt>
                <c:pt idx="11">
                  <c:v>100.41877722075201</c:v>
                </c:pt>
                <c:pt idx="12">
                  <c:v>100.53785387459401</c:v>
                </c:pt>
                <c:pt idx="13">
                  <c:v>100.689311913289</c:v>
                </c:pt>
                <c:pt idx="14">
                  <c:v>100.837947877787</c:v>
                </c:pt>
                <c:pt idx="15">
                  <c:v>100.990365404599</c:v>
                </c:pt>
                <c:pt idx="16">
                  <c:v>101.137317219306</c:v>
                </c:pt>
                <c:pt idx="17">
                  <c:v>101.296488851741</c:v>
                </c:pt>
                <c:pt idx="18">
                  <c:v>101.426318842616</c:v>
                </c:pt>
                <c:pt idx="19">
                  <c:v>101.48808674181601</c:v>
                </c:pt>
                <c:pt idx="20">
                  <c:v>101.45766791992</c:v>
                </c:pt>
                <c:pt idx="21">
                  <c:v>101.39851004110599</c:v>
                </c:pt>
                <c:pt idx="22">
                  <c:v>101.42059714711201</c:v>
                </c:pt>
                <c:pt idx="23">
                  <c:v>101.55876354740001</c:v>
                </c:pt>
                <c:pt idx="24">
                  <c:v>101.793572089886</c:v>
                </c:pt>
                <c:pt idx="25">
                  <c:v>102.08127231773</c:v>
                </c:pt>
                <c:pt idx="26">
                  <c:v>96.103038979539704</c:v>
                </c:pt>
                <c:pt idx="27">
                  <c:v>90.974358861839903</c:v>
                </c:pt>
                <c:pt idx="28">
                  <c:v>91.198069576148598</c:v>
                </c:pt>
                <c:pt idx="29">
                  <c:v>91.427745183169307</c:v>
                </c:pt>
                <c:pt idx="30">
                  <c:v>91.693180089999203</c:v>
                </c:pt>
                <c:pt idx="31">
                  <c:v>92.012244166842393</c:v>
                </c:pt>
                <c:pt idx="32">
                  <c:v>92.296110633414301</c:v>
                </c:pt>
                <c:pt idx="33">
                  <c:v>92.486493876530005</c:v>
                </c:pt>
                <c:pt idx="34">
                  <c:v>92.588668084309106</c:v>
                </c:pt>
                <c:pt idx="35">
                  <c:v>92.674236949443895</c:v>
                </c:pt>
                <c:pt idx="36">
                  <c:v>92.850058367300306</c:v>
                </c:pt>
                <c:pt idx="37">
                  <c:v>93.219047915901498</c:v>
                </c:pt>
                <c:pt idx="38">
                  <c:v>93.803424237701506</c:v>
                </c:pt>
                <c:pt idx="39">
                  <c:v>94.547218364840603</c:v>
                </c:pt>
                <c:pt idx="40">
                  <c:v>95.336723540108693</c:v>
                </c:pt>
                <c:pt idx="41">
                  <c:v>96.039858546281096</c:v>
                </c:pt>
                <c:pt idx="42">
                  <c:v>96.646910782081207</c:v>
                </c:pt>
                <c:pt idx="43">
                  <c:v>97.198827839824503</c:v>
                </c:pt>
                <c:pt idx="44">
                  <c:v>97.758343829440307</c:v>
                </c:pt>
                <c:pt idx="45">
                  <c:v>98.371699405204893</c:v>
                </c:pt>
                <c:pt idx="46">
                  <c:v>99.006999040661597</c:v>
                </c:pt>
                <c:pt idx="47">
                  <c:v>99.643083596599098</c:v>
                </c:pt>
                <c:pt idx="48">
                  <c:v>100.249241302974</c:v>
                </c:pt>
                <c:pt idx="49">
                  <c:v>100.786372607738</c:v>
                </c:pt>
                <c:pt idx="50">
                  <c:v>101.231988670162</c:v>
                </c:pt>
                <c:pt idx="51">
                  <c:v>101.592122202756</c:v>
                </c:pt>
                <c:pt idx="52">
                  <c:v>101.86842239060501</c:v>
                </c:pt>
                <c:pt idx="53">
                  <c:v>102.065238906601</c:v>
                </c:pt>
                <c:pt idx="54">
                  <c:v>102.197109365779</c:v>
                </c:pt>
                <c:pt idx="55">
                  <c:v>102.31569575240199</c:v>
                </c:pt>
                <c:pt idx="56">
                  <c:v>102.51107220054099</c:v>
                </c:pt>
                <c:pt idx="57">
                  <c:v>102.77771114306201</c:v>
                </c:pt>
                <c:pt idx="58">
                  <c:v>103.094660714947</c:v>
                </c:pt>
                <c:pt idx="59">
                  <c:v>103.41235419671899</c:v>
                </c:pt>
                <c:pt idx="60">
                  <c:v>103.633868140987</c:v>
                </c:pt>
                <c:pt idx="61">
                  <c:v>103.708384920246</c:v>
                </c:pt>
                <c:pt idx="62">
                  <c:v>103.64206384701799</c:v>
                </c:pt>
                <c:pt idx="63">
                  <c:v>103.49254435346801</c:v>
                </c:pt>
                <c:pt idx="64">
                  <c:v>103.35895377145501</c:v>
                </c:pt>
                <c:pt idx="65">
                  <c:v>103.347604759555</c:v>
                </c:pt>
              </c:numCache>
            </c:numRef>
          </c:val>
          <c:smooth val="0"/>
          <c:extLst>
            <c:ext xmlns:c16="http://schemas.microsoft.com/office/drawing/2014/chart" uri="{C3380CC4-5D6E-409C-BE32-E72D297353CC}">
              <c16:uniqueId val="{00000001-21C5-408E-9583-C167B630844D}"/>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10"/>
          <c:min val="7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75000"/>
            </a:schemeClr>
          </a:solidFill>
        </a:ln>
      </c:spPr>
    </c:plotArea>
    <c:legend>
      <c:legendPos val="b"/>
      <c:layout>
        <c:manualLayout>
          <c:xMode val="edge"/>
          <c:yMode val="edge"/>
          <c:x val="0.12757976807034538"/>
          <c:y val="0.9359067518870583"/>
          <c:w val="0.78343655439478144"/>
          <c:h val="2.987520364723801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77979174549588048"/>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'!$K$5:$K$70</c:f>
              <c:numCache>
                <c:formatCode>0.0</c:formatCode>
                <c:ptCount val="66"/>
                <c:pt idx="0">
                  <c:v>98.6606277946304</c:v>
                </c:pt>
                <c:pt idx="1">
                  <c:v>99.053582542695906</c:v>
                </c:pt>
                <c:pt idx="2">
                  <c:v>102.439277290577</c:v>
                </c:pt>
                <c:pt idx="3">
                  <c:v>98.278624136448698</c:v>
                </c:pt>
                <c:pt idx="4">
                  <c:v>98.115384300017695</c:v>
                </c:pt>
                <c:pt idx="5">
                  <c:v>99.585374427023496</c:v>
                </c:pt>
                <c:pt idx="6">
                  <c:v>97.684357300325104</c:v>
                </c:pt>
                <c:pt idx="7">
                  <c:v>100.917340178508</c:v>
                </c:pt>
                <c:pt idx="8">
                  <c:v>102.53319504976901</c:v>
                </c:pt>
                <c:pt idx="9">
                  <c:v>100.01804665623899</c:v>
                </c:pt>
                <c:pt idx="10">
                  <c:v>101.379123607867</c:v>
                </c:pt>
                <c:pt idx="11">
                  <c:v>101.88730356172999</c:v>
                </c:pt>
                <c:pt idx="12">
                  <c:v>104.13267678593201</c:v>
                </c:pt>
                <c:pt idx="13">
                  <c:v>104.145537986487</c:v>
                </c:pt>
                <c:pt idx="14">
                  <c:v>98.029091929371504</c:v>
                </c:pt>
                <c:pt idx="15">
                  <c:v>102.44553221170101</c:v>
                </c:pt>
                <c:pt idx="16">
                  <c:v>98.926762750137499</c:v>
                </c:pt>
                <c:pt idx="17">
                  <c:v>99.414358909182795</c:v>
                </c:pt>
                <c:pt idx="18">
                  <c:v>103.204893704352</c:v>
                </c:pt>
                <c:pt idx="19">
                  <c:v>101.52305550298399</c:v>
                </c:pt>
                <c:pt idx="20">
                  <c:v>103.330762390586</c:v>
                </c:pt>
                <c:pt idx="21">
                  <c:v>108.107550361059</c:v>
                </c:pt>
                <c:pt idx="22">
                  <c:v>104.905122709824</c:v>
                </c:pt>
                <c:pt idx="23">
                  <c:v>102.54505871654</c:v>
                </c:pt>
                <c:pt idx="24">
                  <c:v>101.828950001373</c:v>
                </c:pt>
                <c:pt idx="25">
                  <c:v>101.27151834539301</c:v>
                </c:pt>
                <c:pt idx="26">
                  <c:v>84.536988607690603</c:v>
                </c:pt>
                <c:pt idx="27">
                  <c:v>71.440786428868407</c:v>
                </c:pt>
                <c:pt idx="28">
                  <c:v>67.0151195567408</c:v>
                </c:pt>
                <c:pt idx="29">
                  <c:v>71.734281895016807</c:v>
                </c:pt>
                <c:pt idx="30">
                  <c:v>80.4953055680907</c:v>
                </c:pt>
                <c:pt idx="31">
                  <c:v>90.750927290954195</c:v>
                </c:pt>
                <c:pt idx="32">
                  <c:v>92.178479769137496</c:v>
                </c:pt>
                <c:pt idx="33">
                  <c:v>93.803730060513402</c:v>
                </c:pt>
                <c:pt idx="34">
                  <c:v>103.636768805407</c:v>
                </c:pt>
                <c:pt idx="35">
                  <c:v>106.61204872237499</c:v>
                </c:pt>
                <c:pt idx="36">
                  <c:v>109.542715276322</c:v>
                </c:pt>
                <c:pt idx="37">
                  <c:v>106.12690587665701</c:v>
                </c:pt>
                <c:pt idx="38">
                  <c:v>111.347257678082</c:v>
                </c:pt>
                <c:pt idx="39">
                  <c:v>108.09210204850299</c:v>
                </c:pt>
                <c:pt idx="40">
                  <c:v>114.063830194932</c:v>
                </c:pt>
                <c:pt idx="41">
                  <c:v>111.52154773056699</c:v>
                </c:pt>
                <c:pt idx="42">
                  <c:v>115.104621780258</c:v>
                </c:pt>
                <c:pt idx="43">
                  <c:v>114.503831847154</c:v>
                </c:pt>
                <c:pt idx="44">
                  <c:v>114.970538234597</c:v>
                </c:pt>
                <c:pt idx="45">
                  <c:v>118.505962507725</c:v>
                </c:pt>
                <c:pt idx="46">
                  <c:v>117.523280365392</c:v>
                </c:pt>
                <c:pt idx="47">
                  <c:v>121.48442453760001</c:v>
                </c:pt>
                <c:pt idx="48">
                  <c:v>114.910901461538</c:v>
                </c:pt>
                <c:pt idx="49">
                  <c:v>127.912648472787</c:v>
                </c:pt>
                <c:pt idx="50">
                  <c:v>125.393733970312</c:v>
                </c:pt>
                <c:pt idx="51">
                  <c:v>127.6554655914</c:v>
                </c:pt>
                <c:pt idx="52">
                  <c:v>125.815051391514</c:v>
                </c:pt>
                <c:pt idx="53">
                  <c:v>128.33630276767801</c:v>
                </c:pt>
                <c:pt idx="54">
                  <c:v>127.16037684598599</c:v>
                </c:pt>
                <c:pt idx="55">
                  <c:v>127.788325732426</c:v>
                </c:pt>
                <c:pt idx="56">
                  <c:v>130.865970002583</c:v>
                </c:pt>
                <c:pt idx="57">
                  <c:v>128.75227818240799</c:v>
                </c:pt>
                <c:pt idx="58">
                  <c:v>127.37199220858</c:v>
                </c:pt>
                <c:pt idx="59">
                  <c:v>127.696943848215</c:v>
                </c:pt>
                <c:pt idx="60">
                  <c:v>144.14066962974999</c:v>
                </c:pt>
                <c:pt idx="61">
                  <c:v>137.99599619231799</c:v>
                </c:pt>
                <c:pt idx="62">
                  <c:v>143.59746671306101</c:v>
                </c:pt>
                <c:pt idx="63">
                  <c:v>147.68988058601701</c:v>
                </c:pt>
                <c:pt idx="64">
                  <c:v>151.59372434219301</c:v>
                </c:pt>
                <c:pt idx="65">
                  <c:v>155.186942301595</c:v>
                </c:pt>
              </c:numCache>
            </c:numRef>
          </c:val>
          <c:extLst>
            <c:ext xmlns:c16="http://schemas.microsoft.com/office/drawing/2014/chart" uri="{C3380CC4-5D6E-409C-BE32-E72D297353CC}">
              <c16:uniqueId val="{00000000-8121-496E-A05D-F0E0B7ECEDD4}"/>
            </c:ext>
          </c:extLst>
        </c:ser>
        <c:dLbls>
          <c:showLegendKey val="0"/>
          <c:showVal val="0"/>
          <c:showCatName val="0"/>
          <c:showSerName val="0"/>
          <c:showPercent val="0"/>
          <c:showBubbleSize val="0"/>
        </c:dLbls>
        <c:gapWidth val="7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'!$L$5:$L$70</c:f>
              <c:numCache>
                <c:formatCode>0.0</c:formatCode>
                <c:ptCount val="66"/>
                <c:pt idx="0">
                  <c:v>99.018108130321494</c:v>
                </c:pt>
                <c:pt idx="1">
                  <c:v>99.330825971842302</c:v>
                </c:pt>
                <c:pt idx="2">
                  <c:v>99.456186768026996</c:v>
                </c:pt>
                <c:pt idx="3">
                  <c:v>99.317113378711099</c:v>
                </c:pt>
                <c:pt idx="4">
                  <c:v>99.148173706036005</c:v>
                </c:pt>
                <c:pt idx="5">
                  <c:v>99.181462800304999</c:v>
                </c:pt>
                <c:pt idx="6">
                  <c:v>99.455615282921499</c:v>
                </c:pt>
                <c:pt idx="7">
                  <c:v>99.930277522031403</c:v>
                </c:pt>
                <c:pt idx="8">
                  <c:v>100.690436306927</c:v>
                </c:pt>
                <c:pt idx="9">
                  <c:v>101.46858635085199</c:v>
                </c:pt>
                <c:pt idx="10">
                  <c:v>102.05393688069999</c:v>
                </c:pt>
                <c:pt idx="11">
                  <c:v>102.398580586359</c:v>
                </c:pt>
                <c:pt idx="12">
                  <c:v>102.332829890111</c:v>
                </c:pt>
                <c:pt idx="13">
                  <c:v>101.909911046454</c:v>
                </c:pt>
                <c:pt idx="14">
                  <c:v>101.31924690187201</c:v>
                </c:pt>
                <c:pt idx="15">
                  <c:v>100.651255620505</c:v>
                </c:pt>
                <c:pt idx="16">
                  <c:v>100.29399327438099</c:v>
                </c:pt>
                <c:pt idx="17">
                  <c:v>100.652568754426</c:v>
                </c:pt>
                <c:pt idx="18">
                  <c:v>101.69229940999</c:v>
                </c:pt>
                <c:pt idx="19">
                  <c:v>103.02494726412</c:v>
                </c:pt>
                <c:pt idx="20">
                  <c:v>104.058314000964</c:v>
                </c:pt>
                <c:pt idx="21">
                  <c:v>104.42093019367201</c:v>
                </c:pt>
                <c:pt idx="22">
                  <c:v>104.131057244861</c:v>
                </c:pt>
                <c:pt idx="23">
                  <c:v>103.40141957196199</c:v>
                </c:pt>
                <c:pt idx="24">
                  <c:v>102.83262349997401</c:v>
                </c:pt>
                <c:pt idx="25">
                  <c:v>102.85413533492</c:v>
                </c:pt>
                <c:pt idx="26">
                  <c:v>84.816944502743993</c:v>
                </c:pt>
                <c:pt idx="27">
                  <c:v>85.998639394465798</c:v>
                </c:pt>
                <c:pt idx="28">
                  <c:v>87.254163378630395</c:v>
                </c:pt>
                <c:pt idx="29">
                  <c:v>88.321381945116002</c:v>
                </c:pt>
                <c:pt idx="30">
                  <c:v>89.453749381456404</c:v>
                </c:pt>
                <c:pt idx="31">
                  <c:v>91.208335976729998</c:v>
                </c:pt>
                <c:pt idx="32">
                  <c:v>93.821782332773594</c:v>
                </c:pt>
                <c:pt idx="33">
                  <c:v>97.285880558447005</c:v>
                </c:pt>
                <c:pt idx="34">
                  <c:v>101.043052118083</c:v>
                </c:pt>
                <c:pt idx="35">
                  <c:v>104.51737769801299</c:v>
                </c:pt>
                <c:pt idx="36">
                  <c:v>107.199305281311</c:v>
                </c:pt>
                <c:pt idx="37">
                  <c:v>108.969679146453</c:v>
                </c:pt>
                <c:pt idx="38">
                  <c:v>110.068013682078</c:v>
                </c:pt>
                <c:pt idx="39">
                  <c:v>110.847249074966</c:v>
                </c:pt>
                <c:pt idx="40">
                  <c:v>111.71972317635201</c:v>
                </c:pt>
                <c:pt idx="41">
                  <c:v>112.77313525162</c:v>
                </c:pt>
                <c:pt idx="42">
                  <c:v>113.83839957934801</c:v>
                </c:pt>
                <c:pt idx="43">
                  <c:v>114.824315446998</c:v>
                </c:pt>
                <c:pt idx="44">
                  <c:v>115.924389831819</c:v>
                </c:pt>
                <c:pt idx="45">
                  <c:v>117.370854533095</c:v>
                </c:pt>
                <c:pt idx="46">
                  <c:v>119.189426941704</c:v>
                </c:pt>
                <c:pt idx="47">
                  <c:v>121.2721273372</c:v>
                </c:pt>
                <c:pt idx="48">
                  <c:v>123.28434364490499</c:v>
                </c:pt>
                <c:pt idx="49">
                  <c:v>125.01711735085399</c:v>
                </c:pt>
                <c:pt idx="50">
                  <c:v>126.186998662767</c:v>
                </c:pt>
                <c:pt idx="51">
                  <c:v>126.88206132232899</c:v>
                </c:pt>
                <c:pt idx="52">
                  <c:v>127.32182714573899</c:v>
                </c:pt>
                <c:pt idx="53">
                  <c:v>127.67487340552999</c:v>
                </c:pt>
                <c:pt idx="54">
                  <c:v>127.95138957861499</c:v>
                </c:pt>
                <c:pt idx="55">
                  <c:v>128.06579900738399</c:v>
                </c:pt>
                <c:pt idx="56">
                  <c:v>128.06947639286</c:v>
                </c:pt>
                <c:pt idx="57">
                  <c:v>128.19218787726899</c:v>
                </c:pt>
                <c:pt idx="58">
                  <c:v>128.96070163252199</c:v>
                </c:pt>
                <c:pt idx="59">
                  <c:v>130.76356148363999</c:v>
                </c:pt>
                <c:pt idx="60">
                  <c:v>133.810052614325</c:v>
                </c:pt>
                <c:pt idx="61">
                  <c:v>137.872141893682</c:v>
                </c:pt>
                <c:pt idx="62">
                  <c:v>142.55703254071901</c:v>
                </c:pt>
                <c:pt idx="63">
                  <c:v>147.25962680635399</c:v>
                </c:pt>
                <c:pt idx="64">
                  <c:v>151.45016887533399</c:v>
                </c:pt>
                <c:pt idx="65">
                  <c:v>155.053837774469</c:v>
                </c:pt>
              </c:numCache>
            </c:numRef>
          </c:val>
          <c:smooth val="0"/>
          <c:extLst>
            <c:ext xmlns:c16="http://schemas.microsoft.com/office/drawing/2014/chart" uri="{C3380CC4-5D6E-409C-BE32-E72D297353CC}">
              <c16:uniqueId val="{00000001-8121-496E-A05D-F0E0B7ECEDD4}"/>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65"/>
          <c:min val="6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20"/>
        <c:minorUnit val="4"/>
      </c:valAx>
      <c:spPr>
        <a:noFill/>
        <a:ln w="6350">
          <a:solidFill>
            <a:schemeClr val="bg1">
              <a:lumMod val="75000"/>
            </a:schemeClr>
          </a:solidFill>
        </a:ln>
      </c:spPr>
    </c:plotArea>
    <c:legend>
      <c:legendPos val="b"/>
      <c:layout>
        <c:manualLayout>
          <c:xMode val="edge"/>
          <c:yMode val="edge"/>
          <c:x val="0.11847638888888889"/>
          <c:y val="0.94170296340012194"/>
          <c:w val="0.78343655439478144"/>
          <c:h val="3.0045932746058067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2646-748E-424C-AB7F-B99AD530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1809</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Noviembre de 2022.</cp:keywords>
  <dc:description/>
  <cp:lastModifiedBy>MORONES RUIZ FABIOLA CRISTINA</cp:lastModifiedBy>
  <cp:revision>4</cp:revision>
  <cp:lastPrinted>2023-01-27T02:03:00Z</cp:lastPrinted>
  <dcterms:created xsi:type="dcterms:W3CDTF">2023-09-01T20:43:00Z</dcterms:created>
  <dcterms:modified xsi:type="dcterms:W3CDTF">2023-09-01T23:12:00Z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a9ba4a3e2c80ae64050aeb4d163597ff795a57b22153528b48fbf80ec1a9b760</vt:lpwstr>
  </property>
</Properties>
</file>