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A0F1" w14:textId="5C3B8C4F" w:rsidR="00C162AB" w:rsidRDefault="00C162AB" w:rsidP="003A7CDE">
      <w:pPr>
        <w:pStyle w:val="Encabezado"/>
        <w:widowControl/>
        <w:tabs>
          <w:tab w:val="clear" w:pos="4320"/>
          <w:tab w:val="clear" w:pos="8640"/>
          <w:tab w:val="right" w:pos="8838"/>
        </w:tabs>
        <w:ind w:hanging="11"/>
        <w:jc w:val="center"/>
        <w:rPr>
          <w:b/>
          <w:smallCaps/>
          <w:spacing w:val="25"/>
          <w:sz w:val="28"/>
        </w:rPr>
      </w:pPr>
      <w:r w:rsidRPr="003C0955">
        <w:rPr>
          <w:noProof/>
          <w:color w:val="244061" w:themeColor="accent1" w:themeShade="80"/>
          <w:lang w:eastAsia="es-MX"/>
        </w:rPr>
        <mc:AlternateContent>
          <mc:Choice Requires="wps">
            <w:drawing>
              <wp:anchor distT="45720" distB="45720" distL="114300" distR="114300" simplePos="0" relativeHeight="251660288" behindDoc="0" locked="0" layoutInCell="1" allowOverlap="1" wp14:anchorId="028D162B" wp14:editId="749FA437">
                <wp:simplePos x="0" y="0"/>
                <wp:positionH relativeFrom="margin">
                  <wp:posOffset>3067050</wp:posOffset>
                </wp:positionH>
                <wp:positionV relativeFrom="paragraph">
                  <wp:posOffset>44450</wp:posOffset>
                </wp:positionV>
                <wp:extent cx="3336290" cy="266700"/>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0C1F241A" w14:textId="72DA95DA" w:rsidR="00C162AB" w:rsidRPr="00B30160" w:rsidRDefault="00C162AB" w:rsidP="00C162AB">
                            <w:pPr>
                              <w:jc w:val="right"/>
                              <w:rPr>
                                <w:rFonts w:ascii="Arial Negrita" w:hAnsi="Arial Negrita" w:cs="Arial"/>
                                <w:color w:val="07BFBA"/>
                              </w:rPr>
                            </w:pPr>
                            <w:r w:rsidRPr="00B30160">
                              <w:rPr>
                                <w:rFonts w:ascii="Arial Negrita" w:hAnsi="Arial Negrita" w:cs="Arial"/>
                                <w:color w:val="07BFBA"/>
                              </w:rPr>
                              <w:t xml:space="preserve">Próxima publicación: </w:t>
                            </w:r>
                            <w:r>
                              <w:rPr>
                                <w:rFonts w:ascii="Arial Negrita" w:hAnsi="Arial Negrita"/>
                                <w:b/>
                                <w:bCs/>
                                <w:color w:val="07BFBA"/>
                              </w:rPr>
                              <w:t>3</w:t>
                            </w:r>
                            <w:r w:rsidRPr="00B30160">
                              <w:rPr>
                                <w:rFonts w:ascii="Arial Negrita" w:hAnsi="Arial Negrita" w:cs="Arial"/>
                                <w:b/>
                                <w:bCs/>
                                <w:color w:val="07BFBA"/>
                              </w:rPr>
                              <w:t xml:space="preserve"> de </w:t>
                            </w:r>
                            <w:r>
                              <w:rPr>
                                <w:rFonts w:ascii="Arial Negrita" w:hAnsi="Arial Negrita"/>
                                <w:b/>
                                <w:bCs/>
                                <w:color w:val="07BFBA"/>
                              </w:rPr>
                              <w:t>noviembre</w:t>
                            </w:r>
                          </w:p>
                          <w:p w14:paraId="21B8B684" w14:textId="77777777" w:rsidR="00C162AB" w:rsidRDefault="00C162AB" w:rsidP="00C162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8D162B" id="_x0000_t202" coordsize="21600,21600" o:spt="202" path="m,l,21600r21600,l21600,xe">
                <v:stroke joinstyle="miter"/>
                <v:path gradientshapeok="t" o:connecttype="rect"/>
              </v:shapetype>
              <v:shape id="Cuadro de texto 610586331" o:spid="_x0000_s1026" type="#_x0000_t202" style="position:absolute;left:0;text-align:left;margin-left:241.5pt;margin-top:3.5pt;width:262.7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ZN+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" filled="f" stroked="f">
                <v:textbox>
                  <w:txbxContent>
                    <w:p w14:paraId="0C1F241A" w14:textId="72DA95DA" w:rsidR="00C162AB" w:rsidRPr="00B30160" w:rsidRDefault="00C162AB" w:rsidP="00C162AB">
                      <w:pPr>
                        <w:jc w:val="right"/>
                        <w:rPr>
                          <w:rFonts w:ascii="Arial Negrita" w:hAnsi="Arial Negrita" w:cs="Arial"/>
                          <w:color w:val="07BFBA"/>
                        </w:rPr>
                      </w:pPr>
                      <w:r w:rsidRPr="00B30160">
                        <w:rPr>
                          <w:rFonts w:ascii="Arial Negrita" w:hAnsi="Arial Negrita" w:cs="Arial"/>
                          <w:color w:val="07BFBA"/>
                        </w:rPr>
                        <w:t xml:space="preserve">Próxima publicación: </w:t>
                      </w:r>
                      <w:r>
                        <w:rPr>
                          <w:rFonts w:ascii="Arial Negrita" w:hAnsi="Arial Negrita"/>
                          <w:b/>
                          <w:bCs/>
                          <w:color w:val="07BFBA"/>
                        </w:rPr>
                        <w:t>3</w:t>
                      </w:r>
                      <w:r w:rsidRPr="00B30160">
                        <w:rPr>
                          <w:rFonts w:ascii="Arial Negrita" w:hAnsi="Arial Negrita" w:cs="Arial"/>
                          <w:b/>
                          <w:bCs/>
                          <w:color w:val="07BFBA"/>
                        </w:rPr>
                        <w:t xml:space="preserve"> de </w:t>
                      </w:r>
                      <w:r>
                        <w:rPr>
                          <w:rFonts w:ascii="Arial Negrita" w:hAnsi="Arial Negrita"/>
                          <w:b/>
                          <w:bCs/>
                          <w:color w:val="07BFBA"/>
                        </w:rPr>
                        <w:t>noviembre</w:t>
                      </w:r>
                    </w:p>
                    <w:p w14:paraId="21B8B684" w14:textId="77777777" w:rsidR="00C162AB" w:rsidRDefault="00C162AB" w:rsidP="00C162AB"/>
                  </w:txbxContent>
                </v:textbox>
                <w10:wrap type="square" anchorx="margin"/>
              </v:shape>
            </w:pict>
          </mc:Fallback>
        </mc:AlternateContent>
      </w:r>
    </w:p>
    <w:p w14:paraId="5EA8A5A8" w14:textId="77777777" w:rsidR="00C162AB" w:rsidRDefault="00C162AB" w:rsidP="003A7CDE">
      <w:pPr>
        <w:pStyle w:val="Encabezado"/>
        <w:widowControl/>
        <w:tabs>
          <w:tab w:val="clear" w:pos="4320"/>
          <w:tab w:val="clear" w:pos="8640"/>
          <w:tab w:val="right" w:pos="8838"/>
        </w:tabs>
        <w:ind w:hanging="11"/>
        <w:jc w:val="center"/>
        <w:rPr>
          <w:b/>
          <w:smallCaps/>
          <w:spacing w:val="25"/>
          <w:sz w:val="28"/>
        </w:rPr>
      </w:pPr>
    </w:p>
    <w:p w14:paraId="0D8167A7" w14:textId="3F9F458A" w:rsidR="00C162AB" w:rsidRDefault="00C162AB" w:rsidP="003A7CDE">
      <w:pPr>
        <w:pStyle w:val="Encabezado"/>
        <w:widowControl/>
        <w:tabs>
          <w:tab w:val="clear" w:pos="4320"/>
          <w:tab w:val="clear" w:pos="8640"/>
          <w:tab w:val="right" w:pos="8838"/>
        </w:tabs>
        <w:ind w:hanging="11"/>
        <w:jc w:val="center"/>
        <w:rPr>
          <w:b/>
          <w:smallCaps/>
          <w:spacing w:val="25"/>
          <w:sz w:val="28"/>
        </w:rPr>
      </w:pPr>
    </w:p>
    <w:p w14:paraId="400944D3" w14:textId="3F04BB8D" w:rsidR="00C162AB" w:rsidRDefault="00C162AB" w:rsidP="003A7CDE">
      <w:pPr>
        <w:pStyle w:val="Encabezado"/>
        <w:widowControl/>
        <w:tabs>
          <w:tab w:val="clear" w:pos="4320"/>
          <w:tab w:val="clear" w:pos="8640"/>
          <w:tab w:val="right" w:pos="8838"/>
        </w:tabs>
        <w:ind w:hanging="11"/>
        <w:jc w:val="center"/>
        <w:rPr>
          <w:b/>
          <w:smallCaps/>
          <w:spacing w:val="25"/>
          <w:sz w:val="28"/>
        </w:rPr>
      </w:pPr>
    </w:p>
    <w:p w14:paraId="471A8FE6" w14:textId="33A0EF4E" w:rsidR="00607F23" w:rsidRPr="00C162AB" w:rsidRDefault="00607F23" w:rsidP="003A7CDE">
      <w:pPr>
        <w:pStyle w:val="Encabezado"/>
        <w:widowControl/>
        <w:tabs>
          <w:tab w:val="clear" w:pos="4320"/>
          <w:tab w:val="clear" w:pos="8640"/>
          <w:tab w:val="right" w:pos="8838"/>
        </w:tabs>
        <w:ind w:hanging="11"/>
        <w:jc w:val="center"/>
        <w:rPr>
          <w:rFonts w:ascii="Arial Negrita" w:hAnsi="Arial Negrita"/>
          <w:caps/>
        </w:rPr>
      </w:pPr>
      <w:r w:rsidRPr="00C162AB">
        <w:rPr>
          <w:rFonts w:ascii="Arial Negrita" w:hAnsi="Arial Negrita"/>
          <w:b/>
          <w:caps/>
        </w:rPr>
        <w:t>INDICADOR MENSUAL DEL CONSUMO</w:t>
      </w:r>
      <w:r w:rsidR="003A7CDE" w:rsidRPr="00C162AB">
        <w:rPr>
          <w:rFonts w:ascii="Arial Negrita" w:hAnsi="Arial Negrita"/>
          <w:b/>
          <w:caps/>
        </w:rPr>
        <w:t xml:space="preserve"> PRIVADO</w:t>
      </w:r>
    </w:p>
    <w:p w14:paraId="610F4657" w14:textId="3D80313E" w:rsidR="00607F23" w:rsidRPr="00C162AB" w:rsidRDefault="00664E07" w:rsidP="00664E07">
      <w:pPr>
        <w:pStyle w:val="Profesin"/>
        <w:rPr>
          <w:b w:val="0"/>
          <w:caps w:val="0"/>
          <w:sz w:val="24"/>
          <w:lang w:val="es-MX"/>
        </w:rPr>
      </w:pPr>
      <w:r w:rsidRPr="00C162AB">
        <w:rPr>
          <w:b w:val="0"/>
          <w:caps w:val="0"/>
          <w:sz w:val="24"/>
          <w:lang w:val="es-MX"/>
        </w:rPr>
        <w:t>Julio de 2023</w:t>
      </w:r>
    </w:p>
    <w:p w14:paraId="03D19256" w14:textId="37102035" w:rsidR="00607F23" w:rsidRDefault="000942A4" w:rsidP="00C162AB">
      <w:pPr>
        <w:pStyle w:val="bullet"/>
        <w:widowControl w:val="0"/>
        <w:tabs>
          <w:tab w:val="clear" w:pos="7939"/>
          <w:tab w:val="left" w:pos="7230"/>
        </w:tabs>
        <w:ind w:left="0" w:right="51" w:firstLine="0"/>
        <w:rPr>
          <w:b w:val="0"/>
          <w:sz w:val="24"/>
          <w:lang w:val="es-MX"/>
        </w:rPr>
      </w:pPr>
      <w:r w:rsidRPr="00C162AB">
        <w:rPr>
          <w:b w:val="0"/>
          <w:sz w:val="24"/>
          <w:lang w:val="es-MX"/>
        </w:rPr>
        <w:t xml:space="preserve">En </w:t>
      </w:r>
      <w:r w:rsidR="00871BD5" w:rsidRPr="00C162AB">
        <w:rPr>
          <w:b w:val="0"/>
          <w:sz w:val="24"/>
          <w:lang w:val="es-MX"/>
        </w:rPr>
        <w:t>ju</w:t>
      </w:r>
      <w:r w:rsidR="00664E07" w:rsidRPr="00C162AB">
        <w:rPr>
          <w:b w:val="0"/>
          <w:sz w:val="24"/>
          <w:lang w:val="es-MX"/>
        </w:rPr>
        <w:t>l</w:t>
      </w:r>
      <w:r w:rsidR="00871BD5" w:rsidRPr="00C162AB">
        <w:rPr>
          <w:b w:val="0"/>
          <w:sz w:val="24"/>
          <w:lang w:val="es-MX"/>
        </w:rPr>
        <w:t>io</w:t>
      </w:r>
      <w:r w:rsidRPr="00C162AB">
        <w:rPr>
          <w:b w:val="0"/>
          <w:sz w:val="24"/>
          <w:lang w:val="es-MX"/>
        </w:rPr>
        <w:t xml:space="preserve"> de 202</w:t>
      </w:r>
      <w:r w:rsidR="00F70D52" w:rsidRPr="00C162AB">
        <w:rPr>
          <w:b w:val="0"/>
          <w:sz w:val="24"/>
          <w:lang w:val="es-MX"/>
        </w:rPr>
        <w:t>3</w:t>
      </w:r>
      <w:r w:rsidRPr="00C162AB">
        <w:rPr>
          <w:b w:val="0"/>
          <w:sz w:val="24"/>
          <w:lang w:val="es-MX"/>
        </w:rPr>
        <w:t xml:space="preserve"> y c</w:t>
      </w:r>
      <w:r w:rsidR="004C03EA" w:rsidRPr="00C162AB">
        <w:rPr>
          <w:b w:val="0"/>
          <w:sz w:val="24"/>
          <w:lang w:val="es-MX"/>
        </w:rPr>
        <w:t>on cifras desestacionalizadas</w:t>
      </w:r>
      <w:r w:rsidR="00176079" w:rsidRPr="00C162AB">
        <w:rPr>
          <w:b w:val="0"/>
          <w:sz w:val="24"/>
          <w:lang w:val="es-MX"/>
        </w:rPr>
        <w:t>,</w:t>
      </w:r>
      <w:r w:rsidR="004C03EA" w:rsidRPr="00C162AB">
        <w:rPr>
          <w:b w:val="0"/>
          <w:sz w:val="24"/>
          <w:lang w:val="es-MX"/>
        </w:rPr>
        <w:t xml:space="preserve"> e</w:t>
      </w:r>
      <w:r w:rsidR="00607F23" w:rsidRPr="00C162AB">
        <w:rPr>
          <w:b w:val="0"/>
          <w:sz w:val="24"/>
          <w:lang w:val="es-MX"/>
        </w:rPr>
        <w:t xml:space="preserve">l </w:t>
      </w:r>
      <w:bookmarkStart w:id="0" w:name="_Hlk144306694"/>
      <w:r w:rsidR="000B68EF" w:rsidRPr="00C162AB">
        <w:rPr>
          <w:b w:val="0"/>
          <w:sz w:val="24"/>
          <w:lang w:val="es-MX"/>
        </w:rPr>
        <w:t>Indicador Mensual del Consumo Privado (</w:t>
      </w:r>
      <w:r w:rsidR="00607F23" w:rsidRPr="00C162AB">
        <w:rPr>
          <w:b w:val="0"/>
          <w:sz w:val="24"/>
          <w:lang w:val="es-MX"/>
        </w:rPr>
        <w:t>IMCP</w:t>
      </w:r>
      <w:bookmarkEnd w:id="0"/>
      <w:r w:rsidR="000B68EF" w:rsidRPr="00C162AB">
        <w:rPr>
          <w:b w:val="0"/>
          <w:sz w:val="24"/>
          <w:lang w:val="es-MX"/>
        </w:rPr>
        <w:t>)</w:t>
      </w:r>
      <w:r w:rsidR="00607F23" w:rsidRPr="00C162AB">
        <w:rPr>
          <w:b w:val="0"/>
          <w:sz w:val="24"/>
          <w:lang w:val="es-MX"/>
        </w:rPr>
        <w:t xml:space="preserve"> </w:t>
      </w:r>
      <w:r w:rsidR="00A1548A" w:rsidRPr="00C162AB">
        <w:rPr>
          <w:b w:val="0"/>
          <w:sz w:val="24"/>
          <w:lang w:val="es-MX"/>
        </w:rPr>
        <w:t>mantuvo el mismo nivel que el mes pasado</w:t>
      </w:r>
      <w:r w:rsidR="007E5CA7" w:rsidRPr="00C162AB">
        <w:rPr>
          <w:b w:val="0"/>
          <w:sz w:val="24"/>
          <w:lang w:val="es-MX"/>
        </w:rPr>
        <w:t>,</w:t>
      </w:r>
      <w:r w:rsidR="00161FB0" w:rsidRPr="00C162AB">
        <w:rPr>
          <w:b w:val="0"/>
          <w:sz w:val="24"/>
          <w:lang w:val="es-MX"/>
        </w:rPr>
        <w:t xml:space="preserve"> </w:t>
      </w:r>
      <w:r w:rsidR="006E2BAA" w:rsidRPr="00C162AB">
        <w:rPr>
          <w:b w:val="0"/>
          <w:sz w:val="24"/>
          <w:lang w:val="es-MX"/>
        </w:rPr>
        <w:t xml:space="preserve">en términos </w:t>
      </w:r>
      <w:r w:rsidR="002553FD" w:rsidRPr="00C162AB">
        <w:rPr>
          <w:b w:val="0"/>
          <w:sz w:val="24"/>
          <w:lang w:val="es-MX"/>
        </w:rPr>
        <w:t>real</w:t>
      </w:r>
      <w:r w:rsidR="006E2BAA" w:rsidRPr="00C162AB">
        <w:rPr>
          <w:b w:val="0"/>
          <w:sz w:val="24"/>
          <w:lang w:val="es-MX"/>
        </w:rPr>
        <w:t>es</w:t>
      </w:r>
      <w:r w:rsidR="004C03EA" w:rsidRPr="00C162AB">
        <w:rPr>
          <w:b w:val="0"/>
          <w:sz w:val="24"/>
          <w:lang w:val="es-MX"/>
        </w:rPr>
        <w:t>.</w:t>
      </w:r>
      <w:r w:rsidR="00607F23" w:rsidRPr="00C162AB">
        <w:rPr>
          <w:b w:val="0"/>
          <w:sz w:val="24"/>
          <w:lang w:val="es-MX"/>
        </w:rPr>
        <w:t xml:space="preserve"> </w:t>
      </w:r>
    </w:p>
    <w:p w14:paraId="654941E1" w14:textId="77777777" w:rsidR="00C162AB" w:rsidRDefault="00C162AB" w:rsidP="00C162AB">
      <w:pPr>
        <w:pStyle w:val="bullet"/>
        <w:widowControl w:val="0"/>
        <w:tabs>
          <w:tab w:val="clear" w:pos="7939"/>
          <w:tab w:val="left" w:pos="7230"/>
        </w:tabs>
        <w:ind w:left="0" w:right="51" w:firstLine="0"/>
        <w:rPr>
          <w:b w:val="0"/>
          <w:sz w:val="24"/>
          <w:lang w:val="es-MX"/>
        </w:rPr>
      </w:pPr>
    </w:p>
    <w:p w14:paraId="1EA8DBF8" w14:textId="77777777" w:rsidR="00C162AB" w:rsidRPr="001D7CCB" w:rsidRDefault="00C162AB" w:rsidP="00C162AB">
      <w:pPr>
        <w:jc w:val="center"/>
        <w:outlineLvl w:val="3"/>
        <w:rPr>
          <w:rFonts w:cs="Arial"/>
          <w:b/>
          <w:smallCaps/>
          <w:sz w:val="22"/>
        </w:rPr>
      </w:pPr>
      <w:r w:rsidRPr="001D7CCB">
        <w:rPr>
          <w:rFonts w:cs="Arial"/>
          <w:b/>
          <w:smallCaps/>
          <w:sz w:val="22"/>
        </w:rPr>
        <w:t xml:space="preserve">Indicador Mensual del Consumo Privado </w:t>
      </w:r>
    </w:p>
    <w:p w14:paraId="4F0B7F4D" w14:textId="77777777" w:rsidR="00C162AB" w:rsidRPr="001D7CCB" w:rsidRDefault="00C162AB" w:rsidP="00C162AB">
      <w:pPr>
        <w:jc w:val="center"/>
        <w:outlineLvl w:val="3"/>
        <w:rPr>
          <w:rFonts w:cs="Arial"/>
          <w:sz w:val="18"/>
          <w:szCs w:val="18"/>
        </w:rPr>
      </w:pPr>
      <w:r w:rsidRPr="001D7CCB">
        <w:rPr>
          <w:rFonts w:cs="Arial"/>
          <w:sz w:val="18"/>
          <w:szCs w:val="18"/>
        </w:rPr>
        <w:t>(Índice 2018=100)</w:t>
      </w:r>
    </w:p>
    <w:p w14:paraId="071F8E62" w14:textId="77777777" w:rsidR="00C162AB" w:rsidRPr="001D7CCB" w:rsidRDefault="00C162AB" w:rsidP="00C162AB">
      <w:pPr>
        <w:jc w:val="center"/>
        <w:rPr>
          <w:rFonts w:cs="Arial"/>
          <w:sz w:val="18"/>
          <w:szCs w:val="18"/>
        </w:rPr>
      </w:pPr>
      <w:r w:rsidRPr="001D7CCB">
        <w:rPr>
          <w:noProof/>
        </w:rPr>
        <w:drawing>
          <wp:inline distT="0" distB="0" distL="0" distR="0" wp14:anchorId="5B14BD24" wp14:editId="45A90224">
            <wp:extent cx="5040000" cy="2880000"/>
            <wp:effectExtent l="0" t="0" r="27305" b="15875"/>
            <wp:docPr id="545527277" name="Gráfico 54552727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A5FE2C" w14:textId="77777777" w:rsidR="00C162AB" w:rsidRPr="001D7CCB" w:rsidRDefault="00C162AB" w:rsidP="00C162AB">
      <w:pPr>
        <w:ind w:left="1701" w:right="1185" w:hanging="567"/>
        <w:rPr>
          <w:sz w:val="16"/>
        </w:rPr>
      </w:pPr>
      <w:r w:rsidRPr="001D7CCB">
        <w:rPr>
          <w:color w:val="000000" w:themeColor="text1"/>
          <w:sz w:val="16"/>
          <w:szCs w:val="16"/>
        </w:rPr>
        <w:t>Fuente:</w:t>
      </w:r>
      <w:r w:rsidRPr="001D7CCB">
        <w:rPr>
          <w:color w:val="000000" w:themeColor="text1"/>
          <w:sz w:val="16"/>
          <w:szCs w:val="16"/>
        </w:rPr>
        <w:tab/>
        <w:t xml:space="preserve">INEGI. </w:t>
      </w:r>
      <w:r w:rsidRPr="001D7CCB">
        <w:rPr>
          <w:rFonts w:cs="Arial"/>
          <w:sz w:val="16"/>
        </w:rPr>
        <w:t>Sistema de Cuentas Nacionales de México (SCNM). Indicador Mensual del Consumo Privado (IMCP), 2023.</w:t>
      </w:r>
    </w:p>
    <w:p w14:paraId="301487C2" w14:textId="77777777" w:rsidR="00C162AB" w:rsidRDefault="00C162AB" w:rsidP="00C162AB">
      <w:pPr>
        <w:pStyle w:val="bullet"/>
        <w:widowControl w:val="0"/>
        <w:tabs>
          <w:tab w:val="clear" w:pos="7939"/>
          <w:tab w:val="left" w:pos="7230"/>
        </w:tabs>
        <w:ind w:left="0" w:right="51" w:firstLine="0"/>
        <w:rPr>
          <w:b w:val="0"/>
          <w:sz w:val="24"/>
          <w:lang w:val="es-MX"/>
        </w:rPr>
      </w:pPr>
    </w:p>
    <w:p w14:paraId="19E79ED9" w14:textId="5D59BD6B" w:rsidR="00607F23" w:rsidRPr="00C162AB" w:rsidRDefault="008E0571" w:rsidP="00C162AB">
      <w:pPr>
        <w:pStyle w:val="bullet"/>
        <w:widowControl w:val="0"/>
        <w:tabs>
          <w:tab w:val="clear" w:pos="7939"/>
          <w:tab w:val="left" w:pos="7230"/>
        </w:tabs>
        <w:ind w:left="0" w:right="51" w:firstLine="0"/>
        <w:rPr>
          <w:b w:val="0"/>
          <w:sz w:val="24"/>
          <w:lang w:val="es-MX"/>
        </w:rPr>
      </w:pPr>
      <w:bookmarkStart w:id="1" w:name="_Hlk123837737"/>
      <w:r w:rsidRPr="00C162AB">
        <w:rPr>
          <w:b w:val="0"/>
          <w:sz w:val="24"/>
          <w:lang w:val="es-MX"/>
        </w:rPr>
        <w:t>P</w:t>
      </w:r>
      <w:r w:rsidR="00607F23" w:rsidRPr="00C162AB">
        <w:rPr>
          <w:b w:val="0"/>
          <w:sz w:val="24"/>
          <w:lang w:val="es-MX"/>
        </w:rPr>
        <w:t>or componente</w:t>
      </w:r>
      <w:r w:rsidR="00871BD5" w:rsidRPr="00C162AB">
        <w:rPr>
          <w:b w:val="0"/>
          <w:sz w:val="24"/>
          <w:lang w:val="es-MX"/>
        </w:rPr>
        <w:t xml:space="preserve">, en </w:t>
      </w:r>
      <w:r w:rsidR="004E0D61" w:rsidRPr="00C162AB">
        <w:rPr>
          <w:b w:val="0"/>
          <w:sz w:val="24"/>
          <w:lang w:val="es-MX"/>
        </w:rPr>
        <w:t>ju</w:t>
      </w:r>
      <w:r w:rsidR="00664E07" w:rsidRPr="00C162AB">
        <w:rPr>
          <w:b w:val="0"/>
          <w:sz w:val="24"/>
          <w:lang w:val="es-MX"/>
        </w:rPr>
        <w:t>l</w:t>
      </w:r>
      <w:r w:rsidR="004E0D61" w:rsidRPr="00C162AB">
        <w:rPr>
          <w:b w:val="0"/>
          <w:sz w:val="24"/>
          <w:lang w:val="es-MX"/>
        </w:rPr>
        <w:t xml:space="preserve">io de este año </w:t>
      </w:r>
      <w:r w:rsidRPr="00C162AB">
        <w:rPr>
          <w:b w:val="0"/>
          <w:sz w:val="24"/>
          <w:lang w:val="es-MX"/>
        </w:rPr>
        <w:t>y con datos ajustados por estacionalidad</w:t>
      </w:r>
      <w:r w:rsidR="00FE7475" w:rsidRPr="00C162AB">
        <w:rPr>
          <w:b w:val="0"/>
          <w:sz w:val="24"/>
          <w:lang w:val="es-MX"/>
        </w:rPr>
        <w:t>,</w:t>
      </w:r>
      <w:r w:rsidR="00607F23" w:rsidRPr="00C162AB">
        <w:rPr>
          <w:b w:val="0"/>
          <w:sz w:val="24"/>
          <w:lang w:val="es-MX"/>
        </w:rPr>
        <w:t xml:space="preserve"> </w:t>
      </w:r>
      <w:bookmarkStart w:id="2" w:name="_Hlk141815215"/>
      <w:bookmarkEnd w:id="1"/>
      <w:r w:rsidR="004D6F0A" w:rsidRPr="00C162AB">
        <w:rPr>
          <w:b w:val="0"/>
          <w:sz w:val="24"/>
          <w:lang w:val="es-MX"/>
        </w:rPr>
        <w:t xml:space="preserve">el </w:t>
      </w:r>
      <w:r w:rsidR="00155CA3" w:rsidRPr="00C162AB">
        <w:rPr>
          <w:b w:val="0"/>
          <w:sz w:val="24"/>
          <w:lang w:val="es-MX"/>
        </w:rPr>
        <w:t>consumo</w:t>
      </w:r>
      <w:r w:rsidR="00E477FE" w:rsidRPr="00C162AB">
        <w:rPr>
          <w:b w:val="0"/>
          <w:sz w:val="24"/>
          <w:lang w:val="es-MX"/>
        </w:rPr>
        <w:t xml:space="preserve"> de </w:t>
      </w:r>
      <w:r w:rsidR="00214C3C" w:rsidRPr="00C162AB">
        <w:rPr>
          <w:b w:val="0"/>
          <w:sz w:val="24"/>
          <w:lang w:val="es-MX"/>
        </w:rPr>
        <w:t xml:space="preserve">bienes y servicios de origen nacional </w:t>
      </w:r>
      <w:r w:rsidR="00E477FE" w:rsidRPr="00C162AB">
        <w:rPr>
          <w:b w:val="0"/>
          <w:sz w:val="24"/>
          <w:lang w:val="es-MX"/>
        </w:rPr>
        <w:t xml:space="preserve">ascendió </w:t>
      </w:r>
      <w:r w:rsidR="00214C3C" w:rsidRPr="00C162AB">
        <w:rPr>
          <w:b w:val="0"/>
          <w:sz w:val="24"/>
          <w:lang w:val="es-MX"/>
        </w:rPr>
        <w:t>0.3</w:t>
      </w:r>
      <w:r w:rsidR="00C641E8" w:rsidRPr="00C162AB">
        <w:rPr>
          <w:b w:val="0"/>
          <w:sz w:val="24"/>
          <w:lang w:val="es-MX"/>
        </w:rPr>
        <w:t> </w:t>
      </w:r>
      <w:r w:rsidR="00E477FE" w:rsidRPr="00C162AB">
        <w:rPr>
          <w:b w:val="0"/>
          <w:sz w:val="24"/>
          <w:lang w:val="es-MX"/>
        </w:rPr>
        <w:t xml:space="preserve">% y el de </w:t>
      </w:r>
      <w:r w:rsidR="00BB1FD1" w:rsidRPr="00C162AB">
        <w:rPr>
          <w:b w:val="0"/>
          <w:sz w:val="24"/>
          <w:lang w:val="es-MX"/>
        </w:rPr>
        <w:t xml:space="preserve">bienes de </w:t>
      </w:r>
      <w:r w:rsidR="00214C3C" w:rsidRPr="00C162AB">
        <w:rPr>
          <w:b w:val="0"/>
          <w:sz w:val="24"/>
          <w:lang w:val="es-MX"/>
        </w:rPr>
        <w:t xml:space="preserve">origen importado </w:t>
      </w:r>
      <w:r w:rsidR="00A70346" w:rsidRPr="00C162AB">
        <w:rPr>
          <w:b w:val="0"/>
          <w:sz w:val="24"/>
          <w:lang w:val="es-MX"/>
        </w:rPr>
        <w:t xml:space="preserve">cayó </w:t>
      </w:r>
      <w:r w:rsidR="00214C3C" w:rsidRPr="00C162AB">
        <w:rPr>
          <w:b w:val="0"/>
          <w:sz w:val="24"/>
          <w:lang w:val="es-MX"/>
        </w:rPr>
        <w:t>1</w:t>
      </w:r>
      <w:r w:rsidR="00A70346" w:rsidRPr="00C162AB">
        <w:rPr>
          <w:b w:val="0"/>
          <w:sz w:val="24"/>
          <w:lang w:val="es-MX"/>
        </w:rPr>
        <w:t>.</w:t>
      </w:r>
      <w:r w:rsidR="00E477FE" w:rsidRPr="00C162AB">
        <w:rPr>
          <w:b w:val="0"/>
          <w:sz w:val="24"/>
          <w:lang w:val="es-MX"/>
        </w:rPr>
        <w:t>1</w:t>
      </w:r>
      <w:r w:rsidR="00A70346" w:rsidRPr="00C162AB">
        <w:rPr>
          <w:b w:val="0"/>
          <w:sz w:val="24"/>
          <w:lang w:val="es-MX"/>
        </w:rPr>
        <w:t xml:space="preserve"> </w:t>
      </w:r>
      <w:bookmarkEnd w:id="2"/>
      <w:r w:rsidR="005E0B28" w:rsidRPr="00C162AB">
        <w:rPr>
          <w:b w:val="0"/>
          <w:sz w:val="24"/>
          <w:lang w:val="es-MX"/>
        </w:rPr>
        <w:t>por ciento.</w:t>
      </w:r>
    </w:p>
    <w:p w14:paraId="65C5A7BF" w14:textId="2C80AA2C" w:rsidR="00607F23" w:rsidRPr="00C162AB" w:rsidRDefault="005E0B28" w:rsidP="00C162AB">
      <w:pPr>
        <w:pStyle w:val="bullet"/>
        <w:widowControl w:val="0"/>
        <w:tabs>
          <w:tab w:val="clear" w:pos="7939"/>
          <w:tab w:val="left" w:pos="7230"/>
        </w:tabs>
        <w:ind w:left="0" w:right="51" w:firstLine="0"/>
        <w:rPr>
          <w:b w:val="0"/>
          <w:sz w:val="24"/>
          <w:lang w:val="es-MX"/>
        </w:rPr>
      </w:pPr>
      <w:r w:rsidRPr="00C162AB">
        <w:rPr>
          <w:b w:val="0"/>
          <w:sz w:val="24"/>
          <w:lang w:val="es-MX"/>
        </w:rPr>
        <w:t>A tasa anual y</w:t>
      </w:r>
      <w:r w:rsidR="00F269E7" w:rsidRPr="00C162AB">
        <w:rPr>
          <w:b w:val="0"/>
          <w:sz w:val="24"/>
          <w:lang w:val="es-MX"/>
        </w:rPr>
        <w:t xml:space="preserve"> con s</w:t>
      </w:r>
      <w:r w:rsidR="003F5F6A" w:rsidRPr="00C162AB">
        <w:rPr>
          <w:b w:val="0"/>
          <w:sz w:val="24"/>
          <w:lang w:val="es-MX"/>
        </w:rPr>
        <w:t>eries</w:t>
      </w:r>
      <w:r w:rsidR="00F269E7" w:rsidRPr="00C162AB">
        <w:rPr>
          <w:b w:val="0"/>
          <w:sz w:val="24"/>
          <w:lang w:val="es-MX"/>
        </w:rPr>
        <w:t xml:space="preserve"> desestacionalizad</w:t>
      </w:r>
      <w:r w:rsidR="00065F2C" w:rsidRPr="00C162AB">
        <w:rPr>
          <w:b w:val="0"/>
          <w:sz w:val="24"/>
          <w:lang w:val="es-MX"/>
        </w:rPr>
        <w:t>a</w:t>
      </w:r>
      <w:r w:rsidR="00F269E7" w:rsidRPr="00C162AB">
        <w:rPr>
          <w:b w:val="0"/>
          <w:sz w:val="24"/>
          <w:lang w:val="es-MX"/>
        </w:rPr>
        <w:t>s</w:t>
      </w:r>
      <w:r w:rsidR="00607F23" w:rsidRPr="00C162AB">
        <w:rPr>
          <w:b w:val="0"/>
          <w:sz w:val="24"/>
          <w:lang w:val="es-MX"/>
        </w:rPr>
        <w:t>, el IMCP</w:t>
      </w:r>
      <w:r w:rsidR="003A7CDE" w:rsidRPr="00C162AB">
        <w:rPr>
          <w:b w:val="0"/>
          <w:sz w:val="24"/>
          <w:lang w:val="es-MX"/>
        </w:rPr>
        <w:t xml:space="preserve"> </w:t>
      </w:r>
      <w:r w:rsidR="00155CA3" w:rsidRPr="00C162AB">
        <w:rPr>
          <w:b w:val="0"/>
          <w:sz w:val="24"/>
          <w:lang w:val="es-MX"/>
        </w:rPr>
        <w:t xml:space="preserve">incrementó </w:t>
      </w:r>
      <w:r w:rsidR="00E477FE" w:rsidRPr="00C162AB">
        <w:rPr>
          <w:b w:val="0"/>
          <w:sz w:val="24"/>
          <w:lang w:val="es-MX"/>
        </w:rPr>
        <w:t>4.</w:t>
      </w:r>
      <w:r w:rsidR="00214C3C" w:rsidRPr="00C162AB">
        <w:rPr>
          <w:b w:val="0"/>
          <w:sz w:val="24"/>
          <w:lang w:val="es-MX"/>
        </w:rPr>
        <w:t>3</w:t>
      </w:r>
      <w:r w:rsidR="00155CA3" w:rsidRPr="00C162AB">
        <w:rPr>
          <w:b w:val="0"/>
          <w:sz w:val="24"/>
          <w:lang w:val="es-MX"/>
        </w:rPr>
        <w:t xml:space="preserve"> </w:t>
      </w:r>
      <w:r w:rsidR="00994258" w:rsidRPr="00C162AB">
        <w:rPr>
          <w:b w:val="0"/>
          <w:sz w:val="24"/>
          <w:lang w:val="es-MX"/>
        </w:rPr>
        <w:t>por ciento</w:t>
      </w:r>
      <w:r w:rsidR="008A0BA4" w:rsidRPr="00C162AB">
        <w:rPr>
          <w:b w:val="0"/>
          <w:sz w:val="24"/>
          <w:lang w:val="es-MX"/>
        </w:rPr>
        <w:t xml:space="preserve">. A su interior, </w:t>
      </w:r>
      <w:r w:rsidR="00555FF3" w:rsidRPr="00C162AB">
        <w:rPr>
          <w:b w:val="0"/>
          <w:sz w:val="24"/>
          <w:lang w:val="es-MX"/>
        </w:rPr>
        <w:t xml:space="preserve">el gasto en bienes de origen importado </w:t>
      </w:r>
      <w:r w:rsidR="00E91736" w:rsidRPr="00C162AB">
        <w:rPr>
          <w:b w:val="0"/>
          <w:sz w:val="24"/>
          <w:lang w:val="es-MX"/>
        </w:rPr>
        <w:t>creció</w:t>
      </w:r>
      <w:r w:rsidR="00555FF3" w:rsidRPr="00C162AB">
        <w:rPr>
          <w:b w:val="0"/>
          <w:sz w:val="24"/>
          <w:lang w:val="es-MX"/>
        </w:rPr>
        <w:t xml:space="preserve"> </w:t>
      </w:r>
      <w:r w:rsidR="00214C3C" w:rsidRPr="00C162AB">
        <w:rPr>
          <w:b w:val="0"/>
          <w:sz w:val="24"/>
          <w:lang w:val="es-MX"/>
        </w:rPr>
        <w:t>1</w:t>
      </w:r>
      <w:r w:rsidR="00E477FE" w:rsidRPr="00C162AB">
        <w:rPr>
          <w:b w:val="0"/>
          <w:sz w:val="24"/>
          <w:lang w:val="es-MX"/>
        </w:rPr>
        <w:t>9</w:t>
      </w:r>
      <w:r w:rsidR="00214C3C" w:rsidRPr="00C162AB">
        <w:rPr>
          <w:b w:val="0"/>
          <w:sz w:val="24"/>
          <w:lang w:val="es-MX"/>
        </w:rPr>
        <w:t>.1</w:t>
      </w:r>
      <w:r w:rsidR="00FB78FE" w:rsidRPr="00C162AB">
        <w:rPr>
          <w:b w:val="0"/>
          <w:sz w:val="24"/>
          <w:lang w:val="es-MX"/>
        </w:rPr>
        <w:t> </w:t>
      </w:r>
      <w:r w:rsidR="00555FF3" w:rsidRPr="00C162AB">
        <w:rPr>
          <w:b w:val="0"/>
          <w:sz w:val="24"/>
          <w:lang w:val="es-MX"/>
        </w:rPr>
        <w:t xml:space="preserve">% y </w:t>
      </w:r>
      <w:r w:rsidR="00FE10C0" w:rsidRPr="00C162AB">
        <w:rPr>
          <w:b w:val="0"/>
          <w:sz w:val="24"/>
          <w:lang w:val="es-MX"/>
        </w:rPr>
        <w:t>en bienes y servicios nacionales</w:t>
      </w:r>
      <w:r w:rsidR="00555FF3" w:rsidRPr="00C162AB">
        <w:rPr>
          <w:b w:val="0"/>
          <w:sz w:val="24"/>
          <w:lang w:val="es-MX"/>
        </w:rPr>
        <w:t>,</w:t>
      </w:r>
      <w:r w:rsidR="00214C3C" w:rsidRPr="00C162AB">
        <w:rPr>
          <w:b w:val="0"/>
          <w:sz w:val="24"/>
          <w:lang w:val="es-MX"/>
        </w:rPr>
        <w:t xml:space="preserve"> 1.2</w:t>
      </w:r>
      <w:r w:rsidR="00FB78FE" w:rsidRPr="00C162AB">
        <w:rPr>
          <w:b w:val="0"/>
          <w:sz w:val="24"/>
          <w:lang w:val="es-MX"/>
        </w:rPr>
        <w:t> </w:t>
      </w:r>
      <w:r w:rsidR="00F41067" w:rsidRPr="00C162AB">
        <w:rPr>
          <w:b w:val="0"/>
          <w:sz w:val="24"/>
          <w:lang w:val="es-MX"/>
        </w:rPr>
        <w:t xml:space="preserve">% </w:t>
      </w:r>
      <w:r w:rsidR="00281BE2" w:rsidRPr="00C162AB">
        <w:rPr>
          <w:b w:val="0"/>
          <w:sz w:val="24"/>
          <w:lang w:val="es-MX"/>
        </w:rPr>
        <w:t xml:space="preserve">(el </w:t>
      </w:r>
      <w:r w:rsidR="00A70346" w:rsidRPr="00C162AB">
        <w:rPr>
          <w:b w:val="0"/>
          <w:sz w:val="24"/>
          <w:lang w:val="es-MX"/>
        </w:rPr>
        <w:t xml:space="preserve">de servicios </w:t>
      </w:r>
      <w:r w:rsidR="00C86654" w:rsidRPr="00C162AB">
        <w:rPr>
          <w:b w:val="0"/>
          <w:sz w:val="24"/>
          <w:lang w:val="es-MX"/>
        </w:rPr>
        <w:t>subi</w:t>
      </w:r>
      <w:r w:rsidR="00A70346" w:rsidRPr="00C162AB">
        <w:rPr>
          <w:b w:val="0"/>
          <w:sz w:val="24"/>
          <w:lang w:val="es-MX"/>
        </w:rPr>
        <w:t xml:space="preserve">ó </w:t>
      </w:r>
      <w:r w:rsidR="00214C3C" w:rsidRPr="00C162AB">
        <w:rPr>
          <w:b w:val="0"/>
          <w:sz w:val="24"/>
          <w:lang w:val="es-MX"/>
        </w:rPr>
        <w:t>3</w:t>
      </w:r>
      <w:r w:rsidR="00E477FE" w:rsidRPr="00C162AB">
        <w:rPr>
          <w:b w:val="0"/>
          <w:sz w:val="24"/>
          <w:lang w:val="es-MX"/>
        </w:rPr>
        <w:t>.5</w:t>
      </w:r>
      <w:r w:rsidR="00A70346" w:rsidRPr="00C162AB">
        <w:rPr>
          <w:b w:val="0"/>
          <w:sz w:val="24"/>
          <w:lang w:val="es-MX"/>
        </w:rPr>
        <w:t xml:space="preserve"> % </w:t>
      </w:r>
      <w:r w:rsidR="00281BE2" w:rsidRPr="00C162AB">
        <w:rPr>
          <w:b w:val="0"/>
          <w:sz w:val="24"/>
          <w:lang w:val="es-MX"/>
        </w:rPr>
        <w:t xml:space="preserve">y el </w:t>
      </w:r>
      <w:r w:rsidR="00A70346" w:rsidRPr="00C162AB">
        <w:rPr>
          <w:b w:val="0"/>
          <w:sz w:val="24"/>
          <w:lang w:val="es-MX"/>
        </w:rPr>
        <w:t xml:space="preserve">de bienes retrocedió </w:t>
      </w:r>
      <w:r w:rsidR="00214C3C" w:rsidRPr="00C162AB">
        <w:rPr>
          <w:b w:val="0"/>
          <w:sz w:val="24"/>
          <w:lang w:val="es-MX"/>
        </w:rPr>
        <w:t>0.8</w:t>
      </w:r>
      <w:r w:rsidR="00A70346" w:rsidRPr="00C162AB">
        <w:rPr>
          <w:b w:val="0"/>
          <w:sz w:val="24"/>
          <w:lang w:val="es-MX"/>
        </w:rPr>
        <w:t> %</w:t>
      </w:r>
      <w:r w:rsidR="00281BE2" w:rsidRPr="00C162AB">
        <w:rPr>
          <w:b w:val="0"/>
          <w:sz w:val="24"/>
          <w:lang w:val="es-MX"/>
        </w:rPr>
        <w:t>)</w:t>
      </w:r>
      <w:r w:rsidR="00607F23" w:rsidRPr="00C162AB">
        <w:rPr>
          <w:b w:val="0"/>
          <w:sz w:val="24"/>
          <w:lang w:val="es-MX"/>
        </w:rPr>
        <w:t>.</w:t>
      </w:r>
    </w:p>
    <w:p w14:paraId="37B765F0" w14:textId="77777777" w:rsidR="00C162AB" w:rsidRDefault="00C162AB" w:rsidP="00050594">
      <w:pPr>
        <w:widowControl/>
        <w:spacing w:before="720"/>
      </w:pPr>
    </w:p>
    <w:p w14:paraId="31A24B74" w14:textId="77777777" w:rsidR="00C162AB" w:rsidRDefault="00C162AB" w:rsidP="00C162AB">
      <w:pPr>
        <w:pStyle w:val="p0"/>
        <w:spacing w:before="0"/>
        <w:jc w:val="center"/>
        <w:rPr>
          <w:rFonts w:cs="Arial"/>
          <w:b/>
          <w:smallCaps/>
          <w:color w:val="auto"/>
          <w:sz w:val="22"/>
          <w:szCs w:val="22"/>
        </w:rPr>
      </w:pPr>
    </w:p>
    <w:p w14:paraId="2F90CE4F" w14:textId="77777777" w:rsidR="00C162AB" w:rsidRDefault="00C162AB" w:rsidP="00C162AB">
      <w:pPr>
        <w:pStyle w:val="p0"/>
        <w:spacing w:before="0"/>
        <w:jc w:val="center"/>
        <w:rPr>
          <w:rFonts w:cs="Arial"/>
          <w:b/>
          <w:smallCaps/>
          <w:color w:val="auto"/>
          <w:sz w:val="22"/>
          <w:szCs w:val="22"/>
        </w:rPr>
      </w:pPr>
    </w:p>
    <w:p w14:paraId="630C1705" w14:textId="3A357330" w:rsidR="00C162AB" w:rsidRPr="001D7CCB" w:rsidRDefault="00C162AB" w:rsidP="00C162AB">
      <w:pPr>
        <w:pStyle w:val="p0"/>
        <w:spacing w:before="0"/>
        <w:jc w:val="center"/>
        <w:rPr>
          <w:rFonts w:cs="Arial"/>
          <w:b/>
          <w:smallCaps/>
          <w:color w:val="auto"/>
          <w:sz w:val="20"/>
        </w:rPr>
      </w:pPr>
      <w:r w:rsidRPr="001D7CCB">
        <w:rPr>
          <w:rFonts w:cs="Arial"/>
          <w:b/>
          <w:smallCaps/>
          <w:color w:val="auto"/>
          <w:sz w:val="22"/>
          <w:szCs w:val="22"/>
        </w:rPr>
        <w:t>Variación porcentual mensual y anual</w:t>
      </w:r>
      <w:r w:rsidRPr="001D7CCB">
        <w:rPr>
          <w:rFonts w:cs="Arial"/>
          <w:b/>
          <w:smallCaps/>
          <w:color w:val="auto"/>
          <w:sz w:val="22"/>
          <w:szCs w:val="22"/>
        </w:rPr>
        <w:br/>
        <w:t xml:space="preserve">del Indicador Mensual del Consumo Privado </w:t>
      </w:r>
      <w:r w:rsidRPr="001D7CCB">
        <w:rPr>
          <w:rFonts w:cs="Arial"/>
          <w:b/>
          <w:smallCaps/>
          <w:color w:val="auto"/>
          <w:sz w:val="22"/>
          <w:szCs w:val="22"/>
        </w:rPr>
        <w:br/>
      </w:r>
      <w:r w:rsidRPr="001D7CCB">
        <w:rPr>
          <w:rFonts w:cs="Arial"/>
          <w:b/>
          <w:smallCaps/>
          <w:color w:val="auto"/>
          <w:sz w:val="20"/>
        </w:rPr>
        <w:t xml:space="preserve">cifras desestacionalizadas </w:t>
      </w:r>
    </w:p>
    <w:p w14:paraId="61DC01EA" w14:textId="77777777" w:rsidR="00C162AB" w:rsidRPr="001D7CCB" w:rsidRDefault="00C162AB" w:rsidP="00C162AB">
      <w:pPr>
        <w:pStyle w:val="p0"/>
        <w:spacing w:before="0"/>
        <w:jc w:val="center"/>
        <w:rPr>
          <w:rFonts w:cs="Arial"/>
          <w:b/>
          <w:smallCaps/>
          <w:color w:val="auto"/>
          <w:sz w:val="20"/>
        </w:rPr>
      </w:pPr>
      <w:r w:rsidRPr="001D7CCB">
        <w:rPr>
          <w:rFonts w:cs="Arial"/>
          <w:b/>
          <w:smallCaps/>
          <w:color w:val="auto"/>
          <w:sz w:val="20"/>
        </w:rPr>
        <w:t>julio de 2023</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C162AB" w:rsidRPr="001D7CCB" w14:paraId="64D7B6C5" w14:textId="77777777" w:rsidTr="00CB34E7">
        <w:trPr>
          <w:cantSplit/>
          <w:trHeight w:val="340"/>
          <w:jc w:val="center"/>
        </w:trPr>
        <w:tc>
          <w:tcPr>
            <w:tcW w:w="2834" w:type="dxa"/>
            <w:vMerge w:val="restart"/>
            <w:tcBorders>
              <w:top w:val="single" w:sz="4" w:space="0" w:color="auto"/>
              <w:left w:val="single" w:sz="4" w:space="0" w:color="auto"/>
              <w:bottom w:val="single" w:sz="4" w:space="0" w:color="404040"/>
              <w:right w:val="single" w:sz="4" w:space="0" w:color="404040"/>
            </w:tcBorders>
            <w:shd w:val="clear" w:color="auto" w:fill="C2D69B" w:themeFill="accent3" w:themeFillTint="99"/>
            <w:vAlign w:val="center"/>
            <w:hideMark/>
          </w:tcPr>
          <w:p w14:paraId="50426BD0" w14:textId="77777777" w:rsidR="00C162AB" w:rsidRPr="001D7CCB" w:rsidRDefault="00C162AB" w:rsidP="00CB34E7">
            <w:pPr>
              <w:pStyle w:val="p0"/>
              <w:tabs>
                <w:tab w:val="left" w:pos="546"/>
              </w:tabs>
              <w:spacing w:before="0"/>
              <w:jc w:val="left"/>
              <w:rPr>
                <w:rFonts w:cs="Arial"/>
                <w:color w:val="auto"/>
                <w:sz w:val="18"/>
              </w:rPr>
            </w:pPr>
            <w:r w:rsidRPr="001D7CCB">
              <w:rPr>
                <w:rFonts w:cs="Arial"/>
                <w:color w:val="auto"/>
                <w:sz w:val="18"/>
              </w:rPr>
              <w:t>Consumo de bienes y servicios por origen</w:t>
            </w:r>
          </w:p>
        </w:tc>
        <w:tc>
          <w:tcPr>
            <w:tcW w:w="3530" w:type="dxa"/>
            <w:gridSpan w:val="2"/>
            <w:tcBorders>
              <w:top w:val="single" w:sz="4" w:space="0" w:color="auto"/>
              <w:left w:val="single" w:sz="4" w:space="0" w:color="404040"/>
              <w:bottom w:val="single" w:sz="4" w:space="0" w:color="404040"/>
              <w:right w:val="single" w:sz="4" w:space="0" w:color="auto"/>
            </w:tcBorders>
            <w:shd w:val="clear" w:color="auto" w:fill="C2D69B" w:themeFill="accent3" w:themeFillTint="99"/>
            <w:vAlign w:val="center"/>
            <w:hideMark/>
          </w:tcPr>
          <w:p w14:paraId="1F2EE36E" w14:textId="77777777" w:rsidR="00C162AB" w:rsidRPr="001D7CCB" w:rsidRDefault="00C162AB" w:rsidP="00CB34E7">
            <w:pPr>
              <w:pStyle w:val="p0"/>
              <w:keepNext/>
              <w:spacing w:before="0"/>
              <w:jc w:val="center"/>
              <w:rPr>
                <w:rFonts w:cs="Arial"/>
                <w:color w:val="auto"/>
                <w:sz w:val="18"/>
              </w:rPr>
            </w:pPr>
            <w:r w:rsidRPr="001D7CCB">
              <w:rPr>
                <w:rFonts w:cs="Arial"/>
                <w:color w:val="auto"/>
                <w:sz w:val="18"/>
              </w:rPr>
              <w:t>Variación porcentual real respecto a:</w:t>
            </w:r>
          </w:p>
        </w:tc>
      </w:tr>
      <w:tr w:rsidR="00C162AB" w:rsidRPr="001D7CCB" w14:paraId="6351A6B9" w14:textId="77777777" w:rsidTr="00CB34E7">
        <w:trPr>
          <w:cantSplit/>
          <w:trHeight w:val="510"/>
          <w:jc w:val="center"/>
        </w:trPr>
        <w:tc>
          <w:tcPr>
            <w:tcW w:w="2834" w:type="dxa"/>
            <w:vMerge/>
            <w:tcBorders>
              <w:top w:val="single" w:sz="4" w:space="0" w:color="404040"/>
              <w:left w:val="single" w:sz="4" w:space="0" w:color="auto"/>
              <w:bottom w:val="single" w:sz="4" w:space="0" w:color="404040"/>
              <w:right w:val="single" w:sz="4" w:space="0" w:color="404040"/>
            </w:tcBorders>
            <w:shd w:val="clear" w:color="auto" w:fill="C2D69B" w:themeFill="accent3" w:themeFillTint="99"/>
            <w:vAlign w:val="center"/>
          </w:tcPr>
          <w:p w14:paraId="428B8C2B" w14:textId="77777777" w:rsidR="00C162AB" w:rsidRPr="001D7CCB" w:rsidRDefault="00C162AB" w:rsidP="00CB34E7">
            <w:pPr>
              <w:pStyle w:val="p0"/>
              <w:tabs>
                <w:tab w:val="left" w:pos="546"/>
              </w:tabs>
              <w:spacing w:before="0"/>
              <w:ind w:firstLine="537"/>
              <w:jc w:val="left"/>
              <w:rPr>
                <w:rFonts w:cs="Arial"/>
                <w:color w:val="auto"/>
                <w:sz w:val="18"/>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7E8D16F9" w14:textId="77777777" w:rsidR="00C162AB" w:rsidRPr="001D7CCB" w:rsidRDefault="00C162AB" w:rsidP="00CB34E7">
            <w:pPr>
              <w:pStyle w:val="p0"/>
              <w:keepNext/>
              <w:spacing w:before="0"/>
              <w:jc w:val="center"/>
              <w:rPr>
                <w:rFonts w:cs="Arial"/>
                <w:color w:val="auto"/>
                <w:sz w:val="18"/>
              </w:rPr>
            </w:pPr>
            <w:r w:rsidRPr="001D7CCB">
              <w:rPr>
                <w:rFonts w:cs="Arial"/>
                <w:color w:val="auto"/>
                <w:sz w:val="18"/>
              </w:rPr>
              <w:t>Junio</w:t>
            </w:r>
            <w:r w:rsidRPr="001D7CCB">
              <w:rPr>
                <w:rFonts w:cs="Arial"/>
                <w:color w:val="auto"/>
                <w:sz w:val="18"/>
              </w:rPr>
              <w:br/>
              <w:t>de 2023</w:t>
            </w:r>
          </w:p>
        </w:tc>
        <w:tc>
          <w:tcPr>
            <w:tcW w:w="1765" w:type="dxa"/>
            <w:tcBorders>
              <w:top w:val="single" w:sz="4" w:space="0" w:color="404040"/>
              <w:left w:val="single" w:sz="4" w:space="0" w:color="404040"/>
              <w:bottom w:val="single" w:sz="4" w:space="0" w:color="404040"/>
              <w:right w:val="single" w:sz="4" w:space="0" w:color="auto"/>
            </w:tcBorders>
            <w:shd w:val="clear" w:color="auto" w:fill="C2D69B" w:themeFill="accent3" w:themeFillTint="99"/>
            <w:vAlign w:val="center"/>
          </w:tcPr>
          <w:p w14:paraId="05B747FF" w14:textId="77777777" w:rsidR="00C162AB" w:rsidRPr="001D7CCB" w:rsidRDefault="00C162AB" w:rsidP="00CB34E7">
            <w:pPr>
              <w:pStyle w:val="p0"/>
              <w:keepNext/>
              <w:spacing w:before="0"/>
              <w:jc w:val="center"/>
              <w:rPr>
                <w:rFonts w:cs="Arial"/>
                <w:color w:val="auto"/>
                <w:sz w:val="18"/>
              </w:rPr>
            </w:pPr>
            <w:r w:rsidRPr="001D7CCB">
              <w:rPr>
                <w:rFonts w:cs="Arial"/>
                <w:color w:val="auto"/>
                <w:sz w:val="18"/>
              </w:rPr>
              <w:t>Julio</w:t>
            </w:r>
            <w:r w:rsidRPr="001D7CCB">
              <w:rPr>
                <w:rFonts w:cs="Arial"/>
                <w:color w:val="auto"/>
                <w:sz w:val="18"/>
              </w:rPr>
              <w:br/>
              <w:t>de 2022</w:t>
            </w:r>
          </w:p>
        </w:tc>
      </w:tr>
      <w:tr w:rsidR="00C162AB" w:rsidRPr="001D7CCB" w14:paraId="07664F88" w14:textId="77777777" w:rsidTr="00CB34E7">
        <w:trPr>
          <w:cantSplit/>
          <w:trHeight w:val="255"/>
          <w:jc w:val="center"/>
        </w:trPr>
        <w:tc>
          <w:tcPr>
            <w:tcW w:w="2834" w:type="dxa"/>
            <w:tcBorders>
              <w:top w:val="single" w:sz="4" w:space="0" w:color="404040"/>
              <w:left w:val="single" w:sz="4" w:space="0" w:color="auto"/>
              <w:bottom w:val="nil"/>
              <w:right w:val="single" w:sz="4" w:space="0" w:color="404040"/>
            </w:tcBorders>
            <w:vAlign w:val="center"/>
            <w:hideMark/>
          </w:tcPr>
          <w:p w14:paraId="4E760409" w14:textId="77777777" w:rsidR="00C162AB" w:rsidRPr="001D7CCB" w:rsidRDefault="00C162AB" w:rsidP="00CB34E7">
            <w:pPr>
              <w:pStyle w:val="p0"/>
              <w:tabs>
                <w:tab w:val="left" w:pos="5103"/>
              </w:tabs>
              <w:spacing w:before="0"/>
              <w:ind w:firstLine="62"/>
              <w:jc w:val="left"/>
              <w:rPr>
                <w:rFonts w:cs="Arial"/>
                <w:b/>
                <w:color w:val="auto"/>
                <w:sz w:val="18"/>
              </w:rPr>
            </w:pPr>
            <w:r w:rsidRPr="001D7CCB">
              <w:rPr>
                <w:rFonts w:cs="Arial"/>
                <w:sz w:val="18"/>
              </w:rPr>
              <w:br w:type="page"/>
            </w:r>
            <w:r w:rsidRPr="001D7CCB">
              <w:rPr>
                <w:rFonts w:cs="Arial"/>
                <w:b/>
                <w:color w:val="auto"/>
                <w:sz w:val="18"/>
              </w:rPr>
              <w:t>Total</w:t>
            </w:r>
          </w:p>
        </w:tc>
        <w:tc>
          <w:tcPr>
            <w:tcW w:w="1765" w:type="dxa"/>
            <w:tcBorders>
              <w:top w:val="single" w:sz="4" w:space="0" w:color="404040"/>
              <w:left w:val="single" w:sz="4" w:space="0" w:color="404040"/>
              <w:bottom w:val="nil"/>
              <w:right w:val="single" w:sz="4" w:space="0" w:color="404040"/>
            </w:tcBorders>
            <w:vAlign w:val="center"/>
            <w:hideMark/>
          </w:tcPr>
          <w:p w14:paraId="2085BEA3" w14:textId="77777777" w:rsidR="00C162AB" w:rsidRPr="001D7CCB" w:rsidRDefault="00C162AB" w:rsidP="00CB34E7">
            <w:pPr>
              <w:tabs>
                <w:tab w:val="left" w:pos="5103"/>
              </w:tabs>
              <w:ind w:right="567"/>
              <w:jc w:val="right"/>
              <w:rPr>
                <w:rFonts w:cs="Arial"/>
                <w:b/>
                <w:sz w:val="18"/>
                <w:lang w:eastAsia="en-US"/>
              </w:rPr>
            </w:pPr>
            <w:r w:rsidRPr="001D7CCB">
              <w:rPr>
                <w:rFonts w:cs="Arial"/>
                <w:b/>
                <w:sz w:val="18"/>
                <w:lang w:eastAsia="en-US"/>
              </w:rPr>
              <w:t>0.0</w:t>
            </w:r>
          </w:p>
        </w:tc>
        <w:tc>
          <w:tcPr>
            <w:tcW w:w="1765" w:type="dxa"/>
            <w:tcBorders>
              <w:top w:val="single" w:sz="4" w:space="0" w:color="404040"/>
              <w:left w:val="single" w:sz="4" w:space="0" w:color="404040"/>
              <w:bottom w:val="nil"/>
              <w:right w:val="single" w:sz="4" w:space="0" w:color="auto"/>
            </w:tcBorders>
            <w:vAlign w:val="center"/>
            <w:hideMark/>
          </w:tcPr>
          <w:p w14:paraId="45EF463C" w14:textId="77777777" w:rsidR="00C162AB" w:rsidRPr="001D7CCB" w:rsidRDefault="00C162AB" w:rsidP="00CB34E7">
            <w:pPr>
              <w:tabs>
                <w:tab w:val="left" w:pos="5103"/>
              </w:tabs>
              <w:ind w:right="620"/>
              <w:jc w:val="right"/>
              <w:rPr>
                <w:rFonts w:cs="Arial"/>
                <w:b/>
                <w:sz w:val="18"/>
                <w:lang w:eastAsia="en-US"/>
              </w:rPr>
            </w:pPr>
            <w:r w:rsidRPr="001D7CCB">
              <w:rPr>
                <w:rFonts w:cs="Arial"/>
                <w:b/>
                <w:sz w:val="18"/>
                <w:lang w:eastAsia="en-US"/>
              </w:rPr>
              <w:t>4.3</w:t>
            </w:r>
          </w:p>
        </w:tc>
      </w:tr>
      <w:tr w:rsidR="00C162AB" w:rsidRPr="001D7CCB" w14:paraId="09A9AA5B" w14:textId="77777777" w:rsidTr="00CB34E7">
        <w:trPr>
          <w:cantSplit/>
          <w:trHeight w:val="255"/>
          <w:jc w:val="center"/>
        </w:trPr>
        <w:tc>
          <w:tcPr>
            <w:tcW w:w="2834" w:type="dxa"/>
            <w:tcBorders>
              <w:top w:val="nil"/>
              <w:left w:val="single" w:sz="4" w:space="0" w:color="auto"/>
              <w:bottom w:val="nil"/>
              <w:right w:val="single" w:sz="4" w:space="0" w:color="404040"/>
            </w:tcBorders>
            <w:vAlign w:val="center"/>
            <w:hideMark/>
          </w:tcPr>
          <w:p w14:paraId="7B05BED0" w14:textId="77777777" w:rsidR="00C162AB" w:rsidRPr="001D7CCB" w:rsidRDefault="00C162AB" w:rsidP="00CB34E7">
            <w:pPr>
              <w:pStyle w:val="p0"/>
              <w:tabs>
                <w:tab w:val="left" w:pos="5103"/>
              </w:tabs>
              <w:spacing w:before="0"/>
              <w:ind w:firstLine="313"/>
              <w:jc w:val="left"/>
              <w:rPr>
                <w:rFonts w:cs="Arial"/>
                <w:b/>
                <w:color w:val="auto"/>
                <w:sz w:val="18"/>
              </w:rPr>
            </w:pPr>
            <w:r w:rsidRPr="001D7CCB">
              <w:rPr>
                <w:rFonts w:cs="Arial"/>
                <w:b/>
                <w:color w:val="auto"/>
                <w:sz w:val="18"/>
              </w:rPr>
              <w:t>Nacional</w:t>
            </w:r>
          </w:p>
        </w:tc>
        <w:tc>
          <w:tcPr>
            <w:tcW w:w="1765" w:type="dxa"/>
            <w:tcBorders>
              <w:top w:val="nil"/>
              <w:left w:val="single" w:sz="4" w:space="0" w:color="404040"/>
              <w:bottom w:val="nil"/>
              <w:right w:val="single" w:sz="4" w:space="0" w:color="404040"/>
            </w:tcBorders>
            <w:vAlign w:val="center"/>
            <w:hideMark/>
          </w:tcPr>
          <w:p w14:paraId="26762A6C" w14:textId="77777777" w:rsidR="00C162AB" w:rsidRPr="001D7CCB" w:rsidRDefault="00C162AB" w:rsidP="00CB34E7">
            <w:pPr>
              <w:tabs>
                <w:tab w:val="left" w:pos="5103"/>
              </w:tabs>
              <w:ind w:right="567"/>
              <w:jc w:val="right"/>
              <w:rPr>
                <w:rFonts w:cs="Arial"/>
                <w:b/>
                <w:sz w:val="18"/>
                <w:lang w:eastAsia="en-US"/>
              </w:rPr>
            </w:pPr>
            <w:r w:rsidRPr="001D7CCB">
              <w:rPr>
                <w:rFonts w:cs="Arial"/>
                <w:b/>
                <w:sz w:val="18"/>
                <w:lang w:eastAsia="en-US"/>
              </w:rPr>
              <w:t>0.3</w:t>
            </w:r>
          </w:p>
        </w:tc>
        <w:tc>
          <w:tcPr>
            <w:tcW w:w="1765" w:type="dxa"/>
            <w:tcBorders>
              <w:top w:val="nil"/>
              <w:left w:val="single" w:sz="4" w:space="0" w:color="404040"/>
              <w:bottom w:val="nil"/>
              <w:right w:val="single" w:sz="4" w:space="0" w:color="auto"/>
            </w:tcBorders>
            <w:vAlign w:val="center"/>
            <w:hideMark/>
          </w:tcPr>
          <w:p w14:paraId="1E464AA0" w14:textId="77777777" w:rsidR="00C162AB" w:rsidRPr="001D7CCB" w:rsidRDefault="00C162AB" w:rsidP="00CB34E7">
            <w:pPr>
              <w:tabs>
                <w:tab w:val="left" w:pos="5103"/>
              </w:tabs>
              <w:ind w:right="620"/>
              <w:jc w:val="right"/>
              <w:rPr>
                <w:rFonts w:cs="Arial"/>
                <w:b/>
                <w:sz w:val="18"/>
                <w:lang w:eastAsia="en-US"/>
              </w:rPr>
            </w:pPr>
            <w:r w:rsidRPr="001D7CCB">
              <w:rPr>
                <w:rFonts w:cs="Arial"/>
                <w:b/>
                <w:sz w:val="18"/>
                <w:lang w:eastAsia="en-US"/>
              </w:rPr>
              <w:t>1.2</w:t>
            </w:r>
          </w:p>
        </w:tc>
      </w:tr>
      <w:tr w:rsidR="00C162AB" w:rsidRPr="001D7CCB" w14:paraId="2B15D828" w14:textId="77777777" w:rsidTr="00CB34E7">
        <w:trPr>
          <w:cantSplit/>
          <w:trHeight w:val="255"/>
          <w:jc w:val="center"/>
        </w:trPr>
        <w:tc>
          <w:tcPr>
            <w:tcW w:w="2834" w:type="dxa"/>
            <w:tcBorders>
              <w:top w:val="nil"/>
              <w:left w:val="single" w:sz="4" w:space="0" w:color="auto"/>
              <w:bottom w:val="nil"/>
              <w:right w:val="single" w:sz="4" w:space="0" w:color="404040"/>
            </w:tcBorders>
            <w:vAlign w:val="center"/>
            <w:hideMark/>
          </w:tcPr>
          <w:p w14:paraId="4CF90A73" w14:textId="77777777" w:rsidR="00C162AB" w:rsidRPr="001D7CCB" w:rsidRDefault="00C162AB" w:rsidP="00CB34E7">
            <w:pPr>
              <w:pStyle w:val="p0"/>
              <w:tabs>
                <w:tab w:val="left" w:pos="5103"/>
              </w:tabs>
              <w:spacing w:before="0"/>
              <w:ind w:firstLine="454"/>
              <w:jc w:val="left"/>
              <w:rPr>
                <w:rFonts w:cs="Arial"/>
                <w:color w:val="auto"/>
                <w:sz w:val="18"/>
              </w:rPr>
            </w:pPr>
            <w:r w:rsidRPr="001D7CCB">
              <w:rPr>
                <w:rFonts w:cs="Arial"/>
                <w:color w:val="auto"/>
                <w:sz w:val="18"/>
              </w:rPr>
              <w:t>Bienes</w:t>
            </w:r>
          </w:p>
        </w:tc>
        <w:tc>
          <w:tcPr>
            <w:tcW w:w="1765" w:type="dxa"/>
            <w:tcBorders>
              <w:top w:val="nil"/>
              <w:left w:val="single" w:sz="4" w:space="0" w:color="404040"/>
              <w:bottom w:val="nil"/>
              <w:right w:val="single" w:sz="4" w:space="0" w:color="404040"/>
            </w:tcBorders>
            <w:vAlign w:val="center"/>
            <w:hideMark/>
          </w:tcPr>
          <w:p w14:paraId="0912A9C2" w14:textId="77777777" w:rsidR="00C162AB" w:rsidRPr="001D7CCB" w:rsidRDefault="00C162AB" w:rsidP="00CB34E7">
            <w:pPr>
              <w:tabs>
                <w:tab w:val="left" w:pos="5103"/>
              </w:tabs>
              <w:ind w:right="567"/>
              <w:jc w:val="right"/>
              <w:rPr>
                <w:rFonts w:cs="Arial"/>
                <w:sz w:val="18"/>
                <w:lang w:eastAsia="en-US"/>
              </w:rPr>
            </w:pPr>
            <w:r w:rsidRPr="001D7CCB">
              <w:rPr>
                <w:rFonts w:cs="Arial"/>
                <w:sz w:val="18"/>
                <w:lang w:eastAsia="en-US"/>
              </w:rPr>
              <w:t>1.4</w:t>
            </w:r>
          </w:p>
        </w:tc>
        <w:tc>
          <w:tcPr>
            <w:tcW w:w="1765" w:type="dxa"/>
            <w:tcBorders>
              <w:top w:val="nil"/>
              <w:left w:val="single" w:sz="4" w:space="0" w:color="404040"/>
              <w:bottom w:val="nil"/>
              <w:right w:val="single" w:sz="4" w:space="0" w:color="auto"/>
            </w:tcBorders>
            <w:vAlign w:val="center"/>
            <w:hideMark/>
          </w:tcPr>
          <w:p w14:paraId="2C0731FF" w14:textId="77777777" w:rsidR="00C162AB" w:rsidRPr="001D7CCB" w:rsidRDefault="00C162AB" w:rsidP="00CB34E7">
            <w:pPr>
              <w:tabs>
                <w:tab w:val="left" w:pos="5103"/>
              </w:tabs>
              <w:ind w:right="620"/>
              <w:jc w:val="right"/>
              <w:rPr>
                <w:rFonts w:cs="Arial"/>
                <w:sz w:val="18"/>
                <w:lang w:eastAsia="en-US"/>
              </w:rPr>
            </w:pPr>
            <w:r w:rsidRPr="001D7CCB">
              <w:rPr>
                <w:rFonts w:cs="Arial"/>
                <w:sz w:val="18"/>
                <w:lang w:eastAsia="en-US"/>
              </w:rPr>
              <w:t>-0.8</w:t>
            </w:r>
          </w:p>
        </w:tc>
      </w:tr>
      <w:tr w:rsidR="00C162AB" w:rsidRPr="001D7CCB" w14:paraId="1EEE87BD" w14:textId="77777777" w:rsidTr="00CB34E7">
        <w:trPr>
          <w:cantSplit/>
          <w:trHeight w:val="255"/>
          <w:jc w:val="center"/>
        </w:trPr>
        <w:tc>
          <w:tcPr>
            <w:tcW w:w="2834" w:type="dxa"/>
            <w:tcBorders>
              <w:top w:val="nil"/>
              <w:left w:val="single" w:sz="4" w:space="0" w:color="auto"/>
              <w:bottom w:val="nil"/>
              <w:right w:val="single" w:sz="4" w:space="0" w:color="404040"/>
            </w:tcBorders>
            <w:vAlign w:val="center"/>
            <w:hideMark/>
          </w:tcPr>
          <w:p w14:paraId="00124C2E" w14:textId="77777777" w:rsidR="00C162AB" w:rsidRPr="001D7CCB" w:rsidRDefault="00C162AB" w:rsidP="00CB34E7">
            <w:pPr>
              <w:pStyle w:val="p0"/>
              <w:tabs>
                <w:tab w:val="left" w:pos="5103"/>
              </w:tabs>
              <w:spacing w:before="0"/>
              <w:ind w:firstLine="454"/>
              <w:jc w:val="left"/>
              <w:rPr>
                <w:rFonts w:cs="Arial"/>
                <w:color w:val="auto"/>
                <w:sz w:val="18"/>
              </w:rPr>
            </w:pPr>
            <w:r w:rsidRPr="001D7CCB">
              <w:rPr>
                <w:rFonts w:cs="Arial"/>
                <w:color w:val="auto"/>
                <w:sz w:val="18"/>
              </w:rPr>
              <w:t>Servicios</w:t>
            </w:r>
          </w:p>
        </w:tc>
        <w:tc>
          <w:tcPr>
            <w:tcW w:w="1765" w:type="dxa"/>
            <w:tcBorders>
              <w:top w:val="nil"/>
              <w:left w:val="single" w:sz="4" w:space="0" w:color="404040"/>
              <w:bottom w:val="nil"/>
              <w:right w:val="single" w:sz="4" w:space="0" w:color="404040"/>
            </w:tcBorders>
            <w:vAlign w:val="center"/>
            <w:hideMark/>
          </w:tcPr>
          <w:p w14:paraId="5901256D" w14:textId="77777777" w:rsidR="00C162AB" w:rsidRPr="001D7CCB" w:rsidRDefault="00C162AB" w:rsidP="00CB34E7">
            <w:pPr>
              <w:tabs>
                <w:tab w:val="left" w:pos="5103"/>
              </w:tabs>
              <w:ind w:right="567"/>
              <w:jc w:val="right"/>
              <w:rPr>
                <w:rFonts w:cs="Arial"/>
                <w:sz w:val="18"/>
                <w:lang w:eastAsia="en-US"/>
              </w:rPr>
            </w:pPr>
            <w:r w:rsidRPr="001D7CCB">
              <w:rPr>
                <w:rFonts w:cs="Arial"/>
                <w:sz w:val="18"/>
                <w:lang w:eastAsia="en-US"/>
              </w:rPr>
              <w:t>-0.6</w:t>
            </w:r>
          </w:p>
        </w:tc>
        <w:tc>
          <w:tcPr>
            <w:tcW w:w="1765" w:type="dxa"/>
            <w:tcBorders>
              <w:top w:val="nil"/>
              <w:left w:val="single" w:sz="4" w:space="0" w:color="404040"/>
              <w:bottom w:val="nil"/>
              <w:right w:val="single" w:sz="4" w:space="0" w:color="auto"/>
            </w:tcBorders>
            <w:vAlign w:val="center"/>
            <w:hideMark/>
          </w:tcPr>
          <w:p w14:paraId="1C05A097" w14:textId="77777777" w:rsidR="00C162AB" w:rsidRPr="001D7CCB" w:rsidRDefault="00C162AB" w:rsidP="00CB34E7">
            <w:pPr>
              <w:tabs>
                <w:tab w:val="left" w:pos="5103"/>
              </w:tabs>
              <w:ind w:right="620"/>
              <w:jc w:val="right"/>
              <w:rPr>
                <w:rFonts w:cs="Arial"/>
                <w:sz w:val="18"/>
                <w:lang w:eastAsia="en-US"/>
              </w:rPr>
            </w:pPr>
            <w:r w:rsidRPr="001D7CCB">
              <w:rPr>
                <w:rFonts w:cs="Arial"/>
                <w:sz w:val="18"/>
                <w:lang w:eastAsia="en-US"/>
              </w:rPr>
              <w:t>3.5</w:t>
            </w:r>
          </w:p>
        </w:tc>
      </w:tr>
      <w:tr w:rsidR="00C162AB" w:rsidRPr="001D7CCB" w14:paraId="33A95FAA" w14:textId="77777777" w:rsidTr="00CB34E7">
        <w:trPr>
          <w:cantSplit/>
          <w:trHeight w:val="255"/>
          <w:jc w:val="center"/>
        </w:trPr>
        <w:tc>
          <w:tcPr>
            <w:tcW w:w="2834" w:type="dxa"/>
            <w:tcBorders>
              <w:top w:val="nil"/>
              <w:left w:val="single" w:sz="4" w:space="0" w:color="auto"/>
              <w:bottom w:val="nil"/>
              <w:right w:val="single" w:sz="4" w:space="0" w:color="404040"/>
            </w:tcBorders>
            <w:vAlign w:val="center"/>
            <w:hideMark/>
          </w:tcPr>
          <w:p w14:paraId="3FDA310E" w14:textId="77777777" w:rsidR="00C162AB" w:rsidRPr="001D7CCB" w:rsidRDefault="00C162AB" w:rsidP="00CB34E7">
            <w:pPr>
              <w:pStyle w:val="p0"/>
              <w:tabs>
                <w:tab w:val="left" w:pos="5103"/>
              </w:tabs>
              <w:spacing w:before="0"/>
              <w:ind w:firstLine="313"/>
              <w:jc w:val="left"/>
              <w:rPr>
                <w:rFonts w:cs="Arial"/>
                <w:b/>
                <w:color w:val="auto"/>
                <w:sz w:val="18"/>
              </w:rPr>
            </w:pPr>
            <w:r w:rsidRPr="001D7CCB">
              <w:rPr>
                <w:rFonts w:cs="Arial"/>
                <w:b/>
                <w:color w:val="auto"/>
                <w:sz w:val="18"/>
              </w:rPr>
              <w:t>Importado</w:t>
            </w:r>
          </w:p>
        </w:tc>
        <w:tc>
          <w:tcPr>
            <w:tcW w:w="1765" w:type="dxa"/>
            <w:tcBorders>
              <w:top w:val="nil"/>
              <w:left w:val="single" w:sz="4" w:space="0" w:color="404040"/>
              <w:bottom w:val="nil"/>
              <w:right w:val="single" w:sz="4" w:space="0" w:color="404040"/>
            </w:tcBorders>
            <w:vAlign w:val="center"/>
            <w:hideMark/>
          </w:tcPr>
          <w:p w14:paraId="3098C64C" w14:textId="77777777" w:rsidR="00C162AB" w:rsidRPr="001D7CCB" w:rsidRDefault="00C162AB" w:rsidP="00CB34E7">
            <w:pPr>
              <w:tabs>
                <w:tab w:val="left" w:pos="5103"/>
              </w:tabs>
              <w:ind w:right="567"/>
              <w:jc w:val="right"/>
              <w:rPr>
                <w:rFonts w:cs="Arial"/>
                <w:b/>
                <w:sz w:val="18"/>
                <w:lang w:eastAsia="en-US"/>
              </w:rPr>
            </w:pPr>
            <w:r w:rsidRPr="001D7CCB">
              <w:rPr>
                <w:rFonts w:cs="Arial"/>
                <w:b/>
                <w:sz w:val="18"/>
                <w:lang w:eastAsia="en-US"/>
              </w:rPr>
              <w:t>-1.1</w:t>
            </w:r>
          </w:p>
        </w:tc>
        <w:tc>
          <w:tcPr>
            <w:tcW w:w="1765" w:type="dxa"/>
            <w:tcBorders>
              <w:top w:val="nil"/>
              <w:left w:val="single" w:sz="4" w:space="0" w:color="404040"/>
              <w:bottom w:val="nil"/>
              <w:right w:val="single" w:sz="4" w:space="0" w:color="auto"/>
            </w:tcBorders>
            <w:vAlign w:val="center"/>
            <w:hideMark/>
          </w:tcPr>
          <w:p w14:paraId="6FFC0DC6" w14:textId="77777777" w:rsidR="00C162AB" w:rsidRPr="001D7CCB" w:rsidRDefault="00C162AB" w:rsidP="00CB34E7">
            <w:pPr>
              <w:tabs>
                <w:tab w:val="left" w:pos="5103"/>
              </w:tabs>
              <w:ind w:right="620"/>
              <w:jc w:val="right"/>
              <w:rPr>
                <w:rFonts w:cs="Arial"/>
                <w:b/>
                <w:sz w:val="18"/>
                <w:lang w:eastAsia="en-US"/>
              </w:rPr>
            </w:pPr>
            <w:r w:rsidRPr="001D7CCB">
              <w:rPr>
                <w:rFonts w:cs="Arial"/>
                <w:b/>
                <w:sz w:val="18"/>
                <w:lang w:eastAsia="en-US"/>
              </w:rPr>
              <w:t xml:space="preserve">19.1 </w:t>
            </w:r>
          </w:p>
        </w:tc>
      </w:tr>
      <w:tr w:rsidR="00C162AB" w:rsidRPr="001D7CCB" w14:paraId="7D4BC3EC" w14:textId="77777777" w:rsidTr="00CB34E7">
        <w:trPr>
          <w:cantSplit/>
          <w:trHeight w:val="255"/>
          <w:jc w:val="center"/>
        </w:trPr>
        <w:tc>
          <w:tcPr>
            <w:tcW w:w="2834" w:type="dxa"/>
            <w:tcBorders>
              <w:top w:val="nil"/>
              <w:left w:val="single" w:sz="4" w:space="0" w:color="auto"/>
              <w:bottom w:val="single" w:sz="4" w:space="0" w:color="auto"/>
              <w:right w:val="single" w:sz="4" w:space="0" w:color="404040"/>
            </w:tcBorders>
            <w:vAlign w:val="center"/>
          </w:tcPr>
          <w:p w14:paraId="03C7C49E" w14:textId="77777777" w:rsidR="00C162AB" w:rsidRPr="001D7CCB" w:rsidRDefault="00C162AB" w:rsidP="00CB34E7">
            <w:pPr>
              <w:pStyle w:val="p0"/>
              <w:tabs>
                <w:tab w:val="left" w:pos="5103"/>
              </w:tabs>
              <w:spacing w:before="0"/>
              <w:ind w:firstLine="454"/>
              <w:jc w:val="left"/>
              <w:rPr>
                <w:rFonts w:cs="Arial"/>
                <w:color w:val="auto"/>
                <w:sz w:val="18"/>
              </w:rPr>
            </w:pPr>
            <w:r w:rsidRPr="001D7CCB">
              <w:rPr>
                <w:rFonts w:cs="Arial"/>
                <w:color w:val="auto"/>
                <w:sz w:val="18"/>
              </w:rPr>
              <w:t>Bienes</w:t>
            </w:r>
          </w:p>
        </w:tc>
        <w:tc>
          <w:tcPr>
            <w:tcW w:w="1765" w:type="dxa"/>
            <w:tcBorders>
              <w:top w:val="nil"/>
              <w:left w:val="single" w:sz="4" w:space="0" w:color="404040"/>
              <w:bottom w:val="single" w:sz="4" w:space="0" w:color="auto"/>
              <w:right w:val="single" w:sz="4" w:space="0" w:color="404040"/>
            </w:tcBorders>
            <w:vAlign w:val="center"/>
          </w:tcPr>
          <w:p w14:paraId="21CE9C4B" w14:textId="77777777" w:rsidR="00C162AB" w:rsidRPr="001D7CCB" w:rsidRDefault="00C162AB" w:rsidP="00CB34E7">
            <w:pPr>
              <w:tabs>
                <w:tab w:val="left" w:pos="5103"/>
              </w:tabs>
              <w:ind w:right="567"/>
              <w:jc w:val="right"/>
              <w:rPr>
                <w:rFonts w:cs="Arial"/>
                <w:sz w:val="18"/>
              </w:rPr>
            </w:pPr>
            <w:r w:rsidRPr="001D7CCB">
              <w:rPr>
                <w:rFonts w:cs="Arial"/>
                <w:sz w:val="18"/>
              </w:rPr>
              <w:t>-1.1</w:t>
            </w:r>
          </w:p>
        </w:tc>
        <w:tc>
          <w:tcPr>
            <w:tcW w:w="1765" w:type="dxa"/>
            <w:tcBorders>
              <w:top w:val="nil"/>
              <w:left w:val="single" w:sz="4" w:space="0" w:color="404040"/>
              <w:bottom w:val="single" w:sz="4" w:space="0" w:color="auto"/>
              <w:right w:val="single" w:sz="4" w:space="0" w:color="auto"/>
            </w:tcBorders>
            <w:vAlign w:val="center"/>
          </w:tcPr>
          <w:p w14:paraId="0E4EBA3F" w14:textId="77777777" w:rsidR="00C162AB" w:rsidRPr="001D7CCB" w:rsidRDefault="00C162AB" w:rsidP="00CB34E7">
            <w:pPr>
              <w:tabs>
                <w:tab w:val="left" w:pos="5103"/>
              </w:tabs>
              <w:ind w:right="620"/>
              <w:jc w:val="right"/>
              <w:rPr>
                <w:rFonts w:cs="Arial"/>
                <w:sz w:val="18"/>
              </w:rPr>
            </w:pPr>
            <w:r w:rsidRPr="001D7CCB">
              <w:rPr>
                <w:rFonts w:cs="Arial"/>
                <w:sz w:val="18"/>
              </w:rPr>
              <w:t>19.1</w:t>
            </w:r>
          </w:p>
        </w:tc>
      </w:tr>
    </w:tbl>
    <w:p w14:paraId="5EA8280C" w14:textId="77777777" w:rsidR="00C162AB" w:rsidRPr="001D7CCB" w:rsidRDefault="00C162AB" w:rsidP="00C162AB">
      <w:pPr>
        <w:pStyle w:val="p0"/>
        <w:tabs>
          <w:tab w:val="left" w:pos="5103"/>
        </w:tabs>
        <w:spacing w:before="0"/>
        <w:ind w:left="2492" w:right="1855" w:hanging="601"/>
        <w:rPr>
          <w:rFonts w:cs="Arial"/>
          <w:color w:val="auto"/>
          <w:sz w:val="16"/>
        </w:rPr>
      </w:pPr>
      <w:r w:rsidRPr="001D7CCB">
        <w:rPr>
          <w:rFonts w:cs="Arial"/>
          <w:color w:val="auto"/>
          <w:sz w:val="16"/>
        </w:rPr>
        <w:t>Nota:</w:t>
      </w:r>
      <w:r w:rsidRPr="001D7CCB">
        <w:rPr>
          <w:rFonts w:cs="Arial"/>
          <w:color w:val="auto"/>
          <w:sz w:val="16"/>
        </w:rPr>
        <w:tab/>
        <w:t>Las series desestacionalizadas de los principales agregados del consumo privado se calculan de manera independiente a la de sus componentes.</w:t>
      </w:r>
    </w:p>
    <w:p w14:paraId="7415432D" w14:textId="77777777" w:rsidR="00C162AB" w:rsidRPr="004A0304" w:rsidRDefault="00C162AB" w:rsidP="00C162AB">
      <w:pPr>
        <w:pStyle w:val="p0"/>
        <w:tabs>
          <w:tab w:val="left" w:pos="5103"/>
        </w:tabs>
        <w:spacing w:before="0"/>
        <w:ind w:left="2492" w:right="1855" w:hanging="601"/>
        <w:rPr>
          <w:rFonts w:cs="Arial"/>
          <w:sz w:val="16"/>
        </w:rPr>
      </w:pPr>
      <w:r w:rsidRPr="001D7CCB">
        <w:rPr>
          <w:color w:val="000000" w:themeColor="text1"/>
          <w:sz w:val="16"/>
          <w:szCs w:val="16"/>
        </w:rPr>
        <w:t>Fuente:</w:t>
      </w:r>
      <w:r>
        <w:rPr>
          <w:color w:val="000000" w:themeColor="text1"/>
          <w:sz w:val="16"/>
          <w:szCs w:val="16"/>
        </w:rPr>
        <w:tab/>
      </w:r>
      <w:r w:rsidRPr="001D7CCB">
        <w:rPr>
          <w:color w:val="000000" w:themeColor="text1"/>
          <w:sz w:val="16"/>
          <w:szCs w:val="16"/>
        </w:rPr>
        <w:t xml:space="preserve">INEGI. </w:t>
      </w:r>
      <w:r w:rsidRPr="004A0304">
        <w:rPr>
          <w:rFonts w:cs="Arial"/>
          <w:color w:val="auto"/>
          <w:sz w:val="16"/>
        </w:rPr>
        <w:t>Sistema de Cuentas Nacionales de México (SCNM).</w:t>
      </w:r>
      <w:r w:rsidRPr="00050594">
        <w:rPr>
          <w:color w:val="auto"/>
          <w:sz w:val="16"/>
          <w:szCs w:val="16"/>
        </w:rPr>
        <w:t xml:space="preserve"> Indicador Mensual del Consumo Privado (IMCP), </w:t>
      </w:r>
      <w:r w:rsidRPr="004A0304">
        <w:rPr>
          <w:rFonts w:cs="Arial"/>
          <w:color w:val="auto"/>
          <w:sz w:val="16"/>
        </w:rPr>
        <w:t>2023.</w:t>
      </w:r>
    </w:p>
    <w:p w14:paraId="3753A4B1" w14:textId="77777777" w:rsidR="00C162AB" w:rsidRPr="001D7CCB" w:rsidRDefault="00C162AB" w:rsidP="00C162AB">
      <w:pPr>
        <w:widowControl/>
        <w:spacing w:before="360"/>
        <w:jc w:val="left"/>
        <w:rPr>
          <w:b/>
          <w:iCs/>
          <w:smallCaps/>
        </w:rPr>
      </w:pPr>
      <w:r w:rsidRPr="001D7CCB">
        <w:rPr>
          <w:b/>
          <w:iCs/>
          <w:smallCaps/>
        </w:rPr>
        <w:t>Nota al usuario</w:t>
      </w:r>
    </w:p>
    <w:p w14:paraId="1EE1DBB7" w14:textId="77777777" w:rsidR="00C162AB" w:rsidRPr="001D7CCB" w:rsidRDefault="00C162AB" w:rsidP="00C162AB">
      <w:pPr>
        <w:pStyle w:val="Default"/>
        <w:spacing w:before="240"/>
        <w:jc w:val="both"/>
      </w:pPr>
      <w:r w:rsidRPr="00050594">
        <w:t>En la integración del IMCP, en julio de 2023, se consideraron las encuestas económicas,</w:t>
      </w:r>
      <w:r w:rsidRPr="00050594">
        <w:rPr>
          <w:vertAlign w:val="superscript"/>
        </w:rPr>
        <w:footnoteReference w:id="2"/>
      </w:r>
      <w:r w:rsidRPr="00050594">
        <w:t xml:space="preserve"> los registros administrativos y los datos primarios que divulga el Instituto Nacional de Estadística y Geografía (INEGI)</w:t>
      </w:r>
      <w:r>
        <w:t xml:space="preserve">. Lo anterior </w:t>
      </w:r>
      <w:r w:rsidRPr="00050594">
        <w:t>permitió la generación de estadísticas con niveles altos de cobertura. Para las actividades agropecuarias, de energía, gas, agua, servicios financieros y del gobierno se incluyeron los registros administrativos provenientes de las empresas y Unidades del Estado que se recibieron oportunamente vía correo electrónico e internet.</w:t>
      </w:r>
    </w:p>
    <w:p w14:paraId="38E96907" w14:textId="77777777" w:rsidR="00C162AB" w:rsidRDefault="00C162AB" w:rsidP="00050594">
      <w:pPr>
        <w:widowControl/>
        <w:spacing w:before="720"/>
      </w:pPr>
    </w:p>
    <w:p w14:paraId="57CF8360" w14:textId="771577DA" w:rsidR="00C162AB" w:rsidRDefault="000D2EC4" w:rsidP="000D2EC4">
      <w:pPr>
        <w:widowControl/>
        <w:tabs>
          <w:tab w:val="left" w:pos="6171"/>
        </w:tabs>
        <w:spacing w:before="720"/>
      </w:pPr>
      <w:r>
        <w:tab/>
      </w:r>
    </w:p>
    <w:p w14:paraId="1E150261" w14:textId="77777777" w:rsidR="00C162AB" w:rsidRDefault="00C162AB" w:rsidP="00050594">
      <w:pPr>
        <w:widowControl/>
        <w:spacing w:before="720"/>
      </w:pPr>
    </w:p>
    <w:p w14:paraId="6295BDD7" w14:textId="77777777" w:rsidR="00C162AB" w:rsidRPr="00DA25C5" w:rsidRDefault="00C162AB" w:rsidP="00C162AB">
      <w:pPr>
        <w:pStyle w:val="NormalWeb"/>
        <w:ind w:left="-426" w:right="-518"/>
        <w:contextualSpacing/>
        <w:jc w:val="center"/>
        <w:rPr>
          <w:sz w:val="24"/>
          <w:szCs w:val="24"/>
          <w:lang w:val="es-ES_tradnl"/>
        </w:rPr>
      </w:pPr>
      <w:bookmarkStart w:id="3" w:name="_Hlk147145049"/>
      <w:r w:rsidRPr="00DA25C5">
        <w:rPr>
          <w:sz w:val="24"/>
          <w:szCs w:val="24"/>
          <w:lang w:val="es-ES_tradnl"/>
        </w:rPr>
        <w:t xml:space="preserve">Para consultas de medios y periodistas, escribir a: </w:t>
      </w:r>
      <w:hyperlink r:id="rId9" w:history="1">
        <w:r w:rsidRPr="00DA25C5">
          <w:rPr>
            <w:rStyle w:val="Hipervnculo"/>
            <w:rFonts w:eastAsiaTheme="majorEastAsia"/>
            <w:sz w:val="24"/>
            <w:szCs w:val="24"/>
          </w:rPr>
          <w:t>comunicacionsocial@inegi.org.mx</w:t>
        </w:r>
      </w:hyperlink>
      <w:r w:rsidRPr="00DA25C5">
        <w:rPr>
          <w:sz w:val="24"/>
          <w:szCs w:val="24"/>
          <w:lang w:val="es-ES_tradnl"/>
        </w:rPr>
        <w:t xml:space="preserve">    </w:t>
      </w:r>
    </w:p>
    <w:p w14:paraId="25A0DCF7" w14:textId="75E1EB86" w:rsidR="00C162AB" w:rsidRPr="00DA25C5" w:rsidRDefault="00C162AB" w:rsidP="00C162AB">
      <w:pPr>
        <w:pStyle w:val="NormalWeb"/>
        <w:spacing w:before="0" w:beforeAutospacing="0" w:after="0" w:afterAutospacing="0"/>
        <w:ind w:left="-426" w:right="-518"/>
        <w:contextualSpacing/>
        <w:jc w:val="center"/>
        <w:rPr>
          <w:sz w:val="24"/>
          <w:szCs w:val="24"/>
          <w:lang w:val="es-ES_tradnl"/>
        </w:rPr>
      </w:pPr>
      <w:r w:rsidRPr="00DA25C5">
        <w:rPr>
          <w:sz w:val="24"/>
          <w:szCs w:val="24"/>
          <w:lang w:val="es-ES_tradnl"/>
        </w:rPr>
        <w:t>o llamar al teléfono (55) 52-78-10-00, ext</w:t>
      </w:r>
      <w:r w:rsidR="000D2EC4">
        <w:rPr>
          <w:sz w:val="24"/>
          <w:szCs w:val="24"/>
          <w:lang w:val="es-ES_tradnl"/>
        </w:rPr>
        <w:t>ensione</w:t>
      </w:r>
      <w:r w:rsidRPr="00DA25C5">
        <w:rPr>
          <w:sz w:val="24"/>
          <w:szCs w:val="24"/>
          <w:lang w:val="es-ES_tradnl"/>
        </w:rPr>
        <w:t>s 321064, 321134 y 321241</w:t>
      </w:r>
    </w:p>
    <w:p w14:paraId="2749ACE0" w14:textId="77777777" w:rsidR="00C162AB" w:rsidRPr="00DA25C5" w:rsidRDefault="00C162AB" w:rsidP="00C162AB">
      <w:pPr>
        <w:pStyle w:val="NormalWeb"/>
        <w:spacing w:before="0" w:beforeAutospacing="0" w:after="0" w:afterAutospacing="0"/>
        <w:ind w:left="-426" w:right="-518"/>
        <w:contextualSpacing/>
        <w:jc w:val="center"/>
        <w:rPr>
          <w:sz w:val="24"/>
          <w:szCs w:val="24"/>
        </w:rPr>
      </w:pPr>
      <w:r w:rsidRPr="00DA25C5">
        <w:rPr>
          <w:sz w:val="24"/>
          <w:szCs w:val="24"/>
        </w:rPr>
        <w:t>Dirección de Atención a Medios/ Dirección General Adjunta de Comunicación</w:t>
      </w:r>
    </w:p>
    <w:p w14:paraId="5079C93E" w14:textId="7A719DC2" w:rsidR="00C162AB" w:rsidRDefault="00C162AB" w:rsidP="00C162AB">
      <w:pPr>
        <w:pStyle w:val="Piedepgina"/>
        <w:jc w:val="center"/>
        <w:rPr>
          <w:noProof/>
          <w:szCs w:val="24"/>
          <w:lang w:eastAsia="es-MX"/>
        </w:rPr>
      </w:pPr>
      <w:r w:rsidRPr="00DA25C5">
        <w:rPr>
          <w:noProof/>
          <w:szCs w:val="24"/>
          <w:lang w:eastAsia="es-MX"/>
        </w:rPr>
        <w:tab/>
      </w:r>
      <w:r w:rsidRPr="00DA25C5">
        <w:rPr>
          <w:noProof/>
          <w:szCs w:val="24"/>
          <w:lang w:eastAsia="es-MX"/>
        </w:rPr>
        <w:drawing>
          <wp:inline distT="0" distB="0" distL="0" distR="0" wp14:anchorId="6B2A2E61" wp14:editId="03665F7B">
            <wp:extent cx="372725" cy="360438"/>
            <wp:effectExtent l="0" t="0" r="0" b="0"/>
            <wp:docPr id="9" name="Imagen 9" descr="Icono&#10;&#10;Descripción generada automáticamen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244966A5" wp14:editId="654AD8A7">
            <wp:extent cx="365760" cy="365760"/>
            <wp:effectExtent l="0" t="0" r="2540" b="2540"/>
            <wp:docPr id="2" name="Imagen 2" descr="Icono&#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50E3463C" wp14:editId="363689A2">
            <wp:extent cx="365760" cy="365760"/>
            <wp:effectExtent l="0" t="0" r="2540" b="2540"/>
            <wp:docPr id="4" name="Imagen 4" descr="Imagen que contiene objeto, reloj&#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3AECC40C" wp14:editId="606C4F99">
            <wp:extent cx="365760" cy="365760"/>
            <wp:effectExtent l="0" t="0" r="2540" b="2540"/>
            <wp:docPr id="5" name="Imagen 5" descr="Logotipo&#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662F2485" wp14:editId="0DA3CFEC">
            <wp:extent cx="1436914" cy="152592"/>
            <wp:effectExtent l="0" t="0" r="0" b="0"/>
            <wp:docPr id="33" name="Imagen 33" descr="Icono&#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r>
        <w:rPr>
          <w:noProof/>
          <w:szCs w:val="24"/>
          <w:lang w:eastAsia="es-MX"/>
        </w:rPr>
        <w:br w:type="page"/>
      </w:r>
    </w:p>
    <w:p w14:paraId="64E5107B" w14:textId="77777777" w:rsidR="00C162AB" w:rsidRPr="008F42F6" w:rsidRDefault="00C162AB" w:rsidP="00C162AB">
      <w:pPr>
        <w:spacing w:before="120"/>
        <w:ind w:left="-425" w:right="-516"/>
        <w:contextualSpacing/>
        <w:jc w:val="center"/>
        <w:rPr>
          <w:b/>
          <w:bCs/>
          <w:iCs/>
          <w:smallCaps/>
        </w:rPr>
      </w:pPr>
      <w:r w:rsidRPr="008F42F6">
        <w:rPr>
          <w:rFonts w:cs="Arial"/>
          <w:b/>
          <w:bCs/>
          <w:noProof/>
          <w:szCs w:val="24"/>
          <w:lang w:eastAsia="es-MX"/>
        </w:rPr>
        <w:lastRenderedPageBreak/>
        <w:t>NOTA TÉCNICA</w:t>
      </w:r>
    </w:p>
    <w:bookmarkEnd w:id="3"/>
    <w:p w14:paraId="591CCDF0" w14:textId="73019237" w:rsidR="004A0304" w:rsidRDefault="004A0304" w:rsidP="00050594">
      <w:pPr>
        <w:widowControl/>
        <w:spacing w:before="720"/>
      </w:pPr>
      <w:r w:rsidRPr="001D7CCB">
        <w:t>El Indicador Mensual del Consumo Privado (IMCP) mide el comportamiento del gasto realizado por los hogares en bienes y servicios de consumo, tanto de origen nacional como importado.</w:t>
      </w:r>
    </w:p>
    <w:p w14:paraId="2FE58317" w14:textId="77777777" w:rsidR="00C162AB" w:rsidRDefault="00C162AB" w:rsidP="00C162AB">
      <w:pPr>
        <w:widowControl/>
        <w:rPr>
          <w:rFonts w:cs="Arial"/>
          <w:sz w:val="20"/>
          <w:szCs w:val="22"/>
        </w:rPr>
      </w:pPr>
    </w:p>
    <w:p w14:paraId="5B6A81EA" w14:textId="77777777" w:rsidR="00C162AB" w:rsidRPr="004A0304" w:rsidRDefault="00C162AB" w:rsidP="00C162AB">
      <w:pPr>
        <w:widowControl/>
        <w:rPr>
          <w:rFonts w:cs="Arial"/>
          <w:sz w:val="20"/>
          <w:szCs w:val="22"/>
        </w:rPr>
      </w:pPr>
    </w:p>
    <w:p w14:paraId="00C18952" w14:textId="77777777" w:rsidR="005F6DAE" w:rsidRPr="001D7CCB" w:rsidRDefault="005F6DAE" w:rsidP="00C162AB">
      <w:pPr>
        <w:pStyle w:val="Ttulo4"/>
        <w:keepNext w:val="0"/>
        <w:numPr>
          <w:ilvl w:val="0"/>
          <w:numId w:val="15"/>
        </w:numPr>
        <w:spacing w:before="0"/>
        <w:jc w:val="center"/>
        <w:rPr>
          <w:i w:val="0"/>
          <w:iCs/>
          <w:u w:val="none"/>
        </w:rPr>
      </w:pPr>
      <w:r w:rsidRPr="001D7CCB">
        <w:rPr>
          <w:i w:val="0"/>
          <w:iCs/>
          <w:smallCaps/>
          <w:u w:val="none"/>
        </w:rPr>
        <w:t>Cifras desestacionalizadas</w:t>
      </w:r>
      <w:r w:rsidRPr="0082528E">
        <w:rPr>
          <w:b w:val="0"/>
          <w:bCs/>
          <w:i w:val="0"/>
          <w:iCs/>
          <w:u w:val="none"/>
          <w:vertAlign w:val="superscript"/>
        </w:rPr>
        <w:footnoteReference w:id="3"/>
      </w:r>
    </w:p>
    <w:p w14:paraId="1BBDC44A" w14:textId="4B42788D" w:rsidR="005F6DAE" w:rsidRPr="001D7CCB" w:rsidRDefault="005F6DAE" w:rsidP="005F6DAE">
      <w:pPr>
        <w:spacing w:before="360" w:after="120"/>
      </w:pPr>
      <w:r w:rsidRPr="001D7CCB">
        <w:t xml:space="preserve">En julio de 2023 y a tasa mensual, el IMCP </w:t>
      </w:r>
      <w:r w:rsidR="00B109C6" w:rsidRPr="001D7CCB">
        <w:t>no presentó variación</w:t>
      </w:r>
      <w:r w:rsidRPr="001D7CCB">
        <w:t>, en términos reales.</w:t>
      </w:r>
    </w:p>
    <w:p w14:paraId="434F71E9" w14:textId="77777777" w:rsidR="00C162AB" w:rsidRDefault="00C162AB" w:rsidP="00050594">
      <w:pPr>
        <w:widowControl/>
        <w:spacing w:before="240"/>
        <w:jc w:val="center"/>
        <w:rPr>
          <w:rFonts w:cs="Arial"/>
          <w:sz w:val="20"/>
          <w:szCs w:val="22"/>
        </w:rPr>
      </w:pPr>
    </w:p>
    <w:p w14:paraId="5A2018E2" w14:textId="2006E36C" w:rsidR="005F6DAE" w:rsidRPr="001D7CCB" w:rsidRDefault="005F6DAE" w:rsidP="00050594">
      <w:pPr>
        <w:widowControl/>
        <w:spacing w:before="240"/>
        <w:jc w:val="center"/>
        <w:rPr>
          <w:rFonts w:cs="Arial"/>
          <w:sz w:val="22"/>
          <w:szCs w:val="22"/>
        </w:rPr>
      </w:pPr>
      <w:r w:rsidRPr="001D7CCB">
        <w:rPr>
          <w:rFonts w:cs="Arial"/>
          <w:sz w:val="20"/>
          <w:szCs w:val="22"/>
        </w:rPr>
        <w:t>Cuadro 1</w:t>
      </w:r>
    </w:p>
    <w:p w14:paraId="1C677ED1" w14:textId="7F528592" w:rsidR="005F6DAE" w:rsidRPr="001D7CCB" w:rsidRDefault="007B591F" w:rsidP="005F6DAE">
      <w:pPr>
        <w:pStyle w:val="p0"/>
        <w:spacing w:before="0"/>
        <w:jc w:val="center"/>
        <w:rPr>
          <w:rFonts w:cs="Arial"/>
          <w:b/>
          <w:smallCaps/>
          <w:color w:val="auto"/>
          <w:sz w:val="20"/>
        </w:rPr>
      </w:pPr>
      <w:r w:rsidRPr="001D7CCB">
        <w:rPr>
          <w:rFonts w:cs="Arial"/>
          <w:b/>
          <w:smallCaps/>
          <w:color w:val="auto"/>
          <w:sz w:val="22"/>
          <w:szCs w:val="22"/>
        </w:rPr>
        <w:t>Variación porcentual mensual y anual</w:t>
      </w:r>
      <w:r w:rsidR="000B68EF" w:rsidRPr="001D7CCB">
        <w:rPr>
          <w:rFonts w:cs="Arial"/>
          <w:b/>
          <w:smallCaps/>
          <w:color w:val="auto"/>
          <w:sz w:val="22"/>
          <w:szCs w:val="22"/>
        </w:rPr>
        <w:br/>
      </w:r>
      <w:r w:rsidRPr="001D7CCB">
        <w:rPr>
          <w:rFonts w:cs="Arial"/>
          <w:b/>
          <w:smallCaps/>
          <w:color w:val="auto"/>
          <w:sz w:val="22"/>
          <w:szCs w:val="22"/>
        </w:rPr>
        <w:t xml:space="preserve">del </w:t>
      </w:r>
      <w:r w:rsidR="005F6DAE" w:rsidRPr="001D7CCB">
        <w:rPr>
          <w:rFonts w:cs="Arial"/>
          <w:b/>
          <w:smallCaps/>
          <w:color w:val="auto"/>
          <w:sz w:val="22"/>
          <w:szCs w:val="22"/>
        </w:rPr>
        <w:t xml:space="preserve">Indicador Mensual del Consumo Privado </w:t>
      </w:r>
      <w:r w:rsidR="005F6DAE" w:rsidRPr="001D7CCB">
        <w:rPr>
          <w:rFonts w:cs="Arial"/>
          <w:b/>
          <w:smallCaps/>
          <w:color w:val="auto"/>
          <w:sz w:val="22"/>
          <w:szCs w:val="22"/>
        </w:rPr>
        <w:br/>
      </w:r>
      <w:r w:rsidR="005F6DAE" w:rsidRPr="001D7CCB">
        <w:rPr>
          <w:rFonts w:cs="Arial"/>
          <w:b/>
          <w:smallCaps/>
          <w:color w:val="auto"/>
          <w:sz w:val="20"/>
        </w:rPr>
        <w:t xml:space="preserve">cifras desestacionalizadas </w:t>
      </w:r>
    </w:p>
    <w:p w14:paraId="4978D884" w14:textId="77777777" w:rsidR="005F6DAE" w:rsidRPr="001D7CCB" w:rsidRDefault="005F6DAE" w:rsidP="005F6DAE">
      <w:pPr>
        <w:pStyle w:val="p0"/>
        <w:spacing w:before="0"/>
        <w:jc w:val="center"/>
        <w:rPr>
          <w:rFonts w:cs="Arial"/>
          <w:b/>
          <w:smallCaps/>
          <w:color w:val="auto"/>
          <w:sz w:val="20"/>
        </w:rPr>
      </w:pPr>
      <w:r w:rsidRPr="001D7CCB">
        <w:rPr>
          <w:rFonts w:cs="Arial"/>
          <w:b/>
          <w:smallCaps/>
          <w:color w:val="auto"/>
          <w:sz w:val="20"/>
        </w:rPr>
        <w:t>julio de 2023</w:t>
      </w:r>
    </w:p>
    <w:tbl>
      <w:tblPr>
        <w:tblW w:w="0" w:type="auto"/>
        <w:jc w:val="center"/>
        <w:tblLayout w:type="fixed"/>
        <w:tblCellMar>
          <w:left w:w="107" w:type="dxa"/>
          <w:right w:w="107" w:type="dxa"/>
        </w:tblCellMar>
        <w:tblLook w:val="04A0" w:firstRow="1" w:lastRow="0" w:firstColumn="1" w:lastColumn="0" w:noHBand="0" w:noVBand="1"/>
      </w:tblPr>
      <w:tblGrid>
        <w:gridCol w:w="2834"/>
        <w:gridCol w:w="1765"/>
        <w:gridCol w:w="1765"/>
      </w:tblGrid>
      <w:tr w:rsidR="005F6DAE" w:rsidRPr="001D7CCB" w14:paraId="5F818018" w14:textId="77777777" w:rsidTr="00B15EA9">
        <w:trPr>
          <w:cantSplit/>
          <w:trHeight w:val="340"/>
          <w:jc w:val="center"/>
        </w:trPr>
        <w:tc>
          <w:tcPr>
            <w:tcW w:w="2834" w:type="dxa"/>
            <w:vMerge w:val="restart"/>
            <w:tcBorders>
              <w:top w:val="single" w:sz="4" w:space="0" w:color="auto"/>
              <w:left w:val="single" w:sz="4" w:space="0" w:color="auto"/>
              <w:bottom w:val="single" w:sz="4" w:space="0" w:color="404040"/>
              <w:right w:val="single" w:sz="4" w:space="0" w:color="404040"/>
            </w:tcBorders>
            <w:shd w:val="clear" w:color="auto" w:fill="C2D69B" w:themeFill="accent3" w:themeFillTint="99"/>
            <w:vAlign w:val="center"/>
            <w:hideMark/>
          </w:tcPr>
          <w:p w14:paraId="3C170975" w14:textId="77777777" w:rsidR="005F6DAE" w:rsidRPr="001D7CCB" w:rsidRDefault="005F6DAE" w:rsidP="00E140D5">
            <w:pPr>
              <w:pStyle w:val="p0"/>
              <w:tabs>
                <w:tab w:val="left" w:pos="546"/>
              </w:tabs>
              <w:spacing w:before="0"/>
              <w:jc w:val="left"/>
              <w:rPr>
                <w:rFonts w:cs="Arial"/>
                <w:color w:val="auto"/>
                <w:sz w:val="18"/>
              </w:rPr>
            </w:pPr>
            <w:r w:rsidRPr="001D7CCB">
              <w:rPr>
                <w:rFonts w:cs="Arial"/>
                <w:color w:val="auto"/>
                <w:sz w:val="18"/>
              </w:rPr>
              <w:t>Consumo de bienes y servicios por origen</w:t>
            </w:r>
          </w:p>
        </w:tc>
        <w:tc>
          <w:tcPr>
            <w:tcW w:w="3530" w:type="dxa"/>
            <w:gridSpan w:val="2"/>
            <w:tcBorders>
              <w:top w:val="single" w:sz="4" w:space="0" w:color="auto"/>
              <w:left w:val="single" w:sz="4" w:space="0" w:color="404040"/>
              <w:bottom w:val="single" w:sz="4" w:space="0" w:color="404040"/>
              <w:right w:val="single" w:sz="4" w:space="0" w:color="auto"/>
            </w:tcBorders>
            <w:shd w:val="clear" w:color="auto" w:fill="C2D69B" w:themeFill="accent3" w:themeFillTint="99"/>
            <w:vAlign w:val="center"/>
            <w:hideMark/>
          </w:tcPr>
          <w:p w14:paraId="5AD2AE9C" w14:textId="77777777" w:rsidR="005F6DAE" w:rsidRPr="001D7CCB" w:rsidRDefault="005F6DAE" w:rsidP="00E140D5">
            <w:pPr>
              <w:pStyle w:val="p0"/>
              <w:keepNext/>
              <w:spacing w:before="0"/>
              <w:jc w:val="center"/>
              <w:rPr>
                <w:rFonts w:cs="Arial"/>
                <w:color w:val="auto"/>
                <w:sz w:val="18"/>
              </w:rPr>
            </w:pPr>
            <w:r w:rsidRPr="001D7CCB">
              <w:rPr>
                <w:rFonts w:cs="Arial"/>
                <w:color w:val="auto"/>
                <w:sz w:val="18"/>
              </w:rPr>
              <w:t>Variación porcentual real respecto a:</w:t>
            </w:r>
          </w:p>
        </w:tc>
      </w:tr>
      <w:tr w:rsidR="005F6DAE" w:rsidRPr="001D7CCB" w14:paraId="29D4DB66" w14:textId="77777777" w:rsidTr="00B15EA9">
        <w:trPr>
          <w:cantSplit/>
          <w:trHeight w:val="510"/>
          <w:jc w:val="center"/>
        </w:trPr>
        <w:tc>
          <w:tcPr>
            <w:tcW w:w="2834" w:type="dxa"/>
            <w:vMerge/>
            <w:tcBorders>
              <w:top w:val="single" w:sz="4" w:space="0" w:color="404040"/>
              <w:left w:val="single" w:sz="4" w:space="0" w:color="auto"/>
              <w:bottom w:val="single" w:sz="4" w:space="0" w:color="404040"/>
              <w:right w:val="single" w:sz="4" w:space="0" w:color="404040"/>
            </w:tcBorders>
            <w:shd w:val="clear" w:color="auto" w:fill="C2D69B" w:themeFill="accent3" w:themeFillTint="99"/>
            <w:vAlign w:val="center"/>
          </w:tcPr>
          <w:p w14:paraId="061C085E" w14:textId="77777777" w:rsidR="005F6DAE" w:rsidRPr="001D7CCB" w:rsidRDefault="005F6DAE" w:rsidP="00E140D5">
            <w:pPr>
              <w:pStyle w:val="p0"/>
              <w:tabs>
                <w:tab w:val="left" w:pos="546"/>
              </w:tabs>
              <w:spacing w:before="0"/>
              <w:ind w:firstLine="537"/>
              <w:jc w:val="left"/>
              <w:rPr>
                <w:rFonts w:cs="Arial"/>
                <w:color w:val="auto"/>
                <w:sz w:val="18"/>
              </w:rPr>
            </w:pPr>
          </w:p>
        </w:tc>
        <w:tc>
          <w:tcPr>
            <w:tcW w:w="1765"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7C79A3FC" w14:textId="4863B648" w:rsidR="005F6DAE" w:rsidRPr="001D7CCB" w:rsidRDefault="000553E0" w:rsidP="00E140D5">
            <w:pPr>
              <w:pStyle w:val="p0"/>
              <w:keepNext/>
              <w:spacing w:before="0"/>
              <w:jc w:val="center"/>
              <w:rPr>
                <w:rFonts w:cs="Arial"/>
                <w:color w:val="auto"/>
                <w:sz w:val="18"/>
              </w:rPr>
            </w:pPr>
            <w:r w:rsidRPr="001D7CCB">
              <w:rPr>
                <w:rFonts w:cs="Arial"/>
                <w:color w:val="auto"/>
                <w:sz w:val="18"/>
              </w:rPr>
              <w:t>J</w:t>
            </w:r>
            <w:r w:rsidR="005F6DAE" w:rsidRPr="001D7CCB">
              <w:rPr>
                <w:rFonts w:cs="Arial"/>
                <w:color w:val="auto"/>
                <w:sz w:val="18"/>
              </w:rPr>
              <w:t>unio</w:t>
            </w:r>
            <w:r w:rsidR="005F6DAE" w:rsidRPr="001D7CCB">
              <w:rPr>
                <w:rFonts w:cs="Arial"/>
                <w:color w:val="auto"/>
                <w:sz w:val="18"/>
              </w:rPr>
              <w:br/>
              <w:t>de 2023</w:t>
            </w:r>
          </w:p>
        </w:tc>
        <w:tc>
          <w:tcPr>
            <w:tcW w:w="1765" w:type="dxa"/>
            <w:tcBorders>
              <w:top w:val="single" w:sz="4" w:space="0" w:color="404040"/>
              <w:left w:val="single" w:sz="4" w:space="0" w:color="404040"/>
              <w:bottom w:val="single" w:sz="4" w:space="0" w:color="404040"/>
              <w:right w:val="single" w:sz="4" w:space="0" w:color="auto"/>
            </w:tcBorders>
            <w:shd w:val="clear" w:color="auto" w:fill="C2D69B" w:themeFill="accent3" w:themeFillTint="99"/>
            <w:vAlign w:val="center"/>
          </w:tcPr>
          <w:p w14:paraId="6194F055" w14:textId="33389E96" w:rsidR="005F6DAE" w:rsidRPr="001D7CCB" w:rsidRDefault="000553E0" w:rsidP="00E140D5">
            <w:pPr>
              <w:pStyle w:val="p0"/>
              <w:keepNext/>
              <w:spacing w:before="0"/>
              <w:jc w:val="center"/>
              <w:rPr>
                <w:rFonts w:cs="Arial"/>
                <w:color w:val="auto"/>
                <w:sz w:val="18"/>
              </w:rPr>
            </w:pPr>
            <w:r w:rsidRPr="001D7CCB">
              <w:rPr>
                <w:rFonts w:cs="Arial"/>
                <w:color w:val="auto"/>
                <w:sz w:val="18"/>
              </w:rPr>
              <w:t>J</w:t>
            </w:r>
            <w:r w:rsidR="005F6DAE" w:rsidRPr="001D7CCB">
              <w:rPr>
                <w:rFonts w:cs="Arial"/>
                <w:color w:val="auto"/>
                <w:sz w:val="18"/>
              </w:rPr>
              <w:t>ulio</w:t>
            </w:r>
            <w:r w:rsidR="005F6DAE" w:rsidRPr="001D7CCB">
              <w:rPr>
                <w:rFonts w:cs="Arial"/>
                <w:color w:val="auto"/>
                <w:sz w:val="18"/>
              </w:rPr>
              <w:br/>
              <w:t>de 2022</w:t>
            </w:r>
          </w:p>
        </w:tc>
      </w:tr>
      <w:tr w:rsidR="005F6DAE" w:rsidRPr="001D7CCB" w14:paraId="7B66C4C2" w14:textId="77777777" w:rsidTr="00B15EA9">
        <w:trPr>
          <w:cantSplit/>
          <w:trHeight w:val="255"/>
          <w:jc w:val="center"/>
        </w:trPr>
        <w:tc>
          <w:tcPr>
            <w:tcW w:w="2834" w:type="dxa"/>
            <w:tcBorders>
              <w:top w:val="single" w:sz="4" w:space="0" w:color="404040"/>
              <w:left w:val="single" w:sz="4" w:space="0" w:color="auto"/>
              <w:bottom w:val="nil"/>
              <w:right w:val="single" w:sz="4" w:space="0" w:color="404040"/>
            </w:tcBorders>
            <w:vAlign w:val="center"/>
            <w:hideMark/>
          </w:tcPr>
          <w:p w14:paraId="65F1AED2" w14:textId="77777777" w:rsidR="005F6DAE" w:rsidRPr="001D7CCB" w:rsidRDefault="005F6DAE" w:rsidP="00E140D5">
            <w:pPr>
              <w:pStyle w:val="p0"/>
              <w:tabs>
                <w:tab w:val="left" w:pos="5103"/>
              </w:tabs>
              <w:spacing w:before="0"/>
              <w:ind w:firstLine="62"/>
              <w:jc w:val="left"/>
              <w:rPr>
                <w:rFonts w:cs="Arial"/>
                <w:b/>
                <w:color w:val="auto"/>
                <w:sz w:val="18"/>
              </w:rPr>
            </w:pPr>
            <w:r w:rsidRPr="001D7CCB">
              <w:rPr>
                <w:rFonts w:cs="Arial"/>
                <w:sz w:val="18"/>
              </w:rPr>
              <w:br w:type="page"/>
            </w:r>
            <w:r w:rsidRPr="001D7CCB">
              <w:rPr>
                <w:rFonts w:cs="Arial"/>
                <w:b/>
                <w:color w:val="auto"/>
                <w:sz w:val="18"/>
              </w:rPr>
              <w:t>Total</w:t>
            </w:r>
          </w:p>
        </w:tc>
        <w:tc>
          <w:tcPr>
            <w:tcW w:w="1765" w:type="dxa"/>
            <w:tcBorders>
              <w:top w:val="single" w:sz="4" w:space="0" w:color="404040"/>
              <w:left w:val="single" w:sz="4" w:space="0" w:color="404040"/>
              <w:bottom w:val="nil"/>
              <w:right w:val="single" w:sz="4" w:space="0" w:color="404040"/>
            </w:tcBorders>
            <w:vAlign w:val="center"/>
            <w:hideMark/>
          </w:tcPr>
          <w:p w14:paraId="03CC952B" w14:textId="3437F590" w:rsidR="005F6DAE" w:rsidRPr="001D7CCB" w:rsidRDefault="005F6DAE" w:rsidP="00E140D5">
            <w:pPr>
              <w:tabs>
                <w:tab w:val="left" w:pos="5103"/>
              </w:tabs>
              <w:ind w:right="567"/>
              <w:jc w:val="right"/>
              <w:rPr>
                <w:rFonts w:cs="Arial"/>
                <w:b/>
                <w:sz w:val="18"/>
                <w:lang w:eastAsia="en-US"/>
              </w:rPr>
            </w:pPr>
            <w:r w:rsidRPr="001D7CCB">
              <w:rPr>
                <w:rFonts w:cs="Arial"/>
                <w:b/>
                <w:sz w:val="18"/>
                <w:lang w:eastAsia="en-US"/>
              </w:rPr>
              <w:t>0.</w:t>
            </w:r>
            <w:r w:rsidR="00B109C6" w:rsidRPr="001D7CCB">
              <w:rPr>
                <w:rFonts w:cs="Arial"/>
                <w:b/>
                <w:sz w:val="18"/>
                <w:lang w:eastAsia="en-US"/>
              </w:rPr>
              <w:t>0</w:t>
            </w:r>
          </w:p>
        </w:tc>
        <w:tc>
          <w:tcPr>
            <w:tcW w:w="1765" w:type="dxa"/>
            <w:tcBorders>
              <w:top w:val="single" w:sz="4" w:space="0" w:color="404040"/>
              <w:left w:val="single" w:sz="4" w:space="0" w:color="404040"/>
              <w:bottom w:val="nil"/>
              <w:right w:val="single" w:sz="4" w:space="0" w:color="auto"/>
            </w:tcBorders>
            <w:vAlign w:val="center"/>
            <w:hideMark/>
          </w:tcPr>
          <w:p w14:paraId="5A835528" w14:textId="2B4938E8" w:rsidR="005F6DAE" w:rsidRPr="001D7CCB" w:rsidRDefault="005F6DAE" w:rsidP="00E140D5">
            <w:pPr>
              <w:tabs>
                <w:tab w:val="left" w:pos="5103"/>
              </w:tabs>
              <w:ind w:right="620"/>
              <w:jc w:val="right"/>
              <w:rPr>
                <w:rFonts w:cs="Arial"/>
                <w:b/>
                <w:sz w:val="18"/>
                <w:lang w:eastAsia="en-US"/>
              </w:rPr>
            </w:pPr>
            <w:r w:rsidRPr="001D7CCB">
              <w:rPr>
                <w:rFonts w:cs="Arial"/>
                <w:b/>
                <w:sz w:val="18"/>
                <w:lang w:eastAsia="en-US"/>
              </w:rPr>
              <w:t>4.</w:t>
            </w:r>
            <w:r w:rsidR="00B109C6" w:rsidRPr="001D7CCB">
              <w:rPr>
                <w:rFonts w:cs="Arial"/>
                <w:b/>
                <w:sz w:val="18"/>
                <w:lang w:eastAsia="en-US"/>
              </w:rPr>
              <w:t>3</w:t>
            </w:r>
          </w:p>
        </w:tc>
      </w:tr>
      <w:tr w:rsidR="005F6DAE" w:rsidRPr="001D7CCB" w14:paraId="43339220" w14:textId="77777777" w:rsidTr="00B15EA9">
        <w:trPr>
          <w:cantSplit/>
          <w:trHeight w:val="255"/>
          <w:jc w:val="center"/>
        </w:trPr>
        <w:tc>
          <w:tcPr>
            <w:tcW w:w="2834" w:type="dxa"/>
            <w:tcBorders>
              <w:top w:val="nil"/>
              <w:left w:val="single" w:sz="4" w:space="0" w:color="auto"/>
              <w:bottom w:val="nil"/>
              <w:right w:val="single" w:sz="4" w:space="0" w:color="404040"/>
            </w:tcBorders>
            <w:vAlign w:val="center"/>
            <w:hideMark/>
          </w:tcPr>
          <w:p w14:paraId="30972F87" w14:textId="77777777" w:rsidR="005F6DAE" w:rsidRPr="001D7CCB" w:rsidRDefault="005F6DAE" w:rsidP="00E140D5">
            <w:pPr>
              <w:pStyle w:val="p0"/>
              <w:tabs>
                <w:tab w:val="left" w:pos="5103"/>
              </w:tabs>
              <w:spacing w:before="0"/>
              <w:ind w:firstLine="313"/>
              <w:jc w:val="left"/>
              <w:rPr>
                <w:rFonts w:cs="Arial"/>
                <w:b/>
                <w:color w:val="auto"/>
                <w:sz w:val="18"/>
              </w:rPr>
            </w:pPr>
            <w:r w:rsidRPr="001D7CCB">
              <w:rPr>
                <w:rFonts w:cs="Arial"/>
                <w:b/>
                <w:color w:val="auto"/>
                <w:sz w:val="18"/>
              </w:rPr>
              <w:t>Nacional</w:t>
            </w:r>
          </w:p>
        </w:tc>
        <w:tc>
          <w:tcPr>
            <w:tcW w:w="1765" w:type="dxa"/>
            <w:tcBorders>
              <w:top w:val="nil"/>
              <w:left w:val="single" w:sz="4" w:space="0" w:color="404040"/>
              <w:bottom w:val="nil"/>
              <w:right w:val="single" w:sz="4" w:space="0" w:color="404040"/>
            </w:tcBorders>
            <w:vAlign w:val="center"/>
            <w:hideMark/>
          </w:tcPr>
          <w:p w14:paraId="33071AFF" w14:textId="79852F76" w:rsidR="005F6DAE" w:rsidRPr="001D7CCB" w:rsidRDefault="005F6DAE" w:rsidP="00E140D5">
            <w:pPr>
              <w:tabs>
                <w:tab w:val="left" w:pos="5103"/>
              </w:tabs>
              <w:ind w:right="567"/>
              <w:jc w:val="right"/>
              <w:rPr>
                <w:rFonts w:cs="Arial"/>
                <w:b/>
                <w:sz w:val="18"/>
                <w:lang w:eastAsia="en-US"/>
              </w:rPr>
            </w:pPr>
            <w:r w:rsidRPr="001D7CCB">
              <w:rPr>
                <w:rFonts w:cs="Arial"/>
                <w:b/>
                <w:sz w:val="18"/>
                <w:lang w:eastAsia="en-US"/>
              </w:rPr>
              <w:t>0.</w:t>
            </w:r>
            <w:r w:rsidR="00B109C6" w:rsidRPr="001D7CCB">
              <w:rPr>
                <w:rFonts w:cs="Arial"/>
                <w:b/>
                <w:sz w:val="18"/>
                <w:lang w:eastAsia="en-US"/>
              </w:rPr>
              <w:t>3</w:t>
            </w:r>
          </w:p>
        </w:tc>
        <w:tc>
          <w:tcPr>
            <w:tcW w:w="1765" w:type="dxa"/>
            <w:tcBorders>
              <w:top w:val="nil"/>
              <w:left w:val="single" w:sz="4" w:space="0" w:color="404040"/>
              <w:bottom w:val="nil"/>
              <w:right w:val="single" w:sz="4" w:space="0" w:color="auto"/>
            </w:tcBorders>
            <w:vAlign w:val="center"/>
            <w:hideMark/>
          </w:tcPr>
          <w:p w14:paraId="32A37105" w14:textId="578433B6" w:rsidR="005F6DAE" w:rsidRPr="001D7CCB" w:rsidRDefault="00B109C6" w:rsidP="00E140D5">
            <w:pPr>
              <w:tabs>
                <w:tab w:val="left" w:pos="5103"/>
              </w:tabs>
              <w:ind w:right="620"/>
              <w:jc w:val="right"/>
              <w:rPr>
                <w:rFonts w:cs="Arial"/>
                <w:b/>
                <w:sz w:val="18"/>
                <w:lang w:eastAsia="en-US"/>
              </w:rPr>
            </w:pPr>
            <w:r w:rsidRPr="001D7CCB">
              <w:rPr>
                <w:rFonts w:cs="Arial"/>
                <w:b/>
                <w:sz w:val="18"/>
                <w:lang w:eastAsia="en-US"/>
              </w:rPr>
              <w:t>1.2</w:t>
            </w:r>
          </w:p>
        </w:tc>
      </w:tr>
      <w:tr w:rsidR="005F6DAE" w:rsidRPr="001D7CCB" w14:paraId="166672C1" w14:textId="77777777" w:rsidTr="00B15EA9">
        <w:trPr>
          <w:cantSplit/>
          <w:trHeight w:val="255"/>
          <w:jc w:val="center"/>
        </w:trPr>
        <w:tc>
          <w:tcPr>
            <w:tcW w:w="2834" w:type="dxa"/>
            <w:tcBorders>
              <w:top w:val="nil"/>
              <w:left w:val="single" w:sz="4" w:space="0" w:color="auto"/>
              <w:bottom w:val="nil"/>
              <w:right w:val="single" w:sz="4" w:space="0" w:color="404040"/>
            </w:tcBorders>
            <w:vAlign w:val="center"/>
            <w:hideMark/>
          </w:tcPr>
          <w:p w14:paraId="2C79B024" w14:textId="77777777" w:rsidR="005F6DAE" w:rsidRPr="001D7CCB" w:rsidRDefault="005F6DAE" w:rsidP="00E140D5">
            <w:pPr>
              <w:pStyle w:val="p0"/>
              <w:tabs>
                <w:tab w:val="left" w:pos="5103"/>
              </w:tabs>
              <w:spacing w:before="0"/>
              <w:ind w:firstLine="454"/>
              <w:jc w:val="left"/>
              <w:rPr>
                <w:rFonts w:cs="Arial"/>
                <w:color w:val="auto"/>
                <w:sz w:val="18"/>
              </w:rPr>
            </w:pPr>
            <w:r w:rsidRPr="001D7CCB">
              <w:rPr>
                <w:rFonts w:cs="Arial"/>
                <w:color w:val="auto"/>
                <w:sz w:val="18"/>
              </w:rPr>
              <w:t>Bienes</w:t>
            </w:r>
          </w:p>
        </w:tc>
        <w:tc>
          <w:tcPr>
            <w:tcW w:w="1765" w:type="dxa"/>
            <w:tcBorders>
              <w:top w:val="nil"/>
              <w:left w:val="single" w:sz="4" w:space="0" w:color="404040"/>
              <w:bottom w:val="nil"/>
              <w:right w:val="single" w:sz="4" w:space="0" w:color="404040"/>
            </w:tcBorders>
            <w:vAlign w:val="center"/>
            <w:hideMark/>
          </w:tcPr>
          <w:p w14:paraId="536718BD" w14:textId="50FA9980" w:rsidR="005F6DAE" w:rsidRPr="001D7CCB" w:rsidRDefault="00B109C6" w:rsidP="00E140D5">
            <w:pPr>
              <w:tabs>
                <w:tab w:val="left" w:pos="5103"/>
              </w:tabs>
              <w:ind w:right="567"/>
              <w:jc w:val="right"/>
              <w:rPr>
                <w:rFonts w:cs="Arial"/>
                <w:sz w:val="18"/>
                <w:lang w:eastAsia="en-US"/>
              </w:rPr>
            </w:pPr>
            <w:r w:rsidRPr="001D7CCB">
              <w:rPr>
                <w:rFonts w:cs="Arial"/>
                <w:sz w:val="18"/>
                <w:lang w:eastAsia="en-US"/>
              </w:rPr>
              <w:t>1.4</w:t>
            </w:r>
          </w:p>
        </w:tc>
        <w:tc>
          <w:tcPr>
            <w:tcW w:w="1765" w:type="dxa"/>
            <w:tcBorders>
              <w:top w:val="nil"/>
              <w:left w:val="single" w:sz="4" w:space="0" w:color="404040"/>
              <w:bottom w:val="nil"/>
              <w:right w:val="single" w:sz="4" w:space="0" w:color="auto"/>
            </w:tcBorders>
            <w:vAlign w:val="center"/>
            <w:hideMark/>
          </w:tcPr>
          <w:p w14:paraId="352CE553" w14:textId="0B08100E" w:rsidR="005F6DAE" w:rsidRPr="001D7CCB" w:rsidRDefault="005F6DAE" w:rsidP="00E140D5">
            <w:pPr>
              <w:tabs>
                <w:tab w:val="left" w:pos="5103"/>
              </w:tabs>
              <w:ind w:right="620"/>
              <w:jc w:val="right"/>
              <w:rPr>
                <w:rFonts w:cs="Arial"/>
                <w:sz w:val="18"/>
                <w:lang w:eastAsia="en-US"/>
              </w:rPr>
            </w:pPr>
            <w:r w:rsidRPr="001D7CCB">
              <w:rPr>
                <w:rFonts w:cs="Arial"/>
                <w:sz w:val="18"/>
                <w:lang w:eastAsia="en-US"/>
              </w:rPr>
              <w:t>-</w:t>
            </w:r>
            <w:r w:rsidR="00B109C6" w:rsidRPr="001D7CCB">
              <w:rPr>
                <w:rFonts w:cs="Arial"/>
                <w:sz w:val="18"/>
                <w:lang w:eastAsia="en-US"/>
              </w:rPr>
              <w:t>0.8</w:t>
            </w:r>
          </w:p>
        </w:tc>
      </w:tr>
      <w:tr w:rsidR="005F6DAE" w:rsidRPr="001D7CCB" w14:paraId="7B213F6B" w14:textId="77777777" w:rsidTr="00B15EA9">
        <w:trPr>
          <w:cantSplit/>
          <w:trHeight w:val="255"/>
          <w:jc w:val="center"/>
        </w:trPr>
        <w:tc>
          <w:tcPr>
            <w:tcW w:w="2834" w:type="dxa"/>
            <w:tcBorders>
              <w:top w:val="nil"/>
              <w:left w:val="single" w:sz="4" w:space="0" w:color="auto"/>
              <w:bottom w:val="nil"/>
              <w:right w:val="single" w:sz="4" w:space="0" w:color="404040"/>
            </w:tcBorders>
            <w:vAlign w:val="center"/>
            <w:hideMark/>
          </w:tcPr>
          <w:p w14:paraId="734D022B" w14:textId="77777777" w:rsidR="005F6DAE" w:rsidRPr="001D7CCB" w:rsidRDefault="005F6DAE" w:rsidP="00E140D5">
            <w:pPr>
              <w:pStyle w:val="p0"/>
              <w:tabs>
                <w:tab w:val="left" w:pos="5103"/>
              </w:tabs>
              <w:spacing w:before="0"/>
              <w:ind w:firstLine="454"/>
              <w:jc w:val="left"/>
              <w:rPr>
                <w:rFonts w:cs="Arial"/>
                <w:color w:val="auto"/>
                <w:sz w:val="18"/>
              </w:rPr>
            </w:pPr>
            <w:r w:rsidRPr="001D7CCB">
              <w:rPr>
                <w:rFonts w:cs="Arial"/>
                <w:color w:val="auto"/>
                <w:sz w:val="18"/>
              </w:rPr>
              <w:t>Servicios</w:t>
            </w:r>
          </w:p>
        </w:tc>
        <w:tc>
          <w:tcPr>
            <w:tcW w:w="1765" w:type="dxa"/>
            <w:tcBorders>
              <w:top w:val="nil"/>
              <w:left w:val="single" w:sz="4" w:space="0" w:color="404040"/>
              <w:bottom w:val="nil"/>
              <w:right w:val="single" w:sz="4" w:space="0" w:color="404040"/>
            </w:tcBorders>
            <w:vAlign w:val="center"/>
            <w:hideMark/>
          </w:tcPr>
          <w:p w14:paraId="6C592454" w14:textId="0AFE695C" w:rsidR="005F6DAE" w:rsidRPr="001D7CCB" w:rsidRDefault="00B109C6" w:rsidP="00E140D5">
            <w:pPr>
              <w:tabs>
                <w:tab w:val="left" w:pos="5103"/>
              </w:tabs>
              <w:ind w:right="567"/>
              <w:jc w:val="right"/>
              <w:rPr>
                <w:rFonts w:cs="Arial"/>
                <w:sz w:val="18"/>
                <w:lang w:eastAsia="en-US"/>
              </w:rPr>
            </w:pPr>
            <w:r w:rsidRPr="001D7CCB">
              <w:rPr>
                <w:rFonts w:cs="Arial"/>
                <w:sz w:val="18"/>
                <w:lang w:eastAsia="en-US"/>
              </w:rPr>
              <w:t>-</w:t>
            </w:r>
            <w:r w:rsidR="005F6DAE" w:rsidRPr="001D7CCB">
              <w:rPr>
                <w:rFonts w:cs="Arial"/>
                <w:sz w:val="18"/>
                <w:lang w:eastAsia="en-US"/>
              </w:rPr>
              <w:t>0.</w:t>
            </w:r>
            <w:r w:rsidRPr="001D7CCB">
              <w:rPr>
                <w:rFonts w:cs="Arial"/>
                <w:sz w:val="18"/>
                <w:lang w:eastAsia="en-US"/>
              </w:rPr>
              <w:t>6</w:t>
            </w:r>
          </w:p>
        </w:tc>
        <w:tc>
          <w:tcPr>
            <w:tcW w:w="1765" w:type="dxa"/>
            <w:tcBorders>
              <w:top w:val="nil"/>
              <w:left w:val="single" w:sz="4" w:space="0" w:color="404040"/>
              <w:bottom w:val="nil"/>
              <w:right w:val="single" w:sz="4" w:space="0" w:color="auto"/>
            </w:tcBorders>
            <w:vAlign w:val="center"/>
            <w:hideMark/>
          </w:tcPr>
          <w:p w14:paraId="32D39C55" w14:textId="31C32077" w:rsidR="005F6DAE" w:rsidRPr="001D7CCB" w:rsidRDefault="00B109C6" w:rsidP="00E140D5">
            <w:pPr>
              <w:tabs>
                <w:tab w:val="left" w:pos="5103"/>
              </w:tabs>
              <w:ind w:right="620"/>
              <w:jc w:val="right"/>
              <w:rPr>
                <w:rFonts w:cs="Arial"/>
                <w:sz w:val="18"/>
                <w:lang w:eastAsia="en-US"/>
              </w:rPr>
            </w:pPr>
            <w:r w:rsidRPr="001D7CCB">
              <w:rPr>
                <w:rFonts w:cs="Arial"/>
                <w:sz w:val="18"/>
                <w:lang w:eastAsia="en-US"/>
              </w:rPr>
              <w:t>3</w:t>
            </w:r>
            <w:r w:rsidR="005F6DAE" w:rsidRPr="001D7CCB">
              <w:rPr>
                <w:rFonts w:cs="Arial"/>
                <w:sz w:val="18"/>
                <w:lang w:eastAsia="en-US"/>
              </w:rPr>
              <w:t>.5</w:t>
            </w:r>
          </w:p>
        </w:tc>
      </w:tr>
      <w:tr w:rsidR="005F6DAE" w:rsidRPr="001D7CCB" w14:paraId="343B9E9D" w14:textId="77777777" w:rsidTr="00B15EA9">
        <w:trPr>
          <w:cantSplit/>
          <w:trHeight w:val="255"/>
          <w:jc w:val="center"/>
        </w:trPr>
        <w:tc>
          <w:tcPr>
            <w:tcW w:w="2834" w:type="dxa"/>
            <w:tcBorders>
              <w:top w:val="nil"/>
              <w:left w:val="single" w:sz="4" w:space="0" w:color="auto"/>
              <w:bottom w:val="nil"/>
              <w:right w:val="single" w:sz="4" w:space="0" w:color="404040"/>
            </w:tcBorders>
            <w:vAlign w:val="center"/>
            <w:hideMark/>
          </w:tcPr>
          <w:p w14:paraId="458AE435" w14:textId="77777777" w:rsidR="005F6DAE" w:rsidRPr="001D7CCB" w:rsidRDefault="005F6DAE" w:rsidP="00E140D5">
            <w:pPr>
              <w:pStyle w:val="p0"/>
              <w:tabs>
                <w:tab w:val="left" w:pos="5103"/>
              </w:tabs>
              <w:spacing w:before="0"/>
              <w:ind w:firstLine="313"/>
              <w:jc w:val="left"/>
              <w:rPr>
                <w:rFonts w:cs="Arial"/>
                <w:b/>
                <w:color w:val="auto"/>
                <w:sz w:val="18"/>
              </w:rPr>
            </w:pPr>
            <w:r w:rsidRPr="001D7CCB">
              <w:rPr>
                <w:rFonts w:cs="Arial"/>
                <w:b/>
                <w:color w:val="auto"/>
                <w:sz w:val="18"/>
              </w:rPr>
              <w:t>Importado</w:t>
            </w:r>
          </w:p>
        </w:tc>
        <w:tc>
          <w:tcPr>
            <w:tcW w:w="1765" w:type="dxa"/>
            <w:tcBorders>
              <w:top w:val="nil"/>
              <w:left w:val="single" w:sz="4" w:space="0" w:color="404040"/>
              <w:bottom w:val="nil"/>
              <w:right w:val="single" w:sz="4" w:space="0" w:color="404040"/>
            </w:tcBorders>
            <w:vAlign w:val="center"/>
            <w:hideMark/>
          </w:tcPr>
          <w:p w14:paraId="7C61944D" w14:textId="39DC61F6" w:rsidR="005F6DAE" w:rsidRPr="001D7CCB" w:rsidRDefault="00566E68" w:rsidP="00E140D5">
            <w:pPr>
              <w:tabs>
                <w:tab w:val="left" w:pos="5103"/>
              </w:tabs>
              <w:ind w:right="567"/>
              <w:jc w:val="right"/>
              <w:rPr>
                <w:rFonts w:cs="Arial"/>
                <w:b/>
                <w:sz w:val="18"/>
                <w:lang w:eastAsia="en-US"/>
              </w:rPr>
            </w:pPr>
            <w:r w:rsidRPr="001D7CCB">
              <w:rPr>
                <w:rFonts w:cs="Arial"/>
                <w:b/>
                <w:sz w:val="18"/>
                <w:lang w:eastAsia="en-US"/>
              </w:rPr>
              <w:t>-1.1</w:t>
            </w:r>
          </w:p>
        </w:tc>
        <w:tc>
          <w:tcPr>
            <w:tcW w:w="1765" w:type="dxa"/>
            <w:tcBorders>
              <w:top w:val="nil"/>
              <w:left w:val="single" w:sz="4" w:space="0" w:color="404040"/>
              <w:bottom w:val="nil"/>
              <w:right w:val="single" w:sz="4" w:space="0" w:color="auto"/>
            </w:tcBorders>
            <w:vAlign w:val="center"/>
            <w:hideMark/>
          </w:tcPr>
          <w:p w14:paraId="46834003" w14:textId="6D41C366" w:rsidR="005F6DAE" w:rsidRPr="001D7CCB" w:rsidRDefault="00566E68" w:rsidP="00E140D5">
            <w:pPr>
              <w:tabs>
                <w:tab w:val="left" w:pos="5103"/>
              </w:tabs>
              <w:ind w:right="620"/>
              <w:jc w:val="right"/>
              <w:rPr>
                <w:rFonts w:cs="Arial"/>
                <w:b/>
                <w:sz w:val="18"/>
                <w:lang w:eastAsia="en-US"/>
              </w:rPr>
            </w:pPr>
            <w:r w:rsidRPr="001D7CCB">
              <w:rPr>
                <w:rFonts w:cs="Arial"/>
                <w:b/>
                <w:sz w:val="18"/>
                <w:lang w:eastAsia="en-US"/>
              </w:rPr>
              <w:t>1</w:t>
            </w:r>
            <w:r w:rsidR="005F6DAE" w:rsidRPr="001D7CCB">
              <w:rPr>
                <w:rFonts w:cs="Arial"/>
                <w:b/>
                <w:sz w:val="18"/>
                <w:lang w:eastAsia="en-US"/>
              </w:rPr>
              <w:t>9</w:t>
            </w:r>
            <w:r w:rsidRPr="001D7CCB">
              <w:rPr>
                <w:rFonts w:cs="Arial"/>
                <w:b/>
                <w:sz w:val="18"/>
                <w:lang w:eastAsia="en-US"/>
              </w:rPr>
              <w:t>.1</w:t>
            </w:r>
            <w:r w:rsidR="005F6DAE" w:rsidRPr="001D7CCB">
              <w:rPr>
                <w:rFonts w:cs="Arial"/>
                <w:b/>
                <w:sz w:val="18"/>
                <w:lang w:eastAsia="en-US"/>
              </w:rPr>
              <w:t xml:space="preserve"> </w:t>
            </w:r>
          </w:p>
        </w:tc>
      </w:tr>
      <w:tr w:rsidR="005F6DAE" w:rsidRPr="001D7CCB" w14:paraId="3BAF89F5" w14:textId="77777777" w:rsidTr="00B15EA9">
        <w:trPr>
          <w:cantSplit/>
          <w:trHeight w:val="255"/>
          <w:jc w:val="center"/>
        </w:trPr>
        <w:tc>
          <w:tcPr>
            <w:tcW w:w="2834" w:type="dxa"/>
            <w:tcBorders>
              <w:top w:val="nil"/>
              <w:left w:val="single" w:sz="4" w:space="0" w:color="auto"/>
              <w:bottom w:val="single" w:sz="4" w:space="0" w:color="auto"/>
              <w:right w:val="single" w:sz="4" w:space="0" w:color="404040"/>
            </w:tcBorders>
            <w:vAlign w:val="center"/>
          </w:tcPr>
          <w:p w14:paraId="6E40B99C" w14:textId="77777777" w:rsidR="005F6DAE" w:rsidRPr="001D7CCB" w:rsidRDefault="005F6DAE" w:rsidP="00E140D5">
            <w:pPr>
              <w:pStyle w:val="p0"/>
              <w:tabs>
                <w:tab w:val="left" w:pos="5103"/>
              </w:tabs>
              <w:spacing w:before="0"/>
              <w:ind w:firstLine="454"/>
              <w:jc w:val="left"/>
              <w:rPr>
                <w:rFonts w:cs="Arial"/>
                <w:color w:val="auto"/>
                <w:sz w:val="18"/>
              </w:rPr>
            </w:pPr>
            <w:r w:rsidRPr="001D7CCB">
              <w:rPr>
                <w:rFonts w:cs="Arial"/>
                <w:color w:val="auto"/>
                <w:sz w:val="18"/>
              </w:rPr>
              <w:t>Bienes</w:t>
            </w:r>
          </w:p>
        </w:tc>
        <w:tc>
          <w:tcPr>
            <w:tcW w:w="1765" w:type="dxa"/>
            <w:tcBorders>
              <w:top w:val="nil"/>
              <w:left w:val="single" w:sz="4" w:space="0" w:color="404040"/>
              <w:bottom w:val="single" w:sz="4" w:space="0" w:color="auto"/>
              <w:right w:val="single" w:sz="4" w:space="0" w:color="404040"/>
            </w:tcBorders>
            <w:vAlign w:val="center"/>
          </w:tcPr>
          <w:p w14:paraId="441D87F0" w14:textId="2FBC9F04" w:rsidR="005F6DAE" w:rsidRPr="001D7CCB" w:rsidRDefault="00566E68" w:rsidP="00E140D5">
            <w:pPr>
              <w:tabs>
                <w:tab w:val="left" w:pos="5103"/>
              </w:tabs>
              <w:ind w:right="567"/>
              <w:jc w:val="right"/>
              <w:rPr>
                <w:rFonts w:cs="Arial"/>
                <w:sz w:val="18"/>
              </w:rPr>
            </w:pPr>
            <w:r w:rsidRPr="001D7CCB">
              <w:rPr>
                <w:rFonts w:cs="Arial"/>
                <w:sz w:val="18"/>
              </w:rPr>
              <w:t>-1.1</w:t>
            </w:r>
          </w:p>
        </w:tc>
        <w:tc>
          <w:tcPr>
            <w:tcW w:w="1765" w:type="dxa"/>
            <w:tcBorders>
              <w:top w:val="nil"/>
              <w:left w:val="single" w:sz="4" w:space="0" w:color="404040"/>
              <w:bottom w:val="single" w:sz="4" w:space="0" w:color="auto"/>
              <w:right w:val="single" w:sz="4" w:space="0" w:color="auto"/>
            </w:tcBorders>
            <w:vAlign w:val="center"/>
          </w:tcPr>
          <w:p w14:paraId="3BF4DC2D" w14:textId="165852CF" w:rsidR="005F6DAE" w:rsidRPr="001D7CCB" w:rsidRDefault="00566E68" w:rsidP="00E140D5">
            <w:pPr>
              <w:tabs>
                <w:tab w:val="left" w:pos="5103"/>
              </w:tabs>
              <w:ind w:right="620"/>
              <w:jc w:val="right"/>
              <w:rPr>
                <w:rFonts w:cs="Arial"/>
                <w:sz w:val="18"/>
              </w:rPr>
            </w:pPr>
            <w:r w:rsidRPr="001D7CCB">
              <w:rPr>
                <w:rFonts w:cs="Arial"/>
                <w:sz w:val="18"/>
              </w:rPr>
              <w:t>1</w:t>
            </w:r>
            <w:r w:rsidR="005F6DAE" w:rsidRPr="001D7CCB">
              <w:rPr>
                <w:rFonts w:cs="Arial"/>
                <w:sz w:val="18"/>
              </w:rPr>
              <w:t>9</w:t>
            </w:r>
            <w:r w:rsidRPr="001D7CCB">
              <w:rPr>
                <w:rFonts w:cs="Arial"/>
                <w:sz w:val="18"/>
              </w:rPr>
              <w:t>.1</w:t>
            </w:r>
          </w:p>
        </w:tc>
      </w:tr>
    </w:tbl>
    <w:p w14:paraId="584C4D26" w14:textId="77777777" w:rsidR="005F6DAE" w:rsidRPr="001D7CCB" w:rsidRDefault="005F6DAE" w:rsidP="005F6DAE">
      <w:pPr>
        <w:pStyle w:val="p0"/>
        <w:tabs>
          <w:tab w:val="left" w:pos="5103"/>
        </w:tabs>
        <w:spacing w:before="0"/>
        <w:ind w:left="2492" w:right="1855" w:hanging="601"/>
        <w:rPr>
          <w:rFonts w:cs="Arial"/>
          <w:color w:val="auto"/>
          <w:sz w:val="16"/>
        </w:rPr>
      </w:pPr>
      <w:r w:rsidRPr="001D7CCB">
        <w:rPr>
          <w:rFonts w:cs="Arial"/>
          <w:color w:val="auto"/>
          <w:sz w:val="16"/>
        </w:rPr>
        <w:t>Nota:</w:t>
      </w:r>
      <w:r w:rsidRPr="001D7CCB">
        <w:rPr>
          <w:rFonts w:cs="Arial"/>
          <w:color w:val="auto"/>
          <w:sz w:val="16"/>
        </w:rPr>
        <w:tab/>
        <w:t>Las series desestacionalizadas de los principales agregados del consumo privado se calculan de manera independiente a la de sus componentes.</w:t>
      </w:r>
    </w:p>
    <w:p w14:paraId="125181EB" w14:textId="5B6161C9" w:rsidR="005F6DAE" w:rsidRPr="004A0304" w:rsidRDefault="005F6DAE" w:rsidP="00050594">
      <w:pPr>
        <w:pStyle w:val="p0"/>
        <w:tabs>
          <w:tab w:val="left" w:pos="5103"/>
        </w:tabs>
        <w:spacing w:before="0"/>
        <w:ind w:left="2492" w:right="1855" w:hanging="601"/>
        <w:rPr>
          <w:rFonts w:cs="Arial"/>
          <w:sz w:val="16"/>
        </w:rPr>
      </w:pPr>
      <w:r w:rsidRPr="001D7CCB">
        <w:rPr>
          <w:color w:val="000000" w:themeColor="text1"/>
          <w:sz w:val="16"/>
          <w:szCs w:val="16"/>
        </w:rPr>
        <w:t>Fuente:</w:t>
      </w:r>
      <w:r w:rsidR="004A0304">
        <w:rPr>
          <w:color w:val="000000" w:themeColor="text1"/>
          <w:sz w:val="16"/>
          <w:szCs w:val="16"/>
        </w:rPr>
        <w:tab/>
      </w:r>
      <w:r w:rsidRPr="001D7CCB">
        <w:rPr>
          <w:color w:val="000000" w:themeColor="text1"/>
          <w:sz w:val="16"/>
          <w:szCs w:val="16"/>
        </w:rPr>
        <w:t xml:space="preserve">INEGI. </w:t>
      </w:r>
      <w:r w:rsidRPr="004A0304">
        <w:rPr>
          <w:rFonts w:cs="Arial"/>
          <w:color w:val="auto"/>
          <w:sz w:val="16"/>
        </w:rPr>
        <w:t xml:space="preserve">Sistema de Cuentas Nacionales de </w:t>
      </w:r>
      <w:r w:rsidR="0083305A" w:rsidRPr="004A0304">
        <w:rPr>
          <w:rFonts w:cs="Arial"/>
          <w:color w:val="auto"/>
          <w:sz w:val="16"/>
        </w:rPr>
        <w:t>México</w:t>
      </w:r>
      <w:r w:rsidR="003005EC" w:rsidRPr="004A0304">
        <w:rPr>
          <w:rFonts w:cs="Arial"/>
          <w:color w:val="auto"/>
          <w:sz w:val="16"/>
        </w:rPr>
        <w:t xml:space="preserve"> (SCNM).</w:t>
      </w:r>
      <w:r w:rsidR="0083305A" w:rsidRPr="00050594">
        <w:rPr>
          <w:color w:val="auto"/>
          <w:sz w:val="16"/>
          <w:szCs w:val="16"/>
        </w:rPr>
        <w:t xml:space="preserve"> </w:t>
      </w:r>
      <w:r w:rsidR="007B591F" w:rsidRPr="00050594">
        <w:rPr>
          <w:color w:val="auto"/>
          <w:sz w:val="16"/>
          <w:szCs w:val="16"/>
        </w:rPr>
        <w:t>Indicador Mensual</w:t>
      </w:r>
      <w:r w:rsidR="000B68EF" w:rsidRPr="00050594">
        <w:rPr>
          <w:color w:val="auto"/>
          <w:sz w:val="16"/>
          <w:szCs w:val="16"/>
        </w:rPr>
        <w:t xml:space="preserve"> </w:t>
      </w:r>
      <w:r w:rsidR="007B591F" w:rsidRPr="00050594">
        <w:rPr>
          <w:color w:val="auto"/>
          <w:sz w:val="16"/>
          <w:szCs w:val="16"/>
        </w:rPr>
        <w:t xml:space="preserve">del </w:t>
      </w:r>
      <w:r w:rsidR="00712F6F" w:rsidRPr="00050594">
        <w:rPr>
          <w:color w:val="auto"/>
          <w:sz w:val="16"/>
          <w:szCs w:val="16"/>
        </w:rPr>
        <w:t>Consumo Privado</w:t>
      </w:r>
      <w:r w:rsidR="007C42A1" w:rsidRPr="00050594">
        <w:rPr>
          <w:color w:val="auto"/>
          <w:sz w:val="16"/>
          <w:szCs w:val="16"/>
        </w:rPr>
        <w:t xml:space="preserve"> (IMCP)</w:t>
      </w:r>
      <w:r w:rsidR="00BB1FD1" w:rsidRPr="00050594">
        <w:rPr>
          <w:color w:val="auto"/>
          <w:sz w:val="16"/>
          <w:szCs w:val="16"/>
        </w:rPr>
        <w:t>,</w:t>
      </w:r>
      <w:r w:rsidR="007B591F" w:rsidRPr="00050594">
        <w:rPr>
          <w:color w:val="auto"/>
          <w:sz w:val="16"/>
          <w:szCs w:val="16"/>
        </w:rPr>
        <w:t xml:space="preserve"> </w:t>
      </w:r>
      <w:r w:rsidRPr="004A0304">
        <w:rPr>
          <w:rFonts w:cs="Arial"/>
          <w:color w:val="auto"/>
          <w:sz w:val="16"/>
        </w:rPr>
        <w:t>2023.</w:t>
      </w:r>
    </w:p>
    <w:p w14:paraId="63FEF574" w14:textId="77777777" w:rsidR="00C162AB" w:rsidRDefault="00C162AB">
      <w:pPr>
        <w:widowControl/>
        <w:jc w:val="left"/>
        <w:rPr>
          <w:rFonts w:cs="Arial"/>
          <w:sz w:val="20"/>
          <w:szCs w:val="22"/>
        </w:rPr>
      </w:pPr>
      <w:r>
        <w:rPr>
          <w:rFonts w:cs="Arial"/>
          <w:sz w:val="20"/>
          <w:szCs w:val="22"/>
        </w:rPr>
        <w:br w:type="page"/>
      </w:r>
    </w:p>
    <w:p w14:paraId="293F2693" w14:textId="2E77CB3B" w:rsidR="00B920A0" w:rsidRPr="001D7CCB" w:rsidRDefault="00B920A0" w:rsidP="00050594">
      <w:pPr>
        <w:widowControl/>
        <w:spacing w:before="360"/>
        <w:jc w:val="center"/>
        <w:rPr>
          <w:rFonts w:cs="Arial"/>
          <w:sz w:val="20"/>
          <w:szCs w:val="22"/>
        </w:rPr>
      </w:pPr>
      <w:r w:rsidRPr="001D7CCB">
        <w:rPr>
          <w:rFonts w:cs="Arial"/>
          <w:sz w:val="20"/>
          <w:szCs w:val="22"/>
        </w:rPr>
        <w:lastRenderedPageBreak/>
        <w:t>Gráfica 1</w:t>
      </w:r>
    </w:p>
    <w:p w14:paraId="7EF8D8A2" w14:textId="12A00284" w:rsidR="00140D9C" w:rsidRPr="001D7CCB" w:rsidRDefault="00140D9C" w:rsidP="00E64A12">
      <w:pPr>
        <w:jc w:val="center"/>
        <w:outlineLvl w:val="3"/>
        <w:rPr>
          <w:rFonts w:cs="Arial"/>
          <w:b/>
          <w:smallCaps/>
          <w:sz w:val="22"/>
        </w:rPr>
      </w:pPr>
      <w:r w:rsidRPr="001D7CCB">
        <w:rPr>
          <w:rFonts w:cs="Arial"/>
          <w:b/>
          <w:smallCaps/>
          <w:sz w:val="22"/>
        </w:rPr>
        <w:t>Indicador Mensual del Consumo Privado</w:t>
      </w:r>
      <w:r w:rsidR="000942A4" w:rsidRPr="001D7CCB">
        <w:rPr>
          <w:rFonts w:cs="Arial"/>
          <w:b/>
          <w:smallCaps/>
          <w:sz w:val="22"/>
        </w:rPr>
        <w:t xml:space="preserve"> </w:t>
      </w:r>
    </w:p>
    <w:p w14:paraId="100618F5" w14:textId="7C8CB484" w:rsidR="00140D9C" w:rsidRPr="001D7CCB" w:rsidRDefault="008E7C7D" w:rsidP="00E64A12">
      <w:pPr>
        <w:jc w:val="center"/>
        <w:outlineLvl w:val="3"/>
        <w:rPr>
          <w:rFonts w:cs="Arial"/>
          <w:sz w:val="18"/>
          <w:szCs w:val="18"/>
        </w:rPr>
      </w:pPr>
      <w:r w:rsidRPr="001D7CCB">
        <w:rPr>
          <w:rFonts w:cs="Arial"/>
          <w:sz w:val="18"/>
          <w:szCs w:val="18"/>
        </w:rPr>
        <w:t>(</w:t>
      </w:r>
      <w:r w:rsidR="00140D9C" w:rsidRPr="001D7CCB">
        <w:rPr>
          <w:rFonts w:cs="Arial"/>
          <w:sz w:val="18"/>
          <w:szCs w:val="18"/>
        </w:rPr>
        <w:t>Índice 20</w:t>
      </w:r>
      <w:r w:rsidR="00F854EF" w:rsidRPr="001D7CCB">
        <w:rPr>
          <w:rFonts w:cs="Arial"/>
          <w:sz w:val="18"/>
          <w:szCs w:val="18"/>
        </w:rPr>
        <w:t>1</w:t>
      </w:r>
      <w:r w:rsidR="00C939F2" w:rsidRPr="001D7CCB">
        <w:rPr>
          <w:rFonts w:cs="Arial"/>
          <w:sz w:val="18"/>
          <w:szCs w:val="18"/>
        </w:rPr>
        <w:t>8</w:t>
      </w:r>
      <w:r w:rsidR="00140D9C" w:rsidRPr="001D7CCB">
        <w:rPr>
          <w:rFonts w:cs="Arial"/>
          <w:sz w:val="18"/>
          <w:szCs w:val="18"/>
        </w:rPr>
        <w:t>=100)</w:t>
      </w:r>
    </w:p>
    <w:p w14:paraId="54F83224" w14:textId="021B6278" w:rsidR="00140D9C" w:rsidRPr="001D7CCB" w:rsidRDefault="009B3DAE" w:rsidP="009F726C">
      <w:pPr>
        <w:jc w:val="center"/>
        <w:rPr>
          <w:rFonts w:cs="Arial"/>
          <w:sz w:val="18"/>
          <w:szCs w:val="18"/>
        </w:rPr>
      </w:pPr>
      <w:r w:rsidRPr="001D7CCB">
        <w:rPr>
          <w:noProof/>
        </w:rPr>
        <w:drawing>
          <wp:inline distT="0" distB="0" distL="0" distR="0" wp14:anchorId="6F9D3B81" wp14:editId="761131B4">
            <wp:extent cx="5040000" cy="2880000"/>
            <wp:effectExtent l="0" t="0" r="27305" b="15875"/>
            <wp:docPr id="1326799375"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0A85F53" w14:textId="5CAD26BB" w:rsidR="00140D9C" w:rsidRPr="001D7CCB" w:rsidRDefault="003005EC" w:rsidP="000B68EF">
      <w:pPr>
        <w:ind w:left="1701" w:right="1185" w:hanging="567"/>
        <w:rPr>
          <w:sz w:val="16"/>
        </w:rPr>
      </w:pPr>
      <w:r w:rsidRPr="001D7CCB">
        <w:rPr>
          <w:color w:val="000000" w:themeColor="text1"/>
          <w:sz w:val="16"/>
          <w:szCs w:val="16"/>
        </w:rPr>
        <w:t>Fuente:</w:t>
      </w:r>
      <w:r w:rsidR="000B68EF" w:rsidRPr="001D7CCB">
        <w:rPr>
          <w:color w:val="000000" w:themeColor="text1"/>
          <w:sz w:val="16"/>
          <w:szCs w:val="16"/>
        </w:rPr>
        <w:tab/>
      </w:r>
      <w:r w:rsidRPr="001D7CCB">
        <w:rPr>
          <w:color w:val="000000" w:themeColor="text1"/>
          <w:sz w:val="16"/>
          <w:szCs w:val="16"/>
        </w:rPr>
        <w:t xml:space="preserve">INEGI. </w:t>
      </w:r>
      <w:r w:rsidRPr="001D7CCB">
        <w:rPr>
          <w:rFonts w:cs="Arial"/>
          <w:sz w:val="16"/>
        </w:rPr>
        <w:t xml:space="preserve">Sistema de Cuentas Nacionales </w:t>
      </w:r>
      <w:r w:rsidR="0083305A" w:rsidRPr="001D7CCB">
        <w:rPr>
          <w:rFonts w:cs="Arial"/>
          <w:sz w:val="16"/>
        </w:rPr>
        <w:t>de México</w:t>
      </w:r>
      <w:r w:rsidRPr="001D7CCB">
        <w:rPr>
          <w:rFonts w:cs="Arial"/>
          <w:sz w:val="16"/>
        </w:rPr>
        <w:t xml:space="preserve"> (SCNM). </w:t>
      </w:r>
      <w:r w:rsidR="00E43AAF" w:rsidRPr="001D7CCB">
        <w:rPr>
          <w:rFonts w:cs="Arial"/>
          <w:sz w:val="16"/>
        </w:rPr>
        <w:t xml:space="preserve">Indicador Mensual del </w:t>
      </w:r>
      <w:r w:rsidR="009B3DAE" w:rsidRPr="001D7CCB">
        <w:rPr>
          <w:rFonts w:cs="Arial"/>
          <w:sz w:val="16"/>
        </w:rPr>
        <w:t>Consumo</w:t>
      </w:r>
      <w:r w:rsidR="000B68EF" w:rsidRPr="001D7CCB">
        <w:rPr>
          <w:rFonts w:cs="Arial"/>
          <w:sz w:val="16"/>
        </w:rPr>
        <w:t xml:space="preserve"> </w:t>
      </w:r>
      <w:r w:rsidR="00712F6F" w:rsidRPr="001D7CCB">
        <w:rPr>
          <w:rFonts w:cs="Arial"/>
          <w:sz w:val="16"/>
        </w:rPr>
        <w:t>Privado</w:t>
      </w:r>
      <w:r w:rsidR="007C42A1" w:rsidRPr="001D7CCB">
        <w:rPr>
          <w:rFonts w:cs="Arial"/>
          <w:sz w:val="16"/>
        </w:rPr>
        <w:t xml:space="preserve"> (IMCP)</w:t>
      </w:r>
      <w:r w:rsidR="00BB1FD1" w:rsidRPr="001D7CCB">
        <w:rPr>
          <w:rFonts w:cs="Arial"/>
          <w:sz w:val="16"/>
        </w:rPr>
        <w:t>,</w:t>
      </w:r>
      <w:r w:rsidR="00712F6F" w:rsidRPr="001D7CCB">
        <w:rPr>
          <w:rFonts w:cs="Arial"/>
          <w:sz w:val="16"/>
        </w:rPr>
        <w:t xml:space="preserve"> </w:t>
      </w:r>
      <w:r w:rsidRPr="001D7CCB">
        <w:rPr>
          <w:rFonts w:cs="Arial"/>
          <w:sz w:val="16"/>
        </w:rPr>
        <w:t>2023.</w:t>
      </w:r>
    </w:p>
    <w:p w14:paraId="3C5876CD" w14:textId="77777777" w:rsidR="00C162AB" w:rsidRDefault="00C162AB" w:rsidP="007B591F">
      <w:pPr>
        <w:widowControl/>
      </w:pPr>
    </w:p>
    <w:p w14:paraId="2712AEF4" w14:textId="0B4049B6" w:rsidR="00EE1BEA" w:rsidRPr="001D7CCB" w:rsidRDefault="001B79EF" w:rsidP="007B591F">
      <w:pPr>
        <w:widowControl/>
      </w:pPr>
      <w:r w:rsidRPr="001D7CCB">
        <w:t xml:space="preserve">En </w:t>
      </w:r>
      <w:r w:rsidR="00C0149D" w:rsidRPr="001D7CCB">
        <w:t>julio</w:t>
      </w:r>
      <w:r w:rsidRPr="001D7CCB">
        <w:t xml:space="preserve"> de 2023 y con series desestacionalizadas</w:t>
      </w:r>
      <w:r w:rsidR="009F726C" w:rsidRPr="001D7CCB">
        <w:t>,</w:t>
      </w:r>
      <w:r w:rsidRPr="001D7CCB">
        <w:t xml:space="preserve"> la variación mensual de los </w:t>
      </w:r>
      <w:r w:rsidR="00274609" w:rsidRPr="001D7CCB">
        <w:t>componente</w:t>
      </w:r>
      <w:r w:rsidRPr="001D7CCB">
        <w:t>s</w:t>
      </w:r>
      <w:r w:rsidR="00274609" w:rsidRPr="001D7CCB">
        <w:t xml:space="preserve"> </w:t>
      </w:r>
      <w:r w:rsidR="009F726C" w:rsidRPr="001D7CCB">
        <w:t xml:space="preserve">del IMCP </w:t>
      </w:r>
      <w:r w:rsidRPr="001D7CCB">
        <w:t>fue la siguiente:</w:t>
      </w:r>
      <w:r w:rsidR="00274609" w:rsidRPr="001D7CCB">
        <w:t xml:space="preserve"> </w:t>
      </w:r>
      <w:r w:rsidR="00BB1FD1" w:rsidRPr="001D7CCB">
        <w:t>el consumo de bienes y servicios de origen nacional ascendió 0.3 % y el de bienes de origen importado cayó 1.1 por ciento.</w:t>
      </w:r>
    </w:p>
    <w:p w14:paraId="067CD453" w14:textId="08F18C26" w:rsidR="008B3946" w:rsidRPr="001D7CCB" w:rsidRDefault="004C2706" w:rsidP="00050594">
      <w:pPr>
        <w:pStyle w:val="p0"/>
        <w:jc w:val="center"/>
        <w:rPr>
          <w:rFonts w:cs="Arial"/>
          <w:color w:val="auto"/>
          <w:sz w:val="20"/>
          <w:szCs w:val="22"/>
        </w:rPr>
      </w:pPr>
      <w:r w:rsidRPr="001D7CCB">
        <w:rPr>
          <w:rFonts w:cs="Arial"/>
          <w:color w:val="auto"/>
          <w:sz w:val="20"/>
          <w:szCs w:val="22"/>
        </w:rPr>
        <w:t>Gráfica 2</w:t>
      </w:r>
    </w:p>
    <w:p w14:paraId="11A3B886" w14:textId="77777777" w:rsidR="009F726C" w:rsidRPr="001D7CCB" w:rsidRDefault="009F726C" w:rsidP="009F726C">
      <w:pPr>
        <w:pStyle w:val="p0"/>
        <w:spacing w:before="0"/>
        <w:jc w:val="center"/>
        <w:rPr>
          <w:rFonts w:cs="Arial"/>
          <w:b/>
          <w:smallCaps/>
          <w:color w:val="000000"/>
          <w:sz w:val="22"/>
        </w:rPr>
      </w:pPr>
      <w:r w:rsidRPr="001D7CCB">
        <w:rPr>
          <w:rFonts w:cs="Arial"/>
          <w:b/>
          <w:smallCaps/>
          <w:color w:val="000000"/>
          <w:sz w:val="22"/>
        </w:rPr>
        <w:t>Consumo de bienes y servicios de origen nacional</w:t>
      </w:r>
    </w:p>
    <w:p w14:paraId="50EA9F8E" w14:textId="3CF61D9F" w:rsidR="009F726C" w:rsidRPr="001D7CCB" w:rsidRDefault="009F726C" w:rsidP="009F726C">
      <w:pPr>
        <w:jc w:val="center"/>
        <w:rPr>
          <w:rFonts w:cs="Arial"/>
          <w:sz w:val="18"/>
          <w:szCs w:val="18"/>
        </w:rPr>
      </w:pPr>
      <w:r w:rsidRPr="001D7CCB">
        <w:rPr>
          <w:rFonts w:cs="Arial"/>
          <w:sz w:val="18"/>
          <w:szCs w:val="18"/>
        </w:rPr>
        <w:t>(Índice 2018=100)</w:t>
      </w:r>
    </w:p>
    <w:p w14:paraId="53F7F13D" w14:textId="21DC4564" w:rsidR="009F726C" w:rsidRPr="001D7CCB" w:rsidRDefault="00561A25" w:rsidP="009F726C">
      <w:pPr>
        <w:jc w:val="center"/>
        <w:rPr>
          <w:rFonts w:cs="Arial"/>
          <w:sz w:val="18"/>
          <w:szCs w:val="18"/>
        </w:rPr>
      </w:pPr>
      <w:r w:rsidRPr="001D7CCB">
        <w:rPr>
          <w:noProof/>
        </w:rPr>
        <w:drawing>
          <wp:inline distT="0" distB="0" distL="0" distR="0" wp14:anchorId="1A5EE333" wp14:editId="55421C61">
            <wp:extent cx="5040000" cy="2880000"/>
            <wp:effectExtent l="0" t="0" r="27305" b="15875"/>
            <wp:docPr id="1372066311" name="Gráfico 1">
              <a:extLst xmlns:a="http://schemas.openxmlformats.org/drawingml/2006/main">
                <a:ext uri="{FF2B5EF4-FFF2-40B4-BE49-F238E27FC236}">
                  <a16:creationId xmlns:a16="http://schemas.microsoft.com/office/drawing/2014/main" id="{B9A3BDBB-AF62-412C-A09A-FCAF38F795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A149808" w14:textId="77777777" w:rsidR="009834E6" w:rsidRPr="001D7CCB" w:rsidRDefault="009834E6" w:rsidP="009834E6">
      <w:pPr>
        <w:ind w:left="1701" w:right="1185" w:hanging="567"/>
        <w:rPr>
          <w:sz w:val="16"/>
        </w:rPr>
      </w:pPr>
      <w:r w:rsidRPr="001D7CCB">
        <w:rPr>
          <w:color w:val="000000" w:themeColor="text1"/>
          <w:sz w:val="16"/>
          <w:szCs w:val="16"/>
        </w:rPr>
        <w:t>Fuente:</w:t>
      </w:r>
      <w:r w:rsidRPr="001D7CCB">
        <w:rPr>
          <w:color w:val="000000" w:themeColor="text1"/>
          <w:sz w:val="16"/>
          <w:szCs w:val="16"/>
        </w:rPr>
        <w:tab/>
        <w:t xml:space="preserve">INEGI. </w:t>
      </w:r>
      <w:r w:rsidRPr="001D7CCB">
        <w:rPr>
          <w:rFonts w:cs="Arial"/>
          <w:sz w:val="16"/>
        </w:rPr>
        <w:t>Sistema de Cuentas Nacionales de México (SCNM). Indicador Mensual del Consumo Privado (IMCP), 2023.</w:t>
      </w:r>
    </w:p>
    <w:p w14:paraId="50041238" w14:textId="78FB07CB" w:rsidR="004C2706" w:rsidRPr="001D7CCB" w:rsidRDefault="004C2706" w:rsidP="00050594">
      <w:pPr>
        <w:widowControl/>
        <w:spacing w:before="240"/>
        <w:jc w:val="center"/>
        <w:rPr>
          <w:rFonts w:cs="Arial"/>
          <w:sz w:val="20"/>
          <w:szCs w:val="22"/>
        </w:rPr>
      </w:pPr>
      <w:r w:rsidRPr="001D7CCB">
        <w:rPr>
          <w:rFonts w:cs="Arial"/>
          <w:sz w:val="20"/>
          <w:szCs w:val="22"/>
        </w:rPr>
        <w:lastRenderedPageBreak/>
        <w:t>Gráfica 3</w:t>
      </w:r>
    </w:p>
    <w:p w14:paraId="606F15B0" w14:textId="77777777" w:rsidR="009F726C" w:rsidRPr="001D7CCB" w:rsidRDefault="009F726C" w:rsidP="009F726C">
      <w:pPr>
        <w:jc w:val="center"/>
        <w:rPr>
          <w:rFonts w:cs="Arial"/>
          <w:b/>
          <w:smallCaps/>
          <w:color w:val="000000"/>
          <w:sz w:val="22"/>
        </w:rPr>
      </w:pPr>
      <w:r w:rsidRPr="001D7CCB">
        <w:rPr>
          <w:rFonts w:cs="Arial"/>
          <w:b/>
          <w:smallCaps/>
          <w:color w:val="000000"/>
          <w:sz w:val="22"/>
        </w:rPr>
        <w:t xml:space="preserve">Consumo de bienes de origen importado </w:t>
      </w:r>
    </w:p>
    <w:p w14:paraId="209FE5B8" w14:textId="6A02598E" w:rsidR="009F726C" w:rsidRPr="001D7CCB" w:rsidRDefault="009F726C" w:rsidP="009F726C">
      <w:pPr>
        <w:jc w:val="center"/>
        <w:rPr>
          <w:rFonts w:cs="Arial"/>
          <w:sz w:val="18"/>
          <w:szCs w:val="18"/>
        </w:rPr>
      </w:pPr>
      <w:r w:rsidRPr="001D7CCB">
        <w:rPr>
          <w:rFonts w:cs="Arial"/>
          <w:sz w:val="18"/>
          <w:szCs w:val="18"/>
        </w:rPr>
        <w:t xml:space="preserve">(Índice 2018=100) </w:t>
      </w:r>
    </w:p>
    <w:p w14:paraId="313C8316" w14:textId="630F4B69" w:rsidR="009F726C" w:rsidRPr="001D7CCB" w:rsidRDefault="00561A25" w:rsidP="009F726C">
      <w:pPr>
        <w:jc w:val="center"/>
        <w:rPr>
          <w:rFonts w:cs="Arial"/>
          <w:sz w:val="18"/>
          <w:szCs w:val="18"/>
        </w:rPr>
      </w:pPr>
      <w:r w:rsidRPr="001D7CCB">
        <w:rPr>
          <w:noProof/>
        </w:rPr>
        <w:drawing>
          <wp:inline distT="0" distB="0" distL="0" distR="0" wp14:anchorId="5CCCD548" wp14:editId="5CF06DA5">
            <wp:extent cx="5040000" cy="2880000"/>
            <wp:effectExtent l="0" t="0" r="27305" b="15875"/>
            <wp:docPr id="1064788007" name="Gráfico 1">
              <a:extLst xmlns:a="http://schemas.openxmlformats.org/drawingml/2006/main">
                <a:ext uri="{FF2B5EF4-FFF2-40B4-BE49-F238E27FC236}">
                  <a16:creationId xmlns:a16="http://schemas.microsoft.com/office/drawing/2014/main" id="{936E08BB-C205-419A-9F68-505F278FF9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858B421" w14:textId="77777777" w:rsidR="009834E6" w:rsidRPr="001D7CCB" w:rsidRDefault="009834E6" w:rsidP="009834E6">
      <w:pPr>
        <w:ind w:left="1701" w:right="1185" w:hanging="567"/>
        <w:rPr>
          <w:sz w:val="16"/>
        </w:rPr>
      </w:pPr>
      <w:r w:rsidRPr="001D7CCB">
        <w:rPr>
          <w:color w:val="000000" w:themeColor="text1"/>
          <w:sz w:val="16"/>
          <w:szCs w:val="16"/>
        </w:rPr>
        <w:t>Fuente:</w:t>
      </w:r>
      <w:r w:rsidRPr="001D7CCB">
        <w:rPr>
          <w:color w:val="000000" w:themeColor="text1"/>
          <w:sz w:val="16"/>
          <w:szCs w:val="16"/>
        </w:rPr>
        <w:tab/>
        <w:t xml:space="preserve">INEGI. </w:t>
      </w:r>
      <w:r w:rsidRPr="001D7CCB">
        <w:rPr>
          <w:rFonts w:cs="Arial"/>
          <w:sz w:val="16"/>
        </w:rPr>
        <w:t>Sistema de Cuentas Nacionales de México (SCNM). Indicador Mensual del Consumo Privado (IMCP), 2023.</w:t>
      </w:r>
    </w:p>
    <w:p w14:paraId="727CE8C6" w14:textId="4600293F" w:rsidR="00140D9C" w:rsidRPr="001D7CCB" w:rsidRDefault="00140D9C" w:rsidP="005F6DAE">
      <w:pPr>
        <w:pStyle w:val="Ttulo4"/>
        <w:keepNext w:val="0"/>
        <w:numPr>
          <w:ilvl w:val="0"/>
          <w:numId w:val="15"/>
        </w:numPr>
        <w:spacing w:before="240"/>
        <w:ind w:left="4253"/>
        <w:jc w:val="left"/>
        <w:rPr>
          <w:i w:val="0"/>
          <w:iCs/>
          <w:smallCaps/>
          <w:u w:val="none"/>
        </w:rPr>
      </w:pPr>
      <w:r w:rsidRPr="001D7CCB">
        <w:rPr>
          <w:i w:val="0"/>
          <w:iCs/>
          <w:smallCaps/>
          <w:u w:val="none"/>
        </w:rPr>
        <w:t xml:space="preserve">Cifras originales </w:t>
      </w:r>
    </w:p>
    <w:p w14:paraId="3CFADD81" w14:textId="77777777" w:rsidR="00B920A0" w:rsidRPr="001D7CCB" w:rsidRDefault="00B920A0" w:rsidP="000D597A">
      <w:pPr>
        <w:pStyle w:val="p0"/>
        <w:jc w:val="center"/>
        <w:rPr>
          <w:rFonts w:cs="Arial"/>
          <w:color w:val="auto"/>
          <w:sz w:val="20"/>
          <w:szCs w:val="22"/>
        </w:rPr>
      </w:pPr>
      <w:r w:rsidRPr="001D7CCB">
        <w:rPr>
          <w:rFonts w:cs="Arial"/>
          <w:color w:val="auto"/>
          <w:sz w:val="20"/>
          <w:szCs w:val="22"/>
        </w:rPr>
        <w:t>Cuadro 2</w:t>
      </w:r>
    </w:p>
    <w:p w14:paraId="38E833C8" w14:textId="54487399" w:rsidR="00955AA9" w:rsidRPr="001D7CCB" w:rsidRDefault="007B591F" w:rsidP="00140D9C">
      <w:pPr>
        <w:pStyle w:val="p0"/>
        <w:spacing w:before="0"/>
        <w:jc w:val="center"/>
        <w:rPr>
          <w:rFonts w:cs="Arial"/>
          <w:b/>
          <w:smallCaps/>
          <w:color w:val="auto"/>
          <w:sz w:val="22"/>
          <w:szCs w:val="22"/>
        </w:rPr>
      </w:pPr>
      <w:r w:rsidRPr="001D7CCB">
        <w:rPr>
          <w:rFonts w:cs="Arial"/>
          <w:b/>
          <w:smallCaps/>
          <w:color w:val="auto"/>
          <w:sz w:val="22"/>
          <w:szCs w:val="22"/>
        </w:rPr>
        <w:t xml:space="preserve">Variación porcentual </w:t>
      </w:r>
      <w:r w:rsidR="00681116">
        <w:rPr>
          <w:rFonts w:cs="Arial"/>
          <w:b/>
          <w:smallCaps/>
          <w:color w:val="auto"/>
          <w:sz w:val="22"/>
          <w:szCs w:val="22"/>
        </w:rPr>
        <w:t xml:space="preserve">anual </w:t>
      </w:r>
      <w:r w:rsidRPr="001D7CCB">
        <w:rPr>
          <w:rFonts w:cs="Arial"/>
          <w:b/>
          <w:smallCaps/>
          <w:color w:val="auto"/>
          <w:sz w:val="22"/>
          <w:szCs w:val="22"/>
        </w:rPr>
        <w:t xml:space="preserve">del </w:t>
      </w:r>
      <w:r w:rsidR="00312FA7" w:rsidRPr="001D7CCB">
        <w:rPr>
          <w:rFonts w:cs="Arial"/>
          <w:b/>
          <w:smallCaps/>
          <w:color w:val="auto"/>
          <w:sz w:val="22"/>
          <w:szCs w:val="22"/>
        </w:rPr>
        <w:t>Indicador Mensual del Consumo Privado</w:t>
      </w:r>
    </w:p>
    <w:tbl>
      <w:tblPr>
        <w:tblW w:w="0" w:type="auto"/>
        <w:jc w:val="center"/>
        <w:tblLayout w:type="fixed"/>
        <w:tblCellMar>
          <w:left w:w="107" w:type="dxa"/>
          <w:right w:w="107" w:type="dxa"/>
        </w:tblCellMar>
        <w:tblLook w:val="04A0" w:firstRow="1" w:lastRow="0" w:firstColumn="1" w:lastColumn="0" w:noHBand="0" w:noVBand="1"/>
      </w:tblPr>
      <w:tblGrid>
        <w:gridCol w:w="3766"/>
        <w:gridCol w:w="1729"/>
        <w:gridCol w:w="1730"/>
      </w:tblGrid>
      <w:tr w:rsidR="0079363B" w:rsidRPr="001D7CCB" w14:paraId="7ABB4C20" w14:textId="77777777" w:rsidTr="00050594">
        <w:trPr>
          <w:cantSplit/>
          <w:trHeight w:val="624"/>
          <w:jc w:val="center"/>
        </w:trPr>
        <w:tc>
          <w:tcPr>
            <w:tcW w:w="376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9DD0B0B" w14:textId="0FFAC3C9" w:rsidR="0079363B" w:rsidRPr="001D7CCB" w:rsidRDefault="0079363B" w:rsidP="009F726C">
            <w:pPr>
              <w:pStyle w:val="p0"/>
              <w:tabs>
                <w:tab w:val="left" w:pos="546"/>
              </w:tabs>
              <w:spacing w:before="0"/>
              <w:jc w:val="left"/>
              <w:rPr>
                <w:rFonts w:cs="Arial"/>
                <w:color w:val="auto"/>
                <w:sz w:val="18"/>
                <w:szCs w:val="18"/>
              </w:rPr>
            </w:pPr>
            <w:r w:rsidRPr="001D7CCB">
              <w:rPr>
                <w:rFonts w:cs="Arial"/>
                <w:color w:val="auto"/>
                <w:sz w:val="18"/>
                <w:szCs w:val="18"/>
              </w:rPr>
              <w:t>Consumo de bienes y servicios por origen</w:t>
            </w:r>
          </w:p>
        </w:tc>
        <w:tc>
          <w:tcPr>
            <w:tcW w:w="172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02AD525" w14:textId="579851AE" w:rsidR="0079363B" w:rsidRPr="001D7CCB" w:rsidRDefault="0079363B" w:rsidP="0079363B">
            <w:pPr>
              <w:pStyle w:val="p0"/>
              <w:keepNext/>
              <w:spacing w:before="0"/>
              <w:jc w:val="center"/>
              <w:rPr>
                <w:rFonts w:cs="Arial"/>
                <w:color w:val="auto"/>
                <w:sz w:val="18"/>
                <w:szCs w:val="18"/>
              </w:rPr>
            </w:pPr>
            <w:proofErr w:type="spellStart"/>
            <w:r w:rsidRPr="001D7CCB">
              <w:rPr>
                <w:rFonts w:cs="Arial"/>
                <w:color w:val="auto"/>
                <w:sz w:val="18"/>
                <w:szCs w:val="18"/>
              </w:rPr>
              <w:t>Julio</w:t>
            </w:r>
            <w:r w:rsidR="00C83AE7" w:rsidRPr="001D7CCB">
              <w:rPr>
                <w:rFonts w:cs="Arial"/>
                <w:color w:val="auto"/>
                <w:sz w:val="18"/>
                <w:szCs w:val="18"/>
                <w:vertAlign w:val="superscript"/>
              </w:rPr>
              <w:t>P</w:t>
            </w:r>
            <w:proofErr w:type="spellEnd"/>
            <w:r w:rsidR="00CA0B1D" w:rsidRPr="001D7CCB">
              <w:rPr>
                <w:rFonts w:cs="Arial"/>
                <w:color w:val="auto"/>
                <w:sz w:val="18"/>
                <w:szCs w:val="18"/>
                <w:vertAlign w:val="superscript"/>
              </w:rPr>
              <w:t>/</w:t>
            </w:r>
            <w:r w:rsidRPr="001D7CCB">
              <w:rPr>
                <w:rFonts w:cs="Arial"/>
                <w:color w:val="auto"/>
                <w:sz w:val="18"/>
                <w:szCs w:val="18"/>
              </w:rPr>
              <w:t xml:space="preserve"> </w:t>
            </w:r>
            <w:r w:rsidR="009834E6" w:rsidRPr="001D7CCB">
              <w:rPr>
                <w:rFonts w:cs="Arial"/>
                <w:color w:val="auto"/>
                <w:sz w:val="18"/>
                <w:szCs w:val="18"/>
              </w:rPr>
              <w:br/>
              <w:t xml:space="preserve">de </w:t>
            </w:r>
            <w:r w:rsidRPr="001D7CCB">
              <w:rPr>
                <w:rFonts w:cs="Arial"/>
                <w:color w:val="auto"/>
                <w:sz w:val="18"/>
                <w:szCs w:val="18"/>
              </w:rPr>
              <w:t>2023</w:t>
            </w:r>
          </w:p>
        </w:tc>
        <w:tc>
          <w:tcPr>
            <w:tcW w:w="173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FFD7D43" w14:textId="18118821" w:rsidR="0079363B" w:rsidRPr="001D7CCB" w:rsidRDefault="0079363B" w:rsidP="00C12B51">
            <w:pPr>
              <w:pStyle w:val="p0"/>
              <w:keepNext/>
              <w:spacing w:before="0"/>
              <w:jc w:val="center"/>
              <w:rPr>
                <w:rFonts w:cs="Arial"/>
                <w:color w:val="auto"/>
                <w:sz w:val="18"/>
                <w:szCs w:val="18"/>
              </w:rPr>
            </w:pPr>
            <w:r w:rsidRPr="001D7CCB">
              <w:rPr>
                <w:rFonts w:cs="Arial"/>
                <w:color w:val="auto"/>
                <w:sz w:val="18"/>
                <w:szCs w:val="18"/>
              </w:rPr>
              <w:t xml:space="preserve">Ene. - </w:t>
            </w:r>
            <w:proofErr w:type="spellStart"/>
            <w:r w:rsidR="000553E0" w:rsidRPr="001D7CCB">
              <w:rPr>
                <w:rFonts w:cs="Arial"/>
                <w:color w:val="auto"/>
                <w:sz w:val="18"/>
                <w:szCs w:val="18"/>
              </w:rPr>
              <w:t>J</w:t>
            </w:r>
            <w:r w:rsidRPr="001D7CCB">
              <w:rPr>
                <w:rFonts w:cs="Arial"/>
                <w:color w:val="auto"/>
                <w:sz w:val="18"/>
                <w:szCs w:val="18"/>
              </w:rPr>
              <w:t>ul</w:t>
            </w:r>
            <w:r w:rsidR="00CA0B1D" w:rsidRPr="001D7CCB">
              <w:rPr>
                <w:rFonts w:cs="Arial"/>
                <w:color w:val="auto"/>
                <w:sz w:val="18"/>
                <w:szCs w:val="18"/>
                <w:vertAlign w:val="superscript"/>
              </w:rPr>
              <w:t>p</w:t>
            </w:r>
            <w:proofErr w:type="spellEnd"/>
            <w:r w:rsidR="00CA0B1D" w:rsidRPr="001D7CCB">
              <w:rPr>
                <w:rFonts w:cs="Arial"/>
                <w:color w:val="auto"/>
                <w:sz w:val="18"/>
                <w:szCs w:val="18"/>
                <w:vertAlign w:val="superscript"/>
              </w:rPr>
              <w:t>/</w:t>
            </w:r>
            <w:r w:rsidR="009834E6" w:rsidRPr="001D7CCB">
              <w:rPr>
                <w:rFonts w:cs="Arial"/>
                <w:color w:val="auto"/>
                <w:sz w:val="18"/>
                <w:szCs w:val="18"/>
                <w:vertAlign w:val="superscript"/>
              </w:rPr>
              <w:br/>
            </w:r>
            <w:r w:rsidRPr="001D7CCB">
              <w:rPr>
                <w:rFonts w:cs="Arial"/>
                <w:color w:val="auto"/>
                <w:sz w:val="18"/>
                <w:szCs w:val="18"/>
              </w:rPr>
              <w:t xml:space="preserve"> </w:t>
            </w:r>
            <w:r w:rsidR="009834E6" w:rsidRPr="001D7CCB">
              <w:rPr>
                <w:rFonts w:cs="Arial"/>
                <w:color w:val="auto"/>
                <w:sz w:val="18"/>
                <w:szCs w:val="18"/>
              </w:rPr>
              <w:t xml:space="preserve">de </w:t>
            </w:r>
            <w:r w:rsidRPr="001D7CCB">
              <w:rPr>
                <w:rFonts w:cs="Arial"/>
                <w:color w:val="auto"/>
                <w:sz w:val="18"/>
                <w:szCs w:val="18"/>
              </w:rPr>
              <w:t>2023</w:t>
            </w:r>
          </w:p>
        </w:tc>
      </w:tr>
      <w:tr w:rsidR="001E07B7" w:rsidRPr="001D7CCB" w14:paraId="07E5A777" w14:textId="77777777" w:rsidTr="00050594">
        <w:trPr>
          <w:cantSplit/>
          <w:trHeight w:val="255"/>
          <w:jc w:val="center"/>
        </w:trPr>
        <w:tc>
          <w:tcPr>
            <w:tcW w:w="3766" w:type="dxa"/>
            <w:tcBorders>
              <w:top w:val="single" w:sz="4" w:space="0" w:color="404040"/>
              <w:left w:val="single" w:sz="4" w:space="0" w:color="auto"/>
              <w:bottom w:val="nil"/>
              <w:right w:val="single" w:sz="4" w:space="0" w:color="404040"/>
            </w:tcBorders>
            <w:vAlign w:val="center"/>
            <w:hideMark/>
          </w:tcPr>
          <w:p w14:paraId="2565D1AA" w14:textId="0999DE67" w:rsidR="001E07B7" w:rsidRPr="001D7CCB" w:rsidRDefault="001E07B7" w:rsidP="004E342D">
            <w:pPr>
              <w:pStyle w:val="p0"/>
              <w:spacing w:before="0"/>
              <w:ind w:firstLine="159"/>
              <w:jc w:val="left"/>
              <w:rPr>
                <w:rFonts w:cs="Arial"/>
                <w:b/>
                <w:color w:val="auto"/>
                <w:sz w:val="18"/>
              </w:rPr>
            </w:pPr>
            <w:r w:rsidRPr="001D7CCB">
              <w:rPr>
                <w:rFonts w:cs="Arial"/>
                <w:color w:val="auto"/>
                <w:sz w:val="18"/>
              </w:rPr>
              <w:br w:type="page"/>
            </w:r>
            <w:r w:rsidRPr="001D7CCB">
              <w:rPr>
                <w:rFonts w:cs="Arial"/>
                <w:b/>
                <w:color w:val="auto"/>
                <w:sz w:val="18"/>
              </w:rPr>
              <w:t>Total</w:t>
            </w:r>
            <w:r w:rsidR="00BE3205" w:rsidRPr="001D7CCB">
              <w:rPr>
                <w:rFonts w:ascii="Arial Negrita" w:hAnsi="Arial Negrita" w:cs="Arial"/>
                <w:b/>
                <w:color w:val="auto"/>
                <w:sz w:val="18"/>
                <w:vertAlign w:val="superscript"/>
              </w:rPr>
              <w:t>1/</w:t>
            </w:r>
          </w:p>
        </w:tc>
        <w:tc>
          <w:tcPr>
            <w:tcW w:w="1729" w:type="dxa"/>
            <w:tcBorders>
              <w:left w:val="single" w:sz="4" w:space="0" w:color="404040"/>
              <w:bottom w:val="nil"/>
              <w:right w:val="single" w:sz="4" w:space="0" w:color="404040"/>
            </w:tcBorders>
            <w:vAlign w:val="center"/>
            <w:hideMark/>
          </w:tcPr>
          <w:p w14:paraId="4E2929AB" w14:textId="6CAB748C" w:rsidR="001E07B7" w:rsidRPr="001D7CCB" w:rsidRDefault="00F551F3" w:rsidP="004A0304">
            <w:pPr>
              <w:tabs>
                <w:tab w:val="decimal" w:pos="670"/>
              </w:tabs>
              <w:jc w:val="left"/>
              <w:rPr>
                <w:rFonts w:cs="Arial"/>
                <w:b/>
                <w:sz w:val="18"/>
                <w:szCs w:val="18"/>
                <w:lang w:eastAsia="en-US"/>
              </w:rPr>
            </w:pPr>
            <w:r w:rsidRPr="001D7CCB">
              <w:rPr>
                <w:rFonts w:cs="Arial"/>
                <w:b/>
                <w:bCs/>
                <w:sz w:val="18"/>
                <w:szCs w:val="18"/>
              </w:rPr>
              <w:t>4.</w:t>
            </w:r>
            <w:r w:rsidR="00FF619C" w:rsidRPr="001D7CCB">
              <w:rPr>
                <w:rFonts w:cs="Arial"/>
                <w:b/>
                <w:bCs/>
                <w:sz w:val="18"/>
                <w:szCs w:val="18"/>
              </w:rPr>
              <w:t>0</w:t>
            </w:r>
          </w:p>
        </w:tc>
        <w:tc>
          <w:tcPr>
            <w:tcW w:w="1730" w:type="dxa"/>
            <w:tcBorders>
              <w:left w:val="single" w:sz="4" w:space="0" w:color="404040"/>
              <w:bottom w:val="nil"/>
              <w:right w:val="single" w:sz="4" w:space="0" w:color="auto"/>
            </w:tcBorders>
            <w:vAlign w:val="center"/>
          </w:tcPr>
          <w:p w14:paraId="1C3066D5" w14:textId="7581B44F" w:rsidR="001E07B7" w:rsidRPr="001D7CCB" w:rsidRDefault="00AB6E12" w:rsidP="00050594">
            <w:pPr>
              <w:tabs>
                <w:tab w:val="decimal" w:pos="745"/>
              </w:tabs>
              <w:jc w:val="left"/>
              <w:rPr>
                <w:rFonts w:cs="Arial"/>
                <w:b/>
                <w:sz w:val="18"/>
                <w:szCs w:val="18"/>
                <w:lang w:eastAsia="en-US"/>
              </w:rPr>
            </w:pPr>
            <w:r w:rsidRPr="001D7CCB">
              <w:rPr>
                <w:rFonts w:cs="Arial"/>
                <w:b/>
                <w:bCs/>
                <w:sz w:val="18"/>
                <w:szCs w:val="18"/>
              </w:rPr>
              <w:t>4.</w:t>
            </w:r>
            <w:r w:rsidR="00FF619C" w:rsidRPr="001D7CCB">
              <w:rPr>
                <w:rFonts w:cs="Arial"/>
                <w:b/>
                <w:bCs/>
                <w:sz w:val="18"/>
                <w:szCs w:val="18"/>
              </w:rPr>
              <w:t>5</w:t>
            </w:r>
          </w:p>
        </w:tc>
      </w:tr>
      <w:tr w:rsidR="001E07B7" w:rsidRPr="001D7CCB" w14:paraId="2F05F7ED" w14:textId="77777777" w:rsidTr="00050594">
        <w:trPr>
          <w:cantSplit/>
          <w:trHeight w:val="255"/>
          <w:jc w:val="center"/>
        </w:trPr>
        <w:tc>
          <w:tcPr>
            <w:tcW w:w="3766" w:type="dxa"/>
            <w:tcBorders>
              <w:top w:val="nil"/>
              <w:left w:val="single" w:sz="4" w:space="0" w:color="auto"/>
              <w:bottom w:val="nil"/>
              <w:right w:val="single" w:sz="4" w:space="0" w:color="404040"/>
            </w:tcBorders>
            <w:vAlign w:val="center"/>
            <w:hideMark/>
          </w:tcPr>
          <w:p w14:paraId="1056288C" w14:textId="77777777" w:rsidR="001E07B7" w:rsidRPr="001D7CCB" w:rsidRDefault="001E07B7" w:rsidP="004E342D">
            <w:pPr>
              <w:pStyle w:val="p0"/>
              <w:spacing w:before="0"/>
              <w:ind w:firstLine="313"/>
              <w:jc w:val="left"/>
              <w:rPr>
                <w:rFonts w:cs="Arial"/>
                <w:b/>
                <w:color w:val="auto"/>
                <w:sz w:val="18"/>
              </w:rPr>
            </w:pPr>
            <w:r w:rsidRPr="001D7CCB">
              <w:rPr>
                <w:rFonts w:cs="Arial"/>
                <w:b/>
                <w:color w:val="auto"/>
                <w:sz w:val="18"/>
              </w:rPr>
              <w:t>Nacional</w:t>
            </w:r>
          </w:p>
        </w:tc>
        <w:tc>
          <w:tcPr>
            <w:tcW w:w="1729" w:type="dxa"/>
            <w:tcBorders>
              <w:top w:val="nil"/>
              <w:left w:val="single" w:sz="4" w:space="0" w:color="404040"/>
              <w:bottom w:val="nil"/>
              <w:right w:val="single" w:sz="4" w:space="0" w:color="404040"/>
            </w:tcBorders>
            <w:vAlign w:val="center"/>
            <w:hideMark/>
          </w:tcPr>
          <w:p w14:paraId="545E2BB2" w14:textId="3960AD7C" w:rsidR="001E07B7" w:rsidRPr="001D7CCB" w:rsidRDefault="00F551F3" w:rsidP="004A0304">
            <w:pPr>
              <w:tabs>
                <w:tab w:val="decimal" w:pos="670"/>
              </w:tabs>
              <w:jc w:val="left"/>
              <w:rPr>
                <w:rFonts w:cs="Arial"/>
                <w:b/>
                <w:sz w:val="18"/>
                <w:szCs w:val="18"/>
                <w:lang w:eastAsia="en-US"/>
              </w:rPr>
            </w:pPr>
            <w:r w:rsidRPr="001D7CCB">
              <w:rPr>
                <w:rFonts w:cs="Arial"/>
                <w:b/>
                <w:bCs/>
                <w:sz w:val="18"/>
                <w:szCs w:val="18"/>
              </w:rPr>
              <w:t>0.9</w:t>
            </w:r>
          </w:p>
        </w:tc>
        <w:tc>
          <w:tcPr>
            <w:tcW w:w="1730" w:type="dxa"/>
            <w:tcBorders>
              <w:top w:val="nil"/>
              <w:left w:val="single" w:sz="4" w:space="0" w:color="404040"/>
              <w:bottom w:val="nil"/>
              <w:right w:val="single" w:sz="4" w:space="0" w:color="auto"/>
            </w:tcBorders>
            <w:vAlign w:val="center"/>
          </w:tcPr>
          <w:p w14:paraId="3BBF2547" w14:textId="73DBBFDA" w:rsidR="001E07B7" w:rsidRPr="001D7CCB" w:rsidRDefault="008B4551" w:rsidP="00050594">
            <w:pPr>
              <w:tabs>
                <w:tab w:val="decimal" w:pos="745"/>
              </w:tabs>
              <w:jc w:val="left"/>
              <w:rPr>
                <w:rFonts w:cs="Arial"/>
                <w:b/>
                <w:sz w:val="18"/>
                <w:szCs w:val="18"/>
                <w:lang w:eastAsia="en-US"/>
              </w:rPr>
            </w:pPr>
            <w:r w:rsidRPr="001D7CCB">
              <w:rPr>
                <w:rFonts w:cs="Arial"/>
                <w:b/>
                <w:bCs/>
                <w:sz w:val="18"/>
                <w:szCs w:val="18"/>
              </w:rPr>
              <w:t>2.</w:t>
            </w:r>
            <w:r w:rsidR="00FF619C" w:rsidRPr="001D7CCB">
              <w:rPr>
                <w:rFonts w:cs="Arial"/>
                <w:b/>
                <w:bCs/>
                <w:sz w:val="18"/>
                <w:szCs w:val="18"/>
              </w:rPr>
              <w:t>1</w:t>
            </w:r>
          </w:p>
        </w:tc>
      </w:tr>
      <w:tr w:rsidR="001E07B7" w:rsidRPr="001D7CCB" w14:paraId="7257A0B5" w14:textId="77777777" w:rsidTr="00050594">
        <w:trPr>
          <w:cantSplit/>
          <w:trHeight w:val="255"/>
          <w:jc w:val="center"/>
        </w:trPr>
        <w:tc>
          <w:tcPr>
            <w:tcW w:w="3766" w:type="dxa"/>
            <w:tcBorders>
              <w:top w:val="nil"/>
              <w:left w:val="single" w:sz="4" w:space="0" w:color="auto"/>
              <w:bottom w:val="nil"/>
              <w:right w:val="single" w:sz="4" w:space="0" w:color="404040"/>
            </w:tcBorders>
            <w:vAlign w:val="center"/>
            <w:hideMark/>
          </w:tcPr>
          <w:p w14:paraId="1304FE7D" w14:textId="77777777" w:rsidR="001E07B7" w:rsidRPr="001D7CCB" w:rsidRDefault="001E07B7" w:rsidP="004E342D">
            <w:pPr>
              <w:pStyle w:val="p0"/>
              <w:spacing w:before="0"/>
              <w:ind w:firstLine="454"/>
              <w:jc w:val="left"/>
              <w:rPr>
                <w:rFonts w:cs="Arial"/>
                <w:color w:val="auto"/>
                <w:sz w:val="18"/>
              </w:rPr>
            </w:pPr>
            <w:r w:rsidRPr="001D7CCB">
              <w:rPr>
                <w:rFonts w:cs="Arial"/>
                <w:color w:val="auto"/>
                <w:sz w:val="18"/>
              </w:rPr>
              <w:t>Bienes</w:t>
            </w:r>
          </w:p>
        </w:tc>
        <w:tc>
          <w:tcPr>
            <w:tcW w:w="1729" w:type="dxa"/>
            <w:tcBorders>
              <w:top w:val="nil"/>
              <w:left w:val="single" w:sz="4" w:space="0" w:color="404040"/>
              <w:bottom w:val="nil"/>
              <w:right w:val="single" w:sz="4" w:space="0" w:color="404040"/>
            </w:tcBorders>
            <w:vAlign w:val="center"/>
            <w:hideMark/>
          </w:tcPr>
          <w:p w14:paraId="41A3CE83" w14:textId="4633CA9D" w:rsidR="001E07B7" w:rsidRPr="001D7CCB" w:rsidRDefault="008628CB" w:rsidP="004A0304">
            <w:pPr>
              <w:tabs>
                <w:tab w:val="decimal" w:pos="670"/>
              </w:tabs>
              <w:jc w:val="left"/>
              <w:rPr>
                <w:rFonts w:cs="Arial"/>
                <w:sz w:val="18"/>
                <w:szCs w:val="18"/>
                <w:lang w:eastAsia="en-US"/>
              </w:rPr>
            </w:pPr>
            <w:r w:rsidRPr="001D7CCB">
              <w:rPr>
                <w:rFonts w:cs="Arial"/>
                <w:sz w:val="18"/>
                <w:szCs w:val="18"/>
              </w:rPr>
              <w:t>-</w:t>
            </w:r>
            <w:r w:rsidR="00FF619C" w:rsidRPr="001D7CCB">
              <w:rPr>
                <w:rFonts w:cs="Arial"/>
                <w:sz w:val="18"/>
                <w:szCs w:val="18"/>
              </w:rPr>
              <w:t>1.0</w:t>
            </w:r>
          </w:p>
        </w:tc>
        <w:tc>
          <w:tcPr>
            <w:tcW w:w="1730" w:type="dxa"/>
            <w:tcBorders>
              <w:top w:val="nil"/>
              <w:left w:val="single" w:sz="4" w:space="0" w:color="404040"/>
              <w:bottom w:val="nil"/>
              <w:right w:val="single" w:sz="4" w:space="0" w:color="auto"/>
            </w:tcBorders>
            <w:vAlign w:val="center"/>
          </w:tcPr>
          <w:p w14:paraId="44364DE8" w14:textId="74B5A6D7" w:rsidR="001E07B7" w:rsidRPr="001D7CCB" w:rsidRDefault="00F551F3" w:rsidP="00050594">
            <w:pPr>
              <w:tabs>
                <w:tab w:val="decimal" w:pos="745"/>
              </w:tabs>
              <w:jc w:val="left"/>
              <w:rPr>
                <w:rFonts w:cs="Arial"/>
                <w:sz w:val="18"/>
                <w:szCs w:val="18"/>
                <w:lang w:eastAsia="en-US"/>
              </w:rPr>
            </w:pPr>
            <w:r w:rsidRPr="001D7CCB">
              <w:rPr>
                <w:rFonts w:cs="Arial"/>
                <w:sz w:val="18"/>
                <w:szCs w:val="18"/>
              </w:rPr>
              <w:t>-0.</w:t>
            </w:r>
            <w:r w:rsidR="00FF619C" w:rsidRPr="001D7CCB">
              <w:rPr>
                <w:rFonts w:cs="Arial"/>
                <w:sz w:val="18"/>
                <w:szCs w:val="18"/>
              </w:rPr>
              <w:t>3</w:t>
            </w:r>
          </w:p>
        </w:tc>
      </w:tr>
      <w:tr w:rsidR="001E07B7" w:rsidRPr="001D7CCB" w14:paraId="3FFCAB05" w14:textId="77777777" w:rsidTr="00050594">
        <w:trPr>
          <w:cantSplit/>
          <w:trHeight w:val="255"/>
          <w:jc w:val="center"/>
        </w:trPr>
        <w:tc>
          <w:tcPr>
            <w:tcW w:w="3766" w:type="dxa"/>
            <w:tcBorders>
              <w:top w:val="nil"/>
              <w:left w:val="single" w:sz="4" w:space="0" w:color="auto"/>
              <w:bottom w:val="nil"/>
              <w:right w:val="single" w:sz="4" w:space="0" w:color="404040"/>
            </w:tcBorders>
            <w:vAlign w:val="center"/>
          </w:tcPr>
          <w:p w14:paraId="26BD4162" w14:textId="15151737" w:rsidR="001E07B7" w:rsidRPr="001D7CCB" w:rsidRDefault="001E07B7" w:rsidP="004E342D">
            <w:pPr>
              <w:pStyle w:val="p0"/>
              <w:spacing w:before="0"/>
              <w:ind w:left="162" w:firstLine="454"/>
              <w:jc w:val="left"/>
              <w:rPr>
                <w:rFonts w:cs="Arial"/>
                <w:color w:val="auto"/>
                <w:sz w:val="18"/>
              </w:rPr>
            </w:pPr>
            <w:r w:rsidRPr="001D7CCB">
              <w:rPr>
                <w:rFonts w:cs="Arial"/>
                <w:color w:val="auto"/>
                <w:sz w:val="18"/>
              </w:rPr>
              <w:t>Duradero</w:t>
            </w:r>
          </w:p>
        </w:tc>
        <w:tc>
          <w:tcPr>
            <w:tcW w:w="1729" w:type="dxa"/>
            <w:tcBorders>
              <w:top w:val="nil"/>
              <w:left w:val="single" w:sz="4" w:space="0" w:color="404040"/>
              <w:bottom w:val="nil"/>
              <w:right w:val="single" w:sz="4" w:space="0" w:color="404040"/>
            </w:tcBorders>
            <w:vAlign w:val="center"/>
          </w:tcPr>
          <w:p w14:paraId="4582095E" w14:textId="16026E68" w:rsidR="001E07B7" w:rsidRPr="001D7CCB" w:rsidRDefault="00FF619C" w:rsidP="004A0304">
            <w:pPr>
              <w:tabs>
                <w:tab w:val="decimal" w:pos="670"/>
              </w:tabs>
              <w:jc w:val="left"/>
              <w:rPr>
                <w:rFonts w:cs="Arial"/>
                <w:sz w:val="18"/>
                <w:szCs w:val="18"/>
                <w:lang w:eastAsia="en-US"/>
              </w:rPr>
            </w:pPr>
            <w:r w:rsidRPr="001D7CCB">
              <w:rPr>
                <w:rFonts w:cs="Arial"/>
                <w:sz w:val="18"/>
                <w:szCs w:val="18"/>
              </w:rPr>
              <w:t>19.6</w:t>
            </w:r>
          </w:p>
        </w:tc>
        <w:tc>
          <w:tcPr>
            <w:tcW w:w="1730" w:type="dxa"/>
            <w:tcBorders>
              <w:top w:val="nil"/>
              <w:left w:val="single" w:sz="4" w:space="0" w:color="404040"/>
              <w:bottom w:val="nil"/>
              <w:right w:val="single" w:sz="4" w:space="0" w:color="auto"/>
            </w:tcBorders>
            <w:vAlign w:val="center"/>
          </w:tcPr>
          <w:p w14:paraId="28AE40E7" w14:textId="0CBD3417" w:rsidR="001E07B7" w:rsidRPr="001D7CCB" w:rsidRDefault="008B4551" w:rsidP="00050594">
            <w:pPr>
              <w:tabs>
                <w:tab w:val="decimal" w:pos="745"/>
              </w:tabs>
              <w:jc w:val="left"/>
              <w:rPr>
                <w:rFonts w:cs="Arial"/>
                <w:sz w:val="18"/>
                <w:szCs w:val="18"/>
                <w:lang w:eastAsia="en-US"/>
              </w:rPr>
            </w:pPr>
            <w:r w:rsidRPr="001D7CCB">
              <w:rPr>
                <w:rFonts w:cs="Arial"/>
                <w:sz w:val="18"/>
                <w:szCs w:val="18"/>
              </w:rPr>
              <w:t>1</w:t>
            </w:r>
            <w:r w:rsidR="00FF619C" w:rsidRPr="001D7CCB">
              <w:rPr>
                <w:rFonts w:cs="Arial"/>
                <w:sz w:val="18"/>
                <w:szCs w:val="18"/>
              </w:rPr>
              <w:t>3.8</w:t>
            </w:r>
          </w:p>
        </w:tc>
      </w:tr>
      <w:tr w:rsidR="001E07B7" w:rsidRPr="001D7CCB" w14:paraId="2E065D5A" w14:textId="77777777" w:rsidTr="00050594">
        <w:trPr>
          <w:cantSplit/>
          <w:trHeight w:val="255"/>
          <w:jc w:val="center"/>
        </w:trPr>
        <w:tc>
          <w:tcPr>
            <w:tcW w:w="3766" w:type="dxa"/>
            <w:tcBorders>
              <w:top w:val="nil"/>
              <w:left w:val="single" w:sz="4" w:space="0" w:color="auto"/>
              <w:bottom w:val="nil"/>
              <w:right w:val="single" w:sz="4" w:space="0" w:color="404040"/>
            </w:tcBorders>
            <w:vAlign w:val="center"/>
          </w:tcPr>
          <w:p w14:paraId="5B39B522" w14:textId="65285393" w:rsidR="001E07B7" w:rsidRPr="001D7CCB" w:rsidRDefault="001E07B7" w:rsidP="004E342D">
            <w:pPr>
              <w:pStyle w:val="p0"/>
              <w:spacing w:before="0"/>
              <w:ind w:left="162" w:firstLine="454"/>
              <w:jc w:val="left"/>
              <w:rPr>
                <w:rFonts w:cs="Arial"/>
                <w:color w:val="auto"/>
                <w:sz w:val="18"/>
              </w:rPr>
            </w:pPr>
            <w:r w:rsidRPr="001D7CCB">
              <w:rPr>
                <w:rFonts w:cs="Arial"/>
                <w:color w:val="auto"/>
                <w:sz w:val="18"/>
              </w:rPr>
              <w:t>Semi duradero</w:t>
            </w:r>
          </w:p>
        </w:tc>
        <w:tc>
          <w:tcPr>
            <w:tcW w:w="1729" w:type="dxa"/>
            <w:tcBorders>
              <w:top w:val="nil"/>
              <w:left w:val="single" w:sz="4" w:space="0" w:color="404040"/>
              <w:bottom w:val="nil"/>
              <w:right w:val="single" w:sz="4" w:space="0" w:color="404040"/>
            </w:tcBorders>
            <w:vAlign w:val="center"/>
          </w:tcPr>
          <w:p w14:paraId="4FE6BCC8" w14:textId="1A704616" w:rsidR="001E07B7" w:rsidRPr="001D7CCB" w:rsidRDefault="00FF619C" w:rsidP="004A0304">
            <w:pPr>
              <w:tabs>
                <w:tab w:val="decimal" w:pos="670"/>
              </w:tabs>
              <w:jc w:val="left"/>
              <w:rPr>
                <w:rFonts w:cs="Arial"/>
                <w:sz w:val="18"/>
                <w:szCs w:val="18"/>
                <w:lang w:eastAsia="en-US"/>
              </w:rPr>
            </w:pPr>
            <w:r w:rsidRPr="001D7CCB">
              <w:rPr>
                <w:rFonts w:cs="Arial"/>
                <w:sz w:val="18"/>
                <w:szCs w:val="18"/>
              </w:rPr>
              <w:t>0.4</w:t>
            </w:r>
          </w:p>
        </w:tc>
        <w:tc>
          <w:tcPr>
            <w:tcW w:w="1730" w:type="dxa"/>
            <w:tcBorders>
              <w:top w:val="nil"/>
              <w:left w:val="single" w:sz="4" w:space="0" w:color="404040"/>
              <w:bottom w:val="nil"/>
              <w:right w:val="single" w:sz="4" w:space="0" w:color="auto"/>
            </w:tcBorders>
            <w:vAlign w:val="center"/>
          </w:tcPr>
          <w:p w14:paraId="61E51FEB" w14:textId="7F3E1A66" w:rsidR="001E07B7" w:rsidRPr="001D7CCB" w:rsidRDefault="00FF619C" w:rsidP="00050594">
            <w:pPr>
              <w:tabs>
                <w:tab w:val="decimal" w:pos="745"/>
              </w:tabs>
              <w:jc w:val="left"/>
              <w:rPr>
                <w:rFonts w:cs="Arial"/>
                <w:sz w:val="18"/>
                <w:szCs w:val="18"/>
                <w:lang w:eastAsia="en-US"/>
              </w:rPr>
            </w:pPr>
            <w:r w:rsidRPr="001D7CCB">
              <w:rPr>
                <w:rFonts w:cs="Arial"/>
                <w:sz w:val="18"/>
                <w:szCs w:val="18"/>
              </w:rPr>
              <w:t>2.7</w:t>
            </w:r>
          </w:p>
        </w:tc>
      </w:tr>
      <w:tr w:rsidR="001E07B7" w:rsidRPr="001D7CCB" w14:paraId="19C76BCE" w14:textId="77777777" w:rsidTr="00050594">
        <w:trPr>
          <w:cantSplit/>
          <w:trHeight w:val="255"/>
          <w:jc w:val="center"/>
        </w:trPr>
        <w:tc>
          <w:tcPr>
            <w:tcW w:w="3766" w:type="dxa"/>
            <w:tcBorders>
              <w:top w:val="nil"/>
              <w:left w:val="single" w:sz="4" w:space="0" w:color="auto"/>
              <w:bottom w:val="nil"/>
              <w:right w:val="single" w:sz="4" w:space="0" w:color="404040"/>
            </w:tcBorders>
            <w:vAlign w:val="center"/>
          </w:tcPr>
          <w:p w14:paraId="45381D83" w14:textId="571B09E4" w:rsidR="001E07B7" w:rsidRPr="001D7CCB" w:rsidRDefault="001E07B7" w:rsidP="004E342D">
            <w:pPr>
              <w:pStyle w:val="p0"/>
              <w:spacing w:before="0"/>
              <w:ind w:left="162" w:firstLine="454"/>
              <w:jc w:val="left"/>
              <w:rPr>
                <w:rFonts w:cs="Arial"/>
                <w:color w:val="auto"/>
                <w:sz w:val="18"/>
              </w:rPr>
            </w:pPr>
            <w:r w:rsidRPr="001D7CCB">
              <w:rPr>
                <w:rFonts w:cs="Arial"/>
                <w:color w:val="auto"/>
                <w:sz w:val="18"/>
              </w:rPr>
              <w:t>No duradero</w:t>
            </w:r>
          </w:p>
        </w:tc>
        <w:tc>
          <w:tcPr>
            <w:tcW w:w="1729" w:type="dxa"/>
            <w:tcBorders>
              <w:top w:val="nil"/>
              <w:left w:val="single" w:sz="4" w:space="0" w:color="404040"/>
              <w:bottom w:val="nil"/>
              <w:right w:val="single" w:sz="4" w:space="0" w:color="404040"/>
            </w:tcBorders>
            <w:vAlign w:val="center"/>
          </w:tcPr>
          <w:p w14:paraId="14D0FFF0" w14:textId="02DD4DF4" w:rsidR="001E07B7" w:rsidRPr="001D7CCB" w:rsidRDefault="001E07B7" w:rsidP="004A0304">
            <w:pPr>
              <w:tabs>
                <w:tab w:val="decimal" w:pos="670"/>
              </w:tabs>
              <w:jc w:val="left"/>
              <w:rPr>
                <w:rFonts w:cs="Arial"/>
                <w:sz w:val="18"/>
                <w:szCs w:val="18"/>
                <w:lang w:eastAsia="en-US"/>
              </w:rPr>
            </w:pPr>
            <w:r w:rsidRPr="001D7CCB">
              <w:rPr>
                <w:rFonts w:cs="Arial"/>
                <w:sz w:val="18"/>
                <w:szCs w:val="18"/>
              </w:rPr>
              <w:t>-</w:t>
            </w:r>
            <w:r w:rsidR="00FF619C" w:rsidRPr="001D7CCB">
              <w:rPr>
                <w:rFonts w:cs="Arial"/>
                <w:sz w:val="18"/>
                <w:szCs w:val="18"/>
              </w:rPr>
              <w:t>3.3</w:t>
            </w:r>
          </w:p>
        </w:tc>
        <w:tc>
          <w:tcPr>
            <w:tcW w:w="1730" w:type="dxa"/>
            <w:tcBorders>
              <w:top w:val="nil"/>
              <w:left w:val="single" w:sz="4" w:space="0" w:color="404040"/>
              <w:bottom w:val="nil"/>
              <w:right w:val="single" w:sz="4" w:space="0" w:color="auto"/>
            </w:tcBorders>
            <w:vAlign w:val="center"/>
          </w:tcPr>
          <w:p w14:paraId="30F74965" w14:textId="4BA9816F" w:rsidR="001E07B7" w:rsidRPr="001D7CCB" w:rsidRDefault="00AB6E12" w:rsidP="00050594">
            <w:pPr>
              <w:tabs>
                <w:tab w:val="decimal" w:pos="745"/>
              </w:tabs>
              <w:jc w:val="left"/>
              <w:rPr>
                <w:rFonts w:cs="Arial"/>
                <w:sz w:val="18"/>
                <w:szCs w:val="18"/>
                <w:lang w:eastAsia="en-US"/>
              </w:rPr>
            </w:pPr>
            <w:r w:rsidRPr="001D7CCB">
              <w:rPr>
                <w:rFonts w:cs="Arial"/>
                <w:sz w:val="18"/>
                <w:szCs w:val="18"/>
              </w:rPr>
              <w:t>-</w:t>
            </w:r>
            <w:r w:rsidR="00F551F3" w:rsidRPr="001D7CCB">
              <w:rPr>
                <w:rFonts w:cs="Arial"/>
                <w:sz w:val="18"/>
                <w:szCs w:val="18"/>
              </w:rPr>
              <w:t>2.</w:t>
            </w:r>
            <w:r w:rsidR="00FF619C" w:rsidRPr="001D7CCB">
              <w:rPr>
                <w:rFonts w:cs="Arial"/>
                <w:sz w:val="18"/>
                <w:szCs w:val="18"/>
              </w:rPr>
              <w:t>4</w:t>
            </w:r>
          </w:p>
        </w:tc>
      </w:tr>
      <w:tr w:rsidR="001E07B7" w:rsidRPr="001D7CCB" w14:paraId="241ECDB9" w14:textId="77777777" w:rsidTr="00050594">
        <w:trPr>
          <w:cantSplit/>
          <w:trHeight w:val="255"/>
          <w:jc w:val="center"/>
        </w:trPr>
        <w:tc>
          <w:tcPr>
            <w:tcW w:w="3766" w:type="dxa"/>
            <w:tcBorders>
              <w:top w:val="nil"/>
              <w:left w:val="single" w:sz="4" w:space="0" w:color="auto"/>
              <w:bottom w:val="nil"/>
              <w:right w:val="single" w:sz="4" w:space="0" w:color="404040"/>
            </w:tcBorders>
            <w:vAlign w:val="center"/>
            <w:hideMark/>
          </w:tcPr>
          <w:p w14:paraId="127F7596" w14:textId="77777777" w:rsidR="001E07B7" w:rsidRPr="001D7CCB" w:rsidRDefault="001E07B7" w:rsidP="004E342D">
            <w:pPr>
              <w:pStyle w:val="p0"/>
              <w:spacing w:before="0"/>
              <w:ind w:firstLine="454"/>
              <w:jc w:val="left"/>
              <w:rPr>
                <w:rFonts w:cs="Arial"/>
                <w:color w:val="auto"/>
                <w:sz w:val="18"/>
              </w:rPr>
            </w:pPr>
            <w:r w:rsidRPr="001D7CCB">
              <w:rPr>
                <w:rFonts w:cs="Arial"/>
                <w:color w:val="auto"/>
                <w:sz w:val="18"/>
              </w:rPr>
              <w:t>Servicios</w:t>
            </w:r>
          </w:p>
        </w:tc>
        <w:tc>
          <w:tcPr>
            <w:tcW w:w="1729" w:type="dxa"/>
            <w:tcBorders>
              <w:top w:val="nil"/>
              <w:left w:val="single" w:sz="4" w:space="0" w:color="404040"/>
              <w:bottom w:val="nil"/>
              <w:right w:val="single" w:sz="4" w:space="0" w:color="404040"/>
            </w:tcBorders>
            <w:vAlign w:val="center"/>
            <w:hideMark/>
          </w:tcPr>
          <w:p w14:paraId="3ECEB45D" w14:textId="5DBF84BA" w:rsidR="001E07B7" w:rsidRPr="001D7CCB" w:rsidRDefault="00FF619C" w:rsidP="004A0304">
            <w:pPr>
              <w:tabs>
                <w:tab w:val="decimal" w:pos="670"/>
              </w:tabs>
              <w:jc w:val="left"/>
              <w:rPr>
                <w:rFonts w:cs="Arial"/>
                <w:sz w:val="18"/>
                <w:szCs w:val="18"/>
                <w:lang w:eastAsia="en-US"/>
              </w:rPr>
            </w:pPr>
            <w:r w:rsidRPr="001D7CCB">
              <w:rPr>
                <w:rFonts w:cs="Arial"/>
                <w:sz w:val="18"/>
                <w:szCs w:val="18"/>
              </w:rPr>
              <w:t>3.0</w:t>
            </w:r>
          </w:p>
        </w:tc>
        <w:tc>
          <w:tcPr>
            <w:tcW w:w="1730" w:type="dxa"/>
            <w:tcBorders>
              <w:top w:val="nil"/>
              <w:left w:val="single" w:sz="4" w:space="0" w:color="404040"/>
              <w:bottom w:val="nil"/>
              <w:right w:val="single" w:sz="4" w:space="0" w:color="auto"/>
            </w:tcBorders>
            <w:vAlign w:val="center"/>
          </w:tcPr>
          <w:p w14:paraId="1AEA2875" w14:textId="209E50C5" w:rsidR="001E07B7" w:rsidRPr="001D7CCB" w:rsidRDefault="00F0078B" w:rsidP="00050594">
            <w:pPr>
              <w:tabs>
                <w:tab w:val="decimal" w:pos="745"/>
              </w:tabs>
              <w:jc w:val="left"/>
              <w:rPr>
                <w:rFonts w:cs="Arial"/>
                <w:sz w:val="18"/>
                <w:szCs w:val="18"/>
                <w:lang w:eastAsia="en-US"/>
              </w:rPr>
            </w:pPr>
            <w:r w:rsidRPr="001D7CCB">
              <w:rPr>
                <w:rFonts w:cs="Arial"/>
                <w:sz w:val="18"/>
                <w:szCs w:val="18"/>
              </w:rPr>
              <w:t>5.</w:t>
            </w:r>
            <w:r w:rsidR="00FF619C" w:rsidRPr="001D7CCB">
              <w:rPr>
                <w:rFonts w:cs="Arial"/>
                <w:sz w:val="18"/>
                <w:szCs w:val="18"/>
              </w:rPr>
              <w:t>0</w:t>
            </w:r>
          </w:p>
        </w:tc>
      </w:tr>
      <w:tr w:rsidR="001E07B7" w:rsidRPr="001D7CCB" w14:paraId="60D9A995" w14:textId="77777777" w:rsidTr="00050594">
        <w:trPr>
          <w:cantSplit/>
          <w:trHeight w:val="255"/>
          <w:jc w:val="center"/>
        </w:trPr>
        <w:tc>
          <w:tcPr>
            <w:tcW w:w="3766" w:type="dxa"/>
            <w:tcBorders>
              <w:top w:val="nil"/>
              <w:left w:val="single" w:sz="4" w:space="0" w:color="auto"/>
              <w:bottom w:val="nil"/>
              <w:right w:val="single" w:sz="4" w:space="0" w:color="404040"/>
            </w:tcBorders>
            <w:vAlign w:val="center"/>
            <w:hideMark/>
          </w:tcPr>
          <w:p w14:paraId="4CC6F50B" w14:textId="61295474" w:rsidR="001E07B7" w:rsidRPr="001D7CCB" w:rsidRDefault="001E07B7" w:rsidP="004E342D">
            <w:pPr>
              <w:pStyle w:val="p0"/>
              <w:spacing w:before="0"/>
              <w:ind w:firstLine="313"/>
              <w:jc w:val="left"/>
              <w:rPr>
                <w:rFonts w:cs="Arial"/>
                <w:b/>
                <w:color w:val="auto"/>
                <w:sz w:val="18"/>
              </w:rPr>
            </w:pPr>
            <w:r w:rsidRPr="001D7CCB">
              <w:rPr>
                <w:rFonts w:cs="Arial"/>
                <w:b/>
                <w:color w:val="auto"/>
                <w:sz w:val="18"/>
              </w:rPr>
              <w:t>Importado</w:t>
            </w:r>
            <w:r w:rsidR="00F551F3" w:rsidRPr="001D7CCB">
              <w:rPr>
                <w:rFonts w:cs="Arial"/>
                <w:b/>
                <w:color w:val="auto"/>
                <w:sz w:val="18"/>
              </w:rPr>
              <w:t xml:space="preserve"> </w:t>
            </w:r>
          </w:p>
        </w:tc>
        <w:tc>
          <w:tcPr>
            <w:tcW w:w="1729" w:type="dxa"/>
            <w:tcBorders>
              <w:top w:val="nil"/>
              <w:left w:val="single" w:sz="4" w:space="0" w:color="404040"/>
              <w:bottom w:val="nil"/>
              <w:right w:val="single" w:sz="4" w:space="0" w:color="404040"/>
            </w:tcBorders>
            <w:vAlign w:val="center"/>
            <w:hideMark/>
          </w:tcPr>
          <w:p w14:paraId="07B381BD" w14:textId="3A58F129" w:rsidR="001E07B7" w:rsidRPr="001D7CCB" w:rsidRDefault="00FF619C" w:rsidP="004A0304">
            <w:pPr>
              <w:tabs>
                <w:tab w:val="decimal" w:pos="670"/>
              </w:tabs>
              <w:jc w:val="left"/>
              <w:rPr>
                <w:rFonts w:cs="Arial"/>
                <w:b/>
                <w:sz w:val="18"/>
                <w:szCs w:val="18"/>
                <w:lang w:eastAsia="en-US"/>
              </w:rPr>
            </w:pPr>
            <w:r w:rsidRPr="001D7CCB">
              <w:rPr>
                <w:rFonts w:cs="Arial"/>
                <w:b/>
                <w:bCs/>
                <w:sz w:val="18"/>
                <w:szCs w:val="18"/>
              </w:rPr>
              <w:t>19</w:t>
            </w:r>
            <w:r w:rsidR="00F551F3" w:rsidRPr="001D7CCB">
              <w:rPr>
                <w:rFonts w:cs="Arial"/>
                <w:b/>
                <w:bCs/>
                <w:sz w:val="18"/>
                <w:szCs w:val="18"/>
              </w:rPr>
              <w:t>.4</w:t>
            </w:r>
          </w:p>
        </w:tc>
        <w:tc>
          <w:tcPr>
            <w:tcW w:w="1730" w:type="dxa"/>
            <w:tcBorders>
              <w:top w:val="nil"/>
              <w:left w:val="single" w:sz="4" w:space="0" w:color="404040"/>
              <w:bottom w:val="nil"/>
              <w:right w:val="single" w:sz="4" w:space="0" w:color="auto"/>
            </w:tcBorders>
            <w:vAlign w:val="center"/>
          </w:tcPr>
          <w:p w14:paraId="0C84E1DE" w14:textId="6B579B3E" w:rsidR="001E07B7" w:rsidRPr="001D7CCB" w:rsidRDefault="001E07B7" w:rsidP="00050594">
            <w:pPr>
              <w:tabs>
                <w:tab w:val="decimal" w:pos="745"/>
              </w:tabs>
              <w:jc w:val="left"/>
              <w:rPr>
                <w:rFonts w:cs="Arial"/>
                <w:b/>
                <w:sz w:val="18"/>
                <w:szCs w:val="18"/>
                <w:lang w:eastAsia="en-US"/>
              </w:rPr>
            </w:pPr>
            <w:r w:rsidRPr="001D7CCB">
              <w:rPr>
                <w:rFonts w:cs="Arial"/>
                <w:b/>
                <w:bCs/>
                <w:sz w:val="18"/>
                <w:szCs w:val="18"/>
              </w:rPr>
              <w:t>1</w:t>
            </w:r>
            <w:r w:rsidR="00F551F3" w:rsidRPr="001D7CCB">
              <w:rPr>
                <w:rFonts w:cs="Arial"/>
                <w:b/>
                <w:bCs/>
                <w:sz w:val="18"/>
                <w:szCs w:val="18"/>
              </w:rPr>
              <w:t>8.</w:t>
            </w:r>
            <w:r w:rsidR="00FF619C" w:rsidRPr="001D7CCB">
              <w:rPr>
                <w:rFonts w:cs="Arial"/>
                <w:b/>
                <w:bCs/>
                <w:sz w:val="18"/>
                <w:szCs w:val="18"/>
              </w:rPr>
              <w:t>7</w:t>
            </w:r>
          </w:p>
        </w:tc>
      </w:tr>
      <w:tr w:rsidR="001E07B7" w:rsidRPr="001D7CCB" w14:paraId="012F7F00" w14:textId="77777777" w:rsidTr="00050594">
        <w:trPr>
          <w:cantSplit/>
          <w:trHeight w:val="255"/>
          <w:jc w:val="center"/>
        </w:trPr>
        <w:tc>
          <w:tcPr>
            <w:tcW w:w="3766" w:type="dxa"/>
            <w:tcBorders>
              <w:top w:val="nil"/>
              <w:left w:val="single" w:sz="4" w:space="0" w:color="auto"/>
              <w:bottom w:val="nil"/>
              <w:right w:val="single" w:sz="4" w:space="0" w:color="404040"/>
            </w:tcBorders>
            <w:vAlign w:val="center"/>
            <w:hideMark/>
          </w:tcPr>
          <w:p w14:paraId="194BB237" w14:textId="77777777" w:rsidR="001E07B7" w:rsidRPr="001D7CCB" w:rsidRDefault="001E07B7" w:rsidP="004E342D">
            <w:pPr>
              <w:pStyle w:val="p0"/>
              <w:spacing w:before="0"/>
              <w:ind w:firstLine="454"/>
              <w:jc w:val="left"/>
              <w:rPr>
                <w:rFonts w:cs="Arial"/>
                <w:color w:val="auto"/>
                <w:sz w:val="18"/>
              </w:rPr>
            </w:pPr>
            <w:r w:rsidRPr="001D7CCB">
              <w:rPr>
                <w:rFonts w:cs="Arial"/>
                <w:color w:val="auto"/>
                <w:sz w:val="18"/>
              </w:rPr>
              <w:t>Bienes</w:t>
            </w:r>
          </w:p>
        </w:tc>
        <w:tc>
          <w:tcPr>
            <w:tcW w:w="1729" w:type="dxa"/>
            <w:tcBorders>
              <w:top w:val="nil"/>
              <w:left w:val="single" w:sz="4" w:space="0" w:color="404040"/>
              <w:bottom w:val="nil"/>
              <w:right w:val="single" w:sz="4" w:space="0" w:color="404040"/>
            </w:tcBorders>
            <w:vAlign w:val="center"/>
            <w:hideMark/>
          </w:tcPr>
          <w:p w14:paraId="0800AFD7" w14:textId="307055DF" w:rsidR="001E07B7" w:rsidRPr="001D7CCB" w:rsidRDefault="00FF619C" w:rsidP="004A0304">
            <w:pPr>
              <w:tabs>
                <w:tab w:val="decimal" w:pos="670"/>
              </w:tabs>
              <w:jc w:val="left"/>
              <w:rPr>
                <w:rFonts w:cs="Arial"/>
                <w:sz w:val="18"/>
                <w:szCs w:val="18"/>
                <w:lang w:eastAsia="en-US"/>
              </w:rPr>
            </w:pPr>
            <w:r w:rsidRPr="001D7CCB">
              <w:rPr>
                <w:rFonts w:cs="Arial"/>
                <w:sz w:val="18"/>
                <w:szCs w:val="18"/>
              </w:rPr>
              <w:t>19</w:t>
            </w:r>
            <w:r w:rsidR="00F551F3" w:rsidRPr="001D7CCB">
              <w:rPr>
                <w:rFonts w:cs="Arial"/>
                <w:sz w:val="18"/>
                <w:szCs w:val="18"/>
              </w:rPr>
              <w:t>.4</w:t>
            </w:r>
          </w:p>
        </w:tc>
        <w:tc>
          <w:tcPr>
            <w:tcW w:w="1730" w:type="dxa"/>
            <w:tcBorders>
              <w:top w:val="nil"/>
              <w:left w:val="single" w:sz="4" w:space="0" w:color="404040"/>
              <w:bottom w:val="nil"/>
              <w:right w:val="single" w:sz="4" w:space="0" w:color="auto"/>
            </w:tcBorders>
            <w:vAlign w:val="center"/>
          </w:tcPr>
          <w:p w14:paraId="1D668600" w14:textId="5A5B92FD" w:rsidR="001E07B7" w:rsidRPr="001D7CCB" w:rsidRDefault="001E07B7" w:rsidP="00050594">
            <w:pPr>
              <w:tabs>
                <w:tab w:val="decimal" w:pos="745"/>
              </w:tabs>
              <w:jc w:val="left"/>
              <w:rPr>
                <w:rFonts w:cs="Arial"/>
                <w:sz w:val="18"/>
                <w:szCs w:val="18"/>
                <w:lang w:eastAsia="en-US"/>
              </w:rPr>
            </w:pPr>
            <w:r w:rsidRPr="001D7CCB">
              <w:rPr>
                <w:rFonts w:cs="Arial"/>
                <w:sz w:val="18"/>
                <w:szCs w:val="18"/>
              </w:rPr>
              <w:t>1</w:t>
            </w:r>
            <w:r w:rsidR="00F551F3" w:rsidRPr="001D7CCB">
              <w:rPr>
                <w:rFonts w:cs="Arial"/>
                <w:sz w:val="18"/>
                <w:szCs w:val="18"/>
              </w:rPr>
              <w:t>8.</w:t>
            </w:r>
            <w:r w:rsidR="00FF619C" w:rsidRPr="001D7CCB">
              <w:rPr>
                <w:rFonts w:cs="Arial"/>
                <w:sz w:val="18"/>
                <w:szCs w:val="18"/>
              </w:rPr>
              <w:t>7</w:t>
            </w:r>
          </w:p>
        </w:tc>
      </w:tr>
      <w:tr w:rsidR="001E07B7" w:rsidRPr="001D7CCB" w14:paraId="39BFACD5" w14:textId="77777777" w:rsidTr="00050594">
        <w:trPr>
          <w:cantSplit/>
          <w:trHeight w:val="255"/>
          <w:jc w:val="center"/>
        </w:trPr>
        <w:tc>
          <w:tcPr>
            <w:tcW w:w="3766" w:type="dxa"/>
            <w:tcBorders>
              <w:top w:val="nil"/>
              <w:left w:val="single" w:sz="4" w:space="0" w:color="auto"/>
              <w:bottom w:val="nil"/>
              <w:right w:val="single" w:sz="4" w:space="0" w:color="404040"/>
            </w:tcBorders>
            <w:vAlign w:val="center"/>
          </w:tcPr>
          <w:p w14:paraId="1627E40A" w14:textId="4357415A" w:rsidR="001E07B7" w:rsidRPr="001D7CCB" w:rsidRDefault="001E07B7" w:rsidP="004E342D">
            <w:pPr>
              <w:pStyle w:val="p0"/>
              <w:spacing w:before="0"/>
              <w:ind w:left="162" w:firstLine="454"/>
              <w:jc w:val="left"/>
              <w:rPr>
                <w:rFonts w:cs="Arial"/>
                <w:color w:val="auto"/>
                <w:sz w:val="18"/>
              </w:rPr>
            </w:pPr>
            <w:r w:rsidRPr="001D7CCB">
              <w:rPr>
                <w:rFonts w:cs="Arial"/>
                <w:color w:val="auto"/>
                <w:sz w:val="18"/>
              </w:rPr>
              <w:t>Duradero</w:t>
            </w:r>
          </w:p>
        </w:tc>
        <w:tc>
          <w:tcPr>
            <w:tcW w:w="1729" w:type="dxa"/>
            <w:tcBorders>
              <w:top w:val="nil"/>
              <w:left w:val="single" w:sz="4" w:space="0" w:color="404040"/>
              <w:bottom w:val="nil"/>
              <w:right w:val="single" w:sz="4" w:space="0" w:color="404040"/>
            </w:tcBorders>
            <w:vAlign w:val="center"/>
          </w:tcPr>
          <w:p w14:paraId="13642097" w14:textId="12D65036" w:rsidR="001E07B7" w:rsidRPr="001D7CCB" w:rsidRDefault="00FF619C" w:rsidP="004A0304">
            <w:pPr>
              <w:tabs>
                <w:tab w:val="decimal" w:pos="670"/>
              </w:tabs>
              <w:jc w:val="left"/>
              <w:rPr>
                <w:rFonts w:cs="Arial"/>
                <w:sz w:val="18"/>
                <w:szCs w:val="18"/>
                <w:lang w:eastAsia="en-US"/>
              </w:rPr>
            </w:pPr>
            <w:r w:rsidRPr="001D7CCB">
              <w:rPr>
                <w:rFonts w:cs="Arial"/>
                <w:sz w:val="18"/>
                <w:szCs w:val="18"/>
              </w:rPr>
              <w:t>2</w:t>
            </w:r>
            <w:r w:rsidR="00F551F3" w:rsidRPr="001D7CCB">
              <w:rPr>
                <w:rFonts w:cs="Arial"/>
                <w:sz w:val="18"/>
                <w:szCs w:val="18"/>
              </w:rPr>
              <w:t>1.</w:t>
            </w:r>
            <w:r w:rsidRPr="001D7CCB">
              <w:rPr>
                <w:rFonts w:cs="Arial"/>
                <w:sz w:val="18"/>
                <w:szCs w:val="18"/>
              </w:rPr>
              <w:t>4</w:t>
            </w:r>
          </w:p>
        </w:tc>
        <w:tc>
          <w:tcPr>
            <w:tcW w:w="1730" w:type="dxa"/>
            <w:tcBorders>
              <w:top w:val="nil"/>
              <w:left w:val="single" w:sz="4" w:space="0" w:color="404040"/>
              <w:bottom w:val="nil"/>
              <w:right w:val="single" w:sz="4" w:space="0" w:color="auto"/>
            </w:tcBorders>
            <w:vAlign w:val="center"/>
          </w:tcPr>
          <w:p w14:paraId="0342EE61" w14:textId="043E4242" w:rsidR="001E07B7" w:rsidRPr="001D7CCB" w:rsidRDefault="00F551F3" w:rsidP="00050594">
            <w:pPr>
              <w:tabs>
                <w:tab w:val="decimal" w:pos="745"/>
              </w:tabs>
              <w:jc w:val="left"/>
              <w:rPr>
                <w:rFonts w:cs="Arial"/>
                <w:sz w:val="18"/>
                <w:szCs w:val="18"/>
                <w:lang w:eastAsia="en-US"/>
              </w:rPr>
            </w:pPr>
            <w:r w:rsidRPr="001D7CCB">
              <w:rPr>
                <w:rFonts w:cs="Arial"/>
                <w:sz w:val="18"/>
                <w:szCs w:val="18"/>
              </w:rPr>
              <w:t>20.</w:t>
            </w:r>
            <w:r w:rsidR="00FF619C" w:rsidRPr="001D7CCB">
              <w:rPr>
                <w:rFonts w:cs="Arial"/>
                <w:sz w:val="18"/>
                <w:szCs w:val="18"/>
              </w:rPr>
              <w:t>9</w:t>
            </w:r>
          </w:p>
        </w:tc>
      </w:tr>
      <w:tr w:rsidR="001E07B7" w:rsidRPr="001D7CCB" w14:paraId="4018941F" w14:textId="77777777" w:rsidTr="00050594">
        <w:trPr>
          <w:cantSplit/>
          <w:trHeight w:val="255"/>
          <w:jc w:val="center"/>
        </w:trPr>
        <w:tc>
          <w:tcPr>
            <w:tcW w:w="3766" w:type="dxa"/>
            <w:tcBorders>
              <w:top w:val="nil"/>
              <w:left w:val="single" w:sz="4" w:space="0" w:color="auto"/>
              <w:bottom w:val="nil"/>
              <w:right w:val="single" w:sz="4" w:space="0" w:color="404040"/>
            </w:tcBorders>
            <w:vAlign w:val="center"/>
          </w:tcPr>
          <w:p w14:paraId="0956424F" w14:textId="0572E527" w:rsidR="001E07B7" w:rsidRPr="001D7CCB" w:rsidRDefault="001E07B7" w:rsidP="004E342D">
            <w:pPr>
              <w:pStyle w:val="p0"/>
              <w:spacing w:before="0"/>
              <w:ind w:left="162" w:firstLine="454"/>
              <w:jc w:val="left"/>
              <w:rPr>
                <w:rFonts w:cs="Arial"/>
                <w:color w:val="auto"/>
                <w:sz w:val="18"/>
              </w:rPr>
            </w:pPr>
            <w:r w:rsidRPr="001D7CCB">
              <w:rPr>
                <w:rFonts w:cs="Arial"/>
                <w:color w:val="auto"/>
                <w:sz w:val="18"/>
              </w:rPr>
              <w:t>Semi duradero</w:t>
            </w:r>
          </w:p>
        </w:tc>
        <w:tc>
          <w:tcPr>
            <w:tcW w:w="1729" w:type="dxa"/>
            <w:tcBorders>
              <w:top w:val="nil"/>
              <w:left w:val="single" w:sz="4" w:space="0" w:color="404040"/>
              <w:bottom w:val="nil"/>
              <w:right w:val="single" w:sz="4" w:space="0" w:color="404040"/>
            </w:tcBorders>
            <w:vAlign w:val="center"/>
          </w:tcPr>
          <w:p w14:paraId="4D3A981B" w14:textId="4D4D0BFD" w:rsidR="001E07B7" w:rsidRPr="001D7CCB" w:rsidRDefault="008628CB" w:rsidP="004A0304">
            <w:pPr>
              <w:tabs>
                <w:tab w:val="decimal" w:pos="670"/>
              </w:tabs>
              <w:jc w:val="left"/>
              <w:rPr>
                <w:rFonts w:cs="Arial"/>
                <w:sz w:val="18"/>
                <w:szCs w:val="18"/>
                <w:lang w:eastAsia="en-US"/>
              </w:rPr>
            </w:pPr>
            <w:r w:rsidRPr="001D7CCB">
              <w:rPr>
                <w:rFonts w:cs="Arial"/>
                <w:sz w:val="18"/>
                <w:szCs w:val="18"/>
              </w:rPr>
              <w:t>1</w:t>
            </w:r>
            <w:r w:rsidR="00FF619C" w:rsidRPr="001D7CCB">
              <w:rPr>
                <w:rFonts w:cs="Arial"/>
                <w:sz w:val="18"/>
                <w:szCs w:val="18"/>
              </w:rPr>
              <w:t>2.2</w:t>
            </w:r>
          </w:p>
        </w:tc>
        <w:tc>
          <w:tcPr>
            <w:tcW w:w="1730" w:type="dxa"/>
            <w:tcBorders>
              <w:top w:val="nil"/>
              <w:left w:val="single" w:sz="4" w:space="0" w:color="404040"/>
              <w:bottom w:val="nil"/>
              <w:right w:val="single" w:sz="4" w:space="0" w:color="auto"/>
            </w:tcBorders>
            <w:vAlign w:val="center"/>
          </w:tcPr>
          <w:p w14:paraId="5BEA219E" w14:textId="29C8BD5B" w:rsidR="001E07B7" w:rsidRPr="001D7CCB" w:rsidRDefault="00F551F3" w:rsidP="00050594">
            <w:pPr>
              <w:tabs>
                <w:tab w:val="decimal" w:pos="745"/>
              </w:tabs>
              <w:jc w:val="left"/>
              <w:rPr>
                <w:rFonts w:cs="Arial"/>
                <w:sz w:val="18"/>
                <w:szCs w:val="18"/>
                <w:lang w:eastAsia="en-US"/>
              </w:rPr>
            </w:pPr>
            <w:r w:rsidRPr="001D7CCB">
              <w:rPr>
                <w:rFonts w:cs="Arial"/>
                <w:sz w:val="18"/>
                <w:szCs w:val="18"/>
              </w:rPr>
              <w:t>9.</w:t>
            </w:r>
            <w:r w:rsidR="00FF619C" w:rsidRPr="001D7CCB">
              <w:rPr>
                <w:rFonts w:cs="Arial"/>
                <w:sz w:val="18"/>
                <w:szCs w:val="18"/>
              </w:rPr>
              <w:t>8</w:t>
            </w:r>
          </w:p>
        </w:tc>
      </w:tr>
      <w:tr w:rsidR="001E07B7" w:rsidRPr="001D7CCB" w14:paraId="2CDF29BA" w14:textId="77777777" w:rsidTr="00050594">
        <w:trPr>
          <w:cantSplit/>
          <w:trHeight w:val="255"/>
          <w:jc w:val="center"/>
        </w:trPr>
        <w:tc>
          <w:tcPr>
            <w:tcW w:w="3766" w:type="dxa"/>
            <w:tcBorders>
              <w:top w:val="nil"/>
              <w:left w:val="single" w:sz="4" w:space="0" w:color="auto"/>
              <w:bottom w:val="nil"/>
              <w:right w:val="single" w:sz="4" w:space="0" w:color="404040"/>
            </w:tcBorders>
            <w:vAlign w:val="center"/>
          </w:tcPr>
          <w:p w14:paraId="09F74E6B" w14:textId="23CDB946" w:rsidR="001E07B7" w:rsidRPr="001D7CCB" w:rsidRDefault="001E07B7" w:rsidP="004E342D">
            <w:pPr>
              <w:pStyle w:val="p0"/>
              <w:spacing w:before="0"/>
              <w:ind w:left="162" w:firstLine="454"/>
              <w:jc w:val="left"/>
              <w:rPr>
                <w:rFonts w:cs="Arial"/>
                <w:color w:val="auto"/>
                <w:sz w:val="18"/>
              </w:rPr>
            </w:pPr>
            <w:r w:rsidRPr="001D7CCB">
              <w:rPr>
                <w:rFonts w:cs="Arial"/>
                <w:color w:val="auto"/>
                <w:sz w:val="18"/>
              </w:rPr>
              <w:t>No duradero</w:t>
            </w:r>
          </w:p>
        </w:tc>
        <w:tc>
          <w:tcPr>
            <w:tcW w:w="1729" w:type="dxa"/>
            <w:tcBorders>
              <w:top w:val="nil"/>
              <w:left w:val="single" w:sz="4" w:space="0" w:color="404040"/>
              <w:bottom w:val="nil"/>
              <w:right w:val="single" w:sz="4" w:space="0" w:color="404040"/>
            </w:tcBorders>
            <w:vAlign w:val="center"/>
          </w:tcPr>
          <w:p w14:paraId="6F881A96" w14:textId="444B46FE" w:rsidR="001E07B7" w:rsidRPr="001D7CCB" w:rsidRDefault="008628CB" w:rsidP="004A0304">
            <w:pPr>
              <w:tabs>
                <w:tab w:val="decimal" w:pos="670"/>
              </w:tabs>
              <w:jc w:val="left"/>
              <w:rPr>
                <w:rFonts w:cs="Arial"/>
                <w:sz w:val="18"/>
                <w:szCs w:val="18"/>
                <w:lang w:eastAsia="en-US"/>
              </w:rPr>
            </w:pPr>
            <w:r w:rsidRPr="001D7CCB">
              <w:rPr>
                <w:rFonts w:cs="Arial"/>
                <w:sz w:val="18"/>
                <w:szCs w:val="18"/>
              </w:rPr>
              <w:t>2</w:t>
            </w:r>
            <w:r w:rsidR="00FF619C" w:rsidRPr="001D7CCB">
              <w:rPr>
                <w:rFonts w:cs="Arial"/>
                <w:sz w:val="18"/>
                <w:szCs w:val="18"/>
              </w:rPr>
              <w:t>1.0</w:t>
            </w:r>
          </w:p>
        </w:tc>
        <w:tc>
          <w:tcPr>
            <w:tcW w:w="1730" w:type="dxa"/>
            <w:tcBorders>
              <w:top w:val="nil"/>
              <w:left w:val="single" w:sz="4" w:space="0" w:color="404040"/>
              <w:bottom w:val="nil"/>
              <w:right w:val="single" w:sz="4" w:space="0" w:color="auto"/>
            </w:tcBorders>
            <w:vAlign w:val="center"/>
          </w:tcPr>
          <w:p w14:paraId="5370E3C7" w14:textId="39F43405" w:rsidR="001E07B7" w:rsidRPr="001D7CCB" w:rsidRDefault="00F551F3" w:rsidP="00050594">
            <w:pPr>
              <w:tabs>
                <w:tab w:val="decimal" w:pos="745"/>
              </w:tabs>
              <w:jc w:val="left"/>
              <w:rPr>
                <w:rFonts w:cs="Arial"/>
                <w:sz w:val="18"/>
                <w:szCs w:val="18"/>
                <w:lang w:eastAsia="en-US"/>
              </w:rPr>
            </w:pPr>
            <w:r w:rsidRPr="001D7CCB">
              <w:rPr>
                <w:rFonts w:cs="Arial"/>
                <w:sz w:val="18"/>
                <w:szCs w:val="18"/>
              </w:rPr>
              <w:t>20.5</w:t>
            </w:r>
          </w:p>
        </w:tc>
      </w:tr>
      <w:tr w:rsidR="00F551F3" w:rsidRPr="001D7CCB" w14:paraId="426BDB69" w14:textId="77777777" w:rsidTr="00050594">
        <w:trPr>
          <w:cantSplit/>
          <w:trHeight w:val="255"/>
          <w:jc w:val="center"/>
        </w:trPr>
        <w:tc>
          <w:tcPr>
            <w:tcW w:w="3766" w:type="dxa"/>
            <w:tcBorders>
              <w:top w:val="nil"/>
              <w:left w:val="single" w:sz="4" w:space="0" w:color="auto"/>
              <w:bottom w:val="single" w:sz="4" w:space="0" w:color="auto"/>
              <w:right w:val="single" w:sz="4" w:space="0" w:color="404040"/>
            </w:tcBorders>
            <w:vAlign w:val="center"/>
          </w:tcPr>
          <w:p w14:paraId="515BC9A9" w14:textId="0006E907" w:rsidR="00F551F3" w:rsidRPr="001D7CCB" w:rsidRDefault="00F551F3" w:rsidP="00C12B51">
            <w:pPr>
              <w:pStyle w:val="p0"/>
              <w:spacing w:before="0"/>
              <w:ind w:left="447"/>
              <w:jc w:val="left"/>
              <w:rPr>
                <w:rFonts w:cs="Arial"/>
                <w:color w:val="auto"/>
                <w:sz w:val="18"/>
              </w:rPr>
            </w:pPr>
            <w:r w:rsidRPr="001D7CCB">
              <w:rPr>
                <w:rFonts w:cs="Arial"/>
                <w:color w:val="auto"/>
                <w:sz w:val="18"/>
              </w:rPr>
              <w:t>Compras netas de residentes y no residentes</w:t>
            </w:r>
          </w:p>
        </w:tc>
        <w:tc>
          <w:tcPr>
            <w:tcW w:w="1729" w:type="dxa"/>
            <w:tcBorders>
              <w:top w:val="nil"/>
              <w:left w:val="single" w:sz="4" w:space="0" w:color="404040"/>
              <w:bottom w:val="single" w:sz="4" w:space="0" w:color="auto"/>
              <w:right w:val="single" w:sz="4" w:space="0" w:color="404040"/>
            </w:tcBorders>
            <w:vAlign w:val="center"/>
          </w:tcPr>
          <w:p w14:paraId="49543ADA" w14:textId="0BE416E2" w:rsidR="00F551F3" w:rsidRPr="001D7CCB" w:rsidRDefault="00F551F3" w:rsidP="00050594">
            <w:pPr>
              <w:tabs>
                <w:tab w:val="decimal" w:pos="799"/>
              </w:tabs>
              <w:jc w:val="left"/>
              <w:rPr>
                <w:rFonts w:cs="Arial"/>
                <w:sz w:val="18"/>
                <w:szCs w:val="18"/>
              </w:rPr>
            </w:pPr>
            <w:r w:rsidRPr="001D7CCB">
              <w:rPr>
                <w:rFonts w:cs="Arial"/>
                <w:sz w:val="18"/>
                <w:szCs w:val="18"/>
              </w:rPr>
              <w:t>NA</w:t>
            </w:r>
          </w:p>
        </w:tc>
        <w:tc>
          <w:tcPr>
            <w:tcW w:w="1730" w:type="dxa"/>
            <w:tcBorders>
              <w:top w:val="nil"/>
              <w:left w:val="single" w:sz="4" w:space="0" w:color="404040"/>
              <w:bottom w:val="single" w:sz="4" w:space="0" w:color="auto"/>
              <w:right w:val="single" w:sz="4" w:space="0" w:color="auto"/>
            </w:tcBorders>
            <w:vAlign w:val="center"/>
          </w:tcPr>
          <w:p w14:paraId="3F628A99" w14:textId="0F987E0B" w:rsidR="00F551F3" w:rsidRPr="001D7CCB" w:rsidRDefault="00F551F3" w:rsidP="00050594">
            <w:pPr>
              <w:tabs>
                <w:tab w:val="decimal" w:pos="871"/>
              </w:tabs>
              <w:jc w:val="left"/>
              <w:rPr>
                <w:rFonts w:cs="Arial"/>
                <w:sz w:val="18"/>
                <w:szCs w:val="18"/>
              </w:rPr>
            </w:pPr>
            <w:r w:rsidRPr="001D7CCB">
              <w:rPr>
                <w:rFonts w:cs="Arial"/>
                <w:sz w:val="18"/>
                <w:szCs w:val="18"/>
              </w:rPr>
              <w:t>NA</w:t>
            </w:r>
          </w:p>
        </w:tc>
      </w:tr>
    </w:tbl>
    <w:p w14:paraId="04483B4C" w14:textId="05082401" w:rsidR="00375EFB" w:rsidRPr="001D7CCB" w:rsidRDefault="00624955" w:rsidP="00050594">
      <w:pPr>
        <w:spacing w:before="20"/>
        <w:ind w:left="2268" w:right="-91" w:hanging="588"/>
        <w:rPr>
          <w:sz w:val="16"/>
          <w:szCs w:val="16"/>
        </w:rPr>
      </w:pPr>
      <w:r w:rsidRPr="001D7CCB">
        <w:rPr>
          <w:sz w:val="16"/>
          <w:szCs w:val="16"/>
          <w:vertAlign w:val="superscript"/>
        </w:rPr>
        <w:t>P</w:t>
      </w:r>
      <w:r w:rsidR="00140D9C" w:rsidRPr="001D7CCB">
        <w:rPr>
          <w:sz w:val="16"/>
          <w:szCs w:val="16"/>
        </w:rPr>
        <w:t>/</w:t>
      </w:r>
      <w:r w:rsidR="004A0304">
        <w:rPr>
          <w:sz w:val="16"/>
          <w:szCs w:val="16"/>
        </w:rPr>
        <w:tab/>
      </w:r>
      <w:r w:rsidR="00140D9C" w:rsidRPr="001D7CCB">
        <w:rPr>
          <w:sz w:val="16"/>
          <w:szCs w:val="16"/>
        </w:rPr>
        <w:t>Cifras preliminares</w:t>
      </w:r>
    </w:p>
    <w:p w14:paraId="73D002C2" w14:textId="2459ECDE" w:rsidR="00F551F3" w:rsidRPr="001D7CCB" w:rsidRDefault="00F551F3" w:rsidP="00050594">
      <w:pPr>
        <w:spacing w:before="20"/>
        <w:ind w:left="2268" w:right="-91" w:hanging="588"/>
        <w:rPr>
          <w:sz w:val="16"/>
          <w:szCs w:val="16"/>
        </w:rPr>
      </w:pPr>
      <w:r w:rsidRPr="001D7CCB">
        <w:rPr>
          <w:sz w:val="16"/>
          <w:szCs w:val="16"/>
          <w:vertAlign w:val="superscript"/>
        </w:rPr>
        <w:t>1/</w:t>
      </w:r>
      <w:r w:rsidR="004A0304">
        <w:rPr>
          <w:sz w:val="16"/>
          <w:szCs w:val="16"/>
        </w:rPr>
        <w:tab/>
      </w:r>
      <w:r w:rsidR="0000581E" w:rsidRPr="001D7CCB">
        <w:rPr>
          <w:sz w:val="16"/>
          <w:szCs w:val="16"/>
        </w:rPr>
        <w:t>I</w:t>
      </w:r>
      <w:r w:rsidR="00E43AAF" w:rsidRPr="001D7CCB">
        <w:rPr>
          <w:sz w:val="16"/>
          <w:szCs w:val="16"/>
        </w:rPr>
        <w:t xml:space="preserve">ncluye </w:t>
      </w:r>
      <w:r w:rsidR="0000581E" w:rsidRPr="001D7CCB">
        <w:rPr>
          <w:sz w:val="16"/>
          <w:szCs w:val="16"/>
        </w:rPr>
        <w:t>l</w:t>
      </w:r>
      <w:r w:rsidRPr="001D7CCB">
        <w:rPr>
          <w:sz w:val="16"/>
          <w:szCs w:val="16"/>
        </w:rPr>
        <w:t>as compras netas de residentes y no residentes</w:t>
      </w:r>
      <w:r w:rsidR="003A3176" w:rsidRPr="001D7CCB">
        <w:rPr>
          <w:sz w:val="16"/>
          <w:szCs w:val="16"/>
        </w:rPr>
        <w:t>.</w:t>
      </w:r>
    </w:p>
    <w:p w14:paraId="068B6055" w14:textId="28E0C476" w:rsidR="0062586A" w:rsidRPr="001D7CCB" w:rsidRDefault="0062586A" w:rsidP="00AC566E">
      <w:pPr>
        <w:spacing w:before="20"/>
        <w:ind w:left="2268" w:right="-91" w:hanging="588"/>
        <w:rPr>
          <w:sz w:val="16"/>
          <w:szCs w:val="16"/>
        </w:rPr>
      </w:pPr>
      <w:r w:rsidRPr="001D7CCB">
        <w:rPr>
          <w:sz w:val="16"/>
          <w:szCs w:val="16"/>
        </w:rPr>
        <w:t>NA</w:t>
      </w:r>
      <w:r w:rsidR="00FE7475" w:rsidRPr="001D7CCB">
        <w:rPr>
          <w:sz w:val="16"/>
          <w:szCs w:val="16"/>
        </w:rPr>
        <w:t>:</w:t>
      </w:r>
      <w:r w:rsidR="004A0304">
        <w:rPr>
          <w:sz w:val="16"/>
          <w:szCs w:val="16"/>
        </w:rPr>
        <w:tab/>
      </w:r>
      <w:r w:rsidRPr="001D7CCB">
        <w:rPr>
          <w:sz w:val="16"/>
          <w:szCs w:val="16"/>
        </w:rPr>
        <w:t>No aplica</w:t>
      </w:r>
      <w:r w:rsidR="00FE7475" w:rsidRPr="001D7CCB">
        <w:rPr>
          <w:sz w:val="16"/>
          <w:szCs w:val="16"/>
        </w:rPr>
        <w:t>.</w:t>
      </w:r>
    </w:p>
    <w:p w14:paraId="745ADF92" w14:textId="3F13C62A" w:rsidR="00140D9C" w:rsidRPr="001D7CCB" w:rsidRDefault="009834E6" w:rsidP="00050594">
      <w:pPr>
        <w:spacing w:before="20"/>
        <w:ind w:left="2268" w:right="1435" w:hanging="588"/>
        <w:rPr>
          <w:sz w:val="16"/>
          <w:szCs w:val="16"/>
        </w:rPr>
      </w:pPr>
      <w:r w:rsidRPr="001D7CCB">
        <w:rPr>
          <w:color w:val="000000" w:themeColor="text1"/>
          <w:sz w:val="16"/>
          <w:szCs w:val="16"/>
        </w:rPr>
        <w:t>Fuente:</w:t>
      </w:r>
      <w:r w:rsidR="004A0304">
        <w:rPr>
          <w:color w:val="000000" w:themeColor="text1"/>
          <w:sz w:val="16"/>
          <w:szCs w:val="16"/>
        </w:rPr>
        <w:tab/>
      </w:r>
      <w:r w:rsidRPr="001D7CCB">
        <w:rPr>
          <w:color w:val="000000" w:themeColor="text1"/>
          <w:sz w:val="16"/>
          <w:szCs w:val="16"/>
        </w:rPr>
        <w:t xml:space="preserve">INEGI. </w:t>
      </w:r>
      <w:r w:rsidRPr="001D7CCB">
        <w:rPr>
          <w:rFonts w:cs="Arial"/>
          <w:sz w:val="16"/>
        </w:rPr>
        <w:t>Sistema de Cuentas Nacionales de México (SCNM). Indicador Mensual del Consumo Privado (IMCP), 2023.</w:t>
      </w:r>
    </w:p>
    <w:p w14:paraId="2EA042D8" w14:textId="27F07EB5" w:rsidR="00B25F61" w:rsidRPr="001D7CCB" w:rsidRDefault="00B25F61" w:rsidP="00AC566E">
      <w:pPr>
        <w:widowControl/>
        <w:spacing w:before="360"/>
        <w:jc w:val="left"/>
        <w:rPr>
          <w:b/>
          <w:iCs/>
          <w:smallCaps/>
        </w:rPr>
      </w:pPr>
      <w:bookmarkStart w:id="4" w:name="_Hlk71222490"/>
      <w:r w:rsidRPr="001D7CCB">
        <w:rPr>
          <w:b/>
          <w:iCs/>
          <w:smallCaps/>
        </w:rPr>
        <w:lastRenderedPageBreak/>
        <w:t>Nota al usuario</w:t>
      </w:r>
    </w:p>
    <w:bookmarkEnd w:id="4"/>
    <w:p w14:paraId="2E6ACCC6" w14:textId="1B9DE26F" w:rsidR="00F304AB" w:rsidRPr="001D7CCB" w:rsidRDefault="00F304AB" w:rsidP="0086211A">
      <w:pPr>
        <w:pStyle w:val="Default"/>
        <w:spacing w:before="240"/>
        <w:jc w:val="both"/>
      </w:pPr>
      <w:r w:rsidRPr="00050594">
        <w:t>En la integración del IMCP</w:t>
      </w:r>
      <w:r w:rsidR="00475E68" w:rsidRPr="00050594">
        <w:t>,</w:t>
      </w:r>
      <w:r w:rsidRPr="00050594">
        <w:t xml:space="preserve"> en </w:t>
      </w:r>
      <w:r w:rsidR="006E3CDA" w:rsidRPr="00050594">
        <w:t>ju</w:t>
      </w:r>
      <w:r w:rsidR="00337DEE" w:rsidRPr="00050594">
        <w:t>l</w:t>
      </w:r>
      <w:r w:rsidR="006E3CDA" w:rsidRPr="00050594">
        <w:t>i</w:t>
      </w:r>
      <w:r w:rsidRPr="00050594">
        <w:t>o de 2023, se consideraron las encuestas económicas,</w:t>
      </w:r>
      <w:r w:rsidRPr="00050594">
        <w:rPr>
          <w:vertAlign w:val="superscript"/>
        </w:rPr>
        <w:footnoteReference w:id="4"/>
      </w:r>
      <w:r w:rsidRPr="00050594">
        <w:t xml:space="preserve"> los registros administrativos y los datos primarios que divulga el Instituto Nacional de Estadística y Geografía (INEGI)</w:t>
      </w:r>
      <w:r w:rsidR="00C352E1">
        <w:t xml:space="preserve">. Lo anterior </w:t>
      </w:r>
      <w:r w:rsidRPr="00050594">
        <w:t xml:space="preserve">permitió la generación de estadísticas con niveles altos de cobertura. Para las actividades agropecuarias, </w:t>
      </w:r>
      <w:r w:rsidR="00312FA7" w:rsidRPr="00050594">
        <w:t xml:space="preserve">de </w:t>
      </w:r>
      <w:r w:rsidRPr="00050594">
        <w:t>energía, gas</w:t>
      </w:r>
      <w:r w:rsidR="00EE2577" w:rsidRPr="00050594">
        <w:t>,</w:t>
      </w:r>
      <w:r w:rsidRPr="00050594">
        <w:t xml:space="preserve"> agua, servicios financieros y del gobierno se incluyeron los registros administrativos provenientes de las empresas y Unidades del Estado que se recibieron oportunamente vía correo electrónico </w:t>
      </w:r>
      <w:r w:rsidR="00495A08" w:rsidRPr="00050594">
        <w:t>e</w:t>
      </w:r>
      <w:r w:rsidRPr="00050594">
        <w:t xml:space="preserve"> internet.</w:t>
      </w:r>
    </w:p>
    <w:p w14:paraId="5D4D1D6D" w14:textId="215B190C" w:rsidR="006811C3" w:rsidRPr="001D7CCB" w:rsidRDefault="006811C3" w:rsidP="0086211A">
      <w:pPr>
        <w:pStyle w:val="Default"/>
        <w:spacing w:before="360"/>
        <w:jc w:val="both"/>
        <w:rPr>
          <w:b/>
          <w:iCs/>
          <w:smallCaps/>
        </w:rPr>
      </w:pPr>
      <w:r w:rsidRPr="001D7CCB">
        <w:rPr>
          <w:b/>
          <w:iCs/>
          <w:smallCaps/>
        </w:rPr>
        <w:t>N</w:t>
      </w:r>
      <w:r w:rsidR="00D70732" w:rsidRPr="001D7CCB">
        <w:rPr>
          <w:b/>
          <w:iCs/>
          <w:smallCaps/>
        </w:rPr>
        <w:t>o</w:t>
      </w:r>
      <w:r w:rsidRPr="001D7CCB">
        <w:rPr>
          <w:b/>
          <w:iCs/>
          <w:smallCaps/>
        </w:rPr>
        <w:t>ta metodológica</w:t>
      </w:r>
    </w:p>
    <w:p w14:paraId="726EC519" w14:textId="644D6A94" w:rsidR="006811C3" w:rsidRPr="001D7CCB" w:rsidRDefault="002408FD" w:rsidP="0086211A">
      <w:pPr>
        <w:pStyle w:val="Default"/>
        <w:spacing w:before="240"/>
        <w:jc w:val="both"/>
        <w:rPr>
          <w:lang w:eastAsia="es-MX"/>
        </w:rPr>
      </w:pPr>
      <w:r w:rsidRPr="001D7CCB">
        <w:rPr>
          <w:lang w:eastAsia="es-MX"/>
        </w:rPr>
        <w:t>El IMCP mide el comportamiento del gasto realizado por los hogares en bienes y servicios de consumo, tanto de origen nacional como importado. Este permite dar seguimiento mensual al componente más significativo del Producto Interno Bruto, por el lado de la demanda</w:t>
      </w:r>
      <w:r w:rsidR="006811C3" w:rsidRPr="001D7CCB">
        <w:rPr>
          <w:lang w:eastAsia="es-MX"/>
        </w:rPr>
        <w:t>.</w:t>
      </w:r>
    </w:p>
    <w:p w14:paraId="74694DEB" w14:textId="3FF523F0" w:rsidR="000E1519" w:rsidRPr="001D7CCB" w:rsidRDefault="002408FD" w:rsidP="00312FA7">
      <w:pPr>
        <w:spacing w:before="240"/>
      </w:pPr>
      <w:r w:rsidRPr="001D7CCB">
        <w:t>Los datos del IMCP están disponibles en una serie larga desde enero de 1993 y se expresan en índices de volumen físico con base fija en el año 2018=100. La disponibilidad de información con periodicidad mensual y oportuna relacionada con la cuenta de viajes de la Balanza de Pagos permitió, en la actualización del año base a 2018, incorporar la medición mensual de las compras netas de residentes en el mercado exterior y robustecer los cálculos mensuales</w:t>
      </w:r>
      <w:r w:rsidR="00D73CAC" w:rsidRPr="001D7CCB">
        <w:t>. De esta manera se acercaron los</w:t>
      </w:r>
      <w:r w:rsidRPr="001D7CCB">
        <w:t xml:space="preserve"> resultados a los</w:t>
      </w:r>
      <w:r w:rsidR="00D73CAC" w:rsidRPr="001D7CCB">
        <w:t xml:space="preserve"> que se obtuvieron </w:t>
      </w:r>
      <w:r w:rsidRPr="001D7CCB">
        <w:t>en las mediciones trimestrales</w:t>
      </w:r>
      <w:r w:rsidR="00FF60FB" w:rsidRPr="001D7CCB">
        <w:t>. Así, se pasó d</w:t>
      </w:r>
      <w:r w:rsidRPr="001D7CCB">
        <w:t xml:space="preserve">el </w:t>
      </w:r>
      <w:r w:rsidR="0062586A" w:rsidRPr="001D7CCB">
        <w:t xml:space="preserve">Indicador Mensual del Consumo Privado en el Mercado Interior </w:t>
      </w:r>
      <w:r w:rsidRPr="001D7CCB">
        <w:t>al IMCP. Se identific</w:t>
      </w:r>
      <w:r w:rsidR="00FF60FB" w:rsidRPr="001D7CCB">
        <w:t>ó</w:t>
      </w:r>
      <w:r w:rsidRPr="001D7CCB">
        <w:t xml:space="preserve"> el gasto realizado en bienes y en servicios de origen nacional, así como en bienes de origen importado. En el caso de los bienes, se establece una diferenciación por su durabilidad: se los clasifica en duraderos, semi duraderos y no duraderos. Después, se distingue cada una de estas categorías con base en su origen, nacional o importado. La cobertura </w:t>
      </w:r>
      <w:hyperlink w:anchor="page3" w:history="1">
        <w:r w:rsidRPr="001D7CCB">
          <w:t xml:space="preserve">de este indicador es de 97.9 % </w:t>
        </w:r>
      </w:hyperlink>
      <w:r w:rsidRPr="001D7CCB">
        <w:t>en 2018, año base de los productos del Sistema de Cuentas Nacionales de México (SCNM)</w:t>
      </w:r>
      <w:r w:rsidR="000E1519" w:rsidRPr="001D7CCB">
        <w:t>.</w:t>
      </w:r>
    </w:p>
    <w:p w14:paraId="1F71CA2C" w14:textId="74FC2BB7" w:rsidR="002D12A4" w:rsidRPr="001D7CCB" w:rsidRDefault="002408FD" w:rsidP="002D12A4">
      <w:pPr>
        <w:spacing w:before="240"/>
      </w:pPr>
      <w:r w:rsidRPr="001D7CCB">
        <w:t>El indicador mensual se elabora con el «Sistema de Clasificación Industrial de América del Norte» (SCIAN) 2018, en su última versión disponible, con los criterios metodológicos, clasificadores y datos fuente que se emplean en los cálculos anuales y trimestrales del consumo privado total.</w:t>
      </w:r>
      <w:r w:rsidR="002D12A4" w:rsidRPr="002D12A4">
        <w:t xml:space="preserve"> </w:t>
      </w:r>
      <w:r w:rsidR="002D12A4" w:rsidRPr="001D7CCB">
        <w:t>El método de cálculo para los componentes de origen nacional se basa en la construcción de índices de ventas reales o de producción. Lo anterior, cuando no se dispone del primer concepto para cada clase de actividad, cuya producción se destina al consumo privado, de acuerdo con los Cuadros de Oferta y Utilización actualizados al año base 2018. Los índices de ventas o de producción, según sea el caso, se utilizan para extrapolar el valor registrado por cada clase de actividad en el año base.</w:t>
      </w:r>
    </w:p>
    <w:p w14:paraId="234819C1" w14:textId="159E482C" w:rsidR="002408FD" w:rsidRPr="001D7CCB" w:rsidRDefault="002408FD" w:rsidP="00312FA7">
      <w:pPr>
        <w:spacing w:before="240"/>
      </w:pPr>
      <w:r w:rsidRPr="001D7CCB">
        <w:t xml:space="preserve">El método de estimación del gasto en bienes de consumo final de origen importado se apoya en las compilaciones mensuales </w:t>
      </w:r>
      <w:r w:rsidR="0059254F" w:rsidRPr="001D7CCB">
        <w:t xml:space="preserve">que se llevan a </w:t>
      </w:r>
      <w:r w:rsidRPr="001D7CCB">
        <w:t>cabo a nivel de fracción arancelaria. Los valores de las importaciones de bienes de consumo final</w:t>
      </w:r>
      <w:r w:rsidR="0059254F" w:rsidRPr="001D7CCB">
        <w:t>,</w:t>
      </w:r>
      <w:r w:rsidRPr="001D7CCB">
        <w:t xml:space="preserve"> valoradas en pesos y agrupadas a nivel de rama de actividad</w:t>
      </w:r>
      <w:r w:rsidR="0059254F" w:rsidRPr="001D7CCB">
        <w:t>,</w:t>
      </w:r>
      <w:r w:rsidRPr="001D7CCB">
        <w:t xml:space="preserve"> se deflactan </w:t>
      </w:r>
      <w:r w:rsidR="0059254F" w:rsidRPr="001D7CCB">
        <w:t xml:space="preserve">para </w:t>
      </w:r>
      <w:r w:rsidRPr="001D7CCB">
        <w:t xml:space="preserve">encontrar su expresión en valores reales. Los </w:t>
      </w:r>
      <w:r w:rsidRPr="001D7CCB">
        <w:lastRenderedPageBreak/>
        <w:t xml:space="preserve">índices deflactores se construyen considerando los índices de precios de exportación de bienes de consumo, a nivel de rama de actividad SCIAN 2018, elaborados por el Bureau </w:t>
      </w:r>
      <w:proofErr w:type="spellStart"/>
      <w:r w:rsidRPr="001D7CCB">
        <w:t>of</w:t>
      </w:r>
      <w:proofErr w:type="spellEnd"/>
      <w:r w:rsidRPr="001D7CCB">
        <w:t xml:space="preserve"> Labor </w:t>
      </w:r>
      <w:proofErr w:type="spellStart"/>
      <w:r w:rsidRPr="001D7CCB">
        <w:t>Statistics</w:t>
      </w:r>
      <w:proofErr w:type="spellEnd"/>
      <w:r w:rsidRPr="001D7CCB">
        <w:t xml:space="preserve"> de los Estados Unidos</w:t>
      </w:r>
      <w:r w:rsidR="002A0DD4" w:rsidRPr="001D7CCB">
        <w:t xml:space="preserve"> de América (EUA)</w:t>
      </w:r>
      <w:r w:rsidRPr="001D7CCB">
        <w:t>. Estos índices expresan las variaciones de las cotizaciones de los bienes en dólares de E</w:t>
      </w:r>
      <w:r w:rsidR="002A0DD4" w:rsidRPr="001D7CCB">
        <w:t>UA</w:t>
      </w:r>
      <w:r w:rsidRPr="001D7CCB">
        <w:t xml:space="preserve">, por lo que </w:t>
      </w:r>
      <w:r w:rsidR="0059254F" w:rsidRPr="001D7CCB">
        <w:t xml:space="preserve">se ponderan de manera mensual </w:t>
      </w:r>
      <w:r w:rsidRPr="001D7CCB">
        <w:t>por el movimiento registrado en el tipo de cambio del peso mexicano frente al dólar de ese país</w:t>
      </w:r>
      <w:r w:rsidR="00D35A0F" w:rsidRPr="001D7CCB">
        <w:t xml:space="preserve">. Así, se obtienen </w:t>
      </w:r>
      <w:r w:rsidRPr="001D7CCB">
        <w:t xml:space="preserve">los índices de precios </w:t>
      </w:r>
      <w:r w:rsidR="004E1D3E" w:rsidRPr="001D7CCB">
        <w:t xml:space="preserve">para poder </w:t>
      </w:r>
      <w:r w:rsidRPr="001D7CCB">
        <w:t xml:space="preserve">deflactar los valores corrientes agrupados a nivel de rama de actividad. </w:t>
      </w:r>
      <w:r w:rsidR="004E1D3E" w:rsidRPr="001D7CCB">
        <w:t xml:space="preserve">Considérese que </w:t>
      </w:r>
      <w:r w:rsidRPr="001D7CCB">
        <w:t>la mayor parte de las importaciones de este tipo de bienes</w:t>
      </w:r>
      <w:r w:rsidR="004E1D3E" w:rsidRPr="001D7CCB">
        <w:t>,</w:t>
      </w:r>
      <w:r w:rsidRPr="001D7CCB">
        <w:t xml:space="preserve"> que se llevan a cabo en nuestro país</w:t>
      </w:r>
      <w:r w:rsidR="004E1D3E" w:rsidRPr="001D7CCB">
        <w:t>,</w:t>
      </w:r>
      <w:r w:rsidRPr="001D7CCB">
        <w:t xml:space="preserve"> provienen de los </w:t>
      </w:r>
      <w:r w:rsidR="002A0DD4" w:rsidRPr="001D7CCB">
        <w:t>EUA</w:t>
      </w:r>
      <w:r w:rsidRPr="001D7CCB">
        <w:t>.</w:t>
      </w:r>
    </w:p>
    <w:p w14:paraId="2449C67B" w14:textId="20FDD1EE" w:rsidR="006811C3" w:rsidRPr="001D7CCB" w:rsidRDefault="006811C3" w:rsidP="002F26B6">
      <w:pPr>
        <w:spacing w:before="240"/>
        <w:outlineLvl w:val="3"/>
      </w:pPr>
      <w:r w:rsidRPr="001D7CCB">
        <w:t>La información estadística que respald</w:t>
      </w:r>
      <w:r w:rsidR="006B4CDF" w:rsidRPr="001D7CCB">
        <w:t>a</w:t>
      </w:r>
      <w:r w:rsidRPr="001D7CCB">
        <w:t xml:space="preserve"> </w:t>
      </w:r>
      <w:r w:rsidR="004F3B7D" w:rsidRPr="001D7CCB">
        <w:t>e</w:t>
      </w:r>
      <w:r w:rsidRPr="001D7CCB">
        <w:t xml:space="preserve">l cálculo de los índices mensuales de volumen físico del consumo privado </w:t>
      </w:r>
      <w:r w:rsidR="004F3B7D" w:rsidRPr="001D7CCB">
        <w:t xml:space="preserve">proviene de </w:t>
      </w:r>
      <w:r w:rsidRPr="001D7CCB">
        <w:t xml:space="preserve">distintas </w:t>
      </w:r>
      <w:r w:rsidR="006F3B31" w:rsidRPr="001D7CCB">
        <w:t>fuentes</w:t>
      </w:r>
      <w:r w:rsidRPr="001D7CCB">
        <w:t>:</w:t>
      </w:r>
    </w:p>
    <w:p w14:paraId="3D501568" w14:textId="3A70736C" w:rsidR="006811C3" w:rsidRPr="001D7CCB" w:rsidRDefault="002408FD" w:rsidP="002F26B6">
      <w:pPr>
        <w:pStyle w:val="Prrafodelista"/>
        <w:widowControl/>
        <w:numPr>
          <w:ilvl w:val="0"/>
          <w:numId w:val="13"/>
        </w:numPr>
        <w:spacing w:before="240" w:line="240" w:lineRule="atLeast"/>
        <w:ind w:left="714" w:hanging="357"/>
        <w:contextualSpacing w:val="0"/>
        <w:outlineLvl w:val="3"/>
      </w:pPr>
      <w:r w:rsidRPr="001D7CCB">
        <w:t xml:space="preserve">Estadísticas mensuales elaboradas por el propio Instituto como la Encuesta Mensual de la Industria Manufacturera, Encuesta Mensual sobre Empresas Comerciales, Encuesta Mensual de Servicios, </w:t>
      </w:r>
      <w:r w:rsidR="00376C40" w:rsidRPr="001D7CCB">
        <w:t>r</w:t>
      </w:r>
      <w:r w:rsidRPr="001D7CCB">
        <w:t xml:space="preserve">egistros del </w:t>
      </w:r>
      <w:r w:rsidR="00376C40" w:rsidRPr="001D7CCB">
        <w:t>c</w:t>
      </w:r>
      <w:r w:rsidRPr="001D7CCB">
        <w:t xml:space="preserve">omercio </w:t>
      </w:r>
      <w:r w:rsidR="00376C40" w:rsidRPr="001D7CCB">
        <w:t>e</w:t>
      </w:r>
      <w:r w:rsidRPr="001D7CCB">
        <w:t xml:space="preserve">xterior, Encuesta de Viajeros Internacionales e Índices Nacionales de Precios Productor y </w:t>
      </w:r>
      <w:r w:rsidR="0011533B" w:rsidRPr="001D7CCB">
        <w:t xml:space="preserve">de Precios </w:t>
      </w:r>
      <w:r w:rsidR="00EE2577">
        <w:t xml:space="preserve">al </w:t>
      </w:r>
      <w:r w:rsidRPr="001D7CCB">
        <w:t>Consumidor</w:t>
      </w:r>
      <w:r w:rsidR="006811C3" w:rsidRPr="001D7CCB">
        <w:t>.</w:t>
      </w:r>
    </w:p>
    <w:p w14:paraId="113AFA43" w14:textId="74437F4C" w:rsidR="003D537C" w:rsidRPr="001D7CCB" w:rsidRDefault="002408FD" w:rsidP="00AC566E">
      <w:pPr>
        <w:pStyle w:val="Prrafodelista"/>
        <w:keepLines/>
        <w:widowControl/>
        <w:numPr>
          <w:ilvl w:val="0"/>
          <w:numId w:val="13"/>
        </w:numPr>
        <w:spacing w:before="120" w:line="240" w:lineRule="atLeast"/>
        <w:ind w:left="714" w:hanging="357"/>
        <w:contextualSpacing w:val="0"/>
        <w:outlineLvl w:val="3"/>
      </w:pPr>
      <w:r w:rsidRPr="001D7CCB">
        <w:t xml:space="preserve">Estadísticas producidas por fuentes externas al Instituto, como las series de corto plazo </w:t>
      </w:r>
      <w:r w:rsidR="00DE56D8" w:rsidRPr="001D7CCB">
        <w:t xml:space="preserve">que provienen </w:t>
      </w:r>
      <w:r w:rsidRPr="001D7CCB">
        <w:t xml:space="preserve">de cámaras, asociaciones de productores, organismos y empresas públicas y privadas, así como las estadísticas derivadas de registros administrativos. Entre estos destacan: Secretaría de Agricultura y Desarrollo Rural, Petróleos Mexicanos, Comisión Federal de Electricidad, Asociación Mexicana de la Industria Automotriz, A. C., Banco de México y Bureau </w:t>
      </w:r>
      <w:proofErr w:type="spellStart"/>
      <w:r w:rsidRPr="001D7CCB">
        <w:t>of</w:t>
      </w:r>
      <w:proofErr w:type="spellEnd"/>
      <w:r w:rsidRPr="001D7CCB">
        <w:t xml:space="preserve"> Labor </w:t>
      </w:r>
      <w:proofErr w:type="spellStart"/>
      <w:r w:rsidRPr="001D7CCB">
        <w:t>Statistics</w:t>
      </w:r>
      <w:proofErr w:type="spellEnd"/>
      <w:r w:rsidR="006811C3" w:rsidRPr="001D7CCB">
        <w:t>.</w:t>
      </w:r>
    </w:p>
    <w:p w14:paraId="26CCE301" w14:textId="37BC9D3E" w:rsidR="006811C3" w:rsidRPr="001D7CCB" w:rsidRDefault="002408FD" w:rsidP="0086211A">
      <w:pPr>
        <w:pStyle w:val="Prrafodelista"/>
        <w:widowControl/>
        <w:numPr>
          <w:ilvl w:val="0"/>
          <w:numId w:val="13"/>
        </w:numPr>
        <w:spacing w:before="120" w:line="240" w:lineRule="atLeast"/>
        <w:ind w:left="714" w:hanging="357"/>
        <w:contextualSpacing w:val="0"/>
        <w:outlineLvl w:val="3"/>
      </w:pPr>
      <w:r w:rsidRPr="001D7CCB">
        <w:t xml:space="preserve">Cuantificación de </w:t>
      </w:r>
      <w:r w:rsidR="008C0AE4" w:rsidRPr="001D7CCB">
        <w:t xml:space="preserve">las </w:t>
      </w:r>
      <w:r w:rsidRPr="001D7CCB">
        <w:t>actividades vinculadas con la producción de bienes que no cuentan con información de ventas. Para estas, se utiliza el índice de volumen físico calculado para la producción en el proceso del Indicador Mensual de la Actividad Industrial</w:t>
      </w:r>
      <w:r w:rsidR="006811C3" w:rsidRPr="001D7CCB">
        <w:t>.</w:t>
      </w:r>
    </w:p>
    <w:p w14:paraId="42477063" w14:textId="27EF8C35" w:rsidR="006811C3" w:rsidRPr="001D7CCB" w:rsidRDefault="002408FD" w:rsidP="00376C40">
      <w:pPr>
        <w:pStyle w:val="Default"/>
        <w:spacing w:before="240"/>
        <w:jc w:val="both"/>
      </w:pPr>
      <w:r w:rsidRPr="001D7CCB">
        <w:t>Para evitar los problemas derivados del uso de metodologías y/</w:t>
      </w:r>
      <w:r w:rsidR="008C0AE4" w:rsidRPr="001D7CCB">
        <w:t xml:space="preserve"> </w:t>
      </w:r>
      <w:r w:rsidRPr="001D7CCB">
        <w:t>o fuentes de información diferentes, los cálculos de corto plazo se alinean con la técnica Denton, a nivel de clase de actividad económica, con las cifras anuales de las Cuentas de Bienes y Servicios del SCNM</w:t>
      </w:r>
      <w:r w:rsidR="00262480" w:rsidRPr="001D7CCB">
        <w:t xml:space="preserve">. Su ventaja es que incluyen </w:t>
      </w:r>
      <w:r w:rsidRPr="001D7CCB">
        <w:t>información más completa y un mayor número de datos. De esta manera, se</w:t>
      </w:r>
      <w:r w:rsidR="004E5605" w:rsidRPr="001D7CCB">
        <w:t xml:space="preserve"> evita </w:t>
      </w:r>
      <w:r w:rsidRPr="001D7CCB">
        <w:t>que se interpreten de diferente manera resultados que pueden diferir por su grado de cobertura</w:t>
      </w:r>
      <w:r w:rsidR="00E92F73" w:rsidRPr="001D7CCB">
        <w:t>,</w:t>
      </w:r>
      <w:r w:rsidRPr="001D7CCB">
        <w:t xml:space="preserve"> o por la fecha de su disponibilidad, pero nunca en su base conceptual</w:t>
      </w:r>
      <w:r w:rsidR="006811C3" w:rsidRPr="001D7CCB">
        <w:t>.</w:t>
      </w:r>
    </w:p>
    <w:p w14:paraId="4AA1EAD4" w14:textId="1533F58C" w:rsidR="004452B5" w:rsidRPr="001D7CCB" w:rsidRDefault="002408FD" w:rsidP="0083305A">
      <w:pPr>
        <w:pStyle w:val="Default"/>
        <w:spacing w:before="240"/>
        <w:jc w:val="both"/>
      </w:pPr>
      <w:r w:rsidRPr="001D7CCB">
        <w:t xml:space="preserve">La mayoría de las series económicas se ve afectada por factores estacionales: efectos periódicos que se repiten cada año y cuyas causas son ajenas a la naturaleza económica de las series. Estas pueden ser: las festividades, meses más largos que otros, las vacaciones escolares, el clima y otras fluctuaciones, como la elevada producción de juguetes en los meses previos a la Navidad. </w:t>
      </w:r>
    </w:p>
    <w:p w14:paraId="1598DDB2" w14:textId="0080073A" w:rsidR="006972C1" w:rsidRPr="001D7CCB" w:rsidRDefault="002408FD" w:rsidP="001872C1">
      <w:pPr>
        <w:pStyle w:val="Default"/>
        <w:spacing w:before="240"/>
      </w:pPr>
      <w:r w:rsidRPr="001D7CCB">
        <w:rPr>
          <w:color w:val="auto"/>
        </w:rPr>
        <w:t xml:space="preserve">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 Analizar la serie desestacionalizada ayuda a realizar un mejor diagnóstico </w:t>
      </w:r>
      <w:r w:rsidRPr="001D7CCB">
        <w:rPr>
          <w:color w:val="auto"/>
        </w:rPr>
        <w:lastRenderedPageBreak/>
        <w:t>y pronóstico de su evolución, pues, en el corto plazo, identifica la posible dirección de los movimientos que pudiera tener la variable en cuestión</w:t>
      </w:r>
      <w:r w:rsidR="006972C1" w:rsidRPr="001D7CCB">
        <w:rPr>
          <w:color w:val="auto"/>
        </w:rPr>
        <w:t xml:space="preserve">. </w:t>
      </w:r>
    </w:p>
    <w:p w14:paraId="7352A209" w14:textId="77777777" w:rsidR="002408FD" w:rsidRPr="001D7CCB" w:rsidRDefault="002408FD" w:rsidP="001872C1">
      <w:pPr>
        <w:spacing w:before="120"/>
      </w:pPr>
      <w:r w:rsidRPr="001D7CCB">
        <w:t>Las series originales se ajustan estacionalmente mediante el paquete estadístico X</w:t>
      </w:r>
      <w:r w:rsidRPr="001D7CCB">
        <w:noBreakHyphen/>
        <w:t>13ARIMA</w:t>
      </w:r>
      <w:r w:rsidRPr="001D7CCB">
        <w:noBreakHyphen/>
        <w:t>SEATS. Para conocer la metodología, consúltese la siguiente liga:</w:t>
      </w:r>
    </w:p>
    <w:p w14:paraId="0591E773" w14:textId="441F241D" w:rsidR="006972C1" w:rsidRPr="001D7CCB" w:rsidRDefault="00000000" w:rsidP="002408FD">
      <w:pPr>
        <w:rPr>
          <w:rStyle w:val="Hipervnculo"/>
          <w:szCs w:val="24"/>
        </w:rPr>
      </w:pPr>
      <w:hyperlink r:id="rId23" w:history="1">
        <w:r w:rsidR="002408FD" w:rsidRPr="001D7CCB">
          <w:rPr>
            <w:rStyle w:val="Hipervnculo"/>
          </w:rPr>
          <w:t>https://www.inegi.org.mx/app/biblioteca/ficha.html?upc=702825099060</w:t>
        </w:r>
      </w:hyperlink>
    </w:p>
    <w:p w14:paraId="7E6F7523" w14:textId="6974DE2A" w:rsidR="00DA625F" w:rsidRPr="001D7CCB" w:rsidRDefault="00DA625F" w:rsidP="002F26B6">
      <w:pPr>
        <w:spacing w:before="240"/>
      </w:pPr>
      <w:r w:rsidRPr="001D7CCB">
        <w:rPr>
          <w:noProof/>
        </w:rPr>
        <w:drawing>
          <wp:anchor distT="0" distB="0" distL="36195" distR="36195" simplePos="0" relativeHeight="251658240" behindDoc="0" locked="0" layoutInCell="1" allowOverlap="1" wp14:anchorId="225B3653" wp14:editId="5351A35F">
            <wp:simplePos x="0" y="0"/>
            <wp:positionH relativeFrom="margin">
              <wp:posOffset>6181090</wp:posOffset>
            </wp:positionH>
            <wp:positionV relativeFrom="paragraph">
              <wp:posOffset>531657</wp:posOffset>
            </wp:positionV>
            <wp:extent cx="144000" cy="144000"/>
            <wp:effectExtent l="0" t="0" r="8890" b="8890"/>
            <wp:wrapSquare wrapText="bothSides"/>
            <wp:docPr id="3" name="Imagen 3" descr="http://www.inegi.org.mx/sistemas/bie/img/MetadatoC.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08FD" w:rsidRPr="001D7CCB">
        <w:t>Las especificaciones de los modelos utilizados para realizar el ajuste estacional están disponibles en el Banco de Información Económica (BIE). Seleccione «Indicadores económicos de coyuntura, Indicador del consumo privado» y vaya al icono de información correspondiente a las «series desestacionalizadas y de tendencia-ciclo»</w:t>
      </w:r>
      <w:r w:rsidRPr="001D7CCB">
        <w:rPr>
          <w:rFonts w:cs="Arial"/>
        </w:rPr>
        <w:t>.</w:t>
      </w:r>
      <w:r w:rsidRPr="001D7CCB">
        <w:t xml:space="preserve"> </w:t>
      </w:r>
    </w:p>
    <w:p w14:paraId="14EDC431" w14:textId="3DD6CC71" w:rsidR="00DA625F" w:rsidRDefault="00806F98" w:rsidP="00376C40">
      <w:pPr>
        <w:pStyle w:val="parrafo1"/>
        <w:widowControl w:val="0"/>
        <w:spacing w:before="240"/>
        <w:ind w:left="0" w:right="0"/>
      </w:pPr>
      <w:r w:rsidRPr="001D7CCB">
        <w:rPr>
          <w:lang w:val="es-MX"/>
        </w:rPr>
        <w:t xml:space="preserve">La fecha de </w:t>
      </w:r>
      <w:r w:rsidR="002408FD" w:rsidRPr="001D7CCB">
        <w:rPr>
          <w:lang w:val="es-MX"/>
        </w:rPr>
        <w:t xml:space="preserve">divulgación del indicador </w:t>
      </w:r>
      <w:r w:rsidRPr="001D7CCB">
        <w:rPr>
          <w:lang w:val="es-MX"/>
        </w:rPr>
        <w:t xml:space="preserve">es la que señala </w:t>
      </w:r>
      <w:r w:rsidR="002408FD" w:rsidRPr="001D7CCB">
        <w:rPr>
          <w:lang w:val="es-MX"/>
        </w:rPr>
        <w:t xml:space="preserve">el </w:t>
      </w:r>
      <w:r w:rsidR="00376C40" w:rsidRPr="001D7CCB">
        <w:rPr>
          <w:lang w:val="es-MX"/>
        </w:rPr>
        <w:t>Calendario de Difusión de Información Estadística y Geográfica y de Interés Nacional</w:t>
      </w:r>
      <w:r w:rsidR="001F7AB8" w:rsidRPr="001D7CCB">
        <w:rPr>
          <w:lang w:val="es-MX"/>
        </w:rPr>
        <w:t xml:space="preserve">. </w:t>
      </w:r>
      <w:r w:rsidR="00B04A07" w:rsidRPr="001D7CCB">
        <w:rPr>
          <w:lang w:val="es-MX"/>
        </w:rPr>
        <w:t xml:space="preserve">Las series se </w:t>
      </w:r>
      <w:r w:rsidR="001F7AB8" w:rsidRPr="001D7CCB">
        <w:rPr>
          <w:lang w:val="es-MX"/>
        </w:rPr>
        <w:t>encuentra</w:t>
      </w:r>
      <w:r w:rsidR="00B04A07" w:rsidRPr="001D7CCB">
        <w:rPr>
          <w:lang w:val="es-MX"/>
        </w:rPr>
        <w:t>n</w:t>
      </w:r>
      <w:r w:rsidR="001F7AB8" w:rsidRPr="001D7CCB">
        <w:rPr>
          <w:lang w:val="es-MX"/>
        </w:rPr>
        <w:t xml:space="preserve"> en las </w:t>
      </w:r>
      <w:r w:rsidR="002408FD" w:rsidRPr="001D7CCB">
        <w:rPr>
          <w:lang w:val="es-MX"/>
        </w:rPr>
        <w:t>secciones: Temas/</w:t>
      </w:r>
      <w:r w:rsidR="001F7AB8" w:rsidRPr="001D7CCB">
        <w:rPr>
          <w:lang w:val="es-MX"/>
        </w:rPr>
        <w:t xml:space="preserve"> </w:t>
      </w:r>
      <w:r w:rsidR="002408FD" w:rsidRPr="001D7CCB">
        <w:rPr>
          <w:lang w:val="es-MX"/>
        </w:rPr>
        <w:t>PIB y Cuentas Nacionales, Programas de Información/</w:t>
      </w:r>
      <w:r w:rsidR="001F7AB8" w:rsidRPr="001D7CCB">
        <w:rPr>
          <w:lang w:val="es-MX"/>
        </w:rPr>
        <w:t xml:space="preserve"> </w:t>
      </w:r>
      <w:r w:rsidR="002408FD" w:rsidRPr="001D7CCB">
        <w:rPr>
          <w:lang w:val="es-MX"/>
        </w:rPr>
        <w:t>Sistema de Cuentas Nacionales y Sistemas de Consulta/</w:t>
      </w:r>
      <w:r w:rsidR="00F70F3F" w:rsidRPr="001D7CCB">
        <w:rPr>
          <w:lang w:val="es-MX"/>
        </w:rPr>
        <w:t xml:space="preserve"> </w:t>
      </w:r>
      <w:r w:rsidR="002408FD" w:rsidRPr="001D7CCB">
        <w:rPr>
          <w:lang w:val="es-MX"/>
        </w:rPr>
        <w:t xml:space="preserve">BIE, </w:t>
      </w:r>
      <w:r w:rsidR="00F70F3F" w:rsidRPr="001D7CCB">
        <w:rPr>
          <w:lang w:val="es-MX"/>
        </w:rPr>
        <w:t xml:space="preserve">dentro del sitio del INEGI, </w:t>
      </w:r>
      <w:r w:rsidR="002408FD" w:rsidRPr="001D7CCB">
        <w:rPr>
          <w:lang w:val="es-MX"/>
        </w:rPr>
        <w:t>así como en las diferentes redes sociales del Instituto</w:t>
      </w:r>
      <w:r w:rsidR="00DA625F" w:rsidRPr="001D7CCB">
        <w:rPr>
          <w:lang w:val="es-MX"/>
        </w:rPr>
        <w:t>.</w:t>
      </w:r>
    </w:p>
    <w:sectPr w:rsidR="00DA625F" w:rsidSect="00155CA3">
      <w:headerReference w:type="default" r:id="rId26"/>
      <w:footerReference w:type="default" r:id="rId27"/>
      <w:pgSz w:w="12242" w:h="15842" w:code="1"/>
      <w:pgMar w:top="2268" w:right="1134" w:bottom="992"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9DC6F" w14:textId="77777777" w:rsidR="00A402E9" w:rsidRPr="001D7CCB" w:rsidRDefault="00A402E9">
      <w:r w:rsidRPr="001D7CCB">
        <w:separator/>
      </w:r>
    </w:p>
  </w:endnote>
  <w:endnote w:type="continuationSeparator" w:id="0">
    <w:p w14:paraId="519AA49D" w14:textId="77777777" w:rsidR="00A402E9" w:rsidRPr="001D7CCB" w:rsidRDefault="00A402E9">
      <w:r w:rsidRPr="001D7CCB">
        <w:continuationSeparator/>
      </w:r>
    </w:p>
  </w:endnote>
  <w:endnote w:type="continuationNotice" w:id="1">
    <w:p w14:paraId="78E752BD" w14:textId="77777777" w:rsidR="00A402E9" w:rsidRPr="001D7CCB" w:rsidRDefault="00A40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897E" w14:textId="409937C9" w:rsidR="008F2BC8" w:rsidRPr="000D2EC4" w:rsidRDefault="00C162AB" w:rsidP="00C162AB">
    <w:pPr>
      <w:pStyle w:val="Piedepgina"/>
      <w:jc w:val="center"/>
      <w:rPr>
        <w:color w:val="003057"/>
      </w:rPr>
    </w:pPr>
    <w:bookmarkStart w:id="5" w:name="_Hlk147145069"/>
    <w:r w:rsidRPr="000D2EC4">
      <w:rPr>
        <w:rFonts w:cs="Arial"/>
        <w:b/>
        <w:color w:val="003057"/>
        <w:sz w:val="20"/>
      </w:rPr>
      <w:t>Comunicación social</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B2177" w14:textId="77777777" w:rsidR="00A402E9" w:rsidRPr="001D7CCB" w:rsidRDefault="00A402E9">
      <w:r w:rsidRPr="001D7CCB">
        <w:separator/>
      </w:r>
    </w:p>
  </w:footnote>
  <w:footnote w:type="continuationSeparator" w:id="0">
    <w:p w14:paraId="26AE3979" w14:textId="77777777" w:rsidR="00A402E9" w:rsidRPr="001D7CCB" w:rsidRDefault="00A402E9">
      <w:r w:rsidRPr="001D7CCB">
        <w:continuationSeparator/>
      </w:r>
    </w:p>
  </w:footnote>
  <w:footnote w:type="continuationNotice" w:id="1">
    <w:p w14:paraId="0F10B306" w14:textId="77777777" w:rsidR="00A402E9" w:rsidRPr="001D7CCB" w:rsidRDefault="00A402E9"/>
  </w:footnote>
  <w:footnote w:id="2">
    <w:p w14:paraId="59B6C4E9" w14:textId="77777777" w:rsidR="00C162AB" w:rsidRDefault="00C162AB" w:rsidP="00C162AB">
      <w:pPr>
        <w:pStyle w:val="Textonotapie"/>
        <w:ind w:left="170" w:hanging="170"/>
      </w:pPr>
      <w:r w:rsidRPr="001D7CCB">
        <w:rPr>
          <w:rStyle w:val="Refdenotaalpie"/>
          <w:rFonts w:ascii="Arial" w:hAnsi="Arial"/>
          <w:b w:val="0"/>
          <w:bCs/>
          <w:sz w:val="18"/>
          <w:szCs w:val="16"/>
        </w:rPr>
        <w:footnoteRef/>
      </w:r>
      <w:r w:rsidRPr="001D7CCB">
        <w:rPr>
          <w:lang w:val="es-MX"/>
        </w:rPr>
        <w:tab/>
      </w:r>
      <w:r w:rsidRPr="001D7CCB">
        <w:rPr>
          <w:rFonts w:ascii="Arial" w:hAnsi="Arial" w:cs="Arial"/>
          <w:sz w:val="16"/>
          <w:szCs w:val="16"/>
          <w:lang w:val="es-MX"/>
        </w:rPr>
        <w:t>Encuesta Mensual de la Industria Manufacturera (EMIM), Encuesta Mensual sobre Empresas Comerciales (EMEC) y Encuesta Mensual de Servicios (EMS)</w:t>
      </w:r>
    </w:p>
  </w:footnote>
  <w:footnote w:id="3">
    <w:p w14:paraId="51647026" w14:textId="77777777" w:rsidR="005F6DAE" w:rsidRPr="001D7CCB" w:rsidRDefault="005F6DAE" w:rsidP="005F6DAE">
      <w:pPr>
        <w:pStyle w:val="Textonotapie"/>
        <w:ind w:left="170" w:hanging="170"/>
        <w:jc w:val="both"/>
        <w:rPr>
          <w:rFonts w:ascii="Arial" w:hAnsi="Arial" w:cs="Arial"/>
          <w:sz w:val="16"/>
          <w:szCs w:val="16"/>
          <w:lang w:val="es-MX"/>
        </w:rPr>
      </w:pPr>
      <w:r w:rsidRPr="001D7CCB">
        <w:rPr>
          <w:rStyle w:val="Refdenotaalpie"/>
          <w:rFonts w:ascii="Arial" w:hAnsi="Arial"/>
          <w:b w:val="0"/>
          <w:sz w:val="18"/>
        </w:rPr>
        <w:footnoteRef/>
      </w:r>
      <w:r w:rsidRPr="001D7CCB">
        <w:rPr>
          <w:rStyle w:val="Refdenotaalpie"/>
          <w:rFonts w:ascii="Arial" w:hAnsi="Arial"/>
          <w:sz w:val="18"/>
        </w:rPr>
        <w:t xml:space="preserve"> </w:t>
      </w:r>
      <w:r w:rsidRPr="001D7CCB">
        <w:rPr>
          <w:rFonts w:ascii="Arial" w:hAnsi="Arial" w:cs="Arial"/>
          <w:sz w:val="18"/>
          <w:lang w:val="es-MX"/>
        </w:rPr>
        <w:tab/>
      </w:r>
      <w:r w:rsidRPr="001D7CCB">
        <w:rPr>
          <w:rFonts w:ascii="Arial" w:hAnsi="Arial" w:cs="Arial"/>
          <w:sz w:val="16"/>
          <w:szCs w:val="16"/>
          <w:lang w:val="es-MX"/>
        </w:rPr>
        <w:t>La mayoría de las series económicas se ve afectada por factores estacionales y de calendario. El ajuste de los datos por dichos factores permite obtener las cifras desestacionalizadas. Su análisis ayuda a realizar un mejor diagnóstico de la evolución de las variables.</w:t>
      </w:r>
    </w:p>
  </w:footnote>
  <w:footnote w:id="4">
    <w:p w14:paraId="7EC0B4D1" w14:textId="758C246E" w:rsidR="00F304AB" w:rsidRDefault="00F304AB" w:rsidP="00475E68">
      <w:pPr>
        <w:pStyle w:val="Textonotapie"/>
        <w:ind w:left="170" w:hanging="170"/>
      </w:pPr>
      <w:r w:rsidRPr="001D7CCB">
        <w:rPr>
          <w:rStyle w:val="Refdenotaalpie"/>
          <w:rFonts w:ascii="Arial" w:hAnsi="Arial"/>
          <w:b w:val="0"/>
          <w:bCs/>
          <w:sz w:val="18"/>
          <w:szCs w:val="16"/>
        </w:rPr>
        <w:footnoteRef/>
      </w:r>
      <w:r w:rsidR="00475E68" w:rsidRPr="001D7CCB">
        <w:rPr>
          <w:lang w:val="es-MX"/>
        </w:rPr>
        <w:tab/>
      </w:r>
      <w:r w:rsidRPr="001D7CCB">
        <w:rPr>
          <w:rFonts w:ascii="Arial" w:hAnsi="Arial" w:cs="Arial"/>
          <w:sz w:val="16"/>
          <w:szCs w:val="16"/>
          <w:lang w:val="es-MX"/>
        </w:rPr>
        <w:t>Encuesta Mensual de la Industria Manufacturera (EMIM), Encuesta Mensual sobre Empresas Comerciales (EMEC) y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9A5A" w14:textId="77777777" w:rsidR="00C162AB" w:rsidRDefault="00C162AB" w:rsidP="00C162AB">
    <w:r>
      <w:rPr>
        <w:noProof/>
        <w14:ligatures w14:val="standardContextual"/>
      </w:rPr>
      <w:drawing>
        <wp:anchor distT="0" distB="0" distL="114300" distR="114300" simplePos="0" relativeHeight="251659264" behindDoc="0" locked="0" layoutInCell="1" allowOverlap="1" wp14:anchorId="0E0D386C" wp14:editId="2C3A32FE">
          <wp:simplePos x="0" y="0"/>
          <wp:positionH relativeFrom="margin">
            <wp:posOffset>-104775</wp:posOffset>
          </wp:positionH>
          <wp:positionV relativeFrom="paragraph">
            <wp:posOffset>-2540</wp:posOffset>
          </wp:positionV>
          <wp:extent cx="2761200" cy="795600"/>
          <wp:effectExtent l="0" t="0" r="1270" b="5080"/>
          <wp:wrapSquare wrapText="bothSides"/>
          <wp:docPr id="1799583202" name="Imagen 179958320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61200" cy="795600"/>
                  </a:xfrm>
                  <a:prstGeom prst="rect">
                    <a:avLst/>
                  </a:prstGeom>
                </pic:spPr>
              </pic:pic>
            </a:graphicData>
          </a:graphic>
          <wp14:sizeRelH relativeFrom="page">
            <wp14:pctWidth>0</wp14:pctWidth>
          </wp14:sizeRelH>
          <wp14:sizeRelV relativeFrom="page">
            <wp14:pctHeight>0</wp14:pctHeight>
          </wp14:sizeRelV>
        </wp:anchor>
      </w:drawing>
    </w:r>
  </w:p>
  <w:p w14:paraId="590F6289" w14:textId="4F6A4F2A" w:rsidR="00C162AB" w:rsidRPr="00306ECD" w:rsidRDefault="00C162AB" w:rsidP="00C162AB">
    <w:pPr>
      <w:pStyle w:val="Encabezado"/>
      <w:ind w:left="-142" w:right="49" w:hanging="142"/>
      <w:jc w:val="right"/>
      <w:rPr>
        <w:b/>
        <w:color w:val="002060"/>
        <w:lang w:val="pt-BR"/>
      </w:rPr>
    </w:pPr>
    <w:r w:rsidRPr="00306ECD">
      <w:rPr>
        <w:b/>
        <w:color w:val="002060"/>
      </w:rPr>
      <w:t>Comunicado de prensa núm</w:t>
    </w:r>
    <w:r>
      <w:rPr>
        <w:b/>
        <w:color w:val="002060"/>
      </w:rPr>
      <w:t>ero</w:t>
    </w:r>
    <w:r w:rsidRPr="00306ECD">
      <w:rPr>
        <w:b/>
        <w:color w:val="002060"/>
      </w:rPr>
      <w:t xml:space="preserve"> </w:t>
    </w:r>
    <w:r>
      <w:rPr>
        <w:b/>
        <w:color w:val="002060"/>
      </w:rPr>
      <w:t>577</w:t>
    </w:r>
    <w:r w:rsidRPr="00306ECD">
      <w:rPr>
        <w:b/>
        <w:color w:val="002060"/>
      </w:rPr>
      <w:t>/2</w:t>
    </w:r>
    <w:r>
      <w:rPr>
        <w:b/>
        <w:color w:val="002060"/>
      </w:rPr>
      <w:t>3</w:t>
    </w:r>
  </w:p>
  <w:p w14:paraId="3E43F4B7" w14:textId="10ACE47D" w:rsidR="00C162AB" w:rsidRPr="00306ECD" w:rsidRDefault="00C162AB" w:rsidP="00C162AB">
    <w:pPr>
      <w:pStyle w:val="Encabezado"/>
      <w:tabs>
        <w:tab w:val="clear" w:pos="4320"/>
        <w:tab w:val="clear" w:pos="8640"/>
      </w:tabs>
      <w:ind w:left="-567" w:right="49"/>
      <w:jc w:val="right"/>
      <w:rPr>
        <w:b/>
        <w:color w:val="002060"/>
        <w:lang w:val="pt-BR"/>
      </w:rPr>
    </w:pPr>
    <w:r>
      <w:rPr>
        <w:b/>
        <w:color w:val="002060"/>
        <w:lang w:val="pt-BR"/>
      </w:rPr>
      <w:t xml:space="preserve">3 de </w:t>
    </w:r>
    <w:proofErr w:type="spellStart"/>
    <w:r>
      <w:rPr>
        <w:b/>
        <w:color w:val="002060"/>
        <w:lang w:val="pt-BR"/>
      </w:rPr>
      <w:t>octubre</w:t>
    </w:r>
    <w:proofErr w:type="spellEnd"/>
    <w:r>
      <w:rPr>
        <w:b/>
        <w:color w:val="002060"/>
        <w:lang w:val="pt-BR"/>
      </w:rPr>
      <w:t xml:space="preserve"> de </w:t>
    </w:r>
    <w:r w:rsidRPr="00306ECD">
      <w:rPr>
        <w:b/>
        <w:color w:val="002060"/>
        <w:lang w:val="pt-BR"/>
      </w:rPr>
      <w:t>202</w:t>
    </w:r>
    <w:r>
      <w:rPr>
        <w:b/>
        <w:color w:val="002060"/>
        <w:lang w:val="pt-BR"/>
      </w:rPr>
      <w:t>3</w:t>
    </w:r>
  </w:p>
  <w:p w14:paraId="500FED3E" w14:textId="58EB271E" w:rsidR="00C162AB" w:rsidRDefault="00C162AB" w:rsidP="00C162AB">
    <w:pPr>
      <w:pStyle w:val="Encabezado"/>
      <w:ind w:left="-567" w:right="49"/>
      <w:jc w:val="right"/>
      <w:rPr>
        <w:b/>
        <w:color w:val="002060"/>
      </w:rPr>
    </w:pPr>
    <w:r w:rsidRPr="006B2980">
      <w:rPr>
        <w:b/>
        <w:color w:val="002060"/>
      </w:rPr>
      <w:t xml:space="preserve">Página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1</w:t>
    </w:r>
    <w:r w:rsidRPr="006B2980">
      <w:rPr>
        <w:b/>
        <w:color w:val="002060"/>
      </w:rPr>
      <w:fldChar w:fldCharType="end"/>
    </w:r>
    <w:r w:rsidRPr="006B2980">
      <w:rPr>
        <w:b/>
        <w:color w:val="002060"/>
      </w:rPr>
      <w:t>/</w:t>
    </w:r>
    <w:r>
      <w:rPr>
        <w:b/>
        <w:color w:val="002060"/>
      </w:rPr>
      <w:t>8</w:t>
    </w:r>
  </w:p>
  <w:p w14:paraId="0A79A9BF" w14:textId="77777777" w:rsidR="00C162AB" w:rsidRPr="00F22E89" w:rsidRDefault="00C162AB" w:rsidP="00C162AB">
    <w:pPr>
      <w:pStyle w:val="Encabezado"/>
      <w:ind w:left="-567" w:right="49"/>
      <w:jc w:val="right"/>
      <w:rPr>
        <w:b/>
        <w:color w:val="002060"/>
      </w:rPr>
    </w:pPr>
  </w:p>
  <w:p w14:paraId="4C34EF94" w14:textId="25A97E0E" w:rsidR="008F2BC8" w:rsidRPr="001D7CCB" w:rsidRDefault="008F2BC8" w:rsidP="00D0777B">
    <w:pPr>
      <w:pStyle w:val="Encabezado"/>
      <w:tabs>
        <w:tab w:val="clear" w:pos="4320"/>
        <w:tab w:val="clear" w:pos="8640"/>
        <w:tab w:val="center" w:pos="26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3A2C6E4C"/>
    <w:multiLevelType w:val="hybridMultilevel"/>
    <w:tmpl w:val="37DE95B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961592E"/>
    <w:multiLevelType w:val="hybridMultilevel"/>
    <w:tmpl w:val="37DE95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1028219304">
    <w:abstractNumId w:val="12"/>
  </w:num>
  <w:num w:numId="2" w16cid:durableId="1014500742">
    <w:abstractNumId w:val="2"/>
  </w:num>
  <w:num w:numId="3" w16cid:durableId="1640837439">
    <w:abstractNumId w:val="8"/>
  </w:num>
  <w:num w:numId="4" w16cid:durableId="945432125">
    <w:abstractNumId w:val="4"/>
  </w:num>
  <w:num w:numId="5" w16cid:durableId="557858554">
    <w:abstractNumId w:val="0"/>
  </w:num>
  <w:num w:numId="6" w16cid:durableId="217324012">
    <w:abstractNumId w:val="13"/>
  </w:num>
  <w:num w:numId="7" w16cid:durableId="135225928">
    <w:abstractNumId w:val="1"/>
  </w:num>
  <w:num w:numId="8" w16cid:durableId="461969374">
    <w:abstractNumId w:val="9"/>
  </w:num>
  <w:num w:numId="9" w16cid:durableId="396053164">
    <w:abstractNumId w:val="7"/>
  </w:num>
  <w:num w:numId="10" w16cid:durableId="1477798909">
    <w:abstractNumId w:val="5"/>
  </w:num>
  <w:num w:numId="11" w16cid:durableId="86511470">
    <w:abstractNumId w:val="9"/>
  </w:num>
  <w:num w:numId="12" w16cid:durableId="650673213">
    <w:abstractNumId w:val="3"/>
  </w:num>
  <w:num w:numId="13" w16cid:durableId="637222073">
    <w:abstractNumId w:val="6"/>
  </w:num>
  <w:num w:numId="14" w16cid:durableId="667640618">
    <w:abstractNumId w:val="10"/>
  </w:num>
  <w:num w:numId="15" w16cid:durableId="1892842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00E"/>
    <w:rsid w:val="00002780"/>
    <w:rsid w:val="000027A6"/>
    <w:rsid w:val="00002BFB"/>
    <w:rsid w:val="00002C46"/>
    <w:rsid w:val="00002E24"/>
    <w:rsid w:val="0000374E"/>
    <w:rsid w:val="000037C9"/>
    <w:rsid w:val="000039FE"/>
    <w:rsid w:val="00003B8F"/>
    <w:rsid w:val="00003DF8"/>
    <w:rsid w:val="00003EF8"/>
    <w:rsid w:val="00003F4B"/>
    <w:rsid w:val="000041DD"/>
    <w:rsid w:val="000046B6"/>
    <w:rsid w:val="00005304"/>
    <w:rsid w:val="00005565"/>
    <w:rsid w:val="00005754"/>
    <w:rsid w:val="0000581E"/>
    <w:rsid w:val="00005B50"/>
    <w:rsid w:val="00005F2E"/>
    <w:rsid w:val="00006BB9"/>
    <w:rsid w:val="00006BDB"/>
    <w:rsid w:val="000071B3"/>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101"/>
    <w:rsid w:val="00031713"/>
    <w:rsid w:val="00031845"/>
    <w:rsid w:val="00032545"/>
    <w:rsid w:val="000325D6"/>
    <w:rsid w:val="000327E9"/>
    <w:rsid w:val="00033C5F"/>
    <w:rsid w:val="00033FCD"/>
    <w:rsid w:val="000340C8"/>
    <w:rsid w:val="000342CC"/>
    <w:rsid w:val="0003448A"/>
    <w:rsid w:val="0003466E"/>
    <w:rsid w:val="00034A90"/>
    <w:rsid w:val="00034B65"/>
    <w:rsid w:val="0003547C"/>
    <w:rsid w:val="00035D8A"/>
    <w:rsid w:val="000360AB"/>
    <w:rsid w:val="0003734B"/>
    <w:rsid w:val="0003792C"/>
    <w:rsid w:val="00037F8A"/>
    <w:rsid w:val="0004085A"/>
    <w:rsid w:val="00040868"/>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76F"/>
    <w:rsid w:val="00046979"/>
    <w:rsid w:val="0004705C"/>
    <w:rsid w:val="00050101"/>
    <w:rsid w:val="00050594"/>
    <w:rsid w:val="0005079E"/>
    <w:rsid w:val="00050FEF"/>
    <w:rsid w:val="000512BE"/>
    <w:rsid w:val="00051D8B"/>
    <w:rsid w:val="00051E25"/>
    <w:rsid w:val="000523C5"/>
    <w:rsid w:val="000533BC"/>
    <w:rsid w:val="00053691"/>
    <w:rsid w:val="00053AEC"/>
    <w:rsid w:val="00053DA7"/>
    <w:rsid w:val="000540EF"/>
    <w:rsid w:val="0005463E"/>
    <w:rsid w:val="000553E0"/>
    <w:rsid w:val="00055478"/>
    <w:rsid w:val="000560B3"/>
    <w:rsid w:val="00056105"/>
    <w:rsid w:val="00056521"/>
    <w:rsid w:val="00056CFF"/>
    <w:rsid w:val="000573C0"/>
    <w:rsid w:val="00057442"/>
    <w:rsid w:val="00057625"/>
    <w:rsid w:val="000578E8"/>
    <w:rsid w:val="00057D70"/>
    <w:rsid w:val="00060033"/>
    <w:rsid w:val="000603DD"/>
    <w:rsid w:val="00060E75"/>
    <w:rsid w:val="000617DB"/>
    <w:rsid w:val="00061DB2"/>
    <w:rsid w:val="000620CB"/>
    <w:rsid w:val="00062295"/>
    <w:rsid w:val="00062569"/>
    <w:rsid w:val="00062A1B"/>
    <w:rsid w:val="00063600"/>
    <w:rsid w:val="00063728"/>
    <w:rsid w:val="00063BB7"/>
    <w:rsid w:val="00064CB4"/>
    <w:rsid w:val="00064D51"/>
    <w:rsid w:val="00065350"/>
    <w:rsid w:val="00065667"/>
    <w:rsid w:val="0006588A"/>
    <w:rsid w:val="00065DA2"/>
    <w:rsid w:val="00065F2C"/>
    <w:rsid w:val="000660AB"/>
    <w:rsid w:val="000663A1"/>
    <w:rsid w:val="0006669E"/>
    <w:rsid w:val="00066787"/>
    <w:rsid w:val="000669F8"/>
    <w:rsid w:val="00066FFF"/>
    <w:rsid w:val="0006732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6EF9"/>
    <w:rsid w:val="000872B2"/>
    <w:rsid w:val="0008783B"/>
    <w:rsid w:val="00087BA1"/>
    <w:rsid w:val="00087C9A"/>
    <w:rsid w:val="00087F49"/>
    <w:rsid w:val="00090721"/>
    <w:rsid w:val="00090C41"/>
    <w:rsid w:val="00090CBA"/>
    <w:rsid w:val="0009115D"/>
    <w:rsid w:val="000913FC"/>
    <w:rsid w:val="000917C3"/>
    <w:rsid w:val="0009183C"/>
    <w:rsid w:val="000919D3"/>
    <w:rsid w:val="00092628"/>
    <w:rsid w:val="000927DF"/>
    <w:rsid w:val="000929CC"/>
    <w:rsid w:val="00092D6B"/>
    <w:rsid w:val="0009312A"/>
    <w:rsid w:val="00093494"/>
    <w:rsid w:val="000942A4"/>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F30"/>
    <w:rsid w:val="000A14C4"/>
    <w:rsid w:val="000A15CE"/>
    <w:rsid w:val="000A1A1F"/>
    <w:rsid w:val="000A2146"/>
    <w:rsid w:val="000A2369"/>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246"/>
    <w:rsid w:val="000A6454"/>
    <w:rsid w:val="000A69D3"/>
    <w:rsid w:val="000A6F37"/>
    <w:rsid w:val="000A7195"/>
    <w:rsid w:val="000A740B"/>
    <w:rsid w:val="000A7785"/>
    <w:rsid w:val="000A7F63"/>
    <w:rsid w:val="000A7FDB"/>
    <w:rsid w:val="000B0456"/>
    <w:rsid w:val="000B058C"/>
    <w:rsid w:val="000B05FA"/>
    <w:rsid w:val="000B11A8"/>
    <w:rsid w:val="000B12A0"/>
    <w:rsid w:val="000B18E9"/>
    <w:rsid w:val="000B2679"/>
    <w:rsid w:val="000B279B"/>
    <w:rsid w:val="000B2B1E"/>
    <w:rsid w:val="000B2FF7"/>
    <w:rsid w:val="000B31E7"/>
    <w:rsid w:val="000B3636"/>
    <w:rsid w:val="000B3864"/>
    <w:rsid w:val="000B3B3F"/>
    <w:rsid w:val="000B3B5A"/>
    <w:rsid w:val="000B3BF6"/>
    <w:rsid w:val="000B3F42"/>
    <w:rsid w:val="000B440A"/>
    <w:rsid w:val="000B4896"/>
    <w:rsid w:val="000B4AAB"/>
    <w:rsid w:val="000B5180"/>
    <w:rsid w:val="000B54FB"/>
    <w:rsid w:val="000B59A6"/>
    <w:rsid w:val="000B5F08"/>
    <w:rsid w:val="000B6018"/>
    <w:rsid w:val="000B6031"/>
    <w:rsid w:val="000B60DA"/>
    <w:rsid w:val="000B6610"/>
    <w:rsid w:val="000B67B4"/>
    <w:rsid w:val="000B68EF"/>
    <w:rsid w:val="000B6E70"/>
    <w:rsid w:val="000B731F"/>
    <w:rsid w:val="000B73D3"/>
    <w:rsid w:val="000B7404"/>
    <w:rsid w:val="000B7B8C"/>
    <w:rsid w:val="000B7CCB"/>
    <w:rsid w:val="000C089A"/>
    <w:rsid w:val="000C0BC1"/>
    <w:rsid w:val="000C1AAD"/>
    <w:rsid w:val="000C1C62"/>
    <w:rsid w:val="000C1EA6"/>
    <w:rsid w:val="000C1F00"/>
    <w:rsid w:val="000C31CB"/>
    <w:rsid w:val="000C394F"/>
    <w:rsid w:val="000C3C60"/>
    <w:rsid w:val="000C407B"/>
    <w:rsid w:val="000C41A1"/>
    <w:rsid w:val="000C494A"/>
    <w:rsid w:val="000C4D1D"/>
    <w:rsid w:val="000C4DD1"/>
    <w:rsid w:val="000C57F3"/>
    <w:rsid w:val="000C5A46"/>
    <w:rsid w:val="000C5E8E"/>
    <w:rsid w:val="000C6F51"/>
    <w:rsid w:val="000C723B"/>
    <w:rsid w:val="000C7250"/>
    <w:rsid w:val="000C7274"/>
    <w:rsid w:val="000C7DB5"/>
    <w:rsid w:val="000C7DCE"/>
    <w:rsid w:val="000D01B2"/>
    <w:rsid w:val="000D0249"/>
    <w:rsid w:val="000D0FCD"/>
    <w:rsid w:val="000D118D"/>
    <w:rsid w:val="000D1690"/>
    <w:rsid w:val="000D179E"/>
    <w:rsid w:val="000D21B6"/>
    <w:rsid w:val="000D2233"/>
    <w:rsid w:val="000D232B"/>
    <w:rsid w:val="000D264F"/>
    <w:rsid w:val="000D27CE"/>
    <w:rsid w:val="000D2B5C"/>
    <w:rsid w:val="000D2EC4"/>
    <w:rsid w:val="000D3520"/>
    <w:rsid w:val="000D36E0"/>
    <w:rsid w:val="000D42ED"/>
    <w:rsid w:val="000D4C2F"/>
    <w:rsid w:val="000D5355"/>
    <w:rsid w:val="000D597A"/>
    <w:rsid w:val="000D5C61"/>
    <w:rsid w:val="000D6AE1"/>
    <w:rsid w:val="000D6BFD"/>
    <w:rsid w:val="000D6EA4"/>
    <w:rsid w:val="000D6F06"/>
    <w:rsid w:val="000D7B21"/>
    <w:rsid w:val="000E04B8"/>
    <w:rsid w:val="000E09BB"/>
    <w:rsid w:val="000E147B"/>
    <w:rsid w:val="000E1519"/>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106"/>
    <w:rsid w:val="000E69E2"/>
    <w:rsid w:val="000E6B69"/>
    <w:rsid w:val="000E7104"/>
    <w:rsid w:val="000E7B7C"/>
    <w:rsid w:val="000E7C9B"/>
    <w:rsid w:val="000F0159"/>
    <w:rsid w:val="000F044B"/>
    <w:rsid w:val="000F0492"/>
    <w:rsid w:val="000F0506"/>
    <w:rsid w:val="000F1906"/>
    <w:rsid w:val="000F1D47"/>
    <w:rsid w:val="000F2054"/>
    <w:rsid w:val="000F22E9"/>
    <w:rsid w:val="000F2915"/>
    <w:rsid w:val="000F2B52"/>
    <w:rsid w:val="000F2CC8"/>
    <w:rsid w:val="000F3A44"/>
    <w:rsid w:val="000F3E42"/>
    <w:rsid w:val="000F4608"/>
    <w:rsid w:val="000F4655"/>
    <w:rsid w:val="000F46CF"/>
    <w:rsid w:val="000F4914"/>
    <w:rsid w:val="000F4916"/>
    <w:rsid w:val="000F4E9B"/>
    <w:rsid w:val="000F530A"/>
    <w:rsid w:val="000F54D5"/>
    <w:rsid w:val="000F5FDC"/>
    <w:rsid w:val="000F7069"/>
    <w:rsid w:val="000F706A"/>
    <w:rsid w:val="000F74DA"/>
    <w:rsid w:val="000F76D8"/>
    <w:rsid w:val="000F7721"/>
    <w:rsid w:val="00100607"/>
    <w:rsid w:val="00100806"/>
    <w:rsid w:val="00101181"/>
    <w:rsid w:val="0010119D"/>
    <w:rsid w:val="001014B8"/>
    <w:rsid w:val="001038F6"/>
    <w:rsid w:val="001042C6"/>
    <w:rsid w:val="001048BA"/>
    <w:rsid w:val="00104D18"/>
    <w:rsid w:val="001051DF"/>
    <w:rsid w:val="001052DC"/>
    <w:rsid w:val="00105455"/>
    <w:rsid w:val="001054B5"/>
    <w:rsid w:val="00105D58"/>
    <w:rsid w:val="00106346"/>
    <w:rsid w:val="001065F0"/>
    <w:rsid w:val="00106629"/>
    <w:rsid w:val="00106ACD"/>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4ED0"/>
    <w:rsid w:val="001152AB"/>
    <w:rsid w:val="0011533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12B"/>
    <w:rsid w:val="00122278"/>
    <w:rsid w:val="001222F7"/>
    <w:rsid w:val="00122ABA"/>
    <w:rsid w:val="00122F4B"/>
    <w:rsid w:val="0012310F"/>
    <w:rsid w:val="00123A36"/>
    <w:rsid w:val="00123A7C"/>
    <w:rsid w:val="00123EC9"/>
    <w:rsid w:val="001241B9"/>
    <w:rsid w:val="00124280"/>
    <w:rsid w:val="0012445B"/>
    <w:rsid w:val="00124566"/>
    <w:rsid w:val="001251D0"/>
    <w:rsid w:val="0012544B"/>
    <w:rsid w:val="001263CF"/>
    <w:rsid w:val="001264E4"/>
    <w:rsid w:val="001268BF"/>
    <w:rsid w:val="00126907"/>
    <w:rsid w:val="00126990"/>
    <w:rsid w:val="00126D2E"/>
    <w:rsid w:val="00126FDB"/>
    <w:rsid w:val="001270B9"/>
    <w:rsid w:val="001272BF"/>
    <w:rsid w:val="0012735A"/>
    <w:rsid w:val="00130126"/>
    <w:rsid w:val="001308B3"/>
    <w:rsid w:val="00130ED6"/>
    <w:rsid w:val="001315C9"/>
    <w:rsid w:val="0013184F"/>
    <w:rsid w:val="001320D6"/>
    <w:rsid w:val="00132D45"/>
    <w:rsid w:val="00132EE6"/>
    <w:rsid w:val="001334B8"/>
    <w:rsid w:val="0013368A"/>
    <w:rsid w:val="0013372F"/>
    <w:rsid w:val="00134316"/>
    <w:rsid w:val="00134656"/>
    <w:rsid w:val="00134662"/>
    <w:rsid w:val="00134905"/>
    <w:rsid w:val="0013507A"/>
    <w:rsid w:val="00135130"/>
    <w:rsid w:val="001357A5"/>
    <w:rsid w:val="00135817"/>
    <w:rsid w:val="00135EEF"/>
    <w:rsid w:val="001363D7"/>
    <w:rsid w:val="00136A1F"/>
    <w:rsid w:val="00136E23"/>
    <w:rsid w:val="00137231"/>
    <w:rsid w:val="00137508"/>
    <w:rsid w:val="00137C8A"/>
    <w:rsid w:val="00137CE1"/>
    <w:rsid w:val="00140382"/>
    <w:rsid w:val="00140765"/>
    <w:rsid w:val="00140B82"/>
    <w:rsid w:val="00140D9C"/>
    <w:rsid w:val="00140E3B"/>
    <w:rsid w:val="0014134D"/>
    <w:rsid w:val="00141D07"/>
    <w:rsid w:val="00141D28"/>
    <w:rsid w:val="00141EF8"/>
    <w:rsid w:val="0014249E"/>
    <w:rsid w:val="00142888"/>
    <w:rsid w:val="0014381D"/>
    <w:rsid w:val="001443AF"/>
    <w:rsid w:val="00145151"/>
    <w:rsid w:val="00145232"/>
    <w:rsid w:val="00145249"/>
    <w:rsid w:val="0014547C"/>
    <w:rsid w:val="00145519"/>
    <w:rsid w:val="00145AC4"/>
    <w:rsid w:val="00145B45"/>
    <w:rsid w:val="001460B1"/>
    <w:rsid w:val="00146B54"/>
    <w:rsid w:val="00146F18"/>
    <w:rsid w:val="001471BF"/>
    <w:rsid w:val="00147E1A"/>
    <w:rsid w:val="00147E6C"/>
    <w:rsid w:val="00147FCA"/>
    <w:rsid w:val="00150304"/>
    <w:rsid w:val="00150644"/>
    <w:rsid w:val="00150A0A"/>
    <w:rsid w:val="00151602"/>
    <w:rsid w:val="00151746"/>
    <w:rsid w:val="00151CF3"/>
    <w:rsid w:val="00152032"/>
    <w:rsid w:val="001526E1"/>
    <w:rsid w:val="001537DA"/>
    <w:rsid w:val="00153E48"/>
    <w:rsid w:val="001540B6"/>
    <w:rsid w:val="00154286"/>
    <w:rsid w:val="0015470F"/>
    <w:rsid w:val="0015477E"/>
    <w:rsid w:val="00154B74"/>
    <w:rsid w:val="00154F7D"/>
    <w:rsid w:val="001555FA"/>
    <w:rsid w:val="0015586B"/>
    <w:rsid w:val="00155CA3"/>
    <w:rsid w:val="00155EE7"/>
    <w:rsid w:val="00155FB3"/>
    <w:rsid w:val="00156363"/>
    <w:rsid w:val="0015661D"/>
    <w:rsid w:val="00156958"/>
    <w:rsid w:val="00156E46"/>
    <w:rsid w:val="001612D4"/>
    <w:rsid w:val="0016157C"/>
    <w:rsid w:val="00161771"/>
    <w:rsid w:val="00161A75"/>
    <w:rsid w:val="00161FB0"/>
    <w:rsid w:val="00163343"/>
    <w:rsid w:val="001635F1"/>
    <w:rsid w:val="00163E70"/>
    <w:rsid w:val="00163F74"/>
    <w:rsid w:val="00163FD5"/>
    <w:rsid w:val="0016412F"/>
    <w:rsid w:val="00164A27"/>
    <w:rsid w:val="00164B37"/>
    <w:rsid w:val="00165661"/>
    <w:rsid w:val="001657FE"/>
    <w:rsid w:val="00165811"/>
    <w:rsid w:val="00165876"/>
    <w:rsid w:val="00165979"/>
    <w:rsid w:val="00165E03"/>
    <w:rsid w:val="00166631"/>
    <w:rsid w:val="0016680F"/>
    <w:rsid w:val="00166EC6"/>
    <w:rsid w:val="001670F1"/>
    <w:rsid w:val="001673D2"/>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3F4"/>
    <w:rsid w:val="00173718"/>
    <w:rsid w:val="0017384D"/>
    <w:rsid w:val="00173EB7"/>
    <w:rsid w:val="001741A9"/>
    <w:rsid w:val="001743E7"/>
    <w:rsid w:val="001745BE"/>
    <w:rsid w:val="001745E9"/>
    <w:rsid w:val="00174859"/>
    <w:rsid w:val="00174888"/>
    <w:rsid w:val="0017523F"/>
    <w:rsid w:val="001759E3"/>
    <w:rsid w:val="00175A58"/>
    <w:rsid w:val="00175FAA"/>
    <w:rsid w:val="00176079"/>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B73"/>
    <w:rsid w:val="00182EE9"/>
    <w:rsid w:val="00183096"/>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872C1"/>
    <w:rsid w:val="00187F17"/>
    <w:rsid w:val="0019097A"/>
    <w:rsid w:val="001910DC"/>
    <w:rsid w:val="00191B61"/>
    <w:rsid w:val="00191D33"/>
    <w:rsid w:val="00191DE3"/>
    <w:rsid w:val="001920D6"/>
    <w:rsid w:val="001921B1"/>
    <w:rsid w:val="00192382"/>
    <w:rsid w:val="001928EF"/>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1D7"/>
    <w:rsid w:val="00197989"/>
    <w:rsid w:val="001A032F"/>
    <w:rsid w:val="001A0829"/>
    <w:rsid w:val="001A0B7A"/>
    <w:rsid w:val="001A1221"/>
    <w:rsid w:val="001A15FE"/>
    <w:rsid w:val="001A1A41"/>
    <w:rsid w:val="001A1BA0"/>
    <w:rsid w:val="001A3CB5"/>
    <w:rsid w:val="001A3EC1"/>
    <w:rsid w:val="001A404D"/>
    <w:rsid w:val="001A4ABC"/>
    <w:rsid w:val="001A52A3"/>
    <w:rsid w:val="001A548C"/>
    <w:rsid w:val="001A578B"/>
    <w:rsid w:val="001A57A1"/>
    <w:rsid w:val="001A592B"/>
    <w:rsid w:val="001A5A67"/>
    <w:rsid w:val="001A60C6"/>
    <w:rsid w:val="001A63BC"/>
    <w:rsid w:val="001A6863"/>
    <w:rsid w:val="001A6B3D"/>
    <w:rsid w:val="001A6F87"/>
    <w:rsid w:val="001A6FFE"/>
    <w:rsid w:val="001A742E"/>
    <w:rsid w:val="001A7557"/>
    <w:rsid w:val="001B01B1"/>
    <w:rsid w:val="001B028D"/>
    <w:rsid w:val="001B074F"/>
    <w:rsid w:val="001B1103"/>
    <w:rsid w:val="001B11BD"/>
    <w:rsid w:val="001B12C6"/>
    <w:rsid w:val="001B1352"/>
    <w:rsid w:val="001B1AB9"/>
    <w:rsid w:val="001B1E47"/>
    <w:rsid w:val="001B2BD6"/>
    <w:rsid w:val="001B30BE"/>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9EF"/>
    <w:rsid w:val="001B7C04"/>
    <w:rsid w:val="001C0077"/>
    <w:rsid w:val="001C04B9"/>
    <w:rsid w:val="001C079C"/>
    <w:rsid w:val="001C09C0"/>
    <w:rsid w:val="001C1000"/>
    <w:rsid w:val="001C135B"/>
    <w:rsid w:val="001C15F6"/>
    <w:rsid w:val="001C1626"/>
    <w:rsid w:val="001C16DD"/>
    <w:rsid w:val="001C1C09"/>
    <w:rsid w:val="001C20E9"/>
    <w:rsid w:val="001C2427"/>
    <w:rsid w:val="001C27A8"/>
    <w:rsid w:val="001C2AD8"/>
    <w:rsid w:val="001C2BC0"/>
    <w:rsid w:val="001C2DC5"/>
    <w:rsid w:val="001C2E99"/>
    <w:rsid w:val="001C2F3B"/>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C1"/>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D7CCB"/>
    <w:rsid w:val="001E026B"/>
    <w:rsid w:val="001E07B7"/>
    <w:rsid w:val="001E0816"/>
    <w:rsid w:val="001E092E"/>
    <w:rsid w:val="001E09C0"/>
    <w:rsid w:val="001E0E77"/>
    <w:rsid w:val="001E1074"/>
    <w:rsid w:val="001E1257"/>
    <w:rsid w:val="001E1F58"/>
    <w:rsid w:val="001E20B9"/>
    <w:rsid w:val="001E230A"/>
    <w:rsid w:val="001E2814"/>
    <w:rsid w:val="001E2AA7"/>
    <w:rsid w:val="001E2ECB"/>
    <w:rsid w:val="001E31B7"/>
    <w:rsid w:val="001E3600"/>
    <w:rsid w:val="001E3A04"/>
    <w:rsid w:val="001E3F88"/>
    <w:rsid w:val="001E47B2"/>
    <w:rsid w:val="001E4E95"/>
    <w:rsid w:val="001E51C0"/>
    <w:rsid w:val="001E5C5B"/>
    <w:rsid w:val="001E5EC3"/>
    <w:rsid w:val="001E6005"/>
    <w:rsid w:val="001E6791"/>
    <w:rsid w:val="001E6A09"/>
    <w:rsid w:val="001E7948"/>
    <w:rsid w:val="001E7BE0"/>
    <w:rsid w:val="001F040A"/>
    <w:rsid w:val="001F0600"/>
    <w:rsid w:val="001F0927"/>
    <w:rsid w:val="001F0C2F"/>
    <w:rsid w:val="001F0EEB"/>
    <w:rsid w:val="001F11A2"/>
    <w:rsid w:val="001F1985"/>
    <w:rsid w:val="001F1DE5"/>
    <w:rsid w:val="001F2233"/>
    <w:rsid w:val="001F250F"/>
    <w:rsid w:val="001F2711"/>
    <w:rsid w:val="001F2919"/>
    <w:rsid w:val="001F3239"/>
    <w:rsid w:val="001F3557"/>
    <w:rsid w:val="001F36DC"/>
    <w:rsid w:val="001F3929"/>
    <w:rsid w:val="001F3A46"/>
    <w:rsid w:val="001F496E"/>
    <w:rsid w:val="001F4B41"/>
    <w:rsid w:val="001F547C"/>
    <w:rsid w:val="001F5645"/>
    <w:rsid w:val="001F5A61"/>
    <w:rsid w:val="001F5BFE"/>
    <w:rsid w:val="001F5CE3"/>
    <w:rsid w:val="001F5FB6"/>
    <w:rsid w:val="001F6EC5"/>
    <w:rsid w:val="001F7125"/>
    <w:rsid w:val="001F71EF"/>
    <w:rsid w:val="001F7245"/>
    <w:rsid w:val="001F7758"/>
    <w:rsid w:val="001F7AB8"/>
    <w:rsid w:val="001F7C41"/>
    <w:rsid w:val="001F7CFA"/>
    <w:rsid w:val="0020046A"/>
    <w:rsid w:val="0020071C"/>
    <w:rsid w:val="00200743"/>
    <w:rsid w:val="002009DF"/>
    <w:rsid w:val="00200ABF"/>
    <w:rsid w:val="00200CAE"/>
    <w:rsid w:val="002010BD"/>
    <w:rsid w:val="002010FA"/>
    <w:rsid w:val="002013A7"/>
    <w:rsid w:val="00201487"/>
    <w:rsid w:val="002014F1"/>
    <w:rsid w:val="00201A5C"/>
    <w:rsid w:val="00201AE1"/>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07D8E"/>
    <w:rsid w:val="002108CD"/>
    <w:rsid w:val="00210C97"/>
    <w:rsid w:val="002110B7"/>
    <w:rsid w:val="002115B8"/>
    <w:rsid w:val="00211714"/>
    <w:rsid w:val="00211816"/>
    <w:rsid w:val="00212287"/>
    <w:rsid w:val="0021276D"/>
    <w:rsid w:val="00212948"/>
    <w:rsid w:val="00212CEB"/>
    <w:rsid w:val="002146E6"/>
    <w:rsid w:val="00214AE3"/>
    <w:rsid w:val="00214BC8"/>
    <w:rsid w:val="00214C3C"/>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801"/>
    <w:rsid w:val="00225A89"/>
    <w:rsid w:val="00225C73"/>
    <w:rsid w:val="00225F49"/>
    <w:rsid w:val="00225F7B"/>
    <w:rsid w:val="00226287"/>
    <w:rsid w:val="0022650C"/>
    <w:rsid w:val="00226677"/>
    <w:rsid w:val="00226B2D"/>
    <w:rsid w:val="00226D72"/>
    <w:rsid w:val="00226F8D"/>
    <w:rsid w:val="002276D7"/>
    <w:rsid w:val="00230A50"/>
    <w:rsid w:val="0023109F"/>
    <w:rsid w:val="0023158A"/>
    <w:rsid w:val="002315A0"/>
    <w:rsid w:val="00231A92"/>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8FD"/>
    <w:rsid w:val="00240A45"/>
    <w:rsid w:val="00240F0D"/>
    <w:rsid w:val="00241331"/>
    <w:rsid w:val="0024155B"/>
    <w:rsid w:val="00241A1A"/>
    <w:rsid w:val="00241FF4"/>
    <w:rsid w:val="00242305"/>
    <w:rsid w:val="002424B6"/>
    <w:rsid w:val="00242559"/>
    <w:rsid w:val="002425C8"/>
    <w:rsid w:val="00242E95"/>
    <w:rsid w:val="00242F4C"/>
    <w:rsid w:val="00243178"/>
    <w:rsid w:val="0024327B"/>
    <w:rsid w:val="002441E1"/>
    <w:rsid w:val="00244322"/>
    <w:rsid w:val="002443E6"/>
    <w:rsid w:val="00244C30"/>
    <w:rsid w:val="00244EF4"/>
    <w:rsid w:val="00245235"/>
    <w:rsid w:val="00245BEE"/>
    <w:rsid w:val="00246037"/>
    <w:rsid w:val="002463FB"/>
    <w:rsid w:val="002465DF"/>
    <w:rsid w:val="00246D18"/>
    <w:rsid w:val="00247682"/>
    <w:rsid w:val="00247C81"/>
    <w:rsid w:val="002505AF"/>
    <w:rsid w:val="00250A5B"/>
    <w:rsid w:val="00250F32"/>
    <w:rsid w:val="002514B7"/>
    <w:rsid w:val="00251C86"/>
    <w:rsid w:val="002522A7"/>
    <w:rsid w:val="00253E1D"/>
    <w:rsid w:val="00254197"/>
    <w:rsid w:val="00254C39"/>
    <w:rsid w:val="002553FD"/>
    <w:rsid w:val="00255A65"/>
    <w:rsid w:val="00255C69"/>
    <w:rsid w:val="00255FFF"/>
    <w:rsid w:val="00256C01"/>
    <w:rsid w:val="00257617"/>
    <w:rsid w:val="00260115"/>
    <w:rsid w:val="00261CB0"/>
    <w:rsid w:val="00261CC9"/>
    <w:rsid w:val="00262480"/>
    <w:rsid w:val="00262C5C"/>
    <w:rsid w:val="0026312E"/>
    <w:rsid w:val="00263BAF"/>
    <w:rsid w:val="00263D50"/>
    <w:rsid w:val="0026416A"/>
    <w:rsid w:val="00264EE2"/>
    <w:rsid w:val="00265262"/>
    <w:rsid w:val="002653A6"/>
    <w:rsid w:val="00265533"/>
    <w:rsid w:val="0026654A"/>
    <w:rsid w:val="00266634"/>
    <w:rsid w:val="0026673B"/>
    <w:rsid w:val="00266D8E"/>
    <w:rsid w:val="0026738B"/>
    <w:rsid w:val="0026780E"/>
    <w:rsid w:val="00267B50"/>
    <w:rsid w:val="00267BA7"/>
    <w:rsid w:val="00270256"/>
    <w:rsid w:val="00270654"/>
    <w:rsid w:val="00270A11"/>
    <w:rsid w:val="00270B4B"/>
    <w:rsid w:val="00270BE4"/>
    <w:rsid w:val="00270CA8"/>
    <w:rsid w:val="00270D77"/>
    <w:rsid w:val="00271468"/>
    <w:rsid w:val="00271BCD"/>
    <w:rsid w:val="00271C71"/>
    <w:rsid w:val="00272178"/>
    <w:rsid w:val="0027248B"/>
    <w:rsid w:val="00272A33"/>
    <w:rsid w:val="00272CDF"/>
    <w:rsid w:val="002730EE"/>
    <w:rsid w:val="002735EA"/>
    <w:rsid w:val="002737BA"/>
    <w:rsid w:val="00273BE1"/>
    <w:rsid w:val="002743C5"/>
    <w:rsid w:val="00274539"/>
    <w:rsid w:val="0027453F"/>
    <w:rsid w:val="00274609"/>
    <w:rsid w:val="00274E07"/>
    <w:rsid w:val="00274FEA"/>
    <w:rsid w:val="00275148"/>
    <w:rsid w:val="00275AD8"/>
    <w:rsid w:val="002763A9"/>
    <w:rsid w:val="002765E7"/>
    <w:rsid w:val="00276E36"/>
    <w:rsid w:val="00276EAD"/>
    <w:rsid w:val="002771E5"/>
    <w:rsid w:val="0027747D"/>
    <w:rsid w:val="00277898"/>
    <w:rsid w:val="00277C83"/>
    <w:rsid w:val="00277E4D"/>
    <w:rsid w:val="002811FA"/>
    <w:rsid w:val="002816D9"/>
    <w:rsid w:val="0028192E"/>
    <w:rsid w:val="00281BE2"/>
    <w:rsid w:val="0028226C"/>
    <w:rsid w:val="002828EA"/>
    <w:rsid w:val="0028321D"/>
    <w:rsid w:val="00283602"/>
    <w:rsid w:val="002840B0"/>
    <w:rsid w:val="0028461B"/>
    <w:rsid w:val="00284B23"/>
    <w:rsid w:val="00284B9F"/>
    <w:rsid w:val="00284F0F"/>
    <w:rsid w:val="00285181"/>
    <w:rsid w:val="00285212"/>
    <w:rsid w:val="0028526E"/>
    <w:rsid w:val="00286943"/>
    <w:rsid w:val="00286F1A"/>
    <w:rsid w:val="002873CA"/>
    <w:rsid w:val="00287A19"/>
    <w:rsid w:val="00287D46"/>
    <w:rsid w:val="002900A1"/>
    <w:rsid w:val="00290858"/>
    <w:rsid w:val="00290B4A"/>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97AC4"/>
    <w:rsid w:val="002A02CE"/>
    <w:rsid w:val="002A0DD4"/>
    <w:rsid w:val="002A10B1"/>
    <w:rsid w:val="002A127B"/>
    <w:rsid w:val="002A1693"/>
    <w:rsid w:val="002A189C"/>
    <w:rsid w:val="002A1950"/>
    <w:rsid w:val="002A1A1A"/>
    <w:rsid w:val="002A2805"/>
    <w:rsid w:val="002A2D84"/>
    <w:rsid w:val="002A321E"/>
    <w:rsid w:val="002A3751"/>
    <w:rsid w:val="002A39B6"/>
    <w:rsid w:val="002A4126"/>
    <w:rsid w:val="002A49D8"/>
    <w:rsid w:val="002A5486"/>
    <w:rsid w:val="002A5510"/>
    <w:rsid w:val="002A5949"/>
    <w:rsid w:val="002A5D9B"/>
    <w:rsid w:val="002A6104"/>
    <w:rsid w:val="002A6819"/>
    <w:rsid w:val="002A6BB4"/>
    <w:rsid w:val="002A6EFA"/>
    <w:rsid w:val="002A7120"/>
    <w:rsid w:val="002A73EE"/>
    <w:rsid w:val="002A7CBA"/>
    <w:rsid w:val="002B02A8"/>
    <w:rsid w:val="002B0C59"/>
    <w:rsid w:val="002B0F91"/>
    <w:rsid w:val="002B1008"/>
    <w:rsid w:val="002B11B2"/>
    <w:rsid w:val="002B11EF"/>
    <w:rsid w:val="002B185E"/>
    <w:rsid w:val="002B19A8"/>
    <w:rsid w:val="002B1B86"/>
    <w:rsid w:val="002B205E"/>
    <w:rsid w:val="002B22DC"/>
    <w:rsid w:val="002B242C"/>
    <w:rsid w:val="002B2607"/>
    <w:rsid w:val="002B2F63"/>
    <w:rsid w:val="002B3786"/>
    <w:rsid w:val="002B3816"/>
    <w:rsid w:val="002B4284"/>
    <w:rsid w:val="002B4DA9"/>
    <w:rsid w:val="002B4E24"/>
    <w:rsid w:val="002B50DF"/>
    <w:rsid w:val="002B56B5"/>
    <w:rsid w:val="002B5E62"/>
    <w:rsid w:val="002B60CB"/>
    <w:rsid w:val="002B684F"/>
    <w:rsid w:val="002B6C5B"/>
    <w:rsid w:val="002B7229"/>
    <w:rsid w:val="002B740B"/>
    <w:rsid w:val="002B7506"/>
    <w:rsid w:val="002B794A"/>
    <w:rsid w:val="002C0BD6"/>
    <w:rsid w:val="002C0C1B"/>
    <w:rsid w:val="002C0FA6"/>
    <w:rsid w:val="002C1386"/>
    <w:rsid w:val="002C22C8"/>
    <w:rsid w:val="002C24D6"/>
    <w:rsid w:val="002C26CE"/>
    <w:rsid w:val="002C2B09"/>
    <w:rsid w:val="002C2DF8"/>
    <w:rsid w:val="002C3239"/>
    <w:rsid w:val="002C3946"/>
    <w:rsid w:val="002C4505"/>
    <w:rsid w:val="002C48BA"/>
    <w:rsid w:val="002C5248"/>
    <w:rsid w:val="002C52DB"/>
    <w:rsid w:val="002C5D1A"/>
    <w:rsid w:val="002C65A9"/>
    <w:rsid w:val="002C7CDA"/>
    <w:rsid w:val="002D00B3"/>
    <w:rsid w:val="002D01B5"/>
    <w:rsid w:val="002D0AD1"/>
    <w:rsid w:val="002D12A4"/>
    <w:rsid w:val="002D146B"/>
    <w:rsid w:val="002D16DE"/>
    <w:rsid w:val="002D18A7"/>
    <w:rsid w:val="002D2248"/>
    <w:rsid w:val="002D22D9"/>
    <w:rsid w:val="002D22ED"/>
    <w:rsid w:val="002D2441"/>
    <w:rsid w:val="002D2F44"/>
    <w:rsid w:val="002D3C00"/>
    <w:rsid w:val="002D3DDF"/>
    <w:rsid w:val="002D4201"/>
    <w:rsid w:val="002D4AB1"/>
    <w:rsid w:val="002D5815"/>
    <w:rsid w:val="002D5842"/>
    <w:rsid w:val="002D5C66"/>
    <w:rsid w:val="002D5D3A"/>
    <w:rsid w:val="002D5FEE"/>
    <w:rsid w:val="002D5FF5"/>
    <w:rsid w:val="002D60AC"/>
    <w:rsid w:val="002D6233"/>
    <w:rsid w:val="002D758E"/>
    <w:rsid w:val="002D7B9E"/>
    <w:rsid w:val="002D7ECD"/>
    <w:rsid w:val="002D7F3D"/>
    <w:rsid w:val="002E0537"/>
    <w:rsid w:val="002E0607"/>
    <w:rsid w:val="002E0D11"/>
    <w:rsid w:val="002E1856"/>
    <w:rsid w:val="002E18AF"/>
    <w:rsid w:val="002E1E17"/>
    <w:rsid w:val="002E1FC1"/>
    <w:rsid w:val="002E1FDB"/>
    <w:rsid w:val="002E2097"/>
    <w:rsid w:val="002E217D"/>
    <w:rsid w:val="002E21D6"/>
    <w:rsid w:val="002E2443"/>
    <w:rsid w:val="002E299A"/>
    <w:rsid w:val="002E3077"/>
    <w:rsid w:val="002E3412"/>
    <w:rsid w:val="002E3934"/>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6B56"/>
    <w:rsid w:val="002E7021"/>
    <w:rsid w:val="002E71DD"/>
    <w:rsid w:val="002E7780"/>
    <w:rsid w:val="002E790A"/>
    <w:rsid w:val="002E7B7E"/>
    <w:rsid w:val="002F0A16"/>
    <w:rsid w:val="002F0A23"/>
    <w:rsid w:val="002F0E84"/>
    <w:rsid w:val="002F1393"/>
    <w:rsid w:val="002F16D4"/>
    <w:rsid w:val="002F1DB7"/>
    <w:rsid w:val="002F1E5A"/>
    <w:rsid w:val="002F2280"/>
    <w:rsid w:val="002F22F9"/>
    <w:rsid w:val="002F26B6"/>
    <w:rsid w:val="002F31B0"/>
    <w:rsid w:val="002F31EB"/>
    <w:rsid w:val="002F327E"/>
    <w:rsid w:val="002F36E5"/>
    <w:rsid w:val="002F38EC"/>
    <w:rsid w:val="002F3904"/>
    <w:rsid w:val="002F4196"/>
    <w:rsid w:val="002F4EB1"/>
    <w:rsid w:val="002F50CB"/>
    <w:rsid w:val="002F50EA"/>
    <w:rsid w:val="002F60D6"/>
    <w:rsid w:val="002F60DE"/>
    <w:rsid w:val="002F6375"/>
    <w:rsid w:val="002F6B13"/>
    <w:rsid w:val="002F73A6"/>
    <w:rsid w:val="002F790B"/>
    <w:rsid w:val="002F7AE1"/>
    <w:rsid w:val="00300389"/>
    <w:rsid w:val="0030053E"/>
    <w:rsid w:val="003005EC"/>
    <w:rsid w:val="00300F90"/>
    <w:rsid w:val="00300FA9"/>
    <w:rsid w:val="00301493"/>
    <w:rsid w:val="00301D9E"/>
    <w:rsid w:val="00302637"/>
    <w:rsid w:val="00302BBD"/>
    <w:rsid w:val="00302F65"/>
    <w:rsid w:val="00303009"/>
    <w:rsid w:val="0030344F"/>
    <w:rsid w:val="00303AFB"/>
    <w:rsid w:val="00303DF0"/>
    <w:rsid w:val="00304004"/>
    <w:rsid w:val="003042C3"/>
    <w:rsid w:val="0030495F"/>
    <w:rsid w:val="00304DC2"/>
    <w:rsid w:val="00304E7F"/>
    <w:rsid w:val="00305329"/>
    <w:rsid w:val="0030561C"/>
    <w:rsid w:val="00306294"/>
    <w:rsid w:val="003065B4"/>
    <w:rsid w:val="0030690D"/>
    <w:rsid w:val="00306D57"/>
    <w:rsid w:val="0030727E"/>
    <w:rsid w:val="0030750D"/>
    <w:rsid w:val="00307D3B"/>
    <w:rsid w:val="003101B2"/>
    <w:rsid w:val="00310395"/>
    <w:rsid w:val="003103B5"/>
    <w:rsid w:val="003105DF"/>
    <w:rsid w:val="00310D48"/>
    <w:rsid w:val="00311518"/>
    <w:rsid w:val="00311816"/>
    <w:rsid w:val="00311AF2"/>
    <w:rsid w:val="00311D04"/>
    <w:rsid w:val="00312295"/>
    <w:rsid w:val="00312894"/>
    <w:rsid w:val="00312FA7"/>
    <w:rsid w:val="003134E7"/>
    <w:rsid w:val="00313EFE"/>
    <w:rsid w:val="003141C1"/>
    <w:rsid w:val="00314B7A"/>
    <w:rsid w:val="0031516C"/>
    <w:rsid w:val="003152F1"/>
    <w:rsid w:val="00315457"/>
    <w:rsid w:val="0031567D"/>
    <w:rsid w:val="0031583B"/>
    <w:rsid w:val="00315E50"/>
    <w:rsid w:val="00315E93"/>
    <w:rsid w:val="00315ED7"/>
    <w:rsid w:val="003167BB"/>
    <w:rsid w:val="00316A04"/>
    <w:rsid w:val="00316E83"/>
    <w:rsid w:val="003171BF"/>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58A5"/>
    <w:rsid w:val="003260D3"/>
    <w:rsid w:val="0032615E"/>
    <w:rsid w:val="003270A4"/>
    <w:rsid w:val="0032744D"/>
    <w:rsid w:val="003275EA"/>
    <w:rsid w:val="003276B7"/>
    <w:rsid w:val="00327902"/>
    <w:rsid w:val="00327A7B"/>
    <w:rsid w:val="00327DD2"/>
    <w:rsid w:val="003301C6"/>
    <w:rsid w:val="0033023E"/>
    <w:rsid w:val="00330F4B"/>
    <w:rsid w:val="00331965"/>
    <w:rsid w:val="00331991"/>
    <w:rsid w:val="00331C0C"/>
    <w:rsid w:val="0033217A"/>
    <w:rsid w:val="003326A2"/>
    <w:rsid w:val="00333029"/>
    <w:rsid w:val="00333313"/>
    <w:rsid w:val="00333425"/>
    <w:rsid w:val="00333D02"/>
    <w:rsid w:val="00333F64"/>
    <w:rsid w:val="00333F86"/>
    <w:rsid w:val="00334208"/>
    <w:rsid w:val="003348F7"/>
    <w:rsid w:val="00334A9F"/>
    <w:rsid w:val="00334AC3"/>
    <w:rsid w:val="00334EA3"/>
    <w:rsid w:val="00334F56"/>
    <w:rsid w:val="00335664"/>
    <w:rsid w:val="0033744F"/>
    <w:rsid w:val="00337DEE"/>
    <w:rsid w:val="00340030"/>
    <w:rsid w:val="003403D6"/>
    <w:rsid w:val="00340BA5"/>
    <w:rsid w:val="00340EA6"/>
    <w:rsid w:val="00340F4E"/>
    <w:rsid w:val="00341A11"/>
    <w:rsid w:val="003422B1"/>
    <w:rsid w:val="003428C7"/>
    <w:rsid w:val="00342C47"/>
    <w:rsid w:val="00342D3B"/>
    <w:rsid w:val="00342ECE"/>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C19"/>
    <w:rsid w:val="00346E65"/>
    <w:rsid w:val="00347183"/>
    <w:rsid w:val="00347226"/>
    <w:rsid w:val="003472F4"/>
    <w:rsid w:val="003476A3"/>
    <w:rsid w:val="003501E1"/>
    <w:rsid w:val="00350DFF"/>
    <w:rsid w:val="003510CB"/>
    <w:rsid w:val="003516B4"/>
    <w:rsid w:val="00351957"/>
    <w:rsid w:val="0035224C"/>
    <w:rsid w:val="00352CCF"/>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351"/>
    <w:rsid w:val="0036291D"/>
    <w:rsid w:val="003629C1"/>
    <w:rsid w:val="00362D5F"/>
    <w:rsid w:val="0036316E"/>
    <w:rsid w:val="003634B5"/>
    <w:rsid w:val="00363AD1"/>
    <w:rsid w:val="00363B9C"/>
    <w:rsid w:val="00363FA7"/>
    <w:rsid w:val="00363FDD"/>
    <w:rsid w:val="00364B98"/>
    <w:rsid w:val="00364E21"/>
    <w:rsid w:val="003654AA"/>
    <w:rsid w:val="0036578F"/>
    <w:rsid w:val="00365832"/>
    <w:rsid w:val="00365884"/>
    <w:rsid w:val="00365ED7"/>
    <w:rsid w:val="0036646F"/>
    <w:rsid w:val="00366537"/>
    <w:rsid w:val="0036672A"/>
    <w:rsid w:val="00366A79"/>
    <w:rsid w:val="00366B26"/>
    <w:rsid w:val="00366C14"/>
    <w:rsid w:val="003670A8"/>
    <w:rsid w:val="0037023F"/>
    <w:rsid w:val="00370AAE"/>
    <w:rsid w:val="00370B73"/>
    <w:rsid w:val="00370BE0"/>
    <w:rsid w:val="00370BEC"/>
    <w:rsid w:val="00370DD1"/>
    <w:rsid w:val="003710D5"/>
    <w:rsid w:val="003710F0"/>
    <w:rsid w:val="00371676"/>
    <w:rsid w:val="003719B6"/>
    <w:rsid w:val="0037280F"/>
    <w:rsid w:val="00372B3B"/>
    <w:rsid w:val="00372BED"/>
    <w:rsid w:val="00372D11"/>
    <w:rsid w:val="003730D4"/>
    <w:rsid w:val="003730FD"/>
    <w:rsid w:val="00373277"/>
    <w:rsid w:val="0037340E"/>
    <w:rsid w:val="00373795"/>
    <w:rsid w:val="00373951"/>
    <w:rsid w:val="00373C4D"/>
    <w:rsid w:val="0037472D"/>
    <w:rsid w:val="0037504C"/>
    <w:rsid w:val="003752AA"/>
    <w:rsid w:val="00375EFB"/>
    <w:rsid w:val="003762EF"/>
    <w:rsid w:val="0037632C"/>
    <w:rsid w:val="0037639A"/>
    <w:rsid w:val="003768BE"/>
    <w:rsid w:val="00376990"/>
    <w:rsid w:val="00376ADE"/>
    <w:rsid w:val="00376B40"/>
    <w:rsid w:val="00376C40"/>
    <w:rsid w:val="00376D7C"/>
    <w:rsid w:val="00377184"/>
    <w:rsid w:val="003775F3"/>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3EE6"/>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68A"/>
    <w:rsid w:val="00394AE4"/>
    <w:rsid w:val="00395943"/>
    <w:rsid w:val="003959C0"/>
    <w:rsid w:val="00395B35"/>
    <w:rsid w:val="00395F93"/>
    <w:rsid w:val="00395FEA"/>
    <w:rsid w:val="00396048"/>
    <w:rsid w:val="0039622B"/>
    <w:rsid w:val="00397335"/>
    <w:rsid w:val="003973BF"/>
    <w:rsid w:val="003976AA"/>
    <w:rsid w:val="003978D5"/>
    <w:rsid w:val="003A047B"/>
    <w:rsid w:val="003A06FE"/>
    <w:rsid w:val="003A0F92"/>
    <w:rsid w:val="003A11DE"/>
    <w:rsid w:val="003A1367"/>
    <w:rsid w:val="003A22E7"/>
    <w:rsid w:val="003A2876"/>
    <w:rsid w:val="003A2F18"/>
    <w:rsid w:val="003A30A5"/>
    <w:rsid w:val="003A3176"/>
    <w:rsid w:val="003A39AF"/>
    <w:rsid w:val="003A39BB"/>
    <w:rsid w:val="003A3C97"/>
    <w:rsid w:val="003A5546"/>
    <w:rsid w:val="003A5B12"/>
    <w:rsid w:val="003A5E15"/>
    <w:rsid w:val="003A5FC9"/>
    <w:rsid w:val="003A6A29"/>
    <w:rsid w:val="003A6B9D"/>
    <w:rsid w:val="003A71C8"/>
    <w:rsid w:val="003A7CDE"/>
    <w:rsid w:val="003A7DA5"/>
    <w:rsid w:val="003B0605"/>
    <w:rsid w:val="003B06AE"/>
    <w:rsid w:val="003B0C0D"/>
    <w:rsid w:val="003B10D4"/>
    <w:rsid w:val="003B2CC2"/>
    <w:rsid w:val="003B3014"/>
    <w:rsid w:val="003B3A07"/>
    <w:rsid w:val="003B3B81"/>
    <w:rsid w:val="003B41BD"/>
    <w:rsid w:val="003B4265"/>
    <w:rsid w:val="003B450E"/>
    <w:rsid w:val="003B4594"/>
    <w:rsid w:val="003B45C2"/>
    <w:rsid w:val="003B4B62"/>
    <w:rsid w:val="003B4DE1"/>
    <w:rsid w:val="003B4E67"/>
    <w:rsid w:val="003B4EC2"/>
    <w:rsid w:val="003B55CC"/>
    <w:rsid w:val="003B569E"/>
    <w:rsid w:val="003B5762"/>
    <w:rsid w:val="003B587D"/>
    <w:rsid w:val="003B5D07"/>
    <w:rsid w:val="003B5EC1"/>
    <w:rsid w:val="003B6152"/>
    <w:rsid w:val="003B6321"/>
    <w:rsid w:val="003B6369"/>
    <w:rsid w:val="003B6B30"/>
    <w:rsid w:val="003B6BBD"/>
    <w:rsid w:val="003B6F38"/>
    <w:rsid w:val="003B7055"/>
    <w:rsid w:val="003B709D"/>
    <w:rsid w:val="003B71C0"/>
    <w:rsid w:val="003B7461"/>
    <w:rsid w:val="003B74AC"/>
    <w:rsid w:val="003C0013"/>
    <w:rsid w:val="003C032B"/>
    <w:rsid w:val="003C0556"/>
    <w:rsid w:val="003C0A39"/>
    <w:rsid w:val="003C0C12"/>
    <w:rsid w:val="003C0F90"/>
    <w:rsid w:val="003C13B2"/>
    <w:rsid w:val="003C154B"/>
    <w:rsid w:val="003C1764"/>
    <w:rsid w:val="003C1FCA"/>
    <w:rsid w:val="003C2CD9"/>
    <w:rsid w:val="003C2F2D"/>
    <w:rsid w:val="003C2F3B"/>
    <w:rsid w:val="003C362A"/>
    <w:rsid w:val="003C38E1"/>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37C"/>
    <w:rsid w:val="003D5413"/>
    <w:rsid w:val="003D5743"/>
    <w:rsid w:val="003D5A05"/>
    <w:rsid w:val="003D6202"/>
    <w:rsid w:val="003D6321"/>
    <w:rsid w:val="003D77A8"/>
    <w:rsid w:val="003D78E3"/>
    <w:rsid w:val="003E02B8"/>
    <w:rsid w:val="003E09A8"/>
    <w:rsid w:val="003E17D0"/>
    <w:rsid w:val="003E1A63"/>
    <w:rsid w:val="003E1B04"/>
    <w:rsid w:val="003E2091"/>
    <w:rsid w:val="003E270D"/>
    <w:rsid w:val="003E2CA0"/>
    <w:rsid w:val="003E40E8"/>
    <w:rsid w:val="003E439E"/>
    <w:rsid w:val="003E44D3"/>
    <w:rsid w:val="003E51F7"/>
    <w:rsid w:val="003E5BA2"/>
    <w:rsid w:val="003E5EE7"/>
    <w:rsid w:val="003E6825"/>
    <w:rsid w:val="003E7062"/>
    <w:rsid w:val="003E71D5"/>
    <w:rsid w:val="003E74D9"/>
    <w:rsid w:val="003E76A1"/>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261"/>
    <w:rsid w:val="003F3B95"/>
    <w:rsid w:val="003F3E13"/>
    <w:rsid w:val="003F4159"/>
    <w:rsid w:val="003F423F"/>
    <w:rsid w:val="003F4FE2"/>
    <w:rsid w:val="003F5B8F"/>
    <w:rsid w:val="003F5BFF"/>
    <w:rsid w:val="003F5C0B"/>
    <w:rsid w:val="003F5F6A"/>
    <w:rsid w:val="003F5F7F"/>
    <w:rsid w:val="003F6326"/>
    <w:rsid w:val="003F6BF4"/>
    <w:rsid w:val="003F6EBA"/>
    <w:rsid w:val="003F75ED"/>
    <w:rsid w:val="00400038"/>
    <w:rsid w:val="004001C1"/>
    <w:rsid w:val="004001D1"/>
    <w:rsid w:val="004008B8"/>
    <w:rsid w:val="00400F5D"/>
    <w:rsid w:val="0040106A"/>
    <w:rsid w:val="00401325"/>
    <w:rsid w:val="0040224B"/>
    <w:rsid w:val="00402475"/>
    <w:rsid w:val="00402561"/>
    <w:rsid w:val="0040279D"/>
    <w:rsid w:val="00402889"/>
    <w:rsid w:val="0040293C"/>
    <w:rsid w:val="00402AE6"/>
    <w:rsid w:val="0040343B"/>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77A"/>
    <w:rsid w:val="004159E7"/>
    <w:rsid w:val="00415F20"/>
    <w:rsid w:val="00416292"/>
    <w:rsid w:val="00416782"/>
    <w:rsid w:val="00416791"/>
    <w:rsid w:val="004167B8"/>
    <w:rsid w:val="00416956"/>
    <w:rsid w:val="00416D3D"/>
    <w:rsid w:val="0041708B"/>
    <w:rsid w:val="00417259"/>
    <w:rsid w:val="004176FF"/>
    <w:rsid w:val="00417ACE"/>
    <w:rsid w:val="00417C3A"/>
    <w:rsid w:val="00417F5D"/>
    <w:rsid w:val="0042024A"/>
    <w:rsid w:val="00420F3C"/>
    <w:rsid w:val="004212A3"/>
    <w:rsid w:val="00421677"/>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BAA"/>
    <w:rsid w:val="00426EB6"/>
    <w:rsid w:val="00427340"/>
    <w:rsid w:val="004274D8"/>
    <w:rsid w:val="00427EF8"/>
    <w:rsid w:val="00430102"/>
    <w:rsid w:val="00430454"/>
    <w:rsid w:val="0043059F"/>
    <w:rsid w:val="0043069A"/>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0A9"/>
    <w:rsid w:val="004451C8"/>
    <w:rsid w:val="004452B5"/>
    <w:rsid w:val="00445896"/>
    <w:rsid w:val="00445DCA"/>
    <w:rsid w:val="00446A33"/>
    <w:rsid w:val="00446C5E"/>
    <w:rsid w:val="00446E95"/>
    <w:rsid w:val="00446F0D"/>
    <w:rsid w:val="0044753D"/>
    <w:rsid w:val="00447E6A"/>
    <w:rsid w:val="00450407"/>
    <w:rsid w:val="00451AE6"/>
    <w:rsid w:val="00451E02"/>
    <w:rsid w:val="004520A4"/>
    <w:rsid w:val="004524CB"/>
    <w:rsid w:val="00452FD5"/>
    <w:rsid w:val="00453C28"/>
    <w:rsid w:val="00454330"/>
    <w:rsid w:val="00454730"/>
    <w:rsid w:val="004547EA"/>
    <w:rsid w:val="00454FC2"/>
    <w:rsid w:val="00455565"/>
    <w:rsid w:val="00455D3E"/>
    <w:rsid w:val="00455FC6"/>
    <w:rsid w:val="0045629C"/>
    <w:rsid w:val="00456B62"/>
    <w:rsid w:val="0045707D"/>
    <w:rsid w:val="0045731D"/>
    <w:rsid w:val="0045773F"/>
    <w:rsid w:val="00457CF0"/>
    <w:rsid w:val="004609D2"/>
    <w:rsid w:val="00460D02"/>
    <w:rsid w:val="00460E75"/>
    <w:rsid w:val="0046174B"/>
    <w:rsid w:val="00461D38"/>
    <w:rsid w:val="0046216B"/>
    <w:rsid w:val="00462783"/>
    <w:rsid w:val="004627E5"/>
    <w:rsid w:val="00462EE0"/>
    <w:rsid w:val="0046385D"/>
    <w:rsid w:val="00463C74"/>
    <w:rsid w:val="0046492E"/>
    <w:rsid w:val="00464ED1"/>
    <w:rsid w:val="004650A6"/>
    <w:rsid w:val="00465622"/>
    <w:rsid w:val="00465AB1"/>
    <w:rsid w:val="00465C40"/>
    <w:rsid w:val="00465D4A"/>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3E21"/>
    <w:rsid w:val="0047439F"/>
    <w:rsid w:val="00474A2D"/>
    <w:rsid w:val="00475023"/>
    <w:rsid w:val="00475BF4"/>
    <w:rsid w:val="00475E68"/>
    <w:rsid w:val="00476266"/>
    <w:rsid w:val="00476F06"/>
    <w:rsid w:val="0047703D"/>
    <w:rsid w:val="004770F3"/>
    <w:rsid w:val="00480031"/>
    <w:rsid w:val="00480945"/>
    <w:rsid w:val="00480A65"/>
    <w:rsid w:val="00480D24"/>
    <w:rsid w:val="00481359"/>
    <w:rsid w:val="004816FE"/>
    <w:rsid w:val="00481932"/>
    <w:rsid w:val="00482073"/>
    <w:rsid w:val="0048230C"/>
    <w:rsid w:val="0048264B"/>
    <w:rsid w:val="004835C9"/>
    <w:rsid w:val="00483690"/>
    <w:rsid w:val="00483D7A"/>
    <w:rsid w:val="00484194"/>
    <w:rsid w:val="0048452C"/>
    <w:rsid w:val="00484912"/>
    <w:rsid w:val="004849B4"/>
    <w:rsid w:val="00484A41"/>
    <w:rsid w:val="00484AFF"/>
    <w:rsid w:val="00484C5B"/>
    <w:rsid w:val="00484DBE"/>
    <w:rsid w:val="004851A1"/>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98D"/>
    <w:rsid w:val="00491A64"/>
    <w:rsid w:val="004921A1"/>
    <w:rsid w:val="0049248D"/>
    <w:rsid w:val="0049250B"/>
    <w:rsid w:val="00492795"/>
    <w:rsid w:val="0049297F"/>
    <w:rsid w:val="00492ECB"/>
    <w:rsid w:val="00492F00"/>
    <w:rsid w:val="0049306E"/>
    <w:rsid w:val="00493278"/>
    <w:rsid w:val="00493A15"/>
    <w:rsid w:val="0049454C"/>
    <w:rsid w:val="0049483E"/>
    <w:rsid w:val="00494F7C"/>
    <w:rsid w:val="00495A08"/>
    <w:rsid w:val="00495B32"/>
    <w:rsid w:val="00495EF0"/>
    <w:rsid w:val="00495FF8"/>
    <w:rsid w:val="004965BA"/>
    <w:rsid w:val="00496AAA"/>
    <w:rsid w:val="00496C86"/>
    <w:rsid w:val="00496C89"/>
    <w:rsid w:val="004973F4"/>
    <w:rsid w:val="004973F6"/>
    <w:rsid w:val="0049758A"/>
    <w:rsid w:val="004978E4"/>
    <w:rsid w:val="00497B5A"/>
    <w:rsid w:val="004A0304"/>
    <w:rsid w:val="004A0FC2"/>
    <w:rsid w:val="004A1153"/>
    <w:rsid w:val="004A119A"/>
    <w:rsid w:val="004A129E"/>
    <w:rsid w:val="004A13AF"/>
    <w:rsid w:val="004A1838"/>
    <w:rsid w:val="004A1C68"/>
    <w:rsid w:val="004A2DCB"/>
    <w:rsid w:val="004A31C2"/>
    <w:rsid w:val="004A32F5"/>
    <w:rsid w:val="004A3677"/>
    <w:rsid w:val="004A374B"/>
    <w:rsid w:val="004A3CE3"/>
    <w:rsid w:val="004A3D11"/>
    <w:rsid w:val="004A464C"/>
    <w:rsid w:val="004A4BCC"/>
    <w:rsid w:val="004A4CDA"/>
    <w:rsid w:val="004A511E"/>
    <w:rsid w:val="004A52C7"/>
    <w:rsid w:val="004A6C80"/>
    <w:rsid w:val="004A6DA8"/>
    <w:rsid w:val="004A7333"/>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329"/>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3EA"/>
    <w:rsid w:val="004C051F"/>
    <w:rsid w:val="004C05E8"/>
    <w:rsid w:val="004C069D"/>
    <w:rsid w:val="004C08C7"/>
    <w:rsid w:val="004C0BE5"/>
    <w:rsid w:val="004C1018"/>
    <w:rsid w:val="004C11E9"/>
    <w:rsid w:val="004C14C2"/>
    <w:rsid w:val="004C1536"/>
    <w:rsid w:val="004C170B"/>
    <w:rsid w:val="004C1739"/>
    <w:rsid w:val="004C196F"/>
    <w:rsid w:val="004C1DB7"/>
    <w:rsid w:val="004C1E2D"/>
    <w:rsid w:val="004C2113"/>
    <w:rsid w:val="004C2706"/>
    <w:rsid w:val="004C2A8B"/>
    <w:rsid w:val="004C3350"/>
    <w:rsid w:val="004C3AA9"/>
    <w:rsid w:val="004C3BB5"/>
    <w:rsid w:val="004C3D9B"/>
    <w:rsid w:val="004C3F6F"/>
    <w:rsid w:val="004C3F87"/>
    <w:rsid w:val="004C4853"/>
    <w:rsid w:val="004C49E5"/>
    <w:rsid w:val="004C5406"/>
    <w:rsid w:val="004C5633"/>
    <w:rsid w:val="004C622C"/>
    <w:rsid w:val="004C63A4"/>
    <w:rsid w:val="004C6682"/>
    <w:rsid w:val="004C67F5"/>
    <w:rsid w:val="004C696C"/>
    <w:rsid w:val="004C6B92"/>
    <w:rsid w:val="004C6BE8"/>
    <w:rsid w:val="004C7A46"/>
    <w:rsid w:val="004C7E53"/>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3C8C"/>
    <w:rsid w:val="004D4446"/>
    <w:rsid w:val="004D495A"/>
    <w:rsid w:val="004D4B90"/>
    <w:rsid w:val="004D4F37"/>
    <w:rsid w:val="004D5052"/>
    <w:rsid w:val="004D53B7"/>
    <w:rsid w:val="004D5D4C"/>
    <w:rsid w:val="004D5F2C"/>
    <w:rsid w:val="004D6675"/>
    <w:rsid w:val="004D6A36"/>
    <w:rsid w:val="004D6AED"/>
    <w:rsid w:val="004D6B05"/>
    <w:rsid w:val="004D6F0A"/>
    <w:rsid w:val="004D6F2A"/>
    <w:rsid w:val="004D7A4E"/>
    <w:rsid w:val="004E04B3"/>
    <w:rsid w:val="004E0805"/>
    <w:rsid w:val="004E0D61"/>
    <w:rsid w:val="004E0E4C"/>
    <w:rsid w:val="004E12B4"/>
    <w:rsid w:val="004E1400"/>
    <w:rsid w:val="004E1774"/>
    <w:rsid w:val="004E1D3E"/>
    <w:rsid w:val="004E1DE6"/>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05"/>
    <w:rsid w:val="004E5644"/>
    <w:rsid w:val="004E6D42"/>
    <w:rsid w:val="004E7230"/>
    <w:rsid w:val="004E7233"/>
    <w:rsid w:val="004E7939"/>
    <w:rsid w:val="004E7C84"/>
    <w:rsid w:val="004F1214"/>
    <w:rsid w:val="004F12DE"/>
    <w:rsid w:val="004F2B3F"/>
    <w:rsid w:val="004F2CA3"/>
    <w:rsid w:val="004F35CA"/>
    <w:rsid w:val="004F368C"/>
    <w:rsid w:val="004F3B7D"/>
    <w:rsid w:val="004F4355"/>
    <w:rsid w:val="004F5371"/>
    <w:rsid w:val="004F5C08"/>
    <w:rsid w:val="004F5EAF"/>
    <w:rsid w:val="004F6350"/>
    <w:rsid w:val="004F6B19"/>
    <w:rsid w:val="004F6E06"/>
    <w:rsid w:val="004F72A9"/>
    <w:rsid w:val="004F7641"/>
    <w:rsid w:val="004F7DE7"/>
    <w:rsid w:val="004F7F83"/>
    <w:rsid w:val="0050039C"/>
    <w:rsid w:val="00500AE7"/>
    <w:rsid w:val="00500C9F"/>
    <w:rsid w:val="005010E5"/>
    <w:rsid w:val="005014DD"/>
    <w:rsid w:val="005017E5"/>
    <w:rsid w:val="00501DFF"/>
    <w:rsid w:val="005020D9"/>
    <w:rsid w:val="005021C0"/>
    <w:rsid w:val="005022A2"/>
    <w:rsid w:val="005022E9"/>
    <w:rsid w:val="005024A1"/>
    <w:rsid w:val="00502526"/>
    <w:rsid w:val="00504A84"/>
    <w:rsid w:val="005051AF"/>
    <w:rsid w:val="00506589"/>
    <w:rsid w:val="005067CE"/>
    <w:rsid w:val="00506DC1"/>
    <w:rsid w:val="00506E8B"/>
    <w:rsid w:val="0050795F"/>
    <w:rsid w:val="00507A2D"/>
    <w:rsid w:val="00507B55"/>
    <w:rsid w:val="00507EC0"/>
    <w:rsid w:val="00510916"/>
    <w:rsid w:val="00510EA2"/>
    <w:rsid w:val="00511003"/>
    <w:rsid w:val="005114C8"/>
    <w:rsid w:val="00511595"/>
    <w:rsid w:val="00511596"/>
    <w:rsid w:val="00511BBA"/>
    <w:rsid w:val="00512BDC"/>
    <w:rsid w:val="0051346E"/>
    <w:rsid w:val="00513503"/>
    <w:rsid w:val="00513981"/>
    <w:rsid w:val="00513AD1"/>
    <w:rsid w:val="00513B12"/>
    <w:rsid w:val="00513DE2"/>
    <w:rsid w:val="00513E2B"/>
    <w:rsid w:val="00513F01"/>
    <w:rsid w:val="00513F78"/>
    <w:rsid w:val="0051417B"/>
    <w:rsid w:val="0051427D"/>
    <w:rsid w:val="0051427F"/>
    <w:rsid w:val="0051496E"/>
    <w:rsid w:val="00514A8C"/>
    <w:rsid w:val="00514C79"/>
    <w:rsid w:val="0051503C"/>
    <w:rsid w:val="005150A6"/>
    <w:rsid w:val="0051524E"/>
    <w:rsid w:val="00515635"/>
    <w:rsid w:val="00515941"/>
    <w:rsid w:val="0051679B"/>
    <w:rsid w:val="005168A2"/>
    <w:rsid w:val="005168AC"/>
    <w:rsid w:val="00517363"/>
    <w:rsid w:val="005177D9"/>
    <w:rsid w:val="00517DAE"/>
    <w:rsid w:val="00520BE1"/>
    <w:rsid w:val="00521CC4"/>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1F2"/>
    <w:rsid w:val="005346F4"/>
    <w:rsid w:val="0053496C"/>
    <w:rsid w:val="00534D3B"/>
    <w:rsid w:val="00535599"/>
    <w:rsid w:val="00535B9C"/>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59"/>
    <w:rsid w:val="005455AE"/>
    <w:rsid w:val="005459B3"/>
    <w:rsid w:val="00546517"/>
    <w:rsid w:val="00546612"/>
    <w:rsid w:val="00546630"/>
    <w:rsid w:val="00546ACE"/>
    <w:rsid w:val="005507A9"/>
    <w:rsid w:val="00550C4F"/>
    <w:rsid w:val="00550E9E"/>
    <w:rsid w:val="0055125F"/>
    <w:rsid w:val="00551788"/>
    <w:rsid w:val="00551A6A"/>
    <w:rsid w:val="00551D1A"/>
    <w:rsid w:val="00551EBC"/>
    <w:rsid w:val="0055263D"/>
    <w:rsid w:val="005533A9"/>
    <w:rsid w:val="005538C5"/>
    <w:rsid w:val="00553BFA"/>
    <w:rsid w:val="00553CA3"/>
    <w:rsid w:val="0055409C"/>
    <w:rsid w:val="00554DA8"/>
    <w:rsid w:val="0055514D"/>
    <w:rsid w:val="0055570A"/>
    <w:rsid w:val="00555763"/>
    <w:rsid w:val="00555A58"/>
    <w:rsid w:val="00555A5B"/>
    <w:rsid w:val="00555FF3"/>
    <w:rsid w:val="00556000"/>
    <w:rsid w:val="005564FB"/>
    <w:rsid w:val="0055663B"/>
    <w:rsid w:val="00556CBA"/>
    <w:rsid w:val="005572C5"/>
    <w:rsid w:val="00557583"/>
    <w:rsid w:val="005575E5"/>
    <w:rsid w:val="005577C1"/>
    <w:rsid w:val="00557967"/>
    <w:rsid w:val="0056010A"/>
    <w:rsid w:val="00560440"/>
    <w:rsid w:val="00560C7B"/>
    <w:rsid w:val="0056144C"/>
    <w:rsid w:val="0056165B"/>
    <w:rsid w:val="00561A25"/>
    <w:rsid w:val="00561A86"/>
    <w:rsid w:val="00561BD0"/>
    <w:rsid w:val="005620B6"/>
    <w:rsid w:val="0056243C"/>
    <w:rsid w:val="0056250F"/>
    <w:rsid w:val="005628DD"/>
    <w:rsid w:val="00562967"/>
    <w:rsid w:val="00562A70"/>
    <w:rsid w:val="00562B6F"/>
    <w:rsid w:val="00563797"/>
    <w:rsid w:val="005639C5"/>
    <w:rsid w:val="005641D1"/>
    <w:rsid w:val="00564FDD"/>
    <w:rsid w:val="005651A0"/>
    <w:rsid w:val="00565306"/>
    <w:rsid w:val="005654DB"/>
    <w:rsid w:val="00565766"/>
    <w:rsid w:val="00565B0D"/>
    <w:rsid w:val="00565C10"/>
    <w:rsid w:val="00565C7B"/>
    <w:rsid w:val="00565DD3"/>
    <w:rsid w:val="00566492"/>
    <w:rsid w:val="00566859"/>
    <w:rsid w:val="005668EA"/>
    <w:rsid w:val="00566E68"/>
    <w:rsid w:val="00567499"/>
    <w:rsid w:val="0056756B"/>
    <w:rsid w:val="00567634"/>
    <w:rsid w:val="005676DB"/>
    <w:rsid w:val="00567E7C"/>
    <w:rsid w:val="005702C1"/>
    <w:rsid w:val="00570449"/>
    <w:rsid w:val="00571089"/>
    <w:rsid w:val="005717F1"/>
    <w:rsid w:val="00571DF8"/>
    <w:rsid w:val="005722F7"/>
    <w:rsid w:val="005725E0"/>
    <w:rsid w:val="0057270F"/>
    <w:rsid w:val="00572722"/>
    <w:rsid w:val="00572844"/>
    <w:rsid w:val="00572C1D"/>
    <w:rsid w:val="00572D19"/>
    <w:rsid w:val="005737CE"/>
    <w:rsid w:val="005738F7"/>
    <w:rsid w:val="005746E3"/>
    <w:rsid w:val="0057491B"/>
    <w:rsid w:val="00574938"/>
    <w:rsid w:val="0057519D"/>
    <w:rsid w:val="005756E3"/>
    <w:rsid w:val="005756FE"/>
    <w:rsid w:val="00575C5C"/>
    <w:rsid w:val="00576617"/>
    <w:rsid w:val="00577A86"/>
    <w:rsid w:val="00577B51"/>
    <w:rsid w:val="00577B74"/>
    <w:rsid w:val="00577BBC"/>
    <w:rsid w:val="00577E3D"/>
    <w:rsid w:val="0058068C"/>
    <w:rsid w:val="005806A9"/>
    <w:rsid w:val="00580898"/>
    <w:rsid w:val="005809A2"/>
    <w:rsid w:val="00580E76"/>
    <w:rsid w:val="005827D5"/>
    <w:rsid w:val="0058416D"/>
    <w:rsid w:val="005841AA"/>
    <w:rsid w:val="0058445E"/>
    <w:rsid w:val="00584805"/>
    <w:rsid w:val="0058499E"/>
    <w:rsid w:val="0058515F"/>
    <w:rsid w:val="0058540D"/>
    <w:rsid w:val="0058550A"/>
    <w:rsid w:val="00585862"/>
    <w:rsid w:val="00586094"/>
    <w:rsid w:val="00586541"/>
    <w:rsid w:val="00586570"/>
    <w:rsid w:val="00586B77"/>
    <w:rsid w:val="00586D1E"/>
    <w:rsid w:val="00586F7C"/>
    <w:rsid w:val="00587447"/>
    <w:rsid w:val="005874D1"/>
    <w:rsid w:val="005875E0"/>
    <w:rsid w:val="00590029"/>
    <w:rsid w:val="005901BF"/>
    <w:rsid w:val="005906C6"/>
    <w:rsid w:val="00590884"/>
    <w:rsid w:val="005911B7"/>
    <w:rsid w:val="005911BC"/>
    <w:rsid w:val="005915DC"/>
    <w:rsid w:val="0059173F"/>
    <w:rsid w:val="0059179A"/>
    <w:rsid w:val="00591FC7"/>
    <w:rsid w:val="005923CD"/>
    <w:rsid w:val="0059254F"/>
    <w:rsid w:val="0059255B"/>
    <w:rsid w:val="0059304A"/>
    <w:rsid w:val="00593677"/>
    <w:rsid w:val="00593710"/>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0D0E"/>
    <w:rsid w:val="005A157F"/>
    <w:rsid w:val="005A18B7"/>
    <w:rsid w:val="005A21B6"/>
    <w:rsid w:val="005A2DB7"/>
    <w:rsid w:val="005A2DD4"/>
    <w:rsid w:val="005A33CF"/>
    <w:rsid w:val="005A38BC"/>
    <w:rsid w:val="005A3ACD"/>
    <w:rsid w:val="005A4761"/>
    <w:rsid w:val="005A4AAE"/>
    <w:rsid w:val="005A4CC6"/>
    <w:rsid w:val="005A5BCB"/>
    <w:rsid w:val="005A5D12"/>
    <w:rsid w:val="005A62DC"/>
    <w:rsid w:val="005A6555"/>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44ED"/>
    <w:rsid w:val="005B4A50"/>
    <w:rsid w:val="005B4C0E"/>
    <w:rsid w:val="005B5569"/>
    <w:rsid w:val="005B5BDA"/>
    <w:rsid w:val="005B5C1F"/>
    <w:rsid w:val="005B5E29"/>
    <w:rsid w:val="005B611C"/>
    <w:rsid w:val="005B66B1"/>
    <w:rsid w:val="005B6824"/>
    <w:rsid w:val="005B6931"/>
    <w:rsid w:val="005B6A6C"/>
    <w:rsid w:val="005B6DF5"/>
    <w:rsid w:val="005B7547"/>
    <w:rsid w:val="005B761C"/>
    <w:rsid w:val="005B763E"/>
    <w:rsid w:val="005B77D7"/>
    <w:rsid w:val="005B7C8D"/>
    <w:rsid w:val="005B7E72"/>
    <w:rsid w:val="005B7F65"/>
    <w:rsid w:val="005C0303"/>
    <w:rsid w:val="005C0A4A"/>
    <w:rsid w:val="005C0FC2"/>
    <w:rsid w:val="005C1539"/>
    <w:rsid w:val="005C1644"/>
    <w:rsid w:val="005C1E7D"/>
    <w:rsid w:val="005C1F01"/>
    <w:rsid w:val="005C206C"/>
    <w:rsid w:val="005C2F59"/>
    <w:rsid w:val="005C33DD"/>
    <w:rsid w:val="005C368F"/>
    <w:rsid w:val="005C3D17"/>
    <w:rsid w:val="005C424E"/>
    <w:rsid w:val="005C473B"/>
    <w:rsid w:val="005C4DA7"/>
    <w:rsid w:val="005C5543"/>
    <w:rsid w:val="005C5C22"/>
    <w:rsid w:val="005C5D41"/>
    <w:rsid w:val="005C5EF0"/>
    <w:rsid w:val="005C6D15"/>
    <w:rsid w:val="005C6DC1"/>
    <w:rsid w:val="005C6EF9"/>
    <w:rsid w:val="005C734D"/>
    <w:rsid w:val="005C7954"/>
    <w:rsid w:val="005D04CF"/>
    <w:rsid w:val="005D0799"/>
    <w:rsid w:val="005D1211"/>
    <w:rsid w:val="005D12D6"/>
    <w:rsid w:val="005D17D6"/>
    <w:rsid w:val="005D18B0"/>
    <w:rsid w:val="005D1970"/>
    <w:rsid w:val="005D1A79"/>
    <w:rsid w:val="005D27C8"/>
    <w:rsid w:val="005D4B6E"/>
    <w:rsid w:val="005D4B78"/>
    <w:rsid w:val="005D6523"/>
    <w:rsid w:val="005D668A"/>
    <w:rsid w:val="005D67A7"/>
    <w:rsid w:val="005D6EDA"/>
    <w:rsid w:val="005D6F7D"/>
    <w:rsid w:val="005D76AA"/>
    <w:rsid w:val="005D7C66"/>
    <w:rsid w:val="005D7DAB"/>
    <w:rsid w:val="005D7F79"/>
    <w:rsid w:val="005E0038"/>
    <w:rsid w:val="005E0129"/>
    <w:rsid w:val="005E03A8"/>
    <w:rsid w:val="005E098F"/>
    <w:rsid w:val="005E0B28"/>
    <w:rsid w:val="005E0BBB"/>
    <w:rsid w:val="005E0CF1"/>
    <w:rsid w:val="005E0E80"/>
    <w:rsid w:val="005E11FD"/>
    <w:rsid w:val="005E12B9"/>
    <w:rsid w:val="005E176D"/>
    <w:rsid w:val="005E1B90"/>
    <w:rsid w:val="005E1DFC"/>
    <w:rsid w:val="005E24E6"/>
    <w:rsid w:val="005E30FE"/>
    <w:rsid w:val="005E3505"/>
    <w:rsid w:val="005E3BBD"/>
    <w:rsid w:val="005E462D"/>
    <w:rsid w:val="005E4A97"/>
    <w:rsid w:val="005E4AE4"/>
    <w:rsid w:val="005E54EE"/>
    <w:rsid w:val="005E5F4F"/>
    <w:rsid w:val="005E6179"/>
    <w:rsid w:val="005E61A9"/>
    <w:rsid w:val="005E6C21"/>
    <w:rsid w:val="005E6D7B"/>
    <w:rsid w:val="005E6FAD"/>
    <w:rsid w:val="005E7692"/>
    <w:rsid w:val="005E76F2"/>
    <w:rsid w:val="005E7B02"/>
    <w:rsid w:val="005F097B"/>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DAE"/>
    <w:rsid w:val="005F6EE2"/>
    <w:rsid w:val="005F757F"/>
    <w:rsid w:val="005F7714"/>
    <w:rsid w:val="00600078"/>
    <w:rsid w:val="006000E3"/>
    <w:rsid w:val="0060031B"/>
    <w:rsid w:val="00600522"/>
    <w:rsid w:val="00600A8F"/>
    <w:rsid w:val="0060155E"/>
    <w:rsid w:val="0060170E"/>
    <w:rsid w:val="00601F54"/>
    <w:rsid w:val="006021B1"/>
    <w:rsid w:val="0060233D"/>
    <w:rsid w:val="00602511"/>
    <w:rsid w:val="006027C3"/>
    <w:rsid w:val="0060288D"/>
    <w:rsid w:val="0060359B"/>
    <w:rsid w:val="00603623"/>
    <w:rsid w:val="006037CD"/>
    <w:rsid w:val="006045BB"/>
    <w:rsid w:val="0060464A"/>
    <w:rsid w:val="0060471F"/>
    <w:rsid w:val="006047D3"/>
    <w:rsid w:val="00604D34"/>
    <w:rsid w:val="00605000"/>
    <w:rsid w:val="00605119"/>
    <w:rsid w:val="00605480"/>
    <w:rsid w:val="00605AC9"/>
    <w:rsid w:val="00605C11"/>
    <w:rsid w:val="00605C2A"/>
    <w:rsid w:val="00605D0A"/>
    <w:rsid w:val="006060A4"/>
    <w:rsid w:val="006064BF"/>
    <w:rsid w:val="00606A34"/>
    <w:rsid w:val="00606B59"/>
    <w:rsid w:val="00606C2B"/>
    <w:rsid w:val="00606F73"/>
    <w:rsid w:val="006078E2"/>
    <w:rsid w:val="00607F23"/>
    <w:rsid w:val="00607F90"/>
    <w:rsid w:val="006103E5"/>
    <w:rsid w:val="0061053F"/>
    <w:rsid w:val="0061114C"/>
    <w:rsid w:val="0061136E"/>
    <w:rsid w:val="0061231E"/>
    <w:rsid w:val="00612459"/>
    <w:rsid w:val="00612892"/>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11B"/>
    <w:rsid w:val="00617583"/>
    <w:rsid w:val="0062009F"/>
    <w:rsid w:val="0062091B"/>
    <w:rsid w:val="00620DFA"/>
    <w:rsid w:val="0062124E"/>
    <w:rsid w:val="006212CB"/>
    <w:rsid w:val="0062157C"/>
    <w:rsid w:val="00621726"/>
    <w:rsid w:val="0062179F"/>
    <w:rsid w:val="00622016"/>
    <w:rsid w:val="006222B8"/>
    <w:rsid w:val="0062268A"/>
    <w:rsid w:val="00622757"/>
    <w:rsid w:val="00622F04"/>
    <w:rsid w:val="006236DD"/>
    <w:rsid w:val="00624699"/>
    <w:rsid w:val="00624955"/>
    <w:rsid w:val="0062496A"/>
    <w:rsid w:val="00624EDC"/>
    <w:rsid w:val="0062554E"/>
    <w:rsid w:val="0062586A"/>
    <w:rsid w:val="0062593B"/>
    <w:rsid w:val="00625C08"/>
    <w:rsid w:val="00625F4C"/>
    <w:rsid w:val="00626777"/>
    <w:rsid w:val="00626C60"/>
    <w:rsid w:val="00626FDF"/>
    <w:rsid w:val="0062749C"/>
    <w:rsid w:val="00627A19"/>
    <w:rsid w:val="00627D64"/>
    <w:rsid w:val="00627E90"/>
    <w:rsid w:val="00627EDD"/>
    <w:rsid w:val="006305FB"/>
    <w:rsid w:val="00630ADE"/>
    <w:rsid w:val="00630B0A"/>
    <w:rsid w:val="006310BB"/>
    <w:rsid w:val="0063122C"/>
    <w:rsid w:val="006312A4"/>
    <w:rsid w:val="006317D2"/>
    <w:rsid w:val="00631940"/>
    <w:rsid w:val="00631A77"/>
    <w:rsid w:val="00631ADE"/>
    <w:rsid w:val="00631C67"/>
    <w:rsid w:val="00631E05"/>
    <w:rsid w:val="0063219E"/>
    <w:rsid w:val="00632BD2"/>
    <w:rsid w:val="00632D14"/>
    <w:rsid w:val="00632E8D"/>
    <w:rsid w:val="00633137"/>
    <w:rsid w:val="00633B91"/>
    <w:rsid w:val="00633C64"/>
    <w:rsid w:val="00633E57"/>
    <w:rsid w:val="006340CD"/>
    <w:rsid w:val="006342B0"/>
    <w:rsid w:val="006346C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754"/>
    <w:rsid w:val="00643E42"/>
    <w:rsid w:val="00643EB6"/>
    <w:rsid w:val="00644171"/>
    <w:rsid w:val="006444AB"/>
    <w:rsid w:val="0064481E"/>
    <w:rsid w:val="00645037"/>
    <w:rsid w:val="006453F6"/>
    <w:rsid w:val="00645FAF"/>
    <w:rsid w:val="006467F3"/>
    <w:rsid w:val="00646D18"/>
    <w:rsid w:val="00646D5B"/>
    <w:rsid w:val="00647B37"/>
    <w:rsid w:val="00650F10"/>
    <w:rsid w:val="0065114D"/>
    <w:rsid w:val="006515AC"/>
    <w:rsid w:val="006517D3"/>
    <w:rsid w:val="00651D8B"/>
    <w:rsid w:val="00651DC8"/>
    <w:rsid w:val="00651F09"/>
    <w:rsid w:val="0065233A"/>
    <w:rsid w:val="006523B0"/>
    <w:rsid w:val="0065284C"/>
    <w:rsid w:val="00652DB5"/>
    <w:rsid w:val="006535C8"/>
    <w:rsid w:val="006538F3"/>
    <w:rsid w:val="006539F7"/>
    <w:rsid w:val="00653CFE"/>
    <w:rsid w:val="006543CE"/>
    <w:rsid w:val="00654D55"/>
    <w:rsid w:val="00654E6D"/>
    <w:rsid w:val="00655015"/>
    <w:rsid w:val="00656910"/>
    <w:rsid w:val="00656FA9"/>
    <w:rsid w:val="0065723C"/>
    <w:rsid w:val="0065770E"/>
    <w:rsid w:val="00657B05"/>
    <w:rsid w:val="00657D4B"/>
    <w:rsid w:val="0066054D"/>
    <w:rsid w:val="00660865"/>
    <w:rsid w:val="00660F54"/>
    <w:rsid w:val="00660FA6"/>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07"/>
    <w:rsid w:val="00664E7F"/>
    <w:rsid w:val="0066503E"/>
    <w:rsid w:val="00665190"/>
    <w:rsid w:val="00665DDA"/>
    <w:rsid w:val="00666238"/>
    <w:rsid w:val="0066636A"/>
    <w:rsid w:val="0066652A"/>
    <w:rsid w:val="00666571"/>
    <w:rsid w:val="00666BC0"/>
    <w:rsid w:val="00666C72"/>
    <w:rsid w:val="00666D3E"/>
    <w:rsid w:val="00670339"/>
    <w:rsid w:val="00670358"/>
    <w:rsid w:val="00670596"/>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61CD"/>
    <w:rsid w:val="0067664C"/>
    <w:rsid w:val="00676678"/>
    <w:rsid w:val="006770B7"/>
    <w:rsid w:val="0067756D"/>
    <w:rsid w:val="006775A0"/>
    <w:rsid w:val="0068036C"/>
    <w:rsid w:val="00681089"/>
    <w:rsid w:val="00681116"/>
    <w:rsid w:val="006811C3"/>
    <w:rsid w:val="006817BF"/>
    <w:rsid w:val="006817DF"/>
    <w:rsid w:val="00681DA9"/>
    <w:rsid w:val="00681ED5"/>
    <w:rsid w:val="006829E8"/>
    <w:rsid w:val="00682A42"/>
    <w:rsid w:val="00683C28"/>
    <w:rsid w:val="00683C67"/>
    <w:rsid w:val="00683DA8"/>
    <w:rsid w:val="0068420A"/>
    <w:rsid w:val="00684576"/>
    <w:rsid w:val="00684900"/>
    <w:rsid w:val="00684E28"/>
    <w:rsid w:val="00685453"/>
    <w:rsid w:val="00685A12"/>
    <w:rsid w:val="00685C8B"/>
    <w:rsid w:val="006861AA"/>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AEE"/>
    <w:rsid w:val="00694B97"/>
    <w:rsid w:val="00694D21"/>
    <w:rsid w:val="006950AB"/>
    <w:rsid w:val="00695390"/>
    <w:rsid w:val="0069574F"/>
    <w:rsid w:val="00695BF1"/>
    <w:rsid w:val="00695C38"/>
    <w:rsid w:val="00695CBB"/>
    <w:rsid w:val="00696074"/>
    <w:rsid w:val="00696607"/>
    <w:rsid w:val="00696D06"/>
    <w:rsid w:val="00696E6C"/>
    <w:rsid w:val="006972C1"/>
    <w:rsid w:val="006976D6"/>
    <w:rsid w:val="00697747"/>
    <w:rsid w:val="00697943"/>
    <w:rsid w:val="006A0522"/>
    <w:rsid w:val="006A05F1"/>
    <w:rsid w:val="006A0A8B"/>
    <w:rsid w:val="006A0CCE"/>
    <w:rsid w:val="006A0D8C"/>
    <w:rsid w:val="006A10F4"/>
    <w:rsid w:val="006A15F8"/>
    <w:rsid w:val="006A1B04"/>
    <w:rsid w:val="006A2087"/>
    <w:rsid w:val="006A2346"/>
    <w:rsid w:val="006A2442"/>
    <w:rsid w:val="006A24A3"/>
    <w:rsid w:val="006A289F"/>
    <w:rsid w:val="006A319B"/>
    <w:rsid w:val="006A33AD"/>
    <w:rsid w:val="006A3B80"/>
    <w:rsid w:val="006A3E2A"/>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09E6"/>
    <w:rsid w:val="006B1B77"/>
    <w:rsid w:val="006B1D21"/>
    <w:rsid w:val="006B1D5B"/>
    <w:rsid w:val="006B1FD0"/>
    <w:rsid w:val="006B252A"/>
    <w:rsid w:val="006B29E2"/>
    <w:rsid w:val="006B35B5"/>
    <w:rsid w:val="006B36B7"/>
    <w:rsid w:val="006B379A"/>
    <w:rsid w:val="006B38EF"/>
    <w:rsid w:val="006B3951"/>
    <w:rsid w:val="006B39E4"/>
    <w:rsid w:val="006B4427"/>
    <w:rsid w:val="006B449B"/>
    <w:rsid w:val="006B4620"/>
    <w:rsid w:val="006B494E"/>
    <w:rsid w:val="006B4CDF"/>
    <w:rsid w:val="006B4FB6"/>
    <w:rsid w:val="006B528C"/>
    <w:rsid w:val="006B5B11"/>
    <w:rsid w:val="006B5D55"/>
    <w:rsid w:val="006B62A6"/>
    <w:rsid w:val="006B66BD"/>
    <w:rsid w:val="006B675F"/>
    <w:rsid w:val="006B68D0"/>
    <w:rsid w:val="006B6F19"/>
    <w:rsid w:val="006B719B"/>
    <w:rsid w:val="006B7541"/>
    <w:rsid w:val="006B7ACB"/>
    <w:rsid w:val="006B7BA5"/>
    <w:rsid w:val="006B7E6A"/>
    <w:rsid w:val="006C0A11"/>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3B0E"/>
    <w:rsid w:val="006C3C6A"/>
    <w:rsid w:val="006C3CC2"/>
    <w:rsid w:val="006C435D"/>
    <w:rsid w:val="006C4A5D"/>
    <w:rsid w:val="006C4E16"/>
    <w:rsid w:val="006C56F5"/>
    <w:rsid w:val="006C5765"/>
    <w:rsid w:val="006C61B1"/>
    <w:rsid w:val="006C63DE"/>
    <w:rsid w:val="006C644C"/>
    <w:rsid w:val="006C648C"/>
    <w:rsid w:val="006C7BA4"/>
    <w:rsid w:val="006C7C88"/>
    <w:rsid w:val="006D135C"/>
    <w:rsid w:val="006D1D42"/>
    <w:rsid w:val="006D218E"/>
    <w:rsid w:val="006D2385"/>
    <w:rsid w:val="006D264B"/>
    <w:rsid w:val="006D2D18"/>
    <w:rsid w:val="006D3293"/>
    <w:rsid w:val="006D3536"/>
    <w:rsid w:val="006D3D05"/>
    <w:rsid w:val="006D408A"/>
    <w:rsid w:val="006D50CA"/>
    <w:rsid w:val="006D5460"/>
    <w:rsid w:val="006D54B5"/>
    <w:rsid w:val="006D5924"/>
    <w:rsid w:val="006D598F"/>
    <w:rsid w:val="006D5A1D"/>
    <w:rsid w:val="006D5BB3"/>
    <w:rsid w:val="006D5C96"/>
    <w:rsid w:val="006D616E"/>
    <w:rsid w:val="006D700F"/>
    <w:rsid w:val="006D7700"/>
    <w:rsid w:val="006E00F3"/>
    <w:rsid w:val="006E12F8"/>
    <w:rsid w:val="006E18A1"/>
    <w:rsid w:val="006E1C9E"/>
    <w:rsid w:val="006E1E45"/>
    <w:rsid w:val="006E283E"/>
    <w:rsid w:val="006E29CE"/>
    <w:rsid w:val="006E29D1"/>
    <w:rsid w:val="006E2ACB"/>
    <w:rsid w:val="006E2BAA"/>
    <w:rsid w:val="006E31EA"/>
    <w:rsid w:val="006E3354"/>
    <w:rsid w:val="006E3669"/>
    <w:rsid w:val="006E3BBF"/>
    <w:rsid w:val="006E3CDA"/>
    <w:rsid w:val="006E46ED"/>
    <w:rsid w:val="006E4C35"/>
    <w:rsid w:val="006E543A"/>
    <w:rsid w:val="006E5625"/>
    <w:rsid w:val="006E5C49"/>
    <w:rsid w:val="006E67AE"/>
    <w:rsid w:val="006E67F7"/>
    <w:rsid w:val="006F0335"/>
    <w:rsid w:val="006F097B"/>
    <w:rsid w:val="006F1B7F"/>
    <w:rsid w:val="006F1F81"/>
    <w:rsid w:val="006F2AD8"/>
    <w:rsid w:val="006F3B31"/>
    <w:rsid w:val="006F3CEA"/>
    <w:rsid w:val="006F3D5B"/>
    <w:rsid w:val="006F3E5E"/>
    <w:rsid w:val="006F45EE"/>
    <w:rsid w:val="006F460E"/>
    <w:rsid w:val="006F485F"/>
    <w:rsid w:val="006F4912"/>
    <w:rsid w:val="006F503A"/>
    <w:rsid w:val="006F5869"/>
    <w:rsid w:val="006F616D"/>
    <w:rsid w:val="006F6340"/>
    <w:rsid w:val="006F6555"/>
    <w:rsid w:val="006F65DE"/>
    <w:rsid w:val="006F6F5A"/>
    <w:rsid w:val="006F707B"/>
    <w:rsid w:val="00700E93"/>
    <w:rsid w:val="00700EBD"/>
    <w:rsid w:val="007017EE"/>
    <w:rsid w:val="00701893"/>
    <w:rsid w:val="00701D0C"/>
    <w:rsid w:val="007022CF"/>
    <w:rsid w:val="007026D1"/>
    <w:rsid w:val="0070302E"/>
    <w:rsid w:val="0070391B"/>
    <w:rsid w:val="00703CCA"/>
    <w:rsid w:val="00703F77"/>
    <w:rsid w:val="00703F91"/>
    <w:rsid w:val="00704119"/>
    <w:rsid w:val="007041AF"/>
    <w:rsid w:val="00704808"/>
    <w:rsid w:val="00705513"/>
    <w:rsid w:val="00705640"/>
    <w:rsid w:val="00705F3E"/>
    <w:rsid w:val="00706251"/>
    <w:rsid w:val="007063BE"/>
    <w:rsid w:val="007066BD"/>
    <w:rsid w:val="00706C3F"/>
    <w:rsid w:val="007078F2"/>
    <w:rsid w:val="00707CCC"/>
    <w:rsid w:val="00707CF6"/>
    <w:rsid w:val="00710324"/>
    <w:rsid w:val="00710B0C"/>
    <w:rsid w:val="00710E4B"/>
    <w:rsid w:val="0071147D"/>
    <w:rsid w:val="00711595"/>
    <w:rsid w:val="00711791"/>
    <w:rsid w:val="00711AD4"/>
    <w:rsid w:val="007120FB"/>
    <w:rsid w:val="007123B6"/>
    <w:rsid w:val="00712ADF"/>
    <w:rsid w:val="00712DE5"/>
    <w:rsid w:val="00712F6F"/>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17665"/>
    <w:rsid w:val="00717C65"/>
    <w:rsid w:val="00717F1B"/>
    <w:rsid w:val="007202A1"/>
    <w:rsid w:val="00720492"/>
    <w:rsid w:val="007204A5"/>
    <w:rsid w:val="00720E96"/>
    <w:rsid w:val="0072131A"/>
    <w:rsid w:val="007213A4"/>
    <w:rsid w:val="00721C56"/>
    <w:rsid w:val="00721E1C"/>
    <w:rsid w:val="00722308"/>
    <w:rsid w:val="00722330"/>
    <w:rsid w:val="00722EBF"/>
    <w:rsid w:val="00723628"/>
    <w:rsid w:val="00723E0D"/>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2D12"/>
    <w:rsid w:val="007333CD"/>
    <w:rsid w:val="007333FB"/>
    <w:rsid w:val="007334F3"/>
    <w:rsid w:val="0073416E"/>
    <w:rsid w:val="00734AA8"/>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2F1E"/>
    <w:rsid w:val="0074316A"/>
    <w:rsid w:val="007435B6"/>
    <w:rsid w:val="007439D5"/>
    <w:rsid w:val="00743A96"/>
    <w:rsid w:val="00744303"/>
    <w:rsid w:val="007443C0"/>
    <w:rsid w:val="00744448"/>
    <w:rsid w:val="00744A5B"/>
    <w:rsid w:val="00745485"/>
    <w:rsid w:val="007455B7"/>
    <w:rsid w:val="007456A9"/>
    <w:rsid w:val="00745CFA"/>
    <w:rsid w:val="0074605D"/>
    <w:rsid w:val="0074608B"/>
    <w:rsid w:val="007464CB"/>
    <w:rsid w:val="0074675B"/>
    <w:rsid w:val="00747117"/>
    <w:rsid w:val="00747310"/>
    <w:rsid w:val="007474BF"/>
    <w:rsid w:val="00747A2C"/>
    <w:rsid w:val="00747D70"/>
    <w:rsid w:val="00747FC4"/>
    <w:rsid w:val="00750CD7"/>
    <w:rsid w:val="0075119E"/>
    <w:rsid w:val="00751AEA"/>
    <w:rsid w:val="00751EF5"/>
    <w:rsid w:val="0075211E"/>
    <w:rsid w:val="007526AE"/>
    <w:rsid w:val="007534B0"/>
    <w:rsid w:val="007539E9"/>
    <w:rsid w:val="00753A66"/>
    <w:rsid w:val="00753AEF"/>
    <w:rsid w:val="00753F64"/>
    <w:rsid w:val="00754030"/>
    <w:rsid w:val="00754D00"/>
    <w:rsid w:val="00754EB8"/>
    <w:rsid w:val="00754FFC"/>
    <w:rsid w:val="00755254"/>
    <w:rsid w:val="007555D7"/>
    <w:rsid w:val="00755CE2"/>
    <w:rsid w:val="00755DEE"/>
    <w:rsid w:val="00756026"/>
    <w:rsid w:val="00756721"/>
    <w:rsid w:val="0075681A"/>
    <w:rsid w:val="00756841"/>
    <w:rsid w:val="00756873"/>
    <w:rsid w:val="00756961"/>
    <w:rsid w:val="00756BDE"/>
    <w:rsid w:val="007572FF"/>
    <w:rsid w:val="007575E4"/>
    <w:rsid w:val="0075770B"/>
    <w:rsid w:val="00757757"/>
    <w:rsid w:val="00757EF5"/>
    <w:rsid w:val="007600C5"/>
    <w:rsid w:val="00760EF4"/>
    <w:rsid w:val="00761156"/>
    <w:rsid w:val="007612E7"/>
    <w:rsid w:val="00761829"/>
    <w:rsid w:val="007619C9"/>
    <w:rsid w:val="00761D50"/>
    <w:rsid w:val="00761E29"/>
    <w:rsid w:val="007622D1"/>
    <w:rsid w:val="00762DC6"/>
    <w:rsid w:val="00763862"/>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0F9F"/>
    <w:rsid w:val="00771306"/>
    <w:rsid w:val="00771B7C"/>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0E74"/>
    <w:rsid w:val="007812C3"/>
    <w:rsid w:val="00781A9A"/>
    <w:rsid w:val="00781E44"/>
    <w:rsid w:val="00781E7E"/>
    <w:rsid w:val="007822FA"/>
    <w:rsid w:val="007827FE"/>
    <w:rsid w:val="00782B05"/>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3F0"/>
    <w:rsid w:val="007913FA"/>
    <w:rsid w:val="00791AA5"/>
    <w:rsid w:val="007924D1"/>
    <w:rsid w:val="0079265D"/>
    <w:rsid w:val="007926CF"/>
    <w:rsid w:val="00792860"/>
    <w:rsid w:val="00792889"/>
    <w:rsid w:val="00792B2F"/>
    <w:rsid w:val="00793172"/>
    <w:rsid w:val="0079363B"/>
    <w:rsid w:val="00793899"/>
    <w:rsid w:val="0079413B"/>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054"/>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5FDC"/>
    <w:rsid w:val="007A612B"/>
    <w:rsid w:val="007A614A"/>
    <w:rsid w:val="007A6181"/>
    <w:rsid w:val="007A6470"/>
    <w:rsid w:val="007A65B9"/>
    <w:rsid w:val="007A6810"/>
    <w:rsid w:val="007A6821"/>
    <w:rsid w:val="007A71A7"/>
    <w:rsid w:val="007B01FF"/>
    <w:rsid w:val="007B0683"/>
    <w:rsid w:val="007B085C"/>
    <w:rsid w:val="007B09BF"/>
    <w:rsid w:val="007B0BE2"/>
    <w:rsid w:val="007B0F75"/>
    <w:rsid w:val="007B102A"/>
    <w:rsid w:val="007B109C"/>
    <w:rsid w:val="007B13A3"/>
    <w:rsid w:val="007B152D"/>
    <w:rsid w:val="007B1E65"/>
    <w:rsid w:val="007B2A52"/>
    <w:rsid w:val="007B2E52"/>
    <w:rsid w:val="007B373E"/>
    <w:rsid w:val="007B37B3"/>
    <w:rsid w:val="007B433A"/>
    <w:rsid w:val="007B44EA"/>
    <w:rsid w:val="007B45EE"/>
    <w:rsid w:val="007B565B"/>
    <w:rsid w:val="007B591F"/>
    <w:rsid w:val="007B5A60"/>
    <w:rsid w:val="007B5BD0"/>
    <w:rsid w:val="007B6645"/>
    <w:rsid w:val="007B6B6A"/>
    <w:rsid w:val="007B739D"/>
    <w:rsid w:val="007B788F"/>
    <w:rsid w:val="007B7C35"/>
    <w:rsid w:val="007C041E"/>
    <w:rsid w:val="007C1050"/>
    <w:rsid w:val="007C1147"/>
    <w:rsid w:val="007C15F9"/>
    <w:rsid w:val="007C1961"/>
    <w:rsid w:val="007C1DF5"/>
    <w:rsid w:val="007C26EB"/>
    <w:rsid w:val="007C2CDA"/>
    <w:rsid w:val="007C307A"/>
    <w:rsid w:val="007C31D2"/>
    <w:rsid w:val="007C34BE"/>
    <w:rsid w:val="007C3565"/>
    <w:rsid w:val="007C3FD8"/>
    <w:rsid w:val="007C406B"/>
    <w:rsid w:val="007C42A1"/>
    <w:rsid w:val="007C4313"/>
    <w:rsid w:val="007C432D"/>
    <w:rsid w:val="007C4DBE"/>
    <w:rsid w:val="007C56BC"/>
    <w:rsid w:val="007C577E"/>
    <w:rsid w:val="007C5B05"/>
    <w:rsid w:val="007C5D5A"/>
    <w:rsid w:val="007C613B"/>
    <w:rsid w:val="007C699A"/>
    <w:rsid w:val="007C6D11"/>
    <w:rsid w:val="007C7B24"/>
    <w:rsid w:val="007C7CAF"/>
    <w:rsid w:val="007C7E44"/>
    <w:rsid w:val="007D056D"/>
    <w:rsid w:val="007D0824"/>
    <w:rsid w:val="007D0A3E"/>
    <w:rsid w:val="007D109F"/>
    <w:rsid w:val="007D20EE"/>
    <w:rsid w:val="007D2735"/>
    <w:rsid w:val="007D2A63"/>
    <w:rsid w:val="007D2EB9"/>
    <w:rsid w:val="007D2F11"/>
    <w:rsid w:val="007D3080"/>
    <w:rsid w:val="007D312E"/>
    <w:rsid w:val="007D3353"/>
    <w:rsid w:val="007D3520"/>
    <w:rsid w:val="007D3BB9"/>
    <w:rsid w:val="007D3D6E"/>
    <w:rsid w:val="007D41C4"/>
    <w:rsid w:val="007D452D"/>
    <w:rsid w:val="007D45EC"/>
    <w:rsid w:val="007D4862"/>
    <w:rsid w:val="007D5302"/>
    <w:rsid w:val="007D5395"/>
    <w:rsid w:val="007D54B6"/>
    <w:rsid w:val="007D5645"/>
    <w:rsid w:val="007D59B2"/>
    <w:rsid w:val="007D5CCD"/>
    <w:rsid w:val="007D607E"/>
    <w:rsid w:val="007D6211"/>
    <w:rsid w:val="007D6A6A"/>
    <w:rsid w:val="007D735B"/>
    <w:rsid w:val="007E0476"/>
    <w:rsid w:val="007E048F"/>
    <w:rsid w:val="007E0C77"/>
    <w:rsid w:val="007E0FC8"/>
    <w:rsid w:val="007E1255"/>
    <w:rsid w:val="007E188B"/>
    <w:rsid w:val="007E1BC3"/>
    <w:rsid w:val="007E1C7D"/>
    <w:rsid w:val="007E23E6"/>
    <w:rsid w:val="007E25DF"/>
    <w:rsid w:val="007E2A5F"/>
    <w:rsid w:val="007E2C69"/>
    <w:rsid w:val="007E2D60"/>
    <w:rsid w:val="007E31A7"/>
    <w:rsid w:val="007E39A3"/>
    <w:rsid w:val="007E3D46"/>
    <w:rsid w:val="007E4266"/>
    <w:rsid w:val="007E4657"/>
    <w:rsid w:val="007E5BF3"/>
    <w:rsid w:val="007E5CA7"/>
    <w:rsid w:val="007E5DD6"/>
    <w:rsid w:val="007E5DF4"/>
    <w:rsid w:val="007E66AA"/>
    <w:rsid w:val="007E6FBB"/>
    <w:rsid w:val="007E7330"/>
    <w:rsid w:val="007E73FB"/>
    <w:rsid w:val="007E7406"/>
    <w:rsid w:val="007E74B6"/>
    <w:rsid w:val="007E7520"/>
    <w:rsid w:val="007E763C"/>
    <w:rsid w:val="007E7DFF"/>
    <w:rsid w:val="007F00BC"/>
    <w:rsid w:val="007F05CE"/>
    <w:rsid w:val="007F0ADE"/>
    <w:rsid w:val="007F1175"/>
    <w:rsid w:val="007F175B"/>
    <w:rsid w:val="007F1799"/>
    <w:rsid w:val="007F1A1B"/>
    <w:rsid w:val="007F1AA5"/>
    <w:rsid w:val="007F1AC7"/>
    <w:rsid w:val="007F1C0F"/>
    <w:rsid w:val="007F1C23"/>
    <w:rsid w:val="007F1C26"/>
    <w:rsid w:val="007F2140"/>
    <w:rsid w:val="007F2BAA"/>
    <w:rsid w:val="007F2F19"/>
    <w:rsid w:val="007F30F4"/>
    <w:rsid w:val="007F3A09"/>
    <w:rsid w:val="007F3A31"/>
    <w:rsid w:val="007F3E3C"/>
    <w:rsid w:val="007F463C"/>
    <w:rsid w:val="007F615F"/>
    <w:rsid w:val="007F69D9"/>
    <w:rsid w:val="007F6A30"/>
    <w:rsid w:val="007F780D"/>
    <w:rsid w:val="007F7FE5"/>
    <w:rsid w:val="008006B1"/>
    <w:rsid w:val="008009DC"/>
    <w:rsid w:val="008009F7"/>
    <w:rsid w:val="00800D26"/>
    <w:rsid w:val="008013A9"/>
    <w:rsid w:val="00801762"/>
    <w:rsid w:val="00801A43"/>
    <w:rsid w:val="00801BD4"/>
    <w:rsid w:val="00801DDB"/>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6F98"/>
    <w:rsid w:val="0080746C"/>
    <w:rsid w:val="00807A1C"/>
    <w:rsid w:val="00807FA5"/>
    <w:rsid w:val="008100C5"/>
    <w:rsid w:val="00810912"/>
    <w:rsid w:val="0081095E"/>
    <w:rsid w:val="00811AFF"/>
    <w:rsid w:val="00811DF7"/>
    <w:rsid w:val="00812219"/>
    <w:rsid w:val="00812D12"/>
    <w:rsid w:val="0081321E"/>
    <w:rsid w:val="0081379B"/>
    <w:rsid w:val="00813D7E"/>
    <w:rsid w:val="00813DFC"/>
    <w:rsid w:val="008145AD"/>
    <w:rsid w:val="00814C89"/>
    <w:rsid w:val="00815200"/>
    <w:rsid w:val="00815437"/>
    <w:rsid w:val="008156CD"/>
    <w:rsid w:val="00815E1B"/>
    <w:rsid w:val="008160DE"/>
    <w:rsid w:val="00816260"/>
    <w:rsid w:val="00816369"/>
    <w:rsid w:val="00816634"/>
    <w:rsid w:val="00816685"/>
    <w:rsid w:val="00816726"/>
    <w:rsid w:val="00816CF0"/>
    <w:rsid w:val="00817C87"/>
    <w:rsid w:val="00817E26"/>
    <w:rsid w:val="00820B05"/>
    <w:rsid w:val="008219A2"/>
    <w:rsid w:val="00821A5C"/>
    <w:rsid w:val="00821A92"/>
    <w:rsid w:val="00821BF4"/>
    <w:rsid w:val="00821DCA"/>
    <w:rsid w:val="00822062"/>
    <w:rsid w:val="00822564"/>
    <w:rsid w:val="00822D27"/>
    <w:rsid w:val="00823A7E"/>
    <w:rsid w:val="00823B89"/>
    <w:rsid w:val="00824092"/>
    <w:rsid w:val="00824385"/>
    <w:rsid w:val="00824A91"/>
    <w:rsid w:val="00824DC2"/>
    <w:rsid w:val="00824DCB"/>
    <w:rsid w:val="008251AF"/>
    <w:rsid w:val="008251C3"/>
    <w:rsid w:val="0082524F"/>
    <w:rsid w:val="00825253"/>
    <w:rsid w:val="0082528E"/>
    <w:rsid w:val="0082569D"/>
    <w:rsid w:val="008265F1"/>
    <w:rsid w:val="00826A6B"/>
    <w:rsid w:val="00826FC7"/>
    <w:rsid w:val="00830873"/>
    <w:rsid w:val="0083092B"/>
    <w:rsid w:val="00830D2A"/>
    <w:rsid w:val="0083130E"/>
    <w:rsid w:val="008318CE"/>
    <w:rsid w:val="008323B6"/>
    <w:rsid w:val="008324DF"/>
    <w:rsid w:val="0083305A"/>
    <w:rsid w:val="00833568"/>
    <w:rsid w:val="00833A6D"/>
    <w:rsid w:val="00834074"/>
    <w:rsid w:val="008340D4"/>
    <w:rsid w:val="00834B06"/>
    <w:rsid w:val="00834C38"/>
    <w:rsid w:val="00834C3C"/>
    <w:rsid w:val="00834D3F"/>
    <w:rsid w:val="008350B1"/>
    <w:rsid w:val="00835533"/>
    <w:rsid w:val="00835699"/>
    <w:rsid w:val="008365A6"/>
    <w:rsid w:val="008365B8"/>
    <w:rsid w:val="00836DBE"/>
    <w:rsid w:val="008376F9"/>
    <w:rsid w:val="00837943"/>
    <w:rsid w:val="00837BDB"/>
    <w:rsid w:val="00837F6F"/>
    <w:rsid w:val="008400D8"/>
    <w:rsid w:val="008402A4"/>
    <w:rsid w:val="00841733"/>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2E8"/>
    <w:rsid w:val="00846630"/>
    <w:rsid w:val="00846BCC"/>
    <w:rsid w:val="00846D3E"/>
    <w:rsid w:val="00847192"/>
    <w:rsid w:val="0084735D"/>
    <w:rsid w:val="008478E6"/>
    <w:rsid w:val="00847F83"/>
    <w:rsid w:val="0085001D"/>
    <w:rsid w:val="008506D1"/>
    <w:rsid w:val="008509DA"/>
    <w:rsid w:val="008516AB"/>
    <w:rsid w:val="00851BEF"/>
    <w:rsid w:val="008520F6"/>
    <w:rsid w:val="0085219A"/>
    <w:rsid w:val="008522E5"/>
    <w:rsid w:val="00852610"/>
    <w:rsid w:val="00852946"/>
    <w:rsid w:val="0085298F"/>
    <w:rsid w:val="00853299"/>
    <w:rsid w:val="008535FF"/>
    <w:rsid w:val="00853C29"/>
    <w:rsid w:val="00853C72"/>
    <w:rsid w:val="00853E4D"/>
    <w:rsid w:val="00853E59"/>
    <w:rsid w:val="0085454F"/>
    <w:rsid w:val="00854CF2"/>
    <w:rsid w:val="008550B3"/>
    <w:rsid w:val="0085581A"/>
    <w:rsid w:val="00855886"/>
    <w:rsid w:val="008559FE"/>
    <w:rsid w:val="00857B5A"/>
    <w:rsid w:val="00857C83"/>
    <w:rsid w:val="00857DAA"/>
    <w:rsid w:val="00860120"/>
    <w:rsid w:val="0086076C"/>
    <w:rsid w:val="008609A7"/>
    <w:rsid w:val="00860CC1"/>
    <w:rsid w:val="00860D7F"/>
    <w:rsid w:val="00860E5E"/>
    <w:rsid w:val="00861219"/>
    <w:rsid w:val="0086135F"/>
    <w:rsid w:val="00861374"/>
    <w:rsid w:val="00861A2C"/>
    <w:rsid w:val="00861A96"/>
    <w:rsid w:val="00861E76"/>
    <w:rsid w:val="008620C4"/>
    <w:rsid w:val="0086211A"/>
    <w:rsid w:val="0086213E"/>
    <w:rsid w:val="008625ED"/>
    <w:rsid w:val="008628CB"/>
    <w:rsid w:val="00862BED"/>
    <w:rsid w:val="00863BAB"/>
    <w:rsid w:val="00864107"/>
    <w:rsid w:val="008642B5"/>
    <w:rsid w:val="00864307"/>
    <w:rsid w:val="00864731"/>
    <w:rsid w:val="008647D7"/>
    <w:rsid w:val="00864B7E"/>
    <w:rsid w:val="008657F3"/>
    <w:rsid w:val="0086580F"/>
    <w:rsid w:val="00865838"/>
    <w:rsid w:val="008658BB"/>
    <w:rsid w:val="00865D8B"/>
    <w:rsid w:val="0086600F"/>
    <w:rsid w:val="00866214"/>
    <w:rsid w:val="008665A6"/>
    <w:rsid w:val="0086662C"/>
    <w:rsid w:val="00866BE9"/>
    <w:rsid w:val="00866C93"/>
    <w:rsid w:val="00867F7E"/>
    <w:rsid w:val="00867F80"/>
    <w:rsid w:val="0087058C"/>
    <w:rsid w:val="00871BD5"/>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D3"/>
    <w:rsid w:val="00875BEB"/>
    <w:rsid w:val="00875E4B"/>
    <w:rsid w:val="00875E80"/>
    <w:rsid w:val="00876118"/>
    <w:rsid w:val="00876310"/>
    <w:rsid w:val="00876D98"/>
    <w:rsid w:val="0087724F"/>
    <w:rsid w:val="008775FE"/>
    <w:rsid w:val="00877910"/>
    <w:rsid w:val="00877E49"/>
    <w:rsid w:val="008809CC"/>
    <w:rsid w:val="00880C06"/>
    <w:rsid w:val="00880C3B"/>
    <w:rsid w:val="008810CE"/>
    <w:rsid w:val="00881219"/>
    <w:rsid w:val="00881AA9"/>
    <w:rsid w:val="0088232B"/>
    <w:rsid w:val="00883153"/>
    <w:rsid w:val="008831A1"/>
    <w:rsid w:val="00883C31"/>
    <w:rsid w:val="00883CA7"/>
    <w:rsid w:val="00883CDA"/>
    <w:rsid w:val="00883D2A"/>
    <w:rsid w:val="0088421A"/>
    <w:rsid w:val="0088436A"/>
    <w:rsid w:val="00884C00"/>
    <w:rsid w:val="00885C7D"/>
    <w:rsid w:val="00885D0F"/>
    <w:rsid w:val="00885E3B"/>
    <w:rsid w:val="00885E85"/>
    <w:rsid w:val="00886ADF"/>
    <w:rsid w:val="00887D83"/>
    <w:rsid w:val="00887F45"/>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2FE6"/>
    <w:rsid w:val="0089311E"/>
    <w:rsid w:val="00893551"/>
    <w:rsid w:val="00893847"/>
    <w:rsid w:val="00893B26"/>
    <w:rsid w:val="00894AD9"/>
    <w:rsid w:val="00895319"/>
    <w:rsid w:val="00895388"/>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9FC"/>
    <w:rsid w:val="008A0BA4"/>
    <w:rsid w:val="008A1158"/>
    <w:rsid w:val="008A16DA"/>
    <w:rsid w:val="008A1F4F"/>
    <w:rsid w:val="008A2222"/>
    <w:rsid w:val="008A232E"/>
    <w:rsid w:val="008A24E4"/>
    <w:rsid w:val="008A2C0B"/>
    <w:rsid w:val="008A2EB8"/>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8F3"/>
    <w:rsid w:val="008B0C06"/>
    <w:rsid w:val="008B1373"/>
    <w:rsid w:val="008B1831"/>
    <w:rsid w:val="008B19EF"/>
    <w:rsid w:val="008B2158"/>
    <w:rsid w:val="008B21E8"/>
    <w:rsid w:val="008B25C3"/>
    <w:rsid w:val="008B2D10"/>
    <w:rsid w:val="008B2D1A"/>
    <w:rsid w:val="008B32CA"/>
    <w:rsid w:val="008B330E"/>
    <w:rsid w:val="008B3331"/>
    <w:rsid w:val="008B3946"/>
    <w:rsid w:val="008B39EF"/>
    <w:rsid w:val="008B3A68"/>
    <w:rsid w:val="008B3DDE"/>
    <w:rsid w:val="008B3EC4"/>
    <w:rsid w:val="008B3FEE"/>
    <w:rsid w:val="008B4299"/>
    <w:rsid w:val="008B42C5"/>
    <w:rsid w:val="008B43B7"/>
    <w:rsid w:val="008B4551"/>
    <w:rsid w:val="008B490E"/>
    <w:rsid w:val="008B4AB0"/>
    <w:rsid w:val="008B4E94"/>
    <w:rsid w:val="008B51F0"/>
    <w:rsid w:val="008B6432"/>
    <w:rsid w:val="008B676E"/>
    <w:rsid w:val="008B6831"/>
    <w:rsid w:val="008B6BBD"/>
    <w:rsid w:val="008B7887"/>
    <w:rsid w:val="008B7985"/>
    <w:rsid w:val="008C08F0"/>
    <w:rsid w:val="008C0AE4"/>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183E"/>
    <w:rsid w:val="008D1EB5"/>
    <w:rsid w:val="008D2231"/>
    <w:rsid w:val="008D2C95"/>
    <w:rsid w:val="008D314E"/>
    <w:rsid w:val="008D34A9"/>
    <w:rsid w:val="008D38D1"/>
    <w:rsid w:val="008D396F"/>
    <w:rsid w:val="008D3D81"/>
    <w:rsid w:val="008D3EBA"/>
    <w:rsid w:val="008D3EC2"/>
    <w:rsid w:val="008D421E"/>
    <w:rsid w:val="008D49FB"/>
    <w:rsid w:val="008D57EA"/>
    <w:rsid w:val="008D5B3B"/>
    <w:rsid w:val="008D6446"/>
    <w:rsid w:val="008D6A69"/>
    <w:rsid w:val="008D7055"/>
    <w:rsid w:val="008D725D"/>
    <w:rsid w:val="008D7496"/>
    <w:rsid w:val="008D75D6"/>
    <w:rsid w:val="008D79AF"/>
    <w:rsid w:val="008E0571"/>
    <w:rsid w:val="008E0E1C"/>
    <w:rsid w:val="008E0E3B"/>
    <w:rsid w:val="008E1180"/>
    <w:rsid w:val="008E1583"/>
    <w:rsid w:val="008E1C18"/>
    <w:rsid w:val="008E1EE2"/>
    <w:rsid w:val="008E1F8F"/>
    <w:rsid w:val="008E1FD6"/>
    <w:rsid w:val="008E2312"/>
    <w:rsid w:val="008E23E4"/>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E7C7D"/>
    <w:rsid w:val="008F1090"/>
    <w:rsid w:val="008F1F01"/>
    <w:rsid w:val="008F26BD"/>
    <w:rsid w:val="008F26DE"/>
    <w:rsid w:val="008F2989"/>
    <w:rsid w:val="008F29DB"/>
    <w:rsid w:val="008F2B26"/>
    <w:rsid w:val="008F2BC8"/>
    <w:rsid w:val="008F2CA6"/>
    <w:rsid w:val="008F2DD8"/>
    <w:rsid w:val="008F3974"/>
    <w:rsid w:val="008F3DBF"/>
    <w:rsid w:val="008F40EA"/>
    <w:rsid w:val="008F4104"/>
    <w:rsid w:val="008F43A6"/>
    <w:rsid w:val="008F4C08"/>
    <w:rsid w:val="008F5E1C"/>
    <w:rsid w:val="008F6E1E"/>
    <w:rsid w:val="008F7B31"/>
    <w:rsid w:val="009000CC"/>
    <w:rsid w:val="009002E3"/>
    <w:rsid w:val="009003C5"/>
    <w:rsid w:val="0090066A"/>
    <w:rsid w:val="009006C0"/>
    <w:rsid w:val="00900784"/>
    <w:rsid w:val="009009C9"/>
    <w:rsid w:val="00900F04"/>
    <w:rsid w:val="00900F8A"/>
    <w:rsid w:val="00901857"/>
    <w:rsid w:val="00901DED"/>
    <w:rsid w:val="00902053"/>
    <w:rsid w:val="00902332"/>
    <w:rsid w:val="00902A3C"/>
    <w:rsid w:val="0090376C"/>
    <w:rsid w:val="00904282"/>
    <w:rsid w:val="00904290"/>
    <w:rsid w:val="00904596"/>
    <w:rsid w:val="00904BD9"/>
    <w:rsid w:val="00904EBF"/>
    <w:rsid w:val="00904FA3"/>
    <w:rsid w:val="009050A8"/>
    <w:rsid w:val="0090540C"/>
    <w:rsid w:val="00905894"/>
    <w:rsid w:val="00905901"/>
    <w:rsid w:val="00905C16"/>
    <w:rsid w:val="00905DD0"/>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3EA2"/>
    <w:rsid w:val="00914555"/>
    <w:rsid w:val="00914825"/>
    <w:rsid w:val="0091498D"/>
    <w:rsid w:val="009151B0"/>
    <w:rsid w:val="00915234"/>
    <w:rsid w:val="009155BA"/>
    <w:rsid w:val="00915F66"/>
    <w:rsid w:val="00915FEA"/>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7B6"/>
    <w:rsid w:val="00926815"/>
    <w:rsid w:val="00926C5A"/>
    <w:rsid w:val="00927FF9"/>
    <w:rsid w:val="00930A36"/>
    <w:rsid w:val="009312AB"/>
    <w:rsid w:val="009312DB"/>
    <w:rsid w:val="00931345"/>
    <w:rsid w:val="00931849"/>
    <w:rsid w:val="00931EEE"/>
    <w:rsid w:val="009320EB"/>
    <w:rsid w:val="00932117"/>
    <w:rsid w:val="00932A41"/>
    <w:rsid w:val="00932A64"/>
    <w:rsid w:val="00933431"/>
    <w:rsid w:val="00933D1D"/>
    <w:rsid w:val="009342E0"/>
    <w:rsid w:val="009342F8"/>
    <w:rsid w:val="00934409"/>
    <w:rsid w:val="009345E4"/>
    <w:rsid w:val="0093510D"/>
    <w:rsid w:val="00935556"/>
    <w:rsid w:val="00935701"/>
    <w:rsid w:val="00935C0C"/>
    <w:rsid w:val="00935DDC"/>
    <w:rsid w:val="00935F02"/>
    <w:rsid w:val="009364E6"/>
    <w:rsid w:val="00936743"/>
    <w:rsid w:val="00936FBA"/>
    <w:rsid w:val="00937075"/>
    <w:rsid w:val="0093723B"/>
    <w:rsid w:val="00937353"/>
    <w:rsid w:val="0093736D"/>
    <w:rsid w:val="009376A8"/>
    <w:rsid w:val="00937AF9"/>
    <w:rsid w:val="00937D00"/>
    <w:rsid w:val="00937DA5"/>
    <w:rsid w:val="00940340"/>
    <w:rsid w:val="009403A6"/>
    <w:rsid w:val="00940436"/>
    <w:rsid w:val="00940605"/>
    <w:rsid w:val="00941177"/>
    <w:rsid w:val="009412C3"/>
    <w:rsid w:val="009412DF"/>
    <w:rsid w:val="00941BCE"/>
    <w:rsid w:val="00941F10"/>
    <w:rsid w:val="0094222E"/>
    <w:rsid w:val="009428FC"/>
    <w:rsid w:val="00943051"/>
    <w:rsid w:val="009441B4"/>
    <w:rsid w:val="009448E9"/>
    <w:rsid w:val="0094526A"/>
    <w:rsid w:val="00945488"/>
    <w:rsid w:val="00945B73"/>
    <w:rsid w:val="009460C0"/>
    <w:rsid w:val="009462E6"/>
    <w:rsid w:val="00946EB0"/>
    <w:rsid w:val="00946F78"/>
    <w:rsid w:val="009471B1"/>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AA9"/>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A81"/>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A4A"/>
    <w:rsid w:val="00980EC0"/>
    <w:rsid w:val="0098110A"/>
    <w:rsid w:val="009811B3"/>
    <w:rsid w:val="0098135A"/>
    <w:rsid w:val="00981C44"/>
    <w:rsid w:val="0098235E"/>
    <w:rsid w:val="0098272B"/>
    <w:rsid w:val="009827DB"/>
    <w:rsid w:val="00983232"/>
    <w:rsid w:val="009834E6"/>
    <w:rsid w:val="009839A2"/>
    <w:rsid w:val="009840DF"/>
    <w:rsid w:val="00984618"/>
    <w:rsid w:val="00984F60"/>
    <w:rsid w:val="00985242"/>
    <w:rsid w:val="009852BA"/>
    <w:rsid w:val="009857CF"/>
    <w:rsid w:val="00985875"/>
    <w:rsid w:val="00985E9B"/>
    <w:rsid w:val="00986146"/>
    <w:rsid w:val="00986A81"/>
    <w:rsid w:val="00986C84"/>
    <w:rsid w:val="00987003"/>
    <w:rsid w:val="009878D4"/>
    <w:rsid w:val="00987A89"/>
    <w:rsid w:val="00987D9E"/>
    <w:rsid w:val="00990001"/>
    <w:rsid w:val="009908AE"/>
    <w:rsid w:val="00990A39"/>
    <w:rsid w:val="00990DF8"/>
    <w:rsid w:val="00990F4A"/>
    <w:rsid w:val="00991235"/>
    <w:rsid w:val="00991401"/>
    <w:rsid w:val="00991816"/>
    <w:rsid w:val="00991A10"/>
    <w:rsid w:val="00991DC9"/>
    <w:rsid w:val="00992561"/>
    <w:rsid w:val="00992CFE"/>
    <w:rsid w:val="00992F3E"/>
    <w:rsid w:val="00992F6A"/>
    <w:rsid w:val="00993051"/>
    <w:rsid w:val="00993880"/>
    <w:rsid w:val="00993D42"/>
    <w:rsid w:val="00994159"/>
    <w:rsid w:val="00994258"/>
    <w:rsid w:val="00994CBE"/>
    <w:rsid w:val="00994DA0"/>
    <w:rsid w:val="00994FD5"/>
    <w:rsid w:val="00995B0D"/>
    <w:rsid w:val="00996925"/>
    <w:rsid w:val="00996BA7"/>
    <w:rsid w:val="00997010"/>
    <w:rsid w:val="00997281"/>
    <w:rsid w:val="0099791A"/>
    <w:rsid w:val="00997FFD"/>
    <w:rsid w:val="009A0516"/>
    <w:rsid w:val="009A0B95"/>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5FBB"/>
    <w:rsid w:val="009A603E"/>
    <w:rsid w:val="009A63F6"/>
    <w:rsid w:val="009A65D0"/>
    <w:rsid w:val="009A6E19"/>
    <w:rsid w:val="009A7403"/>
    <w:rsid w:val="009A7430"/>
    <w:rsid w:val="009A758C"/>
    <w:rsid w:val="009B0AC0"/>
    <w:rsid w:val="009B1A7C"/>
    <w:rsid w:val="009B1E83"/>
    <w:rsid w:val="009B20EA"/>
    <w:rsid w:val="009B2962"/>
    <w:rsid w:val="009B2C5C"/>
    <w:rsid w:val="009B2FCE"/>
    <w:rsid w:val="009B3454"/>
    <w:rsid w:val="009B3C2C"/>
    <w:rsid w:val="009B3DAE"/>
    <w:rsid w:val="009B3F73"/>
    <w:rsid w:val="009B3FB8"/>
    <w:rsid w:val="009B3FC2"/>
    <w:rsid w:val="009B5106"/>
    <w:rsid w:val="009B5A80"/>
    <w:rsid w:val="009B5D73"/>
    <w:rsid w:val="009B6053"/>
    <w:rsid w:val="009B6129"/>
    <w:rsid w:val="009B6629"/>
    <w:rsid w:val="009B670F"/>
    <w:rsid w:val="009B6AC2"/>
    <w:rsid w:val="009B6AFF"/>
    <w:rsid w:val="009B6C0C"/>
    <w:rsid w:val="009B72B8"/>
    <w:rsid w:val="009B7571"/>
    <w:rsid w:val="009B76AF"/>
    <w:rsid w:val="009B78CA"/>
    <w:rsid w:val="009B7A9E"/>
    <w:rsid w:val="009B7B87"/>
    <w:rsid w:val="009B7D4C"/>
    <w:rsid w:val="009B7E95"/>
    <w:rsid w:val="009C025C"/>
    <w:rsid w:val="009C04BB"/>
    <w:rsid w:val="009C06FE"/>
    <w:rsid w:val="009C10C5"/>
    <w:rsid w:val="009C10F8"/>
    <w:rsid w:val="009C117A"/>
    <w:rsid w:val="009C13E0"/>
    <w:rsid w:val="009C148D"/>
    <w:rsid w:val="009C17AD"/>
    <w:rsid w:val="009C1FC6"/>
    <w:rsid w:val="009C224C"/>
    <w:rsid w:val="009C2317"/>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C7A78"/>
    <w:rsid w:val="009D0305"/>
    <w:rsid w:val="009D0326"/>
    <w:rsid w:val="009D0490"/>
    <w:rsid w:val="009D0559"/>
    <w:rsid w:val="009D0696"/>
    <w:rsid w:val="009D088F"/>
    <w:rsid w:val="009D08B8"/>
    <w:rsid w:val="009D0D7C"/>
    <w:rsid w:val="009D1AC4"/>
    <w:rsid w:val="009D22C6"/>
    <w:rsid w:val="009D2879"/>
    <w:rsid w:val="009D2EC1"/>
    <w:rsid w:val="009D2FB0"/>
    <w:rsid w:val="009D38DF"/>
    <w:rsid w:val="009D3990"/>
    <w:rsid w:val="009D3D8A"/>
    <w:rsid w:val="009D40C6"/>
    <w:rsid w:val="009D43BB"/>
    <w:rsid w:val="009D4647"/>
    <w:rsid w:val="009D483D"/>
    <w:rsid w:val="009D4921"/>
    <w:rsid w:val="009D4D24"/>
    <w:rsid w:val="009D4D61"/>
    <w:rsid w:val="009D5217"/>
    <w:rsid w:val="009D53C5"/>
    <w:rsid w:val="009D55AB"/>
    <w:rsid w:val="009D5A84"/>
    <w:rsid w:val="009D7168"/>
    <w:rsid w:val="009E032C"/>
    <w:rsid w:val="009E074C"/>
    <w:rsid w:val="009E07EB"/>
    <w:rsid w:val="009E0882"/>
    <w:rsid w:val="009E16A9"/>
    <w:rsid w:val="009E174E"/>
    <w:rsid w:val="009E175D"/>
    <w:rsid w:val="009E25D8"/>
    <w:rsid w:val="009E2B64"/>
    <w:rsid w:val="009E2DE0"/>
    <w:rsid w:val="009E2E36"/>
    <w:rsid w:val="009E328B"/>
    <w:rsid w:val="009E35B2"/>
    <w:rsid w:val="009E3604"/>
    <w:rsid w:val="009E386F"/>
    <w:rsid w:val="009E3C23"/>
    <w:rsid w:val="009E444C"/>
    <w:rsid w:val="009E558E"/>
    <w:rsid w:val="009E5B75"/>
    <w:rsid w:val="009E6301"/>
    <w:rsid w:val="009E679E"/>
    <w:rsid w:val="009E696F"/>
    <w:rsid w:val="009E6C6B"/>
    <w:rsid w:val="009E73C7"/>
    <w:rsid w:val="009E7AC2"/>
    <w:rsid w:val="009F013A"/>
    <w:rsid w:val="009F025D"/>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6C2D"/>
    <w:rsid w:val="009F726C"/>
    <w:rsid w:val="009F726E"/>
    <w:rsid w:val="009F764B"/>
    <w:rsid w:val="009F7A30"/>
    <w:rsid w:val="009F7F71"/>
    <w:rsid w:val="00A01428"/>
    <w:rsid w:val="00A018DF"/>
    <w:rsid w:val="00A01B2B"/>
    <w:rsid w:val="00A02098"/>
    <w:rsid w:val="00A038CE"/>
    <w:rsid w:val="00A04057"/>
    <w:rsid w:val="00A0405A"/>
    <w:rsid w:val="00A04294"/>
    <w:rsid w:val="00A04945"/>
    <w:rsid w:val="00A04DF8"/>
    <w:rsid w:val="00A04F52"/>
    <w:rsid w:val="00A05977"/>
    <w:rsid w:val="00A05A95"/>
    <w:rsid w:val="00A05D1B"/>
    <w:rsid w:val="00A05D43"/>
    <w:rsid w:val="00A05F80"/>
    <w:rsid w:val="00A062B6"/>
    <w:rsid w:val="00A062D3"/>
    <w:rsid w:val="00A06E9D"/>
    <w:rsid w:val="00A06F04"/>
    <w:rsid w:val="00A06F71"/>
    <w:rsid w:val="00A07169"/>
    <w:rsid w:val="00A07C27"/>
    <w:rsid w:val="00A10449"/>
    <w:rsid w:val="00A1051C"/>
    <w:rsid w:val="00A10A2E"/>
    <w:rsid w:val="00A10BFD"/>
    <w:rsid w:val="00A10C90"/>
    <w:rsid w:val="00A115A8"/>
    <w:rsid w:val="00A11A6C"/>
    <w:rsid w:val="00A12824"/>
    <w:rsid w:val="00A12969"/>
    <w:rsid w:val="00A12A3A"/>
    <w:rsid w:val="00A12F9C"/>
    <w:rsid w:val="00A13B6A"/>
    <w:rsid w:val="00A13C3F"/>
    <w:rsid w:val="00A141B1"/>
    <w:rsid w:val="00A1444D"/>
    <w:rsid w:val="00A144E5"/>
    <w:rsid w:val="00A14B93"/>
    <w:rsid w:val="00A15312"/>
    <w:rsid w:val="00A153D1"/>
    <w:rsid w:val="00A1548A"/>
    <w:rsid w:val="00A1580F"/>
    <w:rsid w:val="00A15887"/>
    <w:rsid w:val="00A15CB4"/>
    <w:rsid w:val="00A161C4"/>
    <w:rsid w:val="00A16CDC"/>
    <w:rsid w:val="00A16E93"/>
    <w:rsid w:val="00A17F4B"/>
    <w:rsid w:val="00A20499"/>
    <w:rsid w:val="00A2051E"/>
    <w:rsid w:val="00A20907"/>
    <w:rsid w:val="00A20A30"/>
    <w:rsid w:val="00A20EA2"/>
    <w:rsid w:val="00A2150A"/>
    <w:rsid w:val="00A2187A"/>
    <w:rsid w:val="00A21B78"/>
    <w:rsid w:val="00A21CB8"/>
    <w:rsid w:val="00A222E9"/>
    <w:rsid w:val="00A22CC2"/>
    <w:rsid w:val="00A23082"/>
    <w:rsid w:val="00A23B35"/>
    <w:rsid w:val="00A24406"/>
    <w:rsid w:val="00A24A16"/>
    <w:rsid w:val="00A24EE6"/>
    <w:rsid w:val="00A251E6"/>
    <w:rsid w:val="00A2586D"/>
    <w:rsid w:val="00A25C24"/>
    <w:rsid w:val="00A25D42"/>
    <w:rsid w:val="00A260D8"/>
    <w:rsid w:val="00A26319"/>
    <w:rsid w:val="00A269AA"/>
    <w:rsid w:val="00A26B2E"/>
    <w:rsid w:val="00A26D76"/>
    <w:rsid w:val="00A26E43"/>
    <w:rsid w:val="00A2769B"/>
    <w:rsid w:val="00A27D1E"/>
    <w:rsid w:val="00A27F2E"/>
    <w:rsid w:val="00A30957"/>
    <w:rsid w:val="00A30BDB"/>
    <w:rsid w:val="00A31D8B"/>
    <w:rsid w:val="00A326C0"/>
    <w:rsid w:val="00A32F44"/>
    <w:rsid w:val="00A335E1"/>
    <w:rsid w:val="00A33F61"/>
    <w:rsid w:val="00A341CB"/>
    <w:rsid w:val="00A345B1"/>
    <w:rsid w:val="00A35810"/>
    <w:rsid w:val="00A358DE"/>
    <w:rsid w:val="00A359C9"/>
    <w:rsid w:val="00A35D47"/>
    <w:rsid w:val="00A35F7A"/>
    <w:rsid w:val="00A35FDB"/>
    <w:rsid w:val="00A360BB"/>
    <w:rsid w:val="00A367A6"/>
    <w:rsid w:val="00A36831"/>
    <w:rsid w:val="00A37020"/>
    <w:rsid w:val="00A37307"/>
    <w:rsid w:val="00A3737C"/>
    <w:rsid w:val="00A37A93"/>
    <w:rsid w:val="00A37B34"/>
    <w:rsid w:val="00A37F05"/>
    <w:rsid w:val="00A402E9"/>
    <w:rsid w:val="00A403C0"/>
    <w:rsid w:val="00A4057A"/>
    <w:rsid w:val="00A4078D"/>
    <w:rsid w:val="00A40EA7"/>
    <w:rsid w:val="00A41D95"/>
    <w:rsid w:val="00A41E48"/>
    <w:rsid w:val="00A4210C"/>
    <w:rsid w:val="00A42AA6"/>
    <w:rsid w:val="00A42AB6"/>
    <w:rsid w:val="00A43032"/>
    <w:rsid w:val="00A4313A"/>
    <w:rsid w:val="00A43D95"/>
    <w:rsid w:val="00A440BC"/>
    <w:rsid w:val="00A443E7"/>
    <w:rsid w:val="00A44646"/>
    <w:rsid w:val="00A447F3"/>
    <w:rsid w:val="00A448D1"/>
    <w:rsid w:val="00A44C5B"/>
    <w:rsid w:val="00A44FB5"/>
    <w:rsid w:val="00A45AF9"/>
    <w:rsid w:val="00A45D4B"/>
    <w:rsid w:val="00A46532"/>
    <w:rsid w:val="00A46F7B"/>
    <w:rsid w:val="00A47320"/>
    <w:rsid w:val="00A47CF1"/>
    <w:rsid w:val="00A47D9A"/>
    <w:rsid w:val="00A47EA0"/>
    <w:rsid w:val="00A50C7D"/>
    <w:rsid w:val="00A52708"/>
    <w:rsid w:val="00A52BAE"/>
    <w:rsid w:val="00A53006"/>
    <w:rsid w:val="00A53DCC"/>
    <w:rsid w:val="00A53E95"/>
    <w:rsid w:val="00A546B7"/>
    <w:rsid w:val="00A54843"/>
    <w:rsid w:val="00A54BB9"/>
    <w:rsid w:val="00A55210"/>
    <w:rsid w:val="00A558AA"/>
    <w:rsid w:val="00A55AAA"/>
    <w:rsid w:val="00A55D8F"/>
    <w:rsid w:val="00A55D93"/>
    <w:rsid w:val="00A56148"/>
    <w:rsid w:val="00A562E4"/>
    <w:rsid w:val="00A56578"/>
    <w:rsid w:val="00A567AE"/>
    <w:rsid w:val="00A56E55"/>
    <w:rsid w:val="00A56E6C"/>
    <w:rsid w:val="00A56E8E"/>
    <w:rsid w:val="00A573C0"/>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1C5"/>
    <w:rsid w:val="00A62B01"/>
    <w:rsid w:val="00A62C09"/>
    <w:rsid w:val="00A62C9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346"/>
    <w:rsid w:val="00A7048E"/>
    <w:rsid w:val="00A71034"/>
    <w:rsid w:val="00A71063"/>
    <w:rsid w:val="00A7117D"/>
    <w:rsid w:val="00A71687"/>
    <w:rsid w:val="00A71CC6"/>
    <w:rsid w:val="00A7269B"/>
    <w:rsid w:val="00A7293B"/>
    <w:rsid w:val="00A729F3"/>
    <w:rsid w:val="00A72C49"/>
    <w:rsid w:val="00A7351E"/>
    <w:rsid w:val="00A735FF"/>
    <w:rsid w:val="00A73EEE"/>
    <w:rsid w:val="00A74010"/>
    <w:rsid w:val="00A74D07"/>
    <w:rsid w:val="00A750E4"/>
    <w:rsid w:val="00A75631"/>
    <w:rsid w:val="00A756B3"/>
    <w:rsid w:val="00A7575D"/>
    <w:rsid w:val="00A75C51"/>
    <w:rsid w:val="00A75E67"/>
    <w:rsid w:val="00A75FAD"/>
    <w:rsid w:val="00A7620A"/>
    <w:rsid w:val="00A76230"/>
    <w:rsid w:val="00A76799"/>
    <w:rsid w:val="00A76860"/>
    <w:rsid w:val="00A76A0A"/>
    <w:rsid w:val="00A76B6D"/>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9B0"/>
    <w:rsid w:val="00A84C23"/>
    <w:rsid w:val="00A84D30"/>
    <w:rsid w:val="00A8590E"/>
    <w:rsid w:val="00A86156"/>
    <w:rsid w:val="00A86190"/>
    <w:rsid w:val="00A86B7F"/>
    <w:rsid w:val="00A86BAA"/>
    <w:rsid w:val="00A86D7C"/>
    <w:rsid w:val="00A86DBD"/>
    <w:rsid w:val="00A872D8"/>
    <w:rsid w:val="00A875A4"/>
    <w:rsid w:val="00A87C08"/>
    <w:rsid w:val="00A87E71"/>
    <w:rsid w:val="00A87F31"/>
    <w:rsid w:val="00A900A1"/>
    <w:rsid w:val="00A90199"/>
    <w:rsid w:val="00A9072F"/>
    <w:rsid w:val="00A90B36"/>
    <w:rsid w:val="00A90BF4"/>
    <w:rsid w:val="00A90C7F"/>
    <w:rsid w:val="00A90E79"/>
    <w:rsid w:val="00A91314"/>
    <w:rsid w:val="00A91E1D"/>
    <w:rsid w:val="00A928E5"/>
    <w:rsid w:val="00A931E6"/>
    <w:rsid w:val="00A9328A"/>
    <w:rsid w:val="00A93B81"/>
    <w:rsid w:val="00A93B84"/>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22"/>
    <w:rsid w:val="00AA1C59"/>
    <w:rsid w:val="00AA1DA1"/>
    <w:rsid w:val="00AA1DE3"/>
    <w:rsid w:val="00AA2944"/>
    <w:rsid w:val="00AA3197"/>
    <w:rsid w:val="00AA3776"/>
    <w:rsid w:val="00AA3853"/>
    <w:rsid w:val="00AA4175"/>
    <w:rsid w:val="00AA432D"/>
    <w:rsid w:val="00AA470A"/>
    <w:rsid w:val="00AA5180"/>
    <w:rsid w:val="00AA52D7"/>
    <w:rsid w:val="00AA5BE6"/>
    <w:rsid w:val="00AA5CD7"/>
    <w:rsid w:val="00AA660F"/>
    <w:rsid w:val="00AA6CB9"/>
    <w:rsid w:val="00AA6E63"/>
    <w:rsid w:val="00AA6FC3"/>
    <w:rsid w:val="00AA71B6"/>
    <w:rsid w:val="00AA7259"/>
    <w:rsid w:val="00AA73F6"/>
    <w:rsid w:val="00AA74B9"/>
    <w:rsid w:val="00AA78F4"/>
    <w:rsid w:val="00AA7B98"/>
    <w:rsid w:val="00AB00D1"/>
    <w:rsid w:val="00AB0501"/>
    <w:rsid w:val="00AB075D"/>
    <w:rsid w:val="00AB0F0C"/>
    <w:rsid w:val="00AB1312"/>
    <w:rsid w:val="00AB2331"/>
    <w:rsid w:val="00AB25AC"/>
    <w:rsid w:val="00AB26C5"/>
    <w:rsid w:val="00AB28C0"/>
    <w:rsid w:val="00AB310A"/>
    <w:rsid w:val="00AB358F"/>
    <w:rsid w:val="00AB3A65"/>
    <w:rsid w:val="00AB3AD5"/>
    <w:rsid w:val="00AB3DEE"/>
    <w:rsid w:val="00AB4112"/>
    <w:rsid w:val="00AB4CF0"/>
    <w:rsid w:val="00AB5680"/>
    <w:rsid w:val="00AB5FB6"/>
    <w:rsid w:val="00AB600F"/>
    <w:rsid w:val="00AB647B"/>
    <w:rsid w:val="00AB6591"/>
    <w:rsid w:val="00AB6E12"/>
    <w:rsid w:val="00AB753F"/>
    <w:rsid w:val="00AB7661"/>
    <w:rsid w:val="00AC0284"/>
    <w:rsid w:val="00AC143B"/>
    <w:rsid w:val="00AC170B"/>
    <w:rsid w:val="00AC1985"/>
    <w:rsid w:val="00AC1C15"/>
    <w:rsid w:val="00AC2678"/>
    <w:rsid w:val="00AC2685"/>
    <w:rsid w:val="00AC29D8"/>
    <w:rsid w:val="00AC3016"/>
    <w:rsid w:val="00AC3085"/>
    <w:rsid w:val="00AC30EB"/>
    <w:rsid w:val="00AC3361"/>
    <w:rsid w:val="00AC38DD"/>
    <w:rsid w:val="00AC3BDD"/>
    <w:rsid w:val="00AC43B4"/>
    <w:rsid w:val="00AC4764"/>
    <w:rsid w:val="00AC4A8E"/>
    <w:rsid w:val="00AC4DD3"/>
    <w:rsid w:val="00AC5209"/>
    <w:rsid w:val="00AC566E"/>
    <w:rsid w:val="00AC66E9"/>
    <w:rsid w:val="00AC6A96"/>
    <w:rsid w:val="00AC6B21"/>
    <w:rsid w:val="00AC6BD2"/>
    <w:rsid w:val="00AC70BB"/>
    <w:rsid w:val="00AC72C5"/>
    <w:rsid w:val="00AC75F4"/>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D7F39"/>
    <w:rsid w:val="00AE00AA"/>
    <w:rsid w:val="00AE1321"/>
    <w:rsid w:val="00AE15B5"/>
    <w:rsid w:val="00AE1938"/>
    <w:rsid w:val="00AE1D4A"/>
    <w:rsid w:val="00AE1FCD"/>
    <w:rsid w:val="00AE2295"/>
    <w:rsid w:val="00AE315D"/>
    <w:rsid w:val="00AE3D31"/>
    <w:rsid w:val="00AE4250"/>
    <w:rsid w:val="00AE45E4"/>
    <w:rsid w:val="00AE4B92"/>
    <w:rsid w:val="00AE4C31"/>
    <w:rsid w:val="00AE4D8A"/>
    <w:rsid w:val="00AE64F5"/>
    <w:rsid w:val="00AE6936"/>
    <w:rsid w:val="00AE6BBE"/>
    <w:rsid w:val="00AE6C49"/>
    <w:rsid w:val="00AE7312"/>
    <w:rsid w:val="00AE75CD"/>
    <w:rsid w:val="00AE77E5"/>
    <w:rsid w:val="00AE787F"/>
    <w:rsid w:val="00AE79D7"/>
    <w:rsid w:val="00AE7C11"/>
    <w:rsid w:val="00AF0009"/>
    <w:rsid w:val="00AF002E"/>
    <w:rsid w:val="00AF011B"/>
    <w:rsid w:val="00AF0267"/>
    <w:rsid w:val="00AF1016"/>
    <w:rsid w:val="00AF1113"/>
    <w:rsid w:val="00AF13FB"/>
    <w:rsid w:val="00AF1E5E"/>
    <w:rsid w:val="00AF2B86"/>
    <w:rsid w:val="00AF2E2C"/>
    <w:rsid w:val="00AF37A9"/>
    <w:rsid w:val="00AF3945"/>
    <w:rsid w:val="00AF3E6C"/>
    <w:rsid w:val="00AF465B"/>
    <w:rsid w:val="00AF50EA"/>
    <w:rsid w:val="00AF56A7"/>
    <w:rsid w:val="00AF5B40"/>
    <w:rsid w:val="00AF5C21"/>
    <w:rsid w:val="00AF5FE1"/>
    <w:rsid w:val="00AF6108"/>
    <w:rsid w:val="00AF61C2"/>
    <w:rsid w:val="00AF647E"/>
    <w:rsid w:val="00AF6BF9"/>
    <w:rsid w:val="00AF6E2E"/>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6F6"/>
    <w:rsid w:val="00B048AB"/>
    <w:rsid w:val="00B0495B"/>
    <w:rsid w:val="00B04A07"/>
    <w:rsid w:val="00B04B12"/>
    <w:rsid w:val="00B04C3A"/>
    <w:rsid w:val="00B053C6"/>
    <w:rsid w:val="00B0540C"/>
    <w:rsid w:val="00B059A3"/>
    <w:rsid w:val="00B06AC5"/>
    <w:rsid w:val="00B06B65"/>
    <w:rsid w:val="00B06F86"/>
    <w:rsid w:val="00B070AD"/>
    <w:rsid w:val="00B07D55"/>
    <w:rsid w:val="00B105E0"/>
    <w:rsid w:val="00B109C6"/>
    <w:rsid w:val="00B11047"/>
    <w:rsid w:val="00B11722"/>
    <w:rsid w:val="00B11D60"/>
    <w:rsid w:val="00B11F6B"/>
    <w:rsid w:val="00B12554"/>
    <w:rsid w:val="00B126FA"/>
    <w:rsid w:val="00B12968"/>
    <w:rsid w:val="00B12A5F"/>
    <w:rsid w:val="00B12AAE"/>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A9"/>
    <w:rsid w:val="00B15ED2"/>
    <w:rsid w:val="00B15F47"/>
    <w:rsid w:val="00B1614B"/>
    <w:rsid w:val="00B16336"/>
    <w:rsid w:val="00B169A1"/>
    <w:rsid w:val="00B172DF"/>
    <w:rsid w:val="00B17699"/>
    <w:rsid w:val="00B17B7A"/>
    <w:rsid w:val="00B17C8B"/>
    <w:rsid w:val="00B2089F"/>
    <w:rsid w:val="00B20977"/>
    <w:rsid w:val="00B20A8F"/>
    <w:rsid w:val="00B20F3B"/>
    <w:rsid w:val="00B21173"/>
    <w:rsid w:val="00B21868"/>
    <w:rsid w:val="00B21BF6"/>
    <w:rsid w:val="00B21E91"/>
    <w:rsid w:val="00B22ECD"/>
    <w:rsid w:val="00B23063"/>
    <w:rsid w:val="00B23137"/>
    <w:rsid w:val="00B23409"/>
    <w:rsid w:val="00B2342E"/>
    <w:rsid w:val="00B23938"/>
    <w:rsid w:val="00B23D5E"/>
    <w:rsid w:val="00B245EB"/>
    <w:rsid w:val="00B2464C"/>
    <w:rsid w:val="00B2490F"/>
    <w:rsid w:val="00B24B40"/>
    <w:rsid w:val="00B24DA3"/>
    <w:rsid w:val="00B2510F"/>
    <w:rsid w:val="00B25678"/>
    <w:rsid w:val="00B2584C"/>
    <w:rsid w:val="00B25F61"/>
    <w:rsid w:val="00B264A3"/>
    <w:rsid w:val="00B265DD"/>
    <w:rsid w:val="00B27803"/>
    <w:rsid w:val="00B27A76"/>
    <w:rsid w:val="00B27CD5"/>
    <w:rsid w:val="00B27CF2"/>
    <w:rsid w:val="00B300DE"/>
    <w:rsid w:val="00B30217"/>
    <w:rsid w:val="00B303A6"/>
    <w:rsid w:val="00B30804"/>
    <w:rsid w:val="00B30AE5"/>
    <w:rsid w:val="00B30F18"/>
    <w:rsid w:val="00B3169D"/>
    <w:rsid w:val="00B31EAC"/>
    <w:rsid w:val="00B3230B"/>
    <w:rsid w:val="00B32AC7"/>
    <w:rsid w:val="00B32DB9"/>
    <w:rsid w:val="00B33092"/>
    <w:rsid w:val="00B33323"/>
    <w:rsid w:val="00B3355D"/>
    <w:rsid w:val="00B33740"/>
    <w:rsid w:val="00B33C24"/>
    <w:rsid w:val="00B345D3"/>
    <w:rsid w:val="00B348E8"/>
    <w:rsid w:val="00B350B8"/>
    <w:rsid w:val="00B35EB7"/>
    <w:rsid w:val="00B3608A"/>
    <w:rsid w:val="00B363E9"/>
    <w:rsid w:val="00B36481"/>
    <w:rsid w:val="00B36F12"/>
    <w:rsid w:val="00B36FA4"/>
    <w:rsid w:val="00B375BD"/>
    <w:rsid w:val="00B37F6B"/>
    <w:rsid w:val="00B40348"/>
    <w:rsid w:val="00B405D3"/>
    <w:rsid w:val="00B4096B"/>
    <w:rsid w:val="00B40ABF"/>
    <w:rsid w:val="00B40C30"/>
    <w:rsid w:val="00B40E79"/>
    <w:rsid w:val="00B40EF4"/>
    <w:rsid w:val="00B41507"/>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41E"/>
    <w:rsid w:val="00B508A6"/>
    <w:rsid w:val="00B50CAB"/>
    <w:rsid w:val="00B50D78"/>
    <w:rsid w:val="00B50F8B"/>
    <w:rsid w:val="00B510C4"/>
    <w:rsid w:val="00B51255"/>
    <w:rsid w:val="00B5193C"/>
    <w:rsid w:val="00B519BE"/>
    <w:rsid w:val="00B51E49"/>
    <w:rsid w:val="00B524AA"/>
    <w:rsid w:val="00B52E44"/>
    <w:rsid w:val="00B52F0A"/>
    <w:rsid w:val="00B53988"/>
    <w:rsid w:val="00B539B2"/>
    <w:rsid w:val="00B543EA"/>
    <w:rsid w:val="00B55277"/>
    <w:rsid w:val="00B5586D"/>
    <w:rsid w:val="00B55F57"/>
    <w:rsid w:val="00B564BA"/>
    <w:rsid w:val="00B569AB"/>
    <w:rsid w:val="00B56C98"/>
    <w:rsid w:val="00B56D3C"/>
    <w:rsid w:val="00B572D2"/>
    <w:rsid w:val="00B574E7"/>
    <w:rsid w:val="00B57596"/>
    <w:rsid w:val="00B60541"/>
    <w:rsid w:val="00B60ADD"/>
    <w:rsid w:val="00B60BBC"/>
    <w:rsid w:val="00B61880"/>
    <w:rsid w:val="00B61F77"/>
    <w:rsid w:val="00B62204"/>
    <w:rsid w:val="00B622B8"/>
    <w:rsid w:val="00B62DB8"/>
    <w:rsid w:val="00B636C9"/>
    <w:rsid w:val="00B63851"/>
    <w:rsid w:val="00B63B65"/>
    <w:rsid w:val="00B63E07"/>
    <w:rsid w:val="00B642B7"/>
    <w:rsid w:val="00B6434E"/>
    <w:rsid w:val="00B645F8"/>
    <w:rsid w:val="00B647BE"/>
    <w:rsid w:val="00B64EEA"/>
    <w:rsid w:val="00B64FB7"/>
    <w:rsid w:val="00B651D0"/>
    <w:rsid w:val="00B65408"/>
    <w:rsid w:val="00B65833"/>
    <w:rsid w:val="00B65BA6"/>
    <w:rsid w:val="00B65D0C"/>
    <w:rsid w:val="00B66F10"/>
    <w:rsid w:val="00B67A4F"/>
    <w:rsid w:val="00B67AAB"/>
    <w:rsid w:val="00B67ABF"/>
    <w:rsid w:val="00B70AE5"/>
    <w:rsid w:val="00B70B46"/>
    <w:rsid w:val="00B710F6"/>
    <w:rsid w:val="00B71118"/>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E4A"/>
    <w:rsid w:val="00B77054"/>
    <w:rsid w:val="00B80454"/>
    <w:rsid w:val="00B80CB1"/>
    <w:rsid w:val="00B80E2D"/>
    <w:rsid w:val="00B80E61"/>
    <w:rsid w:val="00B80F3B"/>
    <w:rsid w:val="00B8112C"/>
    <w:rsid w:val="00B818D4"/>
    <w:rsid w:val="00B8190D"/>
    <w:rsid w:val="00B819DF"/>
    <w:rsid w:val="00B8248A"/>
    <w:rsid w:val="00B82EEC"/>
    <w:rsid w:val="00B82F1C"/>
    <w:rsid w:val="00B839AC"/>
    <w:rsid w:val="00B839E7"/>
    <w:rsid w:val="00B8406E"/>
    <w:rsid w:val="00B84391"/>
    <w:rsid w:val="00B84624"/>
    <w:rsid w:val="00B847A4"/>
    <w:rsid w:val="00B84908"/>
    <w:rsid w:val="00B852F0"/>
    <w:rsid w:val="00B855EB"/>
    <w:rsid w:val="00B85BC1"/>
    <w:rsid w:val="00B85D2E"/>
    <w:rsid w:val="00B85D7F"/>
    <w:rsid w:val="00B85D95"/>
    <w:rsid w:val="00B86505"/>
    <w:rsid w:val="00B86B7A"/>
    <w:rsid w:val="00B86E2F"/>
    <w:rsid w:val="00B871DD"/>
    <w:rsid w:val="00B8756D"/>
    <w:rsid w:val="00B87B66"/>
    <w:rsid w:val="00B902D9"/>
    <w:rsid w:val="00B9046D"/>
    <w:rsid w:val="00B9049B"/>
    <w:rsid w:val="00B90517"/>
    <w:rsid w:val="00B905F8"/>
    <w:rsid w:val="00B90CD2"/>
    <w:rsid w:val="00B90FE7"/>
    <w:rsid w:val="00B91253"/>
    <w:rsid w:val="00B91398"/>
    <w:rsid w:val="00B91677"/>
    <w:rsid w:val="00B91960"/>
    <w:rsid w:val="00B920A0"/>
    <w:rsid w:val="00B93335"/>
    <w:rsid w:val="00B9344F"/>
    <w:rsid w:val="00B9369C"/>
    <w:rsid w:val="00B938EB"/>
    <w:rsid w:val="00B943F8"/>
    <w:rsid w:val="00B94C00"/>
    <w:rsid w:val="00B94E21"/>
    <w:rsid w:val="00B951E1"/>
    <w:rsid w:val="00B95643"/>
    <w:rsid w:val="00B95F73"/>
    <w:rsid w:val="00B95FAD"/>
    <w:rsid w:val="00B962B1"/>
    <w:rsid w:val="00B965B8"/>
    <w:rsid w:val="00B96784"/>
    <w:rsid w:val="00B967BB"/>
    <w:rsid w:val="00B96A04"/>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2C"/>
    <w:rsid w:val="00BA2F96"/>
    <w:rsid w:val="00BA30E6"/>
    <w:rsid w:val="00BA3A80"/>
    <w:rsid w:val="00BA3C5D"/>
    <w:rsid w:val="00BA3E53"/>
    <w:rsid w:val="00BA5013"/>
    <w:rsid w:val="00BA5376"/>
    <w:rsid w:val="00BA551F"/>
    <w:rsid w:val="00BA584F"/>
    <w:rsid w:val="00BA6A1C"/>
    <w:rsid w:val="00BA6D96"/>
    <w:rsid w:val="00BA6EC1"/>
    <w:rsid w:val="00BA7074"/>
    <w:rsid w:val="00BA7C6B"/>
    <w:rsid w:val="00BA7D35"/>
    <w:rsid w:val="00BB0387"/>
    <w:rsid w:val="00BB063F"/>
    <w:rsid w:val="00BB0C8F"/>
    <w:rsid w:val="00BB1311"/>
    <w:rsid w:val="00BB1A9F"/>
    <w:rsid w:val="00BB1C25"/>
    <w:rsid w:val="00BB1C70"/>
    <w:rsid w:val="00BB1FD1"/>
    <w:rsid w:val="00BB234D"/>
    <w:rsid w:val="00BB257C"/>
    <w:rsid w:val="00BB2915"/>
    <w:rsid w:val="00BB29FD"/>
    <w:rsid w:val="00BB350E"/>
    <w:rsid w:val="00BB39FA"/>
    <w:rsid w:val="00BB40CB"/>
    <w:rsid w:val="00BB4A2E"/>
    <w:rsid w:val="00BB5618"/>
    <w:rsid w:val="00BB5F51"/>
    <w:rsid w:val="00BB6039"/>
    <w:rsid w:val="00BB67CA"/>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DA0"/>
    <w:rsid w:val="00BC3AD5"/>
    <w:rsid w:val="00BC42FE"/>
    <w:rsid w:val="00BC45BF"/>
    <w:rsid w:val="00BC489D"/>
    <w:rsid w:val="00BC4A9B"/>
    <w:rsid w:val="00BC4B26"/>
    <w:rsid w:val="00BC4DE1"/>
    <w:rsid w:val="00BC530B"/>
    <w:rsid w:val="00BC5751"/>
    <w:rsid w:val="00BC6429"/>
    <w:rsid w:val="00BC7770"/>
    <w:rsid w:val="00BC7A79"/>
    <w:rsid w:val="00BC7B1D"/>
    <w:rsid w:val="00BD02BD"/>
    <w:rsid w:val="00BD0907"/>
    <w:rsid w:val="00BD0A80"/>
    <w:rsid w:val="00BD0A87"/>
    <w:rsid w:val="00BD0F28"/>
    <w:rsid w:val="00BD1F5C"/>
    <w:rsid w:val="00BD2269"/>
    <w:rsid w:val="00BD2482"/>
    <w:rsid w:val="00BD2F33"/>
    <w:rsid w:val="00BD3177"/>
    <w:rsid w:val="00BD31FC"/>
    <w:rsid w:val="00BD34A4"/>
    <w:rsid w:val="00BD36A5"/>
    <w:rsid w:val="00BD391B"/>
    <w:rsid w:val="00BD3E03"/>
    <w:rsid w:val="00BD43F4"/>
    <w:rsid w:val="00BD4B8D"/>
    <w:rsid w:val="00BD4C71"/>
    <w:rsid w:val="00BD4D00"/>
    <w:rsid w:val="00BD4D3B"/>
    <w:rsid w:val="00BD5DBA"/>
    <w:rsid w:val="00BD5FE1"/>
    <w:rsid w:val="00BD6368"/>
    <w:rsid w:val="00BD69FF"/>
    <w:rsid w:val="00BD6B8E"/>
    <w:rsid w:val="00BD6DAB"/>
    <w:rsid w:val="00BE0061"/>
    <w:rsid w:val="00BE03AB"/>
    <w:rsid w:val="00BE0DD0"/>
    <w:rsid w:val="00BE115A"/>
    <w:rsid w:val="00BE121D"/>
    <w:rsid w:val="00BE16E7"/>
    <w:rsid w:val="00BE21E9"/>
    <w:rsid w:val="00BE2434"/>
    <w:rsid w:val="00BE2C0A"/>
    <w:rsid w:val="00BE2ECC"/>
    <w:rsid w:val="00BE3054"/>
    <w:rsid w:val="00BE3205"/>
    <w:rsid w:val="00BE33C3"/>
    <w:rsid w:val="00BE3662"/>
    <w:rsid w:val="00BE3A19"/>
    <w:rsid w:val="00BE3B86"/>
    <w:rsid w:val="00BE3BAE"/>
    <w:rsid w:val="00BE3FCC"/>
    <w:rsid w:val="00BE479F"/>
    <w:rsid w:val="00BE4AD8"/>
    <w:rsid w:val="00BE53D7"/>
    <w:rsid w:val="00BE5C76"/>
    <w:rsid w:val="00BE5D5D"/>
    <w:rsid w:val="00BE623B"/>
    <w:rsid w:val="00BE64DF"/>
    <w:rsid w:val="00BE6985"/>
    <w:rsid w:val="00BE6AEA"/>
    <w:rsid w:val="00BE6C75"/>
    <w:rsid w:val="00BE6E4F"/>
    <w:rsid w:val="00BE7277"/>
    <w:rsid w:val="00BE727F"/>
    <w:rsid w:val="00BE749A"/>
    <w:rsid w:val="00BE78F8"/>
    <w:rsid w:val="00BE799F"/>
    <w:rsid w:val="00BE7CD3"/>
    <w:rsid w:val="00BF06B5"/>
    <w:rsid w:val="00BF074A"/>
    <w:rsid w:val="00BF0BD5"/>
    <w:rsid w:val="00BF0DB1"/>
    <w:rsid w:val="00BF121B"/>
    <w:rsid w:val="00BF129E"/>
    <w:rsid w:val="00BF1657"/>
    <w:rsid w:val="00BF1731"/>
    <w:rsid w:val="00BF17CE"/>
    <w:rsid w:val="00BF1F7B"/>
    <w:rsid w:val="00BF239C"/>
    <w:rsid w:val="00BF2A83"/>
    <w:rsid w:val="00BF337A"/>
    <w:rsid w:val="00BF378B"/>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BF75B6"/>
    <w:rsid w:val="00C0029D"/>
    <w:rsid w:val="00C00590"/>
    <w:rsid w:val="00C00D46"/>
    <w:rsid w:val="00C00F71"/>
    <w:rsid w:val="00C0149D"/>
    <w:rsid w:val="00C01799"/>
    <w:rsid w:val="00C02C64"/>
    <w:rsid w:val="00C02CA3"/>
    <w:rsid w:val="00C02F69"/>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4D"/>
    <w:rsid w:val="00C11695"/>
    <w:rsid w:val="00C11D6F"/>
    <w:rsid w:val="00C129FE"/>
    <w:rsid w:val="00C12B51"/>
    <w:rsid w:val="00C131C8"/>
    <w:rsid w:val="00C13757"/>
    <w:rsid w:val="00C13BF9"/>
    <w:rsid w:val="00C13E51"/>
    <w:rsid w:val="00C14FF2"/>
    <w:rsid w:val="00C15249"/>
    <w:rsid w:val="00C153E9"/>
    <w:rsid w:val="00C1584C"/>
    <w:rsid w:val="00C15F04"/>
    <w:rsid w:val="00C162AB"/>
    <w:rsid w:val="00C16446"/>
    <w:rsid w:val="00C165B0"/>
    <w:rsid w:val="00C16694"/>
    <w:rsid w:val="00C16C57"/>
    <w:rsid w:val="00C171F3"/>
    <w:rsid w:val="00C17255"/>
    <w:rsid w:val="00C17501"/>
    <w:rsid w:val="00C17C5C"/>
    <w:rsid w:val="00C204E3"/>
    <w:rsid w:val="00C20A12"/>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2E19"/>
    <w:rsid w:val="00C3308E"/>
    <w:rsid w:val="00C337EE"/>
    <w:rsid w:val="00C33AA3"/>
    <w:rsid w:val="00C33AD2"/>
    <w:rsid w:val="00C33EDA"/>
    <w:rsid w:val="00C3422A"/>
    <w:rsid w:val="00C352E1"/>
    <w:rsid w:val="00C352F7"/>
    <w:rsid w:val="00C353BB"/>
    <w:rsid w:val="00C3559D"/>
    <w:rsid w:val="00C35BC1"/>
    <w:rsid w:val="00C360F4"/>
    <w:rsid w:val="00C36E5C"/>
    <w:rsid w:val="00C37109"/>
    <w:rsid w:val="00C371F3"/>
    <w:rsid w:val="00C37563"/>
    <w:rsid w:val="00C37A9D"/>
    <w:rsid w:val="00C400FF"/>
    <w:rsid w:val="00C40519"/>
    <w:rsid w:val="00C40B05"/>
    <w:rsid w:val="00C40E17"/>
    <w:rsid w:val="00C40E1B"/>
    <w:rsid w:val="00C41055"/>
    <w:rsid w:val="00C41587"/>
    <w:rsid w:val="00C41B61"/>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AF"/>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47F"/>
    <w:rsid w:val="00C546E6"/>
    <w:rsid w:val="00C547AA"/>
    <w:rsid w:val="00C54E17"/>
    <w:rsid w:val="00C54ECA"/>
    <w:rsid w:val="00C55300"/>
    <w:rsid w:val="00C5546E"/>
    <w:rsid w:val="00C55777"/>
    <w:rsid w:val="00C5620E"/>
    <w:rsid w:val="00C56414"/>
    <w:rsid w:val="00C56AD6"/>
    <w:rsid w:val="00C56BD6"/>
    <w:rsid w:val="00C56E68"/>
    <w:rsid w:val="00C574F1"/>
    <w:rsid w:val="00C57D8D"/>
    <w:rsid w:val="00C60DDF"/>
    <w:rsid w:val="00C612B7"/>
    <w:rsid w:val="00C6146D"/>
    <w:rsid w:val="00C61A70"/>
    <w:rsid w:val="00C61FA5"/>
    <w:rsid w:val="00C62947"/>
    <w:rsid w:val="00C6302D"/>
    <w:rsid w:val="00C6309F"/>
    <w:rsid w:val="00C632E3"/>
    <w:rsid w:val="00C6341E"/>
    <w:rsid w:val="00C63422"/>
    <w:rsid w:val="00C634C1"/>
    <w:rsid w:val="00C6359F"/>
    <w:rsid w:val="00C63B6A"/>
    <w:rsid w:val="00C641E8"/>
    <w:rsid w:val="00C6448F"/>
    <w:rsid w:val="00C645EB"/>
    <w:rsid w:val="00C6476C"/>
    <w:rsid w:val="00C64B9E"/>
    <w:rsid w:val="00C64CF9"/>
    <w:rsid w:val="00C6519A"/>
    <w:rsid w:val="00C6535C"/>
    <w:rsid w:val="00C65AB0"/>
    <w:rsid w:val="00C67C03"/>
    <w:rsid w:val="00C70998"/>
    <w:rsid w:val="00C70C6E"/>
    <w:rsid w:val="00C70CF5"/>
    <w:rsid w:val="00C71230"/>
    <w:rsid w:val="00C7139E"/>
    <w:rsid w:val="00C71BAB"/>
    <w:rsid w:val="00C72CE6"/>
    <w:rsid w:val="00C73D67"/>
    <w:rsid w:val="00C7470A"/>
    <w:rsid w:val="00C74991"/>
    <w:rsid w:val="00C749B6"/>
    <w:rsid w:val="00C75065"/>
    <w:rsid w:val="00C755B9"/>
    <w:rsid w:val="00C757A8"/>
    <w:rsid w:val="00C76352"/>
    <w:rsid w:val="00C76510"/>
    <w:rsid w:val="00C76719"/>
    <w:rsid w:val="00C76A30"/>
    <w:rsid w:val="00C77077"/>
    <w:rsid w:val="00C771A5"/>
    <w:rsid w:val="00C776B7"/>
    <w:rsid w:val="00C80544"/>
    <w:rsid w:val="00C806EB"/>
    <w:rsid w:val="00C8091B"/>
    <w:rsid w:val="00C80993"/>
    <w:rsid w:val="00C80A7E"/>
    <w:rsid w:val="00C81B57"/>
    <w:rsid w:val="00C82256"/>
    <w:rsid w:val="00C822DF"/>
    <w:rsid w:val="00C826DB"/>
    <w:rsid w:val="00C828D0"/>
    <w:rsid w:val="00C82A44"/>
    <w:rsid w:val="00C82EA7"/>
    <w:rsid w:val="00C836B4"/>
    <w:rsid w:val="00C83930"/>
    <w:rsid w:val="00C83AC6"/>
    <w:rsid w:val="00C83AE7"/>
    <w:rsid w:val="00C841E2"/>
    <w:rsid w:val="00C84969"/>
    <w:rsid w:val="00C84B19"/>
    <w:rsid w:val="00C85013"/>
    <w:rsid w:val="00C85355"/>
    <w:rsid w:val="00C85477"/>
    <w:rsid w:val="00C85542"/>
    <w:rsid w:val="00C85667"/>
    <w:rsid w:val="00C85D85"/>
    <w:rsid w:val="00C85F31"/>
    <w:rsid w:val="00C86654"/>
    <w:rsid w:val="00C86937"/>
    <w:rsid w:val="00C86973"/>
    <w:rsid w:val="00C87039"/>
    <w:rsid w:val="00C877A4"/>
    <w:rsid w:val="00C87862"/>
    <w:rsid w:val="00C87BF4"/>
    <w:rsid w:val="00C9007E"/>
    <w:rsid w:val="00C9008E"/>
    <w:rsid w:val="00C901EC"/>
    <w:rsid w:val="00C9030B"/>
    <w:rsid w:val="00C90799"/>
    <w:rsid w:val="00C90F20"/>
    <w:rsid w:val="00C91824"/>
    <w:rsid w:val="00C91C4D"/>
    <w:rsid w:val="00C91E06"/>
    <w:rsid w:val="00C93246"/>
    <w:rsid w:val="00C935FB"/>
    <w:rsid w:val="00C939F2"/>
    <w:rsid w:val="00C93C9D"/>
    <w:rsid w:val="00C93DD6"/>
    <w:rsid w:val="00C94032"/>
    <w:rsid w:val="00C940C9"/>
    <w:rsid w:val="00C94160"/>
    <w:rsid w:val="00C941BE"/>
    <w:rsid w:val="00C945EB"/>
    <w:rsid w:val="00C947B7"/>
    <w:rsid w:val="00C94826"/>
    <w:rsid w:val="00C94889"/>
    <w:rsid w:val="00C9490C"/>
    <w:rsid w:val="00C94EAD"/>
    <w:rsid w:val="00C953E4"/>
    <w:rsid w:val="00C958A2"/>
    <w:rsid w:val="00C9596D"/>
    <w:rsid w:val="00C9624C"/>
    <w:rsid w:val="00C9684A"/>
    <w:rsid w:val="00C96BF3"/>
    <w:rsid w:val="00C971FB"/>
    <w:rsid w:val="00C97247"/>
    <w:rsid w:val="00C97683"/>
    <w:rsid w:val="00C97BED"/>
    <w:rsid w:val="00C97E00"/>
    <w:rsid w:val="00CA00BF"/>
    <w:rsid w:val="00CA0321"/>
    <w:rsid w:val="00CA06DF"/>
    <w:rsid w:val="00CA0B1D"/>
    <w:rsid w:val="00CA0B51"/>
    <w:rsid w:val="00CA0B60"/>
    <w:rsid w:val="00CA0C02"/>
    <w:rsid w:val="00CA1620"/>
    <w:rsid w:val="00CA1B3D"/>
    <w:rsid w:val="00CA2333"/>
    <w:rsid w:val="00CA280C"/>
    <w:rsid w:val="00CA281A"/>
    <w:rsid w:val="00CA2B79"/>
    <w:rsid w:val="00CA3962"/>
    <w:rsid w:val="00CA3E4B"/>
    <w:rsid w:val="00CA4364"/>
    <w:rsid w:val="00CA4406"/>
    <w:rsid w:val="00CA4696"/>
    <w:rsid w:val="00CA4AFE"/>
    <w:rsid w:val="00CA4B19"/>
    <w:rsid w:val="00CA4B25"/>
    <w:rsid w:val="00CA4C29"/>
    <w:rsid w:val="00CA52CB"/>
    <w:rsid w:val="00CA569F"/>
    <w:rsid w:val="00CA583D"/>
    <w:rsid w:val="00CA6460"/>
    <w:rsid w:val="00CA6537"/>
    <w:rsid w:val="00CA6D73"/>
    <w:rsid w:val="00CB01AB"/>
    <w:rsid w:val="00CB0380"/>
    <w:rsid w:val="00CB03A8"/>
    <w:rsid w:val="00CB0594"/>
    <w:rsid w:val="00CB05E5"/>
    <w:rsid w:val="00CB0AA0"/>
    <w:rsid w:val="00CB0CA9"/>
    <w:rsid w:val="00CB0DA0"/>
    <w:rsid w:val="00CB1B48"/>
    <w:rsid w:val="00CB27E5"/>
    <w:rsid w:val="00CB3184"/>
    <w:rsid w:val="00CB32B7"/>
    <w:rsid w:val="00CB35AA"/>
    <w:rsid w:val="00CB371C"/>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6B3B"/>
    <w:rsid w:val="00CC714F"/>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1AF"/>
    <w:rsid w:val="00CE3559"/>
    <w:rsid w:val="00CE3600"/>
    <w:rsid w:val="00CE3946"/>
    <w:rsid w:val="00CE3C10"/>
    <w:rsid w:val="00CE40C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1C1"/>
    <w:rsid w:val="00CF42F9"/>
    <w:rsid w:val="00CF4B71"/>
    <w:rsid w:val="00CF4DC8"/>
    <w:rsid w:val="00CF5C92"/>
    <w:rsid w:val="00CF67D4"/>
    <w:rsid w:val="00CF713D"/>
    <w:rsid w:val="00CF71B1"/>
    <w:rsid w:val="00CF71CA"/>
    <w:rsid w:val="00CF7766"/>
    <w:rsid w:val="00CF7975"/>
    <w:rsid w:val="00CF799A"/>
    <w:rsid w:val="00CF7ABE"/>
    <w:rsid w:val="00CF7BEA"/>
    <w:rsid w:val="00CF7CC1"/>
    <w:rsid w:val="00CF7DA2"/>
    <w:rsid w:val="00D000DF"/>
    <w:rsid w:val="00D00585"/>
    <w:rsid w:val="00D00E51"/>
    <w:rsid w:val="00D013DD"/>
    <w:rsid w:val="00D0171D"/>
    <w:rsid w:val="00D0173A"/>
    <w:rsid w:val="00D01C34"/>
    <w:rsid w:val="00D01F81"/>
    <w:rsid w:val="00D01FE6"/>
    <w:rsid w:val="00D02438"/>
    <w:rsid w:val="00D0261F"/>
    <w:rsid w:val="00D02974"/>
    <w:rsid w:val="00D030C1"/>
    <w:rsid w:val="00D03264"/>
    <w:rsid w:val="00D036DD"/>
    <w:rsid w:val="00D03E98"/>
    <w:rsid w:val="00D03F7A"/>
    <w:rsid w:val="00D042AD"/>
    <w:rsid w:val="00D04900"/>
    <w:rsid w:val="00D04BBC"/>
    <w:rsid w:val="00D058D1"/>
    <w:rsid w:val="00D05BE7"/>
    <w:rsid w:val="00D06000"/>
    <w:rsid w:val="00D064C1"/>
    <w:rsid w:val="00D0739E"/>
    <w:rsid w:val="00D0777B"/>
    <w:rsid w:val="00D07CAD"/>
    <w:rsid w:val="00D102D1"/>
    <w:rsid w:val="00D10AA6"/>
    <w:rsid w:val="00D10D73"/>
    <w:rsid w:val="00D1136E"/>
    <w:rsid w:val="00D12244"/>
    <w:rsid w:val="00D12631"/>
    <w:rsid w:val="00D12704"/>
    <w:rsid w:val="00D12749"/>
    <w:rsid w:val="00D13514"/>
    <w:rsid w:val="00D13643"/>
    <w:rsid w:val="00D13CC0"/>
    <w:rsid w:val="00D13F75"/>
    <w:rsid w:val="00D142E5"/>
    <w:rsid w:val="00D1434E"/>
    <w:rsid w:val="00D144B9"/>
    <w:rsid w:val="00D1523F"/>
    <w:rsid w:val="00D155D3"/>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2E74"/>
    <w:rsid w:val="00D22F33"/>
    <w:rsid w:val="00D233BB"/>
    <w:rsid w:val="00D2343F"/>
    <w:rsid w:val="00D24299"/>
    <w:rsid w:val="00D2440F"/>
    <w:rsid w:val="00D24792"/>
    <w:rsid w:val="00D248E2"/>
    <w:rsid w:val="00D24937"/>
    <w:rsid w:val="00D249A1"/>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0BEB"/>
    <w:rsid w:val="00D311B9"/>
    <w:rsid w:val="00D311F7"/>
    <w:rsid w:val="00D31531"/>
    <w:rsid w:val="00D317CA"/>
    <w:rsid w:val="00D31B2A"/>
    <w:rsid w:val="00D31E0E"/>
    <w:rsid w:val="00D31E3A"/>
    <w:rsid w:val="00D320BD"/>
    <w:rsid w:val="00D32523"/>
    <w:rsid w:val="00D3268B"/>
    <w:rsid w:val="00D327C1"/>
    <w:rsid w:val="00D3291F"/>
    <w:rsid w:val="00D331B4"/>
    <w:rsid w:val="00D33CBE"/>
    <w:rsid w:val="00D346D1"/>
    <w:rsid w:val="00D34CBC"/>
    <w:rsid w:val="00D35716"/>
    <w:rsid w:val="00D35811"/>
    <w:rsid w:val="00D35A0F"/>
    <w:rsid w:val="00D35F84"/>
    <w:rsid w:val="00D35FBF"/>
    <w:rsid w:val="00D366E1"/>
    <w:rsid w:val="00D369E6"/>
    <w:rsid w:val="00D37AF3"/>
    <w:rsid w:val="00D40373"/>
    <w:rsid w:val="00D40565"/>
    <w:rsid w:val="00D407D4"/>
    <w:rsid w:val="00D40886"/>
    <w:rsid w:val="00D409D4"/>
    <w:rsid w:val="00D40CBD"/>
    <w:rsid w:val="00D40CE3"/>
    <w:rsid w:val="00D40D0D"/>
    <w:rsid w:val="00D41520"/>
    <w:rsid w:val="00D41F9A"/>
    <w:rsid w:val="00D42277"/>
    <w:rsid w:val="00D42725"/>
    <w:rsid w:val="00D42A7A"/>
    <w:rsid w:val="00D42B41"/>
    <w:rsid w:val="00D430CE"/>
    <w:rsid w:val="00D430E8"/>
    <w:rsid w:val="00D43EE0"/>
    <w:rsid w:val="00D43F5C"/>
    <w:rsid w:val="00D44364"/>
    <w:rsid w:val="00D443A3"/>
    <w:rsid w:val="00D4648C"/>
    <w:rsid w:val="00D468D3"/>
    <w:rsid w:val="00D46A79"/>
    <w:rsid w:val="00D4703E"/>
    <w:rsid w:val="00D47EF7"/>
    <w:rsid w:val="00D47FDB"/>
    <w:rsid w:val="00D505D5"/>
    <w:rsid w:val="00D50F8B"/>
    <w:rsid w:val="00D510B6"/>
    <w:rsid w:val="00D51138"/>
    <w:rsid w:val="00D51351"/>
    <w:rsid w:val="00D51975"/>
    <w:rsid w:val="00D51FF8"/>
    <w:rsid w:val="00D529C8"/>
    <w:rsid w:val="00D52E2B"/>
    <w:rsid w:val="00D52E87"/>
    <w:rsid w:val="00D532F2"/>
    <w:rsid w:val="00D53910"/>
    <w:rsid w:val="00D53F0F"/>
    <w:rsid w:val="00D53F60"/>
    <w:rsid w:val="00D5428B"/>
    <w:rsid w:val="00D544BD"/>
    <w:rsid w:val="00D54553"/>
    <w:rsid w:val="00D546FB"/>
    <w:rsid w:val="00D55057"/>
    <w:rsid w:val="00D55835"/>
    <w:rsid w:val="00D55FE8"/>
    <w:rsid w:val="00D561B4"/>
    <w:rsid w:val="00D56285"/>
    <w:rsid w:val="00D5640B"/>
    <w:rsid w:val="00D56435"/>
    <w:rsid w:val="00D56941"/>
    <w:rsid w:val="00D56ADE"/>
    <w:rsid w:val="00D57070"/>
    <w:rsid w:val="00D574A4"/>
    <w:rsid w:val="00D5789E"/>
    <w:rsid w:val="00D57BE1"/>
    <w:rsid w:val="00D57EA3"/>
    <w:rsid w:val="00D57F65"/>
    <w:rsid w:val="00D6010F"/>
    <w:rsid w:val="00D60518"/>
    <w:rsid w:val="00D60600"/>
    <w:rsid w:val="00D60CB7"/>
    <w:rsid w:val="00D60D19"/>
    <w:rsid w:val="00D61658"/>
    <w:rsid w:val="00D616D7"/>
    <w:rsid w:val="00D6235A"/>
    <w:rsid w:val="00D6238D"/>
    <w:rsid w:val="00D6350E"/>
    <w:rsid w:val="00D63550"/>
    <w:rsid w:val="00D636E7"/>
    <w:rsid w:val="00D63991"/>
    <w:rsid w:val="00D63AF3"/>
    <w:rsid w:val="00D6405F"/>
    <w:rsid w:val="00D64559"/>
    <w:rsid w:val="00D64874"/>
    <w:rsid w:val="00D64DE0"/>
    <w:rsid w:val="00D65263"/>
    <w:rsid w:val="00D65973"/>
    <w:rsid w:val="00D65BAB"/>
    <w:rsid w:val="00D65FFF"/>
    <w:rsid w:val="00D66301"/>
    <w:rsid w:val="00D6651C"/>
    <w:rsid w:val="00D66952"/>
    <w:rsid w:val="00D66CB2"/>
    <w:rsid w:val="00D66F4E"/>
    <w:rsid w:val="00D67066"/>
    <w:rsid w:val="00D6731B"/>
    <w:rsid w:val="00D678C7"/>
    <w:rsid w:val="00D7022F"/>
    <w:rsid w:val="00D7024E"/>
    <w:rsid w:val="00D7027F"/>
    <w:rsid w:val="00D70732"/>
    <w:rsid w:val="00D709C2"/>
    <w:rsid w:val="00D70E21"/>
    <w:rsid w:val="00D7158D"/>
    <w:rsid w:val="00D71A6D"/>
    <w:rsid w:val="00D71B05"/>
    <w:rsid w:val="00D72013"/>
    <w:rsid w:val="00D722AF"/>
    <w:rsid w:val="00D7287A"/>
    <w:rsid w:val="00D72902"/>
    <w:rsid w:val="00D72BEC"/>
    <w:rsid w:val="00D72E22"/>
    <w:rsid w:val="00D7301E"/>
    <w:rsid w:val="00D73124"/>
    <w:rsid w:val="00D73CAC"/>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0A"/>
    <w:rsid w:val="00D807ED"/>
    <w:rsid w:val="00D80C72"/>
    <w:rsid w:val="00D81015"/>
    <w:rsid w:val="00D81035"/>
    <w:rsid w:val="00D81594"/>
    <w:rsid w:val="00D82740"/>
    <w:rsid w:val="00D82D4A"/>
    <w:rsid w:val="00D82F6A"/>
    <w:rsid w:val="00D836F9"/>
    <w:rsid w:val="00D83A43"/>
    <w:rsid w:val="00D83FAC"/>
    <w:rsid w:val="00D842B5"/>
    <w:rsid w:val="00D844CB"/>
    <w:rsid w:val="00D849D5"/>
    <w:rsid w:val="00D84C77"/>
    <w:rsid w:val="00D85097"/>
    <w:rsid w:val="00D85456"/>
    <w:rsid w:val="00D85A17"/>
    <w:rsid w:val="00D85A58"/>
    <w:rsid w:val="00D868FE"/>
    <w:rsid w:val="00D86FEE"/>
    <w:rsid w:val="00D874C1"/>
    <w:rsid w:val="00D87988"/>
    <w:rsid w:val="00D87B28"/>
    <w:rsid w:val="00D87FFA"/>
    <w:rsid w:val="00D900EF"/>
    <w:rsid w:val="00D9124A"/>
    <w:rsid w:val="00D91346"/>
    <w:rsid w:val="00D9147E"/>
    <w:rsid w:val="00D91CE3"/>
    <w:rsid w:val="00D91D51"/>
    <w:rsid w:val="00D92FE3"/>
    <w:rsid w:val="00D93287"/>
    <w:rsid w:val="00D932B7"/>
    <w:rsid w:val="00D93560"/>
    <w:rsid w:val="00D9385F"/>
    <w:rsid w:val="00D93CA0"/>
    <w:rsid w:val="00D942BA"/>
    <w:rsid w:val="00D9484A"/>
    <w:rsid w:val="00D94C1F"/>
    <w:rsid w:val="00D953C5"/>
    <w:rsid w:val="00D9582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0F"/>
    <w:rsid w:val="00DA48B6"/>
    <w:rsid w:val="00DA4B3F"/>
    <w:rsid w:val="00DA4B9C"/>
    <w:rsid w:val="00DA4BBE"/>
    <w:rsid w:val="00DA4DB5"/>
    <w:rsid w:val="00DA5B6A"/>
    <w:rsid w:val="00DA5FAA"/>
    <w:rsid w:val="00DA625F"/>
    <w:rsid w:val="00DA67A5"/>
    <w:rsid w:val="00DA6E11"/>
    <w:rsid w:val="00DA7463"/>
    <w:rsid w:val="00DA7910"/>
    <w:rsid w:val="00DB029C"/>
    <w:rsid w:val="00DB0D8D"/>
    <w:rsid w:val="00DB1499"/>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D2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3D8B"/>
    <w:rsid w:val="00DC4608"/>
    <w:rsid w:val="00DC491B"/>
    <w:rsid w:val="00DC4D0D"/>
    <w:rsid w:val="00DC514E"/>
    <w:rsid w:val="00DC522B"/>
    <w:rsid w:val="00DC5590"/>
    <w:rsid w:val="00DC5EEF"/>
    <w:rsid w:val="00DC61CD"/>
    <w:rsid w:val="00DC6A15"/>
    <w:rsid w:val="00DC6CA0"/>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7A3"/>
    <w:rsid w:val="00DE0806"/>
    <w:rsid w:val="00DE0870"/>
    <w:rsid w:val="00DE0A71"/>
    <w:rsid w:val="00DE0D7C"/>
    <w:rsid w:val="00DE0DC0"/>
    <w:rsid w:val="00DE1DC0"/>
    <w:rsid w:val="00DE1DE8"/>
    <w:rsid w:val="00DE205A"/>
    <w:rsid w:val="00DE2D4B"/>
    <w:rsid w:val="00DE3148"/>
    <w:rsid w:val="00DE418C"/>
    <w:rsid w:val="00DE4763"/>
    <w:rsid w:val="00DE4CC5"/>
    <w:rsid w:val="00DE4CCD"/>
    <w:rsid w:val="00DE4FE0"/>
    <w:rsid w:val="00DE5114"/>
    <w:rsid w:val="00DE5252"/>
    <w:rsid w:val="00DE56D8"/>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0D"/>
    <w:rsid w:val="00DF1AF6"/>
    <w:rsid w:val="00DF1CC5"/>
    <w:rsid w:val="00DF1F2A"/>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5A3"/>
    <w:rsid w:val="00DF673F"/>
    <w:rsid w:val="00DF6819"/>
    <w:rsid w:val="00DF692F"/>
    <w:rsid w:val="00DF6A50"/>
    <w:rsid w:val="00DF78C2"/>
    <w:rsid w:val="00DF7A2A"/>
    <w:rsid w:val="00DF7F79"/>
    <w:rsid w:val="00E004E6"/>
    <w:rsid w:val="00E00692"/>
    <w:rsid w:val="00E00790"/>
    <w:rsid w:val="00E00CDC"/>
    <w:rsid w:val="00E00E00"/>
    <w:rsid w:val="00E0110B"/>
    <w:rsid w:val="00E015B7"/>
    <w:rsid w:val="00E01E1B"/>
    <w:rsid w:val="00E01F67"/>
    <w:rsid w:val="00E02393"/>
    <w:rsid w:val="00E02428"/>
    <w:rsid w:val="00E0307E"/>
    <w:rsid w:val="00E030EA"/>
    <w:rsid w:val="00E0321C"/>
    <w:rsid w:val="00E035EF"/>
    <w:rsid w:val="00E03CBE"/>
    <w:rsid w:val="00E042EE"/>
    <w:rsid w:val="00E044AE"/>
    <w:rsid w:val="00E0461D"/>
    <w:rsid w:val="00E04A12"/>
    <w:rsid w:val="00E04E11"/>
    <w:rsid w:val="00E056A2"/>
    <w:rsid w:val="00E059E2"/>
    <w:rsid w:val="00E062CA"/>
    <w:rsid w:val="00E06825"/>
    <w:rsid w:val="00E06BF0"/>
    <w:rsid w:val="00E10D58"/>
    <w:rsid w:val="00E10F32"/>
    <w:rsid w:val="00E11E71"/>
    <w:rsid w:val="00E12881"/>
    <w:rsid w:val="00E12B60"/>
    <w:rsid w:val="00E13102"/>
    <w:rsid w:val="00E13159"/>
    <w:rsid w:val="00E132D9"/>
    <w:rsid w:val="00E1339B"/>
    <w:rsid w:val="00E136F4"/>
    <w:rsid w:val="00E13740"/>
    <w:rsid w:val="00E13C42"/>
    <w:rsid w:val="00E1413A"/>
    <w:rsid w:val="00E14434"/>
    <w:rsid w:val="00E146E5"/>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CCA"/>
    <w:rsid w:val="00E21E81"/>
    <w:rsid w:val="00E225B1"/>
    <w:rsid w:val="00E226B9"/>
    <w:rsid w:val="00E226FB"/>
    <w:rsid w:val="00E22884"/>
    <w:rsid w:val="00E22A86"/>
    <w:rsid w:val="00E22D9B"/>
    <w:rsid w:val="00E22DDE"/>
    <w:rsid w:val="00E2461C"/>
    <w:rsid w:val="00E2469C"/>
    <w:rsid w:val="00E246B4"/>
    <w:rsid w:val="00E24842"/>
    <w:rsid w:val="00E248E7"/>
    <w:rsid w:val="00E24DDB"/>
    <w:rsid w:val="00E24DF0"/>
    <w:rsid w:val="00E24E0B"/>
    <w:rsid w:val="00E24E86"/>
    <w:rsid w:val="00E24FDA"/>
    <w:rsid w:val="00E25115"/>
    <w:rsid w:val="00E2589B"/>
    <w:rsid w:val="00E25CC6"/>
    <w:rsid w:val="00E25E46"/>
    <w:rsid w:val="00E26063"/>
    <w:rsid w:val="00E262FE"/>
    <w:rsid w:val="00E26321"/>
    <w:rsid w:val="00E26938"/>
    <w:rsid w:val="00E26A8E"/>
    <w:rsid w:val="00E26CD7"/>
    <w:rsid w:val="00E27441"/>
    <w:rsid w:val="00E27775"/>
    <w:rsid w:val="00E27FA6"/>
    <w:rsid w:val="00E301B7"/>
    <w:rsid w:val="00E30876"/>
    <w:rsid w:val="00E30962"/>
    <w:rsid w:val="00E310C2"/>
    <w:rsid w:val="00E31AED"/>
    <w:rsid w:val="00E31F9E"/>
    <w:rsid w:val="00E32089"/>
    <w:rsid w:val="00E32163"/>
    <w:rsid w:val="00E327B5"/>
    <w:rsid w:val="00E32847"/>
    <w:rsid w:val="00E32A41"/>
    <w:rsid w:val="00E32B56"/>
    <w:rsid w:val="00E32E1B"/>
    <w:rsid w:val="00E32FE1"/>
    <w:rsid w:val="00E334A0"/>
    <w:rsid w:val="00E339C5"/>
    <w:rsid w:val="00E33EFD"/>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0EEF"/>
    <w:rsid w:val="00E411D1"/>
    <w:rsid w:val="00E424D8"/>
    <w:rsid w:val="00E425CA"/>
    <w:rsid w:val="00E4280F"/>
    <w:rsid w:val="00E42DD0"/>
    <w:rsid w:val="00E43AAF"/>
    <w:rsid w:val="00E43D22"/>
    <w:rsid w:val="00E44239"/>
    <w:rsid w:val="00E449BD"/>
    <w:rsid w:val="00E449EC"/>
    <w:rsid w:val="00E44A9B"/>
    <w:rsid w:val="00E44AAF"/>
    <w:rsid w:val="00E44BC9"/>
    <w:rsid w:val="00E44C1D"/>
    <w:rsid w:val="00E450EF"/>
    <w:rsid w:val="00E45236"/>
    <w:rsid w:val="00E45448"/>
    <w:rsid w:val="00E4584A"/>
    <w:rsid w:val="00E45AA7"/>
    <w:rsid w:val="00E45EA0"/>
    <w:rsid w:val="00E4651F"/>
    <w:rsid w:val="00E4686C"/>
    <w:rsid w:val="00E471F4"/>
    <w:rsid w:val="00E475F5"/>
    <w:rsid w:val="00E477FE"/>
    <w:rsid w:val="00E47999"/>
    <w:rsid w:val="00E479A9"/>
    <w:rsid w:val="00E47FAF"/>
    <w:rsid w:val="00E47FBD"/>
    <w:rsid w:val="00E50DFB"/>
    <w:rsid w:val="00E50FB4"/>
    <w:rsid w:val="00E51121"/>
    <w:rsid w:val="00E511E3"/>
    <w:rsid w:val="00E515CF"/>
    <w:rsid w:val="00E51A03"/>
    <w:rsid w:val="00E51AA8"/>
    <w:rsid w:val="00E51CF4"/>
    <w:rsid w:val="00E51EDC"/>
    <w:rsid w:val="00E51F68"/>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0D5"/>
    <w:rsid w:val="00E63CAD"/>
    <w:rsid w:val="00E640BF"/>
    <w:rsid w:val="00E64260"/>
    <w:rsid w:val="00E642FB"/>
    <w:rsid w:val="00E64A12"/>
    <w:rsid w:val="00E64C46"/>
    <w:rsid w:val="00E655C1"/>
    <w:rsid w:val="00E65972"/>
    <w:rsid w:val="00E65DD6"/>
    <w:rsid w:val="00E66009"/>
    <w:rsid w:val="00E6662D"/>
    <w:rsid w:val="00E66727"/>
    <w:rsid w:val="00E66A6E"/>
    <w:rsid w:val="00E66C79"/>
    <w:rsid w:val="00E66D47"/>
    <w:rsid w:val="00E67718"/>
    <w:rsid w:val="00E67819"/>
    <w:rsid w:val="00E67CB0"/>
    <w:rsid w:val="00E67F68"/>
    <w:rsid w:val="00E70102"/>
    <w:rsid w:val="00E703F7"/>
    <w:rsid w:val="00E704F1"/>
    <w:rsid w:val="00E7089B"/>
    <w:rsid w:val="00E708F1"/>
    <w:rsid w:val="00E70A1A"/>
    <w:rsid w:val="00E70B32"/>
    <w:rsid w:val="00E71AA0"/>
    <w:rsid w:val="00E720D5"/>
    <w:rsid w:val="00E7273C"/>
    <w:rsid w:val="00E727B5"/>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5AFC"/>
    <w:rsid w:val="00E767A8"/>
    <w:rsid w:val="00E769EF"/>
    <w:rsid w:val="00E76ABA"/>
    <w:rsid w:val="00E772E5"/>
    <w:rsid w:val="00E800E4"/>
    <w:rsid w:val="00E80385"/>
    <w:rsid w:val="00E80826"/>
    <w:rsid w:val="00E80F72"/>
    <w:rsid w:val="00E810B7"/>
    <w:rsid w:val="00E810B8"/>
    <w:rsid w:val="00E815C0"/>
    <w:rsid w:val="00E817E7"/>
    <w:rsid w:val="00E82725"/>
    <w:rsid w:val="00E82767"/>
    <w:rsid w:val="00E827D8"/>
    <w:rsid w:val="00E8296A"/>
    <w:rsid w:val="00E831A8"/>
    <w:rsid w:val="00E83AE7"/>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7F1"/>
    <w:rsid w:val="00E9090B"/>
    <w:rsid w:val="00E90A27"/>
    <w:rsid w:val="00E90E25"/>
    <w:rsid w:val="00E90EE7"/>
    <w:rsid w:val="00E91736"/>
    <w:rsid w:val="00E9264E"/>
    <w:rsid w:val="00E92F73"/>
    <w:rsid w:val="00E93192"/>
    <w:rsid w:val="00E933E5"/>
    <w:rsid w:val="00E9359F"/>
    <w:rsid w:val="00E94871"/>
    <w:rsid w:val="00E95230"/>
    <w:rsid w:val="00E95C5F"/>
    <w:rsid w:val="00E96089"/>
    <w:rsid w:val="00E96535"/>
    <w:rsid w:val="00E96A22"/>
    <w:rsid w:val="00E975AD"/>
    <w:rsid w:val="00E9763E"/>
    <w:rsid w:val="00E97AE2"/>
    <w:rsid w:val="00E97B82"/>
    <w:rsid w:val="00EA03D9"/>
    <w:rsid w:val="00EA0423"/>
    <w:rsid w:val="00EA0854"/>
    <w:rsid w:val="00EA1107"/>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82E"/>
    <w:rsid w:val="00EB3C03"/>
    <w:rsid w:val="00EB3EAC"/>
    <w:rsid w:val="00EB40DB"/>
    <w:rsid w:val="00EB4557"/>
    <w:rsid w:val="00EB4591"/>
    <w:rsid w:val="00EB4ABC"/>
    <w:rsid w:val="00EB4E5D"/>
    <w:rsid w:val="00EB51DF"/>
    <w:rsid w:val="00EB5353"/>
    <w:rsid w:val="00EB56E0"/>
    <w:rsid w:val="00EB57B8"/>
    <w:rsid w:val="00EB58C0"/>
    <w:rsid w:val="00EB5A34"/>
    <w:rsid w:val="00EB5B35"/>
    <w:rsid w:val="00EB5EC9"/>
    <w:rsid w:val="00EB62FA"/>
    <w:rsid w:val="00EB6589"/>
    <w:rsid w:val="00EB6885"/>
    <w:rsid w:val="00EB6E87"/>
    <w:rsid w:val="00EB7297"/>
    <w:rsid w:val="00EB7AD7"/>
    <w:rsid w:val="00EB7C06"/>
    <w:rsid w:val="00EC0794"/>
    <w:rsid w:val="00EC0A01"/>
    <w:rsid w:val="00EC16BE"/>
    <w:rsid w:val="00EC1897"/>
    <w:rsid w:val="00EC21E3"/>
    <w:rsid w:val="00EC2D9B"/>
    <w:rsid w:val="00EC2DAD"/>
    <w:rsid w:val="00EC348F"/>
    <w:rsid w:val="00EC3A38"/>
    <w:rsid w:val="00EC45B5"/>
    <w:rsid w:val="00EC5C26"/>
    <w:rsid w:val="00EC6C32"/>
    <w:rsid w:val="00EC729D"/>
    <w:rsid w:val="00EC7384"/>
    <w:rsid w:val="00EC73D8"/>
    <w:rsid w:val="00EC75C4"/>
    <w:rsid w:val="00EC7D47"/>
    <w:rsid w:val="00EC7E1B"/>
    <w:rsid w:val="00ED03C8"/>
    <w:rsid w:val="00ED0501"/>
    <w:rsid w:val="00ED0E3A"/>
    <w:rsid w:val="00ED0FE7"/>
    <w:rsid w:val="00ED17DD"/>
    <w:rsid w:val="00ED18D1"/>
    <w:rsid w:val="00ED2396"/>
    <w:rsid w:val="00ED2482"/>
    <w:rsid w:val="00ED2A41"/>
    <w:rsid w:val="00ED2B7E"/>
    <w:rsid w:val="00ED337A"/>
    <w:rsid w:val="00ED340C"/>
    <w:rsid w:val="00ED3572"/>
    <w:rsid w:val="00ED3C0F"/>
    <w:rsid w:val="00ED4744"/>
    <w:rsid w:val="00ED47DC"/>
    <w:rsid w:val="00ED4C8E"/>
    <w:rsid w:val="00ED5131"/>
    <w:rsid w:val="00ED5407"/>
    <w:rsid w:val="00ED5704"/>
    <w:rsid w:val="00ED5874"/>
    <w:rsid w:val="00ED5BE0"/>
    <w:rsid w:val="00ED5F76"/>
    <w:rsid w:val="00ED6588"/>
    <w:rsid w:val="00ED6BD0"/>
    <w:rsid w:val="00ED7663"/>
    <w:rsid w:val="00EE07F4"/>
    <w:rsid w:val="00EE0DDE"/>
    <w:rsid w:val="00EE113E"/>
    <w:rsid w:val="00EE1602"/>
    <w:rsid w:val="00EE1BEA"/>
    <w:rsid w:val="00EE226E"/>
    <w:rsid w:val="00EE2577"/>
    <w:rsid w:val="00EE2786"/>
    <w:rsid w:val="00EE2805"/>
    <w:rsid w:val="00EE2BB3"/>
    <w:rsid w:val="00EE2F99"/>
    <w:rsid w:val="00EE3158"/>
    <w:rsid w:val="00EE4179"/>
    <w:rsid w:val="00EE41BB"/>
    <w:rsid w:val="00EE4525"/>
    <w:rsid w:val="00EE45BF"/>
    <w:rsid w:val="00EE4752"/>
    <w:rsid w:val="00EE4F14"/>
    <w:rsid w:val="00EE5429"/>
    <w:rsid w:val="00EE55D0"/>
    <w:rsid w:val="00EE56B0"/>
    <w:rsid w:val="00EE613D"/>
    <w:rsid w:val="00EE64D8"/>
    <w:rsid w:val="00EE69D3"/>
    <w:rsid w:val="00EE6B09"/>
    <w:rsid w:val="00EE6C7C"/>
    <w:rsid w:val="00EE6E26"/>
    <w:rsid w:val="00EE7116"/>
    <w:rsid w:val="00EE7147"/>
    <w:rsid w:val="00EE72AB"/>
    <w:rsid w:val="00EE7416"/>
    <w:rsid w:val="00EE7555"/>
    <w:rsid w:val="00EE758F"/>
    <w:rsid w:val="00EE75B7"/>
    <w:rsid w:val="00EE7822"/>
    <w:rsid w:val="00EF0167"/>
    <w:rsid w:val="00EF08BB"/>
    <w:rsid w:val="00EF09AF"/>
    <w:rsid w:val="00EF0D1E"/>
    <w:rsid w:val="00EF100F"/>
    <w:rsid w:val="00EF14B3"/>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5BFD"/>
    <w:rsid w:val="00EF6557"/>
    <w:rsid w:val="00EF6AA7"/>
    <w:rsid w:val="00EF6C6D"/>
    <w:rsid w:val="00EF7103"/>
    <w:rsid w:val="00EF7541"/>
    <w:rsid w:val="00F002B9"/>
    <w:rsid w:val="00F003E2"/>
    <w:rsid w:val="00F0062A"/>
    <w:rsid w:val="00F00668"/>
    <w:rsid w:val="00F0078B"/>
    <w:rsid w:val="00F00B86"/>
    <w:rsid w:val="00F00D89"/>
    <w:rsid w:val="00F012D5"/>
    <w:rsid w:val="00F01D7D"/>
    <w:rsid w:val="00F01F53"/>
    <w:rsid w:val="00F02980"/>
    <w:rsid w:val="00F02CE9"/>
    <w:rsid w:val="00F02D4E"/>
    <w:rsid w:val="00F02DE0"/>
    <w:rsid w:val="00F032BD"/>
    <w:rsid w:val="00F03356"/>
    <w:rsid w:val="00F03426"/>
    <w:rsid w:val="00F0415D"/>
    <w:rsid w:val="00F045CF"/>
    <w:rsid w:val="00F04641"/>
    <w:rsid w:val="00F046F1"/>
    <w:rsid w:val="00F04C02"/>
    <w:rsid w:val="00F050BE"/>
    <w:rsid w:val="00F05497"/>
    <w:rsid w:val="00F05859"/>
    <w:rsid w:val="00F0630D"/>
    <w:rsid w:val="00F06591"/>
    <w:rsid w:val="00F0678E"/>
    <w:rsid w:val="00F06F6E"/>
    <w:rsid w:val="00F075BB"/>
    <w:rsid w:val="00F07CAF"/>
    <w:rsid w:val="00F07D3E"/>
    <w:rsid w:val="00F102DC"/>
    <w:rsid w:val="00F10752"/>
    <w:rsid w:val="00F108C4"/>
    <w:rsid w:val="00F10E28"/>
    <w:rsid w:val="00F111F4"/>
    <w:rsid w:val="00F1146A"/>
    <w:rsid w:val="00F11486"/>
    <w:rsid w:val="00F1167A"/>
    <w:rsid w:val="00F117D5"/>
    <w:rsid w:val="00F124AD"/>
    <w:rsid w:val="00F124B5"/>
    <w:rsid w:val="00F1274E"/>
    <w:rsid w:val="00F12802"/>
    <w:rsid w:val="00F13020"/>
    <w:rsid w:val="00F14299"/>
    <w:rsid w:val="00F144E1"/>
    <w:rsid w:val="00F14570"/>
    <w:rsid w:val="00F151CA"/>
    <w:rsid w:val="00F15A6B"/>
    <w:rsid w:val="00F15ACA"/>
    <w:rsid w:val="00F1617F"/>
    <w:rsid w:val="00F162DA"/>
    <w:rsid w:val="00F168F5"/>
    <w:rsid w:val="00F174D7"/>
    <w:rsid w:val="00F17FBF"/>
    <w:rsid w:val="00F20B6A"/>
    <w:rsid w:val="00F210C5"/>
    <w:rsid w:val="00F211A4"/>
    <w:rsid w:val="00F21636"/>
    <w:rsid w:val="00F21E66"/>
    <w:rsid w:val="00F21EB4"/>
    <w:rsid w:val="00F22432"/>
    <w:rsid w:val="00F231ED"/>
    <w:rsid w:val="00F234C6"/>
    <w:rsid w:val="00F23501"/>
    <w:rsid w:val="00F241A7"/>
    <w:rsid w:val="00F2424C"/>
    <w:rsid w:val="00F243B1"/>
    <w:rsid w:val="00F24BD8"/>
    <w:rsid w:val="00F24CA0"/>
    <w:rsid w:val="00F250A6"/>
    <w:rsid w:val="00F25322"/>
    <w:rsid w:val="00F253D9"/>
    <w:rsid w:val="00F25B2B"/>
    <w:rsid w:val="00F2605C"/>
    <w:rsid w:val="00F2660B"/>
    <w:rsid w:val="00F2694B"/>
    <w:rsid w:val="00F269E7"/>
    <w:rsid w:val="00F26B67"/>
    <w:rsid w:val="00F26D7A"/>
    <w:rsid w:val="00F26E47"/>
    <w:rsid w:val="00F2712D"/>
    <w:rsid w:val="00F273EC"/>
    <w:rsid w:val="00F3011C"/>
    <w:rsid w:val="00F304AB"/>
    <w:rsid w:val="00F30DEF"/>
    <w:rsid w:val="00F30ECA"/>
    <w:rsid w:val="00F30FE3"/>
    <w:rsid w:val="00F31236"/>
    <w:rsid w:val="00F314F0"/>
    <w:rsid w:val="00F31590"/>
    <w:rsid w:val="00F32CBB"/>
    <w:rsid w:val="00F33430"/>
    <w:rsid w:val="00F33740"/>
    <w:rsid w:val="00F338A5"/>
    <w:rsid w:val="00F338F0"/>
    <w:rsid w:val="00F339AD"/>
    <w:rsid w:val="00F33B7E"/>
    <w:rsid w:val="00F343B3"/>
    <w:rsid w:val="00F347B9"/>
    <w:rsid w:val="00F34990"/>
    <w:rsid w:val="00F34AA7"/>
    <w:rsid w:val="00F354F0"/>
    <w:rsid w:val="00F3557B"/>
    <w:rsid w:val="00F35E03"/>
    <w:rsid w:val="00F35F72"/>
    <w:rsid w:val="00F365E1"/>
    <w:rsid w:val="00F36E6A"/>
    <w:rsid w:val="00F36F50"/>
    <w:rsid w:val="00F37A8B"/>
    <w:rsid w:val="00F37AD1"/>
    <w:rsid w:val="00F40B88"/>
    <w:rsid w:val="00F40C67"/>
    <w:rsid w:val="00F40D8A"/>
    <w:rsid w:val="00F41067"/>
    <w:rsid w:val="00F41315"/>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4C65"/>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51A"/>
    <w:rsid w:val="00F52BF1"/>
    <w:rsid w:val="00F52EF6"/>
    <w:rsid w:val="00F53033"/>
    <w:rsid w:val="00F5426B"/>
    <w:rsid w:val="00F54ADD"/>
    <w:rsid w:val="00F54B42"/>
    <w:rsid w:val="00F55154"/>
    <w:rsid w:val="00F551F3"/>
    <w:rsid w:val="00F55652"/>
    <w:rsid w:val="00F55D9C"/>
    <w:rsid w:val="00F56453"/>
    <w:rsid w:val="00F56AD6"/>
    <w:rsid w:val="00F57CB7"/>
    <w:rsid w:val="00F60308"/>
    <w:rsid w:val="00F61C20"/>
    <w:rsid w:val="00F61FBF"/>
    <w:rsid w:val="00F620E5"/>
    <w:rsid w:val="00F6235C"/>
    <w:rsid w:val="00F62432"/>
    <w:rsid w:val="00F6288D"/>
    <w:rsid w:val="00F62EEE"/>
    <w:rsid w:val="00F639DB"/>
    <w:rsid w:val="00F63E19"/>
    <w:rsid w:val="00F64471"/>
    <w:rsid w:val="00F647AA"/>
    <w:rsid w:val="00F64D09"/>
    <w:rsid w:val="00F64EAD"/>
    <w:rsid w:val="00F65020"/>
    <w:rsid w:val="00F6503D"/>
    <w:rsid w:val="00F65BFA"/>
    <w:rsid w:val="00F65C1C"/>
    <w:rsid w:val="00F66094"/>
    <w:rsid w:val="00F66467"/>
    <w:rsid w:val="00F66571"/>
    <w:rsid w:val="00F668D0"/>
    <w:rsid w:val="00F66A15"/>
    <w:rsid w:val="00F66F29"/>
    <w:rsid w:val="00F675AF"/>
    <w:rsid w:val="00F67683"/>
    <w:rsid w:val="00F7014D"/>
    <w:rsid w:val="00F701E6"/>
    <w:rsid w:val="00F70BA0"/>
    <w:rsid w:val="00F70D52"/>
    <w:rsid w:val="00F70EC1"/>
    <w:rsid w:val="00F70F3F"/>
    <w:rsid w:val="00F710AF"/>
    <w:rsid w:val="00F7174E"/>
    <w:rsid w:val="00F718D2"/>
    <w:rsid w:val="00F71C95"/>
    <w:rsid w:val="00F723EE"/>
    <w:rsid w:val="00F728F3"/>
    <w:rsid w:val="00F729A3"/>
    <w:rsid w:val="00F72BEB"/>
    <w:rsid w:val="00F72D9E"/>
    <w:rsid w:val="00F73860"/>
    <w:rsid w:val="00F7437C"/>
    <w:rsid w:val="00F744D0"/>
    <w:rsid w:val="00F74945"/>
    <w:rsid w:val="00F74995"/>
    <w:rsid w:val="00F7515D"/>
    <w:rsid w:val="00F7533C"/>
    <w:rsid w:val="00F7537A"/>
    <w:rsid w:val="00F75C7D"/>
    <w:rsid w:val="00F761D9"/>
    <w:rsid w:val="00F762D0"/>
    <w:rsid w:val="00F76386"/>
    <w:rsid w:val="00F763D8"/>
    <w:rsid w:val="00F76C08"/>
    <w:rsid w:val="00F76DB1"/>
    <w:rsid w:val="00F80049"/>
    <w:rsid w:val="00F800FE"/>
    <w:rsid w:val="00F80225"/>
    <w:rsid w:val="00F80377"/>
    <w:rsid w:val="00F80610"/>
    <w:rsid w:val="00F80AAC"/>
    <w:rsid w:val="00F81685"/>
    <w:rsid w:val="00F81990"/>
    <w:rsid w:val="00F81A58"/>
    <w:rsid w:val="00F81C24"/>
    <w:rsid w:val="00F81CD4"/>
    <w:rsid w:val="00F82706"/>
    <w:rsid w:val="00F82B3E"/>
    <w:rsid w:val="00F830B2"/>
    <w:rsid w:val="00F835DE"/>
    <w:rsid w:val="00F835FA"/>
    <w:rsid w:val="00F83636"/>
    <w:rsid w:val="00F8412E"/>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24"/>
    <w:rsid w:val="00F90750"/>
    <w:rsid w:val="00F90AD4"/>
    <w:rsid w:val="00F91196"/>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79D"/>
    <w:rsid w:val="00F94F22"/>
    <w:rsid w:val="00F950C2"/>
    <w:rsid w:val="00F9519F"/>
    <w:rsid w:val="00F95821"/>
    <w:rsid w:val="00F95BE4"/>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AF9"/>
    <w:rsid w:val="00FA2F73"/>
    <w:rsid w:val="00FA31E0"/>
    <w:rsid w:val="00FA442C"/>
    <w:rsid w:val="00FA490F"/>
    <w:rsid w:val="00FA4D26"/>
    <w:rsid w:val="00FA5354"/>
    <w:rsid w:val="00FA5373"/>
    <w:rsid w:val="00FA56CB"/>
    <w:rsid w:val="00FA5F61"/>
    <w:rsid w:val="00FA668F"/>
    <w:rsid w:val="00FA6847"/>
    <w:rsid w:val="00FA6A92"/>
    <w:rsid w:val="00FA6BE8"/>
    <w:rsid w:val="00FA6FB8"/>
    <w:rsid w:val="00FA73B3"/>
    <w:rsid w:val="00FB02AE"/>
    <w:rsid w:val="00FB07FB"/>
    <w:rsid w:val="00FB0948"/>
    <w:rsid w:val="00FB101B"/>
    <w:rsid w:val="00FB152A"/>
    <w:rsid w:val="00FB15B5"/>
    <w:rsid w:val="00FB15C8"/>
    <w:rsid w:val="00FB1966"/>
    <w:rsid w:val="00FB1FCC"/>
    <w:rsid w:val="00FB23C0"/>
    <w:rsid w:val="00FB2405"/>
    <w:rsid w:val="00FB296A"/>
    <w:rsid w:val="00FB29CB"/>
    <w:rsid w:val="00FB2A5D"/>
    <w:rsid w:val="00FB2F16"/>
    <w:rsid w:val="00FB2FA6"/>
    <w:rsid w:val="00FB381C"/>
    <w:rsid w:val="00FB426D"/>
    <w:rsid w:val="00FB4433"/>
    <w:rsid w:val="00FB4524"/>
    <w:rsid w:val="00FB456A"/>
    <w:rsid w:val="00FB5B5F"/>
    <w:rsid w:val="00FB5CDC"/>
    <w:rsid w:val="00FB5CDD"/>
    <w:rsid w:val="00FB5EB4"/>
    <w:rsid w:val="00FB5F15"/>
    <w:rsid w:val="00FB5FBB"/>
    <w:rsid w:val="00FB61A6"/>
    <w:rsid w:val="00FB6440"/>
    <w:rsid w:val="00FB6551"/>
    <w:rsid w:val="00FB6683"/>
    <w:rsid w:val="00FB68A8"/>
    <w:rsid w:val="00FB6C35"/>
    <w:rsid w:val="00FB78FE"/>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C7F6F"/>
    <w:rsid w:val="00FD0445"/>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0C0"/>
    <w:rsid w:val="00FE182C"/>
    <w:rsid w:val="00FE1E27"/>
    <w:rsid w:val="00FE1E2D"/>
    <w:rsid w:val="00FE1F98"/>
    <w:rsid w:val="00FE2423"/>
    <w:rsid w:val="00FE2855"/>
    <w:rsid w:val="00FE2A3E"/>
    <w:rsid w:val="00FE2AC1"/>
    <w:rsid w:val="00FE376B"/>
    <w:rsid w:val="00FE37CC"/>
    <w:rsid w:val="00FE3A05"/>
    <w:rsid w:val="00FE3DA8"/>
    <w:rsid w:val="00FE3E1C"/>
    <w:rsid w:val="00FE4152"/>
    <w:rsid w:val="00FE42A9"/>
    <w:rsid w:val="00FE4B3C"/>
    <w:rsid w:val="00FE4F00"/>
    <w:rsid w:val="00FE5C37"/>
    <w:rsid w:val="00FE6395"/>
    <w:rsid w:val="00FE66E2"/>
    <w:rsid w:val="00FE6E82"/>
    <w:rsid w:val="00FE7475"/>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8DB"/>
    <w:rsid w:val="00FF3C52"/>
    <w:rsid w:val="00FF3D76"/>
    <w:rsid w:val="00FF3EDE"/>
    <w:rsid w:val="00FF4545"/>
    <w:rsid w:val="00FF4928"/>
    <w:rsid w:val="00FF4A4A"/>
    <w:rsid w:val="00FF4B10"/>
    <w:rsid w:val="00FF58EE"/>
    <w:rsid w:val="00FF5931"/>
    <w:rsid w:val="00FF5CE8"/>
    <w:rsid w:val="00FF60FB"/>
    <w:rsid w:val="00FF619C"/>
    <w:rsid w:val="00FF6521"/>
    <w:rsid w:val="00FF6696"/>
    <w:rsid w:val="00FF6A2A"/>
    <w:rsid w:val="00FF6E45"/>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7FE"/>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 w:type="paragraph" w:styleId="Revisin">
    <w:name w:val="Revision"/>
    <w:hidden/>
    <w:uiPriority w:val="99"/>
    <w:semiHidden/>
    <w:rsid w:val="00F231ED"/>
    <w:rPr>
      <w:rFonts w:ascii="Arial" w:hAnsi="Arial"/>
      <w:sz w:val="24"/>
      <w:lang w:val="es-MX"/>
    </w:rPr>
  </w:style>
  <w:style w:type="character" w:styleId="Refdecomentario">
    <w:name w:val="annotation reference"/>
    <w:basedOn w:val="Fuentedeprrafopredeter"/>
    <w:semiHidden/>
    <w:unhideWhenUsed/>
    <w:rsid w:val="00D72902"/>
    <w:rPr>
      <w:sz w:val="16"/>
      <w:szCs w:val="16"/>
    </w:rPr>
  </w:style>
  <w:style w:type="paragraph" w:styleId="Textocomentario">
    <w:name w:val="annotation text"/>
    <w:basedOn w:val="Normal"/>
    <w:link w:val="TextocomentarioCar"/>
    <w:unhideWhenUsed/>
    <w:rsid w:val="00D72902"/>
    <w:rPr>
      <w:sz w:val="20"/>
    </w:rPr>
  </w:style>
  <w:style w:type="character" w:customStyle="1" w:styleId="TextocomentarioCar">
    <w:name w:val="Texto comentario Car"/>
    <w:basedOn w:val="Fuentedeprrafopredeter"/>
    <w:link w:val="Textocomentario"/>
    <w:rsid w:val="00D72902"/>
    <w:rPr>
      <w:rFonts w:ascii="Arial" w:hAnsi="Arial"/>
      <w:lang w:val="es-MX"/>
    </w:rPr>
  </w:style>
  <w:style w:type="paragraph" w:styleId="Asuntodelcomentario">
    <w:name w:val="annotation subject"/>
    <w:basedOn w:val="Textocomentario"/>
    <w:next w:val="Textocomentario"/>
    <w:link w:val="AsuntodelcomentarioCar"/>
    <w:semiHidden/>
    <w:unhideWhenUsed/>
    <w:rsid w:val="00D72902"/>
    <w:rPr>
      <w:b/>
      <w:bCs/>
    </w:rPr>
  </w:style>
  <w:style w:type="character" w:customStyle="1" w:styleId="AsuntodelcomentarioCar">
    <w:name w:val="Asunto del comentario Car"/>
    <w:basedOn w:val="TextocomentarioCar"/>
    <w:link w:val="Asuntodelcomentario"/>
    <w:semiHidden/>
    <w:rsid w:val="00D72902"/>
    <w:rPr>
      <w:rFonts w:ascii="Arial" w:hAnsi="Arial"/>
      <w:b/>
      <w:bCs/>
      <w:lang w:val="es-MX"/>
    </w:rPr>
  </w:style>
  <w:style w:type="character" w:styleId="Refdenotaalfinal">
    <w:name w:val="endnote reference"/>
    <w:basedOn w:val="Fuentedeprrafopredeter"/>
    <w:semiHidden/>
    <w:unhideWhenUsed/>
    <w:rsid w:val="007B373E"/>
    <w:rPr>
      <w:vertAlign w:val="superscript"/>
    </w:rPr>
  </w:style>
  <w:style w:type="paragraph" w:customStyle="1" w:styleId="parrafo1">
    <w:name w:val="parrafo1"/>
    <w:basedOn w:val="p0"/>
    <w:rsid w:val="00DA625F"/>
    <w:pPr>
      <w:widowControl/>
      <w:spacing w:before="480"/>
      <w:ind w:left="426" w:right="443"/>
    </w:pPr>
    <w:rPr>
      <w:color w:val="auto"/>
      <w:lang w:val="es-ES_tradnl"/>
    </w:rPr>
  </w:style>
  <w:style w:type="character" w:styleId="Textoennegrita">
    <w:name w:val="Strong"/>
    <w:basedOn w:val="Fuentedeprrafopredeter"/>
    <w:uiPriority w:val="22"/>
    <w:qFormat/>
    <w:rsid w:val="00780E74"/>
    <w:rPr>
      <w:b/>
      <w:bCs/>
    </w:rPr>
  </w:style>
  <w:style w:type="character" w:customStyle="1" w:styleId="ui-provider">
    <w:name w:val="ui-provider"/>
    <w:basedOn w:val="Fuentedeprrafopredeter"/>
    <w:rsid w:val="00780E74"/>
  </w:style>
  <w:style w:type="character" w:styleId="Mencinsinresolver">
    <w:name w:val="Unresolved Mention"/>
    <w:basedOn w:val="Fuentedeprrafopredeter"/>
    <w:uiPriority w:val="99"/>
    <w:semiHidden/>
    <w:unhideWhenUsed/>
    <w:rsid w:val="002408FD"/>
    <w:rPr>
      <w:color w:val="605E5C"/>
      <w:shd w:val="clear" w:color="auto" w:fill="E1DFDD"/>
    </w:rPr>
  </w:style>
  <w:style w:type="paragraph" w:customStyle="1" w:styleId="Profesin">
    <w:name w:val="Profesión"/>
    <w:basedOn w:val="Normal"/>
    <w:rsid w:val="00664E07"/>
    <w:pPr>
      <w:widowControl/>
      <w:jc w:val="center"/>
    </w:pPr>
    <w:rPr>
      <w:rFonts w:cs="Arial"/>
      <w:b/>
      <w:bCs/>
      <w:caps/>
      <w:sz w:val="28"/>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429399081">
      <w:bodyDiv w:val="1"/>
      <w:marLeft w:val="0"/>
      <w:marRight w:val="0"/>
      <w:marTop w:val="0"/>
      <w:marBottom w:val="0"/>
      <w:divBdr>
        <w:top w:val="none" w:sz="0" w:space="0" w:color="auto"/>
        <w:left w:val="none" w:sz="0" w:space="0" w:color="auto"/>
        <w:bottom w:val="none" w:sz="0" w:space="0" w:color="auto"/>
        <w:right w:val="none" w:sz="0" w:space="0" w:color="auto"/>
      </w:divBdr>
    </w:div>
    <w:div w:id="46616963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53218394">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999191957">
      <w:bodyDiv w:val="1"/>
      <w:marLeft w:val="0"/>
      <w:marRight w:val="0"/>
      <w:marTop w:val="0"/>
      <w:marBottom w:val="0"/>
      <w:divBdr>
        <w:top w:val="none" w:sz="0" w:space="0" w:color="auto"/>
        <w:left w:val="none" w:sz="0" w:space="0" w:color="auto"/>
        <w:bottom w:val="none" w:sz="0" w:space="0" w:color="auto"/>
        <w:right w:val="none" w:sz="0" w:space="0" w:color="auto"/>
      </w:divBdr>
    </w:div>
    <w:div w:id="1054541550">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hyperlink" Target="http://www.inegi.org.m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png"/><Relationship Id="rId25" Type="http://schemas.openxmlformats.org/officeDocument/2006/relationships/image" Target="media/image6.gif"/><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javascript:AddMetaDato('2951','Sistema%20de%20indicadores%20c&#237;clicos','');"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inegi.org.mx/app/biblioteca/ficha.html?upc=702825099060" TargetMode="External"/><Relationship Id="rId28" Type="http://schemas.openxmlformats.org/officeDocument/2006/relationships/fontTable" Target="fontTable.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4.xm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Consumo%20Privado\2023\Julio\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Consumo%20Privado\2023\Julio\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Consumo%20Privado\2023\Julio\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76448051906306336"/>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 '!$C$5:$C$71</c:f>
              <c:numCache>
                <c:formatCode>0.0</c:formatCode>
                <c:ptCount val="67"/>
                <c:pt idx="0">
                  <c:v>99.768317641588993</c:v>
                </c:pt>
                <c:pt idx="1">
                  <c:v>99.827409730718401</c:v>
                </c:pt>
                <c:pt idx="2">
                  <c:v>100.044212313443</c:v>
                </c:pt>
                <c:pt idx="3">
                  <c:v>99.707153649763598</c:v>
                </c:pt>
                <c:pt idx="4">
                  <c:v>99.927769480797394</c:v>
                </c:pt>
                <c:pt idx="5">
                  <c:v>99.597663245351001</c:v>
                </c:pt>
                <c:pt idx="6">
                  <c:v>100.178011205106</c:v>
                </c:pt>
                <c:pt idx="7">
                  <c:v>100.706499655888</c:v>
                </c:pt>
                <c:pt idx="8">
                  <c:v>100.81266222004599</c:v>
                </c:pt>
                <c:pt idx="9">
                  <c:v>99.898136153344595</c:v>
                </c:pt>
                <c:pt idx="10">
                  <c:v>100.237331994708</c:v>
                </c:pt>
                <c:pt idx="11">
                  <c:v>99.742140410662401</c:v>
                </c:pt>
                <c:pt idx="12">
                  <c:v>101.30301487244201</c:v>
                </c:pt>
                <c:pt idx="13">
                  <c:v>101.283717604553</c:v>
                </c:pt>
                <c:pt idx="14">
                  <c:v>99.398066742834999</c:v>
                </c:pt>
                <c:pt idx="15">
                  <c:v>100.56265709445999</c:v>
                </c:pt>
                <c:pt idx="16">
                  <c:v>100.782650889735</c:v>
                </c:pt>
                <c:pt idx="17">
                  <c:v>101.63585155752899</c:v>
                </c:pt>
                <c:pt idx="18">
                  <c:v>101.650864329274</c:v>
                </c:pt>
                <c:pt idx="19">
                  <c:v>101.194062044959</c:v>
                </c:pt>
                <c:pt idx="20">
                  <c:v>101.858711605552</c:v>
                </c:pt>
                <c:pt idx="21">
                  <c:v>101.676244949699</c:v>
                </c:pt>
                <c:pt idx="22">
                  <c:v>101.848644792475</c:v>
                </c:pt>
                <c:pt idx="23">
                  <c:v>101.008223502977</c:v>
                </c:pt>
                <c:pt idx="24">
                  <c:v>101.478177728673</c:v>
                </c:pt>
                <c:pt idx="25">
                  <c:v>101.156716709473</c:v>
                </c:pt>
                <c:pt idx="26">
                  <c:v>94.766375450140998</c:v>
                </c:pt>
                <c:pt idx="27">
                  <c:v>77.5495613382176</c:v>
                </c:pt>
                <c:pt idx="28">
                  <c:v>76.350370035631101</c:v>
                </c:pt>
                <c:pt idx="29">
                  <c:v>82.888416388388507</c:v>
                </c:pt>
                <c:pt idx="30">
                  <c:v>87.012569374055005</c:v>
                </c:pt>
                <c:pt idx="31">
                  <c:v>88.808248564598202</c:v>
                </c:pt>
                <c:pt idx="32">
                  <c:v>92.012059181153603</c:v>
                </c:pt>
                <c:pt idx="33">
                  <c:v>93.233250736039395</c:v>
                </c:pt>
                <c:pt idx="34">
                  <c:v>94.296473504514296</c:v>
                </c:pt>
                <c:pt idx="35">
                  <c:v>94.662205221598896</c:v>
                </c:pt>
                <c:pt idx="36">
                  <c:v>94.739005182539799</c:v>
                </c:pt>
                <c:pt idx="37">
                  <c:v>94.108855810360097</c:v>
                </c:pt>
                <c:pt idx="38">
                  <c:v>96.144150595547302</c:v>
                </c:pt>
                <c:pt idx="39">
                  <c:v>96.261066484602594</c:v>
                </c:pt>
                <c:pt idx="40">
                  <c:v>96.996830867422105</c:v>
                </c:pt>
                <c:pt idx="41">
                  <c:v>97.209702698999294</c:v>
                </c:pt>
                <c:pt idx="42">
                  <c:v>98.207289933450497</c:v>
                </c:pt>
                <c:pt idx="43">
                  <c:v>98.015459666836605</c:v>
                </c:pt>
                <c:pt idx="44">
                  <c:v>98.943213795415403</c:v>
                </c:pt>
                <c:pt idx="45">
                  <c:v>99.672525414254494</c:v>
                </c:pt>
                <c:pt idx="46">
                  <c:v>100.301568577867</c:v>
                </c:pt>
                <c:pt idx="47">
                  <c:v>101.626562858277</c:v>
                </c:pt>
                <c:pt idx="48">
                  <c:v>100.70280769006099</c:v>
                </c:pt>
                <c:pt idx="49">
                  <c:v>102.470544131125</c:v>
                </c:pt>
                <c:pt idx="50">
                  <c:v>103.005899041859</c:v>
                </c:pt>
                <c:pt idx="51">
                  <c:v>103.171403040966</c:v>
                </c:pt>
                <c:pt idx="52">
                  <c:v>103.69671072705</c:v>
                </c:pt>
                <c:pt idx="53">
                  <c:v>103.91435045495599</c:v>
                </c:pt>
                <c:pt idx="54">
                  <c:v>103.762977029357</c:v>
                </c:pt>
                <c:pt idx="55">
                  <c:v>104.514266778329</c:v>
                </c:pt>
                <c:pt idx="56">
                  <c:v>105.05049060333501</c:v>
                </c:pt>
                <c:pt idx="57">
                  <c:v>104.961409945407</c:v>
                </c:pt>
                <c:pt idx="58">
                  <c:v>104.719103660492</c:v>
                </c:pt>
                <c:pt idx="59">
                  <c:v>105.366908773064</c:v>
                </c:pt>
                <c:pt idx="60">
                  <c:v>106.986835264327</c:v>
                </c:pt>
                <c:pt idx="61">
                  <c:v>106.400586565552</c:v>
                </c:pt>
                <c:pt idx="62">
                  <c:v>106.762442654974</c:v>
                </c:pt>
                <c:pt idx="63">
                  <c:v>107.928290698482</c:v>
                </c:pt>
                <c:pt idx="64">
                  <c:v>107.775652693916</c:v>
                </c:pt>
                <c:pt idx="65">
                  <c:v>108.16811791018699</c:v>
                </c:pt>
                <c:pt idx="66">
                  <c:v>108.209386849042</c:v>
                </c:pt>
              </c:numCache>
            </c:numRef>
          </c:val>
          <c:extLst>
            <c:ext xmlns:c16="http://schemas.microsoft.com/office/drawing/2014/chart" uri="{C3380CC4-5D6E-409C-BE32-E72D297353CC}">
              <c16:uniqueId val="{00000000-A2F1-421B-B622-88E0002B29E6}"/>
            </c:ext>
          </c:extLst>
        </c:ser>
        <c:dLbls>
          <c:showLegendKey val="0"/>
          <c:showVal val="0"/>
          <c:showCatName val="0"/>
          <c:showSerName val="0"/>
          <c:showPercent val="0"/>
          <c:showBubbleSize val="0"/>
        </c:dLbls>
        <c:gapWidth val="7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 '!$D$5:$D$71</c:f>
              <c:numCache>
                <c:formatCode>0.0</c:formatCode>
                <c:ptCount val="67"/>
                <c:pt idx="0">
                  <c:v>99.635255634503693</c:v>
                </c:pt>
                <c:pt idx="1">
                  <c:v>99.770539386301294</c:v>
                </c:pt>
                <c:pt idx="2">
                  <c:v>99.822715744515307</c:v>
                </c:pt>
                <c:pt idx="3">
                  <c:v>99.859794078609099</c:v>
                </c:pt>
                <c:pt idx="4">
                  <c:v>99.935476478311102</c:v>
                </c:pt>
                <c:pt idx="5">
                  <c:v>100.059688941969</c:v>
                </c:pt>
                <c:pt idx="6">
                  <c:v>100.182447150109</c:v>
                </c:pt>
                <c:pt idx="7">
                  <c:v>100.259414585077</c:v>
                </c:pt>
                <c:pt idx="8">
                  <c:v>100.303544655273</c:v>
                </c:pt>
                <c:pt idx="9">
                  <c:v>100.345177990783</c:v>
                </c:pt>
                <c:pt idx="10">
                  <c:v>100.403759316744</c:v>
                </c:pt>
                <c:pt idx="11">
                  <c:v>100.480996536654</c:v>
                </c:pt>
                <c:pt idx="12">
                  <c:v>100.57818168773601</c:v>
                </c:pt>
                <c:pt idx="13">
                  <c:v>100.711576792036</c:v>
                </c:pt>
                <c:pt idx="14">
                  <c:v>100.84317744177</c:v>
                </c:pt>
                <c:pt idx="15">
                  <c:v>100.95545689444</c:v>
                </c:pt>
                <c:pt idx="16">
                  <c:v>101.06576625525901</c:v>
                </c:pt>
                <c:pt idx="17">
                  <c:v>101.228551474163</c:v>
                </c:pt>
                <c:pt idx="18">
                  <c:v>101.42103014618399</c:v>
                </c:pt>
                <c:pt idx="19">
                  <c:v>101.595533725652</c:v>
                </c:pt>
                <c:pt idx="20">
                  <c:v>101.660751618136</c:v>
                </c:pt>
                <c:pt idx="21">
                  <c:v>101.606388351722</c:v>
                </c:pt>
                <c:pt idx="22">
                  <c:v>101.497010079586</c:v>
                </c:pt>
                <c:pt idx="23">
                  <c:v>101.404561479066</c:v>
                </c:pt>
                <c:pt idx="24">
                  <c:v>101.385675278346</c:v>
                </c:pt>
                <c:pt idx="25">
                  <c:v>101.46425715641701</c:v>
                </c:pt>
                <c:pt idx="26">
                  <c:v>94.831877193530502</c:v>
                </c:pt>
                <c:pt idx="27">
                  <c:v>91.065648115692497</c:v>
                </c:pt>
                <c:pt idx="28">
                  <c:v>91.343132891775099</c:v>
                </c:pt>
                <c:pt idx="29">
                  <c:v>91.613055835854396</c:v>
                </c:pt>
                <c:pt idx="30">
                  <c:v>91.909131063355403</c:v>
                </c:pt>
                <c:pt idx="31">
                  <c:v>92.285455824566995</c:v>
                </c:pt>
                <c:pt idx="32">
                  <c:v>92.742703817673302</c:v>
                </c:pt>
                <c:pt idx="33">
                  <c:v>93.280945718704402</c:v>
                </c:pt>
                <c:pt idx="34">
                  <c:v>93.854602836456394</c:v>
                </c:pt>
                <c:pt idx="35">
                  <c:v>94.420809459344198</c:v>
                </c:pt>
                <c:pt idx="36">
                  <c:v>94.944691423404095</c:v>
                </c:pt>
                <c:pt idx="37">
                  <c:v>95.434646830993699</c:v>
                </c:pt>
                <c:pt idx="38">
                  <c:v>95.904785442649896</c:v>
                </c:pt>
                <c:pt idx="39">
                  <c:v>96.374337537705998</c:v>
                </c:pt>
                <c:pt idx="40">
                  <c:v>96.863905944635306</c:v>
                </c:pt>
                <c:pt idx="41">
                  <c:v>97.347107708653695</c:v>
                </c:pt>
                <c:pt idx="42">
                  <c:v>97.858869500654905</c:v>
                </c:pt>
                <c:pt idx="43">
                  <c:v>98.409834430856506</c:v>
                </c:pt>
                <c:pt idx="44">
                  <c:v>99.006605224055804</c:v>
                </c:pt>
                <c:pt idx="45">
                  <c:v>99.646292090751203</c:v>
                </c:pt>
                <c:pt idx="46">
                  <c:v>100.306465297504</c:v>
                </c:pt>
                <c:pt idx="47">
                  <c:v>100.97438602469499</c:v>
                </c:pt>
                <c:pt idx="48">
                  <c:v>101.628609283629</c:v>
                </c:pt>
                <c:pt idx="49">
                  <c:v>102.232495392175</c:v>
                </c:pt>
                <c:pt idx="50">
                  <c:v>102.74810876443701</c:v>
                </c:pt>
                <c:pt idx="51">
                  <c:v>103.19246706552001</c:v>
                </c:pt>
                <c:pt idx="52">
                  <c:v>103.580329885917</c:v>
                </c:pt>
                <c:pt idx="53">
                  <c:v>103.912316359709</c:v>
                </c:pt>
                <c:pt idx="54">
                  <c:v>104.164307042187</c:v>
                </c:pt>
                <c:pt idx="55">
                  <c:v>104.38170950305999</c:v>
                </c:pt>
                <c:pt idx="56">
                  <c:v>104.64540051137</c:v>
                </c:pt>
                <c:pt idx="57">
                  <c:v>104.93887610230399</c:v>
                </c:pt>
                <c:pt idx="58">
                  <c:v>105.283235256889</c:v>
                </c:pt>
                <c:pt idx="59">
                  <c:v>105.689988290184</c:v>
                </c:pt>
                <c:pt idx="60">
                  <c:v>106.15045406937</c:v>
                </c:pt>
                <c:pt idx="61">
                  <c:v>106.629875133939</c:v>
                </c:pt>
                <c:pt idx="62">
                  <c:v>107.09014310904099</c:v>
                </c:pt>
                <c:pt idx="63">
                  <c:v>107.487268695644</c:v>
                </c:pt>
                <c:pt idx="64">
                  <c:v>107.819079409892</c:v>
                </c:pt>
                <c:pt idx="65">
                  <c:v>108.141892208993</c:v>
                </c:pt>
                <c:pt idx="66">
                  <c:v>108.50428519865299</c:v>
                </c:pt>
              </c:numCache>
            </c:numRef>
          </c:val>
          <c:smooth val="0"/>
          <c:extLst>
            <c:ext xmlns:c16="http://schemas.microsoft.com/office/drawing/2014/chart" uri="{C3380CC4-5D6E-409C-BE32-E72D297353CC}">
              <c16:uniqueId val="{00000001-A2F1-421B-B622-88E0002B29E6}"/>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50" baseline="0">
                <a:latin typeface="Arial" pitchFamily="34" charset="0"/>
                <a:cs typeface="Arial" pitchFamily="34" charset="0"/>
              </a:defRPr>
            </a:pPr>
            <a:endParaRPr lang="es-MX"/>
          </a:p>
        </c:txPr>
        <c:crossAx val="836035680"/>
        <c:crosses val="autoZero"/>
        <c:auto val="1"/>
        <c:lblAlgn val="ctr"/>
        <c:lblOffset val="100"/>
        <c:tickLblSkip val="2"/>
        <c:tickMarkSkip val="12"/>
        <c:noMultiLvlLbl val="1"/>
      </c:catAx>
      <c:valAx>
        <c:axId val="836035680"/>
        <c:scaling>
          <c:orientation val="minMax"/>
          <c:max val="115"/>
          <c:min val="70"/>
        </c:scaling>
        <c:delete val="0"/>
        <c:axPos val="l"/>
        <c:numFmt formatCode="#,##0" sourceLinked="0"/>
        <c:majorTickMark val="out"/>
        <c:minorTickMark val="none"/>
        <c:tickLblPos val="nextTo"/>
        <c:spPr>
          <a:ln w="3175">
            <a:solidFill>
              <a:schemeClr val="tx1"/>
            </a:solidFill>
          </a:ln>
        </c:spPr>
        <c:txPr>
          <a:bodyPr/>
          <a:lstStyle/>
          <a:p>
            <a:pPr>
              <a:defRPr sz="750">
                <a:latin typeface="Arial" pitchFamily="34" charset="0"/>
                <a:cs typeface="Arial" pitchFamily="34" charset="0"/>
              </a:defRPr>
            </a:pPr>
            <a:endParaRPr lang="es-MX"/>
          </a:p>
        </c:txPr>
        <c:crossAx val="836026664"/>
        <c:crosses val="autoZero"/>
        <c:crossBetween val="between"/>
        <c:majorUnit val="10"/>
        <c:minorUnit val="4"/>
      </c:valAx>
      <c:spPr>
        <a:noFill/>
        <a:ln w="3175">
          <a:solidFill>
            <a:schemeClr val="bg1">
              <a:lumMod val="75000"/>
            </a:schemeClr>
          </a:solidFill>
        </a:ln>
      </c:spPr>
    </c:plotArea>
    <c:legend>
      <c:legendPos val="b"/>
      <c:layout>
        <c:manualLayout>
          <c:xMode val="edge"/>
          <c:yMode val="edge"/>
          <c:x val="0.12348962962962963"/>
          <c:y val="0.94853968253968257"/>
          <c:w val="0.78343655439478144"/>
          <c:h val="2.7799725438720106E-2"/>
        </c:manualLayout>
      </c:layout>
      <c:overlay val="0"/>
      <c:txPr>
        <a:bodyPr/>
        <a:lstStyle/>
        <a:p>
          <a:pPr>
            <a:defRPr sz="800" baseline="0">
              <a:latin typeface="Arial" pitchFamily="34" charset="0"/>
              <a:cs typeface="Arial" pitchFamily="34" charset="0"/>
            </a:defRPr>
          </a:pPr>
          <a:endParaRPr lang="es-MX"/>
        </a:p>
      </c:txPr>
    </c:legend>
    <c:plotVisOnly val="1"/>
    <c:dispBlanksAs val="gap"/>
    <c:showDLblsOverMax val="0"/>
  </c:chart>
  <c:spPr>
    <a:noFill/>
    <a:ln w="3175">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4.3865147198480531E-2"/>
          <c:w val="0.9254479166666667"/>
          <c:h val="0.76448051906306336"/>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 '!$C$5:$C$71</c:f>
              <c:numCache>
                <c:formatCode>0.0</c:formatCode>
                <c:ptCount val="67"/>
                <c:pt idx="0">
                  <c:v>99.768317641588993</c:v>
                </c:pt>
                <c:pt idx="1">
                  <c:v>99.827409730718401</c:v>
                </c:pt>
                <c:pt idx="2">
                  <c:v>100.044212313443</c:v>
                </c:pt>
                <c:pt idx="3">
                  <c:v>99.707153649763598</c:v>
                </c:pt>
                <c:pt idx="4">
                  <c:v>99.927769480797394</c:v>
                </c:pt>
                <c:pt idx="5">
                  <c:v>99.597663245351001</c:v>
                </c:pt>
                <c:pt idx="6">
                  <c:v>100.178011205106</c:v>
                </c:pt>
                <c:pt idx="7">
                  <c:v>100.706499655888</c:v>
                </c:pt>
                <c:pt idx="8">
                  <c:v>100.81266222004599</c:v>
                </c:pt>
                <c:pt idx="9">
                  <c:v>99.898136153344595</c:v>
                </c:pt>
                <c:pt idx="10">
                  <c:v>100.237331994708</c:v>
                </c:pt>
                <c:pt idx="11">
                  <c:v>99.742140410662401</c:v>
                </c:pt>
                <c:pt idx="12">
                  <c:v>101.30301487244201</c:v>
                </c:pt>
                <c:pt idx="13">
                  <c:v>101.283717604553</c:v>
                </c:pt>
                <c:pt idx="14">
                  <c:v>99.398066742834999</c:v>
                </c:pt>
                <c:pt idx="15">
                  <c:v>100.56265709445999</c:v>
                </c:pt>
                <c:pt idx="16">
                  <c:v>100.782650889735</c:v>
                </c:pt>
                <c:pt idx="17">
                  <c:v>101.63585155752899</c:v>
                </c:pt>
                <c:pt idx="18">
                  <c:v>101.650864329274</c:v>
                </c:pt>
                <c:pt idx="19">
                  <c:v>101.194062044959</c:v>
                </c:pt>
                <c:pt idx="20">
                  <c:v>101.858711605552</c:v>
                </c:pt>
                <c:pt idx="21">
                  <c:v>101.676244949699</c:v>
                </c:pt>
                <c:pt idx="22">
                  <c:v>101.848644792475</c:v>
                </c:pt>
                <c:pt idx="23">
                  <c:v>101.008223502977</c:v>
                </c:pt>
                <c:pt idx="24">
                  <c:v>101.478177728673</c:v>
                </c:pt>
                <c:pt idx="25">
                  <c:v>101.156716709473</c:v>
                </c:pt>
                <c:pt idx="26">
                  <c:v>94.766375450140998</c:v>
                </c:pt>
                <c:pt idx="27">
                  <c:v>77.5495613382176</c:v>
                </c:pt>
                <c:pt idx="28">
                  <c:v>76.350370035631101</c:v>
                </c:pt>
                <c:pt idx="29">
                  <c:v>82.888416388388507</c:v>
                </c:pt>
                <c:pt idx="30">
                  <c:v>87.012569374055005</c:v>
                </c:pt>
                <c:pt idx="31">
                  <c:v>88.808248564598202</c:v>
                </c:pt>
                <c:pt idx="32">
                  <c:v>92.012059181153603</c:v>
                </c:pt>
                <c:pt idx="33">
                  <c:v>93.233250736039395</c:v>
                </c:pt>
                <c:pt idx="34">
                  <c:v>94.296473504514296</c:v>
                </c:pt>
                <c:pt idx="35">
                  <c:v>94.662205221598896</c:v>
                </c:pt>
                <c:pt idx="36">
                  <c:v>94.739005182539799</c:v>
                </c:pt>
                <c:pt idx="37">
                  <c:v>94.108855810360097</c:v>
                </c:pt>
                <c:pt idx="38">
                  <c:v>96.144150595547302</c:v>
                </c:pt>
                <c:pt idx="39">
                  <c:v>96.261066484602594</c:v>
                </c:pt>
                <c:pt idx="40">
                  <c:v>96.996830867422105</c:v>
                </c:pt>
                <c:pt idx="41">
                  <c:v>97.209702698999294</c:v>
                </c:pt>
                <c:pt idx="42">
                  <c:v>98.207289933450497</c:v>
                </c:pt>
                <c:pt idx="43">
                  <c:v>98.015459666836605</c:v>
                </c:pt>
                <c:pt idx="44">
                  <c:v>98.943213795415403</c:v>
                </c:pt>
                <c:pt idx="45">
                  <c:v>99.672525414254494</c:v>
                </c:pt>
                <c:pt idx="46">
                  <c:v>100.301568577867</c:v>
                </c:pt>
                <c:pt idx="47">
                  <c:v>101.626562858277</c:v>
                </c:pt>
                <c:pt idx="48">
                  <c:v>100.70280769006099</c:v>
                </c:pt>
                <c:pt idx="49">
                  <c:v>102.470544131125</c:v>
                </c:pt>
                <c:pt idx="50">
                  <c:v>103.005899041859</c:v>
                </c:pt>
                <c:pt idx="51">
                  <c:v>103.171403040966</c:v>
                </c:pt>
                <c:pt idx="52">
                  <c:v>103.69671072705</c:v>
                </c:pt>
                <c:pt idx="53">
                  <c:v>103.91435045495599</c:v>
                </c:pt>
                <c:pt idx="54">
                  <c:v>103.762977029357</c:v>
                </c:pt>
                <c:pt idx="55">
                  <c:v>104.514266778329</c:v>
                </c:pt>
                <c:pt idx="56">
                  <c:v>105.05049060333501</c:v>
                </c:pt>
                <c:pt idx="57">
                  <c:v>104.961409945407</c:v>
                </c:pt>
                <c:pt idx="58">
                  <c:v>104.719103660492</c:v>
                </c:pt>
                <c:pt idx="59">
                  <c:v>105.366908773064</c:v>
                </c:pt>
                <c:pt idx="60">
                  <c:v>106.986835264327</c:v>
                </c:pt>
                <c:pt idx="61">
                  <c:v>106.400586565552</c:v>
                </c:pt>
                <c:pt idx="62">
                  <c:v>106.762442654974</c:v>
                </c:pt>
                <c:pt idx="63">
                  <c:v>107.928290698482</c:v>
                </c:pt>
                <c:pt idx="64">
                  <c:v>107.775652693916</c:v>
                </c:pt>
                <c:pt idx="65">
                  <c:v>108.16811791018699</c:v>
                </c:pt>
                <c:pt idx="66">
                  <c:v>108.209386849042</c:v>
                </c:pt>
              </c:numCache>
            </c:numRef>
          </c:val>
          <c:extLst>
            <c:ext xmlns:c16="http://schemas.microsoft.com/office/drawing/2014/chart" uri="{C3380CC4-5D6E-409C-BE32-E72D297353CC}">
              <c16:uniqueId val="{00000000-CA02-4B02-BE31-20B9FA9DFB8A}"/>
            </c:ext>
          </c:extLst>
        </c:ser>
        <c:dLbls>
          <c:showLegendKey val="0"/>
          <c:showVal val="0"/>
          <c:showCatName val="0"/>
          <c:showSerName val="0"/>
          <c:showPercent val="0"/>
          <c:showBubbleSize val="0"/>
        </c:dLbls>
        <c:gapWidth val="7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 '!$D$5:$D$71</c:f>
              <c:numCache>
                <c:formatCode>0.0</c:formatCode>
                <c:ptCount val="67"/>
                <c:pt idx="0">
                  <c:v>99.635255634503693</c:v>
                </c:pt>
                <c:pt idx="1">
                  <c:v>99.770539386301294</c:v>
                </c:pt>
                <c:pt idx="2">
                  <c:v>99.822715744515307</c:v>
                </c:pt>
                <c:pt idx="3">
                  <c:v>99.859794078609099</c:v>
                </c:pt>
                <c:pt idx="4">
                  <c:v>99.935476478311102</c:v>
                </c:pt>
                <c:pt idx="5">
                  <c:v>100.059688941969</c:v>
                </c:pt>
                <c:pt idx="6">
                  <c:v>100.182447150109</c:v>
                </c:pt>
                <c:pt idx="7">
                  <c:v>100.259414585077</c:v>
                </c:pt>
                <c:pt idx="8">
                  <c:v>100.303544655273</c:v>
                </c:pt>
                <c:pt idx="9">
                  <c:v>100.345177990783</c:v>
                </c:pt>
                <c:pt idx="10">
                  <c:v>100.403759316744</c:v>
                </c:pt>
                <c:pt idx="11">
                  <c:v>100.480996536654</c:v>
                </c:pt>
                <c:pt idx="12">
                  <c:v>100.57818168773601</c:v>
                </c:pt>
                <c:pt idx="13">
                  <c:v>100.711576792036</c:v>
                </c:pt>
                <c:pt idx="14">
                  <c:v>100.84317744177</c:v>
                </c:pt>
                <c:pt idx="15">
                  <c:v>100.95545689444</c:v>
                </c:pt>
                <c:pt idx="16">
                  <c:v>101.06576625525901</c:v>
                </c:pt>
                <c:pt idx="17">
                  <c:v>101.228551474163</c:v>
                </c:pt>
                <c:pt idx="18">
                  <c:v>101.42103014618399</c:v>
                </c:pt>
                <c:pt idx="19">
                  <c:v>101.595533725652</c:v>
                </c:pt>
                <c:pt idx="20">
                  <c:v>101.660751618136</c:v>
                </c:pt>
                <c:pt idx="21">
                  <c:v>101.606388351722</c:v>
                </c:pt>
                <c:pt idx="22">
                  <c:v>101.497010079586</c:v>
                </c:pt>
                <c:pt idx="23">
                  <c:v>101.404561479066</c:v>
                </c:pt>
                <c:pt idx="24">
                  <c:v>101.385675278346</c:v>
                </c:pt>
                <c:pt idx="25">
                  <c:v>101.46425715641701</c:v>
                </c:pt>
                <c:pt idx="26">
                  <c:v>94.831877193530502</c:v>
                </c:pt>
                <c:pt idx="27">
                  <c:v>91.065648115692497</c:v>
                </c:pt>
                <c:pt idx="28">
                  <c:v>91.343132891775099</c:v>
                </c:pt>
                <c:pt idx="29">
                  <c:v>91.613055835854396</c:v>
                </c:pt>
                <c:pt idx="30">
                  <c:v>91.909131063355403</c:v>
                </c:pt>
                <c:pt idx="31">
                  <c:v>92.285455824566995</c:v>
                </c:pt>
                <c:pt idx="32">
                  <c:v>92.742703817673302</c:v>
                </c:pt>
                <c:pt idx="33">
                  <c:v>93.280945718704402</c:v>
                </c:pt>
                <c:pt idx="34">
                  <c:v>93.854602836456394</c:v>
                </c:pt>
                <c:pt idx="35">
                  <c:v>94.420809459344198</c:v>
                </c:pt>
                <c:pt idx="36">
                  <c:v>94.944691423404095</c:v>
                </c:pt>
                <c:pt idx="37">
                  <c:v>95.434646830993699</c:v>
                </c:pt>
                <c:pt idx="38">
                  <c:v>95.904785442649896</c:v>
                </c:pt>
                <c:pt idx="39">
                  <c:v>96.374337537705998</c:v>
                </c:pt>
                <c:pt idx="40">
                  <c:v>96.863905944635306</c:v>
                </c:pt>
                <c:pt idx="41">
                  <c:v>97.347107708653695</c:v>
                </c:pt>
                <c:pt idx="42">
                  <c:v>97.858869500654905</c:v>
                </c:pt>
                <c:pt idx="43">
                  <c:v>98.409834430856506</c:v>
                </c:pt>
                <c:pt idx="44">
                  <c:v>99.006605224055804</c:v>
                </c:pt>
                <c:pt idx="45">
                  <c:v>99.646292090751203</c:v>
                </c:pt>
                <c:pt idx="46">
                  <c:v>100.306465297504</c:v>
                </c:pt>
                <c:pt idx="47">
                  <c:v>100.97438602469499</c:v>
                </c:pt>
                <c:pt idx="48">
                  <c:v>101.628609283629</c:v>
                </c:pt>
                <c:pt idx="49">
                  <c:v>102.232495392175</c:v>
                </c:pt>
                <c:pt idx="50">
                  <c:v>102.74810876443701</c:v>
                </c:pt>
                <c:pt idx="51">
                  <c:v>103.19246706552001</c:v>
                </c:pt>
                <c:pt idx="52">
                  <c:v>103.580329885917</c:v>
                </c:pt>
                <c:pt idx="53">
                  <c:v>103.912316359709</c:v>
                </c:pt>
                <c:pt idx="54">
                  <c:v>104.164307042187</c:v>
                </c:pt>
                <c:pt idx="55">
                  <c:v>104.38170950305999</c:v>
                </c:pt>
                <c:pt idx="56">
                  <c:v>104.64540051137</c:v>
                </c:pt>
                <c:pt idx="57">
                  <c:v>104.93887610230399</c:v>
                </c:pt>
                <c:pt idx="58">
                  <c:v>105.283235256889</c:v>
                </c:pt>
                <c:pt idx="59">
                  <c:v>105.689988290184</c:v>
                </c:pt>
                <c:pt idx="60">
                  <c:v>106.15045406937</c:v>
                </c:pt>
                <c:pt idx="61">
                  <c:v>106.629875133939</c:v>
                </c:pt>
                <c:pt idx="62">
                  <c:v>107.09014310904099</c:v>
                </c:pt>
                <c:pt idx="63">
                  <c:v>107.487268695644</c:v>
                </c:pt>
                <c:pt idx="64">
                  <c:v>107.819079409892</c:v>
                </c:pt>
                <c:pt idx="65">
                  <c:v>108.141892208993</c:v>
                </c:pt>
                <c:pt idx="66">
                  <c:v>108.50428519865299</c:v>
                </c:pt>
              </c:numCache>
            </c:numRef>
          </c:val>
          <c:smooth val="0"/>
          <c:extLst>
            <c:ext xmlns:c16="http://schemas.microsoft.com/office/drawing/2014/chart" uri="{C3380CC4-5D6E-409C-BE32-E72D297353CC}">
              <c16:uniqueId val="{00000001-CA02-4B02-BE31-20B9FA9DFB8A}"/>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50" baseline="0">
                <a:latin typeface="Arial" pitchFamily="34" charset="0"/>
                <a:cs typeface="Arial" pitchFamily="34" charset="0"/>
              </a:defRPr>
            </a:pPr>
            <a:endParaRPr lang="es-MX"/>
          </a:p>
        </c:txPr>
        <c:crossAx val="836035680"/>
        <c:crosses val="autoZero"/>
        <c:auto val="1"/>
        <c:lblAlgn val="ctr"/>
        <c:lblOffset val="100"/>
        <c:tickLblSkip val="2"/>
        <c:tickMarkSkip val="12"/>
        <c:noMultiLvlLbl val="1"/>
      </c:catAx>
      <c:valAx>
        <c:axId val="836035680"/>
        <c:scaling>
          <c:orientation val="minMax"/>
          <c:max val="115"/>
          <c:min val="70"/>
        </c:scaling>
        <c:delete val="0"/>
        <c:axPos val="l"/>
        <c:numFmt formatCode="#,##0" sourceLinked="0"/>
        <c:majorTickMark val="out"/>
        <c:minorTickMark val="none"/>
        <c:tickLblPos val="nextTo"/>
        <c:spPr>
          <a:ln w="3175">
            <a:solidFill>
              <a:schemeClr val="tx1"/>
            </a:solidFill>
          </a:ln>
        </c:spPr>
        <c:txPr>
          <a:bodyPr/>
          <a:lstStyle/>
          <a:p>
            <a:pPr>
              <a:defRPr sz="750">
                <a:latin typeface="Arial" pitchFamily="34" charset="0"/>
                <a:cs typeface="Arial" pitchFamily="34" charset="0"/>
              </a:defRPr>
            </a:pPr>
            <a:endParaRPr lang="es-MX"/>
          </a:p>
        </c:txPr>
        <c:crossAx val="836026664"/>
        <c:crosses val="autoZero"/>
        <c:crossBetween val="between"/>
        <c:majorUnit val="10"/>
        <c:minorUnit val="4"/>
      </c:valAx>
      <c:spPr>
        <a:noFill/>
        <a:ln w="3175">
          <a:solidFill>
            <a:schemeClr val="bg1">
              <a:lumMod val="75000"/>
            </a:schemeClr>
          </a:solidFill>
        </a:ln>
      </c:spPr>
    </c:plotArea>
    <c:legend>
      <c:legendPos val="b"/>
      <c:layout>
        <c:manualLayout>
          <c:xMode val="edge"/>
          <c:yMode val="edge"/>
          <c:x val="0.12348962962962963"/>
          <c:y val="0.94853968253968257"/>
          <c:w val="0.78343655439478144"/>
          <c:h val="2.7799725438720106E-2"/>
        </c:manualLayout>
      </c:layout>
      <c:overlay val="0"/>
      <c:txPr>
        <a:bodyPr/>
        <a:lstStyle/>
        <a:p>
          <a:pPr>
            <a:defRPr sz="800" baseline="0">
              <a:latin typeface="Arial" pitchFamily="34" charset="0"/>
              <a:cs typeface="Arial" pitchFamily="34" charset="0"/>
            </a:defRPr>
          </a:pPr>
          <a:endParaRPr lang="es-MX"/>
        </a:p>
      </c:txPr>
    </c:legend>
    <c:plotVisOnly val="1"/>
    <c:dispBlanksAs val="gap"/>
    <c:showDLblsOverMax val="0"/>
  </c:chart>
  <c:spPr>
    <a:noFill/>
    <a:ln w="3175">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772282477782752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 '!$E$5:$E$71</c:f>
              <c:numCache>
                <c:formatCode>0.0</c:formatCode>
                <c:ptCount val="67"/>
                <c:pt idx="0">
                  <c:v>99.709114058398995</c:v>
                </c:pt>
                <c:pt idx="1">
                  <c:v>99.8649874531976</c:v>
                </c:pt>
                <c:pt idx="2">
                  <c:v>100.128049314119</c:v>
                </c:pt>
                <c:pt idx="3">
                  <c:v>99.740873640130303</c:v>
                </c:pt>
                <c:pt idx="4">
                  <c:v>100.006372153218</c:v>
                </c:pt>
                <c:pt idx="5">
                  <c:v>99.705981338361298</c:v>
                </c:pt>
                <c:pt idx="6">
                  <c:v>100.269103819801</c:v>
                </c:pt>
                <c:pt idx="7">
                  <c:v>100.45294314886</c:v>
                </c:pt>
                <c:pt idx="8">
                  <c:v>100.59845969191301</c:v>
                </c:pt>
                <c:pt idx="9">
                  <c:v>99.834434119205</c:v>
                </c:pt>
                <c:pt idx="10">
                  <c:v>100.13693492445501</c:v>
                </c:pt>
                <c:pt idx="11">
                  <c:v>99.844068518923606</c:v>
                </c:pt>
                <c:pt idx="12">
                  <c:v>101.16062736779899</c:v>
                </c:pt>
                <c:pt idx="13">
                  <c:v>101.472787275993</c:v>
                </c:pt>
                <c:pt idx="14">
                  <c:v>100.239333455482</c:v>
                </c:pt>
                <c:pt idx="15">
                  <c:v>100.46525343104901</c:v>
                </c:pt>
                <c:pt idx="16">
                  <c:v>101.03612301831301</c:v>
                </c:pt>
                <c:pt idx="17">
                  <c:v>101.96586205465201</c:v>
                </c:pt>
                <c:pt idx="18">
                  <c:v>101.373048034951</c:v>
                </c:pt>
                <c:pt idx="19">
                  <c:v>101.33535856052001</c:v>
                </c:pt>
                <c:pt idx="20">
                  <c:v>101.90703171269701</c:v>
                </c:pt>
                <c:pt idx="21">
                  <c:v>100.89849420802101</c:v>
                </c:pt>
                <c:pt idx="22">
                  <c:v>101.701472068684</c:v>
                </c:pt>
                <c:pt idx="23">
                  <c:v>101.06967187166801</c:v>
                </c:pt>
                <c:pt idx="24">
                  <c:v>101.94270206135199</c:v>
                </c:pt>
                <c:pt idx="25">
                  <c:v>102.212477862282</c:v>
                </c:pt>
                <c:pt idx="26">
                  <c:v>96.0953244825984</c:v>
                </c:pt>
                <c:pt idx="27">
                  <c:v>77.012461097241101</c:v>
                </c:pt>
                <c:pt idx="28">
                  <c:v>76.293855984990003</c:v>
                </c:pt>
                <c:pt idx="29">
                  <c:v>82.8260574207427</c:v>
                </c:pt>
                <c:pt idx="30">
                  <c:v>86.888399773537998</c:v>
                </c:pt>
                <c:pt idx="31">
                  <c:v>88.209959683349695</c:v>
                </c:pt>
                <c:pt idx="32">
                  <c:v>91.927543539005995</c:v>
                </c:pt>
                <c:pt idx="33">
                  <c:v>93.003064290718896</c:v>
                </c:pt>
                <c:pt idx="34">
                  <c:v>92.9515292339849</c:v>
                </c:pt>
                <c:pt idx="35">
                  <c:v>92.921763894304604</c:v>
                </c:pt>
                <c:pt idx="36">
                  <c:v>92.448846714141794</c:v>
                </c:pt>
                <c:pt idx="37">
                  <c:v>92.249938075287403</c:v>
                </c:pt>
                <c:pt idx="38">
                  <c:v>94.021366793315394</c:v>
                </c:pt>
                <c:pt idx="39">
                  <c:v>94.764610669068503</c:v>
                </c:pt>
                <c:pt idx="40">
                  <c:v>95.573376380219401</c:v>
                </c:pt>
                <c:pt idx="41">
                  <c:v>96.180817877575805</c:v>
                </c:pt>
                <c:pt idx="42">
                  <c:v>96.881170598158207</c:v>
                </c:pt>
                <c:pt idx="43">
                  <c:v>96.725210113287005</c:v>
                </c:pt>
                <c:pt idx="44">
                  <c:v>97.786543255439895</c:v>
                </c:pt>
                <c:pt idx="45">
                  <c:v>98.315991040935799</c:v>
                </c:pt>
                <c:pt idx="46">
                  <c:v>99.040726491941101</c:v>
                </c:pt>
                <c:pt idx="47">
                  <c:v>100.142011799231</c:v>
                </c:pt>
                <c:pt idx="48">
                  <c:v>99.710111677860297</c:v>
                </c:pt>
                <c:pt idx="49">
                  <c:v>100.64132123135499</c:v>
                </c:pt>
                <c:pt idx="50">
                  <c:v>101.557923552348</c:v>
                </c:pt>
                <c:pt idx="51">
                  <c:v>101.466607903639</c:v>
                </c:pt>
                <c:pt idx="52">
                  <c:v>102.11473752893301</c:v>
                </c:pt>
                <c:pt idx="53">
                  <c:v>101.999089818185</c:v>
                </c:pt>
                <c:pt idx="54">
                  <c:v>102.036476079065</c:v>
                </c:pt>
                <c:pt idx="55">
                  <c:v>102.420115482784</c:v>
                </c:pt>
                <c:pt idx="56">
                  <c:v>102.629646184886</c:v>
                </c:pt>
                <c:pt idx="57">
                  <c:v>102.751378425157</c:v>
                </c:pt>
                <c:pt idx="58">
                  <c:v>102.65673045272899</c:v>
                </c:pt>
                <c:pt idx="59">
                  <c:v>103.442595594875</c:v>
                </c:pt>
                <c:pt idx="60">
                  <c:v>103.94279546926801</c:v>
                </c:pt>
                <c:pt idx="61">
                  <c:v>103.986409170523</c:v>
                </c:pt>
                <c:pt idx="62">
                  <c:v>103.354014454523</c:v>
                </c:pt>
                <c:pt idx="63">
                  <c:v>103.899893178193</c:v>
                </c:pt>
                <c:pt idx="64">
                  <c:v>102.94979338403699</c:v>
                </c:pt>
                <c:pt idx="65">
                  <c:v>102.914938062774</c:v>
                </c:pt>
                <c:pt idx="66">
                  <c:v>103.27446463723599</c:v>
                </c:pt>
              </c:numCache>
            </c:numRef>
          </c:val>
          <c:extLst>
            <c:ext xmlns:c16="http://schemas.microsoft.com/office/drawing/2014/chart" uri="{C3380CC4-5D6E-409C-BE32-E72D297353CC}">
              <c16:uniqueId val="{00000000-5D0B-41F4-B7F9-9F62098252C5}"/>
            </c:ext>
          </c:extLst>
        </c:ser>
        <c:dLbls>
          <c:showLegendKey val="0"/>
          <c:showVal val="0"/>
          <c:showCatName val="0"/>
          <c:showSerName val="0"/>
          <c:showPercent val="0"/>
          <c:showBubbleSize val="0"/>
        </c:dLbls>
        <c:gapWidth val="70"/>
        <c:axId val="836031368"/>
        <c:axId val="836036072"/>
      </c:barChart>
      <c:lineChart>
        <c:grouping val="standard"/>
        <c:varyColors val="0"/>
        <c:ser>
          <c:idx val="1"/>
          <c:order val="1"/>
          <c:tx>
            <c:strRef>
              <c:f>'Datos '!$F$4</c:f>
              <c:strCache>
                <c:ptCount val="1"/>
                <c:pt idx="0">
                  <c:v>Serie de tendencia-ciclo</c:v>
                </c:pt>
              </c:strCache>
            </c:strRef>
          </c:tx>
          <c:spPr>
            <a:ln w="12700">
              <a:solidFill>
                <a:srgbClr val="1203D3"/>
              </a:solidFill>
            </a:ln>
          </c:spPr>
          <c:marker>
            <c:symbol val="none"/>
          </c:marker>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 '!$F$5:$F$71</c:f>
              <c:numCache>
                <c:formatCode>0.0</c:formatCode>
                <c:ptCount val="67"/>
                <c:pt idx="0">
                  <c:v>99.524033900991498</c:v>
                </c:pt>
                <c:pt idx="1">
                  <c:v>99.727271011682504</c:v>
                </c:pt>
                <c:pt idx="2">
                  <c:v>99.851234698956404</c:v>
                </c:pt>
                <c:pt idx="3">
                  <c:v>99.930175946690298</c:v>
                </c:pt>
                <c:pt idx="4">
                  <c:v>100.014530107035</c:v>
                </c:pt>
                <c:pt idx="5">
                  <c:v>100.094884684492</c:v>
                </c:pt>
                <c:pt idx="6">
                  <c:v>100.151253152473</c:v>
                </c:pt>
                <c:pt idx="7">
                  <c:v>100.17455251173899</c:v>
                </c:pt>
                <c:pt idx="8">
                  <c:v>100.19469847993599</c:v>
                </c:pt>
                <c:pt idx="9">
                  <c:v>100.244444251529</c:v>
                </c:pt>
                <c:pt idx="10">
                  <c:v>100.324352598831</c:v>
                </c:pt>
                <c:pt idx="11">
                  <c:v>100.419460506829</c:v>
                </c:pt>
                <c:pt idx="12">
                  <c:v>100.53676772840301</c:v>
                </c:pt>
                <c:pt idx="13">
                  <c:v>100.686485422251</c:v>
                </c:pt>
                <c:pt idx="14">
                  <c:v>100.83401239544</c:v>
                </c:pt>
                <c:pt idx="15">
                  <c:v>100.986572224547</c:v>
                </c:pt>
                <c:pt idx="16">
                  <c:v>101.135048031577</c:v>
                </c:pt>
                <c:pt idx="17">
                  <c:v>101.296764693797</c:v>
                </c:pt>
                <c:pt idx="18">
                  <c:v>101.429298720421</c:v>
                </c:pt>
                <c:pt idx="19">
                  <c:v>101.492866477825</c:v>
                </c:pt>
                <c:pt idx="20">
                  <c:v>101.462847345421</c:v>
                </c:pt>
                <c:pt idx="21">
                  <c:v>101.402623697853</c:v>
                </c:pt>
                <c:pt idx="22">
                  <c:v>101.422536252851</c:v>
                </c:pt>
                <c:pt idx="23">
                  <c:v>101.55816978717699</c:v>
                </c:pt>
                <c:pt idx="24">
                  <c:v>101.79118517944001</c:v>
                </c:pt>
                <c:pt idx="25">
                  <c:v>102.07757148035201</c:v>
                </c:pt>
                <c:pt idx="26">
                  <c:v>96.096768848740496</c:v>
                </c:pt>
                <c:pt idx="27">
                  <c:v>90.9847139370262</c:v>
                </c:pt>
                <c:pt idx="28">
                  <c:v>91.207303653547896</c:v>
                </c:pt>
                <c:pt idx="29">
                  <c:v>91.436155087505298</c:v>
                </c:pt>
                <c:pt idx="30">
                  <c:v>91.701191670744393</c:v>
                </c:pt>
                <c:pt idx="31">
                  <c:v>92.020133647450507</c:v>
                </c:pt>
                <c:pt idx="32">
                  <c:v>92.303523693941301</c:v>
                </c:pt>
                <c:pt idx="33">
                  <c:v>92.492333246350896</c:v>
                </c:pt>
                <c:pt idx="34">
                  <c:v>92.591303527329998</c:v>
                </c:pt>
                <c:pt idx="35">
                  <c:v>92.6721299092588</c:v>
                </c:pt>
                <c:pt idx="36">
                  <c:v>92.841624796220401</c:v>
                </c:pt>
                <c:pt idx="37">
                  <c:v>93.205218725018</c:v>
                </c:pt>
                <c:pt idx="38">
                  <c:v>93.788072033143095</c:v>
                </c:pt>
                <c:pt idx="39">
                  <c:v>94.535425980080802</c:v>
                </c:pt>
                <c:pt idx="40">
                  <c:v>95.333120205029502</c:v>
                </c:pt>
                <c:pt idx="41">
                  <c:v>96.046712725271504</c:v>
                </c:pt>
                <c:pt idx="42">
                  <c:v>96.662892925664806</c:v>
                </c:pt>
                <c:pt idx="43">
                  <c:v>97.219513043775294</c:v>
                </c:pt>
                <c:pt idx="44">
                  <c:v>97.777579722069603</c:v>
                </c:pt>
                <c:pt idx="45">
                  <c:v>98.383688812821902</c:v>
                </c:pt>
                <c:pt idx="46">
                  <c:v>99.008144355385198</c:v>
                </c:pt>
                <c:pt idx="47">
                  <c:v>99.632967095955706</c:v>
                </c:pt>
                <c:pt idx="48">
                  <c:v>100.228773479154</c:v>
                </c:pt>
                <c:pt idx="49">
                  <c:v>100.759923455219</c:v>
                </c:pt>
                <c:pt idx="50">
                  <c:v>101.20636144283201</c:v>
                </c:pt>
                <c:pt idx="51">
                  <c:v>101.575528539597</c:v>
                </c:pt>
                <c:pt idx="52">
                  <c:v>101.86717509267</c:v>
                </c:pt>
                <c:pt idx="53">
                  <c:v>102.081328096444</c:v>
                </c:pt>
                <c:pt idx="54">
                  <c:v>102.226951499772</c:v>
                </c:pt>
                <c:pt idx="55">
                  <c:v>102.350775218872</c:v>
                </c:pt>
                <c:pt idx="56">
                  <c:v>102.54067990972</c:v>
                </c:pt>
                <c:pt idx="57">
                  <c:v>102.79283362384901</c:v>
                </c:pt>
                <c:pt idx="58">
                  <c:v>103.091064377302</c:v>
                </c:pt>
                <c:pt idx="59">
                  <c:v>103.391656143745</c:v>
                </c:pt>
                <c:pt idx="60">
                  <c:v>103.608710413464</c:v>
                </c:pt>
                <c:pt idx="61">
                  <c:v>103.68689604275799</c:v>
                </c:pt>
                <c:pt idx="62">
                  <c:v>103.61987408460401</c:v>
                </c:pt>
                <c:pt idx="63">
                  <c:v>103.456451377749</c:v>
                </c:pt>
                <c:pt idx="64">
                  <c:v>103.291775489404</c:v>
                </c:pt>
                <c:pt idx="65">
                  <c:v>103.235152786508</c:v>
                </c:pt>
                <c:pt idx="66">
                  <c:v>103.340388596389</c:v>
                </c:pt>
              </c:numCache>
            </c:numRef>
          </c:val>
          <c:smooth val="0"/>
          <c:extLst>
            <c:ext xmlns:c16="http://schemas.microsoft.com/office/drawing/2014/chart" uri="{C3380CC4-5D6E-409C-BE32-E72D297353CC}">
              <c16:uniqueId val="{00000001-5D0B-41F4-B7F9-9F62098252C5}"/>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50" baseline="0">
                <a:latin typeface="Arial" pitchFamily="34" charset="0"/>
                <a:cs typeface="Arial" pitchFamily="34" charset="0"/>
              </a:defRPr>
            </a:pPr>
            <a:endParaRPr lang="es-MX"/>
          </a:p>
        </c:txPr>
        <c:crossAx val="836036072"/>
        <c:crosses val="autoZero"/>
        <c:auto val="1"/>
        <c:lblAlgn val="ctr"/>
        <c:lblOffset val="100"/>
        <c:tickLblSkip val="2"/>
        <c:tickMarkSkip val="12"/>
        <c:noMultiLvlLbl val="1"/>
      </c:catAx>
      <c:valAx>
        <c:axId val="836036072"/>
        <c:scaling>
          <c:orientation val="minMax"/>
          <c:max val="110"/>
          <c:min val="70"/>
        </c:scaling>
        <c:delete val="0"/>
        <c:axPos val="l"/>
        <c:numFmt formatCode="#,##0" sourceLinked="0"/>
        <c:majorTickMark val="out"/>
        <c:minorTickMark val="none"/>
        <c:tickLblPos val="nextTo"/>
        <c:spPr>
          <a:ln w="3175">
            <a:solidFill>
              <a:schemeClr val="tx1"/>
            </a:solidFill>
          </a:ln>
        </c:spPr>
        <c:txPr>
          <a:bodyPr/>
          <a:lstStyle/>
          <a:p>
            <a:pPr>
              <a:defRPr sz="750">
                <a:latin typeface="Arial" pitchFamily="34" charset="0"/>
                <a:cs typeface="Arial" pitchFamily="34" charset="0"/>
              </a:defRPr>
            </a:pPr>
            <a:endParaRPr lang="es-MX"/>
          </a:p>
        </c:txPr>
        <c:crossAx val="836031368"/>
        <c:crosses val="autoZero"/>
        <c:crossBetween val="between"/>
        <c:majorUnit val="10"/>
        <c:minorUnit val="4"/>
      </c:valAx>
      <c:spPr>
        <a:noFill/>
        <a:ln w="3175">
          <a:solidFill>
            <a:schemeClr val="bg1">
              <a:lumMod val="75000"/>
            </a:schemeClr>
          </a:solidFill>
        </a:ln>
      </c:spPr>
    </c:plotArea>
    <c:legend>
      <c:legendPos val="b"/>
      <c:layout>
        <c:manualLayout>
          <c:xMode val="edge"/>
          <c:yMode val="edge"/>
          <c:x val="0.12757981481481481"/>
          <c:y val="0.94598611111111108"/>
          <c:w val="0.78343655439478144"/>
          <c:h val="2.9875203647238016E-2"/>
        </c:manualLayout>
      </c:layout>
      <c:overlay val="0"/>
      <c:txPr>
        <a:bodyPr/>
        <a:lstStyle/>
        <a:p>
          <a:pPr>
            <a:defRPr sz="800" baseline="0">
              <a:latin typeface="Arial" pitchFamily="34" charset="0"/>
              <a:cs typeface="Arial" pitchFamily="34" charset="0"/>
            </a:defRPr>
          </a:pPr>
          <a:endParaRPr lang="es-MX"/>
        </a:p>
      </c:txPr>
    </c:legend>
    <c:plotVisOnly val="1"/>
    <c:dispBlanksAs val="gap"/>
    <c:showDLblsOverMax val="0"/>
  </c:chart>
  <c:spPr>
    <a:noFill/>
    <a:ln w="3175">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77979174549588048"/>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 '!$K$5:$K$71</c:f>
              <c:numCache>
                <c:formatCode>0.0</c:formatCode>
                <c:ptCount val="67"/>
                <c:pt idx="0">
                  <c:v>98.678519092414305</c:v>
                </c:pt>
                <c:pt idx="1">
                  <c:v>99.046570547629798</c:v>
                </c:pt>
                <c:pt idx="2">
                  <c:v>102.43387712101899</c:v>
                </c:pt>
                <c:pt idx="3">
                  <c:v>98.286606032196502</c:v>
                </c:pt>
                <c:pt idx="4">
                  <c:v>98.098318380252493</c:v>
                </c:pt>
                <c:pt idx="5">
                  <c:v>99.559882950048305</c:v>
                </c:pt>
                <c:pt idx="6">
                  <c:v>97.704509806205905</c:v>
                </c:pt>
                <c:pt idx="7">
                  <c:v>100.900228029752</c:v>
                </c:pt>
                <c:pt idx="8">
                  <c:v>102.554219611202</c:v>
                </c:pt>
                <c:pt idx="9">
                  <c:v>100.032698443821</c:v>
                </c:pt>
                <c:pt idx="10">
                  <c:v>101.36279827556299</c:v>
                </c:pt>
                <c:pt idx="11">
                  <c:v>101.93168095580801</c:v>
                </c:pt>
                <c:pt idx="12">
                  <c:v>104.142486785684</c:v>
                </c:pt>
                <c:pt idx="13">
                  <c:v>104.133633039234</c:v>
                </c:pt>
                <c:pt idx="14">
                  <c:v>98.024274626812897</c:v>
                </c:pt>
                <c:pt idx="15">
                  <c:v>102.390967914165</c:v>
                </c:pt>
                <c:pt idx="16">
                  <c:v>98.870459682919801</c:v>
                </c:pt>
                <c:pt idx="17">
                  <c:v>99.396623788165599</c:v>
                </c:pt>
                <c:pt idx="18">
                  <c:v>103.293443557771</c:v>
                </c:pt>
                <c:pt idx="19">
                  <c:v>101.514367870702</c:v>
                </c:pt>
                <c:pt idx="20">
                  <c:v>103.345662316553</c:v>
                </c:pt>
                <c:pt idx="21">
                  <c:v>108.127033706787</c:v>
                </c:pt>
                <c:pt idx="22">
                  <c:v>104.92484368067601</c:v>
                </c:pt>
                <c:pt idx="23">
                  <c:v>102.551805543323</c:v>
                </c:pt>
                <c:pt idx="24">
                  <c:v>101.887849877005</c:v>
                </c:pt>
                <c:pt idx="25">
                  <c:v>101.26215881740301</c:v>
                </c:pt>
                <c:pt idx="26">
                  <c:v>84.506444273877705</c:v>
                </c:pt>
                <c:pt idx="27">
                  <c:v>71.389554780889199</c:v>
                </c:pt>
                <c:pt idx="28">
                  <c:v>66.920707293781604</c:v>
                </c:pt>
                <c:pt idx="29">
                  <c:v>71.679207635123205</c:v>
                </c:pt>
                <c:pt idx="30">
                  <c:v>80.5839108411719</c:v>
                </c:pt>
                <c:pt idx="31">
                  <c:v>90.800781351389702</c:v>
                </c:pt>
                <c:pt idx="32">
                  <c:v>92.205600432896006</c:v>
                </c:pt>
                <c:pt idx="33">
                  <c:v>93.840376497555795</c:v>
                </c:pt>
                <c:pt idx="34">
                  <c:v>103.69948287730899</c:v>
                </c:pt>
                <c:pt idx="35">
                  <c:v>106.64702582922401</c:v>
                </c:pt>
                <c:pt idx="36">
                  <c:v>109.70427015127601</c:v>
                </c:pt>
                <c:pt idx="37">
                  <c:v>106.054957348543</c:v>
                </c:pt>
                <c:pt idx="38">
                  <c:v>111.253790579818</c:v>
                </c:pt>
                <c:pt idx="39">
                  <c:v>107.87270935872399</c:v>
                </c:pt>
                <c:pt idx="40">
                  <c:v>113.855136099137</c:v>
                </c:pt>
                <c:pt idx="41">
                  <c:v>111.250516902865</c:v>
                </c:pt>
                <c:pt idx="42">
                  <c:v>115.524536335465</c:v>
                </c:pt>
                <c:pt idx="43">
                  <c:v>114.565551486533</c:v>
                </c:pt>
                <c:pt idx="44">
                  <c:v>115.0736832739</c:v>
                </c:pt>
                <c:pt idx="45">
                  <c:v>118.546104334058</c:v>
                </c:pt>
                <c:pt idx="46">
                  <c:v>117.563014468204</c:v>
                </c:pt>
                <c:pt idx="47">
                  <c:v>121.49289344799899</c:v>
                </c:pt>
                <c:pt idx="48">
                  <c:v>115.271983035066</c:v>
                </c:pt>
                <c:pt idx="49">
                  <c:v>127.80764906653</c:v>
                </c:pt>
                <c:pt idx="50">
                  <c:v>125.193350949288</c:v>
                </c:pt>
                <c:pt idx="51">
                  <c:v>127.33655631163199</c:v>
                </c:pt>
                <c:pt idx="52">
                  <c:v>125.375912972441</c:v>
                </c:pt>
                <c:pt idx="53">
                  <c:v>127.828859965939</c:v>
                </c:pt>
                <c:pt idx="54">
                  <c:v>127.95448491950501</c:v>
                </c:pt>
                <c:pt idx="55">
                  <c:v>127.95851011234301</c:v>
                </c:pt>
                <c:pt idx="56">
                  <c:v>130.93889675079501</c:v>
                </c:pt>
                <c:pt idx="57">
                  <c:v>128.85769020967399</c:v>
                </c:pt>
                <c:pt idx="58">
                  <c:v>127.40762384424799</c:v>
                </c:pt>
                <c:pt idx="59">
                  <c:v>127.700458719157</c:v>
                </c:pt>
                <c:pt idx="60">
                  <c:v>144.5839782896</c:v>
                </c:pt>
                <c:pt idx="61">
                  <c:v>137.91687096825601</c:v>
                </c:pt>
                <c:pt idx="62">
                  <c:v>143.31465769898301</c:v>
                </c:pt>
                <c:pt idx="63">
                  <c:v>147.289123225922</c:v>
                </c:pt>
                <c:pt idx="64">
                  <c:v>151.00242404163399</c:v>
                </c:pt>
                <c:pt idx="65">
                  <c:v>154.101700980228</c:v>
                </c:pt>
                <c:pt idx="66">
                  <c:v>152.377193289861</c:v>
                </c:pt>
              </c:numCache>
            </c:numRef>
          </c:val>
          <c:extLst>
            <c:ext xmlns:c16="http://schemas.microsoft.com/office/drawing/2014/chart" uri="{C3380CC4-5D6E-409C-BE32-E72D297353CC}">
              <c16:uniqueId val="{00000000-AA34-41BD-A5C3-371324B960C8}"/>
            </c:ext>
          </c:extLst>
        </c:ser>
        <c:dLbls>
          <c:showLegendKey val="0"/>
          <c:showVal val="0"/>
          <c:showCatName val="0"/>
          <c:showSerName val="0"/>
          <c:showPercent val="0"/>
          <c:showBubbleSize val="0"/>
        </c:dLbls>
        <c:gapWidth val="70"/>
        <c:axId val="836032152"/>
        <c:axId val="836036464"/>
      </c:barChart>
      <c:lineChart>
        <c:grouping val="standard"/>
        <c:varyColors val="0"/>
        <c:ser>
          <c:idx val="1"/>
          <c:order val="1"/>
          <c:tx>
            <c:strRef>
              <c:f>'Datos '!$L$4</c:f>
              <c:strCache>
                <c:ptCount val="1"/>
                <c:pt idx="0">
                  <c:v>Serie de tendencia-ciclo</c:v>
                </c:pt>
              </c:strCache>
            </c:strRef>
          </c:tx>
          <c:spPr>
            <a:ln w="12700">
              <a:solidFill>
                <a:srgbClr val="1203D3"/>
              </a:solidFill>
            </a:ln>
          </c:spPr>
          <c:marker>
            <c:symbol val="none"/>
          </c:marker>
          <c:cat>
            <c:multiLvlStrRef>
              <c:f>'Datos '!$A$5:$B$71</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2018</c:v>
                  </c:pt>
                  <c:pt idx="12">
                    <c:v>2019</c:v>
                  </c:pt>
                  <c:pt idx="24">
                    <c:v>2020</c:v>
                  </c:pt>
                  <c:pt idx="36">
                    <c:v>2021</c:v>
                  </c:pt>
                  <c:pt idx="48">
                    <c:v>2022</c:v>
                  </c:pt>
                  <c:pt idx="60">
                    <c:v>2023</c:v>
                  </c:pt>
                </c:lvl>
              </c:multiLvlStrCache>
            </c:multiLvlStrRef>
          </c:cat>
          <c:val>
            <c:numRef>
              <c:f>'Datos '!$L$5:$L$71</c:f>
              <c:numCache>
                <c:formatCode>0.0</c:formatCode>
                <c:ptCount val="67"/>
                <c:pt idx="0">
                  <c:v>99.023979925220303</c:v>
                </c:pt>
                <c:pt idx="1">
                  <c:v>99.334091428122093</c:v>
                </c:pt>
                <c:pt idx="2">
                  <c:v>99.454382994911995</c:v>
                </c:pt>
                <c:pt idx="3">
                  <c:v>99.310613579907397</c:v>
                </c:pt>
                <c:pt idx="4">
                  <c:v>99.140204032890395</c:v>
                </c:pt>
                <c:pt idx="5">
                  <c:v>99.174709587267301</c:v>
                </c:pt>
                <c:pt idx="6">
                  <c:v>99.451810008596198</c:v>
                </c:pt>
                <c:pt idx="7">
                  <c:v>99.931454400796895</c:v>
                </c:pt>
                <c:pt idx="8">
                  <c:v>100.697063906441</c:v>
                </c:pt>
                <c:pt idx="9">
                  <c:v>101.48060195572199</c:v>
                </c:pt>
                <c:pt idx="10">
                  <c:v>102.06896361746399</c:v>
                </c:pt>
                <c:pt idx="11">
                  <c:v>102.411147148479</c:v>
                </c:pt>
                <c:pt idx="12">
                  <c:v>102.33528304567299</c:v>
                </c:pt>
                <c:pt idx="13">
                  <c:v>101.899311691829</c:v>
                </c:pt>
                <c:pt idx="14">
                  <c:v>101.297876148726</c:v>
                </c:pt>
                <c:pt idx="15">
                  <c:v>100.626510041945</c:v>
                </c:pt>
                <c:pt idx="16">
                  <c:v>100.27412568348601</c:v>
                </c:pt>
                <c:pt idx="17">
                  <c:v>100.644750637958</c:v>
                </c:pt>
                <c:pt idx="18">
                  <c:v>101.69830873163799</c:v>
                </c:pt>
                <c:pt idx="19">
                  <c:v>103.041801130091</c:v>
                </c:pt>
                <c:pt idx="20">
                  <c:v>104.083364882514</c:v>
                </c:pt>
                <c:pt idx="21">
                  <c:v>104.44983180187</c:v>
                </c:pt>
                <c:pt idx="22">
                  <c:v>104.158266416255</c:v>
                </c:pt>
                <c:pt idx="23">
                  <c:v>103.41757422753901</c:v>
                </c:pt>
                <c:pt idx="24">
                  <c:v>102.833736206137</c:v>
                </c:pt>
                <c:pt idx="25">
                  <c:v>102.829595343151</c:v>
                </c:pt>
                <c:pt idx="26">
                  <c:v>84.8234421359208</c:v>
                </c:pt>
                <c:pt idx="27">
                  <c:v>85.975941048655898</c:v>
                </c:pt>
                <c:pt idx="28">
                  <c:v>87.210352033109501</c:v>
                </c:pt>
                <c:pt idx="29">
                  <c:v>88.271493579082204</c:v>
                </c:pt>
                <c:pt idx="30">
                  <c:v>89.411859481599606</c:v>
                </c:pt>
                <c:pt idx="31">
                  <c:v>91.1894676406001</c:v>
                </c:pt>
                <c:pt idx="32">
                  <c:v>93.834720582756901</c:v>
                </c:pt>
                <c:pt idx="33">
                  <c:v>97.331726573431794</c:v>
                </c:pt>
                <c:pt idx="34">
                  <c:v>101.10967102638899</c:v>
                </c:pt>
                <c:pt idx="35">
                  <c:v>104.580385122159</c:v>
                </c:pt>
                <c:pt idx="36">
                  <c:v>107.215935143652</c:v>
                </c:pt>
                <c:pt idx="37">
                  <c:v>108.91565074694</c:v>
                </c:pt>
                <c:pt idx="38">
                  <c:v>109.955463785294</c:v>
                </c:pt>
                <c:pt idx="39">
                  <c:v>110.71125196816</c:v>
                </c:pt>
                <c:pt idx="40">
                  <c:v>111.607867681212</c:v>
                </c:pt>
                <c:pt idx="41">
                  <c:v>112.724294997678</c:v>
                </c:pt>
                <c:pt idx="42">
                  <c:v>113.87282626757801</c:v>
                </c:pt>
                <c:pt idx="43">
                  <c:v>114.922458700288</c:v>
                </c:pt>
                <c:pt idx="44">
                  <c:v>116.036244510571</c:v>
                </c:pt>
                <c:pt idx="45">
                  <c:v>117.44661949279001</c:v>
                </c:pt>
                <c:pt idx="46">
                  <c:v>119.196376434641</c:v>
                </c:pt>
                <c:pt idx="47">
                  <c:v>121.203301522968</c:v>
                </c:pt>
                <c:pt idx="48">
                  <c:v>123.122117658053</c:v>
                </c:pt>
                <c:pt idx="49">
                  <c:v>124.76852193485</c:v>
                </c:pt>
                <c:pt idx="50">
                  <c:v>125.887033962164</c:v>
                </c:pt>
                <c:pt idx="51">
                  <c:v>126.600082716736</c:v>
                </c:pt>
                <c:pt idx="52">
                  <c:v>127.126418074114</c:v>
                </c:pt>
                <c:pt idx="53">
                  <c:v>127.607929881107</c:v>
                </c:pt>
                <c:pt idx="54">
                  <c:v>128.01118666421601</c:v>
                </c:pt>
                <c:pt idx="55">
                  <c:v>128.21515410775899</c:v>
                </c:pt>
                <c:pt idx="56">
                  <c:v>128.255758265342</c:v>
                </c:pt>
                <c:pt idx="57">
                  <c:v>128.35431963562999</c:v>
                </c:pt>
                <c:pt idx="58">
                  <c:v>129.058863160161</c:v>
                </c:pt>
                <c:pt idx="59">
                  <c:v>130.79360128100399</c:v>
                </c:pt>
                <c:pt idx="60">
                  <c:v>133.866095303013</c:v>
                </c:pt>
                <c:pt idx="61">
                  <c:v>137.942733228794</c:v>
                </c:pt>
                <c:pt idx="62">
                  <c:v>142.438656400909</c:v>
                </c:pt>
                <c:pt idx="63">
                  <c:v>146.648749476018</c:v>
                </c:pt>
                <c:pt idx="64">
                  <c:v>150.04271112545001</c:v>
                </c:pt>
                <c:pt idx="65">
                  <c:v>152.657652709134</c:v>
                </c:pt>
                <c:pt idx="66">
                  <c:v>154.92986833092201</c:v>
                </c:pt>
              </c:numCache>
            </c:numRef>
          </c:val>
          <c:smooth val="0"/>
          <c:extLst>
            <c:ext xmlns:c16="http://schemas.microsoft.com/office/drawing/2014/chart" uri="{C3380CC4-5D6E-409C-BE32-E72D297353CC}">
              <c16:uniqueId val="{00000001-AA34-41BD-A5C3-371324B960C8}"/>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3175">
            <a:solidFill>
              <a:schemeClr val="tx1"/>
            </a:solidFill>
          </a:ln>
        </c:spPr>
        <c:txPr>
          <a:bodyPr rot="0" vert="horz"/>
          <a:lstStyle/>
          <a:p>
            <a:pPr>
              <a:defRPr sz="750" baseline="0">
                <a:latin typeface="Arial" pitchFamily="34" charset="0"/>
                <a:cs typeface="Arial" pitchFamily="34" charset="0"/>
              </a:defRPr>
            </a:pPr>
            <a:endParaRPr lang="es-MX"/>
          </a:p>
        </c:txPr>
        <c:crossAx val="836036464"/>
        <c:crosses val="autoZero"/>
        <c:auto val="1"/>
        <c:lblAlgn val="ctr"/>
        <c:lblOffset val="100"/>
        <c:tickLblSkip val="2"/>
        <c:tickMarkSkip val="12"/>
        <c:noMultiLvlLbl val="1"/>
      </c:catAx>
      <c:valAx>
        <c:axId val="836036464"/>
        <c:scaling>
          <c:orientation val="minMax"/>
          <c:max val="160"/>
          <c:min val="60"/>
        </c:scaling>
        <c:delete val="0"/>
        <c:axPos val="l"/>
        <c:numFmt formatCode="#,##0" sourceLinked="0"/>
        <c:majorTickMark val="out"/>
        <c:minorTickMark val="none"/>
        <c:tickLblPos val="nextTo"/>
        <c:spPr>
          <a:ln w="3175">
            <a:solidFill>
              <a:schemeClr val="tx1"/>
            </a:solidFill>
          </a:ln>
        </c:spPr>
        <c:txPr>
          <a:bodyPr/>
          <a:lstStyle/>
          <a:p>
            <a:pPr>
              <a:defRPr sz="750">
                <a:latin typeface="Arial" pitchFamily="34" charset="0"/>
                <a:cs typeface="Arial" pitchFamily="34" charset="0"/>
              </a:defRPr>
            </a:pPr>
            <a:endParaRPr lang="es-MX"/>
          </a:p>
        </c:txPr>
        <c:crossAx val="836032152"/>
        <c:crosses val="autoZero"/>
        <c:crossBetween val="between"/>
        <c:majorUnit val="20"/>
        <c:minorUnit val="4"/>
      </c:valAx>
      <c:spPr>
        <a:noFill/>
        <a:ln w="3175">
          <a:solidFill>
            <a:schemeClr val="bg1">
              <a:lumMod val="75000"/>
            </a:schemeClr>
          </a:solidFill>
        </a:ln>
      </c:spPr>
    </c:plotArea>
    <c:legend>
      <c:legendPos val="b"/>
      <c:layout>
        <c:manualLayout>
          <c:xMode val="edge"/>
          <c:yMode val="edge"/>
          <c:x val="0.11847648148148149"/>
          <c:y val="0.94674246031746034"/>
          <c:w val="0.78343655439478144"/>
          <c:h val="3.0045932746058067E-2"/>
        </c:manualLayout>
      </c:layout>
      <c:overlay val="0"/>
      <c:txPr>
        <a:bodyPr/>
        <a:lstStyle/>
        <a:p>
          <a:pPr>
            <a:defRPr sz="800" baseline="0">
              <a:latin typeface="Arial" pitchFamily="34" charset="0"/>
              <a:cs typeface="Arial" pitchFamily="34" charset="0"/>
            </a:defRPr>
          </a:pPr>
          <a:endParaRPr lang="es-MX"/>
        </a:p>
      </c:txPr>
    </c:legend>
    <c:plotVisOnly val="1"/>
    <c:dispBlanksAs val="gap"/>
    <c:showDLblsOverMax val="0"/>
  </c:chart>
  <c:spPr>
    <a:noFill/>
    <a:ln w="3175">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E3DE1-1990-4852-B38E-08F2C85B0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1895</Words>
  <Characters>10424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Comunicado de Prensa del Indicador Mensual Del Consumo Privado</vt:lpstr>
    </vt:vector>
  </TitlesOfParts>
  <Company>INEGI</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del Indicador Mensual Del Consumo Privado</dc:title>
  <dc:subject/>
  <dc:creator>INEGI</dc:creator>
  <cp:keywords/>
  <cp:lastModifiedBy>MORONES RUIZ FABIOLA CRISTINA</cp:lastModifiedBy>
  <cp:revision>5</cp:revision>
  <cp:lastPrinted>2023-08-31T22:54:00Z</cp:lastPrinted>
  <dcterms:created xsi:type="dcterms:W3CDTF">2023-09-29T22:56:00Z</dcterms:created>
  <dcterms:modified xsi:type="dcterms:W3CDTF">2023-10-02T20:08:00Z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b963b27905bb67b6c14046e9bda468773637788ac79370bcd99fadd60ea0b13b</vt:lpwstr>
  </property>
</Properties>
</file>