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F5EF" w14:textId="443F3520" w:rsidR="006029B4" w:rsidRDefault="006029B4" w:rsidP="003E644F">
      <w:pPr>
        <w:pStyle w:val="Profesin"/>
        <w:spacing w:before="240"/>
        <w:rPr>
          <w:caps w:val="0"/>
          <w:smallCaps/>
          <w:spacing w:val="20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D2D5F5" wp14:editId="47E5D588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3336290" cy="523875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C422E" w14:textId="77777777" w:rsidR="006029B4" w:rsidRPr="003D4E37" w:rsidRDefault="006029B4" w:rsidP="006029B4">
                            <w:pPr>
                              <w:spacing w:before="120" w:after="120"/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22 de 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2D5F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24.1pt;width:262.7pt;height: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" stroked="f">
                <v:textbox>
                  <w:txbxContent>
                    <w:p w14:paraId="16CC422E" w14:textId="77777777" w:rsidR="006029B4" w:rsidRPr="003D4E37" w:rsidRDefault="006029B4" w:rsidP="006029B4">
                      <w:pPr>
                        <w:spacing w:before="120" w:after="120"/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22 de septiembre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DC1C9C" w14:textId="39FD44A5" w:rsidR="006029B4" w:rsidRDefault="006029B4" w:rsidP="003E644F">
      <w:pPr>
        <w:pStyle w:val="Profesin"/>
        <w:spacing w:before="240"/>
        <w:rPr>
          <w:caps w:val="0"/>
          <w:smallCaps/>
          <w:spacing w:val="20"/>
        </w:rPr>
      </w:pPr>
    </w:p>
    <w:p w14:paraId="407AD73F" w14:textId="77777777" w:rsidR="006029B4" w:rsidRDefault="006029B4" w:rsidP="003E644F">
      <w:pPr>
        <w:pStyle w:val="Profesin"/>
        <w:spacing w:before="240"/>
        <w:rPr>
          <w:caps w:val="0"/>
          <w:smallCaps/>
          <w:spacing w:val="20"/>
        </w:rPr>
      </w:pPr>
    </w:p>
    <w:p w14:paraId="281885D4" w14:textId="444259C6" w:rsidR="00DF2D89" w:rsidRPr="006029B4" w:rsidRDefault="00DF2D89" w:rsidP="003E644F">
      <w:pPr>
        <w:pStyle w:val="Profesin"/>
        <w:spacing w:before="240"/>
        <w:rPr>
          <w:rFonts w:ascii="Arial Negrita" w:hAnsi="Arial Negrita"/>
          <w:sz w:val="24"/>
        </w:rPr>
      </w:pPr>
      <w:r w:rsidRPr="006029B4">
        <w:rPr>
          <w:rFonts w:ascii="Arial Negrita" w:hAnsi="Arial Negrita"/>
          <w:sz w:val="24"/>
        </w:rPr>
        <w:t>ÍNDICE NACIONAL DE PRECIOS AL CONSUMIDOR</w:t>
      </w:r>
    </w:p>
    <w:p w14:paraId="4FD2E2F7" w14:textId="47967F30" w:rsidR="00236AC0" w:rsidRPr="006029B4" w:rsidRDefault="006029B4" w:rsidP="00236AC0">
      <w:pPr>
        <w:pStyle w:val="Profesin"/>
        <w:spacing w:before="60"/>
        <w:rPr>
          <w:rFonts w:ascii="Arial Negrita" w:hAnsi="Arial Negrita"/>
          <w:caps w:val="0"/>
          <w:smallCaps/>
          <w:sz w:val="22"/>
        </w:rPr>
      </w:pPr>
      <w:bookmarkStart w:id="0" w:name="_Hlk33002076"/>
      <w:r>
        <w:rPr>
          <w:rFonts w:ascii="Arial Negrita" w:hAnsi="Arial Negrita"/>
          <w:caps w:val="0"/>
          <w:smallCaps/>
          <w:sz w:val="22"/>
        </w:rPr>
        <w:t>P</w:t>
      </w:r>
      <w:r w:rsidR="000E13AF" w:rsidRPr="006029B4">
        <w:rPr>
          <w:rFonts w:ascii="Arial Negrita" w:hAnsi="Arial Negrita"/>
          <w:caps w:val="0"/>
          <w:smallCaps/>
          <w:sz w:val="22"/>
        </w:rPr>
        <w:t xml:space="preserve">rimera quincena de </w:t>
      </w:r>
      <w:r w:rsidR="00FC3E9C" w:rsidRPr="006029B4">
        <w:rPr>
          <w:rFonts w:ascii="Arial Negrita" w:hAnsi="Arial Negrita"/>
          <w:caps w:val="0"/>
          <w:smallCaps/>
          <w:sz w:val="22"/>
        </w:rPr>
        <w:t>agost</w:t>
      </w:r>
      <w:r w:rsidR="006B0D7E" w:rsidRPr="006029B4">
        <w:rPr>
          <w:rFonts w:ascii="Arial Negrita" w:hAnsi="Arial Negrita"/>
          <w:caps w:val="0"/>
          <w:smallCaps/>
          <w:sz w:val="22"/>
        </w:rPr>
        <w:t>o</w:t>
      </w:r>
      <w:r w:rsidR="000E13AF" w:rsidRPr="006029B4">
        <w:rPr>
          <w:rFonts w:ascii="Arial Negrita" w:hAnsi="Arial Negrita"/>
          <w:caps w:val="0"/>
          <w:smallCaps/>
          <w:sz w:val="22"/>
        </w:rPr>
        <w:t xml:space="preserve"> de 2023</w:t>
      </w:r>
    </w:p>
    <w:p w14:paraId="685A0C79" w14:textId="1145FAAC" w:rsidR="00982FF8" w:rsidRPr="006029B4" w:rsidRDefault="00880585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  <w:r w:rsidRPr="006029B4">
        <w:rPr>
          <w:bCs/>
          <w:spacing w:val="4"/>
          <w:szCs w:val="22"/>
        </w:rPr>
        <w:t xml:space="preserve">En la primera quincena de </w:t>
      </w:r>
      <w:r w:rsidR="00316A45" w:rsidRPr="006029B4">
        <w:rPr>
          <w:bCs/>
          <w:spacing w:val="4"/>
          <w:szCs w:val="22"/>
        </w:rPr>
        <w:t>agost</w:t>
      </w:r>
      <w:r w:rsidRPr="006029B4">
        <w:rPr>
          <w:bCs/>
          <w:spacing w:val="4"/>
          <w:szCs w:val="22"/>
        </w:rPr>
        <w:t xml:space="preserve">o de 2023, el Índice Nacional de Precios al Consumidor (INPC) </w:t>
      </w:r>
      <w:r w:rsidR="00316A45" w:rsidRPr="006029B4">
        <w:rPr>
          <w:bCs/>
          <w:spacing w:val="4"/>
          <w:szCs w:val="22"/>
        </w:rPr>
        <w:t>presentó un incremento de</w:t>
      </w:r>
      <w:r w:rsidRPr="006029B4">
        <w:rPr>
          <w:bCs/>
          <w:spacing w:val="4"/>
          <w:szCs w:val="22"/>
        </w:rPr>
        <w:t xml:space="preserve"> 0.</w:t>
      </w:r>
      <w:r w:rsidR="00316A45" w:rsidRPr="006029B4">
        <w:rPr>
          <w:bCs/>
          <w:spacing w:val="4"/>
          <w:szCs w:val="22"/>
        </w:rPr>
        <w:t>32</w:t>
      </w:r>
      <w:r w:rsidR="007C3637" w:rsidRPr="006029B4">
        <w:rPr>
          <w:bCs/>
          <w:spacing w:val="4"/>
          <w:szCs w:val="22"/>
        </w:rPr>
        <w:t> %</w:t>
      </w:r>
      <w:r w:rsidRPr="006029B4">
        <w:rPr>
          <w:bCs/>
          <w:spacing w:val="4"/>
          <w:szCs w:val="22"/>
        </w:rPr>
        <w:t xml:space="preserve"> respecto a la quincena anterior. Con este resultado, la inflación general anual se ubicó en 4.</w:t>
      </w:r>
      <w:r w:rsidR="00316A45" w:rsidRPr="006029B4">
        <w:rPr>
          <w:bCs/>
          <w:spacing w:val="4"/>
          <w:szCs w:val="22"/>
        </w:rPr>
        <w:t>67</w:t>
      </w:r>
      <w:r w:rsidRPr="006029B4">
        <w:rPr>
          <w:bCs/>
          <w:spacing w:val="4"/>
          <w:szCs w:val="22"/>
        </w:rPr>
        <w:t xml:space="preserve"> por ciento. En la misma quincena de 2022, la inflación quincenal fue de 0.4</w:t>
      </w:r>
      <w:r w:rsidR="00316A45" w:rsidRPr="006029B4">
        <w:rPr>
          <w:bCs/>
          <w:spacing w:val="4"/>
          <w:szCs w:val="22"/>
        </w:rPr>
        <w:t>2</w:t>
      </w:r>
      <w:r w:rsidR="007C3637" w:rsidRPr="006029B4">
        <w:rPr>
          <w:bCs/>
          <w:spacing w:val="4"/>
          <w:szCs w:val="22"/>
        </w:rPr>
        <w:t> %</w:t>
      </w:r>
      <w:r w:rsidRPr="006029B4">
        <w:rPr>
          <w:bCs/>
          <w:spacing w:val="4"/>
          <w:szCs w:val="22"/>
        </w:rPr>
        <w:t xml:space="preserve"> y la anual, de 8.6</w:t>
      </w:r>
      <w:r w:rsidR="00316A45" w:rsidRPr="006029B4">
        <w:rPr>
          <w:bCs/>
          <w:spacing w:val="4"/>
          <w:szCs w:val="22"/>
        </w:rPr>
        <w:t>2</w:t>
      </w:r>
      <w:r w:rsidRPr="006029B4">
        <w:rPr>
          <w:bCs/>
          <w:spacing w:val="4"/>
          <w:szCs w:val="22"/>
        </w:rPr>
        <w:t xml:space="preserve"> por ciento</w:t>
      </w:r>
      <w:r w:rsidR="00982FF8" w:rsidRPr="006029B4">
        <w:rPr>
          <w:bCs/>
          <w:spacing w:val="4"/>
          <w:szCs w:val="22"/>
        </w:rPr>
        <w:t>.</w:t>
      </w:r>
    </w:p>
    <w:p w14:paraId="619D69A1" w14:textId="23147C0D" w:rsidR="00236AC0" w:rsidRPr="006029B4" w:rsidRDefault="00316A45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  <w:r w:rsidRPr="006029B4">
        <w:rPr>
          <w:bCs/>
          <w:spacing w:val="4"/>
          <w:szCs w:val="22"/>
        </w:rPr>
        <w:t>E</w:t>
      </w:r>
      <w:r w:rsidR="00F95426" w:rsidRPr="006029B4">
        <w:rPr>
          <w:bCs/>
          <w:spacing w:val="4"/>
          <w:szCs w:val="22"/>
        </w:rPr>
        <w:t xml:space="preserve">l índice de precios subyacente </w:t>
      </w:r>
      <w:r w:rsidR="00880585" w:rsidRPr="006029B4">
        <w:rPr>
          <w:bCs/>
          <w:spacing w:val="4"/>
          <w:szCs w:val="22"/>
        </w:rPr>
        <w:t>aument</w:t>
      </w:r>
      <w:r w:rsidR="003641CC" w:rsidRPr="006029B4">
        <w:rPr>
          <w:bCs/>
          <w:spacing w:val="4"/>
          <w:szCs w:val="22"/>
        </w:rPr>
        <w:t xml:space="preserve">ó </w:t>
      </w:r>
      <w:r w:rsidR="00880585" w:rsidRPr="006029B4">
        <w:rPr>
          <w:bCs/>
          <w:spacing w:val="4"/>
          <w:szCs w:val="22"/>
        </w:rPr>
        <w:t>0.</w:t>
      </w:r>
      <w:r w:rsidRPr="006029B4">
        <w:rPr>
          <w:bCs/>
          <w:spacing w:val="4"/>
          <w:szCs w:val="22"/>
        </w:rPr>
        <w:t>19</w:t>
      </w:r>
      <w:r w:rsidR="007C3637" w:rsidRPr="006029B4">
        <w:rPr>
          <w:bCs/>
          <w:spacing w:val="4"/>
          <w:szCs w:val="22"/>
        </w:rPr>
        <w:t> %</w:t>
      </w:r>
      <w:r w:rsidR="00880585" w:rsidRPr="006029B4">
        <w:rPr>
          <w:bCs/>
          <w:spacing w:val="4"/>
          <w:szCs w:val="22"/>
        </w:rPr>
        <w:t xml:space="preserve"> a tasa quincenal y anual,</w:t>
      </w:r>
      <w:r w:rsidR="003641CC" w:rsidRPr="006029B4">
        <w:rPr>
          <w:bCs/>
          <w:spacing w:val="4"/>
          <w:szCs w:val="22"/>
        </w:rPr>
        <w:t xml:space="preserve"> </w:t>
      </w:r>
      <w:r w:rsidR="00880585" w:rsidRPr="006029B4">
        <w:rPr>
          <w:bCs/>
          <w:spacing w:val="4"/>
          <w:szCs w:val="22"/>
        </w:rPr>
        <w:t>6.</w:t>
      </w:r>
      <w:r w:rsidRPr="006029B4">
        <w:rPr>
          <w:bCs/>
          <w:spacing w:val="4"/>
          <w:szCs w:val="22"/>
        </w:rPr>
        <w:t>21</w:t>
      </w:r>
      <w:r w:rsidR="00880585" w:rsidRPr="006029B4">
        <w:rPr>
          <w:bCs/>
          <w:spacing w:val="4"/>
          <w:szCs w:val="22"/>
        </w:rPr>
        <w:t xml:space="preserve"> por ciento. </w:t>
      </w:r>
      <w:r w:rsidRPr="006029B4">
        <w:rPr>
          <w:bCs/>
          <w:spacing w:val="4"/>
          <w:szCs w:val="22"/>
        </w:rPr>
        <w:t>E</w:t>
      </w:r>
      <w:r w:rsidR="00880585" w:rsidRPr="006029B4">
        <w:rPr>
          <w:bCs/>
          <w:spacing w:val="4"/>
          <w:szCs w:val="22"/>
        </w:rPr>
        <w:t>l índice de precios no subyacente tuvo un</w:t>
      </w:r>
      <w:r w:rsidR="00E06F24" w:rsidRPr="006029B4">
        <w:rPr>
          <w:bCs/>
          <w:spacing w:val="4"/>
          <w:szCs w:val="22"/>
        </w:rPr>
        <w:t xml:space="preserve"> </w:t>
      </w:r>
      <w:r w:rsidR="00880585" w:rsidRPr="006029B4">
        <w:rPr>
          <w:bCs/>
          <w:spacing w:val="4"/>
          <w:szCs w:val="22"/>
        </w:rPr>
        <w:t>a</w:t>
      </w:r>
      <w:r w:rsidR="00E06F24" w:rsidRPr="006029B4">
        <w:rPr>
          <w:bCs/>
          <w:spacing w:val="4"/>
          <w:szCs w:val="22"/>
        </w:rPr>
        <w:t>lza</w:t>
      </w:r>
      <w:r w:rsidR="00880585" w:rsidRPr="006029B4">
        <w:rPr>
          <w:bCs/>
          <w:spacing w:val="4"/>
          <w:szCs w:val="22"/>
        </w:rPr>
        <w:t xml:space="preserve"> de 0.</w:t>
      </w:r>
      <w:r w:rsidRPr="006029B4">
        <w:rPr>
          <w:bCs/>
          <w:spacing w:val="4"/>
          <w:szCs w:val="22"/>
        </w:rPr>
        <w:t>72</w:t>
      </w:r>
      <w:r w:rsidR="007C3637" w:rsidRPr="006029B4">
        <w:rPr>
          <w:bCs/>
          <w:spacing w:val="4"/>
          <w:szCs w:val="22"/>
        </w:rPr>
        <w:t> %</w:t>
      </w:r>
      <w:r w:rsidR="00880585" w:rsidRPr="006029B4">
        <w:rPr>
          <w:bCs/>
          <w:spacing w:val="4"/>
          <w:szCs w:val="22"/>
        </w:rPr>
        <w:t xml:space="preserve"> quincenal y</w:t>
      </w:r>
      <w:r w:rsidR="00E06F24" w:rsidRPr="006029B4">
        <w:rPr>
          <w:bCs/>
          <w:spacing w:val="4"/>
          <w:szCs w:val="22"/>
        </w:rPr>
        <w:t xml:space="preserve"> de </w:t>
      </w:r>
      <w:r w:rsidR="00880585" w:rsidRPr="006029B4">
        <w:rPr>
          <w:bCs/>
          <w:spacing w:val="4"/>
          <w:szCs w:val="22"/>
        </w:rPr>
        <w:t>0.</w:t>
      </w:r>
      <w:r w:rsidRPr="006029B4">
        <w:rPr>
          <w:bCs/>
          <w:spacing w:val="4"/>
          <w:szCs w:val="22"/>
        </w:rPr>
        <w:t>13</w:t>
      </w:r>
      <w:r w:rsidR="007C3637" w:rsidRPr="006029B4">
        <w:rPr>
          <w:bCs/>
          <w:spacing w:val="4"/>
          <w:szCs w:val="22"/>
        </w:rPr>
        <w:t> %</w:t>
      </w:r>
      <w:r w:rsidRPr="006029B4">
        <w:rPr>
          <w:bCs/>
          <w:spacing w:val="4"/>
          <w:szCs w:val="22"/>
        </w:rPr>
        <w:t>,</w:t>
      </w:r>
      <w:r w:rsidR="00880585" w:rsidRPr="006029B4">
        <w:rPr>
          <w:bCs/>
          <w:spacing w:val="4"/>
          <w:szCs w:val="22"/>
        </w:rPr>
        <w:t xml:space="preserve"> a tasa anual</w:t>
      </w:r>
      <w:r w:rsidR="00141962" w:rsidRPr="006029B4">
        <w:rPr>
          <w:bCs/>
          <w:spacing w:val="4"/>
          <w:szCs w:val="22"/>
        </w:rPr>
        <w:t>.</w:t>
      </w:r>
    </w:p>
    <w:p w14:paraId="6EEA2000" w14:textId="4CD1277F" w:rsidR="00236AC0" w:rsidRPr="006029B4" w:rsidRDefault="00880585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  <w:r w:rsidRPr="006029B4">
        <w:rPr>
          <w:bCs/>
          <w:spacing w:val="4"/>
          <w:szCs w:val="22"/>
        </w:rPr>
        <w:t>Al interior del índice subyacente, a tasa quincenal, los precios de las mercancías subieron 0.1</w:t>
      </w:r>
      <w:r w:rsidR="00BC793F" w:rsidRPr="006029B4">
        <w:rPr>
          <w:bCs/>
          <w:spacing w:val="4"/>
          <w:szCs w:val="22"/>
        </w:rPr>
        <w:t>6</w:t>
      </w:r>
      <w:r w:rsidR="007C3637" w:rsidRPr="006029B4">
        <w:rPr>
          <w:bCs/>
          <w:spacing w:val="4"/>
          <w:szCs w:val="22"/>
        </w:rPr>
        <w:t> %</w:t>
      </w:r>
      <w:r w:rsidRPr="006029B4">
        <w:rPr>
          <w:bCs/>
          <w:spacing w:val="4"/>
          <w:szCs w:val="22"/>
        </w:rPr>
        <w:t xml:space="preserve"> y los de servicios, 0.</w:t>
      </w:r>
      <w:r w:rsidR="00BC793F" w:rsidRPr="006029B4">
        <w:rPr>
          <w:bCs/>
          <w:spacing w:val="4"/>
          <w:szCs w:val="22"/>
        </w:rPr>
        <w:t>23</w:t>
      </w:r>
      <w:r w:rsidR="005F44BD" w:rsidRPr="006029B4">
        <w:rPr>
          <w:bCs/>
          <w:spacing w:val="4"/>
          <w:szCs w:val="22"/>
        </w:rPr>
        <w:t> </w:t>
      </w:r>
      <w:r w:rsidRPr="006029B4">
        <w:rPr>
          <w:bCs/>
          <w:spacing w:val="4"/>
          <w:szCs w:val="22"/>
        </w:rPr>
        <w:t>por</w:t>
      </w:r>
      <w:r w:rsidR="005F44BD" w:rsidRPr="006029B4">
        <w:rPr>
          <w:bCs/>
          <w:spacing w:val="4"/>
          <w:szCs w:val="22"/>
        </w:rPr>
        <w:t> </w:t>
      </w:r>
      <w:r w:rsidRPr="006029B4">
        <w:rPr>
          <w:bCs/>
          <w:spacing w:val="4"/>
          <w:szCs w:val="22"/>
        </w:rPr>
        <w:t>ciento</w:t>
      </w:r>
      <w:r w:rsidR="0025338F" w:rsidRPr="006029B4">
        <w:rPr>
          <w:bCs/>
          <w:spacing w:val="4"/>
          <w:szCs w:val="22"/>
        </w:rPr>
        <w:t>.</w:t>
      </w:r>
    </w:p>
    <w:p w14:paraId="26DA8A07" w14:textId="06E46554" w:rsidR="00236AC0" w:rsidRDefault="00880585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  <w:r w:rsidRPr="006029B4">
        <w:rPr>
          <w:bCs/>
          <w:spacing w:val="4"/>
          <w:szCs w:val="22"/>
        </w:rPr>
        <w:t xml:space="preserve">Dentro del índice no subyacente, a tasa quincenal, los precios de los productos agropecuarios </w:t>
      </w:r>
      <w:r w:rsidR="00BC793F" w:rsidRPr="006029B4">
        <w:rPr>
          <w:bCs/>
          <w:spacing w:val="4"/>
          <w:szCs w:val="22"/>
        </w:rPr>
        <w:t>crecieron</w:t>
      </w:r>
      <w:r w:rsidR="005F44BD" w:rsidRPr="006029B4">
        <w:rPr>
          <w:bCs/>
          <w:spacing w:val="4"/>
          <w:szCs w:val="22"/>
        </w:rPr>
        <w:t xml:space="preserve"> </w:t>
      </w:r>
      <w:r w:rsidR="00BC793F" w:rsidRPr="006029B4">
        <w:rPr>
          <w:bCs/>
          <w:spacing w:val="4"/>
          <w:szCs w:val="22"/>
        </w:rPr>
        <w:t>0.62</w:t>
      </w:r>
      <w:r w:rsidR="007C3637" w:rsidRPr="006029B4">
        <w:rPr>
          <w:bCs/>
          <w:spacing w:val="4"/>
          <w:szCs w:val="22"/>
        </w:rPr>
        <w:t> %</w:t>
      </w:r>
      <w:r w:rsidRPr="006029B4">
        <w:rPr>
          <w:bCs/>
          <w:spacing w:val="4"/>
          <w:szCs w:val="22"/>
        </w:rPr>
        <w:t xml:space="preserve"> y los de energéticos y tarifas autorizadas por el gobierno</w:t>
      </w:r>
      <w:r w:rsidR="00BC793F" w:rsidRPr="006029B4">
        <w:rPr>
          <w:bCs/>
          <w:spacing w:val="4"/>
          <w:szCs w:val="22"/>
        </w:rPr>
        <w:t xml:space="preserve">, </w:t>
      </w:r>
      <w:r w:rsidRPr="006029B4">
        <w:rPr>
          <w:bCs/>
          <w:spacing w:val="4"/>
          <w:szCs w:val="22"/>
        </w:rPr>
        <w:t>0.</w:t>
      </w:r>
      <w:r w:rsidR="00BC793F" w:rsidRPr="006029B4">
        <w:rPr>
          <w:bCs/>
          <w:spacing w:val="4"/>
          <w:szCs w:val="22"/>
        </w:rPr>
        <w:t>80</w:t>
      </w:r>
      <w:r w:rsidR="00893C24" w:rsidRPr="006029B4">
        <w:rPr>
          <w:bCs/>
          <w:spacing w:val="4"/>
          <w:szCs w:val="22"/>
        </w:rPr>
        <w:t> </w:t>
      </w:r>
      <w:r w:rsidRPr="006029B4">
        <w:rPr>
          <w:bCs/>
          <w:spacing w:val="4"/>
          <w:szCs w:val="22"/>
        </w:rPr>
        <w:t>por</w:t>
      </w:r>
      <w:r w:rsidR="00893C24" w:rsidRPr="006029B4">
        <w:rPr>
          <w:bCs/>
          <w:spacing w:val="4"/>
          <w:szCs w:val="22"/>
        </w:rPr>
        <w:t> </w:t>
      </w:r>
      <w:r w:rsidRPr="006029B4">
        <w:rPr>
          <w:bCs/>
          <w:spacing w:val="4"/>
          <w:szCs w:val="22"/>
        </w:rPr>
        <w:t>ciento</w:t>
      </w:r>
      <w:r w:rsidR="00CC1AEE" w:rsidRPr="006029B4">
        <w:rPr>
          <w:bCs/>
          <w:spacing w:val="4"/>
          <w:szCs w:val="22"/>
        </w:rPr>
        <w:t>.</w:t>
      </w:r>
    </w:p>
    <w:p w14:paraId="5FC77FC8" w14:textId="77777777" w:rsidR="006029B4" w:rsidRDefault="006029B4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</w:p>
    <w:p w14:paraId="12511A09" w14:textId="4C608BEF" w:rsidR="006029B4" w:rsidRDefault="006029B4">
      <w:pPr>
        <w:jc w:val="left"/>
        <w:rPr>
          <w:bCs/>
          <w:spacing w:val="4"/>
          <w:szCs w:val="22"/>
        </w:rPr>
      </w:pPr>
      <w:r>
        <w:rPr>
          <w:bCs/>
          <w:spacing w:val="4"/>
          <w:szCs w:val="22"/>
        </w:rPr>
        <w:br w:type="page"/>
      </w:r>
    </w:p>
    <w:p w14:paraId="2EE5204C" w14:textId="77777777" w:rsidR="006029B4" w:rsidRDefault="006029B4" w:rsidP="006029B4">
      <w:pPr>
        <w:pStyle w:val="Prrafodelista"/>
        <w:spacing w:before="360"/>
        <w:ind w:left="0" w:right="51"/>
        <w:rPr>
          <w:bCs/>
          <w:spacing w:val="4"/>
          <w:szCs w:val="22"/>
        </w:rPr>
      </w:pPr>
    </w:p>
    <w:p w14:paraId="17EB3AD7" w14:textId="75AE3AA8" w:rsidR="006029B4" w:rsidRPr="00B81C75" w:rsidRDefault="006029B4" w:rsidP="006029B4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63D0E71" w14:textId="77777777" w:rsidR="006029B4" w:rsidRPr="00257AF9" w:rsidRDefault="006029B4" w:rsidP="006029B4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la primera quincena de agosto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46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454"/>
        <w:gridCol w:w="454"/>
        <w:gridCol w:w="454"/>
        <w:gridCol w:w="127"/>
        <w:gridCol w:w="566"/>
        <w:gridCol w:w="454"/>
        <w:gridCol w:w="454"/>
        <w:gridCol w:w="8"/>
        <w:gridCol w:w="119"/>
        <w:gridCol w:w="8"/>
        <w:gridCol w:w="559"/>
        <w:gridCol w:w="567"/>
        <w:gridCol w:w="508"/>
        <w:gridCol w:w="8"/>
        <w:gridCol w:w="76"/>
        <w:gridCol w:w="8"/>
        <w:gridCol w:w="476"/>
        <w:gridCol w:w="568"/>
        <w:gridCol w:w="587"/>
      </w:tblGrid>
      <w:tr w:rsidR="006029B4" w:rsidRPr="00A9663B" w14:paraId="3035D1D8" w14:textId="77777777" w:rsidTr="00C538F8">
        <w:trPr>
          <w:trHeight w:val="283"/>
          <w:jc w:val="center"/>
        </w:trPr>
        <w:tc>
          <w:tcPr>
            <w:tcW w:w="2898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F5FD1B3" w14:textId="77777777" w:rsidR="006029B4" w:rsidRPr="00443E47" w:rsidRDefault="006029B4" w:rsidP="00C538F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9FCB942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6F5C1521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57" w:type="dxa"/>
            <w:gridSpan w:val="9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AA39271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6029B4" w:rsidRPr="00A9663B" w14:paraId="36647F59" w14:textId="77777777" w:rsidTr="00C538F8">
        <w:trPr>
          <w:trHeight w:val="283"/>
          <w:jc w:val="center"/>
        </w:trPr>
        <w:tc>
          <w:tcPr>
            <w:tcW w:w="2898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1BC00850" w14:textId="77777777" w:rsidR="006029B4" w:rsidRPr="00443E47" w:rsidRDefault="006029B4" w:rsidP="00C538F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310BAB6C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27BC1737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5D36FAB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4B6FF964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21BF5E5A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4593612F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420434A5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6029B4" w:rsidRPr="00A9663B" w14:paraId="1EB9EB1D" w14:textId="77777777" w:rsidTr="00C538F8">
        <w:trPr>
          <w:trHeight w:val="283"/>
          <w:jc w:val="center"/>
        </w:trPr>
        <w:tc>
          <w:tcPr>
            <w:tcW w:w="2898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48765844" w14:textId="77777777" w:rsidR="006029B4" w:rsidRPr="00443E47" w:rsidRDefault="006029B4" w:rsidP="00C538F8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F2507DC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AAB76FC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2F008953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2A0FE95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5537445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DA0423F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681A5A27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6018041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2A221A5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70F17D39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B5DDC14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AD0EC84" w14:textId="77777777" w:rsidR="006029B4" w:rsidRPr="00443E47" w:rsidRDefault="006029B4" w:rsidP="00C538F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C0E6A88" w14:textId="77777777" w:rsidR="006029B4" w:rsidRPr="00B35E63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019B06E" w14:textId="77777777" w:rsidR="006029B4" w:rsidRPr="00443E47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249261AD" w14:textId="77777777" w:rsidR="006029B4" w:rsidRPr="00B35E63" w:rsidRDefault="006029B4" w:rsidP="00C538F8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6029B4" w:rsidRPr="009F6415" w14:paraId="09C7E3C8" w14:textId="77777777" w:rsidTr="00C538F8">
        <w:trPr>
          <w:trHeight w:val="283"/>
          <w:jc w:val="center"/>
        </w:trPr>
        <w:tc>
          <w:tcPr>
            <w:tcW w:w="2898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7D7307" w14:textId="77777777" w:rsidR="006029B4" w:rsidRPr="00B21A5C" w:rsidRDefault="006029B4" w:rsidP="00C538F8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0B2B5ED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45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2FA0B88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454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D99305A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8E0E5A1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6D631C5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2403C11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54D286D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4C14A5AE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24D402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2E63BB9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50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8E10BB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624BEB0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B416DE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5.582</w:t>
            </w:r>
          </w:p>
        </w:tc>
        <w:tc>
          <w:tcPr>
            <w:tcW w:w="56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9DE0D95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8.620</w:t>
            </w:r>
          </w:p>
        </w:tc>
        <w:tc>
          <w:tcPr>
            <w:tcW w:w="587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6BBB2D2" w14:textId="77777777" w:rsidR="006029B4" w:rsidRPr="0027559C" w:rsidRDefault="006029B4" w:rsidP="00C538F8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4.674</w:t>
            </w:r>
          </w:p>
        </w:tc>
      </w:tr>
      <w:tr w:rsidR="006029B4" w:rsidRPr="00841586" w14:paraId="14DE2DE1" w14:textId="77777777" w:rsidTr="00C538F8">
        <w:trPr>
          <w:trHeight w:val="283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47A19B1" w14:textId="77777777" w:rsidR="006029B4" w:rsidRPr="00B21A5C" w:rsidRDefault="006029B4" w:rsidP="00C538F8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B387151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F601E58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557901CA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468AE9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34BCF09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E523D32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4029875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29F8C8E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DE00B6F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7239817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4B8E5A16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F22CC85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50CCB94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3.623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6EACE9F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5.990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69058C24" w14:textId="77777777" w:rsidR="006029B4" w:rsidRPr="0027559C" w:rsidRDefault="006029B4" w:rsidP="00C538F8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4.640</w:t>
            </w:r>
          </w:p>
        </w:tc>
      </w:tr>
      <w:tr w:rsidR="006029B4" w:rsidRPr="00841586" w14:paraId="4AA79572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92BA53" w14:textId="77777777" w:rsidR="006029B4" w:rsidRPr="00B21A5C" w:rsidRDefault="006029B4" w:rsidP="00C538F8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02D4B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9A79D7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E51ADE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E8993E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FB805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77AD1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7387EF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6B65E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C31342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AA587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011A6B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035F5F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2956F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2.389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F982C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4.177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41B6969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2.875</w:t>
            </w:r>
          </w:p>
        </w:tc>
      </w:tr>
      <w:tr w:rsidR="006029B4" w:rsidRPr="00841586" w14:paraId="3D53E870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1D0803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6C92D8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EE3CCE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439DE9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B1C302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70FD7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B8DD9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F1A443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B7178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40F001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E8469D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8DC7ED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FB117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DACD4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1.349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01701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2.684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34DECB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1.915</w:t>
            </w:r>
          </w:p>
        </w:tc>
      </w:tr>
      <w:tr w:rsidR="006029B4" w:rsidRPr="00841586" w14:paraId="608CBE3A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08F098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02E43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FADD0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CFDA8A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3C3CC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F5636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7F36BF1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080CA4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7DBE0F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1B31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50CAB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7D488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5588B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6B9EF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1.041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BF3211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1.494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DF08E38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0.960</w:t>
            </w:r>
          </w:p>
        </w:tc>
      </w:tr>
      <w:tr w:rsidR="006029B4" w:rsidRPr="00841586" w14:paraId="632AF616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6AA6A4" w14:textId="77777777" w:rsidR="006029B4" w:rsidRPr="00B21A5C" w:rsidRDefault="006029B4" w:rsidP="00C538F8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087A6D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F174D1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F5F2F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57654E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A5039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872BC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5.16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A7DB3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E91D07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F7D00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F58CF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2DBE71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7EFBF4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8AED6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1.233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C248A1" w14:textId="77777777" w:rsidR="006029B4" w:rsidRPr="0027559C" w:rsidRDefault="006029B4" w:rsidP="00C538F8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1.812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F693BE0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1.765</w:t>
            </w:r>
          </w:p>
        </w:tc>
      </w:tr>
      <w:tr w:rsidR="006029B4" w:rsidRPr="00841586" w14:paraId="2AB1301B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22F918C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5EF5C6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AB8021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35A2F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B8EF5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C3874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2.14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294B0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030AAD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166BF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37F01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027FA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E795E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F6E011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2D21E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7A847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739AD10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0.502</w:t>
            </w:r>
          </w:p>
        </w:tc>
      </w:tr>
      <w:tr w:rsidR="006029B4" w:rsidRPr="00841586" w14:paraId="265D6D51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8F47DC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5C4AAC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4D83E5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6DBF28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EF4395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810E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9BD290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DC242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5.35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64870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9CBF41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6204C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5EB40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2DCAC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CA459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DD466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6E33B0F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0.180</w:t>
            </w:r>
          </w:p>
        </w:tc>
      </w:tr>
      <w:tr w:rsidR="006029B4" w:rsidRPr="00841586" w14:paraId="52B99768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9377F1C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14485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27EC0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0977C4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E87633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F53FD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4.94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DA0052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EF2C3C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24C45A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1944F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7809D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1DF02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292850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05F8E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2A282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6526A01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1.083</w:t>
            </w:r>
          </w:p>
        </w:tc>
      </w:tr>
      <w:tr w:rsidR="006029B4" w:rsidRPr="00841586" w14:paraId="69D01E73" w14:textId="77777777" w:rsidTr="00C538F8">
        <w:trPr>
          <w:trHeight w:val="283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4F2521D" w14:textId="77777777" w:rsidR="006029B4" w:rsidRPr="00B21A5C" w:rsidRDefault="006029B4" w:rsidP="00C538F8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F44FA80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44AE3C8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68113CFB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85D5467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F7BF0D9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0D3915E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F7CA981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C7F71FC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044AC43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-0.230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5914667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146C2E0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AECAFD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6AE2DEA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1.960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3245A53" w14:textId="77777777" w:rsidR="006029B4" w:rsidRPr="0027559C" w:rsidRDefault="006029B4" w:rsidP="00C538F8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2.631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4AA06B4" w14:textId="77777777" w:rsidR="006029B4" w:rsidRPr="0027559C" w:rsidRDefault="006029B4" w:rsidP="00C538F8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0.034</w:t>
            </w:r>
          </w:p>
        </w:tc>
      </w:tr>
      <w:tr w:rsidR="006029B4" w:rsidRPr="00841586" w14:paraId="6C9A25D3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2D13AA" w14:textId="77777777" w:rsidR="006029B4" w:rsidRPr="00B21A5C" w:rsidRDefault="006029B4" w:rsidP="00C538F8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C58648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61688E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98F06A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EFEC40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EB3237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8.70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63C3A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354AA9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3.98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221380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70126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7FD94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8BF786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7AA15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C80F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3C4EF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1.596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0ADF4EE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0.462</w:t>
            </w:r>
          </w:p>
        </w:tc>
      </w:tr>
      <w:tr w:rsidR="006029B4" w:rsidRPr="00841586" w14:paraId="3B29135B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AA07E9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FE640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2.33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B4FB65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C13B72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B65EA79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E0EA3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5.65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870E8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4578A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8.66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32AB9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EE4CB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013E6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C2D08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FC5A05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BA5A59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CCE663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0.705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53486ED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0.450</w:t>
            </w:r>
          </w:p>
        </w:tc>
      </w:tr>
      <w:tr w:rsidR="006029B4" w:rsidRPr="00841586" w14:paraId="28254F41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1D85B0F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2A0F7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A0FB5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6D7E72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3CC221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94441C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A9CCB2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29AEA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1DBAD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96C90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AC52A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-0.033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9EC144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0D3D84B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1D749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70D7E7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B8B5DA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0.013</w:t>
            </w:r>
          </w:p>
        </w:tc>
      </w:tr>
      <w:tr w:rsidR="006029B4" w:rsidRPr="00841586" w14:paraId="6BBAAF59" w14:textId="77777777" w:rsidTr="00C538F8">
        <w:trPr>
          <w:trHeight w:val="454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5E292F" w14:textId="77777777" w:rsidR="006029B4" w:rsidRPr="00B21A5C" w:rsidRDefault="006029B4" w:rsidP="00C538F8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95ECF3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-2.53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540FE7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97035D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0CE3B9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2D007F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1CD48F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762B1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5EE92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722EC3C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-0.359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CD91A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5AE93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8B30DB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21509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1.029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1D6C0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0C6F53C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-0.428</w:t>
            </w:r>
          </w:p>
        </w:tc>
      </w:tr>
      <w:tr w:rsidR="006029B4" w:rsidRPr="00841586" w14:paraId="105C036C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E5DE25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881DB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-3.60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E8BB1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F5E316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B992FC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CAC18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36F48E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8.51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4BF51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-6.67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0058DC2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01BF344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-0.361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B503C7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02D578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82F6B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406256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609677D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1D415FB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-0.644</w:t>
            </w:r>
          </w:p>
        </w:tc>
      </w:tr>
      <w:tr w:rsidR="006029B4" w:rsidRPr="00841586" w14:paraId="67DAF0D2" w14:textId="77777777" w:rsidTr="00C538F8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4FBF36B" w14:textId="77777777" w:rsidR="006029B4" w:rsidRPr="00B21A5C" w:rsidRDefault="006029B4" w:rsidP="00C538F8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0B617A7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24B63BF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7E26FB1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387CBB4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429D66F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2.01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4141DEA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5.09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2CC7FB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5.35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A4B4925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541F1D8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DE7F0C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60C6E70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5F5936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925CD83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56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A49D94E" w14:textId="77777777" w:rsidR="006029B4" w:rsidRPr="0027559C" w:rsidRDefault="006029B4" w:rsidP="00C538F8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E226072" w14:textId="77777777" w:rsidR="006029B4" w:rsidRPr="0027559C" w:rsidRDefault="006029B4" w:rsidP="00C538F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0.216</w:t>
            </w:r>
          </w:p>
        </w:tc>
      </w:tr>
    </w:tbl>
    <w:p w14:paraId="55558859" w14:textId="77777777" w:rsidR="006029B4" w:rsidRPr="00DF5257" w:rsidRDefault="006029B4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1/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La incidencia se refiere a la contribución, en puntos porcentuales, de cada componente del INPC a la inflación general. Esta se calcula utilizando los ponderadores de cada subíndice, así como los precios relativos y sus respectivas variaciones. En ciertos casos, la suma de los componentes de algún grupo de subíndices puede presentar discrepancias por efectos de redondeo.</w:t>
      </w:r>
    </w:p>
    <w:p w14:paraId="4D5C92ED" w14:textId="77777777" w:rsidR="006029B4" w:rsidRPr="00DF5257" w:rsidRDefault="006029B4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2/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alimentos procesados, bebidas y tabaco. No incluye productos agropecuarios.</w:t>
      </w:r>
    </w:p>
    <w:p w14:paraId="737D6AB5" w14:textId="77777777" w:rsidR="006029B4" w:rsidRPr="00DF5257" w:rsidRDefault="006029B4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3/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vivienda propia, renta de vivienda, servicio doméstico y otros servicios para el hogar.</w:t>
      </w:r>
    </w:p>
    <w:p w14:paraId="2D738F13" w14:textId="77777777" w:rsidR="006029B4" w:rsidRPr="00DF5257" w:rsidRDefault="006029B4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4/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loncherías, fondas y taquerías, restaurantes y similares, servicio de telefonía móvil, mantenimiento de automóvil, consulta médica y servicios turísticos en paquete, entre otros.</w:t>
      </w:r>
    </w:p>
    <w:p w14:paraId="4544A657" w14:textId="77777777" w:rsidR="006029B4" w:rsidRPr="00DF5257" w:rsidRDefault="006029B4" w:rsidP="006029B4">
      <w:pPr>
        <w:autoSpaceDE w:val="0"/>
        <w:autoSpaceDN w:val="0"/>
        <w:adjustRightInd w:val="0"/>
        <w:ind w:left="602" w:right="357" w:hanging="240"/>
        <w:rPr>
          <w:sz w:val="16"/>
          <w:szCs w:val="16"/>
        </w:rPr>
      </w:pPr>
      <w:r w:rsidRPr="00DF5257">
        <w:rPr>
          <w:sz w:val="16"/>
          <w:szCs w:val="16"/>
        </w:rPr>
        <w:t>Fuente: INEGI</w:t>
      </w:r>
    </w:p>
    <w:p w14:paraId="4D5EB19D" w14:textId="77777777" w:rsidR="00DF5257" w:rsidRDefault="00DF5257" w:rsidP="006029B4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15195C99" w14:textId="0FBFD518" w:rsidR="006029B4" w:rsidRPr="00472632" w:rsidRDefault="006029B4" w:rsidP="006029B4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6C7919DB" w14:textId="63DBD636" w:rsidR="006029B4" w:rsidRDefault="006029B4" w:rsidP="006029B4">
      <w:pPr>
        <w:pStyle w:val="Prrafodelista"/>
        <w:ind w:left="0" w:right="51"/>
        <w:jc w:val="center"/>
        <w:rPr>
          <w:bCs/>
          <w:spacing w:val="4"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03B5B1B5" wp14:editId="6C6F294B">
            <wp:extent cx="3621600" cy="1688400"/>
            <wp:effectExtent l="0" t="0" r="0" b="7620"/>
            <wp:docPr id="1347211107" name="Imagen 1347211107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C86D7" w14:textId="77777777" w:rsidR="006029B4" w:rsidRPr="00DF5257" w:rsidRDefault="006029B4" w:rsidP="006029B4">
      <w:pPr>
        <w:pStyle w:val="Prrafodelista"/>
        <w:ind w:left="0" w:right="51"/>
        <w:jc w:val="center"/>
        <w:rPr>
          <w:bCs/>
          <w:spacing w:val="4"/>
          <w:sz w:val="20"/>
          <w:szCs w:val="20"/>
        </w:rPr>
      </w:pPr>
    </w:p>
    <w:p w14:paraId="3E0BDA36" w14:textId="77777777" w:rsidR="006029B4" w:rsidRPr="001A536C" w:rsidRDefault="006029B4" w:rsidP="006029B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1A536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A536C">
        <w:rPr>
          <w:rFonts w:ascii="Arial" w:hAnsi="Arial" w:cs="Arial"/>
          <w:lang w:val="es-ES_tradnl"/>
        </w:rPr>
        <w:t xml:space="preserve">    </w:t>
      </w:r>
    </w:p>
    <w:p w14:paraId="67BF0DF3" w14:textId="77777777" w:rsidR="006029B4" w:rsidRPr="001A536C" w:rsidRDefault="006029B4" w:rsidP="006029B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1A536C">
        <w:rPr>
          <w:rFonts w:ascii="Arial" w:hAnsi="Arial" w:cs="Arial"/>
          <w:lang w:val="es-ES_tradnl"/>
        </w:rPr>
        <w:t>exts</w:t>
      </w:r>
      <w:proofErr w:type="spellEnd"/>
      <w:r w:rsidRPr="001A536C">
        <w:rPr>
          <w:rFonts w:ascii="Arial" w:hAnsi="Arial" w:cs="Arial"/>
          <w:lang w:val="es-ES_tradnl"/>
        </w:rPr>
        <w:t>. 321064, 321134 y 321241</w:t>
      </w:r>
    </w:p>
    <w:p w14:paraId="046F0E1F" w14:textId="77777777" w:rsidR="006029B4" w:rsidRPr="001A536C" w:rsidRDefault="006029B4" w:rsidP="006029B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A536C">
        <w:rPr>
          <w:rFonts w:ascii="Arial" w:hAnsi="Arial" w:cs="Arial"/>
        </w:rPr>
        <w:t>Dirección de Atención a Medios/ Dirección General Adjunta de Comunicación</w:t>
      </w:r>
    </w:p>
    <w:p w14:paraId="7540F1CE" w14:textId="77777777" w:rsidR="006029B4" w:rsidRDefault="006029B4" w:rsidP="006029B4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6029B4" w:rsidSect="006029B4">
          <w:headerReference w:type="default" r:id="rId13"/>
          <w:footerReference w:type="default" r:id="rId14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6B3AB22C" wp14:editId="58F6D114">
            <wp:extent cx="317728" cy="307254"/>
            <wp:effectExtent l="0" t="0" r="6350" b="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26565" cy="3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97F3405" wp14:editId="39F3D225">
            <wp:extent cx="299923" cy="299923"/>
            <wp:effectExtent l="0" t="0" r="5080" b="5080"/>
            <wp:docPr id="2" name="Imagen 2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1" cy="30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C6F9A75" wp14:editId="461F04A9">
            <wp:extent cx="299923" cy="299923"/>
            <wp:effectExtent l="0" t="0" r="5080" b="5080"/>
            <wp:docPr id="949392777" name="Imagen 949392777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7" cy="30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380827B" wp14:editId="35509747">
            <wp:extent cx="299924" cy="299924"/>
            <wp:effectExtent l="0" t="0" r="5080" b="5080"/>
            <wp:docPr id="436302134" name="Imagen 436302134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7" cy="3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7BAC41A" wp14:editId="0301F742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5DE8" w14:textId="670BEACE" w:rsidR="006029B4" w:rsidRDefault="006029B4" w:rsidP="006029B4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>
        <w:rPr>
          <w:noProof/>
          <w:lang w:eastAsia="es-MX"/>
        </w:rPr>
        <w:lastRenderedPageBreak/>
        <w:t xml:space="preserve"> </w:t>
      </w:r>
    </w:p>
    <w:p w14:paraId="6C442F14" w14:textId="77777777" w:rsidR="006029B4" w:rsidRDefault="006029B4" w:rsidP="006029B4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42AEA26C" w14:textId="77777777" w:rsidR="006029B4" w:rsidRDefault="006029B4" w:rsidP="006029B4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E80AA7C" w14:textId="77777777" w:rsidR="00236AC0" w:rsidRPr="00887FF6" w:rsidRDefault="00236AC0" w:rsidP="00236AC0">
      <w:pPr>
        <w:keepNext/>
        <w:keepLines/>
        <w:widowControl w:val="0"/>
        <w:spacing w:before="360"/>
        <w:jc w:val="left"/>
        <w:rPr>
          <w:b/>
          <w:iCs/>
          <w:smallCaps/>
          <w:color w:val="000000" w:themeColor="text1"/>
        </w:rPr>
      </w:pPr>
      <w:r w:rsidRPr="00887FF6">
        <w:rPr>
          <w:b/>
          <w:iCs/>
          <w:smallCaps/>
          <w:color w:val="000000" w:themeColor="text1"/>
        </w:rPr>
        <w:t xml:space="preserve">Índice Nacional de Precios al Consumidor </w:t>
      </w:r>
    </w:p>
    <w:p w14:paraId="29195022" w14:textId="17AF4D5A" w:rsidR="00E7491F" w:rsidRDefault="00D22D2E" w:rsidP="00E7491F">
      <w:pPr>
        <w:autoSpaceDE w:val="0"/>
        <w:autoSpaceDN w:val="0"/>
        <w:adjustRightInd w:val="0"/>
        <w:spacing w:before="240"/>
      </w:pPr>
      <w:r>
        <w:t>E</w:t>
      </w:r>
      <w:r w:rsidR="00F95426">
        <w:t xml:space="preserve">n la primera quincena de </w:t>
      </w:r>
      <w:r w:rsidR="00937496">
        <w:t>agost</w:t>
      </w:r>
      <w:r w:rsidR="00F95426">
        <w:t xml:space="preserve">o de </w:t>
      </w:r>
      <w:r w:rsidR="00F95426" w:rsidRPr="00A71198">
        <w:t>20</w:t>
      </w:r>
      <w:r w:rsidR="00F95426">
        <w:t>23</w:t>
      </w:r>
      <w:r w:rsidR="00F95426" w:rsidRPr="00A71198">
        <w:t>, el Índice Nacional de Precios al Consumidor</w:t>
      </w:r>
      <w:r w:rsidR="00F95426">
        <w:t xml:space="preserve"> (INPC)</w:t>
      </w:r>
      <w:r w:rsidR="00F95426" w:rsidRPr="00A71198">
        <w:t xml:space="preserve"> </w:t>
      </w:r>
      <w:r w:rsidR="00880585">
        <w:t>aument</w:t>
      </w:r>
      <w:r w:rsidR="00F95426">
        <w:t>ó 0.</w:t>
      </w:r>
      <w:r w:rsidR="00937496">
        <w:t>32</w:t>
      </w:r>
      <w:r w:rsidR="007C3637">
        <w:t> %</w:t>
      </w:r>
      <w:r w:rsidR="00F95426">
        <w:t xml:space="preserve"> respecto a la quincena anterior. En el mismo periodo de 2022</w:t>
      </w:r>
      <w:r w:rsidR="00937C7D">
        <w:t>,</w:t>
      </w:r>
      <w:r w:rsidR="00F95426">
        <w:t xml:space="preserve"> </w:t>
      </w:r>
      <w:r w:rsidR="00880585">
        <w:t>creci</w:t>
      </w:r>
      <w:r w:rsidR="001C120F">
        <w:t xml:space="preserve">ó </w:t>
      </w:r>
      <w:r w:rsidR="00F95426">
        <w:t>0.</w:t>
      </w:r>
      <w:r w:rsidR="001C120F">
        <w:t>4</w:t>
      </w:r>
      <w:r w:rsidR="00937496">
        <w:t>2</w:t>
      </w:r>
      <w:r w:rsidR="0018396A">
        <w:t> </w:t>
      </w:r>
      <w:r w:rsidR="00F95426">
        <w:t>por</w:t>
      </w:r>
      <w:r w:rsidR="0018396A">
        <w:t> </w:t>
      </w:r>
      <w:r w:rsidR="00F95426">
        <w:t>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6A14B02B" w:rsidR="00236AC0" w:rsidRPr="009555FD" w:rsidRDefault="009555FD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9555FD">
        <w:rPr>
          <w:sz w:val="18"/>
          <w:szCs w:val="18"/>
        </w:rPr>
        <w:t>(</w:t>
      </w:r>
      <w:r w:rsidR="00236AC0" w:rsidRPr="009555FD">
        <w:rPr>
          <w:sz w:val="18"/>
          <w:szCs w:val="18"/>
        </w:rPr>
        <w:t xml:space="preserve">Variación porcentual </w:t>
      </w:r>
      <w:r w:rsidR="00A96D6C" w:rsidRPr="009555FD">
        <w:rPr>
          <w:sz w:val="18"/>
          <w:szCs w:val="18"/>
        </w:rPr>
        <w:t xml:space="preserve">quincenal </w:t>
      </w:r>
      <w:r w:rsidR="00236AC0" w:rsidRPr="009555FD">
        <w:rPr>
          <w:sz w:val="18"/>
          <w:szCs w:val="18"/>
        </w:rPr>
        <w:t xml:space="preserve">en la primera quincena de </w:t>
      </w:r>
      <w:r w:rsidR="00793AE6">
        <w:rPr>
          <w:sz w:val="18"/>
          <w:szCs w:val="18"/>
        </w:rPr>
        <w:t>agost</w:t>
      </w:r>
      <w:r w:rsidR="00302DA3">
        <w:rPr>
          <w:sz w:val="18"/>
          <w:szCs w:val="18"/>
        </w:rPr>
        <w:t>o</w:t>
      </w:r>
      <w:r w:rsidR="00236AC0" w:rsidRPr="009555FD">
        <w:rPr>
          <w:sz w:val="18"/>
          <w:szCs w:val="18"/>
        </w:rPr>
        <w:t xml:space="preserve"> de los años que se indican</w:t>
      </w:r>
      <w:r w:rsidRPr="009555FD">
        <w:rPr>
          <w:sz w:val="18"/>
          <w:szCs w:val="18"/>
        </w:rPr>
        <w:t>)</w:t>
      </w:r>
    </w:p>
    <w:p w14:paraId="726F5DE4" w14:textId="6C34C9DA" w:rsidR="00236AC0" w:rsidRDefault="00793AE6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4030A5FC" wp14:editId="6F5E11DB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A640ECC" w14:textId="5D56B019" w:rsidR="006D6D76" w:rsidRDefault="006D6D76" w:rsidP="003E644F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3571E725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17808116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1E8D76A4" w14:textId="77777777" w:rsidR="006029B4" w:rsidRDefault="006029B4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DBD3EE5" w14:textId="07172906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022C9D6" w14:textId="31C80B4B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1D184013" w:rsidR="00236AC0" w:rsidRPr="00257AF9" w:rsidRDefault="009555FD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>
        <w:rPr>
          <w:sz w:val="18"/>
          <w:szCs w:val="18"/>
        </w:rPr>
        <w:t xml:space="preserve">Cifras durante la primera quincena de </w:t>
      </w:r>
      <w:r w:rsidR="00FC3E9C">
        <w:rPr>
          <w:sz w:val="18"/>
          <w:szCs w:val="18"/>
        </w:rPr>
        <w:t>agost</w:t>
      </w:r>
      <w:r w:rsidR="00302DA3">
        <w:rPr>
          <w:sz w:val="18"/>
          <w:szCs w:val="18"/>
        </w:rPr>
        <w:t>o</w:t>
      </w:r>
      <w:r w:rsidR="00236AC0" w:rsidRPr="00257AF9">
        <w:rPr>
          <w:sz w:val="18"/>
          <w:szCs w:val="18"/>
        </w:rPr>
        <w:t xml:space="preserve"> de los años que se indica</w:t>
      </w:r>
      <w:r w:rsidR="00236AC0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46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454"/>
        <w:gridCol w:w="454"/>
        <w:gridCol w:w="454"/>
        <w:gridCol w:w="127"/>
        <w:gridCol w:w="566"/>
        <w:gridCol w:w="454"/>
        <w:gridCol w:w="454"/>
        <w:gridCol w:w="8"/>
        <w:gridCol w:w="119"/>
        <w:gridCol w:w="8"/>
        <w:gridCol w:w="559"/>
        <w:gridCol w:w="567"/>
        <w:gridCol w:w="508"/>
        <w:gridCol w:w="8"/>
        <w:gridCol w:w="76"/>
        <w:gridCol w:w="8"/>
        <w:gridCol w:w="476"/>
        <w:gridCol w:w="568"/>
        <w:gridCol w:w="587"/>
      </w:tblGrid>
      <w:tr w:rsidR="00290044" w:rsidRPr="00A9663B" w14:paraId="2022F6C6" w14:textId="77777777" w:rsidTr="0027559C">
        <w:trPr>
          <w:trHeight w:val="283"/>
          <w:jc w:val="center"/>
        </w:trPr>
        <w:tc>
          <w:tcPr>
            <w:tcW w:w="2898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04AF036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A052881" w14:textId="110AF68D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 w:rsidR="00095EA0"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64A8172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57" w:type="dxa"/>
            <w:gridSpan w:val="9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03744FB8" w14:textId="00412D78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290044" w:rsidRPr="00A9663B" w14:paraId="30773EE7" w14:textId="77777777" w:rsidTr="0027559C">
        <w:trPr>
          <w:trHeight w:val="283"/>
          <w:jc w:val="center"/>
        </w:trPr>
        <w:tc>
          <w:tcPr>
            <w:tcW w:w="2898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5E9FA4DD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D848F93" w14:textId="2445DAC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5184B359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6AE138F8" w14:textId="5580640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5D53618D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2D247F2" w14:textId="778E5D23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81EF411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6861243" w14:textId="6CAADAD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290044" w:rsidRPr="00A9663B" w14:paraId="3113CCE0" w14:textId="77777777" w:rsidTr="0027559C">
        <w:trPr>
          <w:trHeight w:val="283"/>
          <w:jc w:val="center"/>
        </w:trPr>
        <w:tc>
          <w:tcPr>
            <w:tcW w:w="2898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7861D4DB" w14:textId="77777777" w:rsidR="00290044" w:rsidRPr="00443E47" w:rsidRDefault="00290044" w:rsidP="00882F50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C2FC7F9" w14:textId="06F202DC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0178362" w14:textId="5D28C788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1181DF9" w14:textId="1E558B00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5BAED3A" w14:textId="7777777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54284FD" w14:textId="0CCB65F8" w:rsidR="00290044" w:rsidRPr="00443E47" w:rsidRDefault="0022740B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90044"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29004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3F4CC34" w14:textId="0C86AC76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14ACF1E" w14:textId="117234A9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4414CE9" w14:textId="7777777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DF87EC6" w14:textId="6354B8C5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12459B4" w14:textId="797B8EBF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A923E2E" w14:textId="33DCC65C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6DB2FB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7686B36" w14:textId="4FDEF148" w:rsidR="00290044" w:rsidRPr="00B35E63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BE5E43C" w14:textId="18910FE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D71C809" w14:textId="15163F2F" w:rsidR="00290044" w:rsidRPr="00B35E63" w:rsidRDefault="00290044" w:rsidP="00B35E63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27559C" w:rsidRPr="009F6415" w14:paraId="29E0AF3C" w14:textId="77777777" w:rsidTr="0027559C">
        <w:trPr>
          <w:trHeight w:val="283"/>
          <w:jc w:val="center"/>
        </w:trPr>
        <w:tc>
          <w:tcPr>
            <w:tcW w:w="2898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FA76B6A" w14:textId="77777777" w:rsidR="0027559C" w:rsidRPr="00B21A5C" w:rsidRDefault="0027559C" w:rsidP="0027559C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D0AAA2" w14:textId="15599F00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45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442EDC9F" w14:textId="63EA5B91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454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4D29C72" w14:textId="793B79AB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6AAE9732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C8B5B4" w14:textId="11223756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4EF90A2" w14:textId="0004C7F3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8C7350" w14:textId="4A340333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2798C27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30A373" w14:textId="63761B7F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CFB2F05" w14:textId="2526DB53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50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47AE27" w14:textId="6FAF3064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1AE3FF2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F0F81D" w14:textId="6E2A0332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5.582</w:t>
            </w:r>
          </w:p>
        </w:tc>
        <w:tc>
          <w:tcPr>
            <w:tcW w:w="56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26B6A98" w14:textId="384F58B1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8.620</w:t>
            </w:r>
          </w:p>
        </w:tc>
        <w:tc>
          <w:tcPr>
            <w:tcW w:w="587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E51EF1" w14:textId="42D5CF66" w:rsidR="0027559C" w:rsidRPr="0027559C" w:rsidRDefault="0027559C" w:rsidP="0027559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4.674</w:t>
            </w:r>
          </w:p>
        </w:tc>
      </w:tr>
      <w:tr w:rsidR="0027559C" w:rsidRPr="00841586" w14:paraId="7AD68A86" w14:textId="77777777" w:rsidTr="0027559C">
        <w:trPr>
          <w:trHeight w:val="283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BAF66AB" w14:textId="77777777" w:rsidR="0027559C" w:rsidRPr="00B21A5C" w:rsidRDefault="0027559C" w:rsidP="0027559C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30267BF" w14:textId="636B834A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52B1A7" w14:textId="2D22AFCD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5760E0B" w14:textId="0DAE23BF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C632D3F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D057337" w14:textId="07C1BFE1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522002B" w14:textId="03B905D8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46D166A" w14:textId="68884C8E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62ED581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8019B1A" w14:textId="6ED94CA5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0A80FEF" w14:textId="3AFEDC7B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A781558" w14:textId="3A1C1A30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0AF9AAF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BD7C2CA" w14:textId="2DBD1B91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3.623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F586F7D" w14:textId="3F3AA85D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5.990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EB9D96A" w14:textId="3A7245C9" w:rsidR="0027559C" w:rsidRPr="0027559C" w:rsidRDefault="0027559C" w:rsidP="0027559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4.640</w:t>
            </w:r>
          </w:p>
        </w:tc>
      </w:tr>
      <w:tr w:rsidR="0027559C" w:rsidRPr="00841586" w14:paraId="204402F5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8D40C7" w14:textId="77777777" w:rsidR="0027559C" w:rsidRPr="00B21A5C" w:rsidRDefault="0027559C" w:rsidP="0027559C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CFABCC7" w14:textId="1765618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28F7C2" w14:textId="7BECF16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B5A2AD" w14:textId="0AFF0B3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35A0B0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2E681D" w14:textId="478719B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5D1341" w14:textId="566850F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BB86714" w14:textId="0B647966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8815DBA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572229" w14:textId="01C941A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C66C11" w14:textId="713D70D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2C9499" w14:textId="6AEFC57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6AA86B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4DBC46" w14:textId="0FC6DCA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2.389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3CABA8" w14:textId="01C52D2E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4.177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925140" w14:textId="5FCC12A4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2.875</w:t>
            </w:r>
          </w:p>
        </w:tc>
      </w:tr>
      <w:tr w:rsidR="0027559C" w:rsidRPr="00841586" w14:paraId="25DB5924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322A79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944A02" w14:textId="55F3E7AF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E817D9" w14:textId="2CCCF2F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CE7D9F6" w14:textId="443B8F0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C0787EA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A1B56A" w14:textId="38B6F7E6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7B997E0" w14:textId="65DC95C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42338" w14:textId="682B390E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1BFCE3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C81A0D" w14:textId="645DA07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9C1E31" w14:textId="2856FDE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3F23DA" w14:textId="4A1A8DC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58519A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4F4B53" w14:textId="3ACF960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1.349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4095C8F" w14:textId="59DE401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2.684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30B6A2" w14:textId="19EC22C5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1.915</w:t>
            </w:r>
          </w:p>
        </w:tc>
      </w:tr>
      <w:tr w:rsidR="0027559C" w:rsidRPr="00841586" w14:paraId="5599AAC9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F79051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687640" w14:textId="4EAEB86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08D54C8" w14:textId="1E546ED6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8FA6D33" w14:textId="59BD867E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C0BBAE2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3C10A0" w14:textId="0AD2938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568E75" w14:textId="1E9815C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A41184" w14:textId="39D53AD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91EF25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40EE31" w14:textId="57277F3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FE7D3B" w14:textId="6D55815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171972" w14:textId="6508FB8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20477A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382286" w14:textId="35B8E20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1.041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914F0A" w14:textId="5741CC2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1.494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291FCBD" w14:textId="0DC9074F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0.960</w:t>
            </w:r>
          </w:p>
        </w:tc>
      </w:tr>
      <w:tr w:rsidR="0027559C" w:rsidRPr="00841586" w14:paraId="7F9AA5AA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39CFD8" w14:textId="77777777" w:rsidR="0027559C" w:rsidRPr="00B21A5C" w:rsidRDefault="0027559C" w:rsidP="0027559C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E73762" w14:textId="0C479ED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4480FF" w14:textId="2ABF27A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F1591AC" w14:textId="6202F4E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985733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267ED" w14:textId="1245E03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D9AD11" w14:textId="3F8E962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5.16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D120F8" w14:textId="353BBFA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193951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AA1FD" w14:textId="1122BF3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551CDC" w14:textId="107EA18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40F560" w14:textId="0B4450E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FA7206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120D76" w14:textId="1D7D8D5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1.233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9B3A6F" w14:textId="2F1E9D29" w:rsidR="0027559C" w:rsidRPr="0027559C" w:rsidRDefault="0027559C" w:rsidP="0027559C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1.812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1DBAF9" w14:textId="7BB32BA0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1.765</w:t>
            </w:r>
          </w:p>
        </w:tc>
      </w:tr>
      <w:tr w:rsidR="0027559C" w:rsidRPr="00841586" w14:paraId="534CD5B0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D26856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4F99591" w14:textId="6EC84C0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5EBABED" w14:textId="6E918D0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D2F6B2F" w14:textId="670BA3F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6FEA085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2F9382" w14:textId="70D53FFF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2.14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F3ACD3A" w14:textId="1C75990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DFEC3B" w14:textId="55281BA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6ACE92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767C2E" w14:textId="1F19B70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686EE5E" w14:textId="0269658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735727" w14:textId="6871C65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84F18D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34631" w14:textId="1929943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08832B" w14:textId="7EE791AF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39CD966" w14:textId="11964AE0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0.502</w:t>
            </w:r>
          </w:p>
        </w:tc>
      </w:tr>
      <w:tr w:rsidR="0027559C" w:rsidRPr="00841586" w14:paraId="57E5D117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AEA8E7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926D8C" w14:textId="5188787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818694" w14:textId="34B8689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81492C3" w14:textId="3BCC738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5E0B279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4F291E" w14:textId="04CE069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E93B7E" w14:textId="7197221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19C1136" w14:textId="19ECD14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5.35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D08837B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4D268C" w14:textId="1A48BDF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CCB236" w14:textId="56CE940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DD8415" w14:textId="181B33C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62A8BE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20D187" w14:textId="3C2DB7D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12EED9" w14:textId="3D62068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61ED9F" w14:textId="47507438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0.180</w:t>
            </w:r>
          </w:p>
        </w:tc>
      </w:tr>
      <w:tr w:rsidR="0027559C" w:rsidRPr="00841586" w14:paraId="65ACFEFC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934183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45167A" w14:textId="06A68F9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7C48FF" w14:textId="090D775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093016" w14:textId="0FA4D0E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5656D9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6807A" w14:textId="13E290D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4.94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7FBA2E9" w14:textId="7A102C3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BA58F45" w14:textId="0D6B2D4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B35C6C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646F9" w14:textId="090E0476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8D9080" w14:textId="6BA9FCD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ED7ABA" w14:textId="486251CF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93733C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F8A37EC" w14:textId="572DEC4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900012" w14:textId="52C9C92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5F9A3D" w14:textId="31C569EC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1.083</w:t>
            </w:r>
          </w:p>
        </w:tc>
      </w:tr>
      <w:tr w:rsidR="0027559C" w:rsidRPr="00841586" w14:paraId="01384485" w14:textId="77777777" w:rsidTr="0027559C">
        <w:trPr>
          <w:trHeight w:val="283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8BEE7CF" w14:textId="77777777" w:rsidR="0027559C" w:rsidRPr="00B21A5C" w:rsidRDefault="0027559C" w:rsidP="0027559C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CFB703" w14:textId="49D46D6C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1AC9427" w14:textId="661FE2F3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64BC807F" w14:textId="234D726F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AEDD56B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E9A6A4B" w14:textId="459A486A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4EC9722" w14:textId="0085DBEF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36EF607" w14:textId="5217EBA0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75B9D7E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2E13BFD" w14:textId="6220C461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-0.230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5C743C2" w14:textId="024CF074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87F4410" w14:textId="1555EC45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46F4CAA" w14:textId="77777777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5630ACE" w14:textId="21B733C8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1.960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3A25760" w14:textId="196CA4ED" w:rsidR="0027559C" w:rsidRPr="0027559C" w:rsidRDefault="0027559C" w:rsidP="0027559C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2.631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5FEF635" w14:textId="2D3FA069" w:rsidR="0027559C" w:rsidRPr="0027559C" w:rsidRDefault="0027559C" w:rsidP="0027559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559C">
              <w:rPr>
                <w:b/>
                <w:bCs/>
                <w:color w:val="000000"/>
                <w:sz w:val="16"/>
                <w:szCs w:val="16"/>
              </w:rPr>
              <w:t>0.034</w:t>
            </w:r>
          </w:p>
        </w:tc>
      </w:tr>
      <w:tr w:rsidR="0027559C" w:rsidRPr="00841586" w14:paraId="66D98F6F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A9600E" w14:textId="77777777" w:rsidR="0027559C" w:rsidRPr="00B21A5C" w:rsidRDefault="0027559C" w:rsidP="0027559C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6ECB4" w14:textId="0EF0427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437EBE" w14:textId="43FB842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262388F" w14:textId="66D91D4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135E1F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209167" w14:textId="3CA3DB6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8.70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76F2E2" w14:textId="7B4AA62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50B978" w14:textId="5DEBF25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3.98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F6EB5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E8039D" w14:textId="4BDFC08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DF81C3" w14:textId="6710C04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820CFA" w14:textId="1CF9A4B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9ECC40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238A577" w14:textId="5DC406FE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30AD7C" w14:textId="602F395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1.596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7C2D0F" w14:textId="349F5C3E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0.462</w:t>
            </w:r>
          </w:p>
        </w:tc>
      </w:tr>
      <w:tr w:rsidR="0027559C" w:rsidRPr="00841586" w14:paraId="17A668E5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60803F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824D271" w14:textId="55612A4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2.33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AA25EB" w14:textId="198D8E7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57DA5A8" w14:textId="2563B91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8A113F1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48C61E" w14:textId="399106C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5.65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E54D8E" w14:textId="2D1BAECF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DD2690" w14:textId="2727CAE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8.66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A2972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1D4451" w14:textId="357DEE4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D2C7BF" w14:textId="6EBF1F0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45A894" w14:textId="3EF3A5E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058B3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610676" w14:textId="7D8F321E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1CEC3" w14:textId="24E5F8E3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0.705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9A5C5E9" w14:textId="34BB8E0C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0.450</w:t>
            </w:r>
          </w:p>
        </w:tc>
      </w:tr>
      <w:tr w:rsidR="0027559C" w:rsidRPr="00841586" w14:paraId="532AF37D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6612C639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94B58E9" w14:textId="6E7672F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A9EEB8A" w14:textId="77C5389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DBEE194" w14:textId="32BD653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061A4BD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E0B971" w14:textId="20193AA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36F340" w14:textId="44C2B092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1EB7DE" w14:textId="254E984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018920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807C6B" w14:textId="1C1F642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31D442" w14:textId="21117E6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-0.033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CA8DB70" w14:textId="046EE84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D9E9BC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4F75471" w14:textId="62ABF42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6F5D86" w14:textId="0BC0F72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E63BBDC" w14:textId="1B133566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0.013</w:t>
            </w:r>
          </w:p>
        </w:tc>
      </w:tr>
      <w:tr w:rsidR="0027559C" w:rsidRPr="00841586" w14:paraId="0F9CC40D" w14:textId="77777777" w:rsidTr="0027559C">
        <w:trPr>
          <w:trHeight w:val="454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D2F6" w14:textId="77777777" w:rsidR="0027559C" w:rsidRPr="00B21A5C" w:rsidRDefault="0027559C" w:rsidP="0027559C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68E4F5" w14:textId="16B59E6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-2.53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2470AF" w14:textId="78BF0B9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03AFC9" w14:textId="61E817A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626AB8E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7B6D10" w14:textId="122272D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13DDBF" w14:textId="5FED96E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2EDE8C" w14:textId="1D90D87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94D6726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1C8BEE" w14:textId="3C58C17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-0.359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D311907" w14:textId="4334432C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9A0D23" w14:textId="2806D4E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DDF335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F6F1A1" w14:textId="2F22C2E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1.029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3A04EFB" w14:textId="7BA0120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02D471" w14:textId="22067BB6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-0.428</w:t>
            </w:r>
          </w:p>
        </w:tc>
      </w:tr>
      <w:tr w:rsidR="0027559C" w:rsidRPr="00841586" w14:paraId="6EBED16A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19E7C4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DCF0CA" w14:textId="2ECC26A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-3.60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0E6421" w14:textId="5189BF9A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240B4C" w14:textId="03EF07F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CED684E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D23D20" w14:textId="7CED4C2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F7FB848" w14:textId="4E21B866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8.51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CDA32E" w14:textId="2A656B18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-6.67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0D0CD9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FA13D3" w14:textId="5B971B7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-0.361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D73FA6" w14:textId="77CC21F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B18D6A" w14:textId="6D25DE55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B2231F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8AC146" w14:textId="0D52C2D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C2562E3" w14:textId="4B1E7CD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4F6ABE" w14:textId="4EE7A799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-0.644</w:t>
            </w:r>
          </w:p>
        </w:tc>
      </w:tr>
      <w:tr w:rsidR="0027559C" w:rsidRPr="00841586" w14:paraId="6297F58D" w14:textId="77777777" w:rsidTr="0027559C">
        <w:trPr>
          <w:trHeight w:val="255"/>
          <w:jc w:val="center"/>
        </w:trPr>
        <w:tc>
          <w:tcPr>
            <w:tcW w:w="2898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974B9E8" w14:textId="77777777" w:rsidR="0027559C" w:rsidRPr="00B21A5C" w:rsidRDefault="0027559C" w:rsidP="0027559C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E0CD06B" w14:textId="5971AF4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CA4A297" w14:textId="4EDE30D1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4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62FE4F4C" w14:textId="4D170FE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AC8241B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350BA6" w14:textId="52858D4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2.01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B0CAE80" w14:textId="11C6B110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5.09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08F647B" w14:textId="62B5AE0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5.35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9D01FC2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80E7F74" w14:textId="6752B86D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F3C4488" w14:textId="46CEFF14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61DE282" w14:textId="76F15C8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593B352" w14:textId="77777777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3876B8C" w14:textId="35C1147B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56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D3596EC" w14:textId="44713A89" w:rsidR="0027559C" w:rsidRPr="0027559C" w:rsidRDefault="0027559C" w:rsidP="0027559C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EBDD5C" w14:textId="05D3144E" w:rsidR="0027559C" w:rsidRPr="0027559C" w:rsidRDefault="0027559C" w:rsidP="0027559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7559C">
              <w:rPr>
                <w:color w:val="000000"/>
                <w:sz w:val="16"/>
                <w:szCs w:val="16"/>
              </w:rPr>
              <w:t>0.216</w:t>
            </w:r>
          </w:p>
        </w:tc>
      </w:tr>
    </w:tbl>
    <w:p w14:paraId="2AF977A8" w14:textId="23944973" w:rsidR="00236AC0" w:rsidRPr="00DF5257" w:rsidRDefault="00236AC0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1/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La incidencia se refiere a la contribución</w:t>
      </w:r>
      <w:r w:rsidR="00AF1F4F" w:rsidRPr="00DF5257">
        <w:rPr>
          <w:sz w:val="16"/>
          <w:szCs w:val="16"/>
        </w:rPr>
        <w:t>,</w:t>
      </w:r>
      <w:r w:rsidRPr="00DF5257">
        <w:rPr>
          <w:sz w:val="16"/>
          <w:szCs w:val="16"/>
        </w:rPr>
        <w:t xml:space="preserve"> en puntos porcentuales</w:t>
      </w:r>
      <w:r w:rsidR="00AF1F4F" w:rsidRPr="00DF5257">
        <w:rPr>
          <w:sz w:val="16"/>
          <w:szCs w:val="16"/>
        </w:rPr>
        <w:t>,</w:t>
      </w:r>
      <w:r w:rsidRPr="00DF5257">
        <w:rPr>
          <w:sz w:val="16"/>
          <w:szCs w:val="16"/>
        </w:rPr>
        <w:t xml:space="preserve"> de cada componente del INPC a la inflación general. </w:t>
      </w:r>
      <w:r w:rsidR="00F126F2" w:rsidRPr="00DF5257">
        <w:rPr>
          <w:sz w:val="16"/>
          <w:szCs w:val="16"/>
        </w:rPr>
        <w:t>E</w:t>
      </w:r>
      <w:r w:rsidRPr="00DF5257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117D38" w:rsidRPr="00DF5257">
        <w:rPr>
          <w:sz w:val="16"/>
          <w:szCs w:val="16"/>
        </w:rPr>
        <w:t xml:space="preserve">presentar </w:t>
      </w:r>
      <w:r w:rsidRPr="00DF5257">
        <w:rPr>
          <w:sz w:val="16"/>
          <w:szCs w:val="16"/>
        </w:rPr>
        <w:t>discrepancia</w:t>
      </w:r>
      <w:r w:rsidR="00117D38" w:rsidRPr="00DF5257">
        <w:rPr>
          <w:sz w:val="16"/>
          <w:szCs w:val="16"/>
        </w:rPr>
        <w:t>s</w:t>
      </w:r>
      <w:r w:rsidRPr="00DF5257">
        <w:rPr>
          <w:sz w:val="16"/>
          <w:szCs w:val="16"/>
        </w:rPr>
        <w:t xml:space="preserve"> por efectos de redondeo.</w:t>
      </w:r>
    </w:p>
    <w:p w14:paraId="3F7025D9" w14:textId="77777777" w:rsidR="00236AC0" w:rsidRPr="00DF5257" w:rsidRDefault="00236AC0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2/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alimentos procesados, bebidas y tabaco</w:t>
      </w:r>
      <w:r w:rsidR="005A2711" w:rsidRPr="00DF5257">
        <w:rPr>
          <w:sz w:val="16"/>
          <w:szCs w:val="16"/>
        </w:rPr>
        <w:t>.</w:t>
      </w:r>
      <w:r w:rsidRPr="00DF5257">
        <w:rPr>
          <w:sz w:val="16"/>
          <w:szCs w:val="16"/>
        </w:rPr>
        <w:t xml:space="preserve"> </w:t>
      </w:r>
      <w:r w:rsidR="005A2711" w:rsidRPr="00DF5257">
        <w:rPr>
          <w:sz w:val="16"/>
          <w:szCs w:val="16"/>
        </w:rPr>
        <w:t>N</w:t>
      </w:r>
      <w:r w:rsidRPr="00DF5257">
        <w:rPr>
          <w:sz w:val="16"/>
          <w:szCs w:val="16"/>
        </w:rPr>
        <w:t>o incluye productos agropecuarios.</w:t>
      </w:r>
    </w:p>
    <w:p w14:paraId="4C68CA0D" w14:textId="77777777" w:rsidR="00236AC0" w:rsidRPr="00DF5257" w:rsidRDefault="00236AC0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3/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vivienda propia, renta de vivienda, servicio doméstico y otros servicios para el hogar.</w:t>
      </w:r>
    </w:p>
    <w:p w14:paraId="6B1C34DA" w14:textId="438B49E2" w:rsidR="00236AC0" w:rsidRPr="00DF5257" w:rsidRDefault="00236AC0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4/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 w:rsidR="003E23B1" w:rsidRPr="00DF5257">
        <w:rPr>
          <w:sz w:val="16"/>
          <w:szCs w:val="16"/>
        </w:rPr>
        <w:t xml:space="preserve"> y</w:t>
      </w:r>
      <w:r w:rsidRPr="00DF5257">
        <w:rPr>
          <w:sz w:val="16"/>
          <w:szCs w:val="16"/>
        </w:rPr>
        <w:t xml:space="preserve"> servicios turísticos en paquete, entre otros.</w:t>
      </w:r>
    </w:p>
    <w:p w14:paraId="1F4B2B3D" w14:textId="21C67C55" w:rsidR="006D6D76" w:rsidRPr="00E671DE" w:rsidRDefault="006D6D76" w:rsidP="00F80D74">
      <w:pPr>
        <w:autoSpaceDE w:val="0"/>
        <w:autoSpaceDN w:val="0"/>
        <w:adjustRightInd w:val="0"/>
        <w:ind w:left="602" w:right="357" w:hanging="240"/>
        <w:rPr>
          <w:sz w:val="16"/>
          <w:szCs w:val="16"/>
        </w:rPr>
      </w:pPr>
      <w:r w:rsidRPr="00DF5257">
        <w:rPr>
          <w:sz w:val="16"/>
          <w:szCs w:val="16"/>
        </w:rPr>
        <w:t>Fuente: INEGI</w:t>
      </w:r>
    </w:p>
    <w:p w14:paraId="3424911F" w14:textId="114E09B7" w:rsidR="00236AC0" w:rsidRPr="00887FF6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Cs/>
          <w:smallCaps/>
          <w:color w:val="auto"/>
        </w:rPr>
      </w:pPr>
      <w:r w:rsidRPr="00887FF6">
        <w:rPr>
          <w:rFonts w:ascii="Arial" w:hAnsi="Arial"/>
          <w:b/>
          <w:iCs/>
          <w:smallCaps/>
          <w:color w:val="auto"/>
        </w:rPr>
        <w:t>Componentes del</w:t>
      </w:r>
      <w:r w:rsidR="00221B60" w:rsidRPr="00887FF6">
        <w:rPr>
          <w:b/>
          <w:iCs/>
          <w:smallCaps/>
          <w:color w:val="000000" w:themeColor="text1"/>
        </w:rPr>
        <w:t xml:space="preserve"> Índice Nacional de Precios al Consumidor</w:t>
      </w:r>
    </w:p>
    <w:p w14:paraId="79E02AE6" w14:textId="20BA0895" w:rsidR="00EC3780" w:rsidRDefault="002B3434" w:rsidP="00EC3780">
      <w:pPr>
        <w:autoSpaceDE w:val="0"/>
        <w:autoSpaceDN w:val="0"/>
        <w:adjustRightInd w:val="0"/>
        <w:spacing w:before="240"/>
      </w:pPr>
      <w:r w:rsidRPr="002B3434">
        <w:t xml:space="preserve">En la primera quincena de </w:t>
      </w:r>
      <w:r w:rsidR="00937496">
        <w:t>agost</w:t>
      </w:r>
      <w:r w:rsidRPr="002B3434">
        <w:t>o de 2023, la variación de los índices subyacente</w:t>
      </w:r>
      <w:r w:rsidR="00FC3E9C" w:rsidRPr="00852BA9">
        <w:rPr>
          <w:spacing w:val="4"/>
          <w:vertAlign w:val="superscript"/>
        </w:rPr>
        <w:footnoteReference w:id="2"/>
      </w:r>
      <w:r w:rsidRPr="002B3434">
        <w:t xml:space="preserve"> y no subyacente fue de 0.</w:t>
      </w:r>
      <w:r w:rsidR="00937496">
        <w:t xml:space="preserve">19 </w:t>
      </w:r>
      <w:r w:rsidRPr="002B3434">
        <w:t>y 0.</w:t>
      </w:r>
      <w:r w:rsidR="00937496">
        <w:t>72</w:t>
      </w:r>
      <w:r w:rsidR="007C3637">
        <w:t> %</w:t>
      </w:r>
      <w:r w:rsidRPr="002B3434">
        <w:t>, respectivamente. En la misma quincena de 2022</w:t>
      </w:r>
      <w:r w:rsidR="0018396A">
        <w:t>,</w:t>
      </w:r>
      <w:r w:rsidRPr="002B3434">
        <w:t xml:space="preserve"> fue de 0.</w:t>
      </w:r>
      <w:r w:rsidR="00937496">
        <w:t>49</w:t>
      </w:r>
      <w:r w:rsidR="007B1364">
        <w:t> </w:t>
      </w:r>
      <w:r w:rsidRPr="002B3434">
        <w:t>y 0.</w:t>
      </w:r>
      <w:r w:rsidR="00937496">
        <w:t>22</w:t>
      </w:r>
      <w:r w:rsidR="0018396A">
        <w:t> </w:t>
      </w:r>
      <w:r w:rsidRPr="002B3434">
        <w:t>por</w:t>
      </w:r>
      <w:r w:rsidR="0018396A">
        <w:t> </w:t>
      </w:r>
      <w:r w:rsidRPr="002B3434">
        <w:t>ciento</w:t>
      </w:r>
      <w:r w:rsidR="00EC3780" w:rsidRPr="00DD6F96">
        <w:t>.</w:t>
      </w:r>
    </w:p>
    <w:p w14:paraId="27DAB530" w14:textId="3DFA098C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28879D5F" w:rsidR="00236AC0" w:rsidRPr="000C372F" w:rsidRDefault="009555FD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 w:rsidRPr="000C372F">
        <w:rPr>
          <w:sz w:val="18"/>
          <w:szCs w:val="18"/>
        </w:rPr>
        <w:t>Variación porcentual</w:t>
      </w:r>
      <w:r w:rsidR="00236AC0"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 w:rsidR="00236AC0">
        <w:rPr>
          <w:sz w:val="18"/>
          <w:szCs w:val="18"/>
        </w:rPr>
        <w:t xml:space="preserve">en la primera quincena de </w:t>
      </w:r>
      <w:r w:rsidR="00FC3E9C">
        <w:rPr>
          <w:sz w:val="18"/>
          <w:szCs w:val="18"/>
        </w:rPr>
        <w:t>agost</w:t>
      </w:r>
      <w:r w:rsidR="0020084F">
        <w:rPr>
          <w:sz w:val="18"/>
          <w:szCs w:val="18"/>
        </w:rPr>
        <w:t>o</w:t>
      </w:r>
      <w:r w:rsidR="00236AC0" w:rsidRPr="000C372F">
        <w:rPr>
          <w:sz w:val="18"/>
          <w:szCs w:val="18"/>
        </w:rPr>
        <w:t xml:space="preserve"> </w:t>
      </w:r>
      <w:r w:rsidR="0025607F">
        <w:rPr>
          <w:sz w:val="18"/>
          <w:szCs w:val="18"/>
        </w:rPr>
        <w:t xml:space="preserve">de </w:t>
      </w:r>
      <w:r w:rsidR="00236AC0" w:rsidRPr="000C372F">
        <w:rPr>
          <w:sz w:val="18"/>
          <w:szCs w:val="18"/>
        </w:rPr>
        <w:t>los años que se indican</w:t>
      </w:r>
      <w:r>
        <w:rPr>
          <w:sz w:val="18"/>
          <w:szCs w:val="18"/>
        </w:rPr>
        <w:t>)</w:t>
      </w:r>
    </w:p>
    <w:p w14:paraId="44D623CD" w14:textId="015245CF" w:rsidR="00236AC0" w:rsidRDefault="00793AE6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4C4CC64E" wp14:editId="1E3E0C97">
            <wp:extent cx="5040000" cy="2880000"/>
            <wp:effectExtent l="0" t="0" r="27305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FC2798B" w14:textId="4DBBAE04" w:rsidR="006D6D76" w:rsidRPr="006D6D76" w:rsidRDefault="006D6D76" w:rsidP="003E644F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662852FA" w14:textId="10E29B41" w:rsidR="006D6D76" w:rsidRDefault="002B3434" w:rsidP="00CB4F36">
      <w:pPr>
        <w:autoSpaceDE w:val="0"/>
        <w:autoSpaceDN w:val="0"/>
        <w:adjustRightInd w:val="0"/>
        <w:spacing w:before="200"/>
        <w:rPr>
          <w:color w:val="000000" w:themeColor="text1"/>
        </w:rPr>
      </w:pPr>
      <w:r w:rsidRPr="002B3434">
        <w:rPr>
          <w:color w:val="000000" w:themeColor="text1"/>
        </w:rPr>
        <w:t xml:space="preserve">En la primera quincena de </w:t>
      </w:r>
      <w:r w:rsidR="001D3897">
        <w:rPr>
          <w:color w:val="000000" w:themeColor="text1"/>
        </w:rPr>
        <w:t>agost</w:t>
      </w:r>
      <w:r w:rsidRPr="002B3434">
        <w:rPr>
          <w:color w:val="000000" w:themeColor="text1"/>
        </w:rPr>
        <w:t>o de 2023, la variación anual del INPC fue de 4.</w:t>
      </w:r>
      <w:r w:rsidR="001D3897">
        <w:rPr>
          <w:color w:val="000000" w:themeColor="text1"/>
        </w:rPr>
        <w:t>67</w:t>
      </w:r>
      <w:r w:rsidR="007C3637">
        <w:rPr>
          <w:color w:val="000000" w:themeColor="text1"/>
        </w:rPr>
        <w:t> %</w:t>
      </w:r>
      <w:r w:rsidRPr="002B3434">
        <w:rPr>
          <w:color w:val="000000" w:themeColor="text1"/>
        </w:rPr>
        <w:t xml:space="preserve"> y la de los índices subyacente y no subyacente de 6.</w:t>
      </w:r>
      <w:r w:rsidR="001D3897">
        <w:rPr>
          <w:color w:val="000000" w:themeColor="text1"/>
        </w:rPr>
        <w:t>21</w:t>
      </w:r>
      <w:r w:rsidRPr="002B3434">
        <w:rPr>
          <w:color w:val="000000" w:themeColor="text1"/>
        </w:rPr>
        <w:t xml:space="preserve"> y 0.</w:t>
      </w:r>
      <w:r w:rsidR="001D3897">
        <w:rPr>
          <w:color w:val="000000" w:themeColor="text1"/>
        </w:rPr>
        <w:t>13</w:t>
      </w:r>
      <w:r w:rsidR="007C3637">
        <w:rPr>
          <w:color w:val="000000" w:themeColor="text1"/>
        </w:rPr>
        <w:t> %</w:t>
      </w:r>
      <w:r w:rsidRPr="002B3434">
        <w:rPr>
          <w:color w:val="000000" w:themeColor="text1"/>
        </w:rPr>
        <w:t>, respectivamente. En el mismo periodo del año anterior, el INPC aumentó 8.</w:t>
      </w:r>
      <w:r w:rsidR="001D3897">
        <w:rPr>
          <w:color w:val="000000" w:themeColor="text1"/>
        </w:rPr>
        <w:t>62</w:t>
      </w:r>
      <w:r w:rsidR="007C3637">
        <w:rPr>
          <w:color w:val="000000" w:themeColor="text1"/>
        </w:rPr>
        <w:t> %</w:t>
      </w:r>
      <w:r w:rsidRPr="002B3434">
        <w:rPr>
          <w:color w:val="000000" w:themeColor="text1"/>
        </w:rPr>
        <w:t xml:space="preserve"> y sus componentes, 7.</w:t>
      </w:r>
      <w:r w:rsidR="001D3897">
        <w:rPr>
          <w:color w:val="000000" w:themeColor="text1"/>
        </w:rPr>
        <w:t>97</w:t>
      </w:r>
      <w:r w:rsidRPr="002B3434">
        <w:rPr>
          <w:color w:val="000000" w:themeColor="text1"/>
        </w:rPr>
        <w:t xml:space="preserve"> y </w:t>
      </w:r>
      <w:r w:rsidR="001D3897">
        <w:rPr>
          <w:color w:val="000000" w:themeColor="text1"/>
        </w:rPr>
        <w:t>10.59</w:t>
      </w:r>
      <w:r w:rsidR="007C3637">
        <w:rPr>
          <w:color w:val="000000" w:themeColor="text1"/>
        </w:rPr>
        <w:t> %</w:t>
      </w:r>
      <w:r w:rsidRPr="002B3434">
        <w:rPr>
          <w:color w:val="000000" w:themeColor="text1"/>
        </w:rPr>
        <w:t>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CB4F36">
      <w:pPr>
        <w:pStyle w:val="n01"/>
        <w:keepNext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1DC18896" w14:textId="06AC7AE0" w:rsidR="00236AC0" w:rsidRPr="00FA0577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4A19452" w14:textId="2EB23680" w:rsidR="00236AC0" w:rsidRPr="000C372F" w:rsidRDefault="009555FD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236AC0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65C3DF9C" w14:textId="42B48C68" w:rsidR="00236AC0" w:rsidRDefault="00793AE6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37B4FD1" wp14:editId="1C2E0BB6">
            <wp:extent cx="5040000" cy="2880000"/>
            <wp:effectExtent l="0" t="0" r="27305" b="349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C4AB177" w14:textId="7886D1A8" w:rsidR="006D6D76" w:rsidRPr="006D6D76" w:rsidRDefault="006D6D76" w:rsidP="003E644F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26664B00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0978EC88" w:rsidR="00236AC0" w:rsidRPr="00212EC9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roductos genéricos con mayor incidencia</w:t>
      </w:r>
    </w:p>
    <w:p w14:paraId="7F83AA10" w14:textId="4B4AF2F2" w:rsidR="00236AC0" w:rsidRPr="00095EA0" w:rsidRDefault="00095EA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/>
          <w:position w:val="-1"/>
          <w:sz w:val="20"/>
          <w:szCs w:val="22"/>
        </w:rPr>
      </w:pPr>
      <w:r>
        <w:rPr>
          <w:b/>
          <w:smallCaps/>
          <w:color w:val="000000"/>
          <w:position w:val="-1"/>
          <w:sz w:val="20"/>
          <w:szCs w:val="22"/>
        </w:rPr>
        <w:t>p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rimera quincena de </w:t>
      </w:r>
      <w:r w:rsidR="00FC3E9C">
        <w:rPr>
          <w:b/>
          <w:smallCaps/>
          <w:color w:val="000000"/>
          <w:position w:val="-1"/>
          <w:sz w:val="20"/>
          <w:szCs w:val="22"/>
        </w:rPr>
        <w:t>agost</w:t>
      </w:r>
      <w:r w:rsidR="00302DA3">
        <w:rPr>
          <w:b/>
          <w:smallCaps/>
          <w:color w:val="000000"/>
          <w:position w:val="-1"/>
          <w:sz w:val="20"/>
          <w:szCs w:val="22"/>
        </w:rPr>
        <w:t>o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 de 202</w:t>
      </w:r>
      <w:r w:rsidR="002200D2" w:rsidRPr="00095EA0">
        <w:rPr>
          <w:b/>
          <w:smallCaps/>
          <w:color w:val="000000"/>
          <w:position w:val="-1"/>
          <w:sz w:val="20"/>
          <w:szCs w:val="22"/>
        </w:rPr>
        <w:t>3</w:t>
      </w:r>
    </w:p>
    <w:tbl>
      <w:tblPr>
        <w:tblW w:w="93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1049"/>
        <w:gridCol w:w="1048"/>
        <w:gridCol w:w="166"/>
        <w:gridCol w:w="2483"/>
        <w:gridCol w:w="1048"/>
        <w:gridCol w:w="1048"/>
      </w:tblGrid>
      <w:tr w:rsidR="00344BD5" w:rsidRPr="00A9663B" w14:paraId="71BC1AF0" w14:textId="77777777" w:rsidTr="002B3434">
        <w:trPr>
          <w:trHeight w:val="624"/>
          <w:jc w:val="center"/>
        </w:trPr>
        <w:tc>
          <w:tcPr>
            <w:tcW w:w="2485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2FD6135" w14:textId="5B6EA8E7" w:rsidR="00344BD5" w:rsidRPr="00443E47" w:rsidRDefault="00344BD5" w:rsidP="00725F4D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4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3D870A0B" w14:textId="7B46994A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0990F0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66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DB7DBD" w14:textId="77777777" w:rsidR="00344BD5" w:rsidRPr="00B96D30" w:rsidRDefault="00344BD5" w:rsidP="00344BD5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8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AE260E1" w14:textId="2E1BD1EE" w:rsidR="00344BD5" w:rsidRPr="00443E47" w:rsidRDefault="00344BD5" w:rsidP="00725F4D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48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9AB4958" w14:textId="1707F4E2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B297D63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0C4FA1" w:rsidRPr="009F6415" w14:paraId="26DDECF9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6254D2" w14:textId="47240D0C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04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F5CE69D" w14:textId="4596545C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104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07E536" w14:textId="30672504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166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B39465D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F109BA" w14:textId="311F3B94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Papa y otros tubérculos</w:t>
            </w:r>
          </w:p>
        </w:tc>
        <w:tc>
          <w:tcPr>
            <w:tcW w:w="104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0F1EDA" w14:textId="4EDC4B67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-5.39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1F7BD1" w14:textId="2B833266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-0.025</w:t>
            </w:r>
          </w:p>
        </w:tc>
      </w:tr>
      <w:tr w:rsidR="000C4FA1" w:rsidRPr="00841586" w14:paraId="0686BFCD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D8E373" w14:textId="2FD5A8DE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9A8832" w14:textId="76B5ED8F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67C2B4" w14:textId="69F6AD9B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F8A9E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A53362" w14:textId="73549666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Chayote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B0EEB8" w14:textId="0EB49F3F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-16.34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5C30AEB" w14:textId="44B129ED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-0.018</w:t>
            </w:r>
          </w:p>
        </w:tc>
      </w:tr>
      <w:tr w:rsidR="000C4FA1" w:rsidRPr="00841586" w14:paraId="7E34DD48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78DA8F" w14:textId="3772669F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Cebolla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659DE8" w14:textId="00507F9D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678DCC" w14:textId="468B9460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71898E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B78DA6" w14:textId="7CB20E8D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C1D82B" w14:textId="56413A45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-6.78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C8ED2AC" w14:textId="0E20094A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-0.017</w:t>
            </w:r>
          </w:p>
        </w:tc>
      </w:tr>
      <w:tr w:rsidR="000C4FA1" w:rsidRPr="00841586" w14:paraId="6D4E84E3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1A1A54" w14:textId="59B96AB2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Universidad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70D610" w14:textId="4491B360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D123F0" w14:textId="75F9F8B3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CB8F33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C9F68" w14:textId="6EC676C2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Aguacate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5C1DF1" w14:textId="3C604AC2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2F57321" w14:textId="65C5F489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-0.011</w:t>
            </w:r>
          </w:p>
        </w:tc>
      </w:tr>
      <w:tr w:rsidR="000C4FA1" w:rsidRPr="00841586" w14:paraId="6BEED877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4CF8BD" w14:textId="138672DC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Electricidad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EF69AA" w14:textId="6A5DF2BA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B57419" w14:textId="772BA6DE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06D59D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33DF03" w14:textId="0900AC62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FF6090" w14:textId="6B263DB1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E28526B" w14:textId="32A5D9AF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-0.010</w:t>
            </w:r>
          </w:p>
        </w:tc>
      </w:tr>
      <w:tr w:rsidR="000C4FA1" w:rsidRPr="00841586" w14:paraId="5C0E007D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34856" w14:textId="7B3885C6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2AF5DD" w14:textId="01BA898D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F270B55" w14:textId="45255DF8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26ECDA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EA92DF" w14:textId="607628B9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Ejotes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114A6E" w14:textId="51443200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-18.67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B613A7E" w14:textId="4F999D36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-0.009</w:t>
            </w:r>
          </w:p>
        </w:tc>
      </w:tr>
      <w:tr w:rsidR="000C4FA1" w:rsidRPr="00841586" w14:paraId="29C2A588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0359A0C" w14:textId="2C9035B4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6381A5" w14:textId="5F68420E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717520" w14:textId="495EF7E7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F600E7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A732D4" w14:textId="1B976E90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55BF90" w14:textId="17804652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3A2DB44" w14:textId="0DA198E6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-0.009</w:t>
            </w:r>
          </w:p>
        </w:tc>
      </w:tr>
      <w:tr w:rsidR="000C4FA1" w:rsidRPr="00841586" w14:paraId="4694BE81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B55267A" w14:textId="0AE2ACC9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Preparatoria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B1E883" w14:textId="0F619DB5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31F3C2" w14:textId="2921D878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9D11A4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613138" w14:textId="66C48364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A9FFB8" w14:textId="1D2300AD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-2.43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2C40F88" w14:textId="6E0B62EA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-0.008</w:t>
            </w:r>
          </w:p>
        </w:tc>
      </w:tr>
      <w:tr w:rsidR="000C4FA1" w:rsidRPr="00841586" w14:paraId="5CB45DC2" w14:textId="77777777" w:rsidTr="002B3434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5D3C7E" w14:textId="77B77B7A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E6A19D" w14:textId="54296022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D2D6D5" w14:textId="5B6E4D22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C55565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87833" w14:textId="066A15B0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784007" w14:textId="4928CC7C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-2.40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D3D1DFD" w14:textId="62BA61D6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0C4FA1" w:rsidRPr="00841586" w14:paraId="3D798F02" w14:textId="77777777" w:rsidTr="00D91E5A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7DB638" w14:textId="4A22F87E" w:rsidR="000C4FA1" w:rsidRPr="002B3434" w:rsidRDefault="000C4FA1" w:rsidP="00D91E5A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Otras frutas</w:t>
            </w:r>
          </w:p>
        </w:tc>
        <w:tc>
          <w:tcPr>
            <w:tcW w:w="104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7C4348D" w14:textId="3AC056C9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2.80</w:t>
            </w:r>
          </w:p>
        </w:tc>
        <w:tc>
          <w:tcPr>
            <w:tcW w:w="104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20AD2A" w14:textId="22ABA3A9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C4FA1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66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702EBFC" w14:textId="77777777" w:rsidR="000C4FA1" w:rsidRPr="00B21A5C" w:rsidRDefault="000C4FA1" w:rsidP="000C4FA1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99FD09E" w14:textId="228BCAD4" w:rsidR="000C4FA1" w:rsidRPr="002B3434" w:rsidRDefault="000C4FA1" w:rsidP="000C4FA1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Chile serrano</w:t>
            </w:r>
          </w:p>
        </w:tc>
        <w:tc>
          <w:tcPr>
            <w:tcW w:w="104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3130541" w14:textId="20F4A32D" w:rsidR="000C4FA1" w:rsidRPr="002B3434" w:rsidRDefault="000C4FA1" w:rsidP="000C4FA1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-4.76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BBD6FDF" w14:textId="706CF5CB" w:rsidR="000C4FA1" w:rsidRPr="002B3434" w:rsidRDefault="000C4FA1" w:rsidP="000C4FA1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818EC">
              <w:rPr>
                <w:color w:val="000000"/>
                <w:sz w:val="16"/>
                <w:szCs w:val="16"/>
              </w:rPr>
              <w:t>-0.006</w:t>
            </w:r>
          </w:p>
        </w:tc>
      </w:tr>
    </w:tbl>
    <w:p w14:paraId="616F95FD" w14:textId="44784D3E" w:rsidR="00236AC0" w:rsidRPr="006029B4" w:rsidRDefault="00236AC0" w:rsidP="006029B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6029B4">
        <w:rPr>
          <w:sz w:val="16"/>
          <w:szCs w:val="16"/>
          <w:vertAlign w:val="superscript"/>
        </w:rPr>
        <w:t>1/</w:t>
      </w:r>
      <w:r w:rsidRPr="006029B4">
        <w:rPr>
          <w:sz w:val="16"/>
          <w:szCs w:val="16"/>
          <w:vertAlign w:val="superscript"/>
        </w:rPr>
        <w:tab/>
      </w:r>
      <w:r w:rsidRPr="006029B4">
        <w:rPr>
          <w:sz w:val="16"/>
          <w:szCs w:val="16"/>
        </w:rPr>
        <w:t>La incidencia se refiere a la contribución</w:t>
      </w:r>
      <w:r w:rsidR="00AF1F4F" w:rsidRPr="006029B4">
        <w:rPr>
          <w:sz w:val="16"/>
          <w:szCs w:val="16"/>
        </w:rPr>
        <w:t>,</w:t>
      </w:r>
      <w:r w:rsidRPr="006029B4">
        <w:rPr>
          <w:sz w:val="16"/>
          <w:szCs w:val="16"/>
        </w:rPr>
        <w:t xml:space="preserve"> en puntos porcentuales</w:t>
      </w:r>
      <w:r w:rsidR="00AF1F4F" w:rsidRPr="006029B4">
        <w:rPr>
          <w:sz w:val="16"/>
          <w:szCs w:val="16"/>
        </w:rPr>
        <w:t>,</w:t>
      </w:r>
      <w:r w:rsidRPr="006029B4">
        <w:rPr>
          <w:sz w:val="16"/>
          <w:szCs w:val="16"/>
        </w:rPr>
        <w:t xml:space="preserve"> de cada componente del INPC a la inflación general. </w:t>
      </w:r>
      <w:r w:rsidR="00D6403E" w:rsidRPr="006029B4">
        <w:rPr>
          <w:sz w:val="16"/>
          <w:szCs w:val="16"/>
        </w:rPr>
        <w:t>E</w:t>
      </w:r>
      <w:r w:rsidRPr="006029B4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496A804C" w14:textId="098DA768" w:rsidR="006D6D76" w:rsidRPr="006029B4" w:rsidRDefault="006D6D76" w:rsidP="00F80D74">
      <w:pPr>
        <w:autoSpaceDE w:val="0"/>
        <w:autoSpaceDN w:val="0"/>
        <w:adjustRightInd w:val="0"/>
        <w:ind w:left="602" w:right="357" w:hanging="240"/>
        <w:rPr>
          <w:b/>
          <w:caps/>
          <w:sz w:val="16"/>
          <w:szCs w:val="16"/>
        </w:rPr>
      </w:pPr>
      <w:r w:rsidRPr="006029B4">
        <w:rPr>
          <w:sz w:val="16"/>
          <w:szCs w:val="16"/>
        </w:rPr>
        <w:t xml:space="preserve">Fuente: </w:t>
      </w:r>
      <w:r w:rsidR="006029B4" w:rsidRPr="006029B4">
        <w:rPr>
          <w:sz w:val="16"/>
          <w:szCs w:val="16"/>
        </w:rPr>
        <w:t xml:space="preserve"> </w:t>
      </w:r>
      <w:r w:rsidRPr="006029B4">
        <w:rPr>
          <w:sz w:val="16"/>
          <w:szCs w:val="16"/>
        </w:rPr>
        <w:t>INEGI</w:t>
      </w:r>
    </w:p>
    <w:p w14:paraId="10D9FC21" w14:textId="054D1590" w:rsidR="00236AC0" w:rsidRDefault="1D3DCEF8" w:rsidP="000507D2">
      <w:pPr>
        <w:autoSpaceDE w:val="0"/>
        <w:autoSpaceDN w:val="0"/>
        <w:adjustRightInd w:val="0"/>
        <w:spacing w:before="360"/>
      </w:pPr>
      <w:r>
        <w:t>En los siguientes cuadros</w:t>
      </w:r>
      <w:r w:rsidR="3CAE58A4">
        <w:t>,</w:t>
      </w:r>
      <w:r>
        <w:t xml:space="preserve"> se muestran las entidades federativas y ciudades en las que el INPC </w:t>
      </w:r>
      <w:r w:rsidR="0E60322C">
        <w:t>present</w:t>
      </w:r>
      <w:r>
        <w:t xml:space="preserve">ó las mayores variaciones </w:t>
      </w:r>
      <w:r w:rsidR="4DFC659A">
        <w:t>durante</w:t>
      </w:r>
      <w:r>
        <w:t xml:space="preserve"> la primera quincena de </w:t>
      </w:r>
      <w:r w:rsidR="001D3897">
        <w:t>agost</w:t>
      </w:r>
      <w:r w:rsidR="1C467056">
        <w:t>o</w:t>
      </w:r>
      <w:r>
        <w:t xml:space="preserve"> de 202</w:t>
      </w:r>
      <w:r w:rsidR="6EEE97F5">
        <w:t>3</w:t>
      </w:r>
      <w:r w:rsidR="2D228BB6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7366E5B3" w:rsidR="00236AC0" w:rsidRPr="00212EC9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 variación *</w:t>
      </w:r>
    </w:p>
    <w:p w14:paraId="1947CA94" w14:textId="74B28C8E" w:rsidR="00236AC0" w:rsidRPr="00095EA0" w:rsidRDefault="00095EA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2"/>
        </w:rPr>
      </w:pPr>
      <w:r>
        <w:rPr>
          <w:b/>
          <w:bCs/>
          <w:smallCaps/>
          <w:color w:val="000000" w:themeColor="text1"/>
          <w:spacing w:val="1"/>
          <w:sz w:val="20"/>
          <w:szCs w:val="22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rimera quincena de </w:t>
      </w:r>
      <w:r w:rsidR="00FC3E9C">
        <w:rPr>
          <w:b/>
          <w:bCs/>
          <w:smallCaps/>
          <w:color w:val="000000" w:themeColor="text1"/>
          <w:spacing w:val="1"/>
          <w:sz w:val="20"/>
          <w:szCs w:val="22"/>
        </w:rPr>
        <w:t>agost</w:t>
      </w:r>
      <w:r w:rsidR="00302DA3">
        <w:rPr>
          <w:b/>
          <w:bCs/>
          <w:smallCaps/>
          <w:color w:val="000000" w:themeColor="text1"/>
          <w:spacing w:val="1"/>
          <w:sz w:val="20"/>
          <w:szCs w:val="22"/>
        </w:rPr>
        <w:t>o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>3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297"/>
        <w:gridCol w:w="282"/>
        <w:gridCol w:w="3213"/>
        <w:gridCol w:w="1295"/>
      </w:tblGrid>
      <w:tr w:rsidR="00587B8C" w:rsidRPr="00A9663B" w14:paraId="1397C9F3" w14:textId="77777777" w:rsidTr="002B3434">
        <w:trPr>
          <w:trHeight w:val="624"/>
          <w:jc w:val="center"/>
        </w:trPr>
        <w:tc>
          <w:tcPr>
            <w:tcW w:w="327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F5CDB26" w14:textId="69DA69D5" w:rsidR="00587B8C" w:rsidRPr="00443E47" w:rsidRDefault="00587B8C" w:rsidP="00725F4D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84FFD80" w14:textId="650A5F88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7AC528C" w14:textId="77777777" w:rsidR="00587B8C" w:rsidRPr="00FF4BF4" w:rsidRDefault="00587B8C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FBCCFEC" w14:textId="45743F47" w:rsidR="00587B8C" w:rsidRPr="00443E47" w:rsidRDefault="00587B8C" w:rsidP="00725F4D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5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198161F6" w14:textId="448E18E9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316C18" w:rsidRPr="006B0239" w14:paraId="081A8EEB" w14:textId="77777777" w:rsidTr="00E0555F">
        <w:trPr>
          <w:trHeight w:val="255"/>
          <w:jc w:val="center"/>
        </w:trPr>
        <w:tc>
          <w:tcPr>
            <w:tcW w:w="327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2B2FDE" w14:textId="3A4CBD9C" w:rsidR="00316C18" w:rsidRPr="002B3434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Chiapas</w:t>
            </w:r>
          </w:p>
        </w:tc>
        <w:tc>
          <w:tcPr>
            <w:tcW w:w="129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30D82128" w14:textId="47DFF393" w:rsidR="00316C18" w:rsidRPr="002B3434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6AC429F" w14:textId="77777777" w:rsidR="00316C18" w:rsidRPr="00B21A5C" w:rsidRDefault="00316C18" w:rsidP="00316C1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7CB646" w14:textId="7737B936" w:rsidR="00316C18" w:rsidRPr="00E0555F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295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16984DB" w14:textId="586CA7D8" w:rsidR="00316C18" w:rsidRPr="00E0555F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-0.05</w:t>
            </w:r>
          </w:p>
        </w:tc>
      </w:tr>
      <w:tr w:rsidR="00316C18" w:rsidRPr="00841586" w14:paraId="5EC96468" w14:textId="77777777" w:rsidTr="00E0555F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97A2D" w14:textId="34CC7690" w:rsidR="00316C18" w:rsidRPr="002B3434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010205" w14:textId="0033F806" w:rsidR="00316C18" w:rsidRPr="002B3434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123797" w14:textId="77777777" w:rsidR="00316C18" w:rsidRPr="00B21A5C" w:rsidRDefault="00316C18" w:rsidP="00316C1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B71C10" w14:textId="724FD2C0" w:rsidR="00316C18" w:rsidRPr="00E0555F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C45A9" w14:textId="08E77A40" w:rsidR="00316C18" w:rsidRPr="00E0555F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316C18" w:rsidRPr="00841586" w14:paraId="6E2AE25E" w14:textId="77777777" w:rsidTr="00E0555F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1DE3B0" w14:textId="00C9A1B2" w:rsidR="00316C18" w:rsidRPr="002B3434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B4C514" w14:textId="67A49894" w:rsidR="00316C18" w:rsidRPr="002B3434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18FB06" w14:textId="77777777" w:rsidR="00316C18" w:rsidRPr="00B21A5C" w:rsidRDefault="00316C18" w:rsidP="00316C1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F99110" w14:textId="2BF14784" w:rsidR="00316C18" w:rsidRPr="00E0555F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San Luis Potosí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3F1C3A" w14:textId="68713D4C" w:rsidR="00316C18" w:rsidRPr="00E0555F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0.13</w:t>
            </w:r>
          </w:p>
        </w:tc>
      </w:tr>
      <w:tr w:rsidR="00316C18" w:rsidRPr="00841586" w14:paraId="347B8E10" w14:textId="77777777" w:rsidTr="00E0555F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3B0F61" w14:textId="7B995295" w:rsidR="00316C18" w:rsidRPr="002B3434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Oaxaca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C9F759" w14:textId="1F4CE052" w:rsidR="00316C18" w:rsidRPr="002B3434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5157851" w14:textId="77777777" w:rsidR="00316C18" w:rsidRPr="00B21A5C" w:rsidRDefault="00316C18" w:rsidP="00316C1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22D597" w14:textId="2B228D7C" w:rsidR="00316C18" w:rsidRPr="00E0555F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Guanajuato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68EDE7" w14:textId="2FA0E9BF" w:rsidR="00316C18" w:rsidRPr="00E0555F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0.16</w:t>
            </w:r>
          </w:p>
        </w:tc>
      </w:tr>
      <w:tr w:rsidR="00316C18" w:rsidRPr="00841586" w14:paraId="2CFC8046" w14:textId="77777777" w:rsidTr="00E0555F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305B8CF" w14:textId="21D8B8D0" w:rsidR="00316C18" w:rsidRPr="002B3434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Veracruz</w:t>
            </w:r>
          </w:p>
        </w:tc>
        <w:tc>
          <w:tcPr>
            <w:tcW w:w="129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D8F8B22" w14:textId="5804AD35" w:rsidR="00316C18" w:rsidRPr="002B3434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316C18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68B5621" w14:textId="77777777" w:rsidR="00316C18" w:rsidRPr="00B21A5C" w:rsidRDefault="00316C18" w:rsidP="00316C1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D95817" w14:textId="27DA7B5E" w:rsidR="00316C18" w:rsidRPr="00E0555F" w:rsidRDefault="00316C18" w:rsidP="00316C1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295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1558CC" w14:textId="4CB00589" w:rsidR="00316C18" w:rsidRPr="00E0555F" w:rsidRDefault="00316C18" w:rsidP="00316C1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FA1596">
              <w:rPr>
                <w:color w:val="000000"/>
                <w:sz w:val="16"/>
                <w:szCs w:val="16"/>
              </w:rPr>
              <w:t>0.18</w:t>
            </w:r>
          </w:p>
        </w:tc>
      </w:tr>
    </w:tbl>
    <w:p w14:paraId="34036F0F" w14:textId="12D53DA7" w:rsidR="00236AC0" w:rsidRPr="00DF5257" w:rsidRDefault="00236AC0" w:rsidP="00DF5257">
      <w:pPr>
        <w:autoSpaceDE w:val="0"/>
        <w:autoSpaceDN w:val="0"/>
        <w:adjustRightInd w:val="0"/>
        <w:ind w:left="993" w:right="357" w:hanging="631"/>
        <w:rPr>
          <w:rStyle w:val="Hipervnculo"/>
          <w:color w:val="auto"/>
          <w:sz w:val="16"/>
          <w:szCs w:val="16"/>
          <w:u w:val="none"/>
        </w:rPr>
      </w:pPr>
      <w:r w:rsidRPr="00DF5257">
        <w:rPr>
          <w:rStyle w:val="Hipervnculo"/>
          <w:color w:val="auto"/>
          <w:sz w:val="16"/>
          <w:szCs w:val="16"/>
          <w:u w:val="none"/>
        </w:rPr>
        <w:t>*</w:t>
      </w:r>
      <w:r w:rsidRPr="00DF5257">
        <w:rPr>
          <w:rStyle w:val="Hipervnculo"/>
          <w:color w:val="auto"/>
          <w:sz w:val="16"/>
          <w:szCs w:val="16"/>
          <w:u w:val="none"/>
        </w:rPr>
        <w:tab/>
        <w:t>Las desagregaciones del INPC s</w:t>
      </w:r>
      <w:r w:rsidR="00244A0C" w:rsidRPr="00DF5257">
        <w:rPr>
          <w:rStyle w:val="Hipervnculo"/>
          <w:color w:val="auto"/>
          <w:sz w:val="16"/>
          <w:szCs w:val="16"/>
          <w:u w:val="none"/>
        </w:rPr>
        <w:t>o</w:t>
      </w:r>
      <w:r w:rsidRPr="00DF5257">
        <w:rPr>
          <w:rStyle w:val="Hipervnculo"/>
          <w:color w:val="auto"/>
          <w:sz w:val="16"/>
          <w:szCs w:val="16"/>
          <w:u w:val="none"/>
        </w:rPr>
        <w:t>lo tienen valor informativo.</w:t>
      </w:r>
    </w:p>
    <w:p w14:paraId="19AAEE89" w14:textId="483425E7" w:rsidR="006D6D76" w:rsidRPr="00DF5257" w:rsidRDefault="006D6D76" w:rsidP="00F80D74">
      <w:pPr>
        <w:autoSpaceDE w:val="0"/>
        <w:autoSpaceDN w:val="0"/>
        <w:adjustRightInd w:val="0"/>
        <w:ind w:left="602" w:right="357" w:hanging="240"/>
        <w:rPr>
          <w:rStyle w:val="Hipervnculo"/>
          <w:color w:val="auto"/>
          <w:sz w:val="16"/>
          <w:szCs w:val="16"/>
          <w:u w:val="none"/>
        </w:rPr>
      </w:pPr>
      <w:r w:rsidRPr="00DF5257">
        <w:rPr>
          <w:sz w:val="16"/>
          <w:szCs w:val="16"/>
        </w:rPr>
        <w:t>Fuente:</w:t>
      </w:r>
      <w:r w:rsidR="00DF5257" w:rsidRPr="00DF5257">
        <w:rPr>
          <w:sz w:val="16"/>
          <w:szCs w:val="16"/>
        </w:rPr>
        <w:t xml:space="preserve"> </w:t>
      </w:r>
      <w:r w:rsidRPr="00DF5257">
        <w:rPr>
          <w:sz w:val="16"/>
          <w:szCs w:val="16"/>
        </w:rPr>
        <w:t xml:space="preserve"> INEGI</w:t>
      </w:r>
    </w:p>
    <w:p w14:paraId="32FE3C55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2C85B35" w14:textId="7BA98FCA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604969A0" w:rsidR="00236AC0" w:rsidRPr="00212EC9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6"/>
          <w:szCs w:val="18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ciudades con mayor variación</w:t>
      </w:r>
      <w:r w:rsidRPr="00212EC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*</w:t>
      </w:r>
    </w:p>
    <w:p w14:paraId="41B7D1D1" w14:textId="0DB029E6" w:rsidR="00236AC0" w:rsidRPr="00095EA0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rimera quincena de </w:t>
      </w:r>
      <w:r w:rsidR="00FC3E9C">
        <w:rPr>
          <w:b/>
          <w:bCs/>
          <w:smallCaps/>
          <w:color w:val="000000" w:themeColor="text1"/>
          <w:spacing w:val="1"/>
          <w:sz w:val="20"/>
          <w:szCs w:val="20"/>
        </w:rPr>
        <w:t>agost</w:t>
      </w:r>
      <w:r w:rsidR="00302DA3">
        <w:rPr>
          <w:b/>
          <w:bCs/>
          <w:smallCaps/>
          <w:color w:val="000000" w:themeColor="text1"/>
          <w:spacing w:val="1"/>
          <w:sz w:val="20"/>
          <w:szCs w:val="20"/>
        </w:rPr>
        <w:t>o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289"/>
        <w:gridCol w:w="281"/>
        <w:gridCol w:w="3250"/>
        <w:gridCol w:w="1286"/>
      </w:tblGrid>
      <w:tr w:rsidR="00D532C4" w:rsidRPr="00A9663B" w14:paraId="2FB69810" w14:textId="77777777" w:rsidTr="00D532C4">
        <w:trPr>
          <w:trHeight w:val="624"/>
          <w:jc w:val="center"/>
        </w:trPr>
        <w:tc>
          <w:tcPr>
            <w:tcW w:w="325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F052A8A" w14:textId="77777777" w:rsidR="00D532C4" w:rsidRPr="00E15260" w:rsidRDefault="00D532C4" w:rsidP="00226E78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8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43DE1F2" w14:textId="35CC135E" w:rsidR="00D532C4" w:rsidRPr="00E15260" w:rsidRDefault="00D532C4" w:rsidP="00226E7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281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511FDBF" w14:textId="77777777" w:rsidR="00D532C4" w:rsidRPr="00E15260" w:rsidRDefault="00D532C4" w:rsidP="00226E78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E405365" w14:textId="77777777" w:rsidR="00D532C4" w:rsidRPr="00E15260" w:rsidRDefault="00D532C4" w:rsidP="00226E78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86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4CBF659" w14:textId="04FCF903" w:rsidR="00D532C4" w:rsidRPr="00E15260" w:rsidRDefault="00D532C4" w:rsidP="00226E7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7C3637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823594" w:rsidRPr="006B0239" w14:paraId="0BB9BF16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F46E97" w14:textId="25E042CC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Tapachula, Chis.</w:t>
            </w:r>
          </w:p>
        </w:tc>
        <w:tc>
          <w:tcPr>
            <w:tcW w:w="128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E4342FD" w14:textId="73DE3887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81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556DBD39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012153" w14:textId="74F6D24B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Iguala, Gro.</w:t>
            </w:r>
          </w:p>
        </w:tc>
        <w:tc>
          <w:tcPr>
            <w:tcW w:w="1286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C686364" w14:textId="46BE3052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-0.31</w:t>
            </w:r>
          </w:p>
        </w:tc>
      </w:tr>
      <w:tr w:rsidR="00823594" w:rsidRPr="00841586" w14:paraId="4311349C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4549B" w14:textId="36D37D04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Tehuantepec, Oax.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58E9F31" w14:textId="5DE7B77F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B7DEF64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5D24D" w14:textId="72DD7D6D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Atlacomulco, edo. de Méx.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C71C14B" w14:textId="44F28F0E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823594" w:rsidRPr="00841586" w14:paraId="29FA26A5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1C20C3" w14:textId="0B66E442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Tuxtla Gutiérrez, Chis.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219563" w14:textId="5264381D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6CA174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A923F" w14:textId="0C9E3D25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Monclova, Coah.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E49381B" w14:textId="6795AE26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823594" w:rsidRPr="00841586" w14:paraId="534E1E71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A962AD" w14:textId="76101C8D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Coatzacoalcos, Ver.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3B85C8" w14:textId="7F42E861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B87F1BE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1E6AF" w14:textId="5C73A699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60B8731" w14:textId="1D403106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823594" w:rsidRPr="00841586" w14:paraId="55DE567F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F2C55E" w14:textId="70A6EC01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Campeche, Camp.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A8A8BB3" w14:textId="22496F7F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01E493E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EC829F" w14:textId="6093735B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5C0952" w14:textId="5E80E49F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823594" w:rsidRPr="00841586" w14:paraId="6E251E50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A91975" w14:textId="215B73F0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Tepatitlán, Jal.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B4276BE" w14:textId="3B19E683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FD23DAC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94E9FD" w14:textId="645A9832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Cortazar, Gto.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E18E83" w14:textId="102FD61E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0.13</w:t>
            </w:r>
          </w:p>
        </w:tc>
      </w:tr>
      <w:tr w:rsidR="00823594" w:rsidRPr="00841586" w14:paraId="5D80B939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08E464" w14:textId="65923230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Izúcar de Matamoros, Pue.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2E9795" w14:textId="68DFA903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7A255E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BF852E6" w14:textId="3155D8E4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San Luis Potosí, S.L.P.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09133E6" w14:textId="3A7AE040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0.13</w:t>
            </w:r>
          </w:p>
        </w:tc>
      </w:tr>
      <w:tr w:rsidR="00823594" w:rsidRPr="00841586" w14:paraId="5A1BB14F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4EA22A" w14:textId="7B5F5312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Tlaxcala, Tlax.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AFFE20" w14:textId="6FE69A14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B4D570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6CEBED" w14:textId="09024F17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Guadalajara, Jal.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8A3AC75" w14:textId="0FD5FC18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0.14</w:t>
            </w:r>
          </w:p>
        </w:tc>
      </w:tr>
      <w:tr w:rsidR="00823594" w:rsidRPr="00841586" w14:paraId="4D343903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6E155D" w14:textId="4E561F46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67FAD" w14:textId="20CF1CCF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81" w:type="dxa"/>
            <w:tcBorders>
              <w:top w:val="dotted" w:sz="4" w:space="0" w:color="9FBE62"/>
              <w:right w:val="nil"/>
            </w:tcBorders>
            <w:vAlign w:val="center"/>
          </w:tcPr>
          <w:p w14:paraId="02CD0976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0EF09FC7" w14:textId="4ACF56E5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Mexicali, B.C.</w:t>
            </w:r>
          </w:p>
        </w:tc>
        <w:tc>
          <w:tcPr>
            <w:tcW w:w="1286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02E59B5" w14:textId="745F8F23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0.14</w:t>
            </w:r>
          </w:p>
        </w:tc>
      </w:tr>
      <w:tr w:rsidR="00823594" w:rsidRPr="00841586" w14:paraId="336A089B" w14:textId="77777777" w:rsidTr="00D532C4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77C1422" w14:textId="09B223B5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Zacatecas, Zac.</w:t>
            </w:r>
          </w:p>
        </w:tc>
        <w:tc>
          <w:tcPr>
            <w:tcW w:w="128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E1D59B6" w14:textId="20294462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81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7074A2C" w14:textId="77777777" w:rsidR="00823594" w:rsidRPr="00B21A5C" w:rsidRDefault="00823594" w:rsidP="00823594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DB55686" w14:textId="405D1030" w:rsidR="00823594" w:rsidRPr="00D532C4" w:rsidRDefault="00823594" w:rsidP="00823594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Cd. Acuña, Coah.</w:t>
            </w:r>
          </w:p>
        </w:tc>
        <w:tc>
          <w:tcPr>
            <w:tcW w:w="1286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0C512AB" w14:textId="188FA838" w:rsidR="00823594" w:rsidRPr="00D532C4" w:rsidRDefault="00823594" w:rsidP="00823594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43AA0">
              <w:rPr>
                <w:color w:val="000000"/>
                <w:sz w:val="16"/>
                <w:szCs w:val="16"/>
              </w:rPr>
              <w:t>0.18</w:t>
            </w:r>
          </w:p>
        </w:tc>
      </w:tr>
    </w:tbl>
    <w:p w14:paraId="4817F347" w14:textId="189C5E57" w:rsidR="00236AC0" w:rsidRPr="00DF5257" w:rsidRDefault="00236AC0" w:rsidP="00DF5257">
      <w:pPr>
        <w:autoSpaceDE w:val="0"/>
        <w:autoSpaceDN w:val="0"/>
        <w:adjustRightInd w:val="0"/>
        <w:ind w:left="993" w:right="357" w:hanging="631"/>
        <w:rPr>
          <w:rStyle w:val="Hipervnculo"/>
          <w:color w:val="auto"/>
          <w:sz w:val="16"/>
          <w:szCs w:val="16"/>
          <w:u w:val="none"/>
        </w:rPr>
      </w:pPr>
      <w:r w:rsidRPr="00DF5257">
        <w:rPr>
          <w:rStyle w:val="Hipervnculo"/>
          <w:color w:val="auto"/>
          <w:sz w:val="16"/>
          <w:szCs w:val="16"/>
          <w:u w:val="none"/>
        </w:rPr>
        <w:t>*</w:t>
      </w:r>
      <w:r w:rsidRPr="00DF5257">
        <w:rPr>
          <w:rStyle w:val="Hipervnculo"/>
          <w:color w:val="auto"/>
          <w:sz w:val="16"/>
          <w:szCs w:val="16"/>
          <w:u w:val="none"/>
        </w:rPr>
        <w:tab/>
        <w:t>Las desagregaciones del INPC s</w:t>
      </w:r>
      <w:r w:rsidR="00491FF1" w:rsidRPr="00DF5257">
        <w:rPr>
          <w:rStyle w:val="Hipervnculo"/>
          <w:color w:val="auto"/>
          <w:sz w:val="16"/>
          <w:szCs w:val="16"/>
          <w:u w:val="none"/>
        </w:rPr>
        <w:t>o</w:t>
      </w:r>
      <w:r w:rsidRPr="00DF5257">
        <w:rPr>
          <w:rStyle w:val="Hipervnculo"/>
          <w:color w:val="auto"/>
          <w:sz w:val="16"/>
          <w:szCs w:val="16"/>
          <w:u w:val="none"/>
        </w:rPr>
        <w:t>lo tienen valor informativo.</w:t>
      </w:r>
    </w:p>
    <w:p w14:paraId="53459E01" w14:textId="73C11A53" w:rsidR="006D6D76" w:rsidRPr="00DF5257" w:rsidRDefault="006D6D76" w:rsidP="00F80D74">
      <w:pPr>
        <w:autoSpaceDE w:val="0"/>
        <w:autoSpaceDN w:val="0"/>
        <w:adjustRightInd w:val="0"/>
        <w:ind w:left="602" w:right="357" w:hanging="240"/>
        <w:rPr>
          <w:b/>
          <w:caps/>
          <w:sz w:val="16"/>
          <w:szCs w:val="16"/>
        </w:rPr>
      </w:pPr>
      <w:r w:rsidRPr="00DF5257">
        <w:rPr>
          <w:sz w:val="16"/>
          <w:szCs w:val="16"/>
        </w:rPr>
        <w:t>Fuente:</w:t>
      </w:r>
      <w:r w:rsidR="00DF5257" w:rsidRPr="00DF5257">
        <w:rPr>
          <w:sz w:val="16"/>
          <w:szCs w:val="16"/>
        </w:rPr>
        <w:t xml:space="preserve"> </w:t>
      </w:r>
      <w:r w:rsidRPr="00DF5257">
        <w:rPr>
          <w:sz w:val="16"/>
          <w:szCs w:val="16"/>
        </w:rPr>
        <w:t xml:space="preserve"> INEGI</w:t>
      </w:r>
    </w:p>
    <w:p w14:paraId="59DCC681" w14:textId="23E4888C" w:rsidR="00236AC0" w:rsidRDefault="00C94446" w:rsidP="000809B5">
      <w:pPr>
        <w:widowControl w:val="0"/>
        <w:autoSpaceDE w:val="0"/>
        <w:autoSpaceDN w:val="0"/>
        <w:adjustRightInd w:val="0"/>
        <w:spacing w:before="240"/>
      </w:pPr>
      <w:r w:rsidRPr="005D3641">
        <w:t>A continuación</w:t>
      </w:r>
      <w:r w:rsidR="00A408E6">
        <w:t xml:space="preserve">, </w:t>
      </w:r>
      <w:r w:rsidRPr="005D3641">
        <w:t>se muestra</w:t>
      </w:r>
      <w:r>
        <w:t xml:space="preserve"> el comportamiento de los subíndices que integran el </w:t>
      </w:r>
      <w:r w:rsidRPr="005D3641">
        <w:t>INPC</w:t>
      </w:r>
      <w:r>
        <w:t xml:space="preserve">, </w:t>
      </w:r>
      <w:r w:rsidR="00A408E6">
        <w:t>para la primera quincena de</w:t>
      </w:r>
      <w:r w:rsidR="00925C18">
        <w:t xml:space="preserve"> </w:t>
      </w:r>
      <w:r w:rsidR="00105E16">
        <w:t>agost</w:t>
      </w:r>
      <w:r w:rsidR="006B0D7E">
        <w:t>o</w:t>
      </w:r>
      <w:r w:rsidR="00A408E6">
        <w:t xml:space="preserve"> de 2023, </w:t>
      </w:r>
      <w:r>
        <w:t>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3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F9BFA34" w14:textId="77777777" w:rsidR="00EC01EA" w:rsidRPr="00212EC9" w:rsidRDefault="00236AC0" w:rsidP="009D385B">
      <w:pPr>
        <w:keepNext/>
        <w:keepLines/>
        <w:tabs>
          <w:tab w:val="left" w:pos="1220"/>
          <w:tab w:val="left" w:pos="7088"/>
        </w:tabs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212EC9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212EC9">
        <w:rPr>
          <w:smallCaps/>
          <w:sz w:val="20"/>
          <w:szCs w:val="20"/>
        </w:rPr>
        <w:t xml:space="preserve"> </w:t>
      </w:r>
    </w:p>
    <w:p w14:paraId="4FB2080F" w14:textId="5DD183D4" w:rsidR="00EC01EA" w:rsidRPr="00E671DE" w:rsidRDefault="009555FD" w:rsidP="00EC01EA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EC01EA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662"/>
        <w:gridCol w:w="1688"/>
        <w:gridCol w:w="1688"/>
        <w:gridCol w:w="112"/>
      </w:tblGrid>
      <w:tr w:rsidR="00725F4D" w:rsidRPr="00A9663B" w14:paraId="70816A5E" w14:textId="172D12ED" w:rsidTr="00D532C4">
        <w:trPr>
          <w:trHeight w:val="283"/>
          <w:jc w:val="center"/>
        </w:trPr>
        <w:tc>
          <w:tcPr>
            <w:tcW w:w="4207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9CDF38A" w14:textId="77777777" w:rsidR="00725F4D" w:rsidRPr="00443E47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5038" w:type="dxa"/>
            <w:gridSpan w:val="3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D04E992" w14:textId="7FCDFE29" w:rsidR="00725F4D" w:rsidRPr="00443E47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Primera quincena de</w:t>
            </w:r>
            <w:r w:rsidR="00302DA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FC3E9C">
              <w:rPr>
                <w:b/>
                <w:bCs/>
                <w:color w:val="000000"/>
                <w:sz w:val="16"/>
                <w:szCs w:val="16"/>
                <w:lang w:eastAsia="es-MX"/>
              </w:rPr>
              <w:t>agost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con relación a:</w:t>
            </w:r>
          </w:p>
        </w:tc>
        <w:tc>
          <w:tcPr>
            <w:tcW w:w="112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373BC266" w14:textId="77777777" w:rsidR="00725F4D" w:rsidRPr="000A05F3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25F4D" w:rsidRPr="00A9663B" w14:paraId="75587284" w14:textId="0A9D94A8" w:rsidTr="00D532C4">
        <w:trPr>
          <w:trHeight w:val="454"/>
          <w:jc w:val="center"/>
        </w:trPr>
        <w:tc>
          <w:tcPr>
            <w:tcW w:w="4207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FDA7A61" w14:textId="77777777" w:rsidR="00725F4D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B95BA2C" w14:textId="2B0C6898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s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egunda quincena</w:t>
            </w:r>
            <w:r w:rsidR="009F23E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F23E3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FD70C7">
              <w:rPr>
                <w:b/>
                <w:bCs/>
                <w:color w:val="000000"/>
                <w:sz w:val="16"/>
                <w:szCs w:val="16"/>
                <w:lang w:eastAsia="es-MX"/>
              </w:rPr>
              <w:t>ju</w:t>
            </w:r>
            <w:r w:rsidR="00FC3E9C">
              <w:rPr>
                <w:b/>
                <w:bCs/>
                <w:color w:val="000000"/>
                <w:sz w:val="16"/>
                <w:szCs w:val="16"/>
                <w:lang w:eastAsia="es-MX"/>
              </w:rPr>
              <w:t>l</w:t>
            </w:r>
            <w:r w:rsidR="00FD70C7">
              <w:rPr>
                <w:b/>
                <w:bCs/>
                <w:color w:val="000000"/>
                <w:sz w:val="16"/>
                <w:szCs w:val="16"/>
                <w:lang w:eastAsia="es-MX"/>
              </w:rPr>
              <w:t>io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8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A140924" w14:textId="272D3DD2" w:rsidR="00725F4D" w:rsidRDefault="00725F4D" w:rsidP="009F23E3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rimera quincena de </w:t>
            </w:r>
            <w:r w:rsidR="00FD70C7">
              <w:rPr>
                <w:b/>
                <w:bCs/>
                <w:color w:val="000000"/>
                <w:sz w:val="16"/>
                <w:szCs w:val="16"/>
                <w:lang w:eastAsia="es-MX"/>
              </w:rPr>
              <w:t>ju</w:t>
            </w:r>
            <w:r w:rsidR="00FC3E9C">
              <w:rPr>
                <w:b/>
                <w:bCs/>
                <w:color w:val="000000"/>
                <w:sz w:val="16"/>
                <w:szCs w:val="16"/>
                <w:lang w:eastAsia="es-MX"/>
              </w:rPr>
              <w:t>l</w:t>
            </w:r>
            <w:r w:rsidR="00FD70C7"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="00302DA3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88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DAF9E4B" w14:textId="3C3A96BD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rimera quincena</w:t>
            </w:r>
            <w:r w:rsidR="009F23E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F23E3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FC3E9C">
              <w:rPr>
                <w:b/>
                <w:bCs/>
                <w:color w:val="000000"/>
                <w:sz w:val="16"/>
                <w:szCs w:val="16"/>
                <w:lang w:eastAsia="es-MX"/>
              </w:rPr>
              <w:t>agost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A5C9D16" w14:textId="77777777" w:rsidR="00725F4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3837F6" w:rsidRPr="006B0239" w14:paraId="3A1160C4" w14:textId="2E034DB4" w:rsidTr="00D532C4">
        <w:trPr>
          <w:trHeight w:val="255"/>
          <w:jc w:val="center"/>
        </w:trPr>
        <w:tc>
          <w:tcPr>
            <w:tcW w:w="4207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2E38E6" w14:textId="77777777" w:rsidR="003837F6" w:rsidRPr="00897677" w:rsidRDefault="003837F6" w:rsidP="003837F6">
            <w:pPr>
              <w:ind w:left="57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1662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149AEA3" w14:textId="1FD07501" w:rsidR="003837F6" w:rsidRPr="00005EB0" w:rsidRDefault="003837F6" w:rsidP="003837F6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37F6">
              <w:rPr>
                <w:b/>
                <w:bC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688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BD9050" w14:textId="0440AC71" w:rsidR="003837F6" w:rsidRPr="00005EB0" w:rsidRDefault="003837F6" w:rsidP="003837F6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6AA4">
              <w:rPr>
                <w:b/>
                <w:bCs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68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561286" w14:textId="4526ED8B" w:rsidR="003837F6" w:rsidRPr="00005EB0" w:rsidRDefault="003837F6" w:rsidP="003837F6">
            <w:pPr>
              <w:ind w:right="68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6AA4">
              <w:rPr>
                <w:b/>
                <w:bCs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12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4FC8BDC5" w14:textId="77777777" w:rsidR="003837F6" w:rsidRPr="00013B49" w:rsidRDefault="003837F6" w:rsidP="003837F6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837F6" w:rsidRPr="00841586" w14:paraId="7CCF5ACA" w14:textId="6324FE10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BA20FC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903EF6" w14:textId="0345D9D7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CC2DEC" w14:textId="4FECD459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0A864F" w14:textId="1BF3DBB6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D33A14D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5A96C170" w14:textId="60BFD99E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DAEC46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A6FAB2" w14:textId="318DACD8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EC3A29" w14:textId="475AA5AD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7FF2EA" w14:textId="4669EEF0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6.52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B0C69A6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0456AD23" w14:textId="663DEAAE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87DBFF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0FBE92" w14:textId="043955F2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0EC753" w14:textId="4A3EAE63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017E49" w14:textId="75848EA0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4.82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0610C32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0E105D9F" w14:textId="561DC516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3CB983" w14:textId="77777777" w:rsidR="003837F6" w:rsidRPr="00897677" w:rsidRDefault="003837F6" w:rsidP="003837F6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A586FF" w14:textId="4FF84A23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38A527" w14:textId="048E664E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248BB4" w14:textId="63376ED1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F1EBEA0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3AAD2368" w14:textId="6983CD99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E45F73" w14:textId="77777777" w:rsidR="003837F6" w:rsidRPr="00897677" w:rsidRDefault="003837F6" w:rsidP="003837F6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2E8B94" w14:textId="714B8F10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AD8D92" w14:textId="6E8F5FA6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1D0DF5" w14:textId="1B147ACF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0735FBF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65E7DEF8" w14:textId="652CCAD9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34177D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75CD8F" w14:textId="24377395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5BB4CD" w14:textId="629D510E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33EBBF" w14:textId="2C1D7344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6.53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26EC3F9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1D294048" w14:textId="6E60DDED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61AF1B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875E93" w14:textId="5891085F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D43F6FC" w14:textId="0B111E09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66E343" w14:textId="3AB3A5C9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52ECF54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5B77532D" w14:textId="3FD4883B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93D3CF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319B3F" w14:textId="121E64C7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1D7AB4" w14:textId="2BE390CE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F93BC9" w14:textId="5991DD5A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-3.81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77B1A8C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20748980" w14:textId="28B641E8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ED84B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37C5AC9" w14:textId="11ABCDFB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B3AAEF" w14:textId="4639B902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BB16B77" w14:textId="27E538D6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30B1AF9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6379A23F" w14:textId="0C16BD6B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C21A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E227AC" w14:textId="1CAFB3E6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18F596" w14:textId="77AADF33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9237F5" w14:textId="7C489FA5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5.36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F6D6831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3916DFBD" w14:textId="03431418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52289F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ED3E85" w14:textId="468D647E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84373A" w14:textId="6623B6AB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478DC7" w14:textId="0924978D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F668C99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3837F6" w:rsidRPr="00841586" w14:paraId="0A2C3C39" w14:textId="5C2CA60B" w:rsidTr="00D532C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D922456" w14:textId="77777777" w:rsidR="003837F6" w:rsidRPr="00897677" w:rsidRDefault="003837F6" w:rsidP="003837F6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1662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A88C671" w14:textId="0D05E593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31B6AA" w14:textId="53FA4765" w:rsidR="003837F6" w:rsidRPr="00BC6AA4" w:rsidRDefault="003837F6" w:rsidP="003837F6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68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A397AE2" w14:textId="49E2C69D" w:rsidR="003837F6" w:rsidRPr="00BC6AA4" w:rsidRDefault="003837F6" w:rsidP="003837F6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BC6AA4">
              <w:rPr>
                <w:color w:val="000000"/>
                <w:sz w:val="16"/>
                <w:szCs w:val="16"/>
              </w:rPr>
              <w:t>8.71</w:t>
            </w:r>
          </w:p>
        </w:tc>
        <w:tc>
          <w:tcPr>
            <w:tcW w:w="112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7EAEA62" w14:textId="77777777" w:rsidR="003837F6" w:rsidRPr="00013B49" w:rsidRDefault="003837F6" w:rsidP="003837F6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CA4B303" w14:textId="77777777" w:rsidR="00EC01EA" w:rsidRPr="00DF5257" w:rsidRDefault="00236AC0" w:rsidP="00DF525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DF5257">
        <w:rPr>
          <w:sz w:val="16"/>
          <w:szCs w:val="16"/>
          <w:vertAlign w:val="superscript"/>
        </w:rPr>
        <w:t>1/</w:t>
      </w:r>
      <w:r w:rsidRPr="00DF5257">
        <w:rPr>
          <w:sz w:val="16"/>
          <w:szCs w:val="16"/>
          <w:vertAlign w:val="superscript"/>
        </w:rPr>
        <w:tab/>
      </w:r>
      <w:r w:rsidRPr="00DF5257">
        <w:rPr>
          <w:sz w:val="16"/>
          <w:szCs w:val="16"/>
        </w:rPr>
        <w:t>Incluye productos y servicios de cuidado personal, relojes, maletas, seguro de automóvil, servicios funerarios y profesionales, entre otros.</w:t>
      </w:r>
    </w:p>
    <w:p w14:paraId="598969DC" w14:textId="2B01E238" w:rsidR="006D6D76" w:rsidRPr="00DF5257" w:rsidRDefault="006D6D76" w:rsidP="00F80D74">
      <w:pPr>
        <w:autoSpaceDE w:val="0"/>
        <w:autoSpaceDN w:val="0"/>
        <w:adjustRightInd w:val="0"/>
        <w:ind w:left="602" w:right="357" w:hanging="240"/>
        <w:rPr>
          <w:sz w:val="16"/>
          <w:szCs w:val="16"/>
        </w:rPr>
      </w:pPr>
      <w:r w:rsidRPr="00DF5257">
        <w:rPr>
          <w:sz w:val="16"/>
          <w:szCs w:val="16"/>
        </w:rPr>
        <w:t>Fuente:</w:t>
      </w:r>
      <w:r w:rsidR="00DF5257">
        <w:rPr>
          <w:sz w:val="16"/>
          <w:szCs w:val="16"/>
        </w:rPr>
        <w:t xml:space="preserve"> </w:t>
      </w:r>
      <w:r w:rsidRPr="00DF5257">
        <w:rPr>
          <w:sz w:val="16"/>
          <w:szCs w:val="16"/>
        </w:rPr>
        <w:t xml:space="preserve"> INEGI</w:t>
      </w:r>
    </w:p>
    <w:p w14:paraId="71422FC5" w14:textId="1632A229" w:rsidR="006D6D76" w:rsidRDefault="00C94446" w:rsidP="004A0036">
      <w:pPr>
        <w:keepNext/>
        <w:keepLines/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Por último, </w:t>
      </w:r>
      <w:r w:rsidR="003F603A" w:rsidRPr="00852BA9">
        <w:rPr>
          <w:color w:val="000000" w:themeColor="text1"/>
        </w:rPr>
        <w:t>en la primera quincena de agosto de 2023</w:t>
      </w:r>
      <w:r w:rsidR="003F603A">
        <w:rPr>
          <w:color w:val="000000" w:themeColor="text1"/>
        </w:rPr>
        <w:t xml:space="preserve">, </w:t>
      </w:r>
      <w:r>
        <w:rPr>
          <w:color w:val="000000" w:themeColor="text1"/>
        </w:rPr>
        <w:t>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="00C21336">
        <w:rPr>
          <w:color w:val="000000" w:themeColor="text1"/>
        </w:rPr>
        <w:t xml:space="preserve"> (IPCCM)</w:t>
      </w:r>
      <w:r w:rsidRPr="00A60146">
        <w:rPr>
          <w:rStyle w:val="Refdenotaalpie"/>
        </w:rPr>
        <w:footnoteReference w:id="4"/>
      </w:r>
      <w:r w:rsidRPr="00AF5DD6">
        <w:rPr>
          <w:color w:val="000000" w:themeColor="text1"/>
        </w:rPr>
        <w:t xml:space="preserve"> </w:t>
      </w:r>
      <w:r w:rsidR="00D532C4">
        <w:rPr>
          <w:color w:val="000000" w:themeColor="text1"/>
        </w:rPr>
        <w:t>a</w:t>
      </w:r>
      <w:r w:rsidR="00DB6586">
        <w:rPr>
          <w:color w:val="000000" w:themeColor="text1"/>
        </w:rPr>
        <w:t>ument</w:t>
      </w:r>
      <w:r w:rsidR="00D532C4">
        <w:rPr>
          <w:color w:val="000000" w:themeColor="text1"/>
        </w:rPr>
        <w:t>ó 0.</w:t>
      </w:r>
      <w:r w:rsidR="00105E16">
        <w:rPr>
          <w:color w:val="000000" w:themeColor="text1"/>
        </w:rPr>
        <w:t>46</w:t>
      </w:r>
      <w:r w:rsidR="007C3637">
        <w:rPr>
          <w:color w:val="000000" w:themeColor="text1"/>
        </w:rPr>
        <w:t> %</w:t>
      </w:r>
      <w:r w:rsidR="00D532C4">
        <w:rPr>
          <w:color w:val="000000" w:themeColor="text1"/>
        </w:rPr>
        <w:t xml:space="preserve"> quincenal y 4.</w:t>
      </w:r>
      <w:r w:rsidR="00105E16">
        <w:rPr>
          <w:color w:val="000000" w:themeColor="text1"/>
        </w:rPr>
        <w:t>17</w:t>
      </w:r>
      <w:r w:rsidR="007C3637">
        <w:rPr>
          <w:color w:val="000000" w:themeColor="text1"/>
        </w:rPr>
        <w:t> %</w:t>
      </w:r>
      <w:r w:rsidR="00D532C4">
        <w:rPr>
          <w:color w:val="000000" w:themeColor="text1"/>
        </w:rPr>
        <w:t xml:space="preserve"> a tasa anual.</w:t>
      </w:r>
      <w:r w:rsidR="00FC01A4">
        <w:rPr>
          <w:color w:val="000000" w:themeColor="text1"/>
        </w:rPr>
        <w:t xml:space="preserve"> E</w:t>
      </w:r>
      <w:r w:rsidR="00FC01A4" w:rsidRPr="00AF5DD6">
        <w:rPr>
          <w:color w:val="000000" w:themeColor="text1"/>
        </w:rPr>
        <w:t xml:space="preserve">n </w:t>
      </w:r>
      <w:r w:rsidR="003F603A">
        <w:rPr>
          <w:color w:val="000000" w:themeColor="text1"/>
        </w:rPr>
        <w:t xml:space="preserve">el mismo periodo </w:t>
      </w:r>
      <w:r w:rsidR="00FC01A4" w:rsidRPr="00AF5DD6">
        <w:rPr>
          <w:color w:val="000000" w:themeColor="text1"/>
        </w:rPr>
        <w:t>de 20</w:t>
      </w:r>
      <w:r w:rsidR="00FC01A4">
        <w:rPr>
          <w:color w:val="000000" w:themeColor="text1"/>
        </w:rPr>
        <w:t>22,</w:t>
      </w:r>
      <w:r w:rsidR="00FC01A4" w:rsidRPr="00AF5DD6">
        <w:rPr>
          <w:color w:val="000000" w:themeColor="text1"/>
        </w:rPr>
        <w:t xml:space="preserve"> </w:t>
      </w:r>
      <w:r w:rsidR="0049527B">
        <w:rPr>
          <w:color w:val="000000" w:themeColor="text1"/>
        </w:rPr>
        <w:t>creci</w:t>
      </w:r>
      <w:r w:rsidR="00DD206A">
        <w:rPr>
          <w:color w:val="000000" w:themeColor="text1"/>
        </w:rPr>
        <w:t xml:space="preserve">ó </w:t>
      </w:r>
      <w:r w:rsidR="00D532C4">
        <w:rPr>
          <w:color w:val="000000" w:themeColor="text1"/>
        </w:rPr>
        <w:t>0.</w:t>
      </w:r>
      <w:r w:rsidR="00CB0E18">
        <w:rPr>
          <w:color w:val="000000" w:themeColor="text1"/>
        </w:rPr>
        <w:t>61</w:t>
      </w:r>
      <w:r w:rsidR="00D532C4" w:rsidRPr="00AF5DD6">
        <w:rPr>
          <w:color w:val="000000" w:themeColor="text1"/>
        </w:rPr>
        <w:t xml:space="preserve"> y</w:t>
      </w:r>
      <w:r w:rsidR="00D532C4">
        <w:rPr>
          <w:color w:val="000000" w:themeColor="text1"/>
        </w:rPr>
        <w:t xml:space="preserve"> </w:t>
      </w:r>
      <w:r w:rsidR="00CB0E18">
        <w:rPr>
          <w:color w:val="000000" w:themeColor="text1"/>
        </w:rPr>
        <w:t>9.4</w:t>
      </w:r>
      <w:r w:rsidR="00D532C4">
        <w:rPr>
          <w:color w:val="000000" w:themeColor="text1"/>
        </w:rPr>
        <w:t>8</w:t>
      </w:r>
      <w:r w:rsidR="007C3637">
        <w:rPr>
          <w:color w:val="000000" w:themeColor="text1"/>
        </w:rPr>
        <w:t> %</w:t>
      </w:r>
      <w:r w:rsidR="00925C18">
        <w:rPr>
          <w:color w:val="000000" w:themeColor="text1"/>
        </w:rPr>
        <w:t xml:space="preserve">, </w:t>
      </w:r>
      <w:r w:rsidR="00A0268F">
        <w:rPr>
          <w:color w:val="000000" w:themeColor="text1"/>
        </w:rPr>
        <w:t>respectivamente</w:t>
      </w:r>
      <w:r w:rsidR="000A6416">
        <w:rPr>
          <w:color w:val="000000" w:themeColor="text1"/>
        </w:rPr>
        <w:t>.</w:t>
      </w:r>
    </w:p>
    <w:p w14:paraId="132F8F42" w14:textId="18D5B8B8" w:rsidR="006A3411" w:rsidRPr="00DF2A8C" w:rsidRDefault="006A3411" w:rsidP="001D4816">
      <w:pPr>
        <w:widowControl w:val="0"/>
        <w:autoSpaceDE w:val="0"/>
        <w:autoSpaceDN w:val="0"/>
        <w:adjustRightInd w:val="0"/>
        <w:spacing w:before="480"/>
        <w:rPr>
          <w:iCs/>
          <w:smallCaps/>
          <w:lang w:val="es-MX"/>
        </w:rPr>
      </w:pPr>
      <w:r w:rsidRPr="00DF2A8C">
        <w:rPr>
          <w:b/>
          <w:iCs/>
          <w:smallCaps/>
        </w:rPr>
        <w:t xml:space="preserve">Nota metodológica </w:t>
      </w:r>
    </w:p>
    <w:p w14:paraId="22977FAA" w14:textId="298906A8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</w:t>
      </w:r>
      <w:r w:rsidR="009555FD">
        <w:rPr>
          <w:lang w:val="es-MX"/>
        </w:rPr>
        <w:t>la</w:t>
      </w:r>
      <w:r w:rsidRPr="00A16DEB">
        <w:rPr>
          <w:lang w:val="es-MX"/>
        </w:rPr>
        <w:t xml:space="preserve"> inflación.</w:t>
      </w:r>
    </w:p>
    <w:p w14:paraId="29096870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4043952B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7868C8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0FDCA976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A62958">
        <w:rPr>
          <w:sz w:val="24"/>
          <w:szCs w:val="24"/>
          <w:lang w:val="es-MX"/>
        </w:rPr>
        <w:t xml:space="preserve">lo anterior,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 xml:space="preserve">corresponden a los sectores agrícola, ganadero, industrial y de servicios. </w:t>
      </w:r>
      <w:r w:rsidRPr="007868C8">
        <w:rPr>
          <w:spacing w:val="-2"/>
          <w:sz w:val="24"/>
          <w:szCs w:val="24"/>
          <w:lang w:val="es-MX"/>
        </w:rPr>
        <w:t>La canasta del INPC</w:t>
      </w:r>
      <w:r w:rsidR="00675533" w:rsidRPr="007868C8">
        <w:rPr>
          <w:spacing w:val="-2"/>
          <w:sz w:val="24"/>
          <w:szCs w:val="24"/>
          <w:lang w:val="es-MX"/>
        </w:rPr>
        <w:t>,</w:t>
      </w:r>
      <w:r w:rsidRPr="007868C8">
        <w:rPr>
          <w:spacing w:val="-2"/>
          <w:sz w:val="24"/>
          <w:szCs w:val="24"/>
          <w:lang w:val="es-MX"/>
        </w:rPr>
        <w:t xml:space="preserve"> con base en 2018</w:t>
      </w:r>
      <w:r w:rsidR="00675533" w:rsidRPr="007868C8">
        <w:rPr>
          <w:spacing w:val="-2"/>
          <w:sz w:val="24"/>
          <w:szCs w:val="24"/>
          <w:lang w:val="es-MX"/>
        </w:rPr>
        <w:t>,</w:t>
      </w:r>
      <w:r w:rsidRPr="007868C8">
        <w:rPr>
          <w:spacing w:val="-2"/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6DCF4B5F" w:rsidR="006A3411" w:rsidRPr="00A16DEB" w:rsidRDefault="4A924ED7" w:rsidP="3CE3BA19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</w:rPr>
      </w:pPr>
      <w:r w:rsidRPr="3CE3BA19">
        <w:rPr>
          <w:color w:val="000000" w:themeColor="text1"/>
          <w:sz w:val="24"/>
          <w:szCs w:val="24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1F7A22FA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1FABAA86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CA53C6D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377C86A2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3CE3BA19">
        <w:rPr>
          <w:color w:val="000000" w:themeColor="text1"/>
          <w:sz w:val="24"/>
          <w:szCs w:val="24"/>
        </w:rPr>
        <w:t>La estructura de las ponderaciones se construyó con información de la</w:t>
      </w:r>
      <w:r w:rsidR="68F51F73" w:rsidRPr="3CE3BA19">
        <w:rPr>
          <w:color w:val="000000" w:themeColor="text1"/>
          <w:sz w:val="24"/>
          <w:szCs w:val="24"/>
        </w:rPr>
        <w:t>s</w:t>
      </w:r>
      <w:r w:rsidRPr="3CE3BA19">
        <w:rPr>
          <w:color w:val="000000" w:themeColor="text1"/>
          <w:sz w:val="24"/>
          <w:szCs w:val="24"/>
        </w:rPr>
        <w:t xml:space="preserve"> Engasto 2012 y 2013 y</w:t>
      </w:r>
      <w:r w:rsidR="7DA0FAB3" w:rsidRPr="3CE3BA19">
        <w:rPr>
          <w:color w:val="000000" w:themeColor="text1"/>
          <w:sz w:val="24"/>
          <w:szCs w:val="24"/>
        </w:rPr>
        <w:t xml:space="preserve"> de</w:t>
      </w:r>
      <w:r w:rsidRPr="3CE3BA19">
        <w:rPr>
          <w:color w:val="000000" w:themeColor="text1"/>
          <w:sz w:val="24"/>
          <w:szCs w:val="24"/>
        </w:rPr>
        <w:t xml:space="preserve"> la </w:t>
      </w:r>
      <w:r w:rsidR="1FABAA86" w:rsidRPr="3CE3BA19">
        <w:rPr>
          <w:color w:val="000000" w:themeColor="text1"/>
          <w:sz w:val="24"/>
          <w:szCs w:val="24"/>
        </w:rPr>
        <w:t>Encuesta Nacional de Ingresos y Gastos de los Hogares (</w:t>
      </w:r>
      <w:bookmarkStart w:id="1" w:name="_Int_3kBhIoMp"/>
      <w:r w:rsidRPr="3CE3BA19">
        <w:rPr>
          <w:color w:val="000000" w:themeColor="text1"/>
          <w:sz w:val="24"/>
          <w:szCs w:val="24"/>
        </w:rPr>
        <w:t>ENIGH</w:t>
      </w:r>
      <w:bookmarkEnd w:id="1"/>
      <w:r w:rsidR="1FABAA86" w:rsidRPr="3CE3BA19">
        <w:rPr>
          <w:color w:val="000000" w:themeColor="text1"/>
          <w:sz w:val="24"/>
          <w:szCs w:val="24"/>
        </w:rPr>
        <w:t>)</w:t>
      </w:r>
      <w:r w:rsidRPr="3CE3BA19">
        <w:rPr>
          <w:color w:val="000000" w:themeColor="text1"/>
          <w:sz w:val="24"/>
          <w:szCs w:val="24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2D5DB2CF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</w:t>
      </w:r>
      <w:r w:rsidR="00E66DCD">
        <w:rPr>
          <w:color w:val="000000"/>
          <w:sz w:val="24"/>
          <w:szCs w:val="24"/>
        </w:rPr>
        <w:t xml:space="preserve"> las y</w:t>
      </w:r>
      <w:r w:rsidRPr="00A16DEB">
        <w:rPr>
          <w:color w:val="000000"/>
          <w:sz w:val="24"/>
          <w:szCs w:val="24"/>
        </w:rPr>
        <w:t xml:space="preserve">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</w:t>
      </w:r>
      <w:r w:rsidR="009555FD">
        <w:rPr>
          <w:color w:val="000000"/>
          <w:sz w:val="24"/>
          <w:szCs w:val="24"/>
        </w:rPr>
        <w:t xml:space="preserve">, que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</w:t>
      </w:r>
      <w:r w:rsidR="009555FD">
        <w:rPr>
          <w:sz w:val="24"/>
          <w:szCs w:val="24"/>
          <w:lang w:val="es-ES_tradnl"/>
        </w:rPr>
        <w:t>o</w:t>
      </w:r>
      <w:r w:rsidR="006943E4">
        <w:rPr>
          <w:sz w:val="24"/>
          <w:szCs w:val="24"/>
          <w:lang w:val="es-ES_tradnl"/>
        </w:rPr>
        <w:t xml:space="preserve">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</w:t>
      </w:r>
      <w:r w:rsidR="00CB085F">
        <w:rPr>
          <w:color w:val="000000" w:themeColor="text1"/>
          <w:sz w:val="24"/>
          <w:szCs w:val="24"/>
        </w:rPr>
        <w:t>los que</w:t>
      </w:r>
      <w:r w:rsidR="00CB085F" w:rsidRPr="6E14A78B">
        <w:rPr>
          <w:color w:val="000000" w:themeColor="text1"/>
          <w:sz w:val="24"/>
          <w:szCs w:val="24"/>
        </w:rPr>
        <w:t xml:space="preserve"> sol</w:t>
      </w:r>
      <w:r w:rsidR="00CB085F">
        <w:rPr>
          <w:color w:val="000000" w:themeColor="text1"/>
          <w:sz w:val="24"/>
          <w:szCs w:val="24"/>
        </w:rPr>
        <w:t>o cuentan con</w:t>
      </w:r>
      <w:r w:rsidR="00CB085F" w:rsidRPr="6E14A78B">
        <w:rPr>
          <w:color w:val="000000" w:themeColor="text1"/>
          <w:sz w:val="24"/>
          <w:szCs w:val="24"/>
        </w:rPr>
        <w:t xml:space="preserve"> uno o pocos oferentes, o bien</w:t>
      </w:r>
      <w:r w:rsidR="00CB085F">
        <w:rPr>
          <w:color w:val="000000" w:themeColor="text1"/>
          <w:sz w:val="24"/>
          <w:szCs w:val="24"/>
        </w:rPr>
        <w:t>,</w:t>
      </w:r>
      <w:r w:rsidR="00CB085F" w:rsidRPr="6E14A78B">
        <w:rPr>
          <w:color w:val="000000" w:themeColor="text1"/>
          <w:sz w:val="24"/>
          <w:szCs w:val="24"/>
        </w:rPr>
        <w:t xml:space="preserve"> </w:t>
      </w:r>
      <w:r w:rsidR="00CB085F">
        <w:rPr>
          <w:color w:val="000000" w:themeColor="text1"/>
          <w:sz w:val="24"/>
          <w:szCs w:val="24"/>
        </w:rPr>
        <w:t xml:space="preserve">aquellos para los que </w:t>
      </w:r>
      <w:r w:rsidR="00CB085F" w:rsidRPr="6E14A78B">
        <w:rPr>
          <w:color w:val="000000" w:themeColor="text1"/>
          <w:sz w:val="24"/>
          <w:szCs w:val="24"/>
        </w:rPr>
        <w:t xml:space="preserve">no </w:t>
      </w:r>
      <w:r w:rsidR="00CB085F">
        <w:rPr>
          <w:color w:val="000000" w:themeColor="text1"/>
          <w:sz w:val="24"/>
          <w:szCs w:val="24"/>
        </w:rPr>
        <w:t>hay</w:t>
      </w:r>
      <w:r w:rsidR="00CB085F" w:rsidRPr="6E14A78B">
        <w:rPr>
          <w:color w:val="000000" w:themeColor="text1"/>
          <w:sz w:val="24"/>
          <w:szCs w:val="24"/>
        </w:rPr>
        <w:t xml:space="preserve"> un </w:t>
      </w:r>
      <w:r w:rsidRPr="00A16DEB">
        <w:rPr>
          <w:color w:val="000000"/>
          <w:sz w:val="24"/>
          <w:szCs w:val="24"/>
        </w:rPr>
        <w:t xml:space="preserve">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037C034E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</w:t>
      </w:r>
      <w:r w:rsidR="000C60C9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6DF8B44F" w14:textId="0AA4FFE1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E66DCD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1F144390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4A40C1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943D0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Cs/>
        </w:rPr>
      </w:pPr>
      <w:r w:rsidRPr="006943D0">
        <w:rPr>
          <w:b/>
          <w:iCs/>
        </w:rPr>
        <w:t>Herramientas de análisis</w:t>
      </w:r>
    </w:p>
    <w:p w14:paraId="021A61A3" w14:textId="501B672E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636E0F" w:rsidRDefault="00000000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28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303A07C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</w:t>
      </w:r>
      <w:r w:rsidR="00203C06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FA2D95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</w:t>
      </w:r>
      <w:proofErr w:type="gramStart"/>
      <w:r w:rsidRPr="00636E0F">
        <w:rPr>
          <w:sz w:val="24"/>
          <w:szCs w:val="24"/>
        </w:rPr>
        <w:t>los mismos</w:t>
      </w:r>
      <w:proofErr w:type="gramEnd"/>
      <w:r w:rsidRPr="00636E0F">
        <w:rPr>
          <w:sz w:val="24"/>
          <w:szCs w:val="24"/>
        </w:rPr>
        <w:t>.</w:t>
      </w:r>
    </w:p>
    <w:p w14:paraId="37BD9B03" w14:textId="1CDC17B0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="00DA037D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7FF09242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B27FBD1" w14:textId="44A74A86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0F2E36EB" w:rsidR="00636E0F" w:rsidRDefault="00636E0F" w:rsidP="007868C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29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DA037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DA037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2FFBEFA6" w14:textId="77777777" w:rsidR="007B1364" w:rsidRDefault="007B1364" w:rsidP="007868C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</w:p>
    <w:p w14:paraId="536AACF6" w14:textId="77777777" w:rsidR="00F161D9" w:rsidRPr="00472632" w:rsidRDefault="00F161D9" w:rsidP="007868C8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0"/>
    <w:p w14:paraId="3E7A414B" w14:textId="77777777" w:rsidR="006A3411" w:rsidRPr="00A71198" w:rsidRDefault="00EC1E5C" w:rsidP="007868C8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74936666">
            <wp:extent cx="3621600" cy="1688400"/>
            <wp:effectExtent l="0" t="0" r="0" b="7620"/>
            <wp:docPr id="3" name="Picture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6029B4">
      <w:headerReference w:type="default" r:id="rId30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7BA5" w14:textId="77777777" w:rsidR="009302C2" w:rsidRDefault="009302C2">
      <w:r>
        <w:separator/>
      </w:r>
    </w:p>
  </w:endnote>
  <w:endnote w:type="continuationSeparator" w:id="0">
    <w:p w14:paraId="652D9270" w14:textId="77777777" w:rsidR="009302C2" w:rsidRDefault="009302C2">
      <w:r>
        <w:continuationSeparator/>
      </w:r>
    </w:p>
  </w:endnote>
  <w:endnote w:type="continuationNotice" w:id="1">
    <w:p w14:paraId="63848F09" w14:textId="77777777" w:rsidR="009302C2" w:rsidRDefault="00930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6092" w14:textId="77777777" w:rsidR="003B5757" w:rsidRPr="0036443D" w:rsidRDefault="003B5757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36443D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7690" w14:textId="77777777" w:rsidR="009302C2" w:rsidRDefault="009302C2">
      <w:r>
        <w:separator/>
      </w:r>
    </w:p>
  </w:footnote>
  <w:footnote w:type="continuationSeparator" w:id="0">
    <w:p w14:paraId="29C973B8" w14:textId="77777777" w:rsidR="009302C2" w:rsidRDefault="009302C2">
      <w:r>
        <w:continuationSeparator/>
      </w:r>
    </w:p>
  </w:footnote>
  <w:footnote w:type="continuationNotice" w:id="1">
    <w:p w14:paraId="4C97CD46" w14:textId="77777777" w:rsidR="009302C2" w:rsidRDefault="009302C2"/>
  </w:footnote>
  <w:footnote w:id="2">
    <w:p w14:paraId="71000DCA" w14:textId="77777777" w:rsidR="00FC3E9C" w:rsidRPr="00852BA9" w:rsidRDefault="00FC3E9C" w:rsidP="00FC3E9C">
      <w:pPr>
        <w:pStyle w:val="Textonotapie"/>
        <w:ind w:left="170" w:hanging="170"/>
        <w:rPr>
          <w:sz w:val="16"/>
          <w:szCs w:val="16"/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1DD10FE8" w14:textId="77777777" w:rsidR="00C94446" w:rsidRPr="00CA39BA" w:rsidRDefault="00C94446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4">
    <w:p w14:paraId="7D0FBAB1" w14:textId="149F288B" w:rsidR="00C94446" w:rsidRPr="00BB3EB9" w:rsidRDefault="00C94446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 w:rsidR="00613BED"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 w:rsidR="00613BED"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  <w:r w:rsidR="0036443D">
        <w:rPr>
          <w:color w:val="auto"/>
          <w:sz w:val="16"/>
          <w:szCs w:val="16"/>
          <w:lang w:val="es-ES_tradnl" w:eastAsia="es-ES"/>
        </w:rPr>
        <w:t xml:space="preserve">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5F7A149B" w14:textId="2F68A1C5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F14895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8C33" w14:textId="77777777" w:rsidR="006029B4" w:rsidRPr="00AF4CA1" w:rsidRDefault="006029B4" w:rsidP="006029B4">
    <w:pPr>
      <w:pStyle w:val="Encabezado"/>
      <w:framePr w:w="5728" w:h="961" w:hRule="exact" w:hSpace="141" w:wrap="auto" w:vAnchor="text" w:hAnchor="page" w:x="5318" w:y="406"/>
      <w:ind w:right="45"/>
      <w:jc w:val="right"/>
      <w:rPr>
        <w:b/>
        <w:color w:val="002060"/>
      </w:rPr>
    </w:pPr>
    <w:r w:rsidRPr="00B2477D">
      <w:rPr>
        <w:b/>
        <w:color w:val="002060"/>
      </w:rPr>
      <w:t>C</w:t>
    </w:r>
    <w:r w:rsidRPr="00AF4CA1">
      <w:rPr>
        <w:b/>
        <w:color w:val="002060"/>
      </w:rPr>
      <w:t>OMUNICADO DE PRENSA NÚM</w:t>
    </w:r>
    <w:r>
      <w:rPr>
        <w:b/>
        <w:color w:val="002060"/>
      </w:rPr>
      <w:t>. 484</w:t>
    </w:r>
    <w:r w:rsidRPr="006D0683">
      <w:rPr>
        <w:b/>
        <w:color w:val="002060"/>
      </w:rPr>
      <w:t>/</w:t>
    </w:r>
    <w:r>
      <w:rPr>
        <w:b/>
        <w:color w:val="002060"/>
      </w:rPr>
      <w:t>23</w:t>
    </w:r>
  </w:p>
  <w:p w14:paraId="18E0642F" w14:textId="77777777" w:rsidR="006029B4" w:rsidRPr="00AF4CA1" w:rsidRDefault="006029B4" w:rsidP="006029B4">
    <w:pPr>
      <w:pStyle w:val="Encabezado"/>
      <w:framePr w:w="5728" w:h="961" w:hRule="exact" w:hSpace="141" w:wrap="auto" w:vAnchor="text" w:hAnchor="page" w:x="5318" w:y="406"/>
      <w:ind w:left="567" w:right="45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24 DE AGOSTO </w:t>
    </w:r>
    <w:r w:rsidRPr="00AF4CA1">
      <w:rPr>
        <w:b/>
        <w:color w:val="002060"/>
        <w:lang w:val="pt-BR"/>
      </w:rPr>
      <w:t>DE 20</w:t>
    </w:r>
    <w:r>
      <w:rPr>
        <w:b/>
        <w:color w:val="002060"/>
        <w:lang w:val="pt-BR"/>
      </w:rPr>
      <w:t>23</w:t>
    </w:r>
  </w:p>
  <w:p w14:paraId="737028E0" w14:textId="77777777" w:rsidR="006029B4" w:rsidRPr="006D50B5" w:rsidRDefault="006029B4" w:rsidP="006029B4">
    <w:pPr>
      <w:pStyle w:val="Encabezado"/>
      <w:framePr w:w="5728" w:h="961" w:hRule="exact" w:hSpace="141" w:wrap="auto" w:vAnchor="text" w:hAnchor="page" w:x="5318" w:y="406"/>
      <w:ind w:left="567" w:right="45" w:hanging="11"/>
      <w:jc w:val="right"/>
      <w:rPr>
        <w:b/>
        <w:color w:val="002060"/>
        <w:lang w:val="pt-BR"/>
      </w:rPr>
    </w:pPr>
    <w:r w:rsidRPr="00AF4CA1">
      <w:rPr>
        <w:b/>
        <w:color w:val="002060"/>
        <w:lang w:val="pt-BR"/>
      </w:rPr>
      <w:t xml:space="preserve">PÁGINA </w:t>
    </w:r>
    <w:r w:rsidRPr="00AF4CA1">
      <w:rPr>
        <w:b/>
        <w:color w:val="002060"/>
      </w:rPr>
      <w:fldChar w:fldCharType="begin"/>
    </w:r>
    <w:r w:rsidRPr="00AF4CA1">
      <w:rPr>
        <w:b/>
        <w:color w:val="002060"/>
        <w:lang w:val="pt-BR"/>
      </w:rPr>
      <w:instrText xml:space="preserve">\PAGE </w:instrText>
    </w:r>
    <w:r w:rsidRPr="00AF4CA1">
      <w:rPr>
        <w:color w:val="002060"/>
      </w:rPr>
      <w:fldChar w:fldCharType="separate"/>
    </w:r>
    <w:r>
      <w:rPr>
        <w:color w:val="002060"/>
      </w:rPr>
      <w:t>1</w:t>
    </w:r>
    <w:r w:rsidRPr="00AF4CA1">
      <w:rPr>
        <w:color w:val="002060"/>
      </w:rPr>
      <w:fldChar w:fldCharType="end"/>
    </w:r>
    <w:r w:rsidRPr="00AF4CA1">
      <w:rPr>
        <w:b/>
        <w:color w:val="002060"/>
        <w:lang w:val="pt-BR"/>
      </w:rPr>
      <w:t>/</w:t>
    </w:r>
    <w:r>
      <w:rPr>
        <w:b/>
        <w:color w:val="002060"/>
        <w:lang w:val="pt-BR"/>
      </w:rPr>
      <w:t>10</w:t>
    </w:r>
  </w:p>
  <w:p w14:paraId="23F0942D" w14:textId="059BCBD7" w:rsidR="00BC75C4" w:rsidRDefault="00B940B6" w:rsidP="003354CA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23B44513" wp14:editId="2B97C7B0">
          <wp:extent cx="828000" cy="828000"/>
          <wp:effectExtent l="0" t="0" r="0" b="0"/>
          <wp:docPr id="602816903" name="Imagen 602816903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3674" w14:textId="40C74FFA" w:rsidR="006029B4" w:rsidRDefault="006029B4" w:rsidP="003354CA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1239D1AA" wp14:editId="4F2D3236">
          <wp:extent cx="828000" cy="828000"/>
          <wp:effectExtent l="0" t="0" r="0" b="0"/>
          <wp:docPr id="1919651711" name="Imagen 1919651711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8B125" w14:textId="77777777" w:rsidR="006029B4" w:rsidRDefault="006029B4" w:rsidP="003354CA">
    <w:pPr>
      <w:pStyle w:val="Encabezado"/>
      <w:tabs>
        <w:tab w:val="clear" w:pos="4320"/>
        <w:tab w:val="clear" w:pos="864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kBhIoMp" int2:invalidationBookmarkName="" int2:hashCode="jUeLilC8eOj6m8" int2:id="pzSURQ4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094658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298946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399784963">
    <w:abstractNumId w:val="8"/>
  </w:num>
  <w:num w:numId="4" w16cid:durableId="342636439">
    <w:abstractNumId w:val="11"/>
  </w:num>
  <w:num w:numId="5" w16cid:durableId="183635469">
    <w:abstractNumId w:val="14"/>
  </w:num>
  <w:num w:numId="6" w16cid:durableId="1134955158">
    <w:abstractNumId w:val="6"/>
  </w:num>
  <w:num w:numId="7" w16cid:durableId="1409694789">
    <w:abstractNumId w:val="9"/>
  </w:num>
  <w:num w:numId="8" w16cid:durableId="17902019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146619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2754020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574049537">
    <w:abstractNumId w:val="27"/>
  </w:num>
  <w:num w:numId="12" w16cid:durableId="1006903845">
    <w:abstractNumId w:val="30"/>
  </w:num>
  <w:num w:numId="13" w16cid:durableId="1837380934">
    <w:abstractNumId w:val="32"/>
  </w:num>
  <w:num w:numId="14" w16cid:durableId="244530762">
    <w:abstractNumId w:val="18"/>
  </w:num>
  <w:num w:numId="15" w16cid:durableId="853884109">
    <w:abstractNumId w:val="15"/>
  </w:num>
  <w:num w:numId="16" w16cid:durableId="1402023993">
    <w:abstractNumId w:val="23"/>
  </w:num>
  <w:num w:numId="17" w16cid:durableId="1596593957">
    <w:abstractNumId w:val="17"/>
  </w:num>
  <w:num w:numId="18" w16cid:durableId="1841851081">
    <w:abstractNumId w:val="22"/>
  </w:num>
  <w:num w:numId="19" w16cid:durableId="1896815982">
    <w:abstractNumId w:val="10"/>
  </w:num>
  <w:num w:numId="20" w16cid:durableId="1931036205">
    <w:abstractNumId w:val="0"/>
  </w:num>
  <w:num w:numId="21" w16cid:durableId="1024136314">
    <w:abstractNumId w:val="16"/>
  </w:num>
  <w:num w:numId="22" w16cid:durableId="735782815">
    <w:abstractNumId w:val="5"/>
  </w:num>
  <w:num w:numId="23" w16cid:durableId="1303459433">
    <w:abstractNumId w:val="20"/>
  </w:num>
  <w:num w:numId="24" w16cid:durableId="1036662141">
    <w:abstractNumId w:val="19"/>
  </w:num>
  <w:num w:numId="25" w16cid:durableId="1478835282">
    <w:abstractNumId w:val="24"/>
  </w:num>
  <w:num w:numId="26" w16cid:durableId="1899777076">
    <w:abstractNumId w:val="28"/>
  </w:num>
  <w:num w:numId="27" w16cid:durableId="898368160">
    <w:abstractNumId w:val="13"/>
  </w:num>
  <w:num w:numId="28" w16cid:durableId="895969903">
    <w:abstractNumId w:val="12"/>
  </w:num>
  <w:num w:numId="29" w16cid:durableId="847670419">
    <w:abstractNumId w:val="2"/>
  </w:num>
  <w:num w:numId="30" w16cid:durableId="638532938">
    <w:abstractNumId w:val="7"/>
  </w:num>
  <w:num w:numId="31" w16cid:durableId="2035962378">
    <w:abstractNumId w:val="21"/>
  </w:num>
  <w:num w:numId="32" w16cid:durableId="1262690454">
    <w:abstractNumId w:val="25"/>
  </w:num>
  <w:num w:numId="33" w16cid:durableId="1069420810">
    <w:abstractNumId w:val="3"/>
  </w:num>
  <w:num w:numId="34" w16cid:durableId="65618249">
    <w:abstractNumId w:val="31"/>
  </w:num>
  <w:num w:numId="35" w16cid:durableId="1740325805">
    <w:abstractNumId w:val="29"/>
  </w:num>
  <w:num w:numId="36" w16cid:durableId="1722288168">
    <w:abstractNumId w:val="4"/>
  </w:num>
  <w:num w:numId="37" w16cid:durableId="3021971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db3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5EB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86F"/>
    <w:rsid w:val="00016B4E"/>
    <w:rsid w:val="00016CD6"/>
    <w:rsid w:val="00016D3A"/>
    <w:rsid w:val="0001718D"/>
    <w:rsid w:val="000176AC"/>
    <w:rsid w:val="00017DF3"/>
    <w:rsid w:val="00021432"/>
    <w:rsid w:val="00021492"/>
    <w:rsid w:val="000216A3"/>
    <w:rsid w:val="00021926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F75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8027F"/>
    <w:rsid w:val="0008084D"/>
    <w:rsid w:val="000809B5"/>
    <w:rsid w:val="00080D54"/>
    <w:rsid w:val="00080DC3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3D7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BC"/>
    <w:rsid w:val="00095A6A"/>
    <w:rsid w:val="00095BAC"/>
    <w:rsid w:val="00095EA0"/>
    <w:rsid w:val="00096737"/>
    <w:rsid w:val="00096F5B"/>
    <w:rsid w:val="00097C0A"/>
    <w:rsid w:val="00097C29"/>
    <w:rsid w:val="00097FE0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FA3"/>
    <w:rsid w:val="000B6AF6"/>
    <w:rsid w:val="000B7FF2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A5C"/>
    <w:rsid w:val="000F4C41"/>
    <w:rsid w:val="000F4FA7"/>
    <w:rsid w:val="000F50B5"/>
    <w:rsid w:val="000F536A"/>
    <w:rsid w:val="000F541D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13EB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ACF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355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3B8"/>
    <w:rsid w:val="001D3897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3367"/>
    <w:rsid w:val="00203C06"/>
    <w:rsid w:val="00204438"/>
    <w:rsid w:val="00204508"/>
    <w:rsid w:val="00204A44"/>
    <w:rsid w:val="00204BFC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58FA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746"/>
    <w:rsid w:val="002B5F21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F13"/>
    <w:rsid w:val="0035546F"/>
    <w:rsid w:val="003554BD"/>
    <w:rsid w:val="003554CE"/>
    <w:rsid w:val="00356586"/>
    <w:rsid w:val="00356792"/>
    <w:rsid w:val="00356C59"/>
    <w:rsid w:val="00356DA5"/>
    <w:rsid w:val="003571E2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3B1"/>
    <w:rsid w:val="003E26DE"/>
    <w:rsid w:val="003E2E74"/>
    <w:rsid w:val="003E4979"/>
    <w:rsid w:val="003E4B79"/>
    <w:rsid w:val="003E4B85"/>
    <w:rsid w:val="003E5764"/>
    <w:rsid w:val="003E581F"/>
    <w:rsid w:val="003E5F16"/>
    <w:rsid w:val="003E634D"/>
    <w:rsid w:val="003E644F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68A2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705"/>
    <w:rsid w:val="00496A9F"/>
    <w:rsid w:val="00497270"/>
    <w:rsid w:val="00497358"/>
    <w:rsid w:val="00497D6F"/>
    <w:rsid w:val="00497FA5"/>
    <w:rsid w:val="004A0036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928"/>
    <w:rsid w:val="004B6AA6"/>
    <w:rsid w:val="004B754D"/>
    <w:rsid w:val="004B79FA"/>
    <w:rsid w:val="004B7D94"/>
    <w:rsid w:val="004C0FB7"/>
    <w:rsid w:val="004C104B"/>
    <w:rsid w:val="004C12B2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D18"/>
    <w:rsid w:val="00590EDD"/>
    <w:rsid w:val="00591988"/>
    <w:rsid w:val="0059217A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9B4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883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241B"/>
    <w:rsid w:val="00683889"/>
    <w:rsid w:val="006838CA"/>
    <w:rsid w:val="00683B59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B0264"/>
    <w:rsid w:val="006B0BF0"/>
    <w:rsid w:val="006B0D7E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47"/>
    <w:rsid w:val="006F5B1A"/>
    <w:rsid w:val="006F5F76"/>
    <w:rsid w:val="006F6790"/>
    <w:rsid w:val="006F707D"/>
    <w:rsid w:val="00700821"/>
    <w:rsid w:val="00700FEB"/>
    <w:rsid w:val="007010A7"/>
    <w:rsid w:val="007011D1"/>
    <w:rsid w:val="007011D8"/>
    <w:rsid w:val="00702723"/>
    <w:rsid w:val="00702788"/>
    <w:rsid w:val="0070303A"/>
    <w:rsid w:val="0070328F"/>
    <w:rsid w:val="007038ED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5865"/>
    <w:rsid w:val="00776874"/>
    <w:rsid w:val="0077726C"/>
    <w:rsid w:val="00777AAB"/>
    <w:rsid w:val="00780108"/>
    <w:rsid w:val="007802D3"/>
    <w:rsid w:val="007809C9"/>
    <w:rsid w:val="00780FF9"/>
    <w:rsid w:val="0078285C"/>
    <w:rsid w:val="007829A6"/>
    <w:rsid w:val="00782B30"/>
    <w:rsid w:val="00783A36"/>
    <w:rsid w:val="00783A44"/>
    <w:rsid w:val="007845D4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61E4"/>
    <w:rsid w:val="007A6668"/>
    <w:rsid w:val="007A704A"/>
    <w:rsid w:val="007A7242"/>
    <w:rsid w:val="007B0222"/>
    <w:rsid w:val="007B036E"/>
    <w:rsid w:val="007B0851"/>
    <w:rsid w:val="007B12B0"/>
    <w:rsid w:val="007B1364"/>
    <w:rsid w:val="007B1392"/>
    <w:rsid w:val="007B1785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2F9F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4B19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5D6D"/>
    <w:rsid w:val="008F63DF"/>
    <w:rsid w:val="008F64E5"/>
    <w:rsid w:val="008F677E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71AB"/>
    <w:rsid w:val="00927281"/>
    <w:rsid w:val="009273B8"/>
    <w:rsid w:val="00927A20"/>
    <w:rsid w:val="00930298"/>
    <w:rsid w:val="009302A6"/>
    <w:rsid w:val="009302C2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40"/>
    <w:rsid w:val="0094243B"/>
    <w:rsid w:val="009425EB"/>
    <w:rsid w:val="009428A4"/>
    <w:rsid w:val="00943157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8D4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C7D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D65"/>
    <w:rsid w:val="00A362D0"/>
    <w:rsid w:val="00A36901"/>
    <w:rsid w:val="00A36CF6"/>
    <w:rsid w:val="00A36EC5"/>
    <w:rsid w:val="00A3770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3850"/>
    <w:rsid w:val="00A64787"/>
    <w:rsid w:val="00A648E9"/>
    <w:rsid w:val="00A65C38"/>
    <w:rsid w:val="00A6654A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2B36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4E52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89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D54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5BB"/>
    <w:rsid w:val="00BB287A"/>
    <w:rsid w:val="00BB318A"/>
    <w:rsid w:val="00BB3EB9"/>
    <w:rsid w:val="00BB4973"/>
    <w:rsid w:val="00BB4A6F"/>
    <w:rsid w:val="00BB56B1"/>
    <w:rsid w:val="00BB5759"/>
    <w:rsid w:val="00BB5A30"/>
    <w:rsid w:val="00BB5B98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AD2"/>
    <w:rsid w:val="00C14CA5"/>
    <w:rsid w:val="00C14E4D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0094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CF7A51"/>
    <w:rsid w:val="00D00C54"/>
    <w:rsid w:val="00D015A8"/>
    <w:rsid w:val="00D024F9"/>
    <w:rsid w:val="00D027F9"/>
    <w:rsid w:val="00D03275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2C4"/>
    <w:rsid w:val="00D53650"/>
    <w:rsid w:val="00D54129"/>
    <w:rsid w:val="00D553C7"/>
    <w:rsid w:val="00D5648F"/>
    <w:rsid w:val="00D5651D"/>
    <w:rsid w:val="00D567A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A9E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06A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D7BD4"/>
    <w:rsid w:val="00DE01AB"/>
    <w:rsid w:val="00DE0B85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257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555F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27C95"/>
    <w:rsid w:val="00F3031B"/>
    <w:rsid w:val="00F30616"/>
    <w:rsid w:val="00F30910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02F3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5C1"/>
    <w:rsid w:val="00F94A71"/>
    <w:rsid w:val="00F94CCA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D95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1A4"/>
    <w:rsid w:val="00FC06BF"/>
    <w:rsid w:val="00FC0AE4"/>
    <w:rsid w:val="00FC0E21"/>
    <w:rsid w:val="00FC1694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db3e2"/>
    </o:shapedefaults>
    <o:shapelayout v:ext="edit">
      <o:idmap v:ext="edit" data="2"/>
    </o:shapelayout>
  </w:shapeDefaults>
  <w:decimalSymbol w:val="."/>
  <w:listSeparator w:val=","/>
  <w14:docId w14:val="2AFDD875"/>
  <w15:docId w15:val="{AE659D4A-E77A-4C40-A499-71000AB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F874DD"/>
    <w:rPr>
      <w:rFonts w:ascii="Arial" w:hAnsi="Arial" w:cs="Arial"/>
      <w:b/>
      <w:bCs/>
      <w:i/>
      <w:iCs/>
      <w:sz w:val="24"/>
      <w:szCs w:val="24"/>
      <w:u w:val="single"/>
      <w:lang w:val="es-ES_tradnl" w:eastAsia="es-ES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www.inegi.org.mx/programas/inpc/2018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hyperlink" Target="https://www.inegi.org.mx/programas/inpc/2018/default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chart" Target="charts/chart3.xm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2F-4F26-B2B4-695756FD4E75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2F-4F26-B2B4-695756FD4E75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2F-4F26-B2B4-695756FD4E75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2F-4F26-B2B4-695756FD4E75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2F-4F26-B2B4-695756FD4E75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2F-4F26-B2B4-695756FD4E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2018'!$S$402:$AB$402</c:f>
              <c:numCache>
                <c:formatCode>0.00</c:formatCode>
                <c:ptCount val="10"/>
                <c:pt idx="0">
                  <c:v>0.18921475875118163</c:v>
                </c:pt>
                <c:pt idx="1">
                  <c:v>0.11534422504174653</c:v>
                </c:pt>
                <c:pt idx="2">
                  <c:v>0.31</c:v>
                </c:pt>
                <c:pt idx="3">
                  <c:v>0.31</c:v>
                </c:pt>
                <c:pt idx="4">
                  <c:v>0.34300000000000352</c:v>
                </c:pt>
                <c:pt idx="5">
                  <c:v>-7.5202468183573998E-2</c:v>
                </c:pt>
                <c:pt idx="6">
                  <c:v>0.24182222346234095</c:v>
                </c:pt>
                <c:pt idx="7">
                  <c:v>-2.1086295665009851E-2</c:v>
                </c:pt>
                <c:pt idx="8">
                  <c:v>0.41839984401403923</c:v>
                </c:pt>
                <c:pt idx="9">
                  <c:v>0.31790338838489307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2F-4F26-B2B4-695756FD4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7059152"/>
        <c:axId val="117066600"/>
      </c:barChart>
      <c:catAx>
        <c:axId val="117059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17066600"/>
        <c:crosses val="autoZero"/>
        <c:auto val="1"/>
        <c:lblAlgn val="ctr"/>
        <c:lblOffset val="100"/>
        <c:noMultiLvlLbl val="0"/>
      </c:catAx>
      <c:valAx>
        <c:axId val="117066600"/>
        <c:scaling>
          <c:orientation val="minMax"/>
          <c:max val="0.5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9152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6B-4354-9526-0BF374E5B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2018'!$S$417:$AB$417</c:f>
              <c:numCache>
                <c:formatCode>0.00</c:formatCode>
                <c:ptCount val="10"/>
                <c:pt idx="0">
                  <c:v>0.14698205492892941</c:v>
                </c:pt>
                <c:pt idx="1">
                  <c:v>0.12162097627204044</c:v>
                </c:pt>
                <c:pt idx="2">
                  <c:v>0.13105951235473776</c:v>
                </c:pt>
                <c:pt idx="3">
                  <c:v>0.19878330566645394</c:v>
                </c:pt>
                <c:pt idx="4">
                  <c:v>0.18</c:v>
                </c:pt>
                <c:pt idx="5">
                  <c:v>0.11362178462387919</c:v>
                </c:pt>
                <c:pt idx="6">
                  <c:v>0.18</c:v>
                </c:pt>
                <c:pt idx="7">
                  <c:v>0.27952420197545247</c:v>
                </c:pt>
                <c:pt idx="8">
                  <c:v>0.4874484698671252</c:v>
                </c:pt>
                <c:pt idx="9">
                  <c:v>0.19063496106260519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B-4354-9526-0BF374E5B884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6B-4354-9526-0BF374E5B884}"/>
                </c:ext>
              </c:extLst>
            </c:dLbl>
            <c:dLbl>
              <c:idx val="2"/>
              <c:layout>
                <c:manualLayout>
                  <c:x val="1.980514117698785E-6"/>
                  <c:y val="-2.0010449901615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6B-4354-9526-0BF374E5B884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6B-4354-9526-0BF374E5B884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6B-4354-9526-0BF374E5B884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6B-4354-9526-0BF374E5B884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6B-4354-9526-0BF374E5B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2018'!$S$432:$AB$432</c:f>
              <c:numCache>
                <c:formatCode>0.00</c:formatCode>
                <c:ptCount val="10"/>
                <c:pt idx="0">
                  <c:v>0.32739855754635877</c:v>
                </c:pt>
                <c:pt idx="1">
                  <c:v>9.4456101733610062E-2</c:v>
                </c:pt>
                <c:pt idx="2">
                  <c:v>0.90333489304212833</c:v>
                </c:pt>
                <c:pt idx="3">
                  <c:v>0.64092014644862549</c:v>
                </c:pt>
                <c:pt idx="4">
                  <c:v>0.86242894400000125</c:v>
                </c:pt>
                <c:pt idx="5">
                  <c:v>-0.66313958458156819</c:v>
                </c:pt>
                <c:pt idx="6">
                  <c:v>0.43419839781794634</c:v>
                </c:pt>
                <c:pt idx="7">
                  <c:v>-0.9191335273394724</c:v>
                </c:pt>
                <c:pt idx="8">
                  <c:v>0.21787954784815558</c:v>
                </c:pt>
                <c:pt idx="9">
                  <c:v>0.71818510768842125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6B-4354-9526-0BF374E5B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117056016"/>
        <c:axId val="117057192"/>
      </c:barChart>
      <c:catAx>
        <c:axId val="11705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17057192"/>
        <c:crosses val="autoZero"/>
        <c:auto val="1"/>
        <c:lblAlgn val="ctr"/>
        <c:lblOffset val="100"/>
        <c:noMultiLvlLbl val="0"/>
      </c:catAx>
      <c:valAx>
        <c:axId val="117057192"/>
        <c:scaling>
          <c:orientation val="minMax"/>
          <c:max val="1.2"/>
          <c:min val="-1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6016"/>
        <c:crosses val="autoZero"/>
        <c:crossBetween val="between"/>
        <c:majorUnit val="0.4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6188140556515E-4"/>
                  <c:y val="2.0663704168604618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2A-4688-85BE-2D66B6F73F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2018'!$A$211:$B$427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2018'!$D$211:$D$427</c:f>
              <c:numCache>
                <c:formatCode>0.00</c:formatCode>
                <c:ptCount val="217"/>
                <c:pt idx="0">
                  <c:v>4.0704989851305564</c:v>
                </c:pt>
                <c:pt idx="1">
                  <c:v>4.2283511541462131</c:v>
                </c:pt>
                <c:pt idx="2">
                  <c:v>4.2141177977187114</c:v>
                </c:pt>
                <c:pt idx="3">
                  <c:v>4.2200962189254909</c:v>
                </c:pt>
                <c:pt idx="4">
                  <c:v>4.319823636048949</c:v>
                </c:pt>
                <c:pt idx="5">
                  <c:v>4.275720276921116</c:v>
                </c:pt>
                <c:pt idx="6">
                  <c:v>4.1584730014974358</c:v>
                </c:pt>
                <c:pt idx="7">
                  <c:v>4.1791044776119204</c:v>
                </c:pt>
                <c:pt idx="8">
                  <c:v>4.191068156504886</c:v>
                </c:pt>
                <c:pt idx="9">
                  <c:v>3.9718852128754896</c:v>
                </c:pt>
                <c:pt idx="10">
                  <c:v>3.0807541800071165</c:v>
                </c:pt>
                <c:pt idx="11">
                  <c:v>3.0496579905836412</c:v>
                </c:pt>
                <c:pt idx="12">
                  <c:v>3.0353847245883201</c:v>
                </c:pt>
                <c:pt idx="13">
                  <c:v>2.9652270210409597</c:v>
                </c:pt>
                <c:pt idx="14">
                  <c:v>2.9724949146546393</c:v>
                </c:pt>
                <c:pt idx="15">
                  <c:v>3.3015990877509354</c:v>
                </c:pt>
                <c:pt idx="16">
                  <c:v>3.0270021343110427</c:v>
                </c:pt>
                <c:pt idx="17">
                  <c:v>3.0976430976431031</c:v>
                </c:pt>
                <c:pt idx="18">
                  <c:v>2.9303475507808314</c:v>
                </c:pt>
                <c:pt idx="19">
                  <c:v>2.8212163998188555</c:v>
                </c:pt>
                <c:pt idx="20">
                  <c:v>2.8739507728345943</c:v>
                </c:pt>
                <c:pt idx="21">
                  <c:v>2.8667222508027153</c:v>
                </c:pt>
                <c:pt idx="22">
                  <c:v>2.760146948169786</c:v>
                </c:pt>
                <c:pt idx="23">
                  <c:v>2.7188569306536725</c:v>
                </c:pt>
                <c:pt idx="24">
                  <c:v>2.6431212658741687</c:v>
                </c:pt>
                <c:pt idx="25">
                  <c:v>2.5325372924041352</c:v>
                </c:pt>
                <c:pt idx="26">
                  <c:v>2.5287457210567879</c:v>
                </c:pt>
                <c:pt idx="27">
                  <c:v>2.509039210868119</c:v>
                </c:pt>
                <c:pt idx="28">
                  <c:v>2.4730384665763943</c:v>
                </c:pt>
                <c:pt idx="29">
                  <c:v>2.4872844019088571</c:v>
                </c:pt>
                <c:pt idx="30">
                  <c:v>2.2672948349326192</c:v>
                </c:pt>
                <c:pt idx="31">
                  <c:v>2.1624148408487054</c:v>
                </c:pt>
                <c:pt idx="32">
                  <c:v>2.0026207348402476</c:v>
                </c:pt>
                <c:pt idx="33">
                  <c:v>2.2571283402657554</c:v>
                </c:pt>
                <c:pt idx="34">
                  <c:v>2.4761871893981242</c:v>
                </c:pt>
                <c:pt idx="35">
                  <c:v>2.7507909278208404</c:v>
                </c:pt>
                <c:pt idx="36">
                  <c:v>2.9356297093649055</c:v>
                </c:pt>
                <c:pt idx="37">
                  <c:v>2.7989537264889646</c:v>
                </c:pt>
                <c:pt idx="38">
                  <c:v>2.7131949394920647</c:v>
                </c:pt>
                <c:pt idx="39">
                  <c:v>2.4892608375691108</c:v>
                </c:pt>
                <c:pt idx="40">
                  <c:v>2.5985301070185352</c:v>
                </c:pt>
                <c:pt idx="41">
                  <c:v>2.4846161779366516</c:v>
                </c:pt>
                <c:pt idx="42">
                  <c:v>2.5324220876282051</c:v>
                </c:pt>
                <c:pt idx="43">
                  <c:v>2.6608975023318471</c:v>
                </c:pt>
                <c:pt idx="44">
                  <c:v>2.5487101198022941</c:v>
                </c:pt>
                <c:pt idx="45">
                  <c:v>2.528152861848342</c:v>
                </c:pt>
                <c:pt idx="46">
                  <c:v>2.7161599889734105</c:v>
                </c:pt>
                <c:pt idx="47">
                  <c:v>2.5935235078416721</c:v>
                </c:pt>
                <c:pt idx="48">
                  <c:v>2.7968841352271587</c:v>
                </c:pt>
                <c:pt idx="49">
                  <c:v>2.6580669540871518</c:v>
                </c:pt>
                <c:pt idx="50">
                  <c:v>2.8807218498257776</c:v>
                </c:pt>
                <c:pt idx="51">
                  <c:v>3.057179792306961</c:v>
                </c:pt>
                <c:pt idx="52">
                  <c:v>3.0891288230632474</c:v>
                </c:pt>
                <c:pt idx="53">
                  <c:v>3.0372678209646473</c:v>
                </c:pt>
                <c:pt idx="54">
                  <c:v>3.2942093050827412</c:v>
                </c:pt>
                <c:pt idx="55">
                  <c:v>3.3156240202682721</c:v>
                </c:pt>
                <c:pt idx="56">
                  <c:v>3.4786724250133023</c:v>
                </c:pt>
                <c:pt idx="57">
                  <c:v>3.2440080173822237</c:v>
                </c:pt>
                <c:pt idx="58">
                  <c:v>4.777981713169539</c:v>
                </c:pt>
                <c:pt idx="59">
                  <c:v>4.6587915499102257</c:v>
                </c:pt>
                <c:pt idx="60">
                  <c:v>4.7091204176217527</c:v>
                </c:pt>
                <c:pt idx="61">
                  <c:v>5.0202971332914927</c:v>
                </c:pt>
                <c:pt idx="62">
                  <c:v>5.2872313738607115</c:v>
                </c:pt>
                <c:pt idx="63">
                  <c:v>5.417839042840094</c:v>
                </c:pt>
                <c:pt idx="64">
                  <c:v>5.6234186229661951</c:v>
                </c:pt>
                <c:pt idx="65">
                  <c:v>6.0102140934363444</c:v>
                </c:pt>
                <c:pt idx="66">
                  <c:v>6.165838038257343</c:v>
                </c:pt>
                <c:pt idx="67">
                  <c:v>6.163087095878649</c:v>
                </c:pt>
                <c:pt idx="68">
                  <c:v>6.299623200107658</c:v>
                </c:pt>
                <c:pt idx="69">
                  <c:v>6.3268464164970579</c:v>
                </c:pt>
                <c:pt idx="70">
                  <c:v>6.2824985742561026</c:v>
                </c:pt>
                <c:pt idx="71">
                  <c:v>6.5938399322073762</c:v>
                </c:pt>
                <c:pt idx="72">
                  <c:v>6.5882687498431682</c:v>
                </c:pt>
                <c:pt idx="73">
                  <c:v>6.7378882818970585</c:v>
                </c:pt>
                <c:pt idx="74">
                  <c:v>6.5287578218612659</c:v>
                </c:pt>
                <c:pt idx="75">
                  <c:v>6.1664091445280791</c:v>
                </c:pt>
                <c:pt idx="76">
                  <c:v>6.2989782759646946</c:v>
                </c:pt>
                <c:pt idx="77">
                  <c:v>6.44321805654236</c:v>
                </c:pt>
                <c:pt idx="78">
                  <c:v>6.5947399488423954</c:v>
                </c:pt>
                <c:pt idx="79">
                  <c:v>6.67350118920693</c:v>
                </c:pt>
                <c:pt idx="80">
                  <c:v>6.694054901704555</c:v>
                </c:pt>
                <c:pt idx="81">
                  <c:v>6.8510693834934884</c:v>
                </c:pt>
                <c:pt idx="82">
                  <c:v>5.5090840424591905</c:v>
                </c:pt>
                <c:pt idx="83">
                  <c:v>5.5824989779313761</c:v>
                </c:pt>
                <c:pt idx="84">
                  <c:v>5.4472967250705189</c:v>
                </c:pt>
                <c:pt idx="85">
                  <c:v>5.2322013500912856</c:v>
                </c:pt>
                <c:pt idx="86">
                  <c:v>5.1734133886095375</c:v>
                </c:pt>
                <c:pt idx="87">
                  <c:v>4.8978298748614213</c:v>
                </c:pt>
                <c:pt idx="88">
                  <c:v>4.6926310779725675</c:v>
                </c:pt>
                <c:pt idx="89">
                  <c:v>4.4101128039615922</c:v>
                </c:pt>
                <c:pt idx="90">
                  <c:v>4.4591902339130147</c:v>
                </c:pt>
                <c:pt idx="91">
                  <c:v>4.5540631562264986</c:v>
                </c:pt>
                <c:pt idx="92">
                  <c:v>4.5361036823698635</c:v>
                </c:pt>
                <c:pt idx="93">
                  <c:v>4.7584019489199445</c:v>
                </c:pt>
                <c:pt idx="94">
                  <c:v>4.8482170334656178</c:v>
                </c:pt>
                <c:pt idx="95">
                  <c:v>4.7746485524928026</c:v>
                </c:pt>
                <c:pt idx="96">
                  <c:v>4.8106327469043819</c:v>
                </c:pt>
                <c:pt idx="97">
                  <c:v>4.9991362129370582</c:v>
                </c:pt>
                <c:pt idx="98">
                  <c:v>4.875270500382749</c:v>
                </c:pt>
                <c:pt idx="99">
                  <c:v>5.1659896244943289</c:v>
                </c:pt>
                <c:pt idx="100">
                  <c:v>4.9352188627597346</c:v>
                </c:pt>
                <c:pt idx="101">
                  <c:v>4.8739609906784294</c:v>
                </c:pt>
                <c:pt idx="102">
                  <c:v>4.5607966774342428</c:v>
                </c:pt>
                <c:pt idx="103">
                  <c:v>4.8719965556213225</c:v>
                </c:pt>
                <c:pt idx="104">
                  <c:v>5.0045431705618117</c:v>
                </c:pt>
                <c:pt idx="105">
                  <c:v>4.6580435901155077</c:v>
                </c:pt>
                <c:pt idx="106">
                  <c:v>4.5239157686302747</c:v>
                </c:pt>
                <c:pt idx="107">
                  <c:v>4.2087945881512905</c:v>
                </c:pt>
                <c:pt idx="108">
                  <c:v>3.8917269000841048</c:v>
                </c:pt>
                <c:pt idx="109">
                  <c:v>3.9890243717717406</c:v>
                </c:pt>
                <c:pt idx="110">
                  <c:v>3.9499307543024194</c:v>
                </c:pt>
                <c:pt idx="111">
                  <c:v>4.0592034671257045</c:v>
                </c:pt>
                <c:pt idx="112">
                  <c:v>4.3839885442395348</c:v>
                </c:pt>
                <c:pt idx="113">
                  <c:v>4.4431349885217575</c:v>
                </c:pt>
                <c:pt idx="114">
                  <c:v>4.4323088028570456</c:v>
                </c:pt>
                <c:pt idx="115">
                  <c:v>4.1312712555516571</c:v>
                </c:pt>
                <c:pt idx="116">
                  <c:v>4.0008340965342049</c:v>
                </c:pt>
                <c:pt idx="117">
                  <c:v>3.8935918758730175</c:v>
                </c:pt>
                <c:pt idx="118">
                  <c:v>3.8420065175997942</c:v>
                </c:pt>
                <c:pt idx="119">
                  <c:v>3.7199999999999989</c:v>
                </c:pt>
                <c:pt idx="120">
                  <c:v>3.2877231097336064</c:v>
                </c:pt>
                <c:pt idx="121">
                  <c:v>3.0365358054868268</c:v>
                </c:pt>
                <c:pt idx="122">
                  <c:v>2.9861696326773419</c:v>
                </c:pt>
                <c:pt idx="123">
                  <c:v>3.0078241061701556</c:v>
                </c:pt>
                <c:pt idx="124">
                  <c:v>3.0067474253245492</c:v>
                </c:pt>
                <c:pt idx="125">
                  <c:v>3.032243446393919</c:v>
                </c:pt>
                <c:pt idx="126">
                  <c:v>3.1008890455488989</c:v>
                </c:pt>
                <c:pt idx="127">
                  <c:v>2.8495310959960203</c:v>
                </c:pt>
                <c:pt idx="128">
                  <c:v>2.6336985317664396</c:v>
                </c:pt>
                <c:pt idx="129">
                  <c:v>3.0225648594065553</c:v>
                </c:pt>
                <c:pt idx="130">
                  <c:v>3.1841326802773886</c:v>
                </c:pt>
                <c:pt idx="131">
                  <c:v>3.2915664520133503</c:v>
                </c:pt>
                <c:pt idx="132">
                  <c:v>3.5210515586016711</c:v>
                </c:pt>
                <c:pt idx="133">
                  <c:v>3.8691226369364999</c:v>
                </c:pt>
                <c:pt idx="134">
                  <c:v>3.7122274331576643</c:v>
                </c:pt>
                <c:pt idx="135">
                  <c:v>2.7864434936302875</c:v>
                </c:pt>
                <c:pt idx="136">
                  <c:v>2.0811393126636419</c:v>
                </c:pt>
                <c:pt idx="137">
                  <c:v>2.2131669917537335</c:v>
                </c:pt>
                <c:pt idx="138">
                  <c:v>2.8251815980629558</c:v>
                </c:pt>
                <c:pt idx="139">
                  <c:v>2.850333281661765</c:v>
                </c:pt>
                <c:pt idx="140">
                  <c:v>3.167837248728516</c:v>
                </c:pt>
                <c:pt idx="141">
                  <c:v>3.4999467946175451</c:v>
                </c:pt>
                <c:pt idx="142">
                  <c:v>3.5859687035714969</c:v>
                </c:pt>
                <c:pt idx="143">
                  <c:v>3.6608175858079419</c:v>
                </c:pt>
                <c:pt idx="144">
                  <c:v>3.9896952972733115</c:v>
                </c:pt>
                <c:pt idx="145">
                  <c:v>4.1071583555937012</c:v>
                </c:pt>
                <c:pt idx="146">
                  <c:v>4.0961906870625935</c:v>
                </c:pt>
                <c:pt idx="147">
                  <c:v>3.9324276250636871</c:v>
                </c:pt>
                <c:pt idx="148">
                  <c:v>4.0854242482283132</c:v>
                </c:pt>
                <c:pt idx="149">
                  <c:v>4.0875060954038176</c:v>
                </c:pt>
                <c:pt idx="150">
                  <c:v>3.4292823293668411</c:v>
                </c:pt>
                <c:pt idx="151">
                  <c:v>3.2336113404116031</c:v>
                </c:pt>
                <c:pt idx="152">
                  <c:v>3.2194623828749194</c:v>
                </c:pt>
                <c:pt idx="153">
                  <c:v>3.0809104189246419</c:v>
                </c:pt>
                <c:pt idx="154">
                  <c:v>3.3349625897657642</c:v>
                </c:pt>
                <c:pt idx="155">
                  <c:v>3.7350008450228103</c:v>
                </c:pt>
                <c:pt idx="156">
                  <c:v>3.8448553959263365</c:v>
                </c:pt>
                <c:pt idx="157">
                  <c:v>3.6755303758598368</c:v>
                </c:pt>
                <c:pt idx="158">
                  <c:v>4.115464225110486</c:v>
                </c:pt>
                <c:pt idx="159">
                  <c:v>5.2235440040593089</c:v>
                </c:pt>
                <c:pt idx="160">
                  <c:v>6.0546117079172834</c:v>
                </c:pt>
                <c:pt idx="161">
                  <c:v>6.1159710544712569</c:v>
                </c:pt>
                <c:pt idx="162">
                  <c:v>5.7965281113717033</c:v>
                </c:pt>
                <c:pt idx="163">
                  <c:v>5.9901279225305624</c:v>
                </c:pt>
                <c:pt idx="164">
                  <c:v>6.0171839053476699</c:v>
                </c:pt>
                <c:pt idx="165">
                  <c:v>5.7397351179071183</c:v>
                </c:pt>
                <c:pt idx="166">
                  <c:v>5.7520187015115836</c:v>
                </c:pt>
                <c:pt idx="167">
                  <c:v>5.8604685770622345</c:v>
                </c:pt>
                <c:pt idx="168">
                  <c:v>5.5828237935737643</c:v>
                </c:pt>
                <c:pt idx="169">
                  <c:v>5.6013561080440155</c:v>
                </c:pt>
                <c:pt idx="170">
                  <c:v>5.8724521880664318</c:v>
                </c:pt>
                <c:pt idx="171">
                  <c:v>6.1269045394414325</c:v>
                </c:pt>
                <c:pt idx="172">
                  <c:v>6.1222236534604235</c:v>
                </c:pt>
                <c:pt idx="173">
                  <c:v>6.3557531553710316</c:v>
                </c:pt>
                <c:pt idx="174">
                  <c:v>7.0461849233311975</c:v>
                </c:pt>
                <c:pt idx="175">
                  <c:v>7.7048924182682095</c:v>
                </c:pt>
                <c:pt idx="176">
                  <c:v>7.4499853436904546</c:v>
                </c:pt>
                <c:pt idx="177">
                  <c:v>7.2594949439537722</c:v>
                </c:pt>
                <c:pt idx="178">
                  <c:v>7.1259641973511751</c:v>
                </c:pt>
                <c:pt idx="179">
                  <c:v>7.0145903479236811</c:v>
                </c:pt>
                <c:pt idx="180">
                  <c:v>7.2216803930067908</c:v>
                </c:pt>
                <c:pt idx="181">
                  <c:v>7.337120427803641</c:v>
                </c:pt>
                <c:pt idx="182">
                  <c:v>7.2867786653293685</c:v>
                </c:pt>
                <c:pt idx="183">
                  <c:v>7.6191496771773881</c:v>
                </c:pt>
                <c:pt idx="184">
                  <c:v>7.7205226145004069</c:v>
                </c:pt>
                <c:pt idx="185">
                  <c:v>7.645466847090657</c:v>
                </c:pt>
                <c:pt idx="186">
                  <c:v>7.5827316352240421</c:v>
                </c:pt>
                <c:pt idx="187">
                  <c:v>7.7223886168312408</c:v>
                </c:pt>
                <c:pt idx="188">
                  <c:v>7.8837586246601035</c:v>
                </c:pt>
                <c:pt idx="189">
                  <c:v>8.0905490930947845</c:v>
                </c:pt>
                <c:pt idx="190">
                  <c:v>8.1569746448607194</c:v>
                </c:pt>
                <c:pt idx="191">
                  <c:v>8.1445817006097414</c:v>
                </c:pt>
                <c:pt idx="192">
                  <c:v>8.6199623881751215</c:v>
                </c:pt>
                <c:pt idx="193">
                  <c:v>8.770821820478405</c:v>
                </c:pt>
                <c:pt idx="194">
                  <c:v>8.7568351356545193</c:v>
                </c:pt>
                <c:pt idx="195">
                  <c:v>8.6427824267782469</c:v>
                </c:pt>
                <c:pt idx="196">
                  <c:v>8.5330327726720991</c:v>
                </c:pt>
                <c:pt idx="197">
                  <c:v>8.282878883409186</c:v>
                </c:pt>
                <c:pt idx="198">
                  <c:v>8.1357647704659293</c:v>
                </c:pt>
                <c:pt idx="199">
                  <c:v>7.4600628072091792</c:v>
                </c:pt>
                <c:pt idx="200">
                  <c:v>7.7714597488512451</c:v>
                </c:pt>
                <c:pt idx="201">
                  <c:v>7.8635116013434105</c:v>
                </c:pt>
                <c:pt idx="202">
                  <c:v>7.935807081599731</c:v>
                </c:pt>
                <c:pt idx="203">
                  <c:v>7.8843649034964587</c:v>
                </c:pt>
                <c:pt idx="204">
                  <c:v>7.7560577093141649</c:v>
                </c:pt>
                <c:pt idx="205">
                  <c:v>7.48307878116902</c:v>
                </c:pt>
                <c:pt idx="206">
                  <c:v>7.1249113142189398</c:v>
                </c:pt>
                <c:pt idx="207">
                  <c:v>6.5752242496660163</c:v>
                </c:pt>
                <c:pt idx="208">
                  <c:v>6.235139143186176</c:v>
                </c:pt>
                <c:pt idx="209">
                  <c:v>6.2704687551688734</c:v>
                </c:pt>
                <c:pt idx="210">
                  <c:v>6.0014233933034395</c:v>
                </c:pt>
                <c:pt idx="211">
                  <c:v>5.6696863191591174</c:v>
                </c:pt>
                <c:pt idx="212">
                  <c:v>5.1763488883780555</c:v>
                </c:pt>
                <c:pt idx="213">
                  <c:v>4.9343746166741562</c:v>
                </c:pt>
                <c:pt idx="214">
                  <c:v>4.79280834466529</c:v>
                </c:pt>
                <c:pt idx="215">
                  <c:v>4.7786949174574334</c:v>
                </c:pt>
                <c:pt idx="216">
                  <c:v>4.67383477747304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2A-4688-85BE-2D66B6F73F8A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26411392356244E-4"/>
                  <c:y val="6.517822619961558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2A-4688-85BE-2D66B6F73F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2018'!$A$211:$B$427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2018'!$G$211:$G$427</c:f>
              <c:numCache>
                <c:formatCode>0.00</c:formatCode>
                <c:ptCount val="217"/>
                <c:pt idx="0">
                  <c:v>3.3403363995215916</c:v>
                </c:pt>
                <c:pt idx="1">
                  <c:v>3.4088159517772554</c:v>
                </c:pt>
                <c:pt idx="2">
                  <c:v>3.3443317105628387</c:v>
                </c:pt>
                <c:pt idx="3">
                  <c:v>3.3410517831071793</c:v>
                </c:pt>
                <c:pt idx="4">
                  <c:v>3.320114326066006</c:v>
                </c:pt>
                <c:pt idx="5">
                  <c:v>3.3125587217442973</c:v>
                </c:pt>
                <c:pt idx="6">
                  <c:v>3.3269143797989815</c:v>
                </c:pt>
                <c:pt idx="7">
                  <c:v>3.3597016646049473</c:v>
                </c:pt>
                <c:pt idx="8">
                  <c:v>3.2613173618448141</c:v>
                </c:pt>
                <c:pt idx="9">
                  <c:v>3.2283311008381563</c:v>
                </c:pt>
                <c:pt idx="10">
                  <c:v>2.4257619293549975</c:v>
                </c:pt>
                <c:pt idx="11">
                  <c:v>2.2512483178846994</c:v>
                </c:pt>
                <c:pt idx="12">
                  <c:v>2.4154760560769155</c:v>
                </c:pt>
                <c:pt idx="13">
                  <c:v>2.3803601042870661</c:v>
                </c:pt>
                <c:pt idx="14">
                  <c:v>2.4210809690652884</c:v>
                </c:pt>
                <c:pt idx="15">
                  <c:v>2.4716727562373664</c:v>
                </c:pt>
                <c:pt idx="16">
                  <c:v>2.22959038644635</c:v>
                </c:pt>
                <c:pt idx="17">
                  <c:v>2.3867779230047406</c:v>
                </c:pt>
                <c:pt idx="18">
                  <c:v>2.3645039102051868</c:v>
                </c:pt>
                <c:pt idx="19">
                  <c:v>2.2967267698564018</c:v>
                </c:pt>
                <c:pt idx="20">
                  <c:v>2.3068088582791066</c:v>
                </c:pt>
                <c:pt idx="21">
                  <c:v>2.3470897521408207</c:v>
                </c:pt>
                <c:pt idx="22">
                  <c:v>2.3048831870518853</c:v>
                </c:pt>
                <c:pt idx="23">
                  <c:v>2.3176027185983523</c:v>
                </c:pt>
                <c:pt idx="24">
                  <c:v>2.2916919550657333</c:v>
                </c:pt>
                <c:pt idx="25">
                  <c:v>2.3072511966621598</c:v>
                </c:pt>
                <c:pt idx="26">
                  <c:v>2.3401806229756428</c:v>
                </c:pt>
                <c:pt idx="27">
                  <c:v>2.4176421285037821</c:v>
                </c:pt>
                <c:pt idx="28">
                  <c:v>2.4587510846686191</c:v>
                </c:pt>
                <c:pt idx="29">
                  <c:v>2.4726079923024322</c:v>
                </c:pt>
                <c:pt idx="30">
                  <c:v>2.3463360125931945</c:v>
                </c:pt>
                <c:pt idx="31">
                  <c:v>2.3268213688759705</c:v>
                </c:pt>
                <c:pt idx="32">
                  <c:v>2.390553712314857</c:v>
                </c:pt>
                <c:pt idx="33">
                  <c:v>2.4333480158938574</c:v>
                </c:pt>
                <c:pt idx="34">
                  <c:v>2.6075350521938248</c:v>
                </c:pt>
                <c:pt idx="35">
                  <c:v>2.6792848558866034</c:v>
                </c:pt>
                <c:pt idx="36">
                  <c:v>2.6247721940712854</c:v>
                </c:pt>
                <c:pt idx="37">
                  <c:v>2.6999719049183106</c:v>
                </c:pt>
                <c:pt idx="38">
                  <c:v>2.8570717271853301</c:v>
                </c:pt>
                <c:pt idx="39">
                  <c:v>2.6643976864392171</c:v>
                </c:pt>
                <c:pt idx="40">
                  <c:v>2.7889505267186077</c:v>
                </c:pt>
                <c:pt idx="41">
                  <c:v>2.8653494472590446</c:v>
                </c:pt>
                <c:pt idx="42">
                  <c:v>2.9155541341971842</c:v>
                </c:pt>
                <c:pt idx="43">
                  <c:v>2.9400204454453038</c:v>
                </c:pt>
                <c:pt idx="44">
                  <c:v>2.9780685524937418</c:v>
                </c:pt>
                <c:pt idx="45">
                  <c:v>2.970805194310711</c:v>
                </c:pt>
                <c:pt idx="46">
                  <c:v>2.9869000821721321</c:v>
                </c:pt>
                <c:pt idx="47">
                  <c:v>2.958184265532811</c:v>
                </c:pt>
                <c:pt idx="48">
                  <c:v>2.9678902064447099</c:v>
                </c:pt>
                <c:pt idx="49">
                  <c:v>2.9539547347381339</c:v>
                </c:pt>
                <c:pt idx="50">
                  <c:v>3.0468116923746806</c:v>
                </c:pt>
                <c:pt idx="51">
                  <c:v>3.0912825950724891</c:v>
                </c:pt>
                <c:pt idx="52">
                  <c:v>3.1012509952726064</c:v>
                </c:pt>
                <c:pt idx="53">
                  <c:v>3.0947616902772506</c:v>
                </c:pt>
                <c:pt idx="54">
                  <c:v>3.3319998055344984</c:v>
                </c:pt>
                <c:pt idx="55">
                  <c:v>3.2541169825970431</c:v>
                </c:pt>
                <c:pt idx="56">
                  <c:v>3.4556844443457231</c:v>
                </c:pt>
                <c:pt idx="57">
                  <c:v>3.4190637781387228</c:v>
                </c:pt>
                <c:pt idx="58">
                  <c:v>3.7171121119421828</c:v>
                </c:pt>
                <c:pt idx="59">
                  <c:v>3.9541963785562761</c:v>
                </c:pt>
                <c:pt idx="60">
                  <c:v>4.1997330552909586</c:v>
                </c:pt>
                <c:pt idx="61">
                  <c:v>4.311207443014049</c:v>
                </c:pt>
                <c:pt idx="62">
                  <c:v>4.3234288151573121</c:v>
                </c:pt>
                <c:pt idx="63">
                  <c:v>4.6332592126084799</c:v>
                </c:pt>
                <c:pt idx="64">
                  <c:v>4.755660342374016</c:v>
                </c:pt>
                <c:pt idx="65">
                  <c:v>4.6790514324428747</c:v>
                </c:pt>
                <c:pt idx="66">
                  <c:v>4.7509278569842373</c:v>
                </c:pt>
                <c:pt idx="67">
                  <c:v>4.8121947523125428</c:v>
                </c:pt>
                <c:pt idx="68">
                  <c:v>4.8209395856761645</c:v>
                </c:pt>
                <c:pt idx="69">
                  <c:v>4.8467381815305748</c:v>
                </c:pt>
                <c:pt idx="70">
                  <c:v>4.9207056044795072</c:v>
                </c:pt>
                <c:pt idx="71">
                  <c:v>4.9503227740202931</c:v>
                </c:pt>
                <c:pt idx="72">
                  <c:v>5.0213060833167322</c:v>
                </c:pt>
                <c:pt idx="73">
                  <c:v>4.9846248601918619</c:v>
                </c:pt>
                <c:pt idx="74">
                  <c:v>4.896399946121428</c:v>
                </c:pt>
                <c:pt idx="75">
                  <c:v>4.7040384762837748</c:v>
                </c:pt>
                <c:pt idx="76">
                  <c:v>4.7478938244134978</c:v>
                </c:pt>
                <c:pt idx="77">
                  <c:v>4.7956917969896518</c:v>
                </c:pt>
                <c:pt idx="78">
                  <c:v>4.8450991871710318</c:v>
                </c:pt>
                <c:pt idx="79">
                  <c:v>4.9491574797445885</c:v>
                </c:pt>
                <c:pt idx="80">
                  <c:v>4.9048497326154274</c:v>
                </c:pt>
                <c:pt idx="81">
                  <c:v>4.8327261818475638</c:v>
                </c:pt>
                <c:pt idx="82">
                  <c:v>4.6263517934960339</c:v>
                </c:pt>
                <c:pt idx="83">
                  <c:v>4.4960621553256628</c:v>
                </c:pt>
                <c:pt idx="84">
                  <c:v>4.3243267051739158</c:v>
                </c:pt>
                <c:pt idx="85">
                  <c:v>4.2251132000697886</c:v>
                </c:pt>
                <c:pt idx="86">
                  <c:v>4.1452320212772999</c:v>
                </c:pt>
                <c:pt idx="87">
                  <c:v>3.9008573614003881</c:v>
                </c:pt>
                <c:pt idx="88">
                  <c:v>3.7001331444607066</c:v>
                </c:pt>
                <c:pt idx="89">
                  <c:v>3.7189879850623266</c:v>
                </c:pt>
                <c:pt idx="90">
                  <c:v>3.6940324860046196</c:v>
                </c:pt>
                <c:pt idx="91">
                  <c:v>3.6872847615328634</c:v>
                </c:pt>
                <c:pt idx="92">
                  <c:v>3.5926706669103083</c:v>
                </c:pt>
                <c:pt idx="93">
                  <c:v>3.6378912164257322</c:v>
                </c:pt>
                <c:pt idx="94">
                  <c:v>3.6414532163026792</c:v>
                </c:pt>
                <c:pt idx="95">
                  <c:v>3.6283822763214917</c:v>
                </c:pt>
                <c:pt idx="96">
                  <c:v>3.60422766425244</c:v>
                </c:pt>
                <c:pt idx="97">
                  <c:v>3.6495513800876171</c:v>
                </c:pt>
                <c:pt idx="98">
                  <c:v>3.5580797174420238</c:v>
                </c:pt>
                <c:pt idx="99">
                  <c:v>3.781505684577259</c:v>
                </c:pt>
                <c:pt idx="100">
                  <c:v>3.7420409826591561</c:v>
                </c:pt>
                <c:pt idx="101">
                  <c:v>3.7167912108851153</c:v>
                </c:pt>
                <c:pt idx="102">
                  <c:v>3.6262395963495426</c:v>
                </c:pt>
                <c:pt idx="103">
                  <c:v>3.6411040164504507</c:v>
                </c:pt>
                <c:pt idx="104">
                  <c:v>3.6376637549589481</c:v>
                </c:pt>
                <c:pt idx="105">
                  <c:v>3.7285069359490297</c:v>
                </c:pt>
                <c:pt idx="106">
                  <c:v>3.6381016225446552</c:v>
                </c:pt>
                <c:pt idx="107">
                  <c:v>3.5532675360944843</c:v>
                </c:pt>
                <c:pt idx="108">
                  <c:v>3.5099836295371141</c:v>
                </c:pt>
                <c:pt idx="109">
                  <c:v>3.564677935184847</c:v>
                </c:pt>
                <c:pt idx="110">
                  <c:v>3.5063104089018413</c:v>
                </c:pt>
                <c:pt idx="111">
                  <c:v>3.5982018544929066</c:v>
                </c:pt>
                <c:pt idx="112">
                  <c:v>3.9354572611996992</c:v>
                </c:pt>
                <c:pt idx="113">
                  <c:v>3.8064497805633963</c:v>
                </c:pt>
                <c:pt idx="114">
                  <c:v>3.7695007059118386</c:v>
                </c:pt>
                <c:pt idx="115">
                  <c:v>3.7796726441157191</c:v>
                </c:pt>
                <c:pt idx="116">
                  <c:v>3.8681265267101672</c:v>
                </c:pt>
                <c:pt idx="117">
                  <c:v>3.8303642661636381</c:v>
                </c:pt>
                <c:pt idx="118">
                  <c:v>3.8086796687996611</c:v>
                </c:pt>
                <c:pt idx="119">
                  <c:v>3.833505071700003</c:v>
                </c:pt>
                <c:pt idx="120">
                  <c:v>3.7694417986755289</c:v>
                </c:pt>
                <c:pt idx="121">
                  <c:v>3.7839924079623928</c:v>
                </c:pt>
                <c:pt idx="122">
                  <c:v>3.781889456603766</c:v>
                </c:pt>
                <c:pt idx="123">
                  <c:v>3.7183883957261443</c:v>
                </c:pt>
                <c:pt idx="124">
                  <c:v>3.675934727840195</c:v>
                </c:pt>
                <c:pt idx="125">
                  <c:v>3.6917894013413832</c:v>
                </c:pt>
                <c:pt idx="126">
                  <c:v>3.6565713310002654</c:v>
                </c:pt>
                <c:pt idx="127">
                  <c:v>3.648738799625864</c:v>
                </c:pt>
                <c:pt idx="128">
                  <c:v>3.5896377837304745</c:v>
                </c:pt>
                <c:pt idx="129">
                  <c:v>3.5992354119131829</c:v>
                </c:pt>
                <c:pt idx="130">
                  <c:v>3.7251836349852248</c:v>
                </c:pt>
                <c:pt idx="131">
                  <c:v>3.7264256093806609</c:v>
                </c:pt>
                <c:pt idx="132">
                  <c:v>3.6854460520685008</c:v>
                </c:pt>
                <c:pt idx="133">
                  <c:v>3.6264957674308098</c:v>
                </c:pt>
                <c:pt idx="134">
                  <c:v>3.6024739574661435</c:v>
                </c:pt>
                <c:pt idx="135">
                  <c:v>3.6044894573547435</c:v>
                </c:pt>
                <c:pt idx="136">
                  <c:v>3.4024940848399678</c:v>
                </c:pt>
                <c:pt idx="137">
                  <c:v>3.6055421655062703</c:v>
                </c:pt>
                <c:pt idx="138">
                  <c:v>3.7616075475221158</c:v>
                </c:pt>
                <c:pt idx="139">
                  <c:v>3.5248236345811632</c:v>
                </c:pt>
                <c:pt idx="140">
                  <c:v>3.6592453363921438</c:v>
                </c:pt>
                <c:pt idx="141">
                  <c:v>3.7598041882581721</c:v>
                </c:pt>
                <c:pt idx="142">
                  <c:v>3.8422434061561068</c:v>
                </c:pt>
                <c:pt idx="143">
                  <c:v>3.8586790758275238</c:v>
                </c:pt>
                <c:pt idx="144">
                  <c:v>3.9279245425964415</c:v>
                </c:pt>
                <c:pt idx="145">
                  <c:v>4.0082924668683662</c:v>
                </c:pt>
                <c:pt idx="146">
                  <c:v>3.9856306172541531</c:v>
                </c:pt>
                <c:pt idx="147">
                  <c:v>3.9871406959000031</c:v>
                </c:pt>
                <c:pt idx="148">
                  <c:v>4.0039332882648413</c:v>
                </c:pt>
                <c:pt idx="149">
                  <c:v>3.9550493025306408</c:v>
                </c:pt>
                <c:pt idx="150">
                  <c:v>3.6803997793110144</c:v>
                </c:pt>
                <c:pt idx="151">
                  <c:v>3.6441042346380752</c:v>
                </c:pt>
                <c:pt idx="152">
                  <c:v>3.8062992057913831</c:v>
                </c:pt>
                <c:pt idx="153">
                  <c:v>3.8013661171321234</c:v>
                </c:pt>
                <c:pt idx="154">
                  <c:v>3.8347123884316354</c:v>
                </c:pt>
                <c:pt idx="155">
                  <c:v>3.8408071813190969</c:v>
                </c:pt>
                <c:pt idx="156">
                  <c:v>3.8433707752688409</c:v>
                </c:pt>
                <c:pt idx="157">
                  <c:v>3.8942649834725014</c:v>
                </c:pt>
                <c:pt idx="158">
                  <c:v>4.0915257553551614</c:v>
                </c:pt>
                <c:pt idx="159">
                  <c:v>4.1542625917699691</c:v>
                </c:pt>
                <c:pt idx="160">
                  <c:v>4.1334688324285169</c:v>
                </c:pt>
                <c:pt idx="161">
                  <c:v>4.1306526173943086</c:v>
                </c:pt>
                <c:pt idx="162">
                  <c:v>4.2205500459468759</c:v>
                </c:pt>
                <c:pt idx="163">
                  <c:v>4.514189759892246</c:v>
                </c:pt>
                <c:pt idx="164">
                  <c:v>4.5759979674408759</c:v>
                </c:pt>
                <c:pt idx="165">
                  <c:v>4.5800469745385559</c:v>
                </c:pt>
                <c:pt idx="166">
                  <c:v>4.6418017323948231</c:v>
                </c:pt>
                <c:pt idx="167">
                  <c:v>4.6801211779195917</c:v>
                </c:pt>
                <c:pt idx="168">
                  <c:v>4.7837287069542445</c:v>
                </c:pt>
                <c:pt idx="169">
                  <c:v>4.7679046789011466</c:v>
                </c:pt>
                <c:pt idx="170">
                  <c:v>4.9178317781137855</c:v>
                </c:pt>
                <c:pt idx="171">
                  <c:v>4.9309395967163763</c:v>
                </c:pt>
                <c:pt idx="172">
                  <c:v>5.1235813120398372</c:v>
                </c:pt>
                <c:pt idx="173">
                  <c:v>5.2586719587102992</c:v>
                </c:pt>
                <c:pt idx="174">
                  <c:v>5.5332849792401451</c:v>
                </c:pt>
                <c:pt idx="175">
                  <c:v>5.8016683617575415</c:v>
                </c:pt>
                <c:pt idx="176">
                  <c:v>5.87098008044513</c:v>
                </c:pt>
                <c:pt idx="177">
                  <c:v>6.0004273227235432</c:v>
                </c:pt>
                <c:pt idx="178">
                  <c:v>6.1127851871772894</c:v>
                </c:pt>
                <c:pt idx="179">
                  <c:v>6.2995219467832317</c:v>
                </c:pt>
                <c:pt idx="180">
                  <c:v>6.5186625768875004</c:v>
                </c:pt>
                <c:pt idx="181">
                  <c:v>6.6660544023955355</c:v>
                </c:pt>
                <c:pt idx="182">
                  <c:v>6.6754735137286412</c:v>
                </c:pt>
                <c:pt idx="183">
                  <c:v>6.8835035057355416</c:v>
                </c:pt>
                <c:pt idx="184">
                  <c:v>7.1631087228470474</c:v>
                </c:pt>
                <c:pt idx="185">
                  <c:v>7.2672807610546801</c:v>
                </c:pt>
                <c:pt idx="186">
                  <c:v>7.244179773467005</c:v>
                </c:pt>
                <c:pt idx="187">
                  <c:v>7.3195052404613383</c:v>
                </c:pt>
                <c:pt idx="188">
                  <c:v>7.4700437306133418</c:v>
                </c:pt>
                <c:pt idx="189">
                  <c:v>7.519497428396579</c:v>
                </c:pt>
                <c:pt idx="190">
                  <c:v>7.5577769818089111</c:v>
                </c:pt>
                <c:pt idx="191">
                  <c:v>7.7454658696844518</c:v>
                </c:pt>
                <c:pt idx="192">
                  <c:v>7.9688703711306204</c:v>
                </c:pt>
                <c:pt idx="193">
                  <c:v>8.1314519363871636</c:v>
                </c:pt>
                <c:pt idx="194">
                  <c:v>8.2702637851235075</c:v>
                </c:pt>
                <c:pt idx="195">
                  <c:v>8.2894912648008887</c:v>
                </c:pt>
                <c:pt idx="196">
                  <c:v>8.3933315116433196</c:v>
                </c:pt>
                <c:pt idx="197">
                  <c:v>8.4547032883683642</c:v>
                </c:pt>
                <c:pt idx="198">
                  <c:v>8.6611282917353716</c:v>
                </c:pt>
                <c:pt idx="199">
                  <c:v>8.3688881518439686</c:v>
                </c:pt>
                <c:pt idx="200">
                  <c:v>8.3506151052655664</c:v>
                </c:pt>
                <c:pt idx="201">
                  <c:v>8.3415979571616941</c:v>
                </c:pt>
                <c:pt idx="202">
                  <c:v>8.44744399479832</c:v>
                </c:pt>
                <c:pt idx="203">
                  <c:v>8.4590604388704538</c:v>
                </c:pt>
                <c:pt idx="204">
                  <c:v>8.3804671218448945</c:v>
                </c:pt>
                <c:pt idx="205">
                  <c:v>8.2072795741687194</c:v>
                </c:pt>
                <c:pt idx="206">
                  <c:v>8.1491793954511458</c:v>
                </c:pt>
                <c:pt idx="207">
                  <c:v>8.0271955719755343</c:v>
                </c:pt>
                <c:pt idx="208">
                  <c:v>7.7493301876681615</c:v>
                </c:pt>
                <c:pt idx="209">
                  <c:v>7.5891730124848706</c:v>
                </c:pt>
                <c:pt idx="210">
                  <c:v>7.4533698296868858</c:v>
                </c:pt>
                <c:pt idx="211">
                  <c:v>7.3198172933930827</c:v>
                </c:pt>
                <c:pt idx="212">
                  <c:v>6.9125957105141715</c:v>
                </c:pt>
                <c:pt idx="213">
                  <c:v>6.8594254355222803</c:v>
                </c:pt>
                <c:pt idx="214">
                  <c:v>6.7556287778618493</c:v>
                </c:pt>
                <c:pt idx="215">
                  <c:v>6.5248359094780133</c:v>
                </c:pt>
                <c:pt idx="216">
                  <c:v>6.2101895451552185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2A-4688-85BE-2D66B6F73F8A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8042501941717E-4"/>
                  <c:y val="8.12018863876941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2A-4688-85BE-2D66B6F73F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2018'!$A$211:$B$427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2018'!$J$211:$J$427</c:f>
              <c:numCache>
                <c:formatCode>0.00</c:formatCode>
                <c:ptCount val="217"/>
                <c:pt idx="0">
                  <c:v>6.4950635503201806</c:v>
                </c:pt>
                <c:pt idx="1">
                  <c:v>6.9409184628710738</c:v>
                </c:pt>
                <c:pt idx="2">
                  <c:v>7.0922003284502013</c:v>
                </c:pt>
                <c:pt idx="3">
                  <c:v>7.1317297538828734</c:v>
                </c:pt>
                <c:pt idx="4">
                  <c:v>7.5886496453235548</c:v>
                </c:pt>
                <c:pt idx="5">
                  <c:v>7.4237251066789662</c:v>
                </c:pt>
                <c:pt idx="6">
                  <c:v>6.7872551782769337</c:v>
                </c:pt>
                <c:pt idx="7">
                  <c:v>6.7653961950898802</c:v>
                </c:pt>
                <c:pt idx="8">
                  <c:v>7.1142206408702933</c:v>
                </c:pt>
                <c:pt idx="9">
                  <c:v>6.2883677473259407</c:v>
                </c:pt>
                <c:pt idx="10">
                  <c:v>5.1238236673489137</c:v>
                </c:pt>
                <c:pt idx="11">
                  <c:v>5.553502053315559</c:v>
                </c:pt>
                <c:pt idx="12">
                  <c:v>4.9759722534293189</c:v>
                </c:pt>
                <c:pt idx="13">
                  <c:v>4.7923307780056659</c:v>
                </c:pt>
                <c:pt idx="14">
                  <c:v>4.6877848019337964</c:v>
                </c:pt>
                <c:pt idx="15">
                  <c:v>5.8982881785546351</c:v>
                </c:pt>
                <c:pt idx="16">
                  <c:v>5.5662086749607775</c:v>
                </c:pt>
                <c:pt idx="17">
                  <c:v>5.3604930577271457</c:v>
                </c:pt>
                <c:pt idx="18">
                  <c:v>4.7646302304178798</c:v>
                </c:pt>
                <c:pt idx="19">
                  <c:v>4.5218429460487961</c:v>
                </c:pt>
                <c:pt idx="20">
                  <c:v>4.7150900692212332</c:v>
                </c:pt>
                <c:pt idx="21">
                  <c:v>4.5522452292606204</c:v>
                </c:pt>
                <c:pt idx="22">
                  <c:v>4.2340596225878899</c:v>
                </c:pt>
                <c:pt idx="23">
                  <c:v>4.0145974849363251</c:v>
                </c:pt>
                <c:pt idx="24">
                  <c:v>3.7730940060574425</c:v>
                </c:pt>
                <c:pt idx="25">
                  <c:v>3.253707279534702</c:v>
                </c:pt>
                <c:pt idx="26">
                  <c:v>3.1284345527310906</c:v>
                </c:pt>
                <c:pt idx="27">
                  <c:v>2.799376312718608</c:v>
                </c:pt>
                <c:pt idx="28">
                  <c:v>2.5182673831467639</c:v>
                </c:pt>
                <c:pt idx="29">
                  <c:v>2.5316811331532789</c:v>
                </c:pt>
                <c:pt idx="30">
                  <c:v>2.0256458057087765</c:v>
                </c:pt>
                <c:pt idx="31">
                  <c:v>1.6607444895850163</c:v>
                </c:pt>
                <c:pt idx="32">
                  <c:v>0.82695210466758939</c:v>
                </c:pt>
                <c:pt idx="33">
                  <c:v>1.724262703140605</c:v>
                </c:pt>
                <c:pt idx="34">
                  <c:v>2.076840265880878</c:v>
                </c:pt>
                <c:pt idx="35">
                  <c:v>2.9670720466403915</c:v>
                </c:pt>
                <c:pt idx="36">
                  <c:v>3.8869802894417953</c:v>
                </c:pt>
                <c:pt idx="37">
                  <c:v>3.1013903780819594</c:v>
                </c:pt>
                <c:pt idx="38">
                  <c:v>2.2772829941737354</c:v>
                </c:pt>
                <c:pt idx="39">
                  <c:v>1.9572208365234951</c:v>
                </c:pt>
                <c:pt idx="40">
                  <c:v>2.0115736658447148</c:v>
                </c:pt>
                <c:pt idx="41">
                  <c:v>1.3069599469632531</c:v>
                </c:pt>
                <c:pt idx="42">
                  <c:v>1.3202540826712859</c:v>
                </c:pt>
                <c:pt idx="43">
                  <c:v>1.7754334846294024</c:v>
                </c:pt>
                <c:pt idx="44">
                  <c:v>1.1875054186072642</c:v>
                </c:pt>
                <c:pt idx="45">
                  <c:v>1.1236102759206998</c:v>
                </c:pt>
                <c:pt idx="46">
                  <c:v>1.8570672629971363</c:v>
                </c:pt>
                <c:pt idx="47">
                  <c:v>1.435473434493211</c:v>
                </c:pt>
                <c:pt idx="48">
                  <c:v>2.2551891944160936</c:v>
                </c:pt>
                <c:pt idx="49">
                  <c:v>1.7205237390155139</c:v>
                </c:pt>
                <c:pt idx="50">
                  <c:v>2.3568244434462002</c:v>
                </c:pt>
                <c:pt idx="51">
                  <c:v>2.9494501849673669</c:v>
                </c:pt>
                <c:pt idx="52">
                  <c:v>3.0509461123777619</c:v>
                </c:pt>
                <c:pt idx="53">
                  <c:v>2.8557463161235983</c:v>
                </c:pt>
                <c:pt idx="54">
                  <c:v>3.1799022420404248</c:v>
                </c:pt>
                <c:pt idx="55">
                  <c:v>3.5033422442723645</c:v>
                </c:pt>
                <c:pt idx="56">
                  <c:v>3.5487290477032336</c:v>
                </c:pt>
                <c:pt idx="57">
                  <c:v>2.7088446842934264</c:v>
                </c:pt>
                <c:pt idx="58">
                  <c:v>8.0155759671578775</c:v>
                </c:pt>
                <c:pt idx="59">
                  <c:v>6.7889227299709018</c:v>
                </c:pt>
                <c:pt idx="60">
                  <c:v>6.2468428455855101</c:v>
                </c:pt>
                <c:pt idx="61">
                  <c:v>7.1735536812742309</c:v>
                </c:pt>
                <c:pt idx="62">
                  <c:v>8.2400694123811249</c:v>
                </c:pt>
                <c:pt idx="63">
                  <c:v>7.8091062118025887</c:v>
                </c:pt>
                <c:pt idx="64">
                  <c:v>8.3192674122531542</c:v>
                </c:pt>
                <c:pt idx="65">
                  <c:v>10.188536743829049</c:v>
                </c:pt>
                <c:pt idx="66">
                  <c:v>10.713444255762218</c:v>
                </c:pt>
                <c:pt idx="67">
                  <c:v>10.494054509718536</c:v>
                </c:pt>
                <c:pt idx="68">
                  <c:v>11.068084455061635</c:v>
                </c:pt>
                <c:pt idx="69">
                  <c:v>11.116193236681299</c:v>
                </c:pt>
                <c:pt idx="70">
                  <c:v>10.654814832773308</c:v>
                </c:pt>
                <c:pt idx="71">
                  <c:v>11.890453651150397</c:v>
                </c:pt>
                <c:pt idx="72">
                  <c:v>11.59946520094484</c:v>
                </c:pt>
                <c:pt idx="73">
                  <c:v>12.370504117360422</c:v>
                </c:pt>
                <c:pt idx="74">
                  <c:v>11.732885573617841</c:v>
                </c:pt>
                <c:pt idx="75">
                  <c:v>10.826978305481262</c:v>
                </c:pt>
                <c:pt idx="76">
                  <c:v>11.175643401945399</c:v>
                </c:pt>
                <c:pt idx="77">
                  <c:v>11.627961590016657</c:v>
                </c:pt>
                <c:pt idx="78">
                  <c:v>11.979095541609256</c:v>
                </c:pt>
                <c:pt idx="79">
                  <c:v>11.966928586012539</c:v>
                </c:pt>
                <c:pt idx="80">
                  <c:v>12.19819985820498</c:v>
                </c:pt>
                <c:pt idx="81">
                  <c:v>13.042548535754021</c:v>
                </c:pt>
                <c:pt idx="82">
                  <c:v>8.0957142470220163</c:v>
                </c:pt>
                <c:pt idx="83">
                  <c:v>8.784029546271741</c:v>
                </c:pt>
                <c:pt idx="84">
                  <c:v>8.7699585650104517</c:v>
                </c:pt>
                <c:pt idx="85">
                  <c:v>8.2133204175082657</c:v>
                </c:pt>
                <c:pt idx="86">
                  <c:v>8.2109095942750177</c:v>
                </c:pt>
                <c:pt idx="87">
                  <c:v>7.8437064030364763</c:v>
                </c:pt>
                <c:pt idx="88">
                  <c:v>7.6744931628316388</c:v>
                </c:pt>
                <c:pt idx="89">
                  <c:v>6.4732617723916475</c:v>
                </c:pt>
                <c:pt idx="90">
                  <c:v>6.7861034921775447</c:v>
                </c:pt>
                <c:pt idx="91">
                  <c:v>7.1894470826787664</c:v>
                </c:pt>
                <c:pt idx="92">
                  <c:v>7.4080464156304187</c:v>
                </c:pt>
                <c:pt idx="93">
                  <c:v>8.1759578507468884</c:v>
                </c:pt>
                <c:pt idx="94">
                  <c:v>8.5244469707805237</c:v>
                </c:pt>
                <c:pt idx="95">
                  <c:v>8.2396443389400353</c:v>
                </c:pt>
                <c:pt idx="96">
                  <c:v>8.4778777874222051</c:v>
                </c:pt>
                <c:pt idx="97">
                  <c:v>9.1252839106282853</c:v>
                </c:pt>
                <c:pt idx="98">
                  <c:v>8.9017861828507456</c:v>
                </c:pt>
                <c:pt idx="99">
                  <c:v>9.4004890259112877</c:v>
                </c:pt>
                <c:pt idx="100">
                  <c:v>8.5832601303434934</c:v>
                </c:pt>
                <c:pt idx="101">
                  <c:v>8.4152331492725487</c:v>
                </c:pt>
                <c:pt idx="102">
                  <c:v>7.4590536562382033</c:v>
                </c:pt>
                <c:pt idx="103">
                  <c:v>8.6855945350922177</c:v>
                </c:pt>
                <c:pt idx="104">
                  <c:v>9.2349508101855093</c:v>
                </c:pt>
                <c:pt idx="105">
                  <c:v>7.5712719615459667</c:v>
                </c:pt>
                <c:pt idx="106">
                  <c:v>7.312240523959658</c:v>
                </c:pt>
                <c:pt idx="107">
                  <c:v>6.3057860271568487</c:v>
                </c:pt>
                <c:pt idx="108">
                  <c:v>5.1471872403903829</c:v>
                </c:pt>
                <c:pt idx="109">
                  <c:v>5.3589515314463698</c:v>
                </c:pt>
                <c:pt idx="110">
                  <c:v>5.3894144316257213</c:v>
                </c:pt>
                <c:pt idx="111">
                  <c:v>5.5437378576809335</c:v>
                </c:pt>
                <c:pt idx="112">
                  <c:v>5.7702549956558435</c:v>
                </c:pt>
                <c:pt idx="113">
                  <c:v>6.3947202354999249</c:v>
                </c:pt>
                <c:pt idx="114">
                  <c:v>6.4146893530883435</c:v>
                </c:pt>
                <c:pt idx="115">
                  <c:v>5.1485006233642467</c:v>
                </c:pt>
                <c:pt idx="116">
                  <c:v>4.3392265834438648</c:v>
                </c:pt>
                <c:pt idx="117">
                  <c:v>4.0373988312642499</c:v>
                </c:pt>
                <c:pt idx="118">
                  <c:v>3.9201090991611469</c:v>
                </c:pt>
                <c:pt idx="119">
                  <c:v>3.3702041527999995</c:v>
                </c:pt>
                <c:pt idx="120">
                  <c:v>1.8067049202352206</c:v>
                </c:pt>
                <c:pt idx="121">
                  <c:v>0.76346840922571102</c:v>
                </c:pt>
                <c:pt idx="122">
                  <c:v>0.56732685659267901</c:v>
                </c:pt>
                <c:pt idx="123">
                  <c:v>0.84465812300346688</c:v>
                </c:pt>
                <c:pt idx="124">
                  <c:v>0.98561188578213699</c:v>
                </c:pt>
                <c:pt idx="125">
                  <c:v>1.0406730031873523</c:v>
                </c:pt>
                <c:pt idx="126">
                  <c:v>1.4516607851578105</c:v>
                </c:pt>
                <c:pt idx="127">
                  <c:v>0.50847386357755897</c:v>
                </c:pt>
                <c:pt idx="128">
                  <c:v>-0.15229465963550662</c:v>
                </c:pt>
                <c:pt idx="129">
                  <c:v>1.3322288952183787</c:v>
                </c:pt>
                <c:pt idx="130">
                  <c:v>1.6011116931556559</c:v>
                </c:pt>
                <c:pt idx="131">
                  <c:v>2.0122516411405873</c:v>
                </c:pt>
                <c:pt idx="132">
                  <c:v>3.0311846965526064</c:v>
                </c:pt>
                <c:pt idx="133">
                  <c:v>4.5966230866917224</c:v>
                </c:pt>
                <c:pt idx="134">
                  <c:v>4.0376567354514048</c:v>
                </c:pt>
                <c:pt idx="135">
                  <c:v>0.34673211352015881</c:v>
                </c:pt>
                <c:pt idx="136">
                  <c:v>-1.9301146349506009</c:v>
                </c:pt>
                <c:pt idx="137">
                  <c:v>-1.9982177635892786</c:v>
                </c:pt>
                <c:pt idx="138">
                  <c:v>-5.7094433428612874E-2</c:v>
                </c:pt>
                <c:pt idx="139">
                  <c:v>0.76054922687306203</c:v>
                </c:pt>
                <c:pt idx="140">
                  <c:v>1.6332380978908683</c:v>
                </c:pt>
                <c:pt idx="141">
                  <c:v>2.6875143497806042</c:v>
                </c:pt>
                <c:pt idx="142">
                  <c:v>2.7877993081800314</c:v>
                </c:pt>
                <c:pt idx="143">
                  <c:v>3.0463571996483312</c:v>
                </c:pt>
                <c:pt idx="144">
                  <c:v>4.184672636941241</c:v>
                </c:pt>
                <c:pt idx="145">
                  <c:v>4.4176789783008248</c:v>
                </c:pt>
                <c:pt idx="146">
                  <c:v>4.4428706614193674</c:v>
                </c:pt>
                <c:pt idx="147">
                  <c:v>3.7587809787500341</c:v>
                </c:pt>
                <c:pt idx="148">
                  <c:v>4.3400999181664348</c:v>
                </c:pt>
                <c:pt idx="149">
                  <c:v>4.4997539776512117</c:v>
                </c:pt>
                <c:pt idx="150">
                  <c:v>2.6665492514348288</c:v>
                </c:pt>
                <c:pt idx="151">
                  <c:v>1.9927877389054283</c:v>
                </c:pt>
                <c:pt idx="152">
                  <c:v>1.445278896790871</c:v>
                </c:pt>
                <c:pt idx="153">
                  <c:v>0.92569936746955528</c:v>
                </c:pt>
                <c:pt idx="154">
                  <c:v>1.8426319515126948</c:v>
                </c:pt>
                <c:pt idx="155">
                  <c:v>3.4185550607567707</c:v>
                </c:pt>
                <c:pt idx="156">
                  <c:v>3.8484287311782475</c:v>
                </c:pt>
                <c:pt idx="157">
                  <c:v>3.0270956175769523</c:v>
                </c:pt>
                <c:pt idx="158">
                  <c:v>4.1859040150041062</c:v>
                </c:pt>
                <c:pt idx="159">
                  <c:v>8.5184129740841765</c:v>
                </c:pt>
                <c:pt idx="160">
                  <c:v>12.205683039779625</c:v>
                </c:pt>
                <c:pt idx="161">
                  <c:v>12.467228886585106</c:v>
                </c:pt>
                <c:pt idx="162">
                  <c:v>10.829272756103951</c:v>
                </c:pt>
                <c:pt idx="163">
                  <c:v>10.69282858164269</c:v>
                </c:pt>
                <c:pt idx="164">
                  <c:v>10.606494638005474</c:v>
                </c:pt>
                <c:pt idx="165">
                  <c:v>9.3951916483000968</c:v>
                </c:pt>
                <c:pt idx="166">
                  <c:v>9.2356337605663246</c:v>
                </c:pt>
                <c:pt idx="167">
                  <c:v>9.5516852114074275</c:v>
                </c:pt>
                <c:pt idx="168">
                  <c:v>8.0754968670335394</c:v>
                </c:pt>
                <c:pt idx="169">
                  <c:v>8.2036058353629464</c:v>
                </c:pt>
                <c:pt idx="170">
                  <c:v>8.8564351653867437</c:v>
                </c:pt>
                <c:pt idx="171">
                  <c:v>9.8870553009868622</c:v>
                </c:pt>
                <c:pt idx="172">
                  <c:v>9.2103229551484986</c:v>
                </c:pt>
                <c:pt idx="173">
                  <c:v>9.7342976886769552</c:v>
                </c:pt>
                <c:pt idx="174">
                  <c:v>11.677543395738715</c:v>
                </c:pt>
                <c:pt idx="175">
                  <c:v>13.548167669266094</c:v>
                </c:pt>
                <c:pt idx="176">
                  <c:v>12.337470393547379</c:v>
                </c:pt>
                <c:pt idx="177">
                  <c:v>11.136661998171737</c:v>
                </c:pt>
                <c:pt idx="178">
                  <c:v>10.210431568885252</c:v>
                </c:pt>
                <c:pt idx="179">
                  <c:v>9.1623454402809781</c:v>
                </c:pt>
                <c:pt idx="180">
                  <c:v>9.332776243031466</c:v>
                </c:pt>
                <c:pt idx="181">
                  <c:v>9.342046030074739</c:v>
                </c:pt>
                <c:pt idx="182">
                  <c:v>9.1009344243739001</c:v>
                </c:pt>
                <c:pt idx="183">
                  <c:v>9.7959653348198277</c:v>
                </c:pt>
                <c:pt idx="184">
                  <c:v>9.3768541311479581</c:v>
                </c:pt>
                <c:pt idx="185">
                  <c:v>8.7647667289402342</c:v>
                </c:pt>
                <c:pt idx="186">
                  <c:v>8.5991694856195782</c:v>
                </c:pt>
                <c:pt idx="187">
                  <c:v>8.9336950672149484</c:v>
                </c:pt>
                <c:pt idx="188">
                  <c:v>9.1281494026404726</c:v>
                </c:pt>
                <c:pt idx="189">
                  <c:v>9.8081318866880256</c:v>
                </c:pt>
                <c:pt idx="190">
                  <c:v>9.9550532351477088</c:v>
                </c:pt>
                <c:pt idx="191">
                  <c:v>9.3374755219960797</c:v>
                </c:pt>
                <c:pt idx="192">
                  <c:v>10.592189410785293</c:v>
                </c:pt>
                <c:pt idx="193">
                  <c:v>10.701728547850065</c:v>
                </c:pt>
                <c:pt idx="194">
                  <c:v>10.221606259333315</c:v>
                </c:pt>
                <c:pt idx="195">
                  <c:v>9.703342417548221</c:v>
                </c:pt>
                <c:pt idx="196">
                  <c:v>8.9455077232684559</c:v>
                </c:pt>
                <c:pt idx="197">
                  <c:v>7.7736749716344633</c:v>
                </c:pt>
                <c:pt idx="198">
                  <c:v>6.6174237489228886</c:v>
                </c:pt>
                <c:pt idx="199">
                  <c:v>4.8581215477350304</c:v>
                </c:pt>
                <c:pt idx="200">
                  <c:v>6.0825962585052444</c:v>
                </c:pt>
                <c:pt idx="201">
                  <c:v>6.4578037692460901</c:v>
                </c:pt>
                <c:pt idx="202">
                  <c:v>6.4379157178664634</c:v>
                </c:pt>
                <c:pt idx="203">
                  <c:v>6.2039543739696619</c:v>
                </c:pt>
                <c:pt idx="204">
                  <c:v>5.9293798819631025</c:v>
                </c:pt>
                <c:pt idx="205">
                  <c:v>5.3717146609834403</c:v>
                </c:pt>
                <c:pt idx="206">
                  <c:v>4.152888013049937</c:v>
                </c:pt>
                <c:pt idx="207">
                  <c:v>2.3938602642254443</c:v>
                </c:pt>
                <c:pt idx="208">
                  <c:v>1.8249051768734255</c:v>
                </c:pt>
                <c:pt idx="209">
                  <c:v>2.4182516010163324</c:v>
                </c:pt>
                <c:pt idx="210">
                  <c:v>1.6960393959720346</c:v>
                </c:pt>
                <c:pt idx="211">
                  <c:v>0.780031692610206</c:v>
                </c:pt>
                <c:pt idx="212">
                  <c:v>3.1102330989755032E-2</c:v>
                </c:pt>
                <c:pt idx="213">
                  <c:v>-0.73894281565257802</c:v>
                </c:pt>
                <c:pt idx="214">
                  <c:v>-0.97373528202974391</c:v>
                </c:pt>
                <c:pt idx="215">
                  <c:v>-0.36354673090285627</c:v>
                </c:pt>
                <c:pt idx="216">
                  <c:v>0.13385624507504093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02A-4688-85BE-2D66B6F73F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69736"/>
        <c:axId val="117070912"/>
      </c:lineChart>
      <c:catAx>
        <c:axId val="117069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70912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11707091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6973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5F8ED-EA0C-41E3-B707-201D638FE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35</TotalTime>
  <Pages>10</Pages>
  <Words>2742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PRECIOS CONSUMIDOR SUBYACENTE y NO SUBYACENTE</cp:keywords>
  <cp:lastModifiedBy>MORONES RUIZ FABIOLA CRISTINA</cp:lastModifiedBy>
  <cp:revision>10</cp:revision>
  <cp:lastPrinted>2023-06-20T16:23:00Z</cp:lastPrinted>
  <dcterms:created xsi:type="dcterms:W3CDTF">2023-08-22T17:25:00Z</dcterms:created>
  <dcterms:modified xsi:type="dcterms:W3CDTF">2023-08-23T17:01:00Z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0x01010068D8128FBF1DCB4BB482DBB94943CBF1</vt:lpwstr>
  </property>
</Properties>
</file>