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DD22A" w14:textId="77777777" w:rsidR="008F50B1" w:rsidRDefault="008F50B1" w:rsidP="00D94381">
      <w:pPr>
        <w:pStyle w:val="Profesin"/>
        <w:rPr>
          <w:caps w:val="0"/>
          <w:smallCaps/>
        </w:rPr>
      </w:pPr>
    </w:p>
    <w:p w14:paraId="08FC888B" w14:textId="4EA23EB0" w:rsidR="008F50B1" w:rsidRDefault="008F50B1" w:rsidP="00D94381">
      <w:pPr>
        <w:pStyle w:val="Profesin"/>
        <w:rPr>
          <w:caps w:val="0"/>
          <w:smallCaps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14BC34C" wp14:editId="4D656436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3336290" cy="33147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7E88BD" w14:textId="290A769A" w:rsidR="008F50B1" w:rsidRPr="003D4E37" w:rsidRDefault="008F50B1" w:rsidP="008F50B1">
                            <w:pPr>
                              <w:jc w:val="right"/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5 de abril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4BC34C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11.5pt;margin-top:.55pt;width:262.7pt;height:26.1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" stroked="f">
                <v:textbox>
                  <w:txbxContent>
                    <w:p w14:paraId="707E88BD" w14:textId="290A769A" w:rsidR="008F50B1" w:rsidRPr="003D4E37" w:rsidRDefault="008F50B1" w:rsidP="008F50B1">
                      <w:pPr>
                        <w:jc w:val="right"/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Próxima publicación: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5 de abril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6E25796" w14:textId="2A43E019" w:rsidR="008F50B1" w:rsidRDefault="008F50B1" w:rsidP="00D94381">
      <w:pPr>
        <w:pStyle w:val="Profesin"/>
        <w:rPr>
          <w:caps w:val="0"/>
          <w:smallCaps/>
        </w:rPr>
      </w:pPr>
    </w:p>
    <w:p w14:paraId="08F8DC01" w14:textId="508C48AC" w:rsidR="008F50B1" w:rsidRDefault="008F50B1" w:rsidP="00D94381">
      <w:pPr>
        <w:pStyle w:val="Profesin"/>
        <w:rPr>
          <w:caps w:val="0"/>
          <w:smallCaps/>
        </w:rPr>
      </w:pPr>
    </w:p>
    <w:p w14:paraId="30CCC268" w14:textId="77777777" w:rsidR="008F50B1" w:rsidRDefault="008F50B1" w:rsidP="00D94381">
      <w:pPr>
        <w:pStyle w:val="Profesin"/>
        <w:rPr>
          <w:caps w:val="0"/>
          <w:smallCaps/>
        </w:rPr>
      </w:pPr>
    </w:p>
    <w:p w14:paraId="4A31FE25" w14:textId="5B0EEE8C" w:rsidR="00B63B5D" w:rsidRPr="008F50B1" w:rsidRDefault="00935393" w:rsidP="00D94381">
      <w:pPr>
        <w:pStyle w:val="Profesin"/>
        <w:rPr>
          <w:sz w:val="24"/>
        </w:rPr>
      </w:pPr>
      <w:r w:rsidRPr="008F50B1">
        <w:rPr>
          <w:sz w:val="24"/>
        </w:rPr>
        <w:t>Í</w:t>
      </w:r>
      <w:r w:rsidR="00B63B5D" w:rsidRPr="008F50B1">
        <w:rPr>
          <w:sz w:val="24"/>
        </w:rPr>
        <w:t>NDICE NACIONAL DE PRECIOS AL CONSUMIDOR</w:t>
      </w:r>
    </w:p>
    <w:p w14:paraId="7AEFB77E" w14:textId="330FDEAA" w:rsidR="00B63B5D" w:rsidRPr="008F50B1" w:rsidRDefault="00381BE3" w:rsidP="001319AC">
      <w:pPr>
        <w:pStyle w:val="Profesin"/>
        <w:spacing w:before="60"/>
        <w:rPr>
          <w:sz w:val="22"/>
        </w:rPr>
      </w:pPr>
      <w:r w:rsidRPr="008F50B1">
        <w:rPr>
          <w:sz w:val="22"/>
        </w:rPr>
        <w:t>febrero</w:t>
      </w:r>
      <w:r w:rsidR="00C20222" w:rsidRPr="008F50B1">
        <w:rPr>
          <w:sz w:val="22"/>
        </w:rPr>
        <w:t xml:space="preserve"> de 2023</w:t>
      </w:r>
    </w:p>
    <w:p w14:paraId="595F45BF" w14:textId="0E75A8AA" w:rsidR="000C372F" w:rsidRPr="008F50B1" w:rsidRDefault="007C6471" w:rsidP="008F50B1">
      <w:pPr>
        <w:pStyle w:val="Prrafodelista"/>
        <w:spacing w:before="480"/>
        <w:ind w:left="0" w:right="51"/>
        <w:rPr>
          <w:bCs/>
          <w:spacing w:val="4"/>
          <w:szCs w:val="22"/>
        </w:rPr>
      </w:pPr>
      <w:r w:rsidRPr="008F50B1">
        <w:rPr>
          <w:bCs/>
          <w:spacing w:val="4"/>
          <w:szCs w:val="22"/>
        </w:rPr>
        <w:t xml:space="preserve">En febrero de 2023, el Índice Nacional de Precios al Consumidor (INPC) registró una variación de 0.56 % </w:t>
      </w:r>
      <w:r w:rsidR="003A3361" w:rsidRPr="008F50B1">
        <w:rPr>
          <w:bCs/>
          <w:spacing w:val="4"/>
          <w:szCs w:val="22"/>
        </w:rPr>
        <w:t xml:space="preserve">con </w:t>
      </w:r>
      <w:r w:rsidRPr="008F50B1">
        <w:rPr>
          <w:bCs/>
          <w:spacing w:val="4"/>
          <w:szCs w:val="22"/>
        </w:rPr>
        <w:t>respecto al mes anterior. Con este resultado, la inflación general anual se ubicó en 7.62 por ciento. En el mismo mes de 2022, la inflación mensual fue de 0.83 % y la anual, de 7.28 por ciento</w:t>
      </w:r>
      <w:r w:rsidR="008D03D4" w:rsidRPr="008F50B1">
        <w:rPr>
          <w:bCs/>
          <w:spacing w:val="4"/>
          <w:szCs w:val="22"/>
        </w:rPr>
        <w:t>.</w:t>
      </w:r>
    </w:p>
    <w:p w14:paraId="37039CA9" w14:textId="73076EB4" w:rsidR="000C372F" w:rsidRPr="008F50B1" w:rsidRDefault="007C6471" w:rsidP="008F50B1">
      <w:pPr>
        <w:pStyle w:val="Prrafodelista"/>
        <w:spacing w:before="400"/>
        <w:ind w:left="0" w:right="51"/>
        <w:rPr>
          <w:bCs/>
          <w:spacing w:val="4"/>
          <w:szCs w:val="22"/>
        </w:rPr>
      </w:pPr>
      <w:r w:rsidRPr="008F50B1">
        <w:rPr>
          <w:bCs/>
          <w:spacing w:val="4"/>
          <w:szCs w:val="22"/>
        </w:rPr>
        <w:t>El índice de precios subyacente</w:t>
      </w:r>
      <w:r w:rsidRPr="008F50B1">
        <w:rPr>
          <w:rStyle w:val="Refdenotaalpie"/>
          <w:bCs/>
          <w:spacing w:val="4"/>
          <w:szCs w:val="22"/>
        </w:rPr>
        <w:footnoteReference w:id="2"/>
      </w:r>
      <w:r w:rsidRPr="008F50B1">
        <w:rPr>
          <w:bCs/>
          <w:spacing w:val="4"/>
          <w:szCs w:val="22"/>
        </w:rPr>
        <w:t xml:space="preserve"> tuvo un aumento de 0.61 % mensual y de 8.29 % anual. El índice de precios no subyacente subió 0.40 % a tasa mensual y 5.65 % a tasa anual</w:t>
      </w:r>
      <w:r w:rsidR="00F12550" w:rsidRPr="008F50B1">
        <w:rPr>
          <w:bCs/>
          <w:spacing w:val="4"/>
          <w:szCs w:val="22"/>
        </w:rPr>
        <w:t>.</w:t>
      </w:r>
    </w:p>
    <w:p w14:paraId="209DC4EE" w14:textId="64D6E125" w:rsidR="008D03D4" w:rsidRPr="008F50B1" w:rsidRDefault="007C6471" w:rsidP="008F50B1">
      <w:pPr>
        <w:pStyle w:val="Prrafodelista"/>
        <w:spacing w:before="400"/>
        <w:ind w:left="0" w:right="51"/>
        <w:rPr>
          <w:bCs/>
          <w:spacing w:val="4"/>
          <w:szCs w:val="22"/>
        </w:rPr>
      </w:pPr>
      <w:r w:rsidRPr="008F50B1">
        <w:rPr>
          <w:bCs/>
          <w:spacing w:val="4"/>
          <w:szCs w:val="22"/>
        </w:rPr>
        <w:t xml:space="preserve">Al interior del índice subyacente, a tasa mensual, los precios de las mercancías </w:t>
      </w:r>
      <w:r w:rsidR="00D433D7" w:rsidRPr="008F50B1">
        <w:rPr>
          <w:bCs/>
          <w:spacing w:val="4"/>
          <w:szCs w:val="22"/>
        </w:rPr>
        <w:t>incrementaron</w:t>
      </w:r>
      <w:r w:rsidRPr="008F50B1">
        <w:rPr>
          <w:bCs/>
          <w:spacing w:val="4"/>
          <w:szCs w:val="22"/>
        </w:rPr>
        <w:t xml:space="preserve"> 0.65 % y los de servicios, 0.56 por ciento</w:t>
      </w:r>
      <w:r w:rsidR="008D03D4" w:rsidRPr="008F50B1">
        <w:rPr>
          <w:bCs/>
          <w:spacing w:val="4"/>
          <w:szCs w:val="22"/>
        </w:rPr>
        <w:t>.</w:t>
      </w:r>
    </w:p>
    <w:p w14:paraId="5F98A784" w14:textId="20854F44" w:rsidR="008D03D4" w:rsidRPr="008F50B1" w:rsidRDefault="007C6471" w:rsidP="008F50B1">
      <w:pPr>
        <w:pStyle w:val="Prrafodelista"/>
        <w:spacing w:before="400"/>
        <w:ind w:left="0" w:right="51"/>
        <w:rPr>
          <w:bCs/>
          <w:spacing w:val="4"/>
          <w:szCs w:val="22"/>
        </w:rPr>
      </w:pPr>
      <w:r w:rsidRPr="008F50B1">
        <w:rPr>
          <w:bCs/>
          <w:spacing w:val="4"/>
          <w:szCs w:val="22"/>
        </w:rPr>
        <w:t xml:space="preserve">Dentro del índice no subyacente, a tasa mensual, los precios de los productos agropecuarios </w:t>
      </w:r>
      <w:r w:rsidR="003A3361" w:rsidRPr="008F50B1">
        <w:rPr>
          <w:bCs/>
          <w:spacing w:val="4"/>
          <w:szCs w:val="22"/>
        </w:rPr>
        <w:t xml:space="preserve">disminuyeron </w:t>
      </w:r>
      <w:r w:rsidRPr="008F50B1">
        <w:rPr>
          <w:bCs/>
          <w:spacing w:val="4"/>
          <w:szCs w:val="22"/>
        </w:rPr>
        <w:t>0.07</w:t>
      </w:r>
      <w:r w:rsidR="006B00AF" w:rsidRPr="008F50B1">
        <w:rPr>
          <w:bCs/>
          <w:spacing w:val="4"/>
          <w:szCs w:val="22"/>
        </w:rPr>
        <w:t> </w:t>
      </w:r>
      <w:r w:rsidR="0008086E" w:rsidRPr="008F50B1">
        <w:rPr>
          <w:bCs/>
          <w:spacing w:val="4"/>
          <w:szCs w:val="22"/>
        </w:rPr>
        <w:t>por ciento. L</w:t>
      </w:r>
      <w:r w:rsidRPr="008F50B1">
        <w:rPr>
          <w:bCs/>
          <w:spacing w:val="4"/>
          <w:szCs w:val="22"/>
        </w:rPr>
        <w:t xml:space="preserve">os </w:t>
      </w:r>
      <w:r w:rsidR="0008086E" w:rsidRPr="008F50B1">
        <w:rPr>
          <w:bCs/>
          <w:spacing w:val="4"/>
          <w:szCs w:val="22"/>
        </w:rPr>
        <w:t xml:space="preserve">de productos </w:t>
      </w:r>
      <w:r w:rsidRPr="008F50B1">
        <w:rPr>
          <w:bCs/>
          <w:spacing w:val="4"/>
          <w:szCs w:val="22"/>
        </w:rPr>
        <w:t>energéticos y tarifas autorizadas por el gobierno</w:t>
      </w:r>
      <w:r w:rsidR="003A3361" w:rsidRPr="008F50B1">
        <w:rPr>
          <w:bCs/>
          <w:spacing w:val="4"/>
          <w:szCs w:val="22"/>
        </w:rPr>
        <w:t xml:space="preserve"> crecieron</w:t>
      </w:r>
      <w:r w:rsidRPr="008F50B1">
        <w:rPr>
          <w:bCs/>
          <w:spacing w:val="4"/>
          <w:szCs w:val="22"/>
        </w:rPr>
        <w:t xml:space="preserve"> 0.80 por ciento</w:t>
      </w:r>
      <w:r w:rsidR="008D03D4" w:rsidRPr="008F50B1">
        <w:rPr>
          <w:bCs/>
          <w:spacing w:val="4"/>
          <w:szCs w:val="22"/>
        </w:rPr>
        <w:t xml:space="preserve">. </w:t>
      </w:r>
    </w:p>
    <w:p w14:paraId="29A472D3" w14:textId="77777777" w:rsidR="00185D70" w:rsidRDefault="00185D70">
      <w:pPr>
        <w:jc w:val="left"/>
        <w:rPr>
          <w:b/>
          <w:i/>
          <w:color w:val="000000" w:themeColor="text1"/>
        </w:rPr>
      </w:pPr>
      <w:r>
        <w:rPr>
          <w:b/>
          <w:i/>
          <w:color w:val="000000" w:themeColor="text1"/>
        </w:rPr>
        <w:br w:type="page"/>
      </w:r>
    </w:p>
    <w:p w14:paraId="3EFE9060" w14:textId="7D61F91D" w:rsidR="008F50B1" w:rsidRDefault="008F50B1" w:rsidP="000C372F">
      <w:pPr>
        <w:keepNext/>
        <w:keepLines/>
        <w:widowControl w:val="0"/>
        <w:spacing w:before="360"/>
        <w:jc w:val="left"/>
        <w:rPr>
          <w:b/>
          <w:smallCaps/>
          <w:color w:val="000000" w:themeColor="text1"/>
        </w:rPr>
      </w:pPr>
    </w:p>
    <w:p w14:paraId="19A7C86A" w14:textId="77777777" w:rsidR="008F50B1" w:rsidRPr="00B81C75" w:rsidRDefault="008F50B1" w:rsidP="008F50B1">
      <w:pPr>
        <w:pStyle w:val="Prrafodelista"/>
        <w:keepNext/>
        <w:keepLines/>
        <w:widowControl w:val="0"/>
        <w:ind w:left="0"/>
        <w:jc w:val="center"/>
        <w:rPr>
          <w:b/>
          <w:bCs/>
          <w:color w:val="000000" w:themeColor="text1"/>
          <w:sz w:val="22"/>
          <w:szCs w:val="22"/>
        </w:rPr>
      </w:pPr>
      <w:r w:rsidRPr="00581158">
        <w:rPr>
          <w:b/>
          <w:bCs/>
          <w:iCs/>
          <w:smallCaps/>
          <w:color w:val="000000" w:themeColor="text1"/>
          <w:sz w:val="22"/>
          <w:szCs w:val="22"/>
        </w:rPr>
        <w:t>Índice Nacional de Precios al Consumidor</w:t>
      </w:r>
      <w:r>
        <w:rPr>
          <w:b/>
          <w:bCs/>
          <w:color w:val="000000" w:themeColor="text1"/>
          <w:sz w:val="22"/>
          <w:szCs w:val="22"/>
        </w:rPr>
        <w:t xml:space="preserve"> </w:t>
      </w:r>
      <w:r w:rsidRPr="002660A9">
        <w:rPr>
          <w:b/>
          <w:bCs/>
          <w:smallCaps/>
          <w:color w:val="000000" w:themeColor="text1"/>
          <w:sz w:val="22"/>
          <w:szCs w:val="22"/>
        </w:rPr>
        <w:t>y sus componentes</w:t>
      </w:r>
    </w:p>
    <w:p w14:paraId="54C05330" w14:textId="77777777" w:rsidR="008F50B1" w:rsidRPr="00257AF9" w:rsidRDefault="008F50B1" w:rsidP="008F50B1">
      <w:pPr>
        <w:keepNext/>
        <w:keepLines/>
        <w:widowControl w:val="0"/>
        <w:jc w:val="center"/>
        <w:rPr>
          <w:sz w:val="18"/>
          <w:szCs w:val="18"/>
        </w:rPr>
      </w:pPr>
      <w:r>
        <w:rPr>
          <w:sz w:val="18"/>
          <w:szCs w:val="18"/>
        </w:rPr>
        <w:t>(Cifras durante febrero</w:t>
      </w:r>
      <w:r w:rsidRPr="00257AF9">
        <w:rPr>
          <w:sz w:val="18"/>
          <w:szCs w:val="18"/>
        </w:rPr>
        <w:t xml:space="preserve"> de los años que se indica</w:t>
      </w:r>
      <w:r>
        <w:rPr>
          <w:sz w:val="18"/>
          <w:szCs w:val="18"/>
        </w:rPr>
        <w:t>n)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67"/>
        <w:gridCol w:w="481"/>
        <w:gridCol w:w="481"/>
        <w:gridCol w:w="480"/>
        <w:gridCol w:w="135"/>
        <w:gridCol w:w="480"/>
        <w:gridCol w:w="480"/>
        <w:gridCol w:w="480"/>
        <w:gridCol w:w="135"/>
        <w:gridCol w:w="600"/>
        <w:gridCol w:w="600"/>
        <w:gridCol w:w="600"/>
        <w:gridCol w:w="135"/>
        <w:gridCol w:w="600"/>
        <w:gridCol w:w="600"/>
        <w:gridCol w:w="600"/>
      </w:tblGrid>
      <w:tr w:rsidR="008F50B1" w:rsidRPr="00A9663B" w14:paraId="272E5DD3" w14:textId="77777777" w:rsidTr="00A32BA1">
        <w:trPr>
          <w:trHeight w:val="283"/>
          <w:jc w:val="center"/>
        </w:trPr>
        <w:tc>
          <w:tcPr>
            <w:tcW w:w="2891" w:type="dxa"/>
            <w:vMerge w:val="restart"/>
            <w:tcBorders>
              <w:top w:val="single" w:sz="8" w:space="0" w:color="006600"/>
              <w:lef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7144399E" w14:textId="77777777" w:rsidR="008F50B1" w:rsidRPr="00443E47" w:rsidRDefault="008F50B1" w:rsidP="00A32BA1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2845" w:type="dxa"/>
            <w:gridSpan w:val="7"/>
            <w:tcBorders>
              <w:top w:val="single" w:sz="8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616352CA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porcentual</w:t>
            </w: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3A6BFAE8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523" w:type="dxa"/>
            <w:gridSpan w:val="7"/>
            <w:tcBorders>
              <w:top w:val="single" w:sz="8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5B8562DB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443E47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8F50B1" w:rsidRPr="00A9663B" w14:paraId="482087A5" w14:textId="77777777" w:rsidTr="00A32BA1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</w:tcBorders>
            <w:shd w:val="clear" w:color="auto" w:fill="9FBE62"/>
            <w:noWrap/>
            <w:vAlign w:val="center"/>
          </w:tcPr>
          <w:p w14:paraId="38D24191" w14:textId="77777777" w:rsidR="008F50B1" w:rsidRPr="00443E47" w:rsidRDefault="008F50B1" w:rsidP="00A32BA1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752A3050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127" w:type="dxa"/>
            <w:tcBorders>
              <w:top w:val="single" w:sz="4" w:space="0" w:color="006600"/>
              <w:right w:val="nil"/>
            </w:tcBorders>
            <w:shd w:val="clear" w:color="auto" w:fill="9FBE62"/>
            <w:vAlign w:val="center"/>
          </w:tcPr>
          <w:p w14:paraId="6E8C68B1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vAlign w:val="center"/>
          </w:tcPr>
          <w:p w14:paraId="1B99436B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27" w:type="dxa"/>
            <w:tcBorders>
              <w:left w:val="nil"/>
              <w:right w:val="nil"/>
            </w:tcBorders>
            <w:shd w:val="clear" w:color="auto" w:fill="9FBE62"/>
            <w:vAlign w:val="center"/>
          </w:tcPr>
          <w:p w14:paraId="61BC0FC0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noWrap/>
            <w:vAlign w:val="center"/>
          </w:tcPr>
          <w:p w14:paraId="06B51537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127" w:type="dxa"/>
            <w:tcBorders>
              <w:top w:val="single" w:sz="4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6BFB9800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2E031A9B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anual </w:t>
            </w:r>
          </w:p>
        </w:tc>
      </w:tr>
      <w:tr w:rsidR="008F50B1" w:rsidRPr="00A9663B" w14:paraId="59840FC3" w14:textId="77777777" w:rsidTr="00A32BA1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  <w:bottom w:val="single" w:sz="8" w:space="0" w:color="006600"/>
            </w:tcBorders>
            <w:shd w:val="clear" w:color="auto" w:fill="9FBE62"/>
            <w:vAlign w:val="center"/>
            <w:hideMark/>
          </w:tcPr>
          <w:p w14:paraId="2300AEE4" w14:textId="77777777" w:rsidR="008F50B1" w:rsidRPr="00443E47" w:rsidRDefault="008F50B1" w:rsidP="00A32BA1">
            <w:pPr>
              <w:jc w:val="center"/>
              <w:rPr>
                <w:b/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6C423485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42E5CE66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052BF11B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01CD4851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3B5C050C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543A6AFD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60273D48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5C66D709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705452FA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6E00316F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18756FD4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6C4FDF45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F35504D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B568C17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52491A55" w14:textId="77777777" w:rsidR="008F50B1" w:rsidRPr="00443E47" w:rsidRDefault="008F50B1" w:rsidP="00A32BA1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</w:tr>
      <w:tr w:rsidR="008F50B1" w:rsidRPr="009F6415" w14:paraId="79D3560B" w14:textId="77777777" w:rsidTr="00A32BA1">
        <w:trPr>
          <w:trHeight w:val="283"/>
          <w:jc w:val="center"/>
        </w:trPr>
        <w:tc>
          <w:tcPr>
            <w:tcW w:w="2891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A5D805C" w14:textId="77777777" w:rsidR="008F50B1" w:rsidRPr="00B21A5C" w:rsidRDefault="008F50B1" w:rsidP="00A32BA1">
            <w:pPr>
              <w:ind w:left="5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INPC 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30121F11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0.63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423E9A41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0.83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vAlign w:val="center"/>
          </w:tcPr>
          <w:p w14:paraId="76B08999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0.56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6D9BB88D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A03F0BD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3.76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54372B58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7.28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6386C102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7.62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43A75519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5788517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0.633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7B967122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0.830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57F24E1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0.558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09B6AB93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FE0E617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3.760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1E7E955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7.279</w:t>
            </w: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8EF27B7" w14:textId="77777777" w:rsidR="008F50B1" w:rsidRPr="00A75DB1" w:rsidRDefault="008F50B1" w:rsidP="00A32BA1">
            <w:pPr>
              <w:ind w:right="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7.619</w:t>
            </w:r>
          </w:p>
        </w:tc>
      </w:tr>
      <w:tr w:rsidR="008F50B1" w:rsidRPr="00841586" w14:paraId="5D9B0B45" w14:textId="77777777" w:rsidTr="00A32BA1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3B98D789" w14:textId="77777777" w:rsidR="008F50B1" w:rsidRPr="00B21A5C" w:rsidRDefault="008F50B1" w:rsidP="00A32BA1">
            <w:pPr>
              <w:ind w:left="113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71918034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0.39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75F03822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0.76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1BA66A43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0.61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5A475432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7D75E36B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3.87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2EA2773C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6.59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29C4F9E9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8.29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4B43391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102B05F0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0.296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5D8F8DDF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0.566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67427B00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0.458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7C75AAC7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49259731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2.898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4226193A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4.943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  <w:hideMark/>
          </w:tcPr>
          <w:p w14:paraId="4AA2AB86" w14:textId="77777777" w:rsidR="008F50B1" w:rsidRPr="00A75DB1" w:rsidRDefault="008F50B1" w:rsidP="00A32BA1">
            <w:pPr>
              <w:ind w:right="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6.179</w:t>
            </w:r>
          </w:p>
        </w:tc>
      </w:tr>
      <w:tr w:rsidR="008F50B1" w:rsidRPr="00841586" w14:paraId="238A5225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00C3CDF" w14:textId="77777777" w:rsidR="008F50B1" w:rsidRPr="00B21A5C" w:rsidRDefault="008F50B1" w:rsidP="00A32BA1">
            <w:pPr>
              <w:ind w:left="170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087F29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A72011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12A19E3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D3F4DF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09DE59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5.54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47E10A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8.34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3508F2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10.65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48FF05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104A73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0.206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A8F4F0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0.386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6D8ABE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0.268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1483C6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B42E43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2.160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039B17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3.311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059792C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4.268</w:t>
            </w:r>
          </w:p>
        </w:tc>
      </w:tr>
      <w:tr w:rsidR="008F50B1" w:rsidRPr="00841586" w14:paraId="16D66FE5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C7E2206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Alimentos, Bebidas y Tabaco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DEBE5B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DD89DC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1.02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3A28F41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0.68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029F82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522583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6.34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19F4AF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9.40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70AB6E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13.70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1185E7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EEDCAA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0.088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3857D4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0.215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324079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0.152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8446D9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42E3BF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1.287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CBF25F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1.955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C20F14F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2.906</w:t>
            </w:r>
          </w:p>
        </w:tc>
      </w:tr>
      <w:tr w:rsidR="008F50B1" w:rsidRPr="00841586" w14:paraId="0388275E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B8F51F9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 no Alimenticias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44896A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FC7317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47C0BA8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7C0BE4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84FD56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4.66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9BB7C3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7.18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898CD4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7.22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907F65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181F70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1EF248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0.171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E585BF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ECC797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55D4C5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0.873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74735B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1.356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1E5AF70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1.363</w:t>
            </w:r>
          </w:p>
        </w:tc>
      </w:tr>
      <w:tr w:rsidR="008F50B1" w:rsidRPr="00841586" w14:paraId="52F0DBEB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95B0629" w14:textId="77777777" w:rsidR="008F50B1" w:rsidRPr="00B21A5C" w:rsidRDefault="008F50B1" w:rsidP="00A32BA1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Servicios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408118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49588E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7B2522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0.56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F0741A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46F153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2.06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48E900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4.62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C37AE8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5.55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F2FA9B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28FAE0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0.090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D14DBE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0.180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444E2C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0.190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1BD503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6BB89D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0.738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3A34BC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1.632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A9FE3BF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1.910</w:t>
            </w:r>
          </w:p>
        </w:tc>
      </w:tr>
      <w:tr w:rsidR="008F50B1" w:rsidRPr="00841586" w14:paraId="7E501E5B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D31B5C9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Vivienda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3/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717E40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A9455E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57B186D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08FD2B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8933E5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1.85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3CBB8F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2.72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982E2D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3.43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D465F5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FC5C1F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0AEDD5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F6E772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BDDC22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56E017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0.280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83A63E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0.404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318826C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0.488</w:t>
            </w:r>
          </w:p>
        </w:tc>
      </w:tr>
      <w:tr w:rsidR="008F50B1" w:rsidRPr="00841586" w14:paraId="2EBD34BE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2A980F1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Educación (Colegiaturas)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BC48F5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EBCDF9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0.48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EDB7B6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519F17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F50396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1.16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3B78EA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3.19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3E8227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4.83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B7DFC0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B39799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0.001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6FB98A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0.017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D1B70D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0.028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0C3E65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6680DA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0E0205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145D305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0.167</w:t>
            </w:r>
          </w:p>
        </w:tc>
      </w:tr>
      <w:tr w:rsidR="008F50B1" w:rsidRPr="00841586" w14:paraId="3F2D762C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B9D3344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Otros Servicios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4/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8C4942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874EEA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78F3EC2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0.69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0B8A26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63B802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2.44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3B0CC4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6.62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099DE1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7.51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9EAF75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61ED72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0.059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830251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0.120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A0BD93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399088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0E9961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0.415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C30934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1.113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0E8FD6BB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1.255</w:t>
            </w:r>
          </w:p>
        </w:tc>
      </w:tr>
      <w:tr w:rsidR="008F50B1" w:rsidRPr="00841586" w14:paraId="2DAAC4F0" w14:textId="77777777" w:rsidTr="00A32BA1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4E1B5AF3" w14:textId="77777777" w:rsidR="008F50B1" w:rsidRPr="00B21A5C" w:rsidRDefault="008F50B1" w:rsidP="00A32BA1">
            <w:pPr>
              <w:ind w:left="113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No 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A7D0016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1.36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7878FD5E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1.04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549CF3E3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2445254E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0BB4F303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3.43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37DB6D1E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9.34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77F5E61F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5.65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2F8A2561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61C8C64A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0.337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6E6BECBB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0.264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3D65B8B2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0.100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026B5AC3" w14:textId="77777777" w:rsidR="008F50B1" w:rsidRPr="00B21A5C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6B859300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0.862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7E654EA0" w14:textId="77777777" w:rsidR="008F50B1" w:rsidRPr="00A75DB1" w:rsidRDefault="008F50B1" w:rsidP="00A32BA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2.336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</w:tcPr>
          <w:p w14:paraId="0F8648FD" w14:textId="77777777" w:rsidR="008F50B1" w:rsidRPr="00A75DB1" w:rsidRDefault="008F50B1" w:rsidP="00A32BA1">
            <w:pPr>
              <w:ind w:right="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1.441</w:t>
            </w:r>
          </w:p>
        </w:tc>
      </w:tr>
      <w:tr w:rsidR="008F50B1" w:rsidRPr="00841586" w14:paraId="46FE2A38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51F96B" w14:textId="77777777" w:rsidR="008F50B1" w:rsidRPr="00B21A5C" w:rsidRDefault="008F50B1" w:rsidP="00A32BA1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Agropecuarios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2DA234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-0.22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5878D5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1C453D5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-0.07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74DD43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FD33DF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5FDDDF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16.17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73A0D0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9.29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91372E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A2BF73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-0.023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3B6BC2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0.058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45D54E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-0.008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B8FCE6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6ED479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7E12CE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1.682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485403C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1.046</w:t>
            </w:r>
          </w:p>
        </w:tc>
      </w:tr>
      <w:tr w:rsidR="008F50B1" w:rsidRPr="00841586" w14:paraId="16501CA0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FA679D1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Frutas y Verduras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09C07B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-2.13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CE1BC1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-1.18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4AF8D34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-3.02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6CE5BB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5A0ED7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-8.57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9C2EFB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19.60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672C7C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8.12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C67BD2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2D0EF3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-0.098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475EDA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-0.060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2B870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-0.157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FE8AD9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C58C96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-0.436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5337A2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0.879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12E27FDE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0.406</w:t>
            </w:r>
          </w:p>
        </w:tc>
      </w:tr>
      <w:tr w:rsidR="008F50B1" w:rsidRPr="00841586" w14:paraId="59DA1C4A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vAlign w:val="center"/>
            <w:hideMark/>
          </w:tcPr>
          <w:p w14:paraId="1A66E9B7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920BEC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1.29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845074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1.91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B35273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2.37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12DCBD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4F1915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9.01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2613362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13.57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5FD17B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10.22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983642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0A701F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204397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71DCCB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0.149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D44838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877594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0.507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5A8638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0.803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7FE8250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0.640</w:t>
            </w:r>
          </w:p>
        </w:tc>
      </w:tr>
      <w:tr w:rsidR="008F50B1" w:rsidRPr="00841586" w14:paraId="67A85DE0" w14:textId="77777777" w:rsidTr="00A32BA1">
        <w:trPr>
          <w:trHeight w:val="454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F7C2BEF" w14:textId="77777777" w:rsidR="008F50B1" w:rsidRPr="00B21A5C" w:rsidRDefault="008F50B1" w:rsidP="00A32BA1">
            <w:pPr>
              <w:ind w:left="170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 y 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9AE3C9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2.50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C58A6E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1.45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6008EC6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160F8A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02F764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5.50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7D985A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4.48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EE9BEF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2.77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85025BC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5C4578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85E41F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0.206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315607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0.108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623B1C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268816D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0.791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E3A13E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0.655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51B696D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0.394</w:t>
            </w:r>
          </w:p>
        </w:tc>
      </w:tr>
      <w:tr w:rsidR="008F50B1" w:rsidRPr="00841586" w14:paraId="305FFAFA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1264E11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58DA70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3.47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64DDB5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1.74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3E44EC8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0.73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8AF0EA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ED1AE6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6.83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D1D674F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4.97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C11282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1.50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93D3927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CC66BB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31FA14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0.176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F79F68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4F48B6B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4954C9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0.689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EA7B943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0.516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37AFD9B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0.152</w:t>
            </w:r>
          </w:p>
        </w:tc>
      </w:tr>
      <w:tr w:rsidR="008F50B1" w:rsidRPr="00841586" w14:paraId="6B3F65B1" w14:textId="77777777" w:rsidTr="00A32BA1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D2C1039" w14:textId="77777777" w:rsidR="008F50B1" w:rsidRPr="00B21A5C" w:rsidRDefault="008F50B1" w:rsidP="00A32BA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4E775EE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547FC77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vAlign w:val="center"/>
          </w:tcPr>
          <w:p w14:paraId="4513DF05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0.96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265FA4E6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E45DC7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2.38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192814C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3.27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31B10130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5.93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6E875671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90C1C3E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0.009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40A465A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0.030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DDC2CB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0.038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02ACC7D9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97B6F14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0.102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4F61224A" w14:textId="77777777" w:rsidR="008F50B1" w:rsidRPr="00A75DB1" w:rsidRDefault="008F50B1" w:rsidP="00A32BA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0.139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C6D616C" w14:textId="77777777" w:rsidR="008F50B1" w:rsidRPr="00A75DB1" w:rsidRDefault="008F50B1" w:rsidP="00A32BA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0.242</w:t>
            </w:r>
          </w:p>
        </w:tc>
      </w:tr>
    </w:tbl>
    <w:p w14:paraId="7A2D21FF" w14:textId="77777777" w:rsidR="008F50B1" w:rsidRPr="00E671DE" w:rsidRDefault="008F50B1" w:rsidP="008F50B1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1/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La incidencia se refiere a la contribución</w:t>
      </w:r>
      <w:r>
        <w:rPr>
          <w:sz w:val="16"/>
          <w:szCs w:val="16"/>
        </w:rPr>
        <w:t>,</w:t>
      </w:r>
      <w:r w:rsidRPr="00E671DE">
        <w:rPr>
          <w:sz w:val="16"/>
          <w:szCs w:val="16"/>
        </w:rPr>
        <w:t xml:space="preserve"> en puntos porcentuales</w:t>
      </w:r>
      <w:r>
        <w:rPr>
          <w:sz w:val="16"/>
          <w:szCs w:val="16"/>
        </w:rPr>
        <w:t>,</w:t>
      </w:r>
      <w:r w:rsidRPr="00E671DE">
        <w:rPr>
          <w:sz w:val="16"/>
          <w:szCs w:val="16"/>
        </w:rPr>
        <w:t xml:space="preserve"> de cada componente del INPC a la inflación general. </w:t>
      </w:r>
      <w:r>
        <w:rPr>
          <w:sz w:val="16"/>
          <w:szCs w:val="16"/>
        </w:rPr>
        <w:t>E</w:t>
      </w:r>
      <w:r w:rsidRPr="00E671DE">
        <w:rPr>
          <w:sz w:val="16"/>
          <w:szCs w:val="16"/>
        </w:rPr>
        <w:t xml:space="preserve">sta se calcula utilizando los ponderadores de cada subíndice, así como los precios relativos y sus respectivas variaciones. En ciertos casos, la suma de los componentes de algún grupo de subíndices puede </w:t>
      </w:r>
      <w:r>
        <w:rPr>
          <w:sz w:val="16"/>
          <w:szCs w:val="16"/>
        </w:rPr>
        <w:t>presentar</w:t>
      </w:r>
      <w:r w:rsidRPr="00E671DE">
        <w:rPr>
          <w:sz w:val="16"/>
          <w:szCs w:val="16"/>
        </w:rPr>
        <w:t xml:space="preserve"> discrepancia</w:t>
      </w:r>
      <w:r>
        <w:rPr>
          <w:sz w:val="16"/>
          <w:szCs w:val="16"/>
        </w:rPr>
        <w:t>s</w:t>
      </w:r>
      <w:r w:rsidRPr="00E671DE">
        <w:rPr>
          <w:sz w:val="16"/>
          <w:szCs w:val="16"/>
        </w:rPr>
        <w:t xml:space="preserve"> por efectos de redondeo.</w:t>
      </w:r>
    </w:p>
    <w:p w14:paraId="307E26A7" w14:textId="77777777" w:rsidR="008F50B1" w:rsidRPr="00E671DE" w:rsidRDefault="008F50B1" w:rsidP="008F50B1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2/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alimentos procesados, bebidas y tabaco</w:t>
      </w:r>
      <w:r>
        <w:rPr>
          <w:sz w:val="16"/>
          <w:szCs w:val="16"/>
        </w:rPr>
        <w:t>.</w:t>
      </w:r>
      <w:r w:rsidRPr="00E671DE">
        <w:rPr>
          <w:sz w:val="16"/>
          <w:szCs w:val="16"/>
        </w:rPr>
        <w:t xml:space="preserve"> </w:t>
      </w:r>
      <w:r>
        <w:rPr>
          <w:sz w:val="16"/>
          <w:szCs w:val="16"/>
        </w:rPr>
        <w:t>N</w:t>
      </w:r>
      <w:r w:rsidRPr="00E671DE">
        <w:rPr>
          <w:sz w:val="16"/>
          <w:szCs w:val="16"/>
        </w:rPr>
        <w:t>o incluye productos agropecuarios.</w:t>
      </w:r>
    </w:p>
    <w:p w14:paraId="729DA79C" w14:textId="77777777" w:rsidR="008F50B1" w:rsidRPr="00E671DE" w:rsidRDefault="008F50B1" w:rsidP="008F50B1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3/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vivienda propia, renta de vivienda, servicio doméstico y otros servicios para el hogar.</w:t>
      </w:r>
    </w:p>
    <w:p w14:paraId="25340ECC" w14:textId="77777777" w:rsidR="008F50B1" w:rsidRDefault="008F50B1" w:rsidP="008F50B1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4/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329EBE4E" w14:textId="45CFBFD7" w:rsidR="008F50B1" w:rsidRDefault="008F50B1" w:rsidP="008F50B1">
      <w:pPr>
        <w:autoSpaceDE w:val="0"/>
        <w:autoSpaceDN w:val="0"/>
        <w:adjustRightInd w:val="0"/>
        <w:ind w:left="142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4DFF74A5" w14:textId="77777777" w:rsidR="008F50B1" w:rsidRDefault="008F50B1" w:rsidP="008F50B1">
      <w:pPr>
        <w:autoSpaceDE w:val="0"/>
        <w:autoSpaceDN w:val="0"/>
        <w:adjustRightInd w:val="0"/>
        <w:ind w:left="142" w:right="113" w:hanging="170"/>
        <w:rPr>
          <w:color w:val="000000" w:themeColor="text1"/>
          <w:sz w:val="16"/>
        </w:rPr>
      </w:pPr>
    </w:p>
    <w:p w14:paraId="18A31F2A" w14:textId="77777777" w:rsidR="008F50B1" w:rsidRPr="00472632" w:rsidRDefault="008F50B1" w:rsidP="008F50B1">
      <w:pPr>
        <w:pStyle w:val="Texto"/>
        <w:autoSpaceDE w:val="0"/>
        <w:autoSpaceDN w:val="0"/>
        <w:adjustRightInd w:val="0"/>
        <w:spacing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5C104D79" w14:textId="53839754" w:rsidR="008F50B1" w:rsidRDefault="008F50B1" w:rsidP="008F50B1">
      <w:pPr>
        <w:autoSpaceDE w:val="0"/>
        <w:autoSpaceDN w:val="0"/>
        <w:adjustRightInd w:val="0"/>
        <w:ind w:left="142" w:right="113" w:hanging="170"/>
        <w:jc w:val="center"/>
        <w:rPr>
          <w:color w:val="000000" w:themeColor="text1"/>
          <w:sz w:val="16"/>
        </w:rPr>
      </w:pPr>
      <w:r>
        <w:rPr>
          <w:noProof/>
          <w:lang w:val="es-MX" w:eastAsia="es-MX"/>
        </w:rPr>
        <w:drawing>
          <wp:inline distT="0" distB="0" distL="0" distR="0" wp14:anchorId="7A5160DC" wp14:editId="1EFDC59F">
            <wp:extent cx="3621600" cy="1688400"/>
            <wp:effectExtent l="0" t="0" r="0" b="7620"/>
            <wp:docPr id="4" name="Imagen 4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/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600" cy="168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A93B7C" w14:textId="77777777" w:rsidR="008F50B1" w:rsidRPr="00AD7286" w:rsidRDefault="008F50B1" w:rsidP="008F50B1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Para consultas de medios y periodistas, escribir a: </w:t>
      </w:r>
      <w:hyperlink r:id="rId12" w:history="1">
        <w:r w:rsidRPr="0007086C">
          <w:rPr>
            <w:rStyle w:val="Hipervnculo"/>
            <w:rFonts w:ascii="Arial" w:eastAsiaTheme="majorEastAsia" w:hAnsi="Arial" w:cs="Arial"/>
            <w:sz w:val="22"/>
            <w:szCs w:val="22"/>
          </w:rPr>
          <w:t>comunicacionsocial@inegi.org.mx</w:t>
        </w:r>
      </w:hyperlink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AD7286">
        <w:rPr>
          <w:rFonts w:ascii="Arial" w:hAnsi="Arial" w:cs="Arial"/>
          <w:sz w:val="22"/>
          <w:szCs w:val="22"/>
          <w:lang w:val="es-ES_tradnl"/>
        </w:rPr>
        <w:t xml:space="preserve"> </w:t>
      </w:r>
      <w:r>
        <w:rPr>
          <w:rFonts w:ascii="Arial" w:hAnsi="Arial" w:cs="Arial"/>
          <w:sz w:val="22"/>
          <w:szCs w:val="22"/>
          <w:lang w:val="es-ES_tradnl"/>
        </w:rPr>
        <w:t xml:space="preserve">  </w:t>
      </w:r>
    </w:p>
    <w:p w14:paraId="425BCF46" w14:textId="77777777" w:rsidR="008F50B1" w:rsidRDefault="008F50B1" w:rsidP="008F50B1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AD7286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AD7286">
        <w:rPr>
          <w:rFonts w:ascii="Arial" w:hAnsi="Arial" w:cs="Arial"/>
          <w:sz w:val="22"/>
          <w:szCs w:val="22"/>
          <w:lang w:val="es-ES_tradnl"/>
        </w:rPr>
        <w:t>. 321064, 321134 y 321241</w:t>
      </w:r>
    </w:p>
    <w:p w14:paraId="3E80B26D" w14:textId="77777777" w:rsidR="008F50B1" w:rsidRPr="00E42BFD" w:rsidRDefault="008F50B1" w:rsidP="008F50B1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E42BFD">
        <w:rPr>
          <w:rFonts w:ascii="Arial" w:hAnsi="Arial" w:cs="Arial"/>
          <w:sz w:val="22"/>
          <w:szCs w:val="22"/>
        </w:rPr>
        <w:t>Dirección de Atención a Medios/ Dirección General Adjunta de Comunicación</w:t>
      </w:r>
    </w:p>
    <w:p w14:paraId="5C2ABA1A" w14:textId="77777777" w:rsidR="008F50B1" w:rsidRDefault="008F50B1" w:rsidP="008F50B1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8F50B1" w:rsidSect="008F50B1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2242" w:h="15842" w:code="119"/>
          <w:pgMar w:top="1134" w:right="1134" w:bottom="1134" w:left="1134" w:header="680" w:footer="680" w:gutter="0"/>
          <w:paperSrc w:first="15" w:other="15"/>
          <w:pgNumType w:start="1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3534C54C" wp14:editId="4481B606">
            <wp:extent cx="369035" cy="356870"/>
            <wp:effectExtent l="0" t="0" r="0" b="5080"/>
            <wp:docPr id="9" name="Imagen 9" descr="C:\Users\saladeprensa\Desktop\NVOS LOGOS\F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3F30CD9C" wp14:editId="4E4CB3CF">
            <wp:extent cx="365760" cy="365760"/>
            <wp:effectExtent l="0" t="0" r="0" b="0"/>
            <wp:docPr id="6" name="Imagen 6" descr="C:\Users\saladeprensa\Desktop\NVOS LOGOS\I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F9AF9BE" wp14:editId="276BDD4B">
            <wp:extent cx="365760" cy="365760"/>
            <wp:effectExtent l="0" t="0" r="0" b="0"/>
            <wp:docPr id="7" name="Imagen 7" descr="C:\Users\saladeprensa\Desktop\NVOS LOGOS\T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7015560B" wp14:editId="7D92CEFE">
            <wp:extent cx="365760" cy="365760"/>
            <wp:effectExtent l="0" t="0" r="0" b="0"/>
            <wp:docPr id="8" name="Imagen 8" descr="C:\Users\saladeprensa\Desktop\NVOS LOGOS\Y.jp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041BCECD" wp14:editId="39D950EF">
            <wp:extent cx="2286000" cy="274320"/>
            <wp:effectExtent l="0" t="0" r="0" b="0"/>
            <wp:docPr id="33" name="Imagen 33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6BD12" w14:textId="6E326151" w:rsidR="008F50B1" w:rsidRDefault="008F50B1" w:rsidP="008F50B1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36E1E755" w14:textId="77777777" w:rsidR="008F50B1" w:rsidRPr="00BE58D9" w:rsidRDefault="008F50B1" w:rsidP="008F50B1">
      <w:pPr>
        <w:pStyle w:val="Profesin"/>
        <w:spacing w:before="360"/>
        <w:outlineLvl w:val="0"/>
        <w:rPr>
          <w:sz w:val="24"/>
          <w:szCs w:val="24"/>
          <w:lang w:val="es-MX"/>
        </w:rPr>
      </w:pPr>
      <w:r w:rsidRPr="00BE58D9">
        <w:rPr>
          <w:sz w:val="24"/>
          <w:szCs w:val="24"/>
          <w:lang w:val="es-MX"/>
        </w:rPr>
        <w:t>Nota técnica</w:t>
      </w:r>
    </w:p>
    <w:p w14:paraId="24D5CFC3" w14:textId="7F8AB085" w:rsidR="00E0429B" w:rsidRPr="00EC4BE9" w:rsidRDefault="00E0429B" w:rsidP="000C372F">
      <w:pPr>
        <w:keepNext/>
        <w:keepLines/>
        <w:widowControl w:val="0"/>
        <w:spacing w:before="360"/>
        <w:jc w:val="left"/>
        <w:rPr>
          <w:b/>
          <w:smallCaps/>
          <w:color w:val="000000" w:themeColor="text1"/>
        </w:rPr>
      </w:pPr>
      <w:r w:rsidRPr="00EC4BE9">
        <w:rPr>
          <w:b/>
          <w:smallCaps/>
          <w:color w:val="000000" w:themeColor="text1"/>
        </w:rPr>
        <w:t xml:space="preserve">Índice Nacional de Precios al Consumidor </w:t>
      </w:r>
    </w:p>
    <w:p w14:paraId="39902DC7" w14:textId="4B685AAF" w:rsidR="00F12550" w:rsidRDefault="0015305D" w:rsidP="00F12550">
      <w:pPr>
        <w:autoSpaceDE w:val="0"/>
        <w:autoSpaceDN w:val="0"/>
        <w:adjustRightInd w:val="0"/>
        <w:spacing w:before="240"/>
      </w:pPr>
      <w:r>
        <w:t xml:space="preserve">En febrero de </w:t>
      </w:r>
      <w:r w:rsidRPr="00A71198">
        <w:t>20</w:t>
      </w:r>
      <w:r>
        <w:t>23</w:t>
      </w:r>
      <w:r w:rsidRPr="00A71198">
        <w:t>, el Índice Nacional de Precios al Consumidor</w:t>
      </w:r>
      <w:r>
        <w:t xml:space="preserve"> (INPC)</w:t>
      </w:r>
      <w:r w:rsidRPr="00A71198">
        <w:t xml:space="preserve"> </w:t>
      </w:r>
      <w:r>
        <w:t xml:space="preserve">registró una variación mensual de 0.56 por ciento. En el mismo mes de 2022, la variación fue </w:t>
      </w:r>
      <w:r w:rsidR="00D44273">
        <w:t xml:space="preserve">de </w:t>
      </w:r>
      <w:r>
        <w:t>0.83</w:t>
      </w:r>
      <w:r w:rsidR="008F7753">
        <w:t> </w:t>
      </w:r>
      <w:r>
        <w:t>por</w:t>
      </w:r>
      <w:r w:rsidR="008F7753">
        <w:t> </w:t>
      </w:r>
      <w:r>
        <w:t>ciento</w:t>
      </w:r>
      <w:r w:rsidR="00B3564B">
        <w:t>.</w:t>
      </w:r>
    </w:p>
    <w:p w14:paraId="6B38FF23" w14:textId="77777777" w:rsidR="000C372F" w:rsidRPr="0091201A" w:rsidRDefault="000C372F" w:rsidP="000C372F">
      <w:pPr>
        <w:pStyle w:val="n01"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91201A">
        <w:rPr>
          <w:rFonts w:ascii="Arial" w:hAnsi="Arial"/>
          <w:color w:val="auto"/>
          <w:sz w:val="20"/>
          <w:szCs w:val="20"/>
        </w:rPr>
        <w:t xml:space="preserve"> 1</w:t>
      </w:r>
    </w:p>
    <w:p w14:paraId="04A0C560" w14:textId="77777777" w:rsidR="000C372F" w:rsidRPr="002660A9" w:rsidRDefault="000C372F" w:rsidP="000C372F">
      <w:pPr>
        <w:pStyle w:val="n01"/>
        <w:spacing w:before="0"/>
        <w:ind w:left="0" w:firstLine="0"/>
        <w:jc w:val="center"/>
        <w:rPr>
          <w:rFonts w:ascii="Arial" w:hAnsi="Arial"/>
          <w:b/>
          <w:bCs/>
          <w:smallCaps/>
          <w:color w:val="000000" w:themeColor="text1"/>
          <w:sz w:val="22"/>
          <w:szCs w:val="22"/>
        </w:rPr>
      </w:pP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Í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ndice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acional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d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P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recios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a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C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onsumidor</w:t>
      </w:r>
      <w:r w:rsidRPr="002660A9">
        <w:rPr>
          <w:rFonts w:ascii="Arial" w:hAnsi="Arial"/>
          <w:b/>
          <w:bCs/>
          <w:smallCaps/>
          <w:color w:val="FF0000"/>
          <w:sz w:val="22"/>
          <w:szCs w:val="22"/>
        </w:rPr>
        <w:t xml:space="preserve"> </w:t>
      </w:r>
    </w:p>
    <w:p w14:paraId="26C09778" w14:textId="5AA85172" w:rsidR="000C372F" w:rsidRPr="000C372F" w:rsidRDefault="003B64F6" w:rsidP="000C372F">
      <w:pPr>
        <w:widowControl w:val="0"/>
        <w:autoSpaceDE w:val="0"/>
        <w:autoSpaceDN w:val="0"/>
        <w:adjustRightInd w:val="0"/>
        <w:spacing w:before="3" w:line="225" w:lineRule="exact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0C372F" w:rsidRPr="000C372F">
        <w:rPr>
          <w:sz w:val="18"/>
          <w:szCs w:val="18"/>
        </w:rPr>
        <w:t xml:space="preserve">Variación porcentual mensual en </w:t>
      </w:r>
      <w:r w:rsidR="00C243C3">
        <w:rPr>
          <w:sz w:val="18"/>
          <w:szCs w:val="18"/>
        </w:rPr>
        <w:t>febrero</w:t>
      </w:r>
      <w:r w:rsidR="000C372F" w:rsidRPr="000C372F">
        <w:rPr>
          <w:sz w:val="18"/>
          <w:szCs w:val="18"/>
        </w:rPr>
        <w:t xml:space="preserve"> de los años que se indican</w:t>
      </w:r>
      <w:r>
        <w:rPr>
          <w:sz w:val="18"/>
          <w:szCs w:val="18"/>
        </w:rPr>
        <w:t>)</w:t>
      </w:r>
    </w:p>
    <w:p w14:paraId="457F94C9" w14:textId="495B9D36" w:rsidR="000C372F" w:rsidRDefault="00753635" w:rsidP="000C372F">
      <w:pPr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5AAB053F" wp14:editId="2E3473F9">
            <wp:extent cx="5040000" cy="2880000"/>
            <wp:effectExtent l="0" t="0" r="27305" b="3492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4A7BB3B8" w14:textId="77777777" w:rsidR="000D38ED" w:rsidRPr="000D38ED" w:rsidRDefault="000D38ED" w:rsidP="005367D3">
      <w:pPr>
        <w:autoSpaceDE w:val="0"/>
        <w:autoSpaceDN w:val="0"/>
        <w:adjustRightInd w:val="0"/>
        <w:ind w:left="993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06AA6560" w14:textId="104824EA" w:rsidR="000C372F" w:rsidRDefault="00BD6157" w:rsidP="0019118A">
      <w:pPr>
        <w:autoSpaceDE w:val="0"/>
        <w:autoSpaceDN w:val="0"/>
        <w:adjustRightInd w:val="0"/>
        <w:spacing w:before="600"/>
        <w:rPr>
          <w:color w:val="000000" w:themeColor="text1"/>
        </w:rPr>
      </w:pPr>
      <w:r w:rsidRPr="00D25428">
        <w:rPr>
          <w:color w:val="000000" w:themeColor="text1"/>
        </w:rPr>
        <w:t xml:space="preserve">En el siguiente cuadro se presentan las variaciones e incidencias </w:t>
      </w:r>
      <w:r>
        <w:rPr>
          <w:color w:val="000000" w:themeColor="text1"/>
        </w:rPr>
        <w:t>del INPC y sus componentes</w:t>
      </w:r>
      <w:r w:rsidR="000C372F">
        <w:rPr>
          <w:color w:val="000000" w:themeColor="text1"/>
        </w:rPr>
        <w:t>.</w:t>
      </w:r>
    </w:p>
    <w:p w14:paraId="074E5749" w14:textId="77777777" w:rsidR="00C243C3" w:rsidRDefault="00C243C3">
      <w:pPr>
        <w:jc w:val="left"/>
        <w:rPr>
          <w:bCs/>
          <w:sz w:val="20"/>
          <w:szCs w:val="20"/>
        </w:rPr>
      </w:pPr>
      <w:r>
        <w:rPr>
          <w:bCs/>
          <w:sz w:val="20"/>
          <w:szCs w:val="20"/>
        </w:rPr>
        <w:br w:type="page"/>
      </w:r>
    </w:p>
    <w:p w14:paraId="709EAC07" w14:textId="77777777" w:rsidR="005367D3" w:rsidRDefault="005367D3" w:rsidP="005367D3">
      <w:pPr>
        <w:pStyle w:val="n01"/>
        <w:keepNext/>
        <w:spacing w:before="12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</w:p>
    <w:p w14:paraId="51FFCAF2" w14:textId="70BF2942" w:rsidR="000C372F" w:rsidRPr="0091201A" w:rsidRDefault="000C372F" w:rsidP="005367D3">
      <w:pPr>
        <w:pStyle w:val="n01"/>
        <w:keepNext/>
        <w:spacing w:before="12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91201A">
        <w:rPr>
          <w:rFonts w:ascii="Arial" w:hAnsi="Arial"/>
          <w:color w:val="auto"/>
          <w:sz w:val="20"/>
          <w:szCs w:val="20"/>
        </w:rPr>
        <w:t xml:space="preserve"> 1</w:t>
      </w:r>
    </w:p>
    <w:p w14:paraId="5D199328" w14:textId="77777777" w:rsidR="000C372F" w:rsidRPr="00B81C75" w:rsidRDefault="005012EA" w:rsidP="00E671DE">
      <w:pPr>
        <w:pStyle w:val="Prrafodelista"/>
        <w:keepNext/>
        <w:keepLines/>
        <w:widowControl w:val="0"/>
        <w:ind w:left="0"/>
        <w:jc w:val="center"/>
        <w:rPr>
          <w:b/>
          <w:bCs/>
          <w:color w:val="000000" w:themeColor="text1"/>
          <w:sz w:val="22"/>
          <w:szCs w:val="22"/>
        </w:rPr>
      </w:pPr>
      <w:bookmarkStart w:id="0" w:name="_Hlk113439436"/>
      <w:r w:rsidRPr="00581158">
        <w:rPr>
          <w:b/>
          <w:bCs/>
          <w:iCs/>
          <w:smallCaps/>
          <w:color w:val="000000" w:themeColor="text1"/>
          <w:sz w:val="22"/>
          <w:szCs w:val="22"/>
        </w:rPr>
        <w:t>Índice Nacional de Precios al Consumidor</w:t>
      </w:r>
      <w:bookmarkEnd w:id="0"/>
      <w:r w:rsidR="000C372F">
        <w:rPr>
          <w:b/>
          <w:bCs/>
          <w:color w:val="000000" w:themeColor="text1"/>
          <w:sz w:val="22"/>
          <w:szCs w:val="22"/>
        </w:rPr>
        <w:t xml:space="preserve"> </w:t>
      </w:r>
      <w:r w:rsidR="000C372F" w:rsidRPr="002660A9">
        <w:rPr>
          <w:b/>
          <w:bCs/>
          <w:smallCaps/>
          <w:color w:val="000000" w:themeColor="text1"/>
          <w:sz w:val="22"/>
          <w:szCs w:val="22"/>
        </w:rPr>
        <w:t>y sus componentes</w:t>
      </w:r>
    </w:p>
    <w:p w14:paraId="392F5F4A" w14:textId="623ACC0F" w:rsidR="000C372F" w:rsidRPr="00257AF9" w:rsidRDefault="003B64F6" w:rsidP="00E671DE">
      <w:pPr>
        <w:keepNext/>
        <w:keepLines/>
        <w:widowControl w:val="0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0C372F">
        <w:rPr>
          <w:sz w:val="18"/>
          <w:szCs w:val="18"/>
        </w:rPr>
        <w:t xml:space="preserve">Cifras durante </w:t>
      </w:r>
      <w:r w:rsidR="00C243C3">
        <w:rPr>
          <w:sz w:val="18"/>
          <w:szCs w:val="18"/>
        </w:rPr>
        <w:t>febrero</w:t>
      </w:r>
      <w:r w:rsidR="000C372F" w:rsidRPr="00257AF9">
        <w:rPr>
          <w:sz w:val="18"/>
          <w:szCs w:val="18"/>
        </w:rPr>
        <w:t xml:space="preserve"> de los años que se indica</w:t>
      </w:r>
      <w:r w:rsidR="000C372F">
        <w:rPr>
          <w:sz w:val="18"/>
          <w:szCs w:val="18"/>
        </w:rPr>
        <w:t>n</w:t>
      </w:r>
      <w:r>
        <w:rPr>
          <w:sz w:val="18"/>
          <w:szCs w:val="18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67"/>
        <w:gridCol w:w="481"/>
        <w:gridCol w:w="481"/>
        <w:gridCol w:w="480"/>
        <w:gridCol w:w="135"/>
        <w:gridCol w:w="480"/>
        <w:gridCol w:w="480"/>
        <w:gridCol w:w="480"/>
        <w:gridCol w:w="135"/>
        <w:gridCol w:w="600"/>
        <w:gridCol w:w="600"/>
        <w:gridCol w:w="600"/>
        <w:gridCol w:w="135"/>
        <w:gridCol w:w="600"/>
        <w:gridCol w:w="600"/>
        <w:gridCol w:w="600"/>
      </w:tblGrid>
      <w:tr w:rsidR="00C243C3" w:rsidRPr="00A9663B" w14:paraId="42B444CF" w14:textId="77777777" w:rsidTr="000E698C">
        <w:trPr>
          <w:trHeight w:val="283"/>
          <w:jc w:val="center"/>
        </w:trPr>
        <w:tc>
          <w:tcPr>
            <w:tcW w:w="2891" w:type="dxa"/>
            <w:vMerge w:val="restart"/>
            <w:tcBorders>
              <w:top w:val="single" w:sz="8" w:space="0" w:color="006600"/>
              <w:lef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3D5B6B2B" w14:textId="77777777" w:rsidR="00C243C3" w:rsidRPr="00443E47" w:rsidRDefault="00C243C3" w:rsidP="000E698C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bookmarkStart w:id="1" w:name="_Hlk2757709"/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2845" w:type="dxa"/>
            <w:gridSpan w:val="7"/>
            <w:tcBorders>
              <w:top w:val="single" w:sz="8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772B3818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porcentual</w:t>
            </w: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5013EB00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523" w:type="dxa"/>
            <w:gridSpan w:val="7"/>
            <w:tcBorders>
              <w:top w:val="single" w:sz="8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272B49A0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443E47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</w:tr>
      <w:tr w:rsidR="00C243C3" w:rsidRPr="00A9663B" w14:paraId="427B5015" w14:textId="77777777" w:rsidTr="000E698C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</w:tcBorders>
            <w:shd w:val="clear" w:color="auto" w:fill="9FBE62"/>
            <w:noWrap/>
            <w:vAlign w:val="center"/>
          </w:tcPr>
          <w:p w14:paraId="18C09032" w14:textId="77777777" w:rsidR="00C243C3" w:rsidRPr="00443E47" w:rsidRDefault="00C243C3" w:rsidP="000E698C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bottom w:val="single" w:sz="4" w:space="0" w:color="006600"/>
            </w:tcBorders>
            <w:shd w:val="clear" w:color="auto" w:fill="9FBE62"/>
            <w:vAlign w:val="center"/>
          </w:tcPr>
          <w:p w14:paraId="2E687D38" w14:textId="5417A428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127" w:type="dxa"/>
            <w:tcBorders>
              <w:top w:val="single" w:sz="4" w:space="0" w:color="006600"/>
              <w:right w:val="nil"/>
            </w:tcBorders>
            <w:shd w:val="clear" w:color="auto" w:fill="9FBE62"/>
            <w:vAlign w:val="center"/>
          </w:tcPr>
          <w:p w14:paraId="7998A9E1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59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vAlign w:val="center"/>
          </w:tcPr>
          <w:p w14:paraId="70BA0316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27" w:type="dxa"/>
            <w:tcBorders>
              <w:left w:val="nil"/>
              <w:right w:val="nil"/>
            </w:tcBorders>
            <w:shd w:val="clear" w:color="auto" w:fill="9FBE62"/>
            <w:vAlign w:val="center"/>
          </w:tcPr>
          <w:p w14:paraId="2B1567FE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</w:tcBorders>
            <w:shd w:val="clear" w:color="auto" w:fill="9FBE62"/>
            <w:noWrap/>
            <w:vAlign w:val="center"/>
          </w:tcPr>
          <w:p w14:paraId="6F433EA2" w14:textId="735CEC98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127" w:type="dxa"/>
            <w:tcBorders>
              <w:top w:val="single" w:sz="4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01C6B202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98" w:type="dxa"/>
            <w:gridSpan w:val="3"/>
            <w:tcBorders>
              <w:top w:val="single" w:sz="4" w:space="0" w:color="006600"/>
              <w:left w:val="nil"/>
              <w:bottom w:val="single" w:sz="4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3EA7B298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anual </w:t>
            </w:r>
          </w:p>
        </w:tc>
      </w:tr>
      <w:tr w:rsidR="00C243C3" w:rsidRPr="00A9663B" w14:paraId="48C441C3" w14:textId="77777777" w:rsidTr="000E698C">
        <w:trPr>
          <w:trHeight w:val="283"/>
          <w:jc w:val="center"/>
        </w:trPr>
        <w:tc>
          <w:tcPr>
            <w:tcW w:w="2891" w:type="dxa"/>
            <w:vMerge/>
            <w:tcBorders>
              <w:left w:val="single" w:sz="8" w:space="0" w:color="006600"/>
              <w:bottom w:val="single" w:sz="8" w:space="0" w:color="006600"/>
            </w:tcBorders>
            <w:shd w:val="clear" w:color="auto" w:fill="9FBE62"/>
            <w:vAlign w:val="center"/>
            <w:hideMark/>
          </w:tcPr>
          <w:p w14:paraId="0FBBFE76" w14:textId="77777777" w:rsidR="00C243C3" w:rsidRPr="00443E47" w:rsidRDefault="00C243C3" w:rsidP="000E698C">
            <w:pPr>
              <w:jc w:val="center"/>
              <w:rPr>
                <w:b/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3A1DBDA0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220064EA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042C2AEB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2D773EE8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453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52B51356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07B3A7E8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453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123D24B5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4EB5FAC9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3662D25A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082C9EAA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32CF9CAD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27" w:type="dxa"/>
            <w:tcBorders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61BA662C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6EE9135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566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49457552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566" w:type="dxa"/>
            <w:tcBorders>
              <w:top w:val="single" w:sz="4" w:space="0" w:color="006600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9FBE62"/>
            <w:noWrap/>
            <w:vAlign w:val="center"/>
          </w:tcPr>
          <w:p w14:paraId="08B2A72E" w14:textId="77777777" w:rsidR="00C243C3" w:rsidRPr="00443E47" w:rsidRDefault="00C243C3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443E47">
              <w:rPr>
                <w:b/>
                <w:bCs/>
                <w:color w:val="000000"/>
                <w:sz w:val="16"/>
                <w:szCs w:val="16"/>
                <w:lang w:eastAsia="es-MX"/>
              </w:rPr>
              <w:t>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</w:tr>
      <w:tr w:rsidR="00A75DB1" w:rsidRPr="009F6415" w14:paraId="7F762C05" w14:textId="77777777" w:rsidTr="00D26D7A">
        <w:trPr>
          <w:trHeight w:val="283"/>
          <w:jc w:val="center"/>
        </w:trPr>
        <w:tc>
          <w:tcPr>
            <w:tcW w:w="2891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C1BBC91" w14:textId="77777777" w:rsidR="00A75DB1" w:rsidRPr="00B21A5C" w:rsidRDefault="00A75DB1" w:rsidP="00A75DB1">
            <w:pPr>
              <w:ind w:left="5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INPC 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3F1DE1A4" w14:textId="28167220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0.63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786617AF" w14:textId="2393962C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0.83</w:t>
            </w: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vAlign w:val="center"/>
          </w:tcPr>
          <w:p w14:paraId="7FA77CDF" w14:textId="1D2690D3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0.56</w:t>
            </w:r>
          </w:p>
        </w:tc>
        <w:tc>
          <w:tcPr>
            <w:tcW w:w="127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576E7138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2FA5513" w14:textId="5B980A85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3.76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189E8AAE" w14:textId="73F74BFE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7.28</w:t>
            </w:r>
          </w:p>
        </w:tc>
        <w:tc>
          <w:tcPr>
            <w:tcW w:w="45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153AE159" w14:textId="24A357EF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7.62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0EE3C649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33AA5C7" w14:textId="74EA11B6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0.633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0BF6932C" w14:textId="381D5475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0.830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D78A43A" w14:textId="57A107D3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0.558</w:t>
            </w:r>
          </w:p>
        </w:tc>
        <w:tc>
          <w:tcPr>
            <w:tcW w:w="12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6841031C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121324C" w14:textId="7D20E566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3.760</w:t>
            </w:r>
          </w:p>
        </w:tc>
        <w:tc>
          <w:tcPr>
            <w:tcW w:w="566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1936162" w14:textId="08EFF4F9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7.279</w:t>
            </w:r>
          </w:p>
        </w:tc>
        <w:tc>
          <w:tcPr>
            <w:tcW w:w="566" w:type="dxa"/>
            <w:tcBorders>
              <w:top w:val="single" w:sz="8" w:space="0" w:color="006600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E0BA2EC" w14:textId="20A8C9E1" w:rsidR="00A75DB1" w:rsidRPr="00A75DB1" w:rsidRDefault="00A75DB1" w:rsidP="003A3361">
            <w:pPr>
              <w:ind w:right="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7.619</w:t>
            </w:r>
          </w:p>
        </w:tc>
      </w:tr>
      <w:tr w:rsidR="00D26D7A" w:rsidRPr="00841586" w14:paraId="6EB8302F" w14:textId="77777777" w:rsidTr="003A3361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7383B86B" w14:textId="77777777" w:rsidR="00A75DB1" w:rsidRPr="00B21A5C" w:rsidRDefault="00A75DB1" w:rsidP="00A75DB1">
            <w:pPr>
              <w:ind w:left="113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1F46E3C6" w14:textId="5A0B93A9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0.39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7D9CE2FD" w14:textId="123645D2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0.76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06BD0FBB" w14:textId="61899859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0.61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1E112A50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13910D71" w14:textId="6A478286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3.87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3EBD5B61" w14:textId="16F72C0F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6.59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01675BFA" w14:textId="7DDB99FE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8.29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75404116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3D0DDCD5" w14:textId="284C9800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0.296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57DDB5B6" w14:textId="6EEABC77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0.566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6F90FB41" w14:textId="2E64C3F4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0.458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2803DB49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37003DF0" w14:textId="1F0B470F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2.898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  <w:hideMark/>
          </w:tcPr>
          <w:p w14:paraId="1F54DF6E" w14:textId="54121BCB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4.943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  <w:hideMark/>
          </w:tcPr>
          <w:p w14:paraId="160C3E21" w14:textId="6E394DE4" w:rsidR="00A75DB1" w:rsidRPr="00A75DB1" w:rsidRDefault="00A75DB1" w:rsidP="003A3361">
            <w:pPr>
              <w:ind w:right="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6.179</w:t>
            </w:r>
          </w:p>
        </w:tc>
      </w:tr>
      <w:tr w:rsidR="00A75DB1" w:rsidRPr="00841586" w14:paraId="0E8043EC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B1D5DC2" w14:textId="77777777" w:rsidR="00A75DB1" w:rsidRPr="00B21A5C" w:rsidRDefault="00A75DB1" w:rsidP="00A75DB1">
            <w:pPr>
              <w:ind w:left="170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0A2977F" w14:textId="44A8D86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89AA992" w14:textId="6E9641D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06815FE" w14:textId="099CD71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4205D7B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8AF17F7" w14:textId="7F409C3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5.54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037569D" w14:textId="0E01C7B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8.34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602B6D9" w14:textId="28BF9FA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10.65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12D9FA9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E5307EA" w14:textId="38FD908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0.206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263569A" w14:textId="53C7720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0.386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7FE2D6E" w14:textId="75DFECE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0.268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D21CCD8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4BC6C49" w14:textId="779D3C8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2.160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B930311" w14:textId="48A83D1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3.311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1E94EC9" w14:textId="3BD42983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4.268</w:t>
            </w:r>
          </w:p>
        </w:tc>
      </w:tr>
      <w:tr w:rsidR="00A75DB1" w:rsidRPr="00841586" w14:paraId="50B03138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9BA7279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Alimentos, Bebidas y Tabaco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0C67F93" w14:textId="7BA066A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A18E84B" w14:textId="28B4F8C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1.02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3894606F" w14:textId="61B789A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0.68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F445E56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CE3E52D" w14:textId="2EA659A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6.34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DDBEAAD" w14:textId="64DF9C3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9.40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8C6EE73" w14:textId="3ECC9A2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13.70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2B69882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20567E7" w14:textId="217CE70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0.088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46FD700" w14:textId="621ACFD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0.215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197C975" w14:textId="13BB968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0.152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71858A8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C0E05FD" w14:textId="4E838E6F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1.287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1089666" w14:textId="0B54B25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1.955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17E9893" w14:textId="5AACD493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2.906</w:t>
            </w:r>
          </w:p>
        </w:tc>
      </w:tr>
      <w:tr w:rsidR="00A75DB1" w:rsidRPr="00841586" w14:paraId="7FDA8349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25D07D0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Mercancías no Alimenticias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6018192" w14:textId="1E749E1F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2D46AB2" w14:textId="6CD52F9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3A0E1265" w14:textId="4CBBD96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8E47D77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0AE10BB" w14:textId="1A70676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4.66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0C488E3" w14:textId="2F53A85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7.18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EC433B8" w14:textId="37D60EF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7.22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8011B95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D8BFD6A" w14:textId="2133378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E85C6FE" w14:textId="27BCC1B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0.171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D2FBEEF" w14:textId="74AE729F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0.116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BBCCDAA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52AA961" w14:textId="60D2C36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0.873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0B0D80A" w14:textId="4EF3F36B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1.356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0B5CBD65" w14:textId="2211E914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1.363</w:t>
            </w:r>
          </w:p>
        </w:tc>
      </w:tr>
      <w:tr w:rsidR="00A75DB1" w:rsidRPr="00841586" w14:paraId="6E061825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CEB7F2D" w14:textId="77777777" w:rsidR="00A75DB1" w:rsidRPr="00B21A5C" w:rsidRDefault="00A75DB1" w:rsidP="00A75DB1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Servicios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17AE4B2" w14:textId="157D58C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2A46A8A" w14:textId="4AE7B69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4897FCEF" w14:textId="634DDA8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0.56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9CF3DA3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E7C3D66" w14:textId="145D8E4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2.06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F4C722F" w14:textId="14F2DBF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4.62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2C53FEE" w14:textId="2BDA7F8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5.55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432528C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9958A78" w14:textId="6ED4EE7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0.090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8EDED9F" w14:textId="5CF1CA0F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0.180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AC19FEF" w14:textId="5EF31B2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0.190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1219659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091BE5B" w14:textId="068BAE5F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0.738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24083CC" w14:textId="09C21F2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1.632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00D01AC" w14:textId="34C436A1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1.910</w:t>
            </w:r>
          </w:p>
        </w:tc>
      </w:tr>
      <w:tr w:rsidR="00A75DB1" w:rsidRPr="00841586" w14:paraId="4B6148AF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AD93C86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Vivienda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3/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AF3CEE5" w14:textId="090F1A8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6552EE2" w14:textId="5BBB9E2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3CF49282" w14:textId="32222AA8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DA54931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8F5869D" w14:textId="04E050EB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1.85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E39F626" w14:textId="35EDBA9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2.72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0A4E3BA" w14:textId="7806CD7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3.43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0C11AD5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B2F2310" w14:textId="24A8F51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A60F3CD" w14:textId="121D90D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475FB42" w14:textId="4965B8F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D34C926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D159D28" w14:textId="48CF65A1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0.280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13AE604" w14:textId="19E8B1B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0.404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B97032A" w14:textId="2B2435E7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0.488</w:t>
            </w:r>
          </w:p>
        </w:tc>
      </w:tr>
      <w:tr w:rsidR="00A75DB1" w:rsidRPr="00841586" w14:paraId="139D360D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E2E4706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Educación (Colegiaturas)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067AF23" w14:textId="2925A43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4B6923B" w14:textId="2C094888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0.48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0B14A3FA" w14:textId="0AE0739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31E354B6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9358801" w14:textId="644BCD28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1.16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5AF8FEB" w14:textId="683C200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3.19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B30E019" w14:textId="16D9D50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4.83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D11DB9F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12359F9" w14:textId="3B1FF04F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0.001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43F7F00" w14:textId="2A41050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0.017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2F7D8CD" w14:textId="0A1B33E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0.028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944F3FB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550D747" w14:textId="12BBE7B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95F7244" w14:textId="3064A4E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3DAF92BD" w14:textId="030FDF25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0.167</w:t>
            </w:r>
          </w:p>
        </w:tc>
      </w:tr>
      <w:tr w:rsidR="00A75DB1" w:rsidRPr="00841586" w14:paraId="7A3A11F5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12F5EF3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 xml:space="preserve">Otros Servicios </w:t>
            </w:r>
            <w:r w:rsidRPr="00B21A5C">
              <w:rPr>
                <w:color w:val="000000"/>
                <w:sz w:val="16"/>
                <w:szCs w:val="16"/>
                <w:vertAlign w:val="superscript"/>
                <w:lang w:eastAsia="es-MX"/>
              </w:rPr>
              <w:t>4/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15A5C07" w14:textId="25C769E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2896AE2" w14:textId="61902F6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4CD640FC" w14:textId="4776C67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0.69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287D811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078D9D2" w14:textId="2E95637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2.44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749185D" w14:textId="455BB87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6.62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A38A823" w14:textId="6E0EF6AB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7.51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A972665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3A8EF2C" w14:textId="32D14CD1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0.059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2EC35D6" w14:textId="23BB8D6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0.120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ADA3E30" w14:textId="660E44C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0.114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190A369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4D9C32C" w14:textId="27D19C2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0.415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121222A" w14:textId="2CAAA72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1.113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F285B0E" w14:textId="4AA39834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1.255</w:t>
            </w:r>
          </w:p>
        </w:tc>
      </w:tr>
      <w:tr w:rsidR="00D26D7A" w:rsidRPr="00841586" w14:paraId="1512218C" w14:textId="77777777" w:rsidTr="003A3361">
        <w:trPr>
          <w:trHeight w:val="283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20CFE2B6" w14:textId="77777777" w:rsidR="00A75DB1" w:rsidRPr="00B21A5C" w:rsidRDefault="00A75DB1" w:rsidP="00A75DB1">
            <w:pPr>
              <w:ind w:left="113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b/>
                <w:bCs/>
                <w:color w:val="000000"/>
                <w:sz w:val="16"/>
                <w:szCs w:val="16"/>
                <w:lang w:eastAsia="es-MX"/>
              </w:rPr>
              <w:t>No Subyacente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62391996" w14:textId="4BB64316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1.36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4397758B" w14:textId="574FEF87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1.04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vAlign w:val="center"/>
          </w:tcPr>
          <w:p w14:paraId="24853E79" w14:textId="41B3F706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26BA6DCB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5912C34F" w14:textId="357968E5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3.43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3FDBA13D" w14:textId="31822D85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9.34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67C57E72" w14:textId="5ECC87B7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5.65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1E90BABA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315826D8" w14:textId="1A6DE7D1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0.337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vAlign w:val="center"/>
          </w:tcPr>
          <w:p w14:paraId="1DD70BEE" w14:textId="42457337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0.264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5DF16CAC" w14:textId="2FADC474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0.100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shd w:val="clear" w:color="auto" w:fill="EBF1DE"/>
            <w:vAlign w:val="center"/>
          </w:tcPr>
          <w:p w14:paraId="11E2D9B4" w14:textId="77777777" w:rsidR="00A75DB1" w:rsidRPr="00B21A5C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46C6925A" w14:textId="63CB679E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0.862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EBF1DE"/>
            <w:noWrap/>
            <w:vAlign w:val="center"/>
          </w:tcPr>
          <w:p w14:paraId="4AE956DE" w14:textId="442F084B" w:rsidR="00A75DB1" w:rsidRPr="00A75DB1" w:rsidRDefault="00A75DB1" w:rsidP="003A3361">
            <w:pPr>
              <w:ind w:left="-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2.336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EBF1DE"/>
            <w:noWrap/>
            <w:vAlign w:val="center"/>
          </w:tcPr>
          <w:p w14:paraId="74B66A1F" w14:textId="4293A3B2" w:rsidR="00A75DB1" w:rsidRPr="00A75DB1" w:rsidRDefault="00A75DB1" w:rsidP="003A3361">
            <w:pPr>
              <w:ind w:right="57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A75DB1">
              <w:rPr>
                <w:b/>
                <w:bCs/>
                <w:color w:val="000000"/>
                <w:sz w:val="16"/>
                <w:szCs w:val="16"/>
              </w:rPr>
              <w:t>1.441</w:t>
            </w:r>
          </w:p>
        </w:tc>
      </w:tr>
      <w:tr w:rsidR="00A75DB1" w:rsidRPr="00841586" w14:paraId="489484A1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39DBC1E" w14:textId="77777777" w:rsidR="00A75DB1" w:rsidRPr="00B21A5C" w:rsidRDefault="00A75DB1" w:rsidP="00A75DB1">
            <w:pPr>
              <w:ind w:left="170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Agropecuarios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546B6F3" w14:textId="3834947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-0.22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04E5390F" w14:textId="4B23CF6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68CAB170" w14:textId="191532F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-0.07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3061058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AADE712" w14:textId="273DDCE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0.66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C8674FB" w14:textId="31391A9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16.17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D429A0D" w14:textId="7BE427F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9.29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F1CA888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97A5202" w14:textId="0CFC506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-0.023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4A8E015" w14:textId="7110920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0.058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DA958CC" w14:textId="1299D86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-0.008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4C07BC6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75949E6" w14:textId="1857888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774D6C5" w14:textId="37FBB54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1.682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86011B7" w14:textId="327DA253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1.046</w:t>
            </w:r>
          </w:p>
        </w:tc>
      </w:tr>
      <w:tr w:rsidR="00A75DB1" w:rsidRPr="00841586" w14:paraId="107D7182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4B0E497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Frutas y Verduras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13E2F01" w14:textId="754EB1C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-2.13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99DEB0B" w14:textId="0F5738B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-1.18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5A4EC8E1" w14:textId="1C390B0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-3.02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B7D4F4F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1584EEF" w14:textId="5C6AA96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-8.57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3D8FA5F" w14:textId="64591C9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19.60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609D64B" w14:textId="1CC500F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8.12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26ED589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102BDE4" w14:textId="50522BE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-0.098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13B947D" w14:textId="3D4AC28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-0.060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5BC763F" w14:textId="082F993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-0.157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A113756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184C006" w14:textId="534D6CF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-0.436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CC78197" w14:textId="24CB373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0.879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1CC36EC6" w14:textId="78E6FB0C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0.406</w:t>
            </w:r>
          </w:p>
        </w:tc>
      </w:tr>
      <w:tr w:rsidR="00A75DB1" w:rsidRPr="00841586" w14:paraId="1256B635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vAlign w:val="center"/>
            <w:hideMark/>
          </w:tcPr>
          <w:p w14:paraId="377837F5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Pecuarios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A078088" w14:textId="5A2CE3C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1.29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CDAA2AC" w14:textId="41D2583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1.91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5A9F5BFA" w14:textId="0CBEA55B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2.37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E986834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7E25953" w14:textId="396CFF2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9.01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189951A" w14:textId="7377819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13.57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629D905" w14:textId="5C77820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10.22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E774EBD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2146BCD" w14:textId="2AEE047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478415C" w14:textId="140639F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0.119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4702E82" w14:textId="0BE85B5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0.149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EB4DAA9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B357064" w14:textId="35C795A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0.507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C2594DB" w14:textId="48443AB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0.803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8CC57F2" w14:textId="7F7AF00A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0.640</w:t>
            </w:r>
          </w:p>
        </w:tc>
      </w:tr>
      <w:tr w:rsidR="00A75DB1" w:rsidRPr="00841586" w14:paraId="41EDFC9A" w14:textId="77777777" w:rsidTr="00D26D7A">
        <w:trPr>
          <w:trHeight w:val="454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398DA2F" w14:textId="77777777" w:rsidR="00A75DB1" w:rsidRPr="00B21A5C" w:rsidRDefault="00A75DB1" w:rsidP="00A75DB1">
            <w:pPr>
              <w:ind w:left="170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 y 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9F70921" w14:textId="7DD11B3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2.50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525F87A" w14:textId="66424B3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1.45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2CBA30B8" w14:textId="60DA57D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0.80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DEBD8DC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BEB5DD7" w14:textId="56573CB1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5.50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F7BECED" w14:textId="46B7CF4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4.48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03D288D" w14:textId="7E258DA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2.77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54964CA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BAC82BC" w14:textId="093CA11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42036FF" w14:textId="75A6E91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0.206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2EAA02A" w14:textId="3441327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0.108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E0F48B1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B649B8B" w14:textId="5BCD1854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0.791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DB01D68" w14:textId="2463F271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0.655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864E690" w14:textId="4A078FAF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0.394</w:t>
            </w:r>
          </w:p>
        </w:tc>
      </w:tr>
      <w:tr w:rsidR="00A75DB1" w:rsidRPr="00841586" w14:paraId="7892BE95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2007510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Energéticos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697CDD7" w14:textId="286C9BA9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3.47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8C08194" w14:textId="2E7473B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1.74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vAlign w:val="center"/>
          </w:tcPr>
          <w:p w14:paraId="1C37E7C1" w14:textId="4212409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0.73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7C29A8D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FAFD8FA" w14:textId="357B5840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6.83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4823F325" w14:textId="7C7A0CC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4.97</w:t>
            </w:r>
          </w:p>
        </w:tc>
        <w:tc>
          <w:tcPr>
            <w:tcW w:w="45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633A3E4" w14:textId="1A622B2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1.50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26232651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D81A5A7" w14:textId="15CA6EE2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0.350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1BCC24B" w14:textId="09859EBB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0.176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176B427" w14:textId="04156608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0.070</w:t>
            </w:r>
          </w:p>
        </w:tc>
        <w:tc>
          <w:tcPr>
            <w:tcW w:w="12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1EA0E23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B2D49FA" w14:textId="18227F66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0.689</w:t>
            </w:r>
          </w:p>
        </w:tc>
        <w:tc>
          <w:tcPr>
            <w:tcW w:w="566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37BDFED" w14:textId="4B80488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0.516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24A545A" w14:textId="3D52205F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0.152</w:t>
            </w:r>
          </w:p>
        </w:tc>
      </w:tr>
      <w:tr w:rsidR="00A75DB1" w:rsidRPr="00841586" w14:paraId="40CE95BB" w14:textId="77777777" w:rsidTr="00D26D7A">
        <w:trPr>
          <w:trHeight w:val="255"/>
          <w:jc w:val="center"/>
        </w:trPr>
        <w:tc>
          <w:tcPr>
            <w:tcW w:w="2891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0A65BAF" w14:textId="77777777" w:rsidR="00A75DB1" w:rsidRPr="00B21A5C" w:rsidRDefault="00A75DB1" w:rsidP="00A75DB1">
            <w:pPr>
              <w:ind w:left="227"/>
              <w:rPr>
                <w:color w:val="000000"/>
                <w:sz w:val="16"/>
                <w:szCs w:val="16"/>
                <w:lang w:eastAsia="es-MX"/>
              </w:rPr>
            </w:pPr>
            <w:r w:rsidRPr="00B21A5C">
              <w:rPr>
                <w:color w:val="000000"/>
                <w:sz w:val="16"/>
                <w:szCs w:val="16"/>
                <w:lang w:eastAsia="es-MX"/>
              </w:rPr>
              <w:t>Tarifas Autorizadas por el Gobierno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79181539" w14:textId="20EBA563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0.21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2BF324F1" w14:textId="785E064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0.73</w:t>
            </w: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vAlign w:val="center"/>
          </w:tcPr>
          <w:p w14:paraId="29DD077F" w14:textId="019CFB5A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0.96</w:t>
            </w:r>
          </w:p>
        </w:tc>
        <w:tc>
          <w:tcPr>
            <w:tcW w:w="127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1F7553BA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453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319D012" w14:textId="4549CC8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2.38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40504A02" w14:textId="76C6539D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3.27</w:t>
            </w:r>
          </w:p>
        </w:tc>
        <w:tc>
          <w:tcPr>
            <w:tcW w:w="45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63341826" w14:textId="7CC23325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5.93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608F5972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6675CFA" w14:textId="13B6297B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0.009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7666D89B" w14:textId="229117DE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0.030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290A0D3" w14:textId="3DD5E69C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0.038</w:t>
            </w:r>
          </w:p>
        </w:tc>
        <w:tc>
          <w:tcPr>
            <w:tcW w:w="12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6176BBDB" w14:textId="77777777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311AE68" w14:textId="68324BF1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0.102</w:t>
            </w:r>
          </w:p>
        </w:tc>
        <w:tc>
          <w:tcPr>
            <w:tcW w:w="566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85C8A32" w14:textId="2B481401" w:rsidR="00A75DB1" w:rsidRPr="00A75DB1" w:rsidRDefault="00A75DB1" w:rsidP="003A3361">
            <w:pPr>
              <w:ind w:left="-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0.139</w:t>
            </w:r>
          </w:p>
        </w:tc>
        <w:tc>
          <w:tcPr>
            <w:tcW w:w="566" w:type="dxa"/>
            <w:tcBorders>
              <w:top w:val="dotted" w:sz="4" w:space="0" w:color="9FBE62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12E85C5" w14:textId="7826F338" w:rsidR="00A75DB1" w:rsidRPr="00A75DB1" w:rsidRDefault="00A75DB1" w:rsidP="003A3361">
            <w:pPr>
              <w:ind w:right="5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0.242</w:t>
            </w:r>
          </w:p>
        </w:tc>
      </w:tr>
    </w:tbl>
    <w:bookmarkEnd w:id="1"/>
    <w:p w14:paraId="41C3A6E3" w14:textId="039FCABF" w:rsidR="000C372F" w:rsidRPr="00E671DE" w:rsidRDefault="000C372F" w:rsidP="005367D3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1/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La incidencia se refiere a la contribución</w:t>
      </w:r>
      <w:r w:rsidR="004B1BED">
        <w:rPr>
          <w:sz w:val="16"/>
          <w:szCs w:val="16"/>
        </w:rPr>
        <w:t>,</w:t>
      </w:r>
      <w:r w:rsidRPr="00E671DE">
        <w:rPr>
          <w:sz w:val="16"/>
          <w:szCs w:val="16"/>
        </w:rPr>
        <w:t xml:space="preserve"> en puntos porcentuales</w:t>
      </w:r>
      <w:r w:rsidR="004B1BED">
        <w:rPr>
          <w:sz w:val="16"/>
          <w:szCs w:val="16"/>
        </w:rPr>
        <w:t>,</w:t>
      </w:r>
      <w:r w:rsidRPr="00E671DE">
        <w:rPr>
          <w:sz w:val="16"/>
          <w:szCs w:val="16"/>
        </w:rPr>
        <w:t xml:space="preserve"> de cada componente del INPC a la inflación general. </w:t>
      </w:r>
      <w:r w:rsidR="008557C7">
        <w:rPr>
          <w:sz w:val="16"/>
          <w:szCs w:val="16"/>
        </w:rPr>
        <w:t>E</w:t>
      </w:r>
      <w:r w:rsidRPr="00E671DE">
        <w:rPr>
          <w:sz w:val="16"/>
          <w:szCs w:val="16"/>
        </w:rPr>
        <w:t xml:space="preserve">sta se calcula utilizando los ponderadores de cada subíndice, así como los precios relativos y sus respectivas variaciones. En ciertos casos, la suma de los componentes de algún grupo de subíndices puede </w:t>
      </w:r>
      <w:r w:rsidR="00C243C3">
        <w:rPr>
          <w:sz w:val="16"/>
          <w:szCs w:val="16"/>
        </w:rPr>
        <w:t>presentar</w:t>
      </w:r>
      <w:r w:rsidRPr="00E671DE">
        <w:rPr>
          <w:sz w:val="16"/>
          <w:szCs w:val="16"/>
        </w:rPr>
        <w:t xml:space="preserve"> discrepancia</w:t>
      </w:r>
      <w:r w:rsidR="00C243C3">
        <w:rPr>
          <w:sz w:val="16"/>
          <w:szCs w:val="16"/>
        </w:rPr>
        <w:t>s</w:t>
      </w:r>
      <w:r w:rsidRPr="00E671DE">
        <w:rPr>
          <w:sz w:val="16"/>
          <w:szCs w:val="16"/>
        </w:rPr>
        <w:t xml:space="preserve"> por efectos de redondeo.</w:t>
      </w:r>
    </w:p>
    <w:p w14:paraId="09E626D6" w14:textId="77777777" w:rsidR="000C372F" w:rsidRPr="00E671DE" w:rsidRDefault="000C372F" w:rsidP="005367D3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2/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alimentos procesados, bebidas y tabaco</w:t>
      </w:r>
      <w:r w:rsidR="00C35BD7">
        <w:rPr>
          <w:sz w:val="16"/>
          <w:szCs w:val="16"/>
        </w:rPr>
        <w:t>.</w:t>
      </w:r>
      <w:r w:rsidRPr="00E671DE">
        <w:rPr>
          <w:sz w:val="16"/>
          <w:szCs w:val="16"/>
        </w:rPr>
        <w:t xml:space="preserve"> </w:t>
      </w:r>
      <w:r w:rsidR="00C35BD7">
        <w:rPr>
          <w:sz w:val="16"/>
          <w:szCs w:val="16"/>
        </w:rPr>
        <w:t>N</w:t>
      </w:r>
      <w:r w:rsidRPr="00E671DE">
        <w:rPr>
          <w:sz w:val="16"/>
          <w:szCs w:val="16"/>
        </w:rPr>
        <w:t>o incluye productos agropecuarios.</w:t>
      </w:r>
    </w:p>
    <w:p w14:paraId="5D6CA772" w14:textId="77777777" w:rsidR="000C372F" w:rsidRPr="00E671DE" w:rsidRDefault="000C372F" w:rsidP="005367D3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3/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vivienda propia, renta de vivienda, servicio doméstico y otros servicios para el hogar.</w:t>
      </w:r>
    </w:p>
    <w:p w14:paraId="2C60BA19" w14:textId="77777777" w:rsidR="000C372F" w:rsidRDefault="000C372F" w:rsidP="005367D3">
      <w:pPr>
        <w:autoSpaceDE w:val="0"/>
        <w:autoSpaceDN w:val="0"/>
        <w:adjustRightInd w:val="0"/>
        <w:ind w:left="142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4/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15D02A53" w14:textId="77777777" w:rsidR="000D38ED" w:rsidRPr="000D38ED" w:rsidRDefault="000D38ED" w:rsidP="005367D3">
      <w:pPr>
        <w:autoSpaceDE w:val="0"/>
        <w:autoSpaceDN w:val="0"/>
        <w:adjustRightInd w:val="0"/>
        <w:ind w:left="142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6DF47270" w14:textId="77777777" w:rsidR="00F90299" w:rsidRPr="00EC4BE9" w:rsidRDefault="000C372F" w:rsidP="004F1E7A">
      <w:pPr>
        <w:keepNext/>
        <w:keepLines/>
        <w:widowControl w:val="0"/>
        <w:spacing w:before="720"/>
        <w:jc w:val="left"/>
        <w:rPr>
          <w:b/>
          <w:smallCaps/>
          <w:color w:val="000000" w:themeColor="text1"/>
        </w:rPr>
      </w:pPr>
      <w:r w:rsidRPr="00EC4BE9">
        <w:rPr>
          <w:b/>
          <w:smallCaps/>
        </w:rPr>
        <w:t>Comp</w:t>
      </w:r>
      <w:r w:rsidR="00F90299" w:rsidRPr="00EC4BE9">
        <w:rPr>
          <w:b/>
          <w:smallCaps/>
        </w:rPr>
        <w:t xml:space="preserve">onentes del </w:t>
      </w:r>
      <w:r w:rsidR="00F90299" w:rsidRPr="00EC4BE9">
        <w:rPr>
          <w:b/>
          <w:smallCaps/>
          <w:color w:val="000000" w:themeColor="text1"/>
        </w:rPr>
        <w:t xml:space="preserve">Índice Nacional de Precios al Consumidor </w:t>
      </w:r>
    </w:p>
    <w:p w14:paraId="55D72D0B" w14:textId="07FAD8C7" w:rsidR="000C372F" w:rsidRDefault="0015305D" w:rsidP="008602E5">
      <w:pPr>
        <w:autoSpaceDE w:val="0"/>
        <w:autoSpaceDN w:val="0"/>
        <w:adjustRightInd w:val="0"/>
        <w:spacing w:before="240"/>
      </w:pPr>
      <w:r>
        <w:t xml:space="preserve">En febrero de 2023, la variación </w:t>
      </w:r>
      <w:r w:rsidRPr="00A71198">
        <w:t xml:space="preserve">de los índices subyacente y </w:t>
      </w:r>
      <w:r>
        <w:t>no</w:t>
      </w:r>
      <w:r w:rsidRPr="00A71198">
        <w:t xml:space="preserve"> subyacente fue</w:t>
      </w:r>
      <w:r>
        <w:t xml:space="preserve"> </w:t>
      </w:r>
      <w:r w:rsidRPr="00A71198">
        <w:t>de</w:t>
      </w:r>
      <w:r w:rsidR="000B538C">
        <w:t xml:space="preserve"> </w:t>
      </w:r>
      <w:r w:rsidRPr="00A71198">
        <w:t>0.</w:t>
      </w:r>
      <w:r>
        <w:t>61</w:t>
      </w:r>
      <w:r w:rsidR="00DD3016">
        <w:t> </w:t>
      </w:r>
      <w:r w:rsidRPr="00A71198">
        <w:t>y</w:t>
      </w:r>
      <w:r w:rsidR="00DD3016">
        <w:t> </w:t>
      </w:r>
      <w:r>
        <w:t xml:space="preserve">0.40 %, </w:t>
      </w:r>
      <w:r w:rsidRPr="00A71198">
        <w:t>respectivamente</w:t>
      </w:r>
      <w:r>
        <w:t>. En el mismo mes</w:t>
      </w:r>
      <w:r w:rsidRPr="00A71198">
        <w:t xml:space="preserve"> </w:t>
      </w:r>
      <w:r>
        <w:t xml:space="preserve">de </w:t>
      </w:r>
      <w:r w:rsidRPr="00A71198">
        <w:t>20</w:t>
      </w:r>
      <w:r>
        <w:t>22,</w:t>
      </w:r>
      <w:r w:rsidRPr="00A71198">
        <w:t xml:space="preserve"> </w:t>
      </w:r>
      <w:r>
        <w:t xml:space="preserve">fue de </w:t>
      </w:r>
      <w:r w:rsidRPr="00A71198">
        <w:t>0.</w:t>
      </w:r>
      <w:r>
        <w:t>76</w:t>
      </w:r>
      <w:r w:rsidRPr="00A71198">
        <w:t xml:space="preserve"> y </w:t>
      </w:r>
      <w:r>
        <w:t>1.04 por ciento</w:t>
      </w:r>
      <w:r w:rsidR="001B6008">
        <w:t>.</w:t>
      </w:r>
    </w:p>
    <w:p w14:paraId="3EFD58F7" w14:textId="77777777" w:rsidR="005367D3" w:rsidRDefault="005367D3" w:rsidP="00F15E1E">
      <w:pPr>
        <w:pStyle w:val="n01"/>
        <w:keepNext/>
        <w:spacing w:before="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</w:p>
    <w:p w14:paraId="3AE7F0AA" w14:textId="452BDE56" w:rsidR="000C372F" w:rsidRPr="0091201A" w:rsidRDefault="000C372F" w:rsidP="00F15E1E">
      <w:pPr>
        <w:pStyle w:val="n01"/>
        <w:keepNext/>
        <w:spacing w:before="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91201A">
        <w:rPr>
          <w:rFonts w:ascii="Arial" w:hAnsi="Arial"/>
          <w:color w:val="auto"/>
          <w:sz w:val="20"/>
          <w:szCs w:val="20"/>
        </w:rPr>
        <w:t xml:space="preserve"> </w:t>
      </w:r>
      <w:r>
        <w:rPr>
          <w:rFonts w:ascii="Arial" w:hAnsi="Arial"/>
          <w:color w:val="auto"/>
          <w:sz w:val="20"/>
          <w:szCs w:val="20"/>
        </w:rPr>
        <w:t>2</w:t>
      </w:r>
    </w:p>
    <w:p w14:paraId="6F087249" w14:textId="77777777" w:rsidR="000C372F" w:rsidRPr="002660A9" w:rsidRDefault="000C372F" w:rsidP="000C372F">
      <w:pPr>
        <w:keepNext/>
        <w:keepLines/>
        <w:jc w:val="center"/>
        <w:rPr>
          <w:b/>
          <w:bCs/>
          <w:smallCaps/>
          <w:color w:val="000000" w:themeColor="text1"/>
          <w:sz w:val="22"/>
          <w:szCs w:val="22"/>
        </w:rPr>
      </w:pP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Índices de precios </w:t>
      </w:r>
      <w:r>
        <w:rPr>
          <w:b/>
          <w:bCs/>
          <w:smallCaps/>
          <w:color w:val="000000" w:themeColor="text1"/>
          <w:sz w:val="22"/>
          <w:szCs w:val="22"/>
        </w:rPr>
        <w:t>s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ubyacente y </w:t>
      </w:r>
      <w:r>
        <w:rPr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z w:val="22"/>
          <w:szCs w:val="22"/>
        </w:rPr>
        <w:t>o subyacente</w:t>
      </w:r>
    </w:p>
    <w:p w14:paraId="32155421" w14:textId="08E01C9B" w:rsidR="000C372F" w:rsidRPr="000C372F" w:rsidRDefault="003B64F6" w:rsidP="000C372F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="000C372F" w:rsidRPr="000C372F">
        <w:rPr>
          <w:sz w:val="18"/>
          <w:szCs w:val="18"/>
        </w:rPr>
        <w:t>Variación porcentual</w:t>
      </w:r>
      <w:r w:rsidR="000C372F">
        <w:rPr>
          <w:sz w:val="18"/>
          <w:szCs w:val="18"/>
        </w:rPr>
        <w:t xml:space="preserve"> mensual</w:t>
      </w:r>
      <w:r w:rsidR="000C372F" w:rsidRPr="000C372F">
        <w:rPr>
          <w:sz w:val="18"/>
          <w:szCs w:val="18"/>
        </w:rPr>
        <w:t xml:space="preserve"> en </w:t>
      </w:r>
      <w:r w:rsidR="00C243C3">
        <w:rPr>
          <w:sz w:val="18"/>
          <w:szCs w:val="18"/>
        </w:rPr>
        <w:t>febrero</w:t>
      </w:r>
      <w:r w:rsidR="000C372F" w:rsidRPr="000C372F">
        <w:rPr>
          <w:sz w:val="18"/>
          <w:szCs w:val="18"/>
        </w:rPr>
        <w:t xml:space="preserve"> de los años que se indican</w:t>
      </w:r>
      <w:r>
        <w:rPr>
          <w:sz w:val="18"/>
          <w:szCs w:val="18"/>
        </w:rPr>
        <w:t>)</w:t>
      </w:r>
    </w:p>
    <w:p w14:paraId="77494855" w14:textId="7D370D70" w:rsidR="000C372F" w:rsidRPr="006556B1" w:rsidRDefault="00753635" w:rsidP="000C372F">
      <w:pPr>
        <w:pStyle w:val="n01"/>
        <w:keepLines w:val="0"/>
        <w:spacing w:before="0"/>
        <w:ind w:left="0" w:firstLine="0"/>
        <w:jc w:val="center"/>
        <w:rPr>
          <w:rFonts w:ascii="Arial" w:hAnsi="Arial"/>
          <w:noProof/>
          <w:color w:val="auto"/>
        </w:rPr>
      </w:pPr>
      <w:r>
        <w:rPr>
          <w:noProof/>
        </w:rPr>
        <w:drawing>
          <wp:inline distT="0" distB="0" distL="0" distR="0" wp14:anchorId="440B7381" wp14:editId="6BEFE86C">
            <wp:extent cx="5040000" cy="2880000"/>
            <wp:effectExtent l="0" t="0" r="27305" b="34925"/>
            <wp:docPr id="3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5168D69F" w14:textId="77777777" w:rsidR="000D38ED" w:rsidRPr="000D38ED" w:rsidRDefault="000D38ED" w:rsidP="005367D3">
      <w:pPr>
        <w:autoSpaceDE w:val="0"/>
        <w:autoSpaceDN w:val="0"/>
        <w:adjustRightInd w:val="0"/>
        <w:ind w:left="993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3DFE6169" w14:textId="349B582B" w:rsidR="000C372F" w:rsidRDefault="0015305D" w:rsidP="00A81C6E">
      <w:pPr>
        <w:autoSpaceDE w:val="0"/>
        <w:autoSpaceDN w:val="0"/>
        <w:adjustRightInd w:val="0"/>
        <w:spacing w:before="120"/>
        <w:rPr>
          <w:color w:val="000000" w:themeColor="text1"/>
        </w:rPr>
      </w:pPr>
      <w:r w:rsidRPr="00ED6393">
        <w:rPr>
          <w:color w:val="000000" w:themeColor="text1"/>
        </w:rPr>
        <w:t xml:space="preserve">En </w:t>
      </w:r>
      <w:r>
        <w:rPr>
          <w:color w:val="000000" w:themeColor="text1"/>
        </w:rPr>
        <w:t>febrero</w:t>
      </w:r>
      <w:r w:rsidRPr="00ED6393">
        <w:rPr>
          <w:color w:val="000000" w:themeColor="text1"/>
        </w:rPr>
        <w:t xml:space="preserve"> de 202</w:t>
      </w:r>
      <w:r>
        <w:rPr>
          <w:color w:val="000000" w:themeColor="text1"/>
        </w:rPr>
        <w:t>3</w:t>
      </w:r>
      <w:r w:rsidRPr="00ED6393">
        <w:rPr>
          <w:color w:val="000000" w:themeColor="text1"/>
        </w:rPr>
        <w:t xml:space="preserve">, la variación anual del INPC fue de </w:t>
      </w:r>
      <w:r>
        <w:rPr>
          <w:color w:val="000000" w:themeColor="text1"/>
        </w:rPr>
        <w:t xml:space="preserve">7.62 </w:t>
      </w:r>
      <w:r w:rsidRPr="00ED6393">
        <w:rPr>
          <w:color w:val="000000" w:themeColor="text1"/>
        </w:rPr>
        <w:t xml:space="preserve">% y la de los índices subyacente y no subyacente fue de </w:t>
      </w:r>
      <w:r>
        <w:rPr>
          <w:color w:val="000000" w:themeColor="text1"/>
        </w:rPr>
        <w:t>8.29</w:t>
      </w:r>
      <w:r w:rsidRPr="00ED6393">
        <w:rPr>
          <w:color w:val="000000" w:themeColor="text1"/>
        </w:rPr>
        <w:t xml:space="preserve"> y</w:t>
      </w:r>
      <w:r>
        <w:rPr>
          <w:color w:val="000000" w:themeColor="text1"/>
        </w:rPr>
        <w:t xml:space="preserve"> 5.65 </w:t>
      </w:r>
      <w:r w:rsidRPr="00ED6393">
        <w:rPr>
          <w:color w:val="000000" w:themeColor="text1"/>
        </w:rPr>
        <w:t xml:space="preserve">%, respectivamente. En el mismo periodo del año anterior, el INPC </w:t>
      </w:r>
      <w:r w:rsidR="00F741A3">
        <w:rPr>
          <w:color w:val="000000" w:themeColor="text1"/>
        </w:rPr>
        <w:t>incrementó</w:t>
      </w:r>
      <w:r w:rsidR="00F741A3" w:rsidRPr="00ED639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7.28 </w:t>
      </w:r>
      <w:r w:rsidRPr="00ED6393">
        <w:rPr>
          <w:color w:val="000000" w:themeColor="text1"/>
        </w:rPr>
        <w:t>% y sus índices componentes</w:t>
      </w:r>
      <w:r>
        <w:rPr>
          <w:color w:val="000000" w:themeColor="text1"/>
        </w:rPr>
        <w:t>, 6.59</w:t>
      </w:r>
      <w:r w:rsidRPr="00ED6393">
        <w:rPr>
          <w:color w:val="000000" w:themeColor="text1"/>
        </w:rPr>
        <w:t xml:space="preserve"> y </w:t>
      </w:r>
      <w:r>
        <w:rPr>
          <w:color w:val="000000" w:themeColor="text1"/>
        </w:rPr>
        <w:t xml:space="preserve">9.34 </w:t>
      </w:r>
      <w:r w:rsidRPr="00ED6393">
        <w:rPr>
          <w:color w:val="000000" w:themeColor="text1"/>
        </w:rPr>
        <w:t>%, en ese orden</w:t>
      </w:r>
      <w:r w:rsidR="000C372F" w:rsidRPr="00D25428">
        <w:rPr>
          <w:color w:val="000000" w:themeColor="text1"/>
        </w:rPr>
        <w:t>.</w:t>
      </w:r>
    </w:p>
    <w:p w14:paraId="46924ACE" w14:textId="77777777" w:rsidR="005367D3" w:rsidRPr="00D25428" w:rsidRDefault="005367D3" w:rsidP="00A81C6E">
      <w:pPr>
        <w:autoSpaceDE w:val="0"/>
        <w:autoSpaceDN w:val="0"/>
        <w:adjustRightInd w:val="0"/>
        <w:spacing w:before="120"/>
        <w:rPr>
          <w:color w:val="000000" w:themeColor="text1"/>
        </w:rPr>
      </w:pPr>
    </w:p>
    <w:p w14:paraId="62EBD634" w14:textId="77777777" w:rsidR="000C372F" w:rsidRPr="006E094F" w:rsidRDefault="000C372F" w:rsidP="009F57C6">
      <w:pPr>
        <w:pStyle w:val="n01"/>
        <w:keepNext/>
        <w:spacing w:before="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6E094F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3</w:t>
      </w:r>
    </w:p>
    <w:p w14:paraId="0C8579A9" w14:textId="77777777" w:rsidR="000C372F" w:rsidRPr="00FA0577" w:rsidRDefault="005012EA" w:rsidP="000C372F">
      <w:pPr>
        <w:pStyle w:val="n01"/>
        <w:keepNext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0000" w:themeColor="text1"/>
          <w:sz w:val="22"/>
          <w:szCs w:val="22"/>
        </w:rPr>
      </w:pPr>
      <w:r w:rsidRPr="00A039AE">
        <w:rPr>
          <w:b/>
          <w:bCs/>
          <w:iCs/>
          <w:smallCaps/>
          <w:color w:val="000000" w:themeColor="text1"/>
          <w:sz w:val="22"/>
          <w:szCs w:val="22"/>
        </w:rPr>
        <w:t>Índice Nacional de Precios al Consumidor</w:t>
      </w:r>
      <w:r w:rsidR="000C372F">
        <w:rPr>
          <w:rFonts w:ascii="Arial" w:hAnsi="Arial"/>
          <w:b/>
          <w:bCs/>
          <w:color w:val="000000" w:themeColor="text1"/>
          <w:sz w:val="22"/>
          <w:szCs w:val="22"/>
        </w:rPr>
        <w:t xml:space="preserve"> </w:t>
      </w:r>
      <w:r w:rsidR="000C372F"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y sus componentes</w:t>
      </w:r>
    </w:p>
    <w:p w14:paraId="77990A07" w14:textId="36528FED" w:rsidR="000C372F" w:rsidRPr="000C372F" w:rsidRDefault="003B64F6" w:rsidP="000C372F">
      <w:pPr>
        <w:widowControl w:val="0"/>
        <w:autoSpaceDE w:val="0"/>
        <w:autoSpaceDN w:val="0"/>
        <w:adjustRightInd w:val="0"/>
        <w:jc w:val="center"/>
        <w:rPr>
          <w:sz w:val="18"/>
          <w:szCs w:val="20"/>
        </w:rPr>
      </w:pPr>
      <w:r>
        <w:rPr>
          <w:sz w:val="18"/>
          <w:szCs w:val="20"/>
        </w:rPr>
        <w:t>(</w:t>
      </w:r>
      <w:r w:rsidR="000C372F" w:rsidRPr="000C372F">
        <w:rPr>
          <w:sz w:val="18"/>
          <w:szCs w:val="20"/>
        </w:rPr>
        <w:t>Variación porcentual anual</w:t>
      </w:r>
      <w:r>
        <w:rPr>
          <w:sz w:val="18"/>
          <w:szCs w:val="20"/>
        </w:rPr>
        <w:t>)</w:t>
      </w:r>
    </w:p>
    <w:p w14:paraId="4522B33E" w14:textId="4A39A195" w:rsidR="000C372F" w:rsidRPr="00A71198" w:rsidRDefault="00753635" w:rsidP="000C372F">
      <w:pPr>
        <w:widowControl w:val="0"/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1FF8AC8B" wp14:editId="208811DA">
            <wp:extent cx="5040000" cy="2880000"/>
            <wp:effectExtent l="0" t="0" r="27305" b="34925"/>
            <wp:docPr id="5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6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14:paraId="5F431F5F" w14:textId="77777777" w:rsidR="000D38ED" w:rsidRPr="000D38ED" w:rsidRDefault="000D38ED" w:rsidP="005367D3">
      <w:pPr>
        <w:autoSpaceDE w:val="0"/>
        <w:autoSpaceDN w:val="0"/>
        <w:adjustRightInd w:val="0"/>
        <w:ind w:left="993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14782BCF" w14:textId="77777777" w:rsidR="005367D3" w:rsidRDefault="005367D3" w:rsidP="00AE3C90">
      <w:pPr>
        <w:autoSpaceDE w:val="0"/>
        <w:autoSpaceDN w:val="0"/>
        <w:adjustRightInd w:val="0"/>
        <w:spacing w:before="240"/>
      </w:pPr>
    </w:p>
    <w:p w14:paraId="2D177527" w14:textId="754C8ADD" w:rsidR="000C372F" w:rsidRPr="000C372F" w:rsidRDefault="00BD6157" w:rsidP="00AE3C90">
      <w:pPr>
        <w:autoSpaceDE w:val="0"/>
        <w:autoSpaceDN w:val="0"/>
        <w:adjustRightInd w:val="0"/>
        <w:spacing w:before="240"/>
      </w:pPr>
      <w:r w:rsidRPr="000C372F">
        <w:t>A continuación, se presentan los principales productos genéricos cuyas variaciones de precios destacaron por su incidencia sobre la inflación general</w:t>
      </w:r>
      <w:r w:rsidR="000C372F" w:rsidRPr="000C372F">
        <w:t>.</w:t>
      </w:r>
    </w:p>
    <w:p w14:paraId="77F61362" w14:textId="77777777" w:rsidR="000C372F" w:rsidRPr="0091201A" w:rsidRDefault="000C372F" w:rsidP="00BB59A6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91201A">
        <w:rPr>
          <w:rFonts w:ascii="Arial" w:hAnsi="Arial"/>
          <w:color w:val="auto"/>
          <w:sz w:val="20"/>
          <w:szCs w:val="20"/>
        </w:rPr>
        <w:t xml:space="preserve"> </w:t>
      </w:r>
      <w:r>
        <w:rPr>
          <w:rFonts w:ascii="Arial" w:hAnsi="Arial"/>
          <w:color w:val="auto"/>
          <w:sz w:val="20"/>
          <w:szCs w:val="20"/>
        </w:rPr>
        <w:t>2</w:t>
      </w:r>
    </w:p>
    <w:p w14:paraId="36529BFA" w14:textId="77777777" w:rsidR="000C372F" w:rsidRPr="00704894" w:rsidRDefault="000C372F" w:rsidP="00AE3C90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Índice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1A368596" w14:textId="77777777" w:rsidR="000C372F" w:rsidRPr="00DD3016" w:rsidRDefault="000C372F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0"/>
          <w:szCs w:val="20"/>
        </w:rPr>
      </w:pPr>
      <w:r w:rsidRPr="00DD3016">
        <w:rPr>
          <w:b/>
          <w:bCs/>
          <w:smallCaps/>
          <w:color w:val="000000" w:themeColor="text1"/>
          <w:spacing w:val="1"/>
          <w:sz w:val="20"/>
          <w:szCs w:val="20"/>
        </w:rPr>
        <w:t>productos genéricos con mayor y menor incidencia</w:t>
      </w:r>
    </w:p>
    <w:p w14:paraId="38AF9513" w14:textId="348E52FF" w:rsidR="000C372F" w:rsidRPr="003861EC" w:rsidRDefault="00EA0F58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position w:val="-1"/>
          <w:sz w:val="20"/>
          <w:szCs w:val="20"/>
        </w:rPr>
      </w:pPr>
      <w:r>
        <w:rPr>
          <w:b/>
          <w:bCs/>
          <w:smallCaps/>
          <w:color w:val="000000"/>
          <w:position w:val="-1"/>
          <w:sz w:val="20"/>
          <w:szCs w:val="20"/>
        </w:rPr>
        <w:t>febrero</w:t>
      </w:r>
      <w:r w:rsidR="000C372F" w:rsidRPr="003861EC">
        <w:rPr>
          <w:b/>
          <w:bCs/>
          <w:smallCaps/>
          <w:color w:val="000000"/>
          <w:position w:val="-1"/>
          <w:sz w:val="20"/>
          <w:szCs w:val="20"/>
        </w:rPr>
        <w:t xml:space="preserve"> de 202</w:t>
      </w:r>
      <w:r w:rsidR="00FA31B1" w:rsidRPr="003861EC">
        <w:rPr>
          <w:b/>
          <w:bCs/>
          <w:smallCaps/>
          <w:color w:val="000000"/>
          <w:position w:val="-1"/>
          <w:sz w:val="20"/>
          <w:szCs w:val="20"/>
        </w:rPr>
        <w:t>3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1"/>
        <w:gridCol w:w="1119"/>
        <w:gridCol w:w="1119"/>
        <w:gridCol w:w="177"/>
        <w:gridCol w:w="2650"/>
        <w:gridCol w:w="1119"/>
        <w:gridCol w:w="1119"/>
      </w:tblGrid>
      <w:tr w:rsidR="00915FC5" w:rsidRPr="00A9663B" w14:paraId="28330EA9" w14:textId="77777777" w:rsidTr="00A75DB1">
        <w:trPr>
          <w:trHeight w:val="624"/>
          <w:jc w:val="center"/>
        </w:trPr>
        <w:tc>
          <w:tcPr>
            <w:tcW w:w="2500" w:type="dxa"/>
            <w:tcBorders>
              <w:top w:val="single" w:sz="8" w:space="0" w:color="006600"/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7847F775" w14:textId="77777777" w:rsidR="00915FC5" w:rsidRPr="00443E47" w:rsidRDefault="00915FC5" w:rsidP="000E698C">
            <w:pPr>
              <w:autoSpaceDE w:val="0"/>
              <w:autoSpaceDN w:val="0"/>
              <w:adjustRightInd w:val="0"/>
              <w:ind w:left="7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Productos con precios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al alza</w:t>
            </w:r>
          </w:p>
        </w:tc>
        <w:tc>
          <w:tcPr>
            <w:tcW w:w="1055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7BED3564" w14:textId="32252D15" w:rsidR="00915FC5" w:rsidRPr="00443E47" w:rsidRDefault="00915FC5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%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1055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56264120" w14:textId="50FFC9B1" w:rsidR="00915FC5" w:rsidRPr="00443E47" w:rsidRDefault="00915FC5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3C09F4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167" w:type="dxa"/>
            <w:tcBorders>
              <w:top w:val="single" w:sz="8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149D55F3" w14:textId="77777777" w:rsidR="00915FC5" w:rsidRPr="00B96D30" w:rsidRDefault="00915FC5" w:rsidP="000E698C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499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72F6FF46" w14:textId="77777777" w:rsidR="00915FC5" w:rsidRPr="00443E47" w:rsidRDefault="00915FC5" w:rsidP="000E698C">
            <w:pPr>
              <w:autoSpaceDE w:val="0"/>
              <w:autoSpaceDN w:val="0"/>
              <w:adjustRightInd w:val="0"/>
              <w:ind w:left="76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Productos con precios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>a la baja</w:t>
            </w:r>
          </w:p>
        </w:tc>
        <w:tc>
          <w:tcPr>
            <w:tcW w:w="1055" w:type="dxa"/>
            <w:tcBorders>
              <w:top w:val="single" w:sz="8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08AC22E2" w14:textId="4CD13172" w:rsidR="00915FC5" w:rsidRPr="00443E47" w:rsidRDefault="00915FC5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%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1055" w:type="dxa"/>
            <w:tcBorders>
              <w:top w:val="single" w:sz="8" w:space="0" w:color="006600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4EC2F4B8" w14:textId="20840F99" w:rsidR="00915FC5" w:rsidRPr="00443E47" w:rsidRDefault="00915FC5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Incidencia </w:t>
            </w:r>
            <w:r w:rsidRPr="003C09F4">
              <w:rPr>
                <w:b/>
                <w:bCs/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</w:tr>
      <w:tr w:rsidR="00A75DB1" w:rsidRPr="009F6415" w14:paraId="3846ADF1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9C63EBD" w14:textId="7BE0B50E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Huevo</w:t>
            </w:r>
          </w:p>
        </w:tc>
        <w:tc>
          <w:tcPr>
            <w:tcW w:w="1055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5561AE3A" w14:textId="62F14843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9.04</w:t>
            </w:r>
          </w:p>
        </w:tc>
        <w:tc>
          <w:tcPr>
            <w:tcW w:w="1055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1F65D18C" w14:textId="671D1599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0.089</w:t>
            </w:r>
          </w:p>
        </w:tc>
        <w:tc>
          <w:tcPr>
            <w:tcW w:w="167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20249F9C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80BDC8B" w14:textId="73E5613F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Jitomate</w:t>
            </w:r>
          </w:p>
        </w:tc>
        <w:tc>
          <w:tcPr>
            <w:tcW w:w="1055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A18952A" w14:textId="7A21633A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-18.54</w:t>
            </w:r>
          </w:p>
        </w:tc>
        <w:tc>
          <w:tcPr>
            <w:tcW w:w="1055" w:type="dxa"/>
            <w:tcBorders>
              <w:top w:val="single" w:sz="8" w:space="0" w:color="006600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C1F4FD6" w14:textId="0DB26377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-0.139</w:t>
            </w:r>
          </w:p>
        </w:tc>
      </w:tr>
      <w:tr w:rsidR="00A75DB1" w:rsidRPr="00841586" w14:paraId="1778FC6E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A8BD14B" w14:textId="62DCA7CC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Gas doméstico LP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0E8DC73" w14:textId="0E31D99F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4.06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05DF613" w14:textId="3D80D90A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0.070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FB62FFC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B5BC4C4" w14:textId="4DA49F4A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Chile serrano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A987476" w14:textId="212FD11B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-20.18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5B8A405" w14:textId="3959276E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-0.037</w:t>
            </w:r>
          </w:p>
        </w:tc>
      </w:tr>
      <w:tr w:rsidR="00A75DB1" w:rsidRPr="00841586" w14:paraId="5F385636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778CCAC" w14:textId="6018FE94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Pollo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050AB9E" w14:textId="154BEB1E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3.77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1D48AAB" w14:textId="1AC6802F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0.064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1D8736C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7D0E401" w14:textId="41B4C4B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Calabacita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3C7EF2E" w14:textId="37BE101F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-11.84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82F7214" w14:textId="0E08B8DD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-0.012</w:t>
            </w:r>
          </w:p>
        </w:tc>
      </w:tr>
      <w:tr w:rsidR="00A75DB1" w:rsidRPr="00841586" w14:paraId="656B8327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F503381" w14:textId="736EE6C9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Loncherías, fondas, torterías y taquerías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2D4A632" w14:textId="7BEF78D0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0.85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2F886D6" w14:textId="2AFE75DF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0.043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13597BD6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6AF08E25" w14:textId="05DE5FFF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Electricidad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98A0446" w14:textId="349D3C7C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-0.46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ED2BB63" w14:textId="453E4FB6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-0.009</w:t>
            </w:r>
          </w:p>
        </w:tc>
      </w:tr>
      <w:tr w:rsidR="00A75DB1" w:rsidRPr="00841586" w14:paraId="150F0FF4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893663A" w14:textId="4241EDBD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Plátanos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9C5B0F5" w14:textId="19AC98EF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11.26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022AACE" w14:textId="2E8F8AAD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0.032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CFF67CB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D3DB11C" w14:textId="3BCEDBFD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Lechuga y col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2C05B43" w14:textId="160D4ACB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-4.32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1879D5E2" w14:textId="367358FE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-0.008</w:t>
            </w:r>
          </w:p>
        </w:tc>
      </w:tr>
      <w:tr w:rsidR="00A75DB1" w:rsidRPr="00841586" w14:paraId="0F7EC10D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DE3B6BD" w14:textId="36C93E86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Vivienda propia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3E66C38" w14:textId="329A5F55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0.29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9D2680D" w14:textId="54C1B17F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0.031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7EE8E0A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5CC153D" w14:textId="19E8BA53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Cebolla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1578586" w14:textId="1F92D280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-3.71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25AA40A5" w14:textId="0F07E14A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-0.007</w:t>
            </w:r>
          </w:p>
        </w:tc>
      </w:tr>
      <w:tr w:rsidR="00A75DB1" w:rsidRPr="00841586" w14:paraId="2EE105D8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CC0D1AA" w14:textId="4DD0E8C4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Universidad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C38143D" w14:textId="29D3188D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1.71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E6D4BD0" w14:textId="1495F2BC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0.024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72025ABA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F5F8EA0" w14:textId="77107136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Carne de cerdo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FEF701B" w14:textId="02E2CF0A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-0.92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FACAFCC" w14:textId="3106C51E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-0.006</w:t>
            </w:r>
          </w:p>
        </w:tc>
      </w:tr>
      <w:tr w:rsidR="00A75DB1" w:rsidRPr="00841586" w14:paraId="6E156C4C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9A9F60E" w14:textId="77BBA8FE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Restaurantes y similares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8512E9B" w14:textId="74CCE4B0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0.74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D75E100" w14:textId="63C2329E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0.022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E459E08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FCC7B5C" w14:textId="79F1E43B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Chile poblano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2A56C56" w14:textId="1C6D09EF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-9.90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F39F914" w14:textId="3B8DD2BC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-0.005</w:t>
            </w:r>
          </w:p>
        </w:tc>
      </w:tr>
      <w:tr w:rsidR="00A75DB1" w:rsidRPr="00841586" w14:paraId="7B2C85ED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6E89F83" w14:textId="692C04C1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Automóviles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653C40D3" w14:textId="3D91BB1F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0.91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38FCF7E" w14:textId="7A484991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0.018</w:t>
            </w:r>
          </w:p>
        </w:tc>
        <w:tc>
          <w:tcPr>
            <w:tcW w:w="167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4F1803BE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7546A3C" w14:textId="33698A16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Otras verduras y legumbres</w:t>
            </w:r>
          </w:p>
        </w:tc>
        <w:tc>
          <w:tcPr>
            <w:tcW w:w="1055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C7C7450" w14:textId="1489A514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-1.70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3D86E5D9" w14:textId="21291F4C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-0.005</w:t>
            </w:r>
          </w:p>
        </w:tc>
      </w:tr>
      <w:tr w:rsidR="00A75DB1" w:rsidRPr="00841586" w14:paraId="34F0A828" w14:textId="77777777" w:rsidTr="00D26D7A">
        <w:trPr>
          <w:trHeight w:val="255"/>
          <w:jc w:val="center"/>
        </w:trPr>
        <w:tc>
          <w:tcPr>
            <w:tcW w:w="2500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761ADBF7" w14:textId="73E0C592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Leche pasteurizada y fresca</w:t>
            </w:r>
          </w:p>
        </w:tc>
        <w:tc>
          <w:tcPr>
            <w:tcW w:w="1055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7F759122" w14:textId="0C21E58D" w:rsidR="00A75DB1" w:rsidRPr="00A75DB1" w:rsidRDefault="00A75DB1" w:rsidP="00D26D7A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1.04</w:t>
            </w:r>
          </w:p>
        </w:tc>
        <w:tc>
          <w:tcPr>
            <w:tcW w:w="1055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C4DAFAC" w14:textId="662F77D3" w:rsidR="00A75DB1" w:rsidRPr="00A75DB1" w:rsidRDefault="00A75DB1" w:rsidP="00D26D7A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A75DB1">
              <w:rPr>
                <w:color w:val="000000"/>
                <w:sz w:val="16"/>
                <w:szCs w:val="16"/>
              </w:rPr>
              <w:t>0.017</w:t>
            </w:r>
          </w:p>
        </w:tc>
        <w:tc>
          <w:tcPr>
            <w:tcW w:w="167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2B595019" w14:textId="77777777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2499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C62972A" w14:textId="0EC83440" w:rsidR="00A75DB1" w:rsidRPr="00B21A5C" w:rsidRDefault="00A75DB1" w:rsidP="00D26D7A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Ejotes</w:t>
            </w:r>
          </w:p>
        </w:tc>
        <w:tc>
          <w:tcPr>
            <w:tcW w:w="1055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D4DF60F" w14:textId="780E9903" w:rsidR="00A75DB1" w:rsidRPr="00E04014" w:rsidRDefault="00A75DB1" w:rsidP="00F741A3">
            <w:pPr>
              <w:ind w:right="397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-11.30</w:t>
            </w:r>
          </w:p>
        </w:tc>
        <w:tc>
          <w:tcPr>
            <w:tcW w:w="1055" w:type="dxa"/>
            <w:tcBorders>
              <w:top w:val="dotted" w:sz="4" w:space="0" w:color="9FBE62"/>
              <w:left w:val="nil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2E56216" w14:textId="2074EB9D" w:rsidR="00A75DB1" w:rsidRPr="00E04014" w:rsidRDefault="00A75DB1" w:rsidP="00F741A3">
            <w:pPr>
              <w:ind w:right="340"/>
              <w:jc w:val="right"/>
              <w:rPr>
                <w:color w:val="000000"/>
                <w:sz w:val="16"/>
                <w:szCs w:val="16"/>
              </w:rPr>
            </w:pPr>
            <w:r w:rsidRPr="00E04014">
              <w:rPr>
                <w:color w:val="000000"/>
                <w:sz w:val="16"/>
                <w:szCs w:val="16"/>
              </w:rPr>
              <w:t>-0.005</w:t>
            </w:r>
          </w:p>
        </w:tc>
      </w:tr>
    </w:tbl>
    <w:p w14:paraId="0E885B57" w14:textId="6DE22C79" w:rsidR="000C372F" w:rsidRDefault="000C372F" w:rsidP="005367D3">
      <w:pPr>
        <w:autoSpaceDE w:val="0"/>
        <w:autoSpaceDN w:val="0"/>
        <w:adjustRightInd w:val="0"/>
        <w:spacing w:line="276" w:lineRule="auto"/>
        <w:ind w:left="142" w:right="113" w:hanging="170"/>
        <w:rPr>
          <w:sz w:val="16"/>
          <w:szCs w:val="16"/>
        </w:rPr>
      </w:pPr>
      <w:r w:rsidRPr="00204508">
        <w:rPr>
          <w:sz w:val="18"/>
          <w:szCs w:val="16"/>
          <w:vertAlign w:val="superscript"/>
        </w:rPr>
        <w:t>1/</w:t>
      </w:r>
      <w:r w:rsidRPr="00204508">
        <w:rPr>
          <w:sz w:val="18"/>
          <w:szCs w:val="16"/>
          <w:vertAlign w:val="superscript"/>
        </w:rPr>
        <w:tab/>
      </w:r>
      <w:r w:rsidRPr="00204508">
        <w:rPr>
          <w:sz w:val="16"/>
          <w:szCs w:val="16"/>
        </w:rPr>
        <w:t>La incidencia se refiere a la contribución</w:t>
      </w:r>
      <w:r w:rsidR="004B1BED">
        <w:rPr>
          <w:sz w:val="16"/>
          <w:szCs w:val="16"/>
        </w:rPr>
        <w:t>,</w:t>
      </w:r>
      <w:r w:rsidRPr="00204508">
        <w:rPr>
          <w:sz w:val="16"/>
          <w:szCs w:val="16"/>
        </w:rPr>
        <w:t xml:space="preserve"> en puntos porcentuales</w:t>
      </w:r>
      <w:r w:rsidR="004B1BED">
        <w:rPr>
          <w:sz w:val="16"/>
          <w:szCs w:val="16"/>
        </w:rPr>
        <w:t>,</w:t>
      </w:r>
      <w:r w:rsidRPr="00204508">
        <w:rPr>
          <w:sz w:val="16"/>
          <w:szCs w:val="16"/>
        </w:rPr>
        <w:t xml:space="preserve"> de cada componente del INPC a la inflación general. </w:t>
      </w:r>
      <w:r w:rsidR="00F361CE">
        <w:rPr>
          <w:sz w:val="16"/>
          <w:szCs w:val="16"/>
        </w:rPr>
        <w:t>E</w:t>
      </w:r>
      <w:r w:rsidRPr="00204508">
        <w:rPr>
          <w:sz w:val="16"/>
          <w:szCs w:val="16"/>
        </w:rPr>
        <w:t>sta se calcula utilizando los ponderadores de cada subíndice, así como los precios relativos y sus respectivas variaciones.</w:t>
      </w:r>
    </w:p>
    <w:p w14:paraId="2024E243" w14:textId="77777777" w:rsidR="000D38ED" w:rsidRPr="000D38ED" w:rsidRDefault="000D38ED" w:rsidP="005367D3">
      <w:pPr>
        <w:autoSpaceDE w:val="0"/>
        <w:autoSpaceDN w:val="0"/>
        <w:adjustRightInd w:val="0"/>
        <w:spacing w:line="276" w:lineRule="auto"/>
        <w:ind w:left="142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4208ED05" w14:textId="224C9456" w:rsidR="000C372F" w:rsidRDefault="00BD6157" w:rsidP="00AE3C90">
      <w:pPr>
        <w:autoSpaceDE w:val="0"/>
        <w:autoSpaceDN w:val="0"/>
        <w:adjustRightInd w:val="0"/>
        <w:spacing w:before="480"/>
      </w:pPr>
      <w:r>
        <w:t>En los siguientes cuadros</w:t>
      </w:r>
      <w:r w:rsidR="000B538C">
        <w:t>,</w:t>
      </w:r>
      <w:r>
        <w:t xml:space="preserve"> se muestran las entidades federativas y ciudades en las que </w:t>
      </w:r>
      <w:r w:rsidR="00505F90">
        <w:t>el INPC</w:t>
      </w:r>
      <w:r>
        <w:t xml:space="preserve"> alcanzó las mayores y menores variaciones </w:t>
      </w:r>
      <w:r w:rsidR="007F3915">
        <w:t>durante</w:t>
      </w:r>
      <w:r w:rsidR="00D4046C">
        <w:t xml:space="preserve"> </w:t>
      </w:r>
      <w:r w:rsidR="0015305D">
        <w:t>febrero</w:t>
      </w:r>
      <w:r>
        <w:t xml:space="preserve"> de 202</w:t>
      </w:r>
      <w:r w:rsidR="00FA31B1">
        <w:t>3</w:t>
      </w:r>
      <w:r w:rsidR="000C372F">
        <w:t>.</w:t>
      </w:r>
    </w:p>
    <w:p w14:paraId="6B79B9FF" w14:textId="77777777" w:rsidR="000C372F" w:rsidRPr="003C74AD" w:rsidRDefault="000C372F" w:rsidP="00BB59A6">
      <w:pPr>
        <w:pStyle w:val="n01"/>
        <w:keepLines w:val="0"/>
        <w:spacing w:before="48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3C74AD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3</w:t>
      </w:r>
    </w:p>
    <w:p w14:paraId="37E15C08" w14:textId="77777777" w:rsidR="000C372F" w:rsidRPr="00704894" w:rsidRDefault="000C372F" w:rsidP="00AE3C90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ndice </w:t>
      </w:r>
      <w:r w:rsidRPr="005C0C11"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5B946410" w14:textId="77777777" w:rsidR="000C372F" w:rsidRPr="00DD3016" w:rsidRDefault="000C372F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0"/>
          <w:szCs w:val="20"/>
        </w:rPr>
      </w:pPr>
      <w:r w:rsidRPr="00DD3016">
        <w:rPr>
          <w:b/>
          <w:bCs/>
          <w:smallCaps/>
          <w:color w:val="000000" w:themeColor="text1"/>
          <w:spacing w:val="1"/>
          <w:sz w:val="20"/>
          <w:szCs w:val="20"/>
        </w:rPr>
        <w:t>entidades federativas con mayor y menor variación *</w:t>
      </w:r>
    </w:p>
    <w:p w14:paraId="66CFACC0" w14:textId="58335223" w:rsidR="000C372F" w:rsidRPr="003861EC" w:rsidRDefault="00ED02CF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smallCaps/>
          <w:color w:val="000000" w:themeColor="text1"/>
          <w:spacing w:val="1"/>
          <w:sz w:val="20"/>
          <w:szCs w:val="20"/>
        </w:rPr>
      </w:pPr>
      <w:r>
        <w:rPr>
          <w:b/>
          <w:smallCaps/>
          <w:color w:val="000000" w:themeColor="text1"/>
          <w:spacing w:val="1"/>
          <w:sz w:val="20"/>
          <w:szCs w:val="20"/>
        </w:rPr>
        <w:t>febrero</w:t>
      </w:r>
      <w:r w:rsidR="000C372F" w:rsidRPr="003861EC">
        <w:rPr>
          <w:b/>
          <w:smallCaps/>
          <w:color w:val="000000" w:themeColor="text1"/>
          <w:spacing w:val="1"/>
          <w:sz w:val="20"/>
          <w:szCs w:val="20"/>
        </w:rPr>
        <w:t xml:space="preserve"> de 202</w:t>
      </w:r>
      <w:r w:rsidR="00FA31B1" w:rsidRPr="003861EC">
        <w:rPr>
          <w:b/>
          <w:smallCaps/>
          <w:color w:val="000000" w:themeColor="text1"/>
          <w:spacing w:val="1"/>
          <w:sz w:val="20"/>
          <w:szCs w:val="20"/>
        </w:rPr>
        <w:t>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78"/>
        <w:gridCol w:w="1380"/>
        <w:gridCol w:w="300"/>
        <w:gridCol w:w="3418"/>
        <w:gridCol w:w="1378"/>
      </w:tblGrid>
      <w:tr w:rsidR="00ED02CF" w:rsidRPr="00A9663B" w14:paraId="37E04CEA" w14:textId="77777777" w:rsidTr="00E04014">
        <w:trPr>
          <w:trHeight w:val="624"/>
          <w:jc w:val="center"/>
        </w:trPr>
        <w:tc>
          <w:tcPr>
            <w:tcW w:w="3280" w:type="dxa"/>
            <w:tcBorders>
              <w:top w:val="single" w:sz="8" w:space="0" w:color="006600"/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548465A3" w14:textId="77777777" w:rsidR="00ED02CF" w:rsidRPr="00443E47" w:rsidRDefault="00ED02CF" w:rsidP="000E698C">
            <w:pPr>
              <w:autoSpaceDE w:val="0"/>
              <w:autoSpaceDN w:val="0"/>
              <w:adjustRightInd w:val="0"/>
              <w:ind w:left="69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Entidades con variación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por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arriba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del promedio nacional</w:t>
            </w:r>
          </w:p>
        </w:tc>
        <w:tc>
          <w:tcPr>
            <w:tcW w:w="1301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763C02D7" w14:textId="20A53A1D" w:rsidR="00ED02CF" w:rsidRPr="00443E47" w:rsidRDefault="00ED02CF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%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283" w:type="dxa"/>
            <w:tcBorders>
              <w:top w:val="single" w:sz="8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7745F022" w14:textId="77777777" w:rsidR="00ED02CF" w:rsidRPr="00FF4BF4" w:rsidRDefault="00ED02CF" w:rsidP="000E698C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23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511A3645" w14:textId="77777777" w:rsidR="00ED02CF" w:rsidRPr="00443E47" w:rsidRDefault="00ED02CF" w:rsidP="000E698C">
            <w:pPr>
              <w:autoSpaceDE w:val="0"/>
              <w:autoSpaceDN w:val="0"/>
              <w:adjustRightInd w:val="0"/>
              <w:ind w:left="56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Entidades con variación por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debajo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</w:r>
            <w:r w:rsidRPr="00FF4BF4">
              <w:rPr>
                <w:b/>
                <w:bCs/>
                <w:color w:val="000000"/>
                <w:sz w:val="16"/>
                <w:szCs w:val="16"/>
                <w:lang w:eastAsia="es-MX"/>
              </w:rPr>
              <w:t>del promedio nacional</w:t>
            </w:r>
          </w:p>
        </w:tc>
        <w:tc>
          <w:tcPr>
            <w:tcW w:w="1299" w:type="dxa"/>
            <w:tcBorders>
              <w:top w:val="single" w:sz="8" w:space="0" w:color="006600"/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75A0E0E3" w14:textId="4CE81775" w:rsidR="00ED02CF" w:rsidRPr="00443E47" w:rsidRDefault="00ED02CF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B96D3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%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</w:tr>
      <w:tr w:rsidR="00EC42FA" w:rsidRPr="006B0239" w14:paraId="2B79702F" w14:textId="77777777" w:rsidTr="00E04014">
        <w:trPr>
          <w:trHeight w:val="255"/>
          <w:jc w:val="center"/>
        </w:trPr>
        <w:tc>
          <w:tcPr>
            <w:tcW w:w="3280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2F38EF1" w14:textId="0CFC8CFF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Quintana Roo</w:t>
            </w:r>
          </w:p>
        </w:tc>
        <w:tc>
          <w:tcPr>
            <w:tcW w:w="1301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44BF7689" w14:textId="2400AE93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83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00334E73" w14:textId="77777777" w:rsidR="00EC42FA" w:rsidRPr="00B21A5C" w:rsidRDefault="00EC42FA" w:rsidP="00EC42FA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23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B553BBD" w14:textId="6CFE50FD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Oaxaca</w:t>
            </w:r>
          </w:p>
        </w:tc>
        <w:tc>
          <w:tcPr>
            <w:tcW w:w="1299" w:type="dxa"/>
            <w:tcBorders>
              <w:top w:val="single" w:sz="8" w:space="0" w:color="006600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FE190B7" w14:textId="0D2BFD30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0.16</w:t>
            </w:r>
          </w:p>
        </w:tc>
      </w:tr>
      <w:tr w:rsidR="00EC42FA" w:rsidRPr="00841586" w14:paraId="6D2D47B5" w14:textId="77777777" w:rsidTr="00E04014">
        <w:trPr>
          <w:trHeight w:val="255"/>
          <w:jc w:val="center"/>
        </w:trPr>
        <w:tc>
          <w:tcPr>
            <w:tcW w:w="328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CD17B49" w14:textId="37A87F6B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Sonora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B7392E9" w14:textId="14C8B0C1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0.87</w:t>
            </w:r>
          </w:p>
        </w:tc>
        <w:tc>
          <w:tcPr>
            <w:tcW w:w="28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BD7C3FE" w14:textId="77777777" w:rsidR="00EC42FA" w:rsidRPr="00B21A5C" w:rsidRDefault="00EC42FA" w:rsidP="00EC42FA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2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F86CED2" w14:textId="7BC7C254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Aguascalientes</w:t>
            </w:r>
          </w:p>
        </w:tc>
        <w:tc>
          <w:tcPr>
            <w:tcW w:w="1299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71B94F8A" w14:textId="276D38BB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0.24</w:t>
            </w:r>
          </w:p>
        </w:tc>
      </w:tr>
      <w:tr w:rsidR="00EC42FA" w:rsidRPr="00841586" w14:paraId="32A01F4D" w14:textId="77777777" w:rsidTr="00E04014">
        <w:trPr>
          <w:trHeight w:val="255"/>
          <w:jc w:val="center"/>
        </w:trPr>
        <w:tc>
          <w:tcPr>
            <w:tcW w:w="328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D24DE37" w14:textId="7369B97F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Sinaloa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A6DE0BD" w14:textId="6984045A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0.84</w:t>
            </w:r>
          </w:p>
        </w:tc>
        <w:tc>
          <w:tcPr>
            <w:tcW w:w="28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45376C5" w14:textId="77777777" w:rsidR="00EC42FA" w:rsidRPr="00B21A5C" w:rsidRDefault="00EC42FA" w:rsidP="00EC42FA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2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010041AE" w14:textId="66F4B298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Guerrero</w:t>
            </w:r>
          </w:p>
        </w:tc>
        <w:tc>
          <w:tcPr>
            <w:tcW w:w="1299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1E46916" w14:textId="0FC609B7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0.26</w:t>
            </w:r>
          </w:p>
        </w:tc>
      </w:tr>
      <w:tr w:rsidR="00EC42FA" w:rsidRPr="00841586" w14:paraId="58ED4D44" w14:textId="77777777" w:rsidTr="00E04014">
        <w:trPr>
          <w:trHeight w:val="255"/>
          <w:jc w:val="center"/>
        </w:trPr>
        <w:tc>
          <w:tcPr>
            <w:tcW w:w="3280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3DD95B0" w14:textId="290BD031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Hidalgo</w:t>
            </w:r>
          </w:p>
        </w:tc>
        <w:tc>
          <w:tcPr>
            <w:tcW w:w="1301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6C461C9" w14:textId="118979EB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0.83</w:t>
            </w:r>
          </w:p>
        </w:tc>
        <w:tc>
          <w:tcPr>
            <w:tcW w:w="283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6E819E9" w14:textId="77777777" w:rsidR="00EC42FA" w:rsidRPr="00B21A5C" w:rsidRDefault="00EC42FA" w:rsidP="00EC42FA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23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136DAD6" w14:textId="3BFC771E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Coahuila</w:t>
            </w:r>
          </w:p>
        </w:tc>
        <w:tc>
          <w:tcPr>
            <w:tcW w:w="1299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5075F964" w14:textId="45FA151B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0.39</w:t>
            </w:r>
          </w:p>
        </w:tc>
      </w:tr>
      <w:tr w:rsidR="00EC42FA" w:rsidRPr="00841586" w14:paraId="6FAE53EB" w14:textId="77777777" w:rsidTr="00E04014">
        <w:trPr>
          <w:trHeight w:val="255"/>
          <w:jc w:val="center"/>
        </w:trPr>
        <w:tc>
          <w:tcPr>
            <w:tcW w:w="3280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2B9FEAD" w14:textId="264DCEB3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Tlaxcala</w:t>
            </w:r>
          </w:p>
        </w:tc>
        <w:tc>
          <w:tcPr>
            <w:tcW w:w="1301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546BE593" w14:textId="0F07D5F5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283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4A53111E" w14:textId="77777777" w:rsidR="00EC42FA" w:rsidRPr="00B21A5C" w:rsidRDefault="00EC42FA" w:rsidP="00EC42FA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23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FC48822" w14:textId="2E5394CD" w:rsidR="00EC42FA" w:rsidRPr="00B21A5C" w:rsidRDefault="00EC42FA" w:rsidP="00EC42FA">
            <w:pPr>
              <w:ind w:left="57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Chiapas</w:t>
            </w:r>
          </w:p>
        </w:tc>
        <w:tc>
          <w:tcPr>
            <w:tcW w:w="1299" w:type="dxa"/>
            <w:tcBorders>
              <w:top w:val="dotted" w:sz="4" w:space="0" w:color="9FBE62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1A77131" w14:textId="6D5D1C32" w:rsidR="00EC42FA" w:rsidRPr="00EC42FA" w:rsidRDefault="00EC42FA" w:rsidP="00EC42FA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EC42FA">
              <w:rPr>
                <w:color w:val="000000"/>
                <w:sz w:val="16"/>
                <w:szCs w:val="16"/>
              </w:rPr>
              <w:t>0.40</w:t>
            </w:r>
          </w:p>
        </w:tc>
      </w:tr>
    </w:tbl>
    <w:p w14:paraId="098F575F" w14:textId="77777777" w:rsidR="000C372F" w:rsidRDefault="000C372F" w:rsidP="005367D3">
      <w:pPr>
        <w:autoSpaceDE w:val="0"/>
        <w:autoSpaceDN w:val="0"/>
        <w:adjustRightInd w:val="0"/>
        <w:ind w:left="142" w:right="113" w:hanging="170"/>
        <w:rPr>
          <w:rStyle w:val="Hipervnculo"/>
          <w:color w:val="auto"/>
          <w:sz w:val="16"/>
          <w:szCs w:val="28"/>
          <w:u w:val="none"/>
        </w:rPr>
      </w:pPr>
      <w:r w:rsidRPr="00204508">
        <w:rPr>
          <w:rStyle w:val="Hipervnculo"/>
          <w:color w:val="auto"/>
          <w:sz w:val="18"/>
          <w:szCs w:val="28"/>
          <w:u w:val="none"/>
        </w:rPr>
        <w:t>*</w:t>
      </w:r>
      <w:r w:rsidRPr="00204508">
        <w:rPr>
          <w:rStyle w:val="Hipervnculo"/>
          <w:color w:val="auto"/>
          <w:sz w:val="18"/>
          <w:szCs w:val="28"/>
          <w:u w:val="none"/>
        </w:rPr>
        <w:tab/>
      </w:r>
      <w:r w:rsidRPr="00204508">
        <w:rPr>
          <w:rStyle w:val="Hipervnculo"/>
          <w:color w:val="auto"/>
          <w:sz w:val="16"/>
          <w:szCs w:val="28"/>
          <w:u w:val="none"/>
        </w:rPr>
        <w:t>Las desagregaciones del INPC s</w:t>
      </w:r>
      <w:r w:rsidR="00F361CE">
        <w:rPr>
          <w:rStyle w:val="Hipervnculo"/>
          <w:color w:val="auto"/>
          <w:sz w:val="16"/>
          <w:szCs w:val="28"/>
          <w:u w:val="none"/>
        </w:rPr>
        <w:t>o</w:t>
      </w:r>
      <w:r w:rsidRPr="00204508">
        <w:rPr>
          <w:rStyle w:val="Hipervnculo"/>
          <w:color w:val="auto"/>
          <w:sz w:val="16"/>
          <w:szCs w:val="28"/>
          <w:u w:val="none"/>
        </w:rPr>
        <w:t>lo tienen valor informativo.</w:t>
      </w:r>
    </w:p>
    <w:p w14:paraId="5B1789CA" w14:textId="77777777" w:rsidR="000D38ED" w:rsidRPr="000D38ED" w:rsidRDefault="000D38ED" w:rsidP="005367D3">
      <w:pPr>
        <w:autoSpaceDE w:val="0"/>
        <w:autoSpaceDN w:val="0"/>
        <w:adjustRightInd w:val="0"/>
        <w:spacing w:line="276" w:lineRule="auto"/>
        <w:ind w:left="142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6BA229AA" w14:textId="77777777" w:rsidR="005367D3" w:rsidRDefault="005367D3" w:rsidP="005367D3">
      <w:pPr>
        <w:pStyle w:val="n01"/>
        <w:keepNext/>
        <w:spacing w:before="12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</w:p>
    <w:p w14:paraId="310DDFA7" w14:textId="0ED7108A" w:rsidR="000C372F" w:rsidRPr="003C74AD" w:rsidRDefault="000C372F" w:rsidP="005367D3">
      <w:pPr>
        <w:pStyle w:val="n01"/>
        <w:keepNext/>
        <w:spacing w:before="12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3C74AD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4</w:t>
      </w:r>
    </w:p>
    <w:p w14:paraId="7C49D844" w14:textId="77777777" w:rsidR="000C372F" w:rsidRPr="00A71198" w:rsidRDefault="000C372F" w:rsidP="00C16680">
      <w:pPr>
        <w:keepNext/>
        <w:keepLines/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ndice</w:t>
      </w:r>
      <w:r w:rsidRPr="00A71198">
        <w:rPr>
          <w:b/>
          <w:bCs/>
          <w:smallCaps/>
          <w:color w:val="000000" w:themeColor="text1"/>
          <w:spacing w:val="1"/>
        </w:rPr>
        <w:t xml:space="preserve">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37FA974C" w14:textId="77777777" w:rsidR="000C372F" w:rsidRPr="00DD3016" w:rsidRDefault="000C372F" w:rsidP="00C16680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 w:themeColor="text1"/>
          <w:spacing w:val="1"/>
          <w:sz w:val="20"/>
          <w:szCs w:val="20"/>
        </w:rPr>
      </w:pPr>
      <w:r w:rsidRPr="00DD3016">
        <w:rPr>
          <w:b/>
          <w:bCs/>
          <w:smallCaps/>
          <w:color w:val="000000" w:themeColor="text1"/>
          <w:spacing w:val="1"/>
          <w:sz w:val="20"/>
          <w:szCs w:val="20"/>
        </w:rPr>
        <w:t>ciudades con mayor y menor variación *</w:t>
      </w:r>
    </w:p>
    <w:p w14:paraId="238B1C59" w14:textId="44767321" w:rsidR="000C372F" w:rsidRPr="003861EC" w:rsidRDefault="00ED02CF" w:rsidP="00C16680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smallCaps/>
          <w:color w:val="000000" w:themeColor="text1"/>
          <w:spacing w:val="1"/>
          <w:sz w:val="20"/>
          <w:szCs w:val="20"/>
        </w:rPr>
      </w:pPr>
      <w:r>
        <w:rPr>
          <w:b/>
          <w:smallCaps/>
          <w:color w:val="000000" w:themeColor="text1"/>
          <w:spacing w:val="1"/>
          <w:sz w:val="20"/>
          <w:szCs w:val="20"/>
        </w:rPr>
        <w:t>febrero</w:t>
      </w:r>
      <w:r w:rsidR="00596C1C" w:rsidRPr="003861EC">
        <w:rPr>
          <w:b/>
          <w:smallCaps/>
          <w:color w:val="000000" w:themeColor="text1"/>
          <w:spacing w:val="1"/>
          <w:sz w:val="20"/>
          <w:szCs w:val="20"/>
        </w:rPr>
        <w:t xml:space="preserve"> de</w:t>
      </w:r>
      <w:r w:rsidR="000C372F" w:rsidRPr="003861EC">
        <w:rPr>
          <w:b/>
          <w:smallCaps/>
          <w:color w:val="000000" w:themeColor="text1"/>
          <w:spacing w:val="1"/>
          <w:sz w:val="20"/>
          <w:szCs w:val="20"/>
        </w:rPr>
        <w:t xml:space="preserve"> 202</w:t>
      </w:r>
      <w:r w:rsidR="005963C5" w:rsidRPr="003861EC">
        <w:rPr>
          <w:b/>
          <w:smallCaps/>
          <w:color w:val="000000" w:themeColor="text1"/>
          <w:spacing w:val="1"/>
          <w:sz w:val="20"/>
          <w:szCs w:val="20"/>
        </w:rPr>
        <w:t>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59"/>
        <w:gridCol w:w="1371"/>
        <w:gridCol w:w="299"/>
        <w:gridCol w:w="3457"/>
        <w:gridCol w:w="1368"/>
      </w:tblGrid>
      <w:tr w:rsidR="00ED02CF" w:rsidRPr="00A9663B" w14:paraId="083862B0" w14:textId="77777777" w:rsidTr="00AF1B32">
        <w:trPr>
          <w:trHeight w:val="624"/>
          <w:jc w:val="center"/>
        </w:trPr>
        <w:tc>
          <w:tcPr>
            <w:tcW w:w="3261" w:type="dxa"/>
            <w:tcBorders>
              <w:top w:val="single" w:sz="8" w:space="0" w:color="006600"/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5793754F" w14:textId="77777777" w:rsidR="00ED02CF" w:rsidRPr="00E15260" w:rsidRDefault="00ED02CF" w:rsidP="000E698C">
            <w:pPr>
              <w:autoSpaceDE w:val="0"/>
              <w:autoSpaceDN w:val="0"/>
              <w:adjustRightInd w:val="0"/>
              <w:ind w:left="70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>Ciudades con variación por arriba</w:t>
            </w: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  <w:t>del promedio nacional</w:t>
            </w:r>
          </w:p>
        </w:tc>
        <w:tc>
          <w:tcPr>
            <w:tcW w:w="1293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vAlign w:val="center"/>
          </w:tcPr>
          <w:p w14:paraId="4F082C4B" w14:textId="4820B807" w:rsidR="00ED02CF" w:rsidRPr="00E15260" w:rsidRDefault="00ED02CF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%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282" w:type="dxa"/>
            <w:tcBorders>
              <w:top w:val="single" w:sz="8" w:space="0" w:color="006600"/>
              <w:left w:val="nil"/>
              <w:bottom w:val="single" w:sz="8" w:space="0" w:color="006600"/>
              <w:right w:val="nil"/>
            </w:tcBorders>
            <w:shd w:val="clear" w:color="auto" w:fill="9FBE62"/>
            <w:vAlign w:val="center"/>
          </w:tcPr>
          <w:p w14:paraId="079815DC" w14:textId="77777777" w:rsidR="00ED02CF" w:rsidRPr="00E15260" w:rsidRDefault="00ED02CF" w:rsidP="000E698C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260" w:type="dxa"/>
            <w:tcBorders>
              <w:top w:val="single" w:sz="8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708B5FE0" w14:textId="77777777" w:rsidR="00ED02CF" w:rsidRPr="00E15260" w:rsidRDefault="00ED02CF" w:rsidP="000E698C">
            <w:pPr>
              <w:autoSpaceDE w:val="0"/>
              <w:autoSpaceDN w:val="0"/>
              <w:adjustRightInd w:val="0"/>
              <w:ind w:left="88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>Ciudades con variación por debajo</w:t>
            </w: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br/>
              <w:t>del promedio nacional</w:t>
            </w:r>
          </w:p>
        </w:tc>
        <w:tc>
          <w:tcPr>
            <w:tcW w:w="1290" w:type="dxa"/>
            <w:tcBorders>
              <w:top w:val="single" w:sz="8" w:space="0" w:color="006600"/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2DEA151A" w14:textId="1337826D" w:rsidR="00ED02CF" w:rsidRPr="00E15260" w:rsidRDefault="00ED02CF" w:rsidP="000E698C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E15260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Variación % 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</w:tr>
      <w:tr w:rsidR="001E5B24" w:rsidRPr="006B0239" w14:paraId="4DA77E69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62E9E0D" w14:textId="1A1E43FE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Cancún, Q. Roo</w:t>
            </w:r>
          </w:p>
        </w:tc>
        <w:tc>
          <w:tcPr>
            <w:tcW w:w="1293" w:type="dxa"/>
            <w:tcBorders>
              <w:top w:val="single" w:sz="8" w:space="0" w:color="006600"/>
              <w:bottom w:val="dotted" w:sz="4" w:space="0" w:color="9FBE62"/>
            </w:tcBorders>
            <w:vAlign w:val="center"/>
          </w:tcPr>
          <w:p w14:paraId="757247B0" w14:textId="0AC87B0B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1.03</w:t>
            </w:r>
          </w:p>
        </w:tc>
        <w:tc>
          <w:tcPr>
            <w:tcW w:w="282" w:type="dxa"/>
            <w:tcBorders>
              <w:top w:val="single" w:sz="8" w:space="0" w:color="006600"/>
              <w:bottom w:val="dotted" w:sz="4" w:space="0" w:color="9FBE62"/>
              <w:right w:val="nil"/>
            </w:tcBorders>
            <w:vAlign w:val="center"/>
          </w:tcPr>
          <w:p w14:paraId="3C352B97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5ED6150C" w14:textId="5194614E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Tehuantepec,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Oax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0" w:type="dxa"/>
            <w:tcBorders>
              <w:top w:val="single" w:sz="8" w:space="0" w:color="006600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55F25B5A" w14:textId="10998F62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-0.07</w:t>
            </w:r>
          </w:p>
        </w:tc>
      </w:tr>
      <w:tr w:rsidR="001E5B24" w:rsidRPr="00841586" w14:paraId="4EC175E7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DA95F82" w14:textId="52216057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Hermosillo, Son.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55C1BE24" w14:textId="0D2608C0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1.02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4A84299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60FA10D" w14:textId="1EB079BB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Tapachula, Chis.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60A255C6" w14:textId="2F69AAFD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-0.01</w:t>
            </w:r>
          </w:p>
        </w:tc>
      </w:tr>
      <w:tr w:rsidR="001E5B24" w:rsidRPr="00841586" w14:paraId="708191C7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ED50B1D" w14:textId="0164CE4A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Pachuca,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Hgo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7E183C76" w14:textId="2E02BD1C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2D46E7C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A9F4904" w14:textId="14619254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Iguala, Gro.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3BC0DA40" w14:textId="2A6D56A8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0.02</w:t>
            </w:r>
          </w:p>
        </w:tc>
      </w:tr>
      <w:tr w:rsidR="001E5B24" w:rsidRPr="00841586" w14:paraId="0490E566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5C278E7" w14:textId="1E111438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Morelia,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Mich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0A50845" w14:textId="3AF2C4D8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0.85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563AE414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C4CC921" w14:textId="4BA11A11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Torreón,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Coah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18CCD194" w14:textId="728F8B11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0.06</w:t>
            </w:r>
          </w:p>
        </w:tc>
      </w:tr>
      <w:tr w:rsidR="001E5B24" w:rsidRPr="00841586" w14:paraId="63CB7C07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5BD2A3C" w14:textId="6E68586A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Huatabampo, Son.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050A11C6" w14:textId="1D0381DE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0.84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6E588177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46B9655" w14:textId="5FE7D977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proofErr w:type="spellStart"/>
            <w:r w:rsidRPr="001E5B24">
              <w:rPr>
                <w:color w:val="000000"/>
                <w:sz w:val="16"/>
                <w:szCs w:val="16"/>
              </w:rPr>
              <w:t>Cortazar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Gto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3E732E7E" w14:textId="66AEE732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0.17</w:t>
            </w:r>
          </w:p>
        </w:tc>
      </w:tr>
      <w:tr w:rsidR="001E5B24" w:rsidRPr="00841586" w14:paraId="2DD6060C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061F3BC" w14:textId="6BDC8F6C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Culiacán, Sin.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8D028F3" w14:textId="7E576C8A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0.84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4BFA7DB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7972B2A" w14:textId="10F49CCE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Monclova,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Coah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0D5FC35A" w14:textId="3BEA7F36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0.22</w:t>
            </w:r>
          </w:p>
        </w:tc>
      </w:tr>
      <w:tr w:rsidR="001E5B24" w:rsidRPr="00841586" w14:paraId="1F32393A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6B2D69A" w14:textId="47F9D205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Tlaxcala,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Tlax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15DF7610" w14:textId="15EDEAD8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38C10C6B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1063F15" w14:textId="779792BC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San Andrés Tuxtla, Ver.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7AEFD24" w14:textId="50CD39CB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0.22</w:t>
            </w:r>
          </w:p>
        </w:tc>
      </w:tr>
      <w:tr w:rsidR="001E5B24" w:rsidRPr="00841586" w14:paraId="08F841E1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4CA362B" w14:textId="1E713EEB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Chihuahua, Chih.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3C8CF021" w14:textId="5B8E0BAD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0.80</w:t>
            </w:r>
          </w:p>
        </w:tc>
        <w:tc>
          <w:tcPr>
            <w:tcW w:w="282" w:type="dxa"/>
            <w:tcBorders>
              <w:top w:val="dotted" w:sz="4" w:space="0" w:color="9FBE62"/>
              <w:bottom w:val="dotted" w:sz="4" w:space="0" w:color="9FBE62"/>
              <w:right w:val="nil"/>
            </w:tcBorders>
            <w:vAlign w:val="center"/>
          </w:tcPr>
          <w:p w14:paraId="05E4FA08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C58C8CB" w14:textId="64B716FA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Aguascalientes, Ags.</w:t>
            </w:r>
          </w:p>
        </w:tc>
        <w:tc>
          <w:tcPr>
            <w:tcW w:w="1290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51BDCF4" w14:textId="1FD51DD7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0.24</w:t>
            </w:r>
          </w:p>
        </w:tc>
      </w:tr>
      <w:tr w:rsidR="001E5B24" w:rsidRPr="00841586" w14:paraId="0CF3FFC9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70401EC" w14:textId="30F02F78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Veracruz, Ver.</w:t>
            </w:r>
          </w:p>
        </w:tc>
        <w:tc>
          <w:tcPr>
            <w:tcW w:w="1293" w:type="dxa"/>
            <w:tcBorders>
              <w:top w:val="dotted" w:sz="4" w:space="0" w:color="9FBE62"/>
              <w:bottom w:val="dotted" w:sz="4" w:space="0" w:color="9FBE62"/>
            </w:tcBorders>
            <w:vAlign w:val="center"/>
          </w:tcPr>
          <w:p w14:paraId="2FCA8284" w14:textId="59C0B5CA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0.79</w:t>
            </w:r>
          </w:p>
        </w:tc>
        <w:tc>
          <w:tcPr>
            <w:tcW w:w="282" w:type="dxa"/>
            <w:tcBorders>
              <w:top w:val="dotted" w:sz="4" w:space="0" w:color="9FBE62"/>
              <w:right w:val="nil"/>
            </w:tcBorders>
            <w:vAlign w:val="center"/>
          </w:tcPr>
          <w:p w14:paraId="06FDDC3F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</w:tcBorders>
            <w:shd w:val="clear" w:color="auto" w:fill="auto"/>
            <w:noWrap/>
            <w:vAlign w:val="center"/>
          </w:tcPr>
          <w:p w14:paraId="53F70BA4" w14:textId="21299ABA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Córdoba, Ver.</w:t>
            </w:r>
          </w:p>
        </w:tc>
        <w:tc>
          <w:tcPr>
            <w:tcW w:w="1290" w:type="dxa"/>
            <w:tcBorders>
              <w:top w:val="dotted" w:sz="4" w:space="0" w:color="9FBE62"/>
              <w:right w:val="single" w:sz="8" w:space="0" w:color="006600"/>
            </w:tcBorders>
            <w:shd w:val="clear" w:color="auto" w:fill="auto"/>
            <w:noWrap/>
            <w:vAlign w:val="center"/>
          </w:tcPr>
          <w:p w14:paraId="4786799B" w14:textId="2A12F452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0.25</w:t>
            </w:r>
          </w:p>
        </w:tc>
      </w:tr>
      <w:tr w:rsidR="001E5B24" w:rsidRPr="00841586" w14:paraId="26B8B978" w14:textId="77777777" w:rsidTr="00AF1B32">
        <w:trPr>
          <w:trHeight w:val="244"/>
          <w:jc w:val="center"/>
        </w:trPr>
        <w:tc>
          <w:tcPr>
            <w:tcW w:w="3261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07A878A5" w14:textId="28518781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Tepic, Nay.</w:t>
            </w:r>
          </w:p>
        </w:tc>
        <w:tc>
          <w:tcPr>
            <w:tcW w:w="1293" w:type="dxa"/>
            <w:tcBorders>
              <w:top w:val="dotted" w:sz="4" w:space="0" w:color="9FBE62"/>
              <w:bottom w:val="single" w:sz="8" w:space="0" w:color="006600"/>
            </w:tcBorders>
            <w:vAlign w:val="center"/>
          </w:tcPr>
          <w:p w14:paraId="65291560" w14:textId="49E83346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0.77</w:t>
            </w:r>
          </w:p>
        </w:tc>
        <w:tc>
          <w:tcPr>
            <w:tcW w:w="282" w:type="dxa"/>
            <w:tcBorders>
              <w:top w:val="dotted" w:sz="4" w:space="0" w:color="9FBE62"/>
              <w:bottom w:val="single" w:sz="8" w:space="0" w:color="006600"/>
              <w:right w:val="nil"/>
            </w:tcBorders>
            <w:vAlign w:val="center"/>
          </w:tcPr>
          <w:p w14:paraId="7425EFFE" w14:textId="77777777" w:rsidR="001E5B24" w:rsidRPr="00B21A5C" w:rsidRDefault="001E5B24" w:rsidP="001E5B24">
            <w:pPr>
              <w:ind w:left="57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6E74E798" w14:textId="3D0070E4" w:rsidR="001E5B24" w:rsidRPr="00B21A5C" w:rsidRDefault="001E5B24" w:rsidP="001E5B24">
            <w:pPr>
              <w:ind w:left="57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 xml:space="preserve">Oaxaca, </w:t>
            </w:r>
            <w:proofErr w:type="spellStart"/>
            <w:r w:rsidRPr="001E5B24">
              <w:rPr>
                <w:color w:val="000000"/>
                <w:sz w:val="16"/>
                <w:szCs w:val="16"/>
              </w:rPr>
              <w:t>Oax</w:t>
            </w:r>
            <w:proofErr w:type="spellEnd"/>
            <w:r w:rsidRPr="001E5B24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1290" w:type="dxa"/>
            <w:tcBorders>
              <w:top w:val="dotted" w:sz="4" w:space="0" w:color="9FBE62"/>
              <w:bottom w:val="single" w:sz="8" w:space="0" w:color="006600"/>
              <w:right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5E5AA08" w14:textId="3D9B98A3" w:rsidR="001E5B24" w:rsidRPr="001E5B24" w:rsidRDefault="001E5B24" w:rsidP="001E5B24">
            <w:pPr>
              <w:ind w:right="510"/>
              <w:jc w:val="right"/>
              <w:rPr>
                <w:color w:val="000000"/>
                <w:sz w:val="16"/>
                <w:szCs w:val="16"/>
              </w:rPr>
            </w:pPr>
            <w:r w:rsidRPr="001E5B24">
              <w:rPr>
                <w:color w:val="000000"/>
                <w:sz w:val="16"/>
                <w:szCs w:val="16"/>
              </w:rPr>
              <w:t>0.27</w:t>
            </w:r>
          </w:p>
        </w:tc>
      </w:tr>
    </w:tbl>
    <w:p w14:paraId="5232287B" w14:textId="77777777" w:rsidR="000C372F" w:rsidRDefault="000C372F" w:rsidP="005367D3">
      <w:pPr>
        <w:autoSpaceDE w:val="0"/>
        <w:autoSpaceDN w:val="0"/>
        <w:adjustRightInd w:val="0"/>
        <w:ind w:left="142" w:right="113" w:hanging="170"/>
        <w:rPr>
          <w:rStyle w:val="Hipervnculo"/>
          <w:color w:val="auto"/>
          <w:sz w:val="16"/>
          <w:szCs w:val="28"/>
          <w:u w:val="none"/>
        </w:rPr>
      </w:pPr>
      <w:r w:rsidRPr="00204508">
        <w:rPr>
          <w:rStyle w:val="Hipervnculo"/>
          <w:color w:val="auto"/>
          <w:sz w:val="18"/>
          <w:szCs w:val="28"/>
          <w:u w:val="none"/>
        </w:rPr>
        <w:t>*</w:t>
      </w:r>
      <w:r w:rsidRPr="00204508">
        <w:rPr>
          <w:rStyle w:val="Hipervnculo"/>
          <w:color w:val="auto"/>
          <w:sz w:val="18"/>
          <w:szCs w:val="28"/>
          <w:u w:val="none"/>
        </w:rPr>
        <w:tab/>
      </w:r>
      <w:r w:rsidRPr="00204508">
        <w:rPr>
          <w:rStyle w:val="Hipervnculo"/>
          <w:color w:val="auto"/>
          <w:sz w:val="16"/>
          <w:szCs w:val="28"/>
          <w:u w:val="none"/>
        </w:rPr>
        <w:t>Las desagregaciones del INPC s</w:t>
      </w:r>
      <w:r w:rsidR="00F361CE">
        <w:rPr>
          <w:rStyle w:val="Hipervnculo"/>
          <w:color w:val="auto"/>
          <w:sz w:val="16"/>
          <w:szCs w:val="28"/>
          <w:u w:val="none"/>
        </w:rPr>
        <w:t>o</w:t>
      </w:r>
      <w:r w:rsidRPr="00204508">
        <w:rPr>
          <w:rStyle w:val="Hipervnculo"/>
          <w:color w:val="auto"/>
          <w:sz w:val="16"/>
          <w:szCs w:val="28"/>
          <w:u w:val="none"/>
        </w:rPr>
        <w:t>lo tienen valor informativo.</w:t>
      </w:r>
    </w:p>
    <w:p w14:paraId="6947D863" w14:textId="77777777" w:rsidR="000D38ED" w:rsidRPr="000D38ED" w:rsidRDefault="000D38ED" w:rsidP="005367D3">
      <w:pPr>
        <w:autoSpaceDE w:val="0"/>
        <w:autoSpaceDN w:val="0"/>
        <w:adjustRightInd w:val="0"/>
        <w:spacing w:line="276" w:lineRule="auto"/>
        <w:ind w:left="142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044548C7" w14:textId="6E80A10F" w:rsidR="000C372F" w:rsidRDefault="00CF15E9" w:rsidP="00AE3C90">
      <w:pPr>
        <w:widowControl w:val="0"/>
        <w:autoSpaceDE w:val="0"/>
        <w:autoSpaceDN w:val="0"/>
        <w:adjustRightInd w:val="0"/>
        <w:spacing w:before="240"/>
      </w:pPr>
      <w:r>
        <w:t>P</w:t>
      </w:r>
      <w:r w:rsidR="00C35BD7">
        <w:t xml:space="preserve">ara </w:t>
      </w:r>
      <w:r w:rsidR="00411BDA">
        <w:t>febrero</w:t>
      </w:r>
      <w:r w:rsidR="00C35BD7">
        <w:t xml:space="preserve"> de 202</w:t>
      </w:r>
      <w:r w:rsidR="005963C5">
        <w:t>3</w:t>
      </w:r>
      <w:r w:rsidR="00C35BD7">
        <w:t xml:space="preserve">, </w:t>
      </w:r>
      <w:r w:rsidR="00BD6157" w:rsidRPr="005D3641">
        <w:t>se muestra</w:t>
      </w:r>
      <w:r w:rsidR="00BD6157">
        <w:t xml:space="preserve"> el comportamiento de los subíndices que integran </w:t>
      </w:r>
      <w:r w:rsidR="00E26BCC">
        <w:t>e</w:t>
      </w:r>
      <w:r w:rsidR="00BD6157">
        <w:t xml:space="preserve">l </w:t>
      </w:r>
      <w:r w:rsidR="00BD6157" w:rsidRPr="005D3641">
        <w:t>INPC</w:t>
      </w:r>
      <w:r w:rsidR="00BD6157">
        <w:t>, según</w:t>
      </w:r>
      <w:r w:rsidR="00BD6157" w:rsidRPr="005D3641">
        <w:t xml:space="preserve"> la Clasificación del Consumo Individual por Finalidades (CCIF)</w:t>
      </w:r>
      <w:r w:rsidR="00BD6157" w:rsidRPr="00A71198">
        <w:rPr>
          <w:vertAlign w:val="superscript"/>
        </w:rPr>
        <w:footnoteReference w:id="3"/>
      </w:r>
      <w:r w:rsidR="00BD6157" w:rsidRPr="005D3641">
        <w:t xml:space="preserve"> utilizada internacionalmente para los índices de</w:t>
      </w:r>
      <w:r w:rsidR="00BD6157">
        <w:t xml:space="preserve"> precios al </w:t>
      </w:r>
      <w:r w:rsidR="00BD6157" w:rsidRPr="00A71198">
        <w:t>consumidor</w:t>
      </w:r>
      <w:r w:rsidR="00AC32EA">
        <w:t>.</w:t>
      </w:r>
    </w:p>
    <w:p w14:paraId="7105A29A" w14:textId="77777777" w:rsidR="000C372F" w:rsidRPr="003C74AD" w:rsidRDefault="000C372F" w:rsidP="00AE3C90">
      <w:pPr>
        <w:pStyle w:val="n01"/>
        <w:keepLines w:val="0"/>
        <w:spacing w:before="36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 w:rsidRPr="003C74AD">
        <w:rPr>
          <w:rFonts w:ascii="Arial" w:hAnsi="Arial"/>
          <w:bCs/>
          <w:color w:val="auto"/>
          <w:sz w:val="20"/>
          <w:szCs w:val="20"/>
        </w:rPr>
        <w:t>Cuadro 5</w:t>
      </w:r>
    </w:p>
    <w:p w14:paraId="003BE383" w14:textId="77777777" w:rsidR="00E671DE" w:rsidRPr="002660A9" w:rsidRDefault="00E671DE" w:rsidP="00AE3C90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ndice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1493CBEB" w14:textId="77777777" w:rsidR="00E671DE" w:rsidRPr="00DD3016" w:rsidRDefault="00E671DE" w:rsidP="00AE3C90">
      <w:pPr>
        <w:autoSpaceDE w:val="0"/>
        <w:autoSpaceDN w:val="0"/>
        <w:adjustRightInd w:val="0"/>
        <w:jc w:val="center"/>
        <w:rPr>
          <w:smallCaps/>
          <w:sz w:val="20"/>
          <w:szCs w:val="20"/>
        </w:rPr>
      </w:pPr>
      <w:r w:rsidRPr="00DD3016">
        <w:rPr>
          <w:b/>
          <w:bCs/>
          <w:smallCaps/>
          <w:color w:val="000000"/>
          <w:spacing w:val="1"/>
          <w:sz w:val="20"/>
          <w:szCs w:val="20"/>
        </w:rPr>
        <w:t>clasificación del consumo individual por finalidades</w:t>
      </w:r>
      <w:r w:rsidRPr="00DD3016">
        <w:rPr>
          <w:smallCaps/>
          <w:sz w:val="20"/>
          <w:szCs w:val="20"/>
        </w:rPr>
        <w:t xml:space="preserve"> </w:t>
      </w:r>
    </w:p>
    <w:p w14:paraId="0502BA1D" w14:textId="0C07EFB2" w:rsidR="000C372F" w:rsidRPr="00E671DE" w:rsidRDefault="003B64F6" w:rsidP="00AE3C90">
      <w:pPr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pacing w:val="1"/>
          <w:sz w:val="18"/>
          <w:szCs w:val="20"/>
        </w:rPr>
      </w:pPr>
      <w:r>
        <w:rPr>
          <w:bCs/>
          <w:color w:val="000000"/>
          <w:spacing w:val="1"/>
          <w:sz w:val="18"/>
          <w:szCs w:val="20"/>
        </w:rPr>
        <w:t>(</w:t>
      </w:r>
      <w:r w:rsidR="000C372F" w:rsidRPr="00E671DE">
        <w:rPr>
          <w:bCs/>
          <w:color w:val="000000"/>
          <w:spacing w:val="1"/>
          <w:sz w:val="18"/>
          <w:szCs w:val="20"/>
        </w:rPr>
        <w:t>Variación porcentual</w:t>
      </w:r>
      <w:r>
        <w:rPr>
          <w:bCs/>
          <w:color w:val="000000"/>
          <w:spacing w:val="1"/>
          <w:sz w:val="18"/>
          <w:szCs w:val="20"/>
        </w:rPr>
        <w:t>)</w:t>
      </w:r>
    </w:p>
    <w:tbl>
      <w:tblPr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680"/>
        <w:gridCol w:w="2145"/>
        <w:gridCol w:w="169"/>
        <w:gridCol w:w="1425"/>
        <w:gridCol w:w="1452"/>
        <w:gridCol w:w="83"/>
      </w:tblGrid>
      <w:tr w:rsidR="007F245E" w:rsidRPr="00A9663B" w14:paraId="225611FF" w14:textId="77777777" w:rsidTr="007F245E">
        <w:trPr>
          <w:trHeight w:val="369"/>
          <w:jc w:val="center"/>
        </w:trPr>
        <w:tc>
          <w:tcPr>
            <w:tcW w:w="4413" w:type="dxa"/>
            <w:vMerge w:val="restart"/>
            <w:tcBorders>
              <w:top w:val="single" w:sz="8" w:space="0" w:color="006600"/>
              <w:left w:val="single" w:sz="8" w:space="0" w:color="006600"/>
            </w:tcBorders>
            <w:shd w:val="clear" w:color="auto" w:fill="9FBE62"/>
            <w:noWrap/>
            <w:vAlign w:val="center"/>
            <w:hideMark/>
          </w:tcPr>
          <w:p w14:paraId="73CEB52C" w14:textId="77777777" w:rsidR="00555CF6" w:rsidRPr="00443E47" w:rsidRDefault="00555CF6" w:rsidP="009444BD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0A05F3">
              <w:rPr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2023" w:type="dxa"/>
            <w:vMerge w:val="restart"/>
            <w:tcBorders>
              <w:top w:val="single" w:sz="8" w:space="0" w:color="006600"/>
              <w:left w:val="nil"/>
              <w:right w:val="nil"/>
            </w:tcBorders>
            <w:shd w:val="clear" w:color="auto" w:fill="9FBE62"/>
            <w:vAlign w:val="center"/>
          </w:tcPr>
          <w:p w14:paraId="5150B535" w14:textId="07C59CD7" w:rsidR="00555CF6" w:rsidRDefault="00555CF6" w:rsidP="009434C7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Segunda quincena de febrero de 2023 con relación a la quincena anterior</w:t>
            </w:r>
          </w:p>
        </w:tc>
        <w:tc>
          <w:tcPr>
            <w:tcW w:w="159" w:type="dxa"/>
            <w:tcBorders>
              <w:top w:val="single" w:sz="8" w:space="0" w:color="006600"/>
              <w:left w:val="nil"/>
              <w:right w:val="nil"/>
            </w:tcBorders>
            <w:shd w:val="clear" w:color="auto" w:fill="9FBE62"/>
          </w:tcPr>
          <w:p w14:paraId="51E6862D" w14:textId="77777777" w:rsidR="00555CF6" w:rsidRDefault="00555CF6" w:rsidP="009444BD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713" w:type="dxa"/>
            <w:gridSpan w:val="2"/>
            <w:tcBorders>
              <w:top w:val="single" w:sz="8" w:space="0" w:color="006600"/>
              <w:left w:val="nil"/>
              <w:bottom w:val="single" w:sz="4" w:space="0" w:color="006600"/>
            </w:tcBorders>
            <w:shd w:val="clear" w:color="auto" w:fill="9FBE62"/>
            <w:vAlign w:val="center"/>
          </w:tcPr>
          <w:p w14:paraId="5C0954B1" w14:textId="5677EDB1" w:rsidR="00555CF6" w:rsidRPr="00443E47" w:rsidRDefault="00555CF6" w:rsidP="009444BD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Febrero 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>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 con relación a:</w:t>
            </w:r>
          </w:p>
        </w:tc>
        <w:tc>
          <w:tcPr>
            <w:tcW w:w="78" w:type="dxa"/>
            <w:tcBorders>
              <w:top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6D02DFF1" w14:textId="77777777" w:rsidR="00555CF6" w:rsidRPr="000A05F3" w:rsidRDefault="00555CF6" w:rsidP="009444BD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7F245E" w:rsidRPr="00A9663B" w14:paraId="2AF2B27B" w14:textId="77777777" w:rsidTr="007F245E">
        <w:trPr>
          <w:trHeight w:val="369"/>
          <w:jc w:val="center"/>
        </w:trPr>
        <w:tc>
          <w:tcPr>
            <w:tcW w:w="4413" w:type="dxa"/>
            <w:vMerge/>
            <w:tcBorders>
              <w:left w:val="single" w:sz="8" w:space="0" w:color="006600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5AFD1769" w14:textId="77777777" w:rsidR="00555CF6" w:rsidRDefault="00555CF6" w:rsidP="009444BD">
            <w:pPr>
              <w:autoSpaceDE w:val="0"/>
              <w:autoSpaceDN w:val="0"/>
              <w:adjustRightInd w:val="0"/>
              <w:ind w:left="227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023" w:type="dxa"/>
            <w:vMerge/>
            <w:tcBorders>
              <w:left w:val="nil"/>
              <w:bottom w:val="single" w:sz="8" w:space="0" w:color="006600"/>
              <w:right w:val="nil"/>
            </w:tcBorders>
            <w:shd w:val="clear" w:color="auto" w:fill="9FBE62"/>
          </w:tcPr>
          <w:p w14:paraId="0442FDEA" w14:textId="77777777" w:rsidR="00555CF6" w:rsidRDefault="00555CF6" w:rsidP="009444BD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59" w:type="dxa"/>
            <w:tcBorders>
              <w:left w:val="nil"/>
              <w:bottom w:val="single" w:sz="8" w:space="0" w:color="006600"/>
              <w:right w:val="nil"/>
            </w:tcBorders>
            <w:shd w:val="clear" w:color="auto" w:fill="9FBE62"/>
          </w:tcPr>
          <w:p w14:paraId="54F1371D" w14:textId="77777777" w:rsidR="00555CF6" w:rsidRDefault="00555CF6" w:rsidP="009444BD">
            <w:pPr>
              <w:autoSpaceDE w:val="0"/>
              <w:autoSpaceDN w:val="0"/>
              <w:adjustRightInd w:val="0"/>
              <w:ind w:left="22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44" w:type="dxa"/>
            <w:tcBorders>
              <w:top w:val="single" w:sz="4" w:space="0" w:color="006600"/>
              <w:left w:val="nil"/>
              <w:bottom w:val="single" w:sz="8" w:space="0" w:color="006600"/>
            </w:tcBorders>
            <w:shd w:val="clear" w:color="auto" w:fill="9FBE62"/>
            <w:noWrap/>
            <w:vAlign w:val="center"/>
          </w:tcPr>
          <w:p w14:paraId="2958C335" w14:textId="2DEC8E1C" w:rsidR="00555CF6" w:rsidRDefault="00555CF6" w:rsidP="007F245E">
            <w:pPr>
              <w:autoSpaceDE w:val="0"/>
              <w:autoSpaceDN w:val="0"/>
              <w:adjustRightInd w:val="0"/>
              <w:ind w:left="-29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enero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369" w:type="dxa"/>
            <w:tcBorders>
              <w:top w:val="single" w:sz="4" w:space="0" w:color="006600"/>
              <w:bottom w:val="single" w:sz="8" w:space="0" w:color="006600"/>
            </w:tcBorders>
            <w:shd w:val="clear" w:color="auto" w:fill="9FBE62"/>
            <w:vAlign w:val="center"/>
          </w:tcPr>
          <w:p w14:paraId="4D4597FA" w14:textId="6714A53B" w:rsidR="00555CF6" w:rsidRPr="00B96D30" w:rsidRDefault="00555CF6" w:rsidP="007F245E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febrero</w:t>
            </w:r>
            <w:r w:rsidRPr="00A9448C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 de 202</w:t>
            </w:r>
            <w:r>
              <w:rPr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78" w:type="dxa"/>
            <w:tcBorders>
              <w:bottom w:val="single" w:sz="8" w:space="0" w:color="006600"/>
              <w:right w:val="single" w:sz="8" w:space="0" w:color="006600"/>
            </w:tcBorders>
            <w:shd w:val="clear" w:color="auto" w:fill="9FBE62"/>
            <w:vAlign w:val="center"/>
          </w:tcPr>
          <w:p w14:paraId="01E435DB" w14:textId="77777777" w:rsidR="00555CF6" w:rsidRDefault="00555CF6" w:rsidP="009444BD">
            <w:pPr>
              <w:ind w:left="-57" w:right="-57"/>
              <w:jc w:val="center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7F245E" w:rsidRPr="006B0239" w14:paraId="23D70D18" w14:textId="77777777" w:rsidTr="007F245E">
        <w:trPr>
          <w:trHeight w:val="255"/>
          <w:jc w:val="center"/>
        </w:trPr>
        <w:tc>
          <w:tcPr>
            <w:tcW w:w="4413" w:type="dxa"/>
            <w:tcBorders>
              <w:top w:val="single" w:sz="8" w:space="0" w:color="006600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BB5DAB3" w14:textId="77777777" w:rsidR="00555CF6" w:rsidRPr="00897677" w:rsidRDefault="00555CF6" w:rsidP="009F57C6">
            <w:pPr>
              <w:ind w:left="57"/>
              <w:jc w:val="left"/>
              <w:rPr>
                <w:b/>
                <w:color w:val="000000"/>
                <w:sz w:val="16"/>
                <w:szCs w:val="16"/>
                <w:lang w:eastAsia="es-MX"/>
              </w:rPr>
            </w:pPr>
            <w:r w:rsidRPr="00897677">
              <w:rPr>
                <w:b/>
                <w:color w:val="000000"/>
                <w:sz w:val="16"/>
                <w:szCs w:val="16"/>
                <w:lang w:eastAsia="es-MX"/>
              </w:rPr>
              <w:t>INPC</w:t>
            </w:r>
          </w:p>
        </w:tc>
        <w:tc>
          <w:tcPr>
            <w:tcW w:w="2023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  <w:vAlign w:val="center"/>
          </w:tcPr>
          <w:p w14:paraId="250CC789" w14:textId="184CF8BA" w:rsidR="00555CF6" w:rsidRPr="00403EBE" w:rsidRDefault="00555CF6" w:rsidP="007F245E">
            <w:pPr>
              <w:ind w:left="-343" w:right="858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403EBE">
              <w:rPr>
                <w:b/>
                <w:bCs/>
                <w:color w:val="000000"/>
                <w:sz w:val="16"/>
                <w:szCs w:val="16"/>
              </w:rPr>
              <w:t>0.16</w:t>
            </w:r>
          </w:p>
        </w:tc>
        <w:tc>
          <w:tcPr>
            <w:tcW w:w="159" w:type="dxa"/>
            <w:tcBorders>
              <w:top w:val="single" w:sz="8" w:space="0" w:color="006600"/>
              <w:left w:val="nil"/>
              <w:bottom w:val="dotted" w:sz="4" w:space="0" w:color="9FBE62"/>
              <w:right w:val="nil"/>
            </w:tcBorders>
          </w:tcPr>
          <w:p w14:paraId="500D134B" w14:textId="77777777" w:rsidR="00555CF6" w:rsidRPr="00403EBE" w:rsidRDefault="00555CF6" w:rsidP="009F57C6">
            <w:pPr>
              <w:ind w:right="454"/>
              <w:jc w:val="right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single" w:sz="8" w:space="0" w:color="006600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23B1D527" w14:textId="44DC3C96" w:rsidR="00555CF6" w:rsidRPr="00403EBE" w:rsidRDefault="00555CF6" w:rsidP="009F57C6">
            <w:pPr>
              <w:ind w:right="454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403EBE">
              <w:rPr>
                <w:b/>
                <w:bCs/>
                <w:color w:val="000000"/>
                <w:sz w:val="16"/>
                <w:szCs w:val="16"/>
              </w:rPr>
              <w:t>0.56</w:t>
            </w:r>
          </w:p>
        </w:tc>
        <w:tc>
          <w:tcPr>
            <w:tcW w:w="1369" w:type="dxa"/>
            <w:tcBorders>
              <w:top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784B042B" w14:textId="53A96D5D" w:rsidR="00555CF6" w:rsidRPr="00403EBE" w:rsidRDefault="00555CF6" w:rsidP="009F57C6">
            <w:pPr>
              <w:ind w:right="454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403EBE">
              <w:rPr>
                <w:b/>
                <w:bCs/>
                <w:color w:val="000000"/>
                <w:sz w:val="16"/>
                <w:szCs w:val="16"/>
              </w:rPr>
              <w:t>7.62</w:t>
            </w:r>
          </w:p>
        </w:tc>
        <w:tc>
          <w:tcPr>
            <w:tcW w:w="78" w:type="dxa"/>
            <w:tcBorders>
              <w:top w:val="single" w:sz="8" w:space="0" w:color="006600"/>
              <w:bottom w:val="dotted" w:sz="4" w:space="0" w:color="9FBE62"/>
              <w:right w:val="single" w:sz="8" w:space="0" w:color="006600"/>
            </w:tcBorders>
            <w:vAlign w:val="center"/>
          </w:tcPr>
          <w:p w14:paraId="70EBDF01" w14:textId="77777777" w:rsidR="00555CF6" w:rsidRPr="00013B49" w:rsidRDefault="00555CF6" w:rsidP="00403EBE">
            <w:pPr>
              <w:ind w:right="794"/>
              <w:jc w:val="center"/>
              <w:rPr>
                <w:b/>
                <w:bCs/>
                <w:color w:val="000000"/>
                <w:sz w:val="15"/>
                <w:szCs w:val="15"/>
              </w:rPr>
            </w:pPr>
          </w:p>
        </w:tc>
      </w:tr>
      <w:tr w:rsidR="007F245E" w:rsidRPr="00841586" w14:paraId="25D05983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C1E2292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Alimentos y bebidas no alcohólicas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90B14F0" w14:textId="7B515B98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0.26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3590B7A3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95CB046" w14:textId="20AA050E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0.39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3E33523" w14:textId="1410AF64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12.29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2E7A5309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6E4893BE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506B6E1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Bebidas alcohólicas y tabaco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50F8602D" w14:textId="352A22DF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0.05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6EDB84E2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4565C86" w14:textId="0BE1C1FC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0.50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028689C" w14:textId="18D7BEE9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9.65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7941D9AC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5BDB806E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158CE64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Prendas de vestir y calzado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CD64D66" w14:textId="1A6A492F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0.20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076EA5AD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9F9DA61" w14:textId="7685D5F9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0.84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13BA64F" w14:textId="1658C029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6.02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48681431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7DB6DB80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EDAD3A1" w14:textId="77777777" w:rsidR="00555CF6" w:rsidRPr="00897677" w:rsidRDefault="00555CF6" w:rsidP="009F57C6">
            <w:pPr>
              <w:ind w:left="113" w:right="-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Vivienda, agua, electricidad, gas y otros combustibles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3044A1B" w14:textId="0D69D216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0.07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52FF80EE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1677C501" w14:textId="3AD686D6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0.63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CD7ABA" w14:textId="7A30BD8F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2.13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64E9F05C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0A59FB0F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B0FB4C9" w14:textId="77777777" w:rsidR="00555CF6" w:rsidRPr="00897677" w:rsidRDefault="00555CF6" w:rsidP="009F57C6">
            <w:pPr>
              <w:ind w:left="113" w:right="-170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Muebles, artículos para el hogar y para su conservación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1C57749" w14:textId="7FF59916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-0.28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7B940DD5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ECF2A4A" w14:textId="2F02055A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0.40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C9627DB" w14:textId="08D1EDDC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7.79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2783E7A2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17A40DF9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90133AF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2219AD6" w14:textId="7E2C0B5C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2A36DC05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5C7310A" w14:textId="79E390CC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0.86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5B14D6E" w14:textId="4C92C4C3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6.48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2DF47E75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34D24279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BB8B72B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6ADF9B75" w14:textId="701C3B16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0.18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3A996EBE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63807DF1" w14:textId="15A373AD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0.52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36C84A7" w14:textId="4EA6ACC4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6.09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0529EF69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5B4CCC7F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014CDFB2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Comunicaciones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1DA65829" w14:textId="60B9CCE6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0.06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74B6E737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78C9204C" w14:textId="2B3A4006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0.17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6E9084E" w14:textId="4B7DBCE0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-5.77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44F08C8D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35F33308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2C4E04B9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Recreación y cultura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7EC41995" w14:textId="3F6C2738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0.08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1C375811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7D9C252" w14:textId="27D11C4C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0.66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800B3BB" w14:textId="25EE934A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5.23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2DFBF503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18B9F6EE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DF9838F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Educación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28752ED7" w14:textId="15CF42DA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0.10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622D4888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3BF53875" w14:textId="123A5075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0.84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  <w:hideMark/>
          </w:tcPr>
          <w:p w14:paraId="4983AA9C" w14:textId="2F4D7C3C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4.83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5B34EECC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4380B439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3142D4BD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>Restaurantes y hoteles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  <w:vAlign w:val="center"/>
          </w:tcPr>
          <w:p w14:paraId="4210977A" w14:textId="080B27CF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0.29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dotted" w:sz="4" w:space="0" w:color="9FBE62"/>
              <w:right w:val="nil"/>
            </w:tcBorders>
          </w:tcPr>
          <w:p w14:paraId="231B7CFB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4515361F" w14:textId="7E4473CD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0.81</w:t>
            </w:r>
          </w:p>
        </w:tc>
        <w:tc>
          <w:tcPr>
            <w:tcW w:w="1369" w:type="dxa"/>
            <w:tcBorders>
              <w:top w:val="dotted" w:sz="4" w:space="0" w:color="9FBE62"/>
              <w:bottom w:val="dotted" w:sz="4" w:space="0" w:color="9FBE62"/>
            </w:tcBorders>
            <w:shd w:val="clear" w:color="auto" w:fill="auto"/>
            <w:noWrap/>
            <w:vAlign w:val="center"/>
          </w:tcPr>
          <w:p w14:paraId="59CA1A67" w14:textId="43DA8505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12.01</w:t>
            </w:r>
          </w:p>
        </w:tc>
        <w:tc>
          <w:tcPr>
            <w:tcW w:w="78" w:type="dxa"/>
            <w:tcBorders>
              <w:top w:val="dotted" w:sz="4" w:space="0" w:color="9FBE62"/>
              <w:bottom w:val="dotted" w:sz="4" w:space="0" w:color="9FBE62"/>
              <w:right w:val="single" w:sz="8" w:space="0" w:color="006600"/>
            </w:tcBorders>
            <w:vAlign w:val="center"/>
          </w:tcPr>
          <w:p w14:paraId="3963C4C6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  <w:tr w:rsidR="007F245E" w:rsidRPr="00841586" w14:paraId="223B84D6" w14:textId="77777777" w:rsidTr="007F245E">
        <w:trPr>
          <w:trHeight w:val="244"/>
          <w:jc w:val="center"/>
        </w:trPr>
        <w:tc>
          <w:tcPr>
            <w:tcW w:w="4413" w:type="dxa"/>
            <w:tcBorders>
              <w:top w:val="dotted" w:sz="4" w:space="0" w:color="9FBE62"/>
              <w:left w:val="single" w:sz="8" w:space="0" w:color="006600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3B8ED5CF" w14:textId="77777777" w:rsidR="00555CF6" w:rsidRPr="00897677" w:rsidRDefault="00555CF6" w:rsidP="009F57C6">
            <w:pPr>
              <w:ind w:left="113"/>
              <w:jc w:val="left"/>
              <w:rPr>
                <w:sz w:val="16"/>
                <w:szCs w:val="16"/>
                <w:lang w:eastAsia="es-MX"/>
              </w:rPr>
            </w:pPr>
            <w:r w:rsidRPr="00897677">
              <w:rPr>
                <w:sz w:val="16"/>
                <w:szCs w:val="16"/>
                <w:lang w:eastAsia="es-MX"/>
              </w:rPr>
              <w:t xml:space="preserve">Bienes y servicios diversos </w:t>
            </w:r>
            <w:r w:rsidRPr="00897677">
              <w:rPr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2023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  <w:vAlign w:val="center"/>
          </w:tcPr>
          <w:p w14:paraId="5BF2BF70" w14:textId="4B7E6A75" w:rsidR="00555CF6" w:rsidRPr="00403EBE" w:rsidRDefault="00555CF6" w:rsidP="007F245E">
            <w:pPr>
              <w:ind w:right="858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0.10</w:t>
            </w:r>
          </w:p>
        </w:tc>
        <w:tc>
          <w:tcPr>
            <w:tcW w:w="159" w:type="dxa"/>
            <w:tcBorders>
              <w:top w:val="dotted" w:sz="4" w:space="0" w:color="9FBE62"/>
              <w:left w:val="nil"/>
              <w:bottom w:val="single" w:sz="8" w:space="0" w:color="006600"/>
              <w:right w:val="nil"/>
            </w:tcBorders>
          </w:tcPr>
          <w:p w14:paraId="54DD8083" w14:textId="77777777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344" w:type="dxa"/>
            <w:tcBorders>
              <w:top w:val="dotted" w:sz="4" w:space="0" w:color="9FBE62"/>
              <w:left w:val="nil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1E229572" w14:textId="7096663F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0.51</w:t>
            </w:r>
          </w:p>
        </w:tc>
        <w:tc>
          <w:tcPr>
            <w:tcW w:w="1369" w:type="dxa"/>
            <w:tcBorders>
              <w:top w:val="dotted" w:sz="4" w:space="0" w:color="9FBE62"/>
              <w:bottom w:val="single" w:sz="8" w:space="0" w:color="006600"/>
            </w:tcBorders>
            <w:shd w:val="clear" w:color="auto" w:fill="auto"/>
            <w:noWrap/>
            <w:vAlign w:val="center"/>
            <w:hideMark/>
          </w:tcPr>
          <w:p w14:paraId="2FCBFA60" w14:textId="68168671" w:rsidR="00555CF6" w:rsidRPr="00403EBE" w:rsidRDefault="00555CF6" w:rsidP="009F57C6">
            <w:pPr>
              <w:ind w:right="454"/>
              <w:jc w:val="right"/>
              <w:rPr>
                <w:color w:val="000000"/>
                <w:sz w:val="16"/>
                <w:szCs w:val="16"/>
              </w:rPr>
            </w:pPr>
            <w:r w:rsidRPr="00403EBE">
              <w:rPr>
                <w:color w:val="000000"/>
                <w:sz w:val="16"/>
                <w:szCs w:val="16"/>
              </w:rPr>
              <w:t>10.00</w:t>
            </w:r>
          </w:p>
        </w:tc>
        <w:tc>
          <w:tcPr>
            <w:tcW w:w="78" w:type="dxa"/>
            <w:tcBorders>
              <w:top w:val="dotted" w:sz="4" w:space="0" w:color="9FBE62"/>
              <w:bottom w:val="single" w:sz="8" w:space="0" w:color="006600"/>
              <w:right w:val="single" w:sz="8" w:space="0" w:color="006600"/>
            </w:tcBorders>
            <w:vAlign w:val="center"/>
          </w:tcPr>
          <w:p w14:paraId="3F51050C" w14:textId="77777777" w:rsidR="00555CF6" w:rsidRPr="00013B49" w:rsidRDefault="00555CF6" w:rsidP="00403EBE">
            <w:pPr>
              <w:ind w:right="794"/>
              <w:jc w:val="center"/>
              <w:rPr>
                <w:color w:val="000000"/>
                <w:sz w:val="15"/>
                <w:szCs w:val="15"/>
              </w:rPr>
            </w:pPr>
          </w:p>
        </w:tc>
      </w:tr>
    </w:tbl>
    <w:p w14:paraId="2E0F0EBB" w14:textId="77777777" w:rsidR="00E671DE" w:rsidRPr="004B7B53" w:rsidRDefault="00E671DE" w:rsidP="005367D3">
      <w:pPr>
        <w:autoSpaceDE w:val="0"/>
        <w:autoSpaceDN w:val="0"/>
        <w:adjustRightInd w:val="0"/>
        <w:ind w:left="284" w:right="113" w:hanging="170"/>
        <w:rPr>
          <w:sz w:val="16"/>
          <w:szCs w:val="16"/>
        </w:rPr>
      </w:pPr>
      <w:r w:rsidRPr="00204508">
        <w:rPr>
          <w:sz w:val="18"/>
          <w:szCs w:val="16"/>
          <w:vertAlign w:val="superscript"/>
        </w:rPr>
        <w:t>1/</w:t>
      </w:r>
      <w:r w:rsidRPr="00204508">
        <w:rPr>
          <w:sz w:val="18"/>
          <w:szCs w:val="16"/>
          <w:vertAlign w:val="superscript"/>
        </w:rPr>
        <w:tab/>
      </w:r>
      <w:r w:rsidRPr="00204508">
        <w:rPr>
          <w:sz w:val="16"/>
          <w:szCs w:val="16"/>
        </w:rPr>
        <w:t>Incluye productos y servicios de cuidado personal, relojes, maletas, seguro de automóvil, servicios funerarios y profesionales, entre otros</w:t>
      </w:r>
      <w:r w:rsidRPr="004B7B53">
        <w:rPr>
          <w:sz w:val="16"/>
          <w:szCs w:val="16"/>
        </w:rPr>
        <w:t>.</w:t>
      </w:r>
    </w:p>
    <w:p w14:paraId="12B4E165" w14:textId="77777777" w:rsidR="000D38ED" w:rsidRPr="000D38ED" w:rsidRDefault="000D38ED" w:rsidP="005367D3">
      <w:pPr>
        <w:autoSpaceDE w:val="0"/>
        <w:autoSpaceDN w:val="0"/>
        <w:adjustRightInd w:val="0"/>
        <w:spacing w:line="276" w:lineRule="auto"/>
        <w:ind w:left="284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28F2E671" w14:textId="77777777" w:rsidR="005367D3" w:rsidRDefault="005367D3" w:rsidP="005367D3">
      <w:pPr>
        <w:keepNext/>
        <w:autoSpaceDE w:val="0"/>
        <w:autoSpaceDN w:val="0"/>
        <w:adjustRightInd w:val="0"/>
        <w:rPr>
          <w:color w:val="000000" w:themeColor="text1"/>
        </w:rPr>
      </w:pPr>
    </w:p>
    <w:p w14:paraId="4037A1C7" w14:textId="57EFE361" w:rsidR="00512134" w:rsidRPr="00512134" w:rsidRDefault="00411BDA" w:rsidP="005367D3">
      <w:pPr>
        <w:keepNext/>
        <w:autoSpaceDE w:val="0"/>
        <w:autoSpaceDN w:val="0"/>
        <w:adjustRightInd w:val="0"/>
        <w:rPr>
          <w:color w:val="000000" w:themeColor="text1"/>
        </w:rPr>
      </w:pPr>
      <w:r w:rsidRPr="00743497">
        <w:rPr>
          <w:color w:val="000000" w:themeColor="text1"/>
        </w:rPr>
        <w:t>En la prim</w:t>
      </w:r>
      <w:r>
        <w:rPr>
          <w:color w:val="000000" w:themeColor="text1"/>
        </w:rPr>
        <w:t>era y segunda quincena de febrero</w:t>
      </w:r>
      <w:r w:rsidRPr="00743497">
        <w:rPr>
          <w:color w:val="000000" w:themeColor="text1"/>
        </w:rPr>
        <w:t xml:space="preserve"> de 202</w:t>
      </w:r>
      <w:r>
        <w:rPr>
          <w:color w:val="000000" w:themeColor="text1"/>
        </w:rPr>
        <w:t>3</w:t>
      </w:r>
      <w:r w:rsidRPr="00743497">
        <w:rPr>
          <w:color w:val="000000" w:themeColor="text1"/>
        </w:rPr>
        <w:t>, el INPC registró niveles de</w:t>
      </w:r>
      <w:r w:rsidR="007D0E0C">
        <w:rPr>
          <w:color w:val="000000" w:themeColor="text1"/>
        </w:rPr>
        <w:t xml:space="preserve"> </w:t>
      </w:r>
      <w:r w:rsidRPr="00743497">
        <w:rPr>
          <w:color w:val="000000" w:themeColor="text1"/>
        </w:rPr>
        <w:t>1</w:t>
      </w:r>
      <w:r>
        <w:rPr>
          <w:color w:val="000000" w:themeColor="text1"/>
        </w:rPr>
        <w:t>27.942</w:t>
      </w:r>
      <w:r w:rsidR="00DD3016">
        <w:rPr>
          <w:color w:val="000000" w:themeColor="text1"/>
        </w:rPr>
        <w:t> </w:t>
      </w:r>
      <w:r w:rsidRPr="00743497">
        <w:rPr>
          <w:color w:val="000000" w:themeColor="text1"/>
        </w:rPr>
        <w:t>y 1</w:t>
      </w:r>
      <w:r>
        <w:rPr>
          <w:color w:val="000000" w:themeColor="text1"/>
        </w:rPr>
        <w:t>28.151,</w:t>
      </w:r>
      <w:r w:rsidRPr="00743497">
        <w:rPr>
          <w:color w:val="000000" w:themeColor="text1"/>
        </w:rPr>
        <w:t xml:space="preserve"> respectivamente. Esto implicó </w:t>
      </w:r>
      <w:r>
        <w:rPr>
          <w:color w:val="000000" w:themeColor="text1"/>
        </w:rPr>
        <w:t>un crecimiento quincenal de 0.16</w:t>
      </w:r>
      <w:r w:rsidR="00DD3016">
        <w:rPr>
          <w:color w:val="000000" w:themeColor="text1"/>
        </w:rPr>
        <w:t> </w:t>
      </w:r>
      <w:r>
        <w:rPr>
          <w:color w:val="000000" w:themeColor="text1"/>
        </w:rPr>
        <w:t>por</w:t>
      </w:r>
      <w:r w:rsidR="00DD3016">
        <w:rPr>
          <w:color w:val="000000" w:themeColor="text1"/>
        </w:rPr>
        <w:t> </w:t>
      </w:r>
      <w:r>
        <w:rPr>
          <w:color w:val="000000" w:themeColor="text1"/>
        </w:rPr>
        <w:t>ciento</w:t>
      </w:r>
      <w:r w:rsidR="005963C5" w:rsidRPr="00512134">
        <w:rPr>
          <w:color w:val="000000" w:themeColor="text1"/>
        </w:rPr>
        <w:t>.</w:t>
      </w:r>
      <w:r w:rsidR="005963C5">
        <w:rPr>
          <w:color w:val="000000" w:themeColor="text1"/>
        </w:rPr>
        <w:t xml:space="preserve"> </w:t>
      </w:r>
      <w:r w:rsidR="005963C5" w:rsidRPr="00B3564B">
        <w:rPr>
          <w:color w:val="000000" w:themeColor="text1"/>
        </w:rPr>
        <w:t>Por último, el Índice de Precios de la Canasta de Consumo Mínimo</w:t>
      </w:r>
      <w:r w:rsidR="00D92BC6">
        <w:rPr>
          <w:color w:val="000000" w:themeColor="text1"/>
        </w:rPr>
        <w:t xml:space="preserve"> (IPCCM)</w:t>
      </w:r>
      <w:r w:rsidR="005963C5" w:rsidRPr="00B3564B">
        <w:rPr>
          <w:color w:val="000000" w:themeColor="text1"/>
          <w:vertAlign w:val="superscript"/>
        </w:rPr>
        <w:footnoteReference w:id="4"/>
      </w:r>
      <w:r w:rsidR="005963C5" w:rsidRPr="00B3564B">
        <w:rPr>
          <w:color w:val="000000" w:themeColor="text1"/>
        </w:rPr>
        <w:t xml:space="preserve"> </w:t>
      </w:r>
      <w:r w:rsidR="005963C5">
        <w:rPr>
          <w:color w:val="000000" w:themeColor="text1"/>
        </w:rPr>
        <w:t>tuvo una variación mensual de</w:t>
      </w:r>
      <w:r w:rsidR="005963C5" w:rsidRPr="00AF5DD6">
        <w:rPr>
          <w:color w:val="000000" w:themeColor="text1"/>
        </w:rPr>
        <w:t xml:space="preserve"> </w:t>
      </w:r>
      <w:r>
        <w:rPr>
          <w:color w:val="000000" w:themeColor="text1"/>
        </w:rPr>
        <w:t>0.59 % y anual de 8.11 por ciento. E</w:t>
      </w:r>
      <w:r w:rsidRPr="00AF5DD6">
        <w:rPr>
          <w:color w:val="000000" w:themeColor="text1"/>
        </w:rPr>
        <w:t xml:space="preserve">n el mismo </w:t>
      </w:r>
      <w:r>
        <w:rPr>
          <w:color w:val="000000" w:themeColor="text1"/>
        </w:rPr>
        <w:t xml:space="preserve">periodo </w:t>
      </w:r>
      <w:r w:rsidRPr="00AF5DD6">
        <w:rPr>
          <w:color w:val="000000" w:themeColor="text1"/>
        </w:rPr>
        <w:t>de 20</w:t>
      </w:r>
      <w:r>
        <w:rPr>
          <w:color w:val="000000" w:themeColor="text1"/>
        </w:rPr>
        <w:t>22,</w:t>
      </w:r>
      <w:r w:rsidRPr="00AF5DD6">
        <w:rPr>
          <w:color w:val="000000" w:themeColor="text1"/>
        </w:rPr>
        <w:t xml:space="preserve"> </w:t>
      </w:r>
      <w:r w:rsidRPr="00B72438">
        <w:rPr>
          <w:color w:val="000000" w:themeColor="text1"/>
        </w:rPr>
        <w:t>las cifras</w:t>
      </w:r>
      <w:r>
        <w:rPr>
          <w:color w:val="000000" w:themeColor="text1"/>
        </w:rPr>
        <w:t xml:space="preserve"> correspondientes fueron de 0.95</w:t>
      </w:r>
      <w:r w:rsidRPr="00AF5DD6">
        <w:rPr>
          <w:color w:val="000000" w:themeColor="text1"/>
        </w:rPr>
        <w:t xml:space="preserve"> y</w:t>
      </w:r>
      <w:r>
        <w:rPr>
          <w:color w:val="000000" w:themeColor="text1"/>
        </w:rPr>
        <w:t xml:space="preserve"> 7.86 %, en ese orden</w:t>
      </w:r>
      <w:r w:rsidR="001B3B3D" w:rsidRPr="00B72438">
        <w:rPr>
          <w:color w:val="000000" w:themeColor="text1"/>
        </w:rPr>
        <w:t>.</w:t>
      </w:r>
    </w:p>
    <w:p w14:paraId="6CD58150" w14:textId="77777777" w:rsidR="00624F11" w:rsidRPr="00294C3A" w:rsidRDefault="00624F11" w:rsidP="009F57C6">
      <w:pPr>
        <w:keepNext/>
        <w:widowControl w:val="0"/>
        <w:autoSpaceDE w:val="0"/>
        <w:autoSpaceDN w:val="0"/>
        <w:adjustRightInd w:val="0"/>
        <w:spacing w:before="360"/>
        <w:rPr>
          <w:b/>
        </w:rPr>
      </w:pPr>
      <w:r w:rsidRPr="00294C3A">
        <w:rPr>
          <w:b/>
        </w:rPr>
        <w:t>Nota metodológica</w:t>
      </w:r>
    </w:p>
    <w:p w14:paraId="55CECAFA" w14:textId="76505C33" w:rsidR="00C35BD7" w:rsidRPr="00A16DEB" w:rsidRDefault="00C35BD7" w:rsidP="00AE3C90">
      <w:pPr>
        <w:pStyle w:val="Prrafodelista"/>
        <w:autoSpaceDE w:val="0"/>
        <w:autoSpaceDN w:val="0"/>
        <w:adjustRightInd w:val="0"/>
        <w:spacing w:before="240"/>
        <w:ind w:left="0"/>
        <w:rPr>
          <w:lang w:val="es-MX"/>
        </w:rPr>
      </w:pPr>
      <w:r w:rsidRPr="6ADD06C9">
        <w:rPr>
          <w:lang w:val="es-MX"/>
        </w:rPr>
        <w:t xml:space="preserve">El </w:t>
      </w:r>
      <w:r w:rsidR="00F81FAC" w:rsidRPr="6ADD06C9">
        <w:rPr>
          <w:lang w:val="es-MX"/>
        </w:rPr>
        <w:t>INPC</w:t>
      </w:r>
      <w:r w:rsidRPr="6ADD06C9">
        <w:rPr>
          <w:lang w:val="es-MX"/>
        </w:rPr>
        <w:t xml:space="preserve"> es un indicador económico que mide la variación promedio de los precios de una canasta de bienes y servicios representativa del consumo de los hogares del país</w:t>
      </w:r>
      <w:r w:rsidR="00BF1021" w:rsidRPr="6ADD06C9">
        <w:rPr>
          <w:lang w:val="es-MX"/>
        </w:rPr>
        <w:t xml:space="preserve"> a lo largo del tiempo</w:t>
      </w:r>
      <w:r w:rsidRPr="6ADD06C9">
        <w:rPr>
          <w:lang w:val="es-MX"/>
        </w:rPr>
        <w:t>. Estas variaciones de precios repercuten de manera directa en el poder adquisitivo y en el bienestar de las y los consumidores, por lo que el INPC es un indicador trascendente y de interés general para la sociedad. La tasa de crecimiento del INPC</w:t>
      </w:r>
      <w:r w:rsidR="00AC32EA" w:rsidRPr="6ADD06C9">
        <w:rPr>
          <w:lang w:val="es-MX"/>
        </w:rPr>
        <w:t>,</w:t>
      </w:r>
      <w:r w:rsidRPr="6ADD06C9">
        <w:rPr>
          <w:lang w:val="es-MX"/>
        </w:rPr>
        <w:t xml:space="preserve"> de un periodo a otro</w:t>
      </w:r>
      <w:r w:rsidR="00AC32EA" w:rsidRPr="6ADD06C9">
        <w:rPr>
          <w:lang w:val="es-MX"/>
        </w:rPr>
        <w:t>,</w:t>
      </w:r>
      <w:r w:rsidRPr="6ADD06C9">
        <w:rPr>
          <w:lang w:val="es-MX"/>
        </w:rPr>
        <w:t xml:space="preserve"> permite medir </w:t>
      </w:r>
      <w:r w:rsidR="1D053B17" w:rsidRPr="6ADD06C9">
        <w:rPr>
          <w:lang w:val="es-MX"/>
        </w:rPr>
        <w:t>la</w:t>
      </w:r>
      <w:r w:rsidRPr="6ADD06C9">
        <w:rPr>
          <w:lang w:val="es-MX"/>
        </w:rPr>
        <w:t xml:space="preserve"> inflación.</w:t>
      </w:r>
    </w:p>
    <w:p w14:paraId="794DCED4" w14:textId="77777777" w:rsidR="00C35BD7" w:rsidRPr="00A16DEB" w:rsidRDefault="00C35BD7" w:rsidP="00C35BD7">
      <w:pPr>
        <w:pStyle w:val="Texto"/>
        <w:widowControl w:val="0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MX"/>
        </w:rPr>
      </w:pPr>
      <w:r w:rsidRPr="00A16DEB">
        <w:rPr>
          <w:sz w:val="24"/>
          <w:szCs w:val="24"/>
          <w:lang w:val="es-MX"/>
        </w:rPr>
        <w:t>Las características metodológicas del INPC son:</w:t>
      </w:r>
    </w:p>
    <w:p w14:paraId="39049E71" w14:textId="77777777" w:rsidR="00C35BD7" w:rsidRPr="008F75CD" w:rsidRDefault="00C35BD7" w:rsidP="00C35BD7">
      <w:pPr>
        <w:pStyle w:val="Texto"/>
        <w:widowControl w:val="0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MX"/>
        </w:rPr>
      </w:pPr>
      <w:r w:rsidRPr="008F75CD">
        <w:rPr>
          <w:bCs/>
          <w:i/>
          <w:iCs/>
          <w:sz w:val="24"/>
          <w:szCs w:val="24"/>
          <w:lang w:val="es-MX"/>
        </w:rPr>
        <w:t xml:space="preserve">Periodo </w:t>
      </w:r>
      <w:r>
        <w:rPr>
          <w:bCs/>
          <w:i/>
          <w:iCs/>
          <w:sz w:val="24"/>
          <w:szCs w:val="24"/>
          <w:lang w:val="es-MX"/>
        </w:rPr>
        <w:t>base</w:t>
      </w:r>
    </w:p>
    <w:p w14:paraId="013F1F9C" w14:textId="5B5127F0" w:rsidR="00C35BD7" w:rsidRPr="00A16DEB" w:rsidRDefault="00C35BD7" w:rsidP="00C35BD7">
      <w:pPr>
        <w:pStyle w:val="Texto"/>
        <w:widowControl w:val="0"/>
        <w:autoSpaceDE w:val="0"/>
        <w:autoSpaceDN w:val="0"/>
        <w:adjustRightInd w:val="0"/>
        <w:spacing w:before="60" w:after="0" w:line="240" w:lineRule="auto"/>
        <w:ind w:left="357" w:firstLine="0"/>
        <w:rPr>
          <w:color w:val="000000" w:themeColor="text1"/>
          <w:sz w:val="24"/>
          <w:szCs w:val="24"/>
          <w:lang w:val="es-ES_tradnl"/>
        </w:rPr>
      </w:pPr>
      <w:r w:rsidRPr="00A16DEB">
        <w:rPr>
          <w:sz w:val="24"/>
          <w:szCs w:val="24"/>
          <w:lang w:val="es-MX"/>
        </w:rPr>
        <w:t xml:space="preserve">El periodo de referencia del INPC es </w:t>
      </w:r>
      <w:r w:rsidRPr="00A16DEB">
        <w:rPr>
          <w:color w:val="000000" w:themeColor="text1"/>
          <w:sz w:val="24"/>
          <w:szCs w:val="24"/>
          <w:lang w:val="es-ES_tradnl"/>
        </w:rPr>
        <w:t>la segunda quincena de julio de 2018=100.</w:t>
      </w:r>
      <w:r w:rsidR="00F47D48" w:rsidRPr="00F47D48">
        <w:rPr>
          <w:color w:val="000000" w:themeColor="text1"/>
          <w:sz w:val="24"/>
          <w:szCs w:val="24"/>
          <w:lang w:val="es-ES_tradnl"/>
        </w:rPr>
        <w:t xml:space="preserve"> </w:t>
      </w:r>
      <w:r w:rsidRPr="00A16DEB">
        <w:rPr>
          <w:color w:val="000000" w:themeColor="text1"/>
          <w:sz w:val="24"/>
          <w:szCs w:val="24"/>
          <w:lang w:val="es-ES_tradnl"/>
        </w:rPr>
        <w:t>A</w:t>
      </w:r>
      <w:r w:rsidR="001745BA">
        <w:rPr>
          <w:color w:val="000000" w:themeColor="text1"/>
          <w:sz w:val="24"/>
          <w:szCs w:val="24"/>
          <w:lang w:val="es-ES_tradnl"/>
        </w:rPr>
        <w:t> </w:t>
      </w:r>
      <w:r w:rsidRPr="00A16DEB">
        <w:rPr>
          <w:color w:val="000000" w:themeColor="text1"/>
          <w:sz w:val="24"/>
          <w:szCs w:val="24"/>
          <w:lang w:val="es-ES_tradnl"/>
        </w:rPr>
        <w:t xml:space="preserve">partir de este se comparan los precios, por lo que se </w:t>
      </w:r>
      <w:r w:rsidR="00AC32EA" w:rsidRPr="00A16DEB">
        <w:rPr>
          <w:color w:val="000000" w:themeColor="text1"/>
          <w:sz w:val="24"/>
          <w:szCs w:val="24"/>
          <w:lang w:val="es-ES_tradnl"/>
        </w:rPr>
        <w:t>l</w:t>
      </w:r>
      <w:r w:rsidR="00AC32EA">
        <w:rPr>
          <w:color w:val="000000" w:themeColor="text1"/>
          <w:sz w:val="24"/>
          <w:szCs w:val="24"/>
          <w:lang w:val="es-ES_tradnl"/>
        </w:rPr>
        <w:t>o</w:t>
      </w:r>
      <w:r w:rsidR="00AC32EA" w:rsidRPr="00A16DEB">
        <w:rPr>
          <w:color w:val="000000" w:themeColor="text1"/>
          <w:sz w:val="24"/>
          <w:szCs w:val="24"/>
          <w:lang w:val="es-ES_tradnl"/>
        </w:rPr>
        <w:t xml:space="preserve"> </w:t>
      </w:r>
      <w:r w:rsidRPr="00A16DEB">
        <w:rPr>
          <w:color w:val="000000" w:themeColor="text1"/>
          <w:sz w:val="24"/>
          <w:szCs w:val="24"/>
          <w:lang w:val="es-ES_tradnl"/>
        </w:rPr>
        <w:t xml:space="preserve">denomina </w:t>
      </w:r>
      <w:r w:rsidRPr="00581158">
        <w:rPr>
          <w:i/>
          <w:iCs/>
          <w:color w:val="000000" w:themeColor="text1"/>
          <w:sz w:val="24"/>
          <w:szCs w:val="24"/>
          <w:lang w:val="es-ES_tradnl"/>
        </w:rPr>
        <w:t>periodo base de comparación de los precios</w:t>
      </w:r>
      <w:r w:rsidRPr="00A16DEB">
        <w:rPr>
          <w:color w:val="000000" w:themeColor="text1"/>
          <w:sz w:val="24"/>
          <w:szCs w:val="24"/>
          <w:lang w:val="es-ES_tradnl"/>
        </w:rPr>
        <w:t>.</w:t>
      </w:r>
    </w:p>
    <w:p w14:paraId="6DAC4CE1" w14:textId="77777777" w:rsidR="00C35BD7" w:rsidRPr="008F75CD" w:rsidRDefault="00C35BD7" w:rsidP="00C35BD7">
      <w:pPr>
        <w:pStyle w:val="Texto"/>
        <w:keepNext/>
        <w:keepLines/>
        <w:widowControl w:val="0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MX"/>
        </w:rPr>
      </w:pPr>
      <w:r w:rsidRPr="008F75CD">
        <w:rPr>
          <w:bCs/>
          <w:i/>
          <w:iCs/>
          <w:sz w:val="24"/>
          <w:szCs w:val="24"/>
          <w:lang w:val="es-MX"/>
        </w:rPr>
        <w:t>Canasta de bienes y servicios</w:t>
      </w:r>
    </w:p>
    <w:p w14:paraId="060E5033" w14:textId="774F0DA7" w:rsidR="00C35BD7" w:rsidRPr="00A16DEB" w:rsidRDefault="00C35BD7" w:rsidP="000D38ED">
      <w:pPr>
        <w:pStyle w:val="Texto"/>
        <w:widowControl w:val="0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MX"/>
        </w:rPr>
      </w:pPr>
      <w:r w:rsidRPr="00A16DEB">
        <w:rPr>
          <w:sz w:val="24"/>
          <w:szCs w:val="24"/>
          <w:lang w:val="es-MX"/>
        </w:rPr>
        <w:t xml:space="preserve">La </w:t>
      </w:r>
      <w:r w:rsidRPr="008F75CD">
        <w:rPr>
          <w:sz w:val="24"/>
          <w:szCs w:val="24"/>
        </w:rPr>
        <w:t>canasta</w:t>
      </w:r>
      <w:r w:rsidRPr="00A16DEB">
        <w:rPr>
          <w:sz w:val="24"/>
          <w:szCs w:val="24"/>
          <w:lang w:val="es-MX"/>
        </w:rPr>
        <w:t xml:space="preserve"> está integrada por una muestra de </w:t>
      </w:r>
      <w:r>
        <w:rPr>
          <w:sz w:val="24"/>
          <w:szCs w:val="24"/>
          <w:lang w:val="es-MX"/>
        </w:rPr>
        <w:t xml:space="preserve">poco más </w:t>
      </w:r>
      <w:r w:rsidRPr="00A16DEB">
        <w:rPr>
          <w:sz w:val="24"/>
          <w:szCs w:val="24"/>
          <w:lang w:val="es-MX"/>
        </w:rPr>
        <w:t xml:space="preserve">de 120 mil productos y servicios específicos, agrupados en 299 </w:t>
      </w:r>
      <w:r>
        <w:rPr>
          <w:sz w:val="24"/>
          <w:szCs w:val="24"/>
          <w:lang w:val="es-MX"/>
        </w:rPr>
        <w:t xml:space="preserve">productos </w:t>
      </w:r>
      <w:r w:rsidRPr="00A16DEB">
        <w:rPr>
          <w:sz w:val="24"/>
          <w:szCs w:val="24"/>
          <w:lang w:val="es-MX"/>
        </w:rPr>
        <w:t>genéricos</w:t>
      </w:r>
      <w:r>
        <w:rPr>
          <w:sz w:val="24"/>
          <w:szCs w:val="24"/>
          <w:lang w:val="es-MX"/>
        </w:rPr>
        <w:t>.</w:t>
      </w:r>
      <w:r w:rsidRPr="00A16DEB">
        <w:rPr>
          <w:rStyle w:val="Refdenotaalpie"/>
          <w:sz w:val="24"/>
          <w:szCs w:val="24"/>
          <w:lang w:val="es-MX"/>
        </w:rPr>
        <w:footnoteReference w:id="5"/>
      </w:r>
      <w:r w:rsidRPr="00A16DEB">
        <w:rPr>
          <w:sz w:val="24"/>
          <w:szCs w:val="24"/>
          <w:lang w:val="es-MX"/>
        </w:rPr>
        <w:t xml:space="preserve"> </w:t>
      </w:r>
      <w:r>
        <w:rPr>
          <w:sz w:val="24"/>
          <w:szCs w:val="24"/>
          <w:lang w:val="es-MX"/>
        </w:rPr>
        <w:t>C</w:t>
      </w:r>
      <w:r w:rsidRPr="00A16DEB">
        <w:rPr>
          <w:sz w:val="24"/>
          <w:szCs w:val="24"/>
          <w:lang w:val="es-MX"/>
        </w:rPr>
        <w:t xml:space="preserve">on </w:t>
      </w:r>
      <w:r>
        <w:rPr>
          <w:sz w:val="24"/>
          <w:szCs w:val="24"/>
          <w:lang w:val="es-MX"/>
        </w:rPr>
        <w:t xml:space="preserve">esto </w:t>
      </w:r>
      <w:r w:rsidRPr="00A16DEB">
        <w:rPr>
          <w:sz w:val="24"/>
          <w:szCs w:val="24"/>
          <w:lang w:val="es-MX"/>
        </w:rPr>
        <w:t xml:space="preserve">se alcanza una cobertura de 91 ramas de actividad económica, </w:t>
      </w:r>
      <w:r>
        <w:rPr>
          <w:sz w:val="24"/>
          <w:szCs w:val="24"/>
          <w:lang w:val="es-MX"/>
        </w:rPr>
        <w:t xml:space="preserve">que </w:t>
      </w:r>
      <w:r w:rsidRPr="00A16DEB">
        <w:rPr>
          <w:sz w:val="24"/>
          <w:szCs w:val="24"/>
          <w:lang w:val="es-MX"/>
        </w:rPr>
        <w:t>corresponden a los sectores agrícola, ganadero, industrial y de servicios. La canasta del INPC</w:t>
      </w:r>
      <w:r>
        <w:rPr>
          <w:sz w:val="24"/>
          <w:szCs w:val="24"/>
          <w:lang w:val="es-MX"/>
        </w:rPr>
        <w:t>,</w:t>
      </w:r>
      <w:r w:rsidRPr="00A16DEB">
        <w:rPr>
          <w:sz w:val="24"/>
          <w:szCs w:val="24"/>
          <w:lang w:val="es-MX"/>
        </w:rPr>
        <w:t xml:space="preserve"> con base </w:t>
      </w:r>
      <w:r w:rsidR="00240C64">
        <w:rPr>
          <w:sz w:val="24"/>
          <w:szCs w:val="24"/>
          <w:lang w:val="es-MX"/>
        </w:rPr>
        <w:t xml:space="preserve">en </w:t>
      </w:r>
      <w:r w:rsidRPr="00A16DEB">
        <w:rPr>
          <w:sz w:val="24"/>
          <w:szCs w:val="24"/>
          <w:lang w:val="es-MX"/>
        </w:rPr>
        <w:t>2018</w:t>
      </w:r>
      <w:r>
        <w:rPr>
          <w:sz w:val="24"/>
          <w:szCs w:val="24"/>
          <w:lang w:val="es-MX"/>
        </w:rPr>
        <w:t>,</w:t>
      </w:r>
      <w:r w:rsidRPr="00A16DEB">
        <w:rPr>
          <w:sz w:val="24"/>
          <w:szCs w:val="24"/>
          <w:lang w:val="es-MX"/>
        </w:rPr>
        <w:t xml:space="preserve"> se construyó con la información de los gastos de consumo de los hogares que proporcionó la Encuesta Nacional de Gastos de los Hogares (Engasto) 2012 y 2013.</w:t>
      </w:r>
    </w:p>
    <w:p w14:paraId="6E27684D" w14:textId="77777777" w:rsidR="00C35BD7" w:rsidRPr="008F75CD" w:rsidRDefault="00C35BD7" w:rsidP="009F57C6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color w:val="000000" w:themeColor="text1"/>
          <w:sz w:val="24"/>
          <w:szCs w:val="24"/>
          <w:lang w:val="es-ES_tradnl"/>
        </w:rPr>
      </w:pPr>
      <w:r w:rsidRPr="008F75CD">
        <w:rPr>
          <w:bCs/>
          <w:i/>
          <w:iCs/>
          <w:color w:val="000000" w:themeColor="text1"/>
          <w:sz w:val="24"/>
          <w:szCs w:val="24"/>
          <w:lang w:val="es-ES_tradnl"/>
        </w:rPr>
        <w:t>Estructura de ponderación</w:t>
      </w:r>
    </w:p>
    <w:p w14:paraId="494AC26F" w14:textId="079FD4DE" w:rsidR="005367D3" w:rsidRDefault="00C35BD7" w:rsidP="005367D3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color w:val="000000" w:themeColor="text1"/>
        </w:rPr>
      </w:pPr>
      <w:r w:rsidRPr="009F57C6">
        <w:rPr>
          <w:color w:val="000000" w:themeColor="text1"/>
          <w:sz w:val="24"/>
          <w:szCs w:val="24"/>
          <w:lang w:val="es-ES_tradnl"/>
        </w:rPr>
        <w:t xml:space="preserve">Define la </w:t>
      </w:r>
      <w:r w:rsidRPr="009F57C6">
        <w:rPr>
          <w:color w:val="000000"/>
          <w:sz w:val="24"/>
          <w:szCs w:val="24"/>
          <w:lang w:val="es-MX"/>
        </w:rPr>
        <w:t xml:space="preserve">participación del gasto de un bien o servicio en la canasta representativa del consumo de los hogares del país. La suma del total de ponderaciones de la canasta es igual a uno. Para considerar un genérico en la canasta </w:t>
      </w:r>
      <w:r w:rsidRPr="009F57C6">
        <w:rPr>
          <w:sz w:val="24"/>
          <w:szCs w:val="24"/>
          <w:lang w:val="es-MX"/>
        </w:rPr>
        <w:t>de bienes y servicios del INPC</w:t>
      </w:r>
      <w:r w:rsidR="00904866" w:rsidRPr="009F57C6">
        <w:rPr>
          <w:sz w:val="24"/>
          <w:szCs w:val="24"/>
          <w:lang w:val="es-MX"/>
        </w:rPr>
        <w:t>,</w:t>
      </w:r>
      <w:r w:rsidRPr="009F57C6">
        <w:rPr>
          <w:sz w:val="24"/>
          <w:szCs w:val="24"/>
          <w:lang w:val="es-MX"/>
        </w:rPr>
        <w:t xml:space="preserve"> su ponderación debe ser igual o mayor a 0.01 por ciento.</w:t>
      </w:r>
      <w:r w:rsidRPr="009F57C6">
        <w:rPr>
          <w:color w:val="000000"/>
          <w:sz w:val="24"/>
          <w:szCs w:val="24"/>
          <w:lang w:val="es-MX"/>
        </w:rPr>
        <w:t xml:space="preserve"> </w:t>
      </w:r>
      <w:r w:rsidRPr="009F57C6">
        <w:rPr>
          <w:color w:val="000000" w:themeColor="text1"/>
          <w:sz w:val="24"/>
          <w:szCs w:val="24"/>
          <w:lang w:val="es-ES_tradnl"/>
        </w:rPr>
        <w:t>La estructura de las ponderaciones se construyó con información de la</w:t>
      </w:r>
      <w:r w:rsidR="00AC32EA" w:rsidRPr="009F57C6">
        <w:rPr>
          <w:color w:val="000000" w:themeColor="text1"/>
          <w:sz w:val="24"/>
          <w:szCs w:val="24"/>
          <w:lang w:val="es-ES_tradnl"/>
        </w:rPr>
        <w:t>s</w:t>
      </w:r>
      <w:r w:rsidRPr="009F57C6">
        <w:rPr>
          <w:color w:val="000000" w:themeColor="text1"/>
          <w:sz w:val="24"/>
          <w:szCs w:val="24"/>
          <w:lang w:val="es-ES_tradnl"/>
        </w:rPr>
        <w:t xml:space="preserve"> Engasto 2012 y 2013 y</w:t>
      </w:r>
      <w:r w:rsidR="00AC188B" w:rsidRPr="009F57C6">
        <w:rPr>
          <w:color w:val="000000" w:themeColor="text1"/>
          <w:sz w:val="24"/>
          <w:szCs w:val="24"/>
          <w:lang w:val="es-ES_tradnl"/>
        </w:rPr>
        <w:t xml:space="preserve"> de</w:t>
      </w:r>
      <w:r w:rsidRPr="009F57C6">
        <w:rPr>
          <w:color w:val="000000" w:themeColor="text1"/>
          <w:sz w:val="24"/>
          <w:szCs w:val="24"/>
          <w:lang w:val="es-ES_tradnl"/>
        </w:rPr>
        <w:t xml:space="preserve"> la Encuesta Nacional de Ingresos y Gastos de los Hogares (ENIGH) 2014. El alcance de los ponderadores es de los hogares a nivel nacional.</w:t>
      </w:r>
      <w:r w:rsidR="005367D3">
        <w:rPr>
          <w:color w:val="000000" w:themeColor="text1"/>
          <w:sz w:val="24"/>
          <w:szCs w:val="24"/>
          <w:lang w:val="es-ES_tradnl"/>
        </w:rPr>
        <w:br w:type="page"/>
      </w:r>
    </w:p>
    <w:p w14:paraId="3AC4208C" w14:textId="77777777" w:rsidR="00C35BD7" w:rsidRPr="009F57C6" w:rsidRDefault="00C35BD7" w:rsidP="005367D3">
      <w:pPr>
        <w:pStyle w:val="Texto"/>
        <w:autoSpaceDE w:val="0"/>
        <w:autoSpaceDN w:val="0"/>
        <w:adjustRightInd w:val="0"/>
        <w:spacing w:after="0" w:line="240" w:lineRule="auto"/>
        <w:ind w:left="357" w:firstLine="0"/>
        <w:rPr>
          <w:color w:val="000000" w:themeColor="text1"/>
          <w:sz w:val="24"/>
          <w:szCs w:val="24"/>
          <w:lang w:val="es-ES_tradnl"/>
        </w:rPr>
      </w:pPr>
    </w:p>
    <w:p w14:paraId="41669A5F" w14:textId="2BF1A69A" w:rsidR="00C35BD7" w:rsidRPr="008F75CD" w:rsidRDefault="00C35BD7" w:rsidP="005367D3">
      <w:pPr>
        <w:pStyle w:val="Texto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 xml:space="preserve">Muestreo de puntos de venta </w:t>
      </w:r>
    </w:p>
    <w:p w14:paraId="183D0C40" w14:textId="03D44603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</w:rPr>
      </w:pPr>
      <w:r w:rsidRPr="008F75CD">
        <w:rPr>
          <w:sz w:val="24"/>
          <w:szCs w:val="24"/>
          <w:lang w:val="es-MX"/>
        </w:rPr>
        <w:t>Los</w:t>
      </w:r>
      <w:r w:rsidRPr="6E14A78B">
        <w:rPr>
          <w:color w:val="000000" w:themeColor="text1"/>
          <w:sz w:val="24"/>
          <w:szCs w:val="24"/>
        </w:rPr>
        <w:t xml:space="preserve"> </w:t>
      </w:r>
      <w:r w:rsidRPr="008F75CD">
        <w:rPr>
          <w:sz w:val="24"/>
          <w:szCs w:val="24"/>
        </w:rPr>
        <w:t>puntos</w:t>
      </w:r>
      <w:r w:rsidRPr="6E14A78B">
        <w:rPr>
          <w:color w:val="000000" w:themeColor="text1"/>
          <w:sz w:val="24"/>
          <w:szCs w:val="24"/>
        </w:rPr>
        <w:t xml:space="preserve"> de venta son las unidades económicas o establecimientos donde </w:t>
      </w:r>
      <w:r w:rsidR="00E57743" w:rsidRPr="6E14A78B">
        <w:rPr>
          <w:color w:val="000000" w:themeColor="text1"/>
          <w:sz w:val="24"/>
          <w:szCs w:val="24"/>
        </w:rPr>
        <w:t xml:space="preserve">las y </w:t>
      </w:r>
      <w:r w:rsidRPr="6E14A78B">
        <w:rPr>
          <w:color w:val="000000" w:themeColor="text1"/>
          <w:sz w:val="24"/>
          <w:szCs w:val="24"/>
        </w:rPr>
        <w:t>los investigadores de precios cotizan cuánto cuestan los productos específicos de la canasta del INPC</w:t>
      </w:r>
      <w:r w:rsidR="00593FCA" w:rsidRPr="6E14A78B">
        <w:rPr>
          <w:color w:val="000000" w:themeColor="text1"/>
          <w:sz w:val="24"/>
          <w:szCs w:val="24"/>
        </w:rPr>
        <w:t xml:space="preserve">, que </w:t>
      </w:r>
      <w:r w:rsidRPr="6E14A78B">
        <w:rPr>
          <w:color w:val="000000" w:themeColor="text1"/>
          <w:sz w:val="24"/>
          <w:szCs w:val="24"/>
        </w:rPr>
        <w:t>incluye 299 productos genéricos</w:t>
      </w:r>
      <w:r w:rsidR="00593FCA" w:rsidRPr="6E14A78B">
        <w:rPr>
          <w:color w:val="000000" w:themeColor="text1"/>
          <w:sz w:val="24"/>
          <w:szCs w:val="24"/>
        </w:rPr>
        <w:t>.</w:t>
      </w:r>
      <w:r w:rsidR="0046169F" w:rsidRPr="6E14A78B">
        <w:rPr>
          <w:color w:val="000000" w:themeColor="text1"/>
          <w:sz w:val="24"/>
          <w:szCs w:val="24"/>
        </w:rPr>
        <w:t xml:space="preserve"> D</w:t>
      </w:r>
      <w:r w:rsidRPr="6E14A78B">
        <w:rPr>
          <w:color w:val="000000" w:themeColor="text1"/>
          <w:sz w:val="24"/>
          <w:szCs w:val="24"/>
        </w:rPr>
        <w:t xml:space="preserve">e </w:t>
      </w:r>
      <w:r w:rsidR="0046169F" w:rsidRPr="6E14A78B">
        <w:rPr>
          <w:color w:val="000000" w:themeColor="text1"/>
          <w:sz w:val="24"/>
          <w:szCs w:val="24"/>
        </w:rPr>
        <w:t>esto</w:t>
      </w:r>
      <w:r w:rsidRPr="6E14A78B">
        <w:rPr>
          <w:color w:val="000000" w:themeColor="text1"/>
          <w:sz w:val="24"/>
          <w:szCs w:val="24"/>
        </w:rPr>
        <w:t>s</w:t>
      </w:r>
      <w:r w:rsidR="00382770" w:rsidRPr="6E14A78B">
        <w:rPr>
          <w:color w:val="000000" w:themeColor="text1"/>
          <w:sz w:val="24"/>
          <w:szCs w:val="24"/>
        </w:rPr>
        <w:t>,</w:t>
      </w:r>
      <w:r w:rsidRPr="6E14A78B">
        <w:rPr>
          <w:color w:val="000000" w:themeColor="text1"/>
          <w:sz w:val="24"/>
          <w:szCs w:val="24"/>
        </w:rPr>
        <w:t xml:space="preserve"> se seleccionaron 248 </w:t>
      </w:r>
      <w:r w:rsidR="0046169F" w:rsidRPr="6E14A78B">
        <w:rPr>
          <w:color w:val="000000" w:themeColor="text1"/>
          <w:sz w:val="24"/>
          <w:szCs w:val="24"/>
        </w:rPr>
        <w:t>mediante</w:t>
      </w:r>
      <w:r w:rsidRPr="6E14A78B">
        <w:rPr>
          <w:color w:val="000000" w:themeColor="text1"/>
          <w:sz w:val="24"/>
          <w:szCs w:val="24"/>
        </w:rPr>
        <w:t xml:space="preserve"> un </w:t>
      </w:r>
      <w:r w:rsidRPr="6E14A78B">
        <w:rPr>
          <w:sz w:val="24"/>
          <w:szCs w:val="24"/>
        </w:rPr>
        <w:t>muestreo probabilístico y los 51 restantes con un</w:t>
      </w:r>
      <w:r w:rsidR="00593FCA" w:rsidRPr="6E14A78B">
        <w:rPr>
          <w:sz w:val="24"/>
          <w:szCs w:val="24"/>
        </w:rPr>
        <w:t xml:space="preserve">o </w:t>
      </w:r>
      <w:r w:rsidRPr="6E14A78B">
        <w:rPr>
          <w:sz w:val="24"/>
          <w:szCs w:val="24"/>
        </w:rPr>
        <w:t xml:space="preserve">no probabilístico. </w:t>
      </w:r>
      <w:r w:rsidRPr="6E14A78B">
        <w:rPr>
          <w:color w:val="000000" w:themeColor="text1"/>
          <w:sz w:val="24"/>
          <w:szCs w:val="24"/>
        </w:rPr>
        <w:t>En este último caso, se consideran los servicios cuyas tarifas autoriza o regula el gobierno, solo existe</w:t>
      </w:r>
      <w:r w:rsidR="5BAA2048" w:rsidRPr="6E14A78B">
        <w:rPr>
          <w:color w:val="000000" w:themeColor="text1"/>
          <w:sz w:val="24"/>
          <w:szCs w:val="24"/>
        </w:rPr>
        <w:t>n</w:t>
      </w:r>
      <w:r w:rsidRPr="6E14A78B">
        <w:rPr>
          <w:color w:val="000000" w:themeColor="text1"/>
          <w:sz w:val="24"/>
          <w:szCs w:val="24"/>
        </w:rPr>
        <w:t xml:space="preserve"> uno o pocos oferentes, o bien</w:t>
      </w:r>
      <w:r w:rsidR="007D0E0C">
        <w:rPr>
          <w:color w:val="000000" w:themeColor="text1"/>
          <w:sz w:val="24"/>
          <w:szCs w:val="24"/>
        </w:rPr>
        <w:t>,</w:t>
      </w:r>
      <w:r w:rsidRPr="6E14A78B">
        <w:rPr>
          <w:color w:val="000000" w:themeColor="text1"/>
          <w:sz w:val="24"/>
          <w:szCs w:val="24"/>
        </w:rPr>
        <w:t xml:space="preserve"> no se cuenta con un marco de muestreo u otros bienes y servicios cuyo precio sea muy semejante, por lo que no es necesario aplicar un muestreo probabilístico.</w:t>
      </w:r>
    </w:p>
    <w:p w14:paraId="790BAFA4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Cobertura geográfica de las cotizaciones</w:t>
      </w:r>
    </w:p>
    <w:p w14:paraId="505E0FDA" w14:textId="5DCB666B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  <w:lang w:val="es-ES_tradnl"/>
        </w:rPr>
        <w:t xml:space="preserve">Las </w:t>
      </w:r>
      <w:r w:rsidRPr="008F75CD">
        <w:rPr>
          <w:sz w:val="24"/>
          <w:szCs w:val="24"/>
        </w:rPr>
        <w:t>cotizaciones</w:t>
      </w:r>
      <w:r w:rsidRPr="00A16DEB">
        <w:rPr>
          <w:sz w:val="24"/>
          <w:szCs w:val="24"/>
          <w:lang w:val="es-ES_tradnl"/>
        </w:rPr>
        <w:t xml:space="preserve"> de precios se realizan en una muestra de establecimientos ubicados en 55 áreas geográficas de las 32 </w:t>
      </w:r>
      <w:r>
        <w:rPr>
          <w:sz w:val="24"/>
          <w:szCs w:val="24"/>
          <w:lang w:val="es-ES_tradnl"/>
        </w:rPr>
        <w:t>e</w:t>
      </w:r>
      <w:r w:rsidRPr="00A16DEB">
        <w:rPr>
          <w:sz w:val="24"/>
          <w:szCs w:val="24"/>
          <w:lang w:val="es-ES_tradnl"/>
        </w:rPr>
        <w:t xml:space="preserve">ntidades </w:t>
      </w:r>
      <w:r>
        <w:rPr>
          <w:sz w:val="24"/>
          <w:szCs w:val="24"/>
          <w:lang w:val="es-ES_tradnl"/>
        </w:rPr>
        <w:t>f</w:t>
      </w:r>
      <w:r w:rsidRPr="00A16DEB">
        <w:rPr>
          <w:sz w:val="24"/>
          <w:szCs w:val="24"/>
          <w:lang w:val="es-ES_tradnl"/>
        </w:rPr>
        <w:t xml:space="preserve">ederativas del país. </w:t>
      </w:r>
      <w:proofErr w:type="gramStart"/>
      <w:r>
        <w:rPr>
          <w:sz w:val="24"/>
          <w:szCs w:val="24"/>
          <w:lang w:val="es-ES_tradnl"/>
        </w:rPr>
        <w:t>Cada quincena se</w:t>
      </w:r>
      <w:r w:rsidR="009E3E43">
        <w:rPr>
          <w:sz w:val="24"/>
          <w:szCs w:val="24"/>
          <w:lang w:val="es-ES_tradnl"/>
        </w:rPr>
        <w:t xml:space="preserve"> </w:t>
      </w:r>
      <w:r>
        <w:rPr>
          <w:sz w:val="24"/>
          <w:szCs w:val="24"/>
          <w:lang w:val="es-ES_tradnl"/>
        </w:rPr>
        <w:t>cotizan</w:t>
      </w:r>
      <w:proofErr w:type="gramEnd"/>
      <w:r>
        <w:rPr>
          <w:sz w:val="24"/>
          <w:szCs w:val="24"/>
          <w:lang w:val="es-ES_tradnl"/>
        </w:rPr>
        <w:t xml:space="preserve">, </w:t>
      </w:r>
      <w:r w:rsidRPr="00A16DEB">
        <w:rPr>
          <w:sz w:val="24"/>
          <w:szCs w:val="24"/>
          <w:lang w:val="es-ES_tradnl"/>
        </w:rPr>
        <w:t>en promedio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159</w:t>
      </w:r>
      <w:r w:rsidR="0012120B">
        <w:rPr>
          <w:sz w:val="24"/>
          <w:szCs w:val="24"/>
          <w:lang w:val="es-ES_tradnl"/>
        </w:rPr>
        <w:t xml:space="preserve"> </w:t>
      </w:r>
      <w:r w:rsidRPr="00A16DEB">
        <w:rPr>
          <w:sz w:val="24"/>
          <w:szCs w:val="24"/>
          <w:lang w:val="es-ES_tradnl"/>
        </w:rPr>
        <w:t xml:space="preserve">500 precios de los </w:t>
      </w:r>
      <w:r>
        <w:rPr>
          <w:sz w:val="24"/>
          <w:szCs w:val="24"/>
          <w:lang w:val="es-ES_tradnl"/>
        </w:rPr>
        <w:t xml:space="preserve">bienes </w:t>
      </w:r>
      <w:r w:rsidRPr="00A16DEB">
        <w:rPr>
          <w:sz w:val="24"/>
          <w:szCs w:val="24"/>
          <w:lang w:val="es-ES_tradnl"/>
        </w:rPr>
        <w:t>y servicios específicos de los 299 genéricos. Las cotizaciones de alimentos se realiza</w:t>
      </w:r>
      <w:r>
        <w:rPr>
          <w:sz w:val="24"/>
          <w:szCs w:val="24"/>
          <w:lang w:val="es-ES_tradnl"/>
        </w:rPr>
        <w:t>n</w:t>
      </w:r>
      <w:r w:rsidR="00481947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por lo menos</w:t>
      </w:r>
      <w:r w:rsidR="00481947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dos veces durante la quincena que se reporta</w:t>
      </w:r>
      <w:r>
        <w:rPr>
          <w:sz w:val="24"/>
          <w:szCs w:val="24"/>
          <w:lang w:val="es-ES_tradnl"/>
        </w:rPr>
        <w:t>. P</w:t>
      </w:r>
      <w:r w:rsidRPr="00A16DEB">
        <w:rPr>
          <w:sz w:val="24"/>
          <w:szCs w:val="24"/>
          <w:lang w:val="es-ES_tradnl"/>
        </w:rPr>
        <w:t>ara el resto de los productos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se obtienen </w:t>
      </w:r>
      <w:r>
        <w:rPr>
          <w:sz w:val="24"/>
          <w:szCs w:val="24"/>
          <w:lang w:val="es-ES_tradnl"/>
        </w:rPr>
        <w:t xml:space="preserve">los precios </w:t>
      </w:r>
      <w:r w:rsidRPr="00A16DEB">
        <w:rPr>
          <w:sz w:val="24"/>
          <w:szCs w:val="24"/>
          <w:lang w:val="es-ES_tradnl"/>
        </w:rPr>
        <w:t>por lo menos una vez en dicho periodo.</w:t>
      </w:r>
    </w:p>
    <w:p w14:paraId="4392FFFA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Cálculo del INPC</w:t>
      </w:r>
    </w:p>
    <w:p w14:paraId="7972F53B" w14:textId="2D3465A8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  <w:lang w:val="es-MX"/>
        </w:rPr>
        <w:t>El Código Fiscal de la Federación, en su artículo 20-Bis, fracción V, establece que el INPC se calculará utilizando la fórmula de Laspeyres</w:t>
      </w:r>
      <w:r>
        <w:rPr>
          <w:sz w:val="24"/>
          <w:szCs w:val="24"/>
          <w:lang w:val="es-MX"/>
        </w:rPr>
        <w:t xml:space="preserve"> </w:t>
      </w:r>
      <w:r w:rsidRPr="00A16DEB">
        <w:rPr>
          <w:sz w:val="24"/>
          <w:szCs w:val="24"/>
          <w:lang w:val="es-ES_tradnl"/>
        </w:rPr>
        <w:t>en dos etapas</w:t>
      </w:r>
      <w:r>
        <w:rPr>
          <w:sz w:val="24"/>
          <w:szCs w:val="24"/>
          <w:lang w:val="es-ES_tradnl"/>
        </w:rPr>
        <w:t>. E</w:t>
      </w:r>
      <w:r w:rsidRPr="00A16DEB">
        <w:rPr>
          <w:sz w:val="24"/>
          <w:szCs w:val="24"/>
          <w:lang w:val="es-ES_tradnl"/>
        </w:rPr>
        <w:t>n la primera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se calculan los índices elementales por genérico y área geográfica mediante un Índice de Jevons</w:t>
      </w:r>
      <w:r>
        <w:rPr>
          <w:sz w:val="24"/>
          <w:szCs w:val="24"/>
          <w:lang w:val="es-ES_tradnl"/>
        </w:rPr>
        <w:t>. E</w:t>
      </w:r>
      <w:r w:rsidRPr="00A16DEB">
        <w:rPr>
          <w:sz w:val="24"/>
          <w:szCs w:val="24"/>
          <w:lang w:val="es-ES_tradnl"/>
        </w:rPr>
        <w:t>n la segunda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</w:t>
      </w:r>
      <w:r w:rsidR="00481947">
        <w:rPr>
          <w:sz w:val="24"/>
          <w:szCs w:val="24"/>
          <w:lang w:val="es-ES_tradnl"/>
        </w:rPr>
        <w:t xml:space="preserve">se calculan </w:t>
      </w:r>
      <w:r w:rsidRPr="00A16DEB">
        <w:rPr>
          <w:sz w:val="24"/>
          <w:szCs w:val="24"/>
          <w:lang w:val="es-ES_tradnl"/>
        </w:rPr>
        <w:t>los índices de precios de nivel superior con el Índice de Laspeyres.</w:t>
      </w:r>
    </w:p>
    <w:p w14:paraId="4A36C95A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Publicación de resultados</w:t>
      </w:r>
    </w:p>
    <w:p w14:paraId="32D75158" w14:textId="5E572CFE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</w:rPr>
      </w:pPr>
      <w:r w:rsidRPr="00A16DEB">
        <w:rPr>
          <w:sz w:val="24"/>
          <w:szCs w:val="24"/>
        </w:rPr>
        <w:t xml:space="preserve">El </w:t>
      </w:r>
      <w:r w:rsidRPr="008F75CD">
        <w:rPr>
          <w:sz w:val="24"/>
          <w:szCs w:val="24"/>
        </w:rPr>
        <w:t>cálculo</w:t>
      </w:r>
      <w:r w:rsidRPr="00A16DEB">
        <w:rPr>
          <w:sz w:val="24"/>
          <w:szCs w:val="24"/>
        </w:rPr>
        <w:t xml:space="preserve"> y divulgación del INPC se hace quincenal y mensualmente</w:t>
      </w:r>
      <w:r>
        <w:rPr>
          <w:sz w:val="24"/>
          <w:szCs w:val="24"/>
        </w:rPr>
        <w:t>. S</w:t>
      </w:r>
      <w:r w:rsidRPr="00A16DEB">
        <w:rPr>
          <w:sz w:val="24"/>
          <w:szCs w:val="24"/>
        </w:rPr>
        <w:t xml:space="preserve">e publica los días 10 y 25 de cada mes en el </w:t>
      </w:r>
      <w:r w:rsidRPr="00F00E92">
        <w:rPr>
          <w:i/>
          <w:iCs/>
          <w:sz w:val="24"/>
          <w:szCs w:val="24"/>
        </w:rPr>
        <w:t>Diario Oficial de la Federación</w:t>
      </w:r>
      <w:r w:rsidR="002B4A27">
        <w:rPr>
          <w:sz w:val="24"/>
          <w:szCs w:val="24"/>
        </w:rPr>
        <w:t xml:space="preserve"> (DOF)</w:t>
      </w:r>
      <w:r w:rsidRPr="00A16DEB">
        <w:rPr>
          <w:sz w:val="24"/>
          <w:szCs w:val="24"/>
        </w:rPr>
        <w:t>, o el día hábil anterior</w:t>
      </w:r>
      <w:r w:rsidR="001B3B3D">
        <w:rPr>
          <w:sz w:val="24"/>
          <w:szCs w:val="24"/>
        </w:rPr>
        <w:t>,</w:t>
      </w:r>
      <w:r w:rsidRPr="00A16DEB">
        <w:rPr>
          <w:sz w:val="24"/>
          <w:szCs w:val="24"/>
        </w:rPr>
        <w:t xml:space="preserve"> en caso de que estas fechas </w:t>
      </w:r>
      <w:r w:rsidR="4A7747F2" w:rsidRPr="0C63078F">
        <w:rPr>
          <w:sz w:val="24"/>
          <w:szCs w:val="24"/>
        </w:rPr>
        <w:t>sean</w:t>
      </w:r>
      <w:r w:rsidRPr="00A16DEB">
        <w:rPr>
          <w:sz w:val="24"/>
          <w:szCs w:val="24"/>
        </w:rPr>
        <w:t xml:space="preserve"> sábado, domingo o día festivo. El día 25 de cada mes se publica el cálculo de la primera quincena del mes y el día 10 se difunde el índice que corresponde al dato mensual y a </w:t>
      </w:r>
      <w:r>
        <w:rPr>
          <w:sz w:val="24"/>
          <w:szCs w:val="24"/>
        </w:rPr>
        <w:t xml:space="preserve">su </w:t>
      </w:r>
      <w:r w:rsidRPr="00A16DEB">
        <w:rPr>
          <w:sz w:val="24"/>
          <w:szCs w:val="24"/>
        </w:rPr>
        <w:t>segunda quincena</w:t>
      </w:r>
      <w:r>
        <w:rPr>
          <w:sz w:val="24"/>
          <w:szCs w:val="24"/>
        </w:rPr>
        <w:t>. Un día antes</w:t>
      </w:r>
      <w:r w:rsidRPr="00A16DEB">
        <w:rPr>
          <w:sz w:val="24"/>
          <w:szCs w:val="24"/>
        </w:rPr>
        <w:t xml:space="preserve"> de su publicación en el DO</w:t>
      </w:r>
      <w:r w:rsidR="006A7591">
        <w:rPr>
          <w:sz w:val="24"/>
          <w:szCs w:val="24"/>
        </w:rPr>
        <w:t>F</w:t>
      </w:r>
      <w:r>
        <w:rPr>
          <w:sz w:val="24"/>
          <w:szCs w:val="24"/>
        </w:rPr>
        <w:t>,</w:t>
      </w:r>
      <w:r w:rsidRPr="00A16DEB">
        <w:rPr>
          <w:sz w:val="24"/>
          <w:szCs w:val="24"/>
        </w:rPr>
        <w:t xml:space="preserve"> se difunden en la página del </w:t>
      </w:r>
      <w:r w:rsidR="00AC32EA" w:rsidRPr="00A16DEB">
        <w:rPr>
          <w:sz w:val="24"/>
          <w:szCs w:val="24"/>
        </w:rPr>
        <w:t>I</w:t>
      </w:r>
      <w:r w:rsidR="00AC32EA">
        <w:rPr>
          <w:sz w:val="24"/>
          <w:szCs w:val="24"/>
        </w:rPr>
        <w:t xml:space="preserve">nstituto </w:t>
      </w:r>
      <w:r w:rsidR="00AC32EA" w:rsidRPr="00A16DEB">
        <w:rPr>
          <w:sz w:val="24"/>
          <w:szCs w:val="24"/>
        </w:rPr>
        <w:t>N</w:t>
      </w:r>
      <w:r w:rsidR="00AC32EA">
        <w:rPr>
          <w:sz w:val="24"/>
          <w:szCs w:val="24"/>
        </w:rPr>
        <w:t xml:space="preserve">acional de </w:t>
      </w:r>
      <w:r w:rsidR="00AC32EA" w:rsidRPr="00A16DEB">
        <w:rPr>
          <w:sz w:val="24"/>
          <w:szCs w:val="24"/>
        </w:rPr>
        <w:t>E</w:t>
      </w:r>
      <w:r w:rsidR="00AC32EA">
        <w:rPr>
          <w:sz w:val="24"/>
          <w:szCs w:val="24"/>
        </w:rPr>
        <w:t xml:space="preserve">stadística y </w:t>
      </w:r>
      <w:r w:rsidR="00AC32EA" w:rsidRPr="00A16DEB">
        <w:rPr>
          <w:sz w:val="24"/>
          <w:szCs w:val="24"/>
        </w:rPr>
        <w:t>G</w:t>
      </w:r>
      <w:r w:rsidR="00AC32EA">
        <w:rPr>
          <w:sz w:val="24"/>
          <w:szCs w:val="24"/>
        </w:rPr>
        <w:t>eografía (</w:t>
      </w:r>
      <w:r w:rsidR="00AC32EA" w:rsidRPr="00A16DEB">
        <w:rPr>
          <w:sz w:val="24"/>
          <w:szCs w:val="24"/>
        </w:rPr>
        <w:t>I</w:t>
      </w:r>
      <w:r w:rsidR="00AC32EA">
        <w:rPr>
          <w:sz w:val="24"/>
          <w:szCs w:val="24"/>
        </w:rPr>
        <w:t>NEGI)</w:t>
      </w:r>
      <w:r w:rsidR="00AC32EA" w:rsidRPr="00A16DEB">
        <w:rPr>
          <w:sz w:val="24"/>
          <w:szCs w:val="24"/>
        </w:rPr>
        <w:t xml:space="preserve"> </w:t>
      </w:r>
      <w:r w:rsidRPr="00A16DEB">
        <w:rPr>
          <w:sz w:val="24"/>
          <w:szCs w:val="24"/>
        </w:rPr>
        <w:t xml:space="preserve">junto con un </w:t>
      </w:r>
      <w:r>
        <w:rPr>
          <w:sz w:val="24"/>
          <w:szCs w:val="24"/>
        </w:rPr>
        <w:t>c</w:t>
      </w:r>
      <w:r w:rsidRPr="00A16DEB">
        <w:rPr>
          <w:sz w:val="24"/>
          <w:szCs w:val="24"/>
        </w:rPr>
        <w:t>omunicado de prensa.</w:t>
      </w:r>
    </w:p>
    <w:p w14:paraId="09587A09" w14:textId="77777777" w:rsidR="00C35BD7" w:rsidRPr="0047679A" w:rsidRDefault="00C35BD7" w:rsidP="00C35BD7">
      <w:pPr>
        <w:widowControl w:val="0"/>
        <w:autoSpaceDE w:val="0"/>
        <w:autoSpaceDN w:val="0"/>
        <w:adjustRightInd w:val="0"/>
        <w:spacing w:before="360"/>
        <w:rPr>
          <w:b/>
        </w:rPr>
      </w:pPr>
      <w:r w:rsidRPr="0047679A">
        <w:rPr>
          <w:b/>
        </w:rPr>
        <w:t>Herramientas de análisis</w:t>
      </w:r>
    </w:p>
    <w:p w14:paraId="224E4F50" w14:textId="0C79B30D" w:rsidR="00444768" w:rsidRDefault="00C35BD7" w:rsidP="00C35BD7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pacing w:val="-2"/>
          <w:sz w:val="24"/>
          <w:szCs w:val="24"/>
        </w:rPr>
      </w:pPr>
      <w:r w:rsidRPr="00636E0F">
        <w:rPr>
          <w:sz w:val="24"/>
          <w:szCs w:val="24"/>
        </w:rPr>
        <w:t xml:space="preserve">El INEGI invita a conocer y hacer uso de las herramientas para el análisis y entendimiento de los índices nacionales de precios, disponibles en </w:t>
      </w:r>
      <w:r>
        <w:rPr>
          <w:sz w:val="24"/>
          <w:szCs w:val="24"/>
        </w:rPr>
        <w:t>la sección</w:t>
      </w:r>
      <w:r w:rsidRPr="00636E0F">
        <w:rPr>
          <w:sz w:val="24"/>
          <w:szCs w:val="24"/>
        </w:rPr>
        <w:t xml:space="preserve"> </w:t>
      </w:r>
      <w:r w:rsidR="00B04252">
        <w:rPr>
          <w:sz w:val="24"/>
          <w:szCs w:val="24"/>
        </w:rPr>
        <w:t>«</w:t>
      </w:r>
      <w:r w:rsidRPr="00636E0F">
        <w:rPr>
          <w:sz w:val="24"/>
          <w:szCs w:val="24"/>
        </w:rPr>
        <w:t>Herramientas</w:t>
      </w:r>
      <w:r w:rsidR="00B04252">
        <w:rPr>
          <w:sz w:val="24"/>
          <w:szCs w:val="24"/>
        </w:rPr>
        <w:t>»</w:t>
      </w:r>
      <w:r>
        <w:rPr>
          <w:sz w:val="24"/>
          <w:szCs w:val="24"/>
        </w:rPr>
        <w:t xml:space="preserve"> del </w:t>
      </w:r>
      <w:r w:rsidRPr="00636E0F">
        <w:rPr>
          <w:sz w:val="24"/>
          <w:szCs w:val="24"/>
        </w:rPr>
        <w:t>apartado</w:t>
      </w:r>
      <w:r>
        <w:rPr>
          <w:sz w:val="24"/>
          <w:szCs w:val="24"/>
        </w:rPr>
        <w:t xml:space="preserve"> </w:t>
      </w:r>
      <w:r w:rsidR="00B04252">
        <w:rPr>
          <w:sz w:val="24"/>
          <w:szCs w:val="24"/>
        </w:rPr>
        <w:t>«</w:t>
      </w:r>
      <w:r w:rsidRPr="00636E0F">
        <w:rPr>
          <w:sz w:val="24"/>
          <w:szCs w:val="24"/>
        </w:rPr>
        <w:t>Índice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Nacional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de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Precios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al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Consumidor</w:t>
      </w:r>
      <w:r w:rsidR="00B04252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de</w:t>
      </w:r>
      <w:r>
        <w:rPr>
          <w:sz w:val="24"/>
          <w:szCs w:val="24"/>
        </w:rPr>
        <w:t xml:space="preserve"> </w:t>
      </w:r>
      <w:r w:rsidRPr="000D36BF">
        <w:rPr>
          <w:spacing w:val="-2"/>
          <w:sz w:val="24"/>
          <w:szCs w:val="24"/>
        </w:rPr>
        <w:t>su</w:t>
      </w:r>
      <w:r>
        <w:rPr>
          <w:spacing w:val="-2"/>
          <w:sz w:val="24"/>
          <w:szCs w:val="24"/>
        </w:rPr>
        <w:t xml:space="preserve"> </w:t>
      </w:r>
      <w:r w:rsidR="0012120B">
        <w:rPr>
          <w:spacing w:val="-2"/>
          <w:sz w:val="24"/>
          <w:szCs w:val="24"/>
        </w:rPr>
        <w:t>página</w:t>
      </w:r>
      <w:r w:rsidRPr="000D36BF">
        <w:rPr>
          <w:spacing w:val="-2"/>
          <w:sz w:val="24"/>
          <w:szCs w:val="24"/>
        </w:rPr>
        <w:t>:</w:t>
      </w:r>
    </w:p>
    <w:p w14:paraId="314571B3" w14:textId="15A62C26" w:rsidR="00C35BD7" w:rsidRDefault="00000000" w:rsidP="00444768">
      <w:pPr>
        <w:pStyle w:val="Texto"/>
        <w:autoSpaceDE w:val="0"/>
        <w:autoSpaceDN w:val="0"/>
        <w:adjustRightInd w:val="0"/>
        <w:spacing w:after="0" w:line="240" w:lineRule="auto"/>
        <w:ind w:firstLine="0"/>
        <w:rPr>
          <w:rStyle w:val="Hipervnculo"/>
          <w:spacing w:val="-2"/>
          <w:sz w:val="24"/>
          <w:szCs w:val="24"/>
        </w:rPr>
      </w:pPr>
      <w:hyperlink r:id="rId32" w:anchor="Herramientas" w:history="1">
        <w:r w:rsidR="00C35BD7" w:rsidRPr="004035E2">
          <w:rPr>
            <w:rStyle w:val="Hipervnculo"/>
            <w:spacing w:val="-2"/>
            <w:sz w:val="24"/>
            <w:szCs w:val="24"/>
          </w:rPr>
          <w:t>https://www.inegi.org.mx/programas/inpc/2018/default.html#Herramientas</w:t>
        </w:r>
      </w:hyperlink>
    </w:p>
    <w:p w14:paraId="22F86F25" w14:textId="1A4A53D6" w:rsidR="005367D3" w:rsidRDefault="005367D3">
      <w:pPr>
        <w:jc w:val="left"/>
        <w:rPr>
          <w:lang w:val="es-ES"/>
        </w:rPr>
      </w:pPr>
      <w:r>
        <w:br w:type="page"/>
      </w:r>
    </w:p>
    <w:p w14:paraId="1A1E5FB5" w14:textId="77777777" w:rsidR="005367D3" w:rsidRPr="00636E0F" w:rsidRDefault="005367D3" w:rsidP="00444768">
      <w:pPr>
        <w:pStyle w:val="Texto"/>
        <w:autoSpaceDE w:val="0"/>
        <w:autoSpaceDN w:val="0"/>
        <w:adjustRightInd w:val="0"/>
        <w:spacing w:after="0" w:line="240" w:lineRule="auto"/>
        <w:ind w:firstLine="0"/>
        <w:rPr>
          <w:sz w:val="24"/>
          <w:szCs w:val="24"/>
        </w:rPr>
      </w:pPr>
    </w:p>
    <w:p w14:paraId="5027BE5D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Calculadora de inflación. </w:t>
      </w:r>
      <w:r w:rsidRPr="00636E0F">
        <w:rPr>
          <w:sz w:val="24"/>
          <w:szCs w:val="24"/>
        </w:rPr>
        <w:t xml:space="preserve">Permite calcular la </w:t>
      </w:r>
      <w:r>
        <w:rPr>
          <w:sz w:val="24"/>
          <w:szCs w:val="24"/>
        </w:rPr>
        <w:t>t</w:t>
      </w:r>
      <w:r w:rsidRPr="00636E0F">
        <w:rPr>
          <w:sz w:val="24"/>
          <w:szCs w:val="24"/>
        </w:rPr>
        <w:t xml:space="preserve">asa de </w:t>
      </w:r>
      <w:r>
        <w:rPr>
          <w:sz w:val="24"/>
          <w:szCs w:val="24"/>
        </w:rPr>
        <w:t>i</w:t>
      </w:r>
      <w:r w:rsidRPr="00636E0F">
        <w:rPr>
          <w:sz w:val="24"/>
          <w:szCs w:val="24"/>
        </w:rPr>
        <w:t xml:space="preserve">nflación de un </w:t>
      </w:r>
      <w:r w:rsidR="005476DA">
        <w:rPr>
          <w:sz w:val="24"/>
          <w:szCs w:val="24"/>
        </w:rPr>
        <w:t>í</w:t>
      </w:r>
      <w:r w:rsidRPr="00636E0F">
        <w:rPr>
          <w:sz w:val="24"/>
          <w:szCs w:val="24"/>
        </w:rPr>
        <w:t xml:space="preserve">ndice de </w:t>
      </w:r>
      <w:r w:rsidR="005476DA">
        <w:rPr>
          <w:sz w:val="24"/>
          <w:szCs w:val="24"/>
        </w:rPr>
        <w:t>p</w:t>
      </w:r>
      <w:r w:rsidRPr="00636E0F">
        <w:rPr>
          <w:sz w:val="24"/>
          <w:szCs w:val="24"/>
        </w:rPr>
        <w:t>recios en un intervalo. Calcula dos tipos de tasas de inflación porcentuales: la implícita</w:t>
      </w:r>
      <w:r w:rsidR="00B04252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entre cual</w:t>
      </w:r>
      <w:r>
        <w:rPr>
          <w:sz w:val="24"/>
          <w:szCs w:val="24"/>
        </w:rPr>
        <w:t>es</w:t>
      </w:r>
      <w:r w:rsidRPr="00636E0F">
        <w:rPr>
          <w:sz w:val="24"/>
          <w:szCs w:val="24"/>
        </w:rPr>
        <w:t>quiera dos fechas</w:t>
      </w:r>
      <w:r w:rsidR="00B04252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y la tasa de inflación porcentual promedio</w:t>
      </w:r>
      <w:r w:rsidR="00B04252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en un per</w:t>
      </w:r>
      <w:r>
        <w:rPr>
          <w:sz w:val="24"/>
          <w:szCs w:val="24"/>
        </w:rPr>
        <w:t>i</w:t>
      </w:r>
      <w:r w:rsidRPr="00636E0F">
        <w:rPr>
          <w:sz w:val="24"/>
          <w:szCs w:val="24"/>
        </w:rPr>
        <w:t>odo.</w:t>
      </w:r>
    </w:p>
    <w:p w14:paraId="1FBEC390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Caleidoscopio. </w:t>
      </w:r>
      <w:r w:rsidRPr="00636E0F">
        <w:rPr>
          <w:sz w:val="24"/>
          <w:szCs w:val="24"/>
        </w:rPr>
        <w:t xml:space="preserve">Muestra la forma en que </w:t>
      </w:r>
      <w:r w:rsidR="00EE58E5">
        <w:rPr>
          <w:sz w:val="24"/>
          <w:szCs w:val="24"/>
        </w:rPr>
        <w:t xml:space="preserve">las y </w:t>
      </w:r>
      <w:r w:rsidRPr="00636E0F">
        <w:rPr>
          <w:sz w:val="24"/>
          <w:szCs w:val="24"/>
        </w:rPr>
        <w:t xml:space="preserve">los consumidores, en promedio, distribuyen su gasto en </w:t>
      </w:r>
      <w:r w:rsidR="009C165A">
        <w:rPr>
          <w:sz w:val="24"/>
          <w:szCs w:val="24"/>
        </w:rPr>
        <w:t xml:space="preserve">ocho </w:t>
      </w:r>
      <w:r w:rsidRPr="00636E0F">
        <w:rPr>
          <w:sz w:val="24"/>
          <w:szCs w:val="24"/>
        </w:rPr>
        <w:t xml:space="preserve">grupos y 36 subgrupos, así como las variaciones en los precios de </w:t>
      </w:r>
      <w:proofErr w:type="gramStart"/>
      <w:r w:rsidRPr="00636E0F">
        <w:rPr>
          <w:sz w:val="24"/>
          <w:szCs w:val="24"/>
        </w:rPr>
        <w:t>los</w:t>
      </w:r>
      <w:r w:rsidR="0004426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mismos</w:t>
      </w:r>
      <w:proofErr w:type="gramEnd"/>
      <w:r w:rsidRPr="00636E0F">
        <w:rPr>
          <w:sz w:val="24"/>
          <w:szCs w:val="24"/>
        </w:rPr>
        <w:t>.</w:t>
      </w:r>
    </w:p>
    <w:p w14:paraId="7461339E" w14:textId="409BF6FF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Mapa de precios. </w:t>
      </w:r>
      <w:r>
        <w:rPr>
          <w:bCs/>
          <w:iCs/>
          <w:sz w:val="24"/>
          <w:szCs w:val="24"/>
          <w:lang w:val="es-ES_tradnl"/>
        </w:rPr>
        <w:t>Presenta</w:t>
      </w:r>
      <w:r w:rsidR="00B04252">
        <w:rPr>
          <w:bCs/>
          <w:iCs/>
          <w:sz w:val="24"/>
          <w:szCs w:val="24"/>
          <w:lang w:val="es-ES_tradnl"/>
        </w:rPr>
        <w:t>,</w:t>
      </w:r>
      <w:r w:rsidRPr="00636E0F">
        <w:rPr>
          <w:sz w:val="24"/>
          <w:szCs w:val="24"/>
        </w:rPr>
        <w:t xml:space="preserve"> en forma dinámica</w:t>
      </w:r>
      <w:r w:rsidR="00B04252">
        <w:rPr>
          <w:sz w:val="24"/>
          <w:szCs w:val="24"/>
        </w:rPr>
        <w:t>,</w:t>
      </w:r>
      <w:r w:rsidRPr="00636E0F">
        <w:rPr>
          <w:sz w:val="24"/>
          <w:szCs w:val="24"/>
        </w:rPr>
        <w:t xml:space="preserve"> las variaciones anual</w:t>
      </w:r>
      <w:r w:rsidR="00F56361">
        <w:rPr>
          <w:sz w:val="24"/>
          <w:szCs w:val="24"/>
        </w:rPr>
        <w:t>es</w:t>
      </w:r>
      <w:r w:rsidRPr="00636E0F">
        <w:rPr>
          <w:sz w:val="24"/>
          <w:szCs w:val="24"/>
        </w:rPr>
        <w:t xml:space="preserve"> de los precios por ciudad, entidad y región, así como la participación o peso que tienen </w:t>
      </w:r>
      <w:r>
        <w:rPr>
          <w:sz w:val="24"/>
          <w:szCs w:val="24"/>
        </w:rPr>
        <w:t>e</w:t>
      </w:r>
      <w:r w:rsidRPr="00636E0F">
        <w:rPr>
          <w:sz w:val="24"/>
          <w:szCs w:val="24"/>
        </w:rPr>
        <w:t>stos en el INPC.</w:t>
      </w:r>
    </w:p>
    <w:p w14:paraId="5006191A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Consulta de precios promedio. </w:t>
      </w:r>
      <w:r w:rsidRPr="00636E0F">
        <w:rPr>
          <w:sz w:val="24"/>
          <w:szCs w:val="24"/>
        </w:rPr>
        <w:t xml:space="preserve">Permite consultar y exportar el precio promedio mensual de cada </w:t>
      </w:r>
      <w:r>
        <w:rPr>
          <w:sz w:val="24"/>
          <w:szCs w:val="24"/>
        </w:rPr>
        <w:t xml:space="preserve">uno de los </w:t>
      </w:r>
      <w:r w:rsidRPr="00636E0F">
        <w:rPr>
          <w:sz w:val="24"/>
          <w:szCs w:val="24"/>
        </w:rPr>
        <w:t>producto</w:t>
      </w:r>
      <w:r>
        <w:rPr>
          <w:sz w:val="24"/>
          <w:szCs w:val="24"/>
        </w:rPr>
        <w:t>s</w:t>
      </w:r>
      <w:r w:rsidRPr="00636E0F">
        <w:rPr>
          <w:sz w:val="24"/>
          <w:szCs w:val="24"/>
        </w:rPr>
        <w:t xml:space="preserve"> específico</w:t>
      </w:r>
      <w:r>
        <w:rPr>
          <w:sz w:val="24"/>
          <w:szCs w:val="24"/>
        </w:rPr>
        <w:t xml:space="preserve">s </w:t>
      </w:r>
      <w:r w:rsidRPr="00636E0F">
        <w:rPr>
          <w:sz w:val="24"/>
          <w:szCs w:val="24"/>
        </w:rPr>
        <w:t>utilizado</w:t>
      </w:r>
      <w:r>
        <w:rPr>
          <w:sz w:val="24"/>
          <w:szCs w:val="24"/>
        </w:rPr>
        <w:t>s</w:t>
      </w:r>
      <w:r w:rsidRPr="00636E0F">
        <w:rPr>
          <w:sz w:val="24"/>
          <w:szCs w:val="24"/>
        </w:rPr>
        <w:t xml:space="preserve"> para el cálculo del INPC.</w:t>
      </w:r>
    </w:p>
    <w:p w14:paraId="14FDD915" w14:textId="77777777" w:rsidR="00C35BD7" w:rsidRPr="009C5908" w:rsidRDefault="00C35BD7" w:rsidP="00C35BD7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Mediante </w:t>
      </w:r>
      <w:r w:rsidRPr="00636E0F">
        <w:rPr>
          <w:sz w:val="24"/>
          <w:szCs w:val="24"/>
        </w:rPr>
        <w:t xml:space="preserve">los </w:t>
      </w:r>
      <w:r w:rsidR="005476DA">
        <w:rPr>
          <w:sz w:val="24"/>
          <w:szCs w:val="24"/>
        </w:rPr>
        <w:t>í</w:t>
      </w:r>
      <w:r w:rsidRPr="00636E0F">
        <w:rPr>
          <w:sz w:val="24"/>
          <w:szCs w:val="24"/>
        </w:rPr>
        <w:t xml:space="preserve">ndices de </w:t>
      </w:r>
      <w:r w:rsidR="005476DA">
        <w:rPr>
          <w:sz w:val="24"/>
          <w:szCs w:val="24"/>
        </w:rPr>
        <w:t>p</w:t>
      </w:r>
      <w:r w:rsidRPr="00636E0F">
        <w:rPr>
          <w:sz w:val="24"/>
          <w:szCs w:val="24"/>
        </w:rPr>
        <w:t>recios</w:t>
      </w:r>
      <w:r>
        <w:rPr>
          <w:sz w:val="24"/>
          <w:szCs w:val="24"/>
        </w:rPr>
        <w:t>, e</w:t>
      </w:r>
      <w:r w:rsidRPr="00636E0F">
        <w:rPr>
          <w:sz w:val="24"/>
          <w:szCs w:val="24"/>
        </w:rPr>
        <w:t>l INEGI</w:t>
      </w:r>
      <w:r>
        <w:rPr>
          <w:sz w:val="24"/>
          <w:szCs w:val="24"/>
        </w:rPr>
        <w:t xml:space="preserve"> genera l</w:t>
      </w:r>
      <w:r w:rsidRPr="00636E0F">
        <w:rPr>
          <w:sz w:val="24"/>
          <w:szCs w:val="24"/>
        </w:rPr>
        <w:t xml:space="preserve">a </w:t>
      </w:r>
      <w:r w:rsidRPr="00636E0F">
        <w:rPr>
          <w:sz w:val="24"/>
          <w:szCs w:val="24"/>
          <w:lang w:val="es-ES_tradnl"/>
        </w:rPr>
        <w:t>información</w:t>
      </w:r>
      <w:r w:rsidRPr="00636E0F">
        <w:rPr>
          <w:sz w:val="24"/>
          <w:szCs w:val="24"/>
        </w:rPr>
        <w:t xml:space="preserve"> contenida en este documento </w:t>
      </w:r>
      <w:r>
        <w:rPr>
          <w:sz w:val="24"/>
          <w:szCs w:val="24"/>
        </w:rPr>
        <w:t xml:space="preserve">y la </w:t>
      </w:r>
      <w:r w:rsidRPr="00636E0F">
        <w:rPr>
          <w:sz w:val="24"/>
          <w:szCs w:val="24"/>
        </w:rPr>
        <w:t xml:space="preserve">da a conocer </w:t>
      </w:r>
      <w:r>
        <w:rPr>
          <w:sz w:val="24"/>
          <w:szCs w:val="24"/>
        </w:rPr>
        <w:t xml:space="preserve">con base </w:t>
      </w:r>
      <w:r w:rsidRPr="00636E0F">
        <w:rPr>
          <w:sz w:val="24"/>
          <w:szCs w:val="24"/>
        </w:rPr>
        <w:t xml:space="preserve">en el Calendario de </w:t>
      </w:r>
      <w:r>
        <w:rPr>
          <w:snapToGrid w:val="0"/>
          <w:sz w:val="24"/>
          <w:szCs w:val="24"/>
        </w:rPr>
        <w:t>D</w:t>
      </w:r>
      <w:r w:rsidRPr="00636E0F">
        <w:rPr>
          <w:snapToGrid w:val="0"/>
          <w:sz w:val="24"/>
          <w:szCs w:val="24"/>
        </w:rPr>
        <w:t xml:space="preserve">ifusión de </w:t>
      </w:r>
      <w:r>
        <w:rPr>
          <w:snapToGrid w:val="0"/>
          <w:sz w:val="24"/>
          <w:szCs w:val="24"/>
        </w:rPr>
        <w:t>I</w:t>
      </w:r>
      <w:r w:rsidRPr="00636E0F">
        <w:rPr>
          <w:snapToGrid w:val="0"/>
          <w:sz w:val="24"/>
          <w:szCs w:val="24"/>
        </w:rPr>
        <w:t xml:space="preserve">nformación </w:t>
      </w:r>
      <w:r>
        <w:rPr>
          <w:snapToGrid w:val="0"/>
          <w:sz w:val="24"/>
          <w:szCs w:val="24"/>
        </w:rPr>
        <w:t>E</w:t>
      </w:r>
      <w:r w:rsidRPr="00636E0F">
        <w:rPr>
          <w:snapToGrid w:val="0"/>
          <w:sz w:val="24"/>
          <w:szCs w:val="24"/>
        </w:rPr>
        <w:t xml:space="preserve">stadística y </w:t>
      </w:r>
      <w:r>
        <w:rPr>
          <w:snapToGrid w:val="0"/>
          <w:sz w:val="24"/>
          <w:szCs w:val="24"/>
        </w:rPr>
        <w:t>G</w:t>
      </w:r>
      <w:r w:rsidRPr="00636E0F">
        <w:rPr>
          <w:snapToGrid w:val="0"/>
          <w:sz w:val="24"/>
          <w:szCs w:val="24"/>
        </w:rPr>
        <w:t>eográfica y de Interés Nacional</w:t>
      </w:r>
      <w:r w:rsidRPr="00636E0F">
        <w:rPr>
          <w:sz w:val="24"/>
          <w:szCs w:val="24"/>
        </w:rPr>
        <w:t>.</w:t>
      </w:r>
    </w:p>
    <w:p w14:paraId="697DBDEA" w14:textId="532B5F4B" w:rsidR="00C35BD7" w:rsidRDefault="00C35BD7" w:rsidP="00C35BD7">
      <w:pPr>
        <w:pStyle w:val="Texto"/>
        <w:keepNext/>
        <w:keepLines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 w:rsidRPr="00A16DEB">
        <w:rPr>
          <w:sz w:val="24"/>
          <w:szCs w:val="24"/>
          <w:lang w:val="es-ES_tradnl"/>
        </w:rPr>
        <w:t>Para mayor detalle del diseño conceptual y metodológico del INPC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cons</w:t>
      </w:r>
      <w:r>
        <w:rPr>
          <w:sz w:val="24"/>
          <w:szCs w:val="24"/>
          <w:lang w:val="es-ES_tradnl"/>
        </w:rPr>
        <w:t>ú</w:t>
      </w:r>
      <w:r w:rsidRPr="00A16DEB">
        <w:rPr>
          <w:sz w:val="24"/>
          <w:szCs w:val="24"/>
          <w:lang w:val="es-ES_tradnl"/>
        </w:rPr>
        <w:t>lt</w:t>
      </w:r>
      <w:r>
        <w:rPr>
          <w:sz w:val="24"/>
          <w:szCs w:val="24"/>
          <w:lang w:val="es-ES_tradnl"/>
        </w:rPr>
        <w:t>ese</w:t>
      </w:r>
      <w:r w:rsidRPr="00A16DEB">
        <w:rPr>
          <w:sz w:val="24"/>
          <w:szCs w:val="24"/>
          <w:lang w:val="es-ES_tradnl"/>
        </w:rPr>
        <w:t xml:space="preserve"> la página del INEGI:</w:t>
      </w:r>
      <w:r w:rsidRPr="00A16DEB">
        <w:rPr>
          <w:sz w:val="24"/>
          <w:szCs w:val="24"/>
        </w:rPr>
        <w:t xml:space="preserve"> </w:t>
      </w:r>
      <w:hyperlink r:id="rId33" w:history="1">
        <w:r w:rsidRPr="00A16DEB">
          <w:rPr>
            <w:rStyle w:val="Hipervnculo"/>
            <w:sz w:val="24"/>
            <w:szCs w:val="24"/>
          </w:rPr>
          <w:t>https://www.inegi.org.mx/programas/inpc/2018/</w:t>
        </w:r>
      </w:hyperlink>
      <w:r w:rsidRPr="00A16DE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en </w:t>
      </w:r>
      <w:r w:rsidRPr="00A16DEB">
        <w:rPr>
          <w:sz w:val="24"/>
          <w:szCs w:val="24"/>
        </w:rPr>
        <w:t xml:space="preserve">el apartado </w:t>
      </w:r>
      <w:r w:rsidR="00AE742D">
        <w:rPr>
          <w:sz w:val="24"/>
          <w:szCs w:val="24"/>
        </w:rPr>
        <w:t>«</w:t>
      </w:r>
      <w:r w:rsidRPr="00A16DEB">
        <w:rPr>
          <w:sz w:val="24"/>
          <w:szCs w:val="24"/>
        </w:rPr>
        <w:t>Documentación</w:t>
      </w:r>
      <w:r w:rsidR="00AE742D">
        <w:rPr>
          <w:sz w:val="24"/>
          <w:szCs w:val="24"/>
        </w:rPr>
        <w:t>»</w:t>
      </w:r>
      <w:r w:rsidRPr="00A16DEB">
        <w:rPr>
          <w:sz w:val="24"/>
          <w:szCs w:val="24"/>
        </w:rPr>
        <w:t xml:space="preserve">. En </w:t>
      </w:r>
      <w:r>
        <w:rPr>
          <w:sz w:val="24"/>
          <w:szCs w:val="24"/>
        </w:rPr>
        <w:t xml:space="preserve">la misma liga </w:t>
      </w:r>
      <w:r w:rsidRPr="00A16DEB">
        <w:rPr>
          <w:sz w:val="24"/>
          <w:szCs w:val="24"/>
        </w:rPr>
        <w:t>se puede</w:t>
      </w:r>
      <w:r>
        <w:rPr>
          <w:sz w:val="24"/>
          <w:szCs w:val="24"/>
        </w:rPr>
        <w:t>n</w:t>
      </w:r>
      <w:r w:rsidRPr="00A16DEB">
        <w:rPr>
          <w:sz w:val="24"/>
          <w:szCs w:val="24"/>
        </w:rPr>
        <w:t xml:space="preserve"> consultar los tabulados de resultados del índice (por agregados geográficos, clasificadores</w:t>
      </w:r>
      <w:r>
        <w:rPr>
          <w:sz w:val="24"/>
          <w:szCs w:val="24"/>
        </w:rPr>
        <w:t>, etc.)</w:t>
      </w:r>
      <w:r w:rsidRPr="00A16DEB">
        <w:rPr>
          <w:sz w:val="24"/>
          <w:szCs w:val="24"/>
        </w:rPr>
        <w:t>, series históricas, precios promedio y las herramientas de análisis del indicador.</w:t>
      </w:r>
    </w:p>
    <w:p w14:paraId="17EB9832" w14:textId="77777777" w:rsidR="00C35BD7" w:rsidRPr="00472632" w:rsidRDefault="00C35BD7" w:rsidP="00C35BD7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443A7601" w14:textId="77777777" w:rsidR="00C35BD7" w:rsidRPr="00A71198" w:rsidRDefault="00C35BD7" w:rsidP="00C35BD7">
      <w:pPr>
        <w:pStyle w:val="Texto"/>
        <w:keepNext/>
        <w:keepLines/>
        <w:autoSpaceDE w:val="0"/>
        <w:autoSpaceDN w:val="0"/>
        <w:adjustRightInd w:val="0"/>
        <w:spacing w:after="0" w:line="240" w:lineRule="auto"/>
        <w:ind w:firstLine="0"/>
        <w:jc w:val="center"/>
        <w:rPr>
          <w:sz w:val="24"/>
          <w:szCs w:val="24"/>
        </w:rPr>
      </w:pPr>
      <w:r>
        <w:rPr>
          <w:noProof/>
          <w:lang w:val="es-MX" w:eastAsia="es-MX"/>
        </w:rPr>
        <w:drawing>
          <wp:inline distT="0" distB="0" distL="0" distR="0" wp14:anchorId="3387E65E" wp14:editId="1ACEBA76">
            <wp:extent cx="3621600" cy="1688400"/>
            <wp:effectExtent l="0" t="0" r="0" b="7620"/>
            <wp:doc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/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600" cy="168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35BD7" w:rsidRPr="00A71198" w:rsidSect="008F50B1">
      <w:headerReference w:type="default" r:id="rId34"/>
      <w:type w:val="continuous"/>
      <w:pgSz w:w="12242" w:h="15842" w:code="119"/>
      <w:pgMar w:top="1134" w:right="1134" w:bottom="1134" w:left="1134" w:header="680" w:footer="680" w:gutter="0"/>
      <w:paperSrc w:first="15" w:other="15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A0045" w14:textId="77777777" w:rsidR="001A2D83" w:rsidRDefault="001A2D83">
      <w:r>
        <w:separator/>
      </w:r>
    </w:p>
  </w:endnote>
  <w:endnote w:type="continuationSeparator" w:id="0">
    <w:p w14:paraId="01577518" w14:textId="77777777" w:rsidR="001A2D83" w:rsidRDefault="001A2D83">
      <w:r>
        <w:continuationSeparator/>
      </w:r>
    </w:p>
  </w:endnote>
  <w:endnote w:type="continuationNotice" w:id="1">
    <w:p w14:paraId="434000C3" w14:textId="77777777" w:rsidR="001A2D83" w:rsidRDefault="001A2D8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63381" w14:textId="77777777" w:rsidR="00180D52" w:rsidRDefault="00180D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B6626" w14:textId="77777777" w:rsidR="003B5757" w:rsidRPr="00180D52" w:rsidRDefault="003B5757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180D52">
      <w:rPr>
        <w:b/>
        <w:color w:val="002060"/>
        <w:sz w:val="20"/>
        <w:szCs w:val="20"/>
        <w:lang w:val="es-MX"/>
      </w:rPr>
      <w:t>COMUNICACIÓN SOCIAL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357" w14:textId="77777777" w:rsidR="00180D52" w:rsidRDefault="00180D5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06026" w14:textId="77777777" w:rsidR="001A2D83" w:rsidRDefault="001A2D83">
      <w:r>
        <w:separator/>
      </w:r>
    </w:p>
  </w:footnote>
  <w:footnote w:type="continuationSeparator" w:id="0">
    <w:p w14:paraId="1C49D662" w14:textId="77777777" w:rsidR="001A2D83" w:rsidRDefault="001A2D83">
      <w:r>
        <w:continuationSeparator/>
      </w:r>
    </w:p>
  </w:footnote>
  <w:footnote w:type="continuationNotice" w:id="1">
    <w:p w14:paraId="6C0FBB5E" w14:textId="77777777" w:rsidR="001A2D83" w:rsidRDefault="001A2D83"/>
  </w:footnote>
  <w:footnote w:id="2">
    <w:p w14:paraId="6BB8E9CB" w14:textId="724A5346" w:rsidR="007C6471" w:rsidRPr="000C372F" w:rsidRDefault="007C6471" w:rsidP="007C6471">
      <w:pPr>
        <w:pStyle w:val="Textonotapie"/>
        <w:ind w:left="170" w:hanging="170"/>
        <w:rPr>
          <w:lang w:val="es-MX"/>
        </w:rPr>
      </w:pPr>
      <w:r w:rsidRPr="00E671DE">
        <w:rPr>
          <w:rStyle w:val="Refdenotaalpie"/>
          <w:sz w:val="18"/>
        </w:rPr>
        <w:footnoteRef/>
      </w:r>
      <w:r>
        <w:tab/>
      </w:r>
      <w:r w:rsidRPr="00866182">
        <w:rPr>
          <w:color w:val="000000" w:themeColor="text1"/>
          <w:sz w:val="16"/>
          <w:szCs w:val="16"/>
        </w:rPr>
        <w:t>La inflación subyacente se obtiene eliminando</w:t>
      </w:r>
      <w:r w:rsidR="00EF6992">
        <w:rPr>
          <w:color w:val="000000" w:themeColor="text1"/>
          <w:sz w:val="16"/>
          <w:szCs w:val="16"/>
        </w:rPr>
        <w:t>,</w:t>
      </w:r>
      <w:r w:rsidRPr="00866182">
        <w:rPr>
          <w:color w:val="000000" w:themeColor="text1"/>
          <w:sz w:val="16"/>
          <w:szCs w:val="16"/>
        </w:rPr>
        <w:t xml:space="preserve"> del cálculo del</w:t>
      </w:r>
      <w:r w:rsidR="004B1BED" w:rsidRPr="004B1BED">
        <w:rPr>
          <w:color w:val="000000" w:themeColor="text1"/>
          <w:sz w:val="16"/>
          <w:szCs w:val="16"/>
        </w:rPr>
        <w:t xml:space="preserve"> </w:t>
      </w:r>
      <w:r w:rsidR="004B1BED">
        <w:rPr>
          <w:color w:val="000000" w:themeColor="text1"/>
          <w:sz w:val="16"/>
          <w:szCs w:val="16"/>
        </w:rPr>
        <w:t>Índice Nacional de Precios al Consumidor (</w:t>
      </w:r>
      <w:r w:rsidR="004B1BED" w:rsidRPr="00866182">
        <w:rPr>
          <w:color w:val="000000" w:themeColor="text1"/>
          <w:sz w:val="16"/>
          <w:szCs w:val="16"/>
        </w:rPr>
        <w:t>INPC</w:t>
      </w:r>
      <w:r w:rsidR="004B1BED">
        <w:rPr>
          <w:color w:val="000000" w:themeColor="text1"/>
          <w:sz w:val="16"/>
          <w:szCs w:val="16"/>
        </w:rPr>
        <w:t>)</w:t>
      </w:r>
      <w:r>
        <w:rPr>
          <w:color w:val="000000" w:themeColor="text1"/>
          <w:sz w:val="16"/>
          <w:szCs w:val="16"/>
        </w:rPr>
        <w:t>,</w:t>
      </w:r>
      <w:r w:rsidRPr="00866182">
        <w:rPr>
          <w:color w:val="000000" w:themeColor="text1"/>
          <w:sz w:val="16"/>
          <w:szCs w:val="16"/>
        </w:rPr>
        <w:t xml:space="preserve"> los bienes </w:t>
      </w:r>
      <w:r w:rsidRPr="00CA39BA">
        <w:rPr>
          <w:sz w:val="16"/>
          <w:szCs w:val="16"/>
        </w:rPr>
        <w:t>y servicios cuyos precios son más volátiles, o bien</w:t>
      </w:r>
      <w:r>
        <w:rPr>
          <w:sz w:val="16"/>
          <w:szCs w:val="16"/>
        </w:rPr>
        <w:t>,</w:t>
      </w:r>
      <w:r w:rsidRPr="00CA39BA">
        <w:rPr>
          <w:sz w:val="16"/>
          <w:szCs w:val="16"/>
        </w:rPr>
        <w:t xml:space="preserve"> que su proceso de determinación no responde a condiciones de mercado. Así, los grupos que se excluyen son agropecuarios</w:t>
      </w:r>
      <w:r>
        <w:rPr>
          <w:sz w:val="16"/>
          <w:szCs w:val="16"/>
        </w:rPr>
        <w:t xml:space="preserve">, </w:t>
      </w:r>
      <w:r w:rsidRPr="00CA39BA">
        <w:rPr>
          <w:sz w:val="16"/>
          <w:szCs w:val="16"/>
        </w:rPr>
        <w:t xml:space="preserve">energéticos y tarifas autorizadas por distintos </w:t>
      </w:r>
      <w:r>
        <w:rPr>
          <w:sz w:val="16"/>
          <w:szCs w:val="16"/>
        </w:rPr>
        <w:t>ó</w:t>
      </w:r>
      <w:r w:rsidRPr="00CA39BA">
        <w:rPr>
          <w:sz w:val="16"/>
          <w:szCs w:val="16"/>
        </w:rPr>
        <w:t>rdenes de gobierno.</w:t>
      </w:r>
    </w:p>
  </w:footnote>
  <w:footnote w:id="3">
    <w:p w14:paraId="3BBFE0F4" w14:textId="77777777" w:rsidR="00BD6157" w:rsidRPr="00CA39BA" w:rsidRDefault="00BD6157" w:rsidP="00BD6157">
      <w:pPr>
        <w:pStyle w:val="Textonotapie"/>
        <w:ind w:left="170" w:hanging="170"/>
        <w:rPr>
          <w:sz w:val="16"/>
          <w:szCs w:val="16"/>
          <w:lang w:val="es-MX"/>
        </w:rPr>
      </w:pPr>
      <w:r w:rsidRPr="00F7583A">
        <w:rPr>
          <w:rStyle w:val="Refdenotaalpie"/>
          <w:sz w:val="18"/>
          <w:szCs w:val="16"/>
        </w:rPr>
        <w:footnoteRef/>
      </w:r>
      <w:r w:rsidRPr="00F7583A">
        <w:rPr>
          <w:sz w:val="18"/>
          <w:szCs w:val="16"/>
        </w:rPr>
        <w:tab/>
      </w:r>
      <w:r w:rsidR="00C35BD7" w:rsidRPr="0031736D">
        <w:rPr>
          <w:sz w:val="16"/>
          <w:szCs w:val="16"/>
        </w:rPr>
        <w:t>OIT, FMI, OCDE, Eurostat, UNECE, Banco Mundial</w:t>
      </w:r>
      <w:r w:rsidR="00C35BD7">
        <w:rPr>
          <w:sz w:val="16"/>
          <w:szCs w:val="16"/>
        </w:rPr>
        <w:t>.</w:t>
      </w:r>
      <w:r w:rsidR="00C35BD7" w:rsidRPr="00C841B1">
        <w:rPr>
          <w:i/>
          <w:sz w:val="16"/>
          <w:szCs w:val="16"/>
        </w:rPr>
        <w:t xml:space="preserve"> Manual del Índice de Precios al Consumidor: Teoría y Práctica</w:t>
      </w:r>
      <w:r w:rsidR="00C35BD7">
        <w:rPr>
          <w:sz w:val="16"/>
          <w:szCs w:val="16"/>
        </w:rPr>
        <w:t xml:space="preserve">, </w:t>
      </w:r>
      <w:r w:rsidR="00C35BD7" w:rsidRPr="0031736D">
        <w:rPr>
          <w:sz w:val="16"/>
          <w:szCs w:val="16"/>
        </w:rPr>
        <w:t>p</w:t>
      </w:r>
      <w:r w:rsidR="00C35BD7">
        <w:rPr>
          <w:sz w:val="16"/>
          <w:szCs w:val="16"/>
        </w:rPr>
        <w:t>.</w:t>
      </w:r>
      <w:r w:rsidR="00C35BD7" w:rsidRPr="0031736D">
        <w:rPr>
          <w:sz w:val="16"/>
          <w:szCs w:val="16"/>
        </w:rPr>
        <w:t xml:space="preserve"> 26.</w:t>
      </w:r>
    </w:p>
  </w:footnote>
  <w:footnote w:id="4">
    <w:p w14:paraId="5E15357C" w14:textId="77777777" w:rsidR="00240C64" w:rsidRDefault="005963C5" w:rsidP="00240C64">
      <w:pPr>
        <w:pStyle w:val="Default"/>
        <w:ind w:left="142" w:hanging="142"/>
        <w:jc w:val="both"/>
        <w:rPr>
          <w:color w:val="auto"/>
          <w:sz w:val="16"/>
          <w:szCs w:val="16"/>
          <w:lang w:val="es-ES_tradnl" w:eastAsia="es-ES"/>
        </w:rPr>
      </w:pPr>
      <w:r w:rsidRPr="00166951">
        <w:rPr>
          <w:rStyle w:val="Refdenotaalpie"/>
          <w:sz w:val="18"/>
          <w:szCs w:val="16"/>
        </w:rPr>
        <w:footnoteRef/>
      </w:r>
      <w:r>
        <w:rPr>
          <w:color w:val="000000" w:themeColor="text1"/>
          <w:sz w:val="16"/>
          <w:szCs w:val="16"/>
        </w:rPr>
        <w:tab/>
      </w:r>
      <w:r w:rsidRPr="00B2207F">
        <w:rPr>
          <w:color w:val="auto"/>
          <w:sz w:val="16"/>
          <w:szCs w:val="16"/>
          <w:lang w:val="es-ES_tradnl" w:eastAsia="es-ES"/>
        </w:rPr>
        <w:t xml:space="preserve">El propósito de la Canasta de Consumo Mínimo (CCM) es dar seguimiento a las variaciones de los precios de 176 productos y servicios que la conforman, contenidos en las canastas alimentarias y no alimentarias del Consejo Nacional de Evaluación de la Política de Desarrollo Social (CONEVAL). El diseño de la CCM se elaboró conjuntamente entre el CONEVAL y el </w:t>
      </w:r>
      <w:r>
        <w:rPr>
          <w:color w:val="auto"/>
          <w:sz w:val="16"/>
          <w:szCs w:val="16"/>
          <w:lang w:val="es-ES_tradnl" w:eastAsia="es-ES"/>
        </w:rPr>
        <w:t xml:space="preserve">Instituto Nacional de Estadística y </w:t>
      </w:r>
      <w:r w:rsidR="00ED48D1">
        <w:rPr>
          <w:color w:val="auto"/>
          <w:sz w:val="16"/>
          <w:szCs w:val="16"/>
          <w:lang w:val="es-ES_tradnl" w:eastAsia="es-ES"/>
        </w:rPr>
        <w:t>G</w:t>
      </w:r>
      <w:r>
        <w:rPr>
          <w:color w:val="auto"/>
          <w:sz w:val="16"/>
          <w:szCs w:val="16"/>
          <w:lang w:val="es-ES_tradnl" w:eastAsia="es-ES"/>
        </w:rPr>
        <w:t>eografía (</w:t>
      </w:r>
      <w:r w:rsidRPr="00B2207F">
        <w:rPr>
          <w:color w:val="auto"/>
          <w:sz w:val="16"/>
          <w:szCs w:val="16"/>
          <w:lang w:val="es-ES_tradnl" w:eastAsia="es-ES"/>
        </w:rPr>
        <w:t>INEGI</w:t>
      </w:r>
      <w:r>
        <w:rPr>
          <w:color w:val="auto"/>
          <w:sz w:val="16"/>
          <w:szCs w:val="16"/>
          <w:lang w:val="es-ES_tradnl" w:eastAsia="es-ES"/>
        </w:rPr>
        <w:t>)</w:t>
      </w:r>
      <w:r w:rsidRPr="00B2207F">
        <w:rPr>
          <w:color w:val="auto"/>
          <w:sz w:val="16"/>
          <w:szCs w:val="16"/>
          <w:lang w:val="es-ES_tradnl" w:eastAsia="es-ES"/>
        </w:rPr>
        <w:t>.</w:t>
      </w:r>
      <w:r w:rsidR="00240C64">
        <w:rPr>
          <w:color w:val="auto"/>
          <w:sz w:val="16"/>
          <w:szCs w:val="16"/>
          <w:lang w:val="es-ES_tradnl" w:eastAsia="es-ES"/>
        </w:rPr>
        <w:t xml:space="preserve"> </w:t>
      </w:r>
      <w:r w:rsidRPr="00B2207F">
        <w:rPr>
          <w:color w:val="auto"/>
          <w:sz w:val="16"/>
          <w:szCs w:val="16"/>
          <w:lang w:val="es-ES_tradnl" w:eastAsia="es-ES"/>
        </w:rPr>
        <w:t>La metodología puede consultarse en:</w:t>
      </w:r>
    </w:p>
    <w:p w14:paraId="090821FA" w14:textId="3E407921" w:rsidR="005963C5" w:rsidRPr="00240C64" w:rsidRDefault="005963C5" w:rsidP="00240C64">
      <w:pPr>
        <w:pStyle w:val="Default"/>
        <w:ind w:left="142"/>
        <w:jc w:val="both"/>
        <w:rPr>
          <w:color w:val="auto"/>
          <w:sz w:val="16"/>
          <w:szCs w:val="16"/>
          <w:lang w:val="es-ES_tradnl" w:eastAsia="es-ES"/>
        </w:rPr>
      </w:pPr>
      <w:r w:rsidRPr="00885AB6">
        <w:rPr>
          <w:rStyle w:val="Hipervnculo"/>
          <w:sz w:val="16"/>
          <w:szCs w:val="16"/>
        </w:rPr>
        <w:t>https://www.inegi.org.mx/app/biblioteca/ficha.html?upc=702825196929</w:t>
      </w:r>
    </w:p>
  </w:footnote>
  <w:footnote w:id="5">
    <w:p w14:paraId="70C2E212" w14:textId="4C624C55" w:rsidR="00C35BD7" w:rsidRPr="009F57C6" w:rsidRDefault="00C35BD7" w:rsidP="00C35BD7">
      <w:pPr>
        <w:pStyle w:val="Textonotapie"/>
        <w:ind w:left="142" w:hanging="142"/>
        <w:rPr>
          <w:sz w:val="16"/>
          <w:szCs w:val="16"/>
        </w:rPr>
      </w:pPr>
      <w:r w:rsidRPr="003E6B73">
        <w:rPr>
          <w:rStyle w:val="Refdenotaalpie"/>
          <w:sz w:val="18"/>
          <w:szCs w:val="18"/>
        </w:rPr>
        <w:footnoteRef/>
      </w:r>
      <w:r w:rsidRPr="003E6B73">
        <w:rPr>
          <w:sz w:val="16"/>
          <w:szCs w:val="16"/>
        </w:rP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 xml:space="preserve">: </w:t>
      </w:r>
      <w:r w:rsidR="00AC188B">
        <w:rPr>
          <w:color w:val="000000"/>
          <w:sz w:val="16"/>
          <w:szCs w:val="16"/>
        </w:rPr>
        <w:t>c</w:t>
      </w:r>
      <w:r w:rsidRPr="006301B8">
        <w:rPr>
          <w:color w:val="000000"/>
          <w:sz w:val="16"/>
          <w:szCs w:val="16"/>
        </w:rPr>
        <w:t xml:space="preserve">onjunto de bienes y servicios de la canasta del INPC que </w:t>
      </w:r>
      <w:r>
        <w:rPr>
          <w:color w:val="000000"/>
          <w:sz w:val="16"/>
          <w:szCs w:val="16"/>
        </w:rPr>
        <w:t>tiene</w:t>
      </w:r>
      <w:r w:rsidRPr="006301B8">
        <w:rPr>
          <w:color w:val="000000"/>
          <w:sz w:val="16"/>
          <w:szCs w:val="16"/>
        </w:rPr>
        <w:t xml:space="preserve"> alto gr</w:t>
      </w:r>
      <w:r>
        <w:rPr>
          <w:color w:val="000000"/>
          <w:sz w:val="16"/>
          <w:szCs w:val="16"/>
        </w:rPr>
        <w:t xml:space="preserve">ado de homogeneidad. Se compone </w:t>
      </w:r>
      <w:r w:rsidRPr="006301B8">
        <w:rPr>
          <w:color w:val="000000"/>
          <w:sz w:val="16"/>
          <w:szCs w:val="16"/>
        </w:rPr>
        <w:t>de productos específicos o variedades con características similares.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AD709" w14:textId="77777777" w:rsidR="00180D52" w:rsidRDefault="00180D5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CCA22" w14:textId="58A1EEF3" w:rsidR="008F50B1" w:rsidRPr="00306ECD" w:rsidRDefault="008F50B1" w:rsidP="008F50B1">
    <w:pPr>
      <w:pStyle w:val="Encabezado"/>
      <w:framePr w:w="5068" w:hSpace="141" w:wrap="auto" w:vAnchor="text" w:hAnchor="page" w:x="5770" w:y="131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153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19432A02" w14:textId="68BE811E" w:rsidR="008F50B1" w:rsidRPr="00306ECD" w:rsidRDefault="008F50B1" w:rsidP="008F50B1">
    <w:pPr>
      <w:pStyle w:val="Encabezado"/>
      <w:framePr w:w="5068" w:hSpace="141" w:wrap="auto" w:vAnchor="text" w:hAnchor="page" w:x="5770" w:y="131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9 </w:t>
    </w:r>
    <w:r w:rsidRPr="00306ECD">
      <w:rPr>
        <w:b/>
        <w:color w:val="002060"/>
        <w:lang w:val="pt-BR"/>
      </w:rPr>
      <w:t xml:space="preserve">DE </w:t>
    </w:r>
    <w:r>
      <w:rPr>
        <w:b/>
        <w:color w:val="002060"/>
        <w:lang w:val="pt-BR"/>
      </w:rPr>
      <w:t xml:space="preserve">MARZO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3</w:t>
    </w:r>
  </w:p>
  <w:p w14:paraId="40AF5649" w14:textId="77777777" w:rsidR="008F50B1" w:rsidRPr="00306ECD" w:rsidRDefault="008F50B1" w:rsidP="008F50B1">
    <w:pPr>
      <w:pStyle w:val="Encabezado"/>
      <w:framePr w:w="5068" w:hSpace="141" w:wrap="auto" w:vAnchor="text" w:hAnchor="page" w:x="5770" w:y="131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10</w:t>
    </w:r>
  </w:p>
  <w:p w14:paraId="4CD4589A" w14:textId="7C5BDEAB" w:rsidR="003B5757" w:rsidRDefault="00AD3792" w:rsidP="00370219">
    <w:pPr>
      <w:pStyle w:val="Encabezado"/>
    </w:pPr>
    <w:r>
      <w:rPr>
        <w:noProof/>
        <w:lang w:val="es-MX" w:eastAsia="es-MX"/>
      </w:rPr>
      <w:drawing>
        <wp:inline distT="0" distB="0" distL="0" distR="0" wp14:anchorId="75CCA9C5" wp14:editId="17228BA8">
          <wp:extent cx="828000" cy="860094"/>
          <wp:effectExtent l="0" t="0" r="0" b="0"/>
          <wp:docPr id="40" name="Imagen 40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600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BFC16" w14:textId="77777777" w:rsidR="00180D52" w:rsidRDefault="00180D52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EF406" w14:textId="0306CC8D" w:rsidR="008F50B1" w:rsidRDefault="008F50B1" w:rsidP="00370219">
    <w:pPr>
      <w:pStyle w:val="Encabezado"/>
    </w:pPr>
    <w:r>
      <w:t xml:space="preserve">                                                                    </w:t>
    </w:r>
    <w:r>
      <w:rPr>
        <w:noProof/>
        <w:lang w:val="es-MX" w:eastAsia="es-MX"/>
      </w:rPr>
      <w:drawing>
        <wp:inline distT="0" distB="0" distL="0" distR="0" wp14:anchorId="4E348AFB" wp14:editId="50C4A250">
          <wp:extent cx="828000" cy="860094"/>
          <wp:effectExtent l="0" t="0" r="0" b="0"/>
          <wp:docPr id="10" name="Imagen 10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600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485EB678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4F55323"/>
    <w:multiLevelType w:val="hybridMultilevel"/>
    <w:tmpl w:val="35161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9174B"/>
    <w:multiLevelType w:val="hybridMultilevel"/>
    <w:tmpl w:val="7222F2BC"/>
    <w:lvl w:ilvl="0" w:tplc="080A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4" w15:restartNumberingAfterBreak="0">
    <w:nsid w:val="0D3B3A02"/>
    <w:multiLevelType w:val="hybridMultilevel"/>
    <w:tmpl w:val="3A98405A"/>
    <w:lvl w:ilvl="0" w:tplc="08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411427"/>
    <w:multiLevelType w:val="hybridMultilevel"/>
    <w:tmpl w:val="C592E7E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2A4E2829"/>
    <w:multiLevelType w:val="hybridMultilevel"/>
    <w:tmpl w:val="E228D7F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2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2D2F3108"/>
    <w:multiLevelType w:val="hybridMultilevel"/>
    <w:tmpl w:val="5E147986"/>
    <w:lvl w:ilvl="0" w:tplc="080A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4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357E6A2F"/>
    <w:multiLevelType w:val="hybridMultilevel"/>
    <w:tmpl w:val="B33457E8"/>
    <w:lvl w:ilvl="0" w:tplc="D5303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3D245632"/>
    <w:multiLevelType w:val="hybridMultilevel"/>
    <w:tmpl w:val="8AB6029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45440849"/>
    <w:multiLevelType w:val="hybridMultilevel"/>
    <w:tmpl w:val="EF80BC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F774B52"/>
    <w:multiLevelType w:val="hybridMultilevel"/>
    <w:tmpl w:val="8B3AA0F4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157EE5"/>
    <w:multiLevelType w:val="hybridMultilevel"/>
    <w:tmpl w:val="DF3E1292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6" w15:restartNumberingAfterBreak="0">
    <w:nsid w:val="65082A59"/>
    <w:multiLevelType w:val="hybridMultilevel"/>
    <w:tmpl w:val="C34EFAD0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7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8" w15:restartNumberingAfterBreak="0">
    <w:nsid w:val="6A533000"/>
    <w:multiLevelType w:val="hybridMultilevel"/>
    <w:tmpl w:val="733E7F5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9" w15:restartNumberingAfterBreak="0">
    <w:nsid w:val="6FE45C99"/>
    <w:multiLevelType w:val="hybridMultilevel"/>
    <w:tmpl w:val="52CA62F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31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2084377284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140286923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365570017">
    <w:abstractNumId w:val="7"/>
  </w:num>
  <w:num w:numId="4" w16cid:durableId="1092238191">
    <w:abstractNumId w:val="10"/>
  </w:num>
  <w:num w:numId="5" w16cid:durableId="1517883972">
    <w:abstractNumId w:val="14"/>
  </w:num>
  <w:num w:numId="6" w16cid:durableId="1924561200">
    <w:abstractNumId w:val="5"/>
  </w:num>
  <w:num w:numId="7" w16cid:durableId="1206865972">
    <w:abstractNumId w:val="8"/>
  </w:num>
  <w:num w:numId="8" w16cid:durableId="1330716564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2052074936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92248909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1629819632">
    <w:abstractNumId w:val="27"/>
  </w:num>
  <w:num w:numId="12" w16cid:durableId="844514674">
    <w:abstractNumId w:val="30"/>
  </w:num>
  <w:num w:numId="13" w16cid:durableId="183373757">
    <w:abstractNumId w:val="31"/>
  </w:num>
  <w:num w:numId="14" w16cid:durableId="613055001">
    <w:abstractNumId w:val="19"/>
  </w:num>
  <w:num w:numId="15" w16cid:durableId="1099761624">
    <w:abstractNumId w:val="15"/>
  </w:num>
  <w:num w:numId="16" w16cid:durableId="1089697789">
    <w:abstractNumId w:val="23"/>
  </w:num>
  <w:num w:numId="17" w16cid:durableId="724835376">
    <w:abstractNumId w:val="17"/>
  </w:num>
  <w:num w:numId="18" w16cid:durableId="1413500992">
    <w:abstractNumId w:val="21"/>
  </w:num>
  <w:num w:numId="19" w16cid:durableId="358817899">
    <w:abstractNumId w:val="9"/>
  </w:num>
  <w:num w:numId="20" w16cid:durableId="953974747">
    <w:abstractNumId w:val="0"/>
  </w:num>
  <w:num w:numId="21" w16cid:durableId="284432661">
    <w:abstractNumId w:val="3"/>
  </w:num>
  <w:num w:numId="22" w16cid:durableId="281229784">
    <w:abstractNumId w:val="8"/>
  </w:num>
  <w:num w:numId="23" w16cid:durableId="1879195631">
    <w:abstractNumId w:val="12"/>
  </w:num>
  <w:num w:numId="24" w16cid:durableId="326788700">
    <w:abstractNumId w:val="29"/>
  </w:num>
  <w:num w:numId="25" w16cid:durableId="2057118711">
    <w:abstractNumId w:val="22"/>
  </w:num>
  <w:num w:numId="26" w16cid:durableId="1917670025">
    <w:abstractNumId w:val="4"/>
  </w:num>
  <w:num w:numId="27" w16cid:durableId="2101216521">
    <w:abstractNumId w:val="16"/>
  </w:num>
  <w:num w:numId="28" w16cid:durableId="845560651">
    <w:abstractNumId w:val="13"/>
  </w:num>
  <w:num w:numId="29" w16cid:durableId="1763449000">
    <w:abstractNumId w:val="11"/>
  </w:num>
  <w:num w:numId="30" w16cid:durableId="565381382">
    <w:abstractNumId w:val="2"/>
  </w:num>
  <w:num w:numId="31" w16cid:durableId="523448333">
    <w:abstractNumId w:val="25"/>
  </w:num>
  <w:num w:numId="32" w16cid:durableId="1026443946">
    <w:abstractNumId w:val="20"/>
  </w:num>
  <w:num w:numId="33" w16cid:durableId="1532183503">
    <w:abstractNumId w:val="24"/>
  </w:num>
  <w:num w:numId="34" w16cid:durableId="1043212326">
    <w:abstractNumId w:val="18"/>
  </w:num>
  <w:num w:numId="35" w16cid:durableId="1723944866">
    <w:abstractNumId w:val="28"/>
  </w:num>
  <w:num w:numId="36" w16cid:durableId="1778719803">
    <w:abstractNumId w:val="6"/>
  </w:num>
  <w:num w:numId="37" w16cid:durableId="68586189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activeWritingStyle w:appName="MSWord" w:lang="es-MX" w:vendorID="64" w:dllVersion="0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78E"/>
    <w:rsid w:val="0000043F"/>
    <w:rsid w:val="00000BEA"/>
    <w:rsid w:val="00000E38"/>
    <w:rsid w:val="00001000"/>
    <w:rsid w:val="000011D7"/>
    <w:rsid w:val="0000180F"/>
    <w:rsid w:val="00002466"/>
    <w:rsid w:val="00002665"/>
    <w:rsid w:val="000027BD"/>
    <w:rsid w:val="00002B26"/>
    <w:rsid w:val="00003C25"/>
    <w:rsid w:val="00003C68"/>
    <w:rsid w:val="00004291"/>
    <w:rsid w:val="0000458A"/>
    <w:rsid w:val="00004AAE"/>
    <w:rsid w:val="000050C6"/>
    <w:rsid w:val="00005940"/>
    <w:rsid w:val="0000605D"/>
    <w:rsid w:val="000063CC"/>
    <w:rsid w:val="00006659"/>
    <w:rsid w:val="00006B5A"/>
    <w:rsid w:val="0000771B"/>
    <w:rsid w:val="000078B1"/>
    <w:rsid w:val="00007921"/>
    <w:rsid w:val="00007981"/>
    <w:rsid w:val="00007A1A"/>
    <w:rsid w:val="000102E0"/>
    <w:rsid w:val="00010635"/>
    <w:rsid w:val="00010A59"/>
    <w:rsid w:val="000110FE"/>
    <w:rsid w:val="000112A7"/>
    <w:rsid w:val="0001151F"/>
    <w:rsid w:val="00011840"/>
    <w:rsid w:val="00011AC0"/>
    <w:rsid w:val="00011BD3"/>
    <w:rsid w:val="00012278"/>
    <w:rsid w:val="000124BB"/>
    <w:rsid w:val="00012A27"/>
    <w:rsid w:val="00012E16"/>
    <w:rsid w:val="0001302A"/>
    <w:rsid w:val="000132A4"/>
    <w:rsid w:val="00013319"/>
    <w:rsid w:val="00013441"/>
    <w:rsid w:val="00013E55"/>
    <w:rsid w:val="00014418"/>
    <w:rsid w:val="0001447E"/>
    <w:rsid w:val="000144ED"/>
    <w:rsid w:val="00014FBD"/>
    <w:rsid w:val="000151C1"/>
    <w:rsid w:val="00015302"/>
    <w:rsid w:val="00016590"/>
    <w:rsid w:val="000165EA"/>
    <w:rsid w:val="00016B4E"/>
    <w:rsid w:val="00016D3A"/>
    <w:rsid w:val="0001718D"/>
    <w:rsid w:val="000176AC"/>
    <w:rsid w:val="00020CF1"/>
    <w:rsid w:val="00021432"/>
    <w:rsid w:val="00021492"/>
    <w:rsid w:val="000216A3"/>
    <w:rsid w:val="00021D46"/>
    <w:rsid w:val="000228C4"/>
    <w:rsid w:val="00022CA3"/>
    <w:rsid w:val="0002323C"/>
    <w:rsid w:val="00023685"/>
    <w:rsid w:val="00023A01"/>
    <w:rsid w:val="000260EE"/>
    <w:rsid w:val="00026B3C"/>
    <w:rsid w:val="00026B52"/>
    <w:rsid w:val="00030480"/>
    <w:rsid w:val="0003065F"/>
    <w:rsid w:val="00030D10"/>
    <w:rsid w:val="00031231"/>
    <w:rsid w:val="000314D3"/>
    <w:rsid w:val="00031BCF"/>
    <w:rsid w:val="00031CB0"/>
    <w:rsid w:val="00032B16"/>
    <w:rsid w:val="00032E8F"/>
    <w:rsid w:val="00033603"/>
    <w:rsid w:val="00033681"/>
    <w:rsid w:val="00033A14"/>
    <w:rsid w:val="00033AD7"/>
    <w:rsid w:val="0003447A"/>
    <w:rsid w:val="00034BC3"/>
    <w:rsid w:val="000350A7"/>
    <w:rsid w:val="000353F3"/>
    <w:rsid w:val="00035600"/>
    <w:rsid w:val="000356E8"/>
    <w:rsid w:val="00035B2D"/>
    <w:rsid w:val="00035DA7"/>
    <w:rsid w:val="000361EF"/>
    <w:rsid w:val="00036D72"/>
    <w:rsid w:val="00037089"/>
    <w:rsid w:val="00037177"/>
    <w:rsid w:val="000374FA"/>
    <w:rsid w:val="00037CC4"/>
    <w:rsid w:val="000402AD"/>
    <w:rsid w:val="0004066E"/>
    <w:rsid w:val="00040F75"/>
    <w:rsid w:val="00041FF7"/>
    <w:rsid w:val="00042036"/>
    <w:rsid w:val="0004225C"/>
    <w:rsid w:val="0004278E"/>
    <w:rsid w:val="00043535"/>
    <w:rsid w:val="00043B32"/>
    <w:rsid w:val="00043E2B"/>
    <w:rsid w:val="00044268"/>
    <w:rsid w:val="00044296"/>
    <w:rsid w:val="00044699"/>
    <w:rsid w:val="00044700"/>
    <w:rsid w:val="00044C5E"/>
    <w:rsid w:val="0004548F"/>
    <w:rsid w:val="0004596A"/>
    <w:rsid w:val="00045AF1"/>
    <w:rsid w:val="00045E9B"/>
    <w:rsid w:val="00045F3A"/>
    <w:rsid w:val="00046139"/>
    <w:rsid w:val="000461A9"/>
    <w:rsid w:val="000465BF"/>
    <w:rsid w:val="00046822"/>
    <w:rsid w:val="00046AB6"/>
    <w:rsid w:val="00046D06"/>
    <w:rsid w:val="000471CD"/>
    <w:rsid w:val="0004735D"/>
    <w:rsid w:val="0004777C"/>
    <w:rsid w:val="00047D99"/>
    <w:rsid w:val="00047DA7"/>
    <w:rsid w:val="000501E0"/>
    <w:rsid w:val="00050934"/>
    <w:rsid w:val="00050FB5"/>
    <w:rsid w:val="000513F0"/>
    <w:rsid w:val="00051C72"/>
    <w:rsid w:val="00051D1C"/>
    <w:rsid w:val="00051D9E"/>
    <w:rsid w:val="0005292A"/>
    <w:rsid w:val="00052F04"/>
    <w:rsid w:val="00052F1E"/>
    <w:rsid w:val="000536D2"/>
    <w:rsid w:val="00053B2C"/>
    <w:rsid w:val="00053E08"/>
    <w:rsid w:val="00053EB7"/>
    <w:rsid w:val="00054674"/>
    <w:rsid w:val="00054A4F"/>
    <w:rsid w:val="00054F88"/>
    <w:rsid w:val="00055047"/>
    <w:rsid w:val="00055B54"/>
    <w:rsid w:val="00056F51"/>
    <w:rsid w:val="000573F5"/>
    <w:rsid w:val="00057F37"/>
    <w:rsid w:val="000602B0"/>
    <w:rsid w:val="0006056C"/>
    <w:rsid w:val="000621E0"/>
    <w:rsid w:val="0006228A"/>
    <w:rsid w:val="00063614"/>
    <w:rsid w:val="00063838"/>
    <w:rsid w:val="0006433F"/>
    <w:rsid w:val="000646BA"/>
    <w:rsid w:val="00064718"/>
    <w:rsid w:val="00064BBC"/>
    <w:rsid w:val="00064E9D"/>
    <w:rsid w:val="00064FDB"/>
    <w:rsid w:val="00065106"/>
    <w:rsid w:val="000651F1"/>
    <w:rsid w:val="00065358"/>
    <w:rsid w:val="00065708"/>
    <w:rsid w:val="00065A07"/>
    <w:rsid w:val="00065BC1"/>
    <w:rsid w:val="00066394"/>
    <w:rsid w:val="00066638"/>
    <w:rsid w:val="00066EA7"/>
    <w:rsid w:val="00066FA4"/>
    <w:rsid w:val="0007012A"/>
    <w:rsid w:val="0007017F"/>
    <w:rsid w:val="00070431"/>
    <w:rsid w:val="000707FF"/>
    <w:rsid w:val="00070864"/>
    <w:rsid w:val="0007145A"/>
    <w:rsid w:val="00071F33"/>
    <w:rsid w:val="000725AC"/>
    <w:rsid w:val="00072B18"/>
    <w:rsid w:val="000730F3"/>
    <w:rsid w:val="00073491"/>
    <w:rsid w:val="000739D2"/>
    <w:rsid w:val="00073EF4"/>
    <w:rsid w:val="000749E4"/>
    <w:rsid w:val="00075097"/>
    <w:rsid w:val="000753EC"/>
    <w:rsid w:val="0007567F"/>
    <w:rsid w:val="00075B3A"/>
    <w:rsid w:val="00075DEC"/>
    <w:rsid w:val="00076234"/>
    <w:rsid w:val="000767F7"/>
    <w:rsid w:val="00076982"/>
    <w:rsid w:val="00076C65"/>
    <w:rsid w:val="00076EE9"/>
    <w:rsid w:val="0007756D"/>
    <w:rsid w:val="00077C46"/>
    <w:rsid w:val="00077FCE"/>
    <w:rsid w:val="0008027F"/>
    <w:rsid w:val="0008064B"/>
    <w:rsid w:val="0008084D"/>
    <w:rsid w:val="0008086E"/>
    <w:rsid w:val="00081034"/>
    <w:rsid w:val="000814ED"/>
    <w:rsid w:val="0008175A"/>
    <w:rsid w:val="0008195B"/>
    <w:rsid w:val="00081E62"/>
    <w:rsid w:val="00082623"/>
    <w:rsid w:val="000826F7"/>
    <w:rsid w:val="00082F11"/>
    <w:rsid w:val="0008325D"/>
    <w:rsid w:val="000834DD"/>
    <w:rsid w:val="000844D1"/>
    <w:rsid w:val="00084687"/>
    <w:rsid w:val="00084956"/>
    <w:rsid w:val="00084A57"/>
    <w:rsid w:val="00084BED"/>
    <w:rsid w:val="00084EDB"/>
    <w:rsid w:val="00084FF2"/>
    <w:rsid w:val="00085229"/>
    <w:rsid w:val="0008524D"/>
    <w:rsid w:val="000856E9"/>
    <w:rsid w:val="00086295"/>
    <w:rsid w:val="0008756B"/>
    <w:rsid w:val="00087DB7"/>
    <w:rsid w:val="0009025D"/>
    <w:rsid w:val="00090B9C"/>
    <w:rsid w:val="00090C93"/>
    <w:rsid w:val="00090D7B"/>
    <w:rsid w:val="00091313"/>
    <w:rsid w:val="00091474"/>
    <w:rsid w:val="000915F7"/>
    <w:rsid w:val="00091663"/>
    <w:rsid w:val="0009174C"/>
    <w:rsid w:val="00091BD5"/>
    <w:rsid w:val="00092764"/>
    <w:rsid w:val="0009292F"/>
    <w:rsid w:val="00092C6C"/>
    <w:rsid w:val="00092F4C"/>
    <w:rsid w:val="0009425D"/>
    <w:rsid w:val="00094496"/>
    <w:rsid w:val="000950E7"/>
    <w:rsid w:val="00095103"/>
    <w:rsid w:val="00095360"/>
    <w:rsid w:val="000955AA"/>
    <w:rsid w:val="000957BC"/>
    <w:rsid w:val="00095D92"/>
    <w:rsid w:val="0009618D"/>
    <w:rsid w:val="00096737"/>
    <w:rsid w:val="0009675B"/>
    <w:rsid w:val="00097C0A"/>
    <w:rsid w:val="00097CF2"/>
    <w:rsid w:val="000A0344"/>
    <w:rsid w:val="000A0823"/>
    <w:rsid w:val="000A08B4"/>
    <w:rsid w:val="000A21D6"/>
    <w:rsid w:val="000A2F4F"/>
    <w:rsid w:val="000A31EF"/>
    <w:rsid w:val="000A3228"/>
    <w:rsid w:val="000A3354"/>
    <w:rsid w:val="000A372C"/>
    <w:rsid w:val="000A3733"/>
    <w:rsid w:val="000A3BE6"/>
    <w:rsid w:val="000A416E"/>
    <w:rsid w:val="000A43B0"/>
    <w:rsid w:val="000A53E6"/>
    <w:rsid w:val="000A574B"/>
    <w:rsid w:val="000A5B04"/>
    <w:rsid w:val="000A5E2A"/>
    <w:rsid w:val="000A643B"/>
    <w:rsid w:val="000A6BE3"/>
    <w:rsid w:val="000A707A"/>
    <w:rsid w:val="000A78BA"/>
    <w:rsid w:val="000B0710"/>
    <w:rsid w:val="000B0B76"/>
    <w:rsid w:val="000B141E"/>
    <w:rsid w:val="000B1C11"/>
    <w:rsid w:val="000B1D13"/>
    <w:rsid w:val="000B29B8"/>
    <w:rsid w:val="000B2A27"/>
    <w:rsid w:val="000B2F04"/>
    <w:rsid w:val="000B3B73"/>
    <w:rsid w:val="000B4A6A"/>
    <w:rsid w:val="000B50FB"/>
    <w:rsid w:val="000B515D"/>
    <w:rsid w:val="000B538C"/>
    <w:rsid w:val="000B5A74"/>
    <w:rsid w:val="000B5FA3"/>
    <w:rsid w:val="000B697B"/>
    <w:rsid w:val="000B6AF6"/>
    <w:rsid w:val="000B6B22"/>
    <w:rsid w:val="000C0403"/>
    <w:rsid w:val="000C0AF0"/>
    <w:rsid w:val="000C1051"/>
    <w:rsid w:val="000C13C9"/>
    <w:rsid w:val="000C199E"/>
    <w:rsid w:val="000C1F04"/>
    <w:rsid w:val="000C26A5"/>
    <w:rsid w:val="000C2892"/>
    <w:rsid w:val="000C2B3C"/>
    <w:rsid w:val="000C30D7"/>
    <w:rsid w:val="000C3105"/>
    <w:rsid w:val="000C34DD"/>
    <w:rsid w:val="000C372F"/>
    <w:rsid w:val="000C37BC"/>
    <w:rsid w:val="000C394B"/>
    <w:rsid w:val="000C47FF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C7C88"/>
    <w:rsid w:val="000D06FA"/>
    <w:rsid w:val="000D0DDA"/>
    <w:rsid w:val="000D0ED5"/>
    <w:rsid w:val="000D113E"/>
    <w:rsid w:val="000D1169"/>
    <w:rsid w:val="000D15C5"/>
    <w:rsid w:val="000D28A5"/>
    <w:rsid w:val="000D2C1C"/>
    <w:rsid w:val="000D3167"/>
    <w:rsid w:val="000D31C1"/>
    <w:rsid w:val="000D36B2"/>
    <w:rsid w:val="000D38ED"/>
    <w:rsid w:val="000D39FD"/>
    <w:rsid w:val="000D3B51"/>
    <w:rsid w:val="000D3CD1"/>
    <w:rsid w:val="000D45D4"/>
    <w:rsid w:val="000D4773"/>
    <w:rsid w:val="000D480C"/>
    <w:rsid w:val="000D4833"/>
    <w:rsid w:val="000D49D2"/>
    <w:rsid w:val="000D4A88"/>
    <w:rsid w:val="000D4BBC"/>
    <w:rsid w:val="000D4D90"/>
    <w:rsid w:val="000D4E26"/>
    <w:rsid w:val="000D5176"/>
    <w:rsid w:val="000D5E76"/>
    <w:rsid w:val="000D5EDB"/>
    <w:rsid w:val="000D632A"/>
    <w:rsid w:val="000D64C6"/>
    <w:rsid w:val="000D6C0F"/>
    <w:rsid w:val="000D6F1E"/>
    <w:rsid w:val="000D7A95"/>
    <w:rsid w:val="000D7BBD"/>
    <w:rsid w:val="000E03C0"/>
    <w:rsid w:val="000E0654"/>
    <w:rsid w:val="000E075F"/>
    <w:rsid w:val="000E19B3"/>
    <w:rsid w:val="000E2970"/>
    <w:rsid w:val="000E2A06"/>
    <w:rsid w:val="000E30C2"/>
    <w:rsid w:val="000E3505"/>
    <w:rsid w:val="000E3CC1"/>
    <w:rsid w:val="000E44B1"/>
    <w:rsid w:val="000E5331"/>
    <w:rsid w:val="000E5526"/>
    <w:rsid w:val="000E5D6B"/>
    <w:rsid w:val="000E5FE0"/>
    <w:rsid w:val="000E6549"/>
    <w:rsid w:val="000E6D5D"/>
    <w:rsid w:val="000E730C"/>
    <w:rsid w:val="000E7BDC"/>
    <w:rsid w:val="000F03F8"/>
    <w:rsid w:val="000F05D5"/>
    <w:rsid w:val="000F07C1"/>
    <w:rsid w:val="000F1DEB"/>
    <w:rsid w:val="000F32B1"/>
    <w:rsid w:val="000F3491"/>
    <w:rsid w:val="000F3DE6"/>
    <w:rsid w:val="000F44E7"/>
    <w:rsid w:val="000F49F1"/>
    <w:rsid w:val="000F4C41"/>
    <w:rsid w:val="000F4FA7"/>
    <w:rsid w:val="000F536A"/>
    <w:rsid w:val="000F541D"/>
    <w:rsid w:val="000F5AD1"/>
    <w:rsid w:val="000F616F"/>
    <w:rsid w:val="000F630B"/>
    <w:rsid w:val="000F69FA"/>
    <w:rsid w:val="000F6F3B"/>
    <w:rsid w:val="000F7577"/>
    <w:rsid w:val="000F7974"/>
    <w:rsid w:val="000F7ECD"/>
    <w:rsid w:val="000F7FB5"/>
    <w:rsid w:val="00100317"/>
    <w:rsid w:val="00100A8D"/>
    <w:rsid w:val="001011EC"/>
    <w:rsid w:val="00101546"/>
    <w:rsid w:val="001017C1"/>
    <w:rsid w:val="00101E92"/>
    <w:rsid w:val="00101F40"/>
    <w:rsid w:val="00102532"/>
    <w:rsid w:val="00103847"/>
    <w:rsid w:val="00103913"/>
    <w:rsid w:val="0010466B"/>
    <w:rsid w:val="0010490A"/>
    <w:rsid w:val="00105234"/>
    <w:rsid w:val="00105E2B"/>
    <w:rsid w:val="0010619C"/>
    <w:rsid w:val="0010664D"/>
    <w:rsid w:val="00106D09"/>
    <w:rsid w:val="00110510"/>
    <w:rsid w:val="0011076D"/>
    <w:rsid w:val="00110DB1"/>
    <w:rsid w:val="00110DF0"/>
    <w:rsid w:val="00110DF8"/>
    <w:rsid w:val="001114D0"/>
    <w:rsid w:val="00111703"/>
    <w:rsid w:val="00111AA3"/>
    <w:rsid w:val="00111F29"/>
    <w:rsid w:val="00113117"/>
    <w:rsid w:val="0011315C"/>
    <w:rsid w:val="00113348"/>
    <w:rsid w:val="00113404"/>
    <w:rsid w:val="001134B4"/>
    <w:rsid w:val="00113DE8"/>
    <w:rsid w:val="00114195"/>
    <w:rsid w:val="0011424C"/>
    <w:rsid w:val="0011478A"/>
    <w:rsid w:val="00114B56"/>
    <w:rsid w:val="00114B96"/>
    <w:rsid w:val="00114C30"/>
    <w:rsid w:val="00114E47"/>
    <w:rsid w:val="001159B7"/>
    <w:rsid w:val="00115A20"/>
    <w:rsid w:val="00115A59"/>
    <w:rsid w:val="00115F12"/>
    <w:rsid w:val="00116647"/>
    <w:rsid w:val="00116F84"/>
    <w:rsid w:val="00117228"/>
    <w:rsid w:val="0011739E"/>
    <w:rsid w:val="00117D7A"/>
    <w:rsid w:val="00120112"/>
    <w:rsid w:val="00120E07"/>
    <w:rsid w:val="00120EA1"/>
    <w:rsid w:val="0012120B"/>
    <w:rsid w:val="0012181E"/>
    <w:rsid w:val="001218AA"/>
    <w:rsid w:val="00122048"/>
    <w:rsid w:val="001228A0"/>
    <w:rsid w:val="00122C28"/>
    <w:rsid w:val="00123EFF"/>
    <w:rsid w:val="001241F7"/>
    <w:rsid w:val="00124D1A"/>
    <w:rsid w:val="00125000"/>
    <w:rsid w:val="001251AF"/>
    <w:rsid w:val="00125654"/>
    <w:rsid w:val="00125D0D"/>
    <w:rsid w:val="00125D9D"/>
    <w:rsid w:val="001263E8"/>
    <w:rsid w:val="00127810"/>
    <w:rsid w:val="001301E6"/>
    <w:rsid w:val="001304F2"/>
    <w:rsid w:val="00130C4C"/>
    <w:rsid w:val="001313EB"/>
    <w:rsid w:val="001319AC"/>
    <w:rsid w:val="00131FF4"/>
    <w:rsid w:val="0013222E"/>
    <w:rsid w:val="00134904"/>
    <w:rsid w:val="001349AB"/>
    <w:rsid w:val="00134F4E"/>
    <w:rsid w:val="00134FA4"/>
    <w:rsid w:val="00134FB0"/>
    <w:rsid w:val="001350AC"/>
    <w:rsid w:val="001352EC"/>
    <w:rsid w:val="00135E0B"/>
    <w:rsid w:val="001361A8"/>
    <w:rsid w:val="001365A5"/>
    <w:rsid w:val="001368CC"/>
    <w:rsid w:val="001372CA"/>
    <w:rsid w:val="00137AFD"/>
    <w:rsid w:val="0014012A"/>
    <w:rsid w:val="00140AD8"/>
    <w:rsid w:val="00140BE4"/>
    <w:rsid w:val="001411DE"/>
    <w:rsid w:val="0014138E"/>
    <w:rsid w:val="00141399"/>
    <w:rsid w:val="00141A0B"/>
    <w:rsid w:val="00141AF4"/>
    <w:rsid w:val="00142812"/>
    <w:rsid w:val="00142E09"/>
    <w:rsid w:val="0014327C"/>
    <w:rsid w:val="0014377B"/>
    <w:rsid w:val="00143D3A"/>
    <w:rsid w:val="00145F13"/>
    <w:rsid w:val="00145F65"/>
    <w:rsid w:val="001460E0"/>
    <w:rsid w:val="00146902"/>
    <w:rsid w:val="0014692B"/>
    <w:rsid w:val="00146BD8"/>
    <w:rsid w:val="00146DFA"/>
    <w:rsid w:val="0015018D"/>
    <w:rsid w:val="00150228"/>
    <w:rsid w:val="001502C3"/>
    <w:rsid w:val="001504E8"/>
    <w:rsid w:val="00150536"/>
    <w:rsid w:val="00150961"/>
    <w:rsid w:val="00151492"/>
    <w:rsid w:val="00151CA5"/>
    <w:rsid w:val="00152838"/>
    <w:rsid w:val="0015305D"/>
    <w:rsid w:val="001533B2"/>
    <w:rsid w:val="001534CA"/>
    <w:rsid w:val="0015369A"/>
    <w:rsid w:val="0015386A"/>
    <w:rsid w:val="001540F9"/>
    <w:rsid w:val="0015428B"/>
    <w:rsid w:val="001544BA"/>
    <w:rsid w:val="00154E90"/>
    <w:rsid w:val="001557A9"/>
    <w:rsid w:val="00155878"/>
    <w:rsid w:val="0015599D"/>
    <w:rsid w:val="00155A36"/>
    <w:rsid w:val="0015755C"/>
    <w:rsid w:val="001600C9"/>
    <w:rsid w:val="00160308"/>
    <w:rsid w:val="0016052B"/>
    <w:rsid w:val="00160957"/>
    <w:rsid w:val="00160B56"/>
    <w:rsid w:val="0016159C"/>
    <w:rsid w:val="0016175D"/>
    <w:rsid w:val="00161833"/>
    <w:rsid w:val="00161E62"/>
    <w:rsid w:val="00162331"/>
    <w:rsid w:val="00162393"/>
    <w:rsid w:val="00162797"/>
    <w:rsid w:val="00162A20"/>
    <w:rsid w:val="00164CD1"/>
    <w:rsid w:val="001655BD"/>
    <w:rsid w:val="00165810"/>
    <w:rsid w:val="00165E36"/>
    <w:rsid w:val="0016614B"/>
    <w:rsid w:val="001665FD"/>
    <w:rsid w:val="00167204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7D0"/>
    <w:rsid w:val="00172AA4"/>
    <w:rsid w:val="0017308E"/>
    <w:rsid w:val="00173309"/>
    <w:rsid w:val="0017357E"/>
    <w:rsid w:val="001735A8"/>
    <w:rsid w:val="00173881"/>
    <w:rsid w:val="001740E5"/>
    <w:rsid w:val="00174587"/>
    <w:rsid w:val="001745BA"/>
    <w:rsid w:val="0017474C"/>
    <w:rsid w:val="00174783"/>
    <w:rsid w:val="00175C53"/>
    <w:rsid w:val="00175CF4"/>
    <w:rsid w:val="001763FA"/>
    <w:rsid w:val="001763FC"/>
    <w:rsid w:val="00176592"/>
    <w:rsid w:val="00176E7D"/>
    <w:rsid w:val="00177026"/>
    <w:rsid w:val="00177187"/>
    <w:rsid w:val="001773BC"/>
    <w:rsid w:val="001803C6"/>
    <w:rsid w:val="00180887"/>
    <w:rsid w:val="00180A83"/>
    <w:rsid w:val="00180D52"/>
    <w:rsid w:val="001813AB"/>
    <w:rsid w:val="00181414"/>
    <w:rsid w:val="001819C6"/>
    <w:rsid w:val="00181B3E"/>
    <w:rsid w:val="00181B78"/>
    <w:rsid w:val="00181BC9"/>
    <w:rsid w:val="0018211C"/>
    <w:rsid w:val="001821F8"/>
    <w:rsid w:val="00182CBE"/>
    <w:rsid w:val="001831B3"/>
    <w:rsid w:val="0018459A"/>
    <w:rsid w:val="001845FA"/>
    <w:rsid w:val="0018522B"/>
    <w:rsid w:val="00185355"/>
    <w:rsid w:val="001854A8"/>
    <w:rsid w:val="001857E7"/>
    <w:rsid w:val="00185BB9"/>
    <w:rsid w:val="00185D40"/>
    <w:rsid w:val="00185D70"/>
    <w:rsid w:val="00186127"/>
    <w:rsid w:val="00186C17"/>
    <w:rsid w:val="0018749B"/>
    <w:rsid w:val="00190180"/>
    <w:rsid w:val="00190A43"/>
    <w:rsid w:val="00190D0B"/>
    <w:rsid w:val="0019118A"/>
    <w:rsid w:val="0019127A"/>
    <w:rsid w:val="0019127F"/>
    <w:rsid w:val="001912FB"/>
    <w:rsid w:val="00191608"/>
    <w:rsid w:val="00191664"/>
    <w:rsid w:val="00192065"/>
    <w:rsid w:val="001921B4"/>
    <w:rsid w:val="001941AA"/>
    <w:rsid w:val="00194910"/>
    <w:rsid w:val="00194C81"/>
    <w:rsid w:val="00194F73"/>
    <w:rsid w:val="00195EC2"/>
    <w:rsid w:val="00195F99"/>
    <w:rsid w:val="001A016C"/>
    <w:rsid w:val="001A0422"/>
    <w:rsid w:val="001A0556"/>
    <w:rsid w:val="001A102F"/>
    <w:rsid w:val="001A1685"/>
    <w:rsid w:val="001A1A27"/>
    <w:rsid w:val="001A1ED0"/>
    <w:rsid w:val="001A2D83"/>
    <w:rsid w:val="001A35A6"/>
    <w:rsid w:val="001A368A"/>
    <w:rsid w:val="001A3832"/>
    <w:rsid w:val="001A3963"/>
    <w:rsid w:val="001A41DF"/>
    <w:rsid w:val="001A43F5"/>
    <w:rsid w:val="001A4479"/>
    <w:rsid w:val="001A4E0E"/>
    <w:rsid w:val="001A4E8C"/>
    <w:rsid w:val="001A4EF7"/>
    <w:rsid w:val="001A4F6E"/>
    <w:rsid w:val="001A5ABD"/>
    <w:rsid w:val="001A5CE0"/>
    <w:rsid w:val="001A60E2"/>
    <w:rsid w:val="001A69F0"/>
    <w:rsid w:val="001A6B53"/>
    <w:rsid w:val="001A79AA"/>
    <w:rsid w:val="001A7F95"/>
    <w:rsid w:val="001B07B0"/>
    <w:rsid w:val="001B0992"/>
    <w:rsid w:val="001B0AC4"/>
    <w:rsid w:val="001B1120"/>
    <w:rsid w:val="001B15E2"/>
    <w:rsid w:val="001B163A"/>
    <w:rsid w:val="001B1BB9"/>
    <w:rsid w:val="001B253D"/>
    <w:rsid w:val="001B277C"/>
    <w:rsid w:val="001B2C6A"/>
    <w:rsid w:val="001B2F19"/>
    <w:rsid w:val="001B35ED"/>
    <w:rsid w:val="001B369D"/>
    <w:rsid w:val="001B3B3D"/>
    <w:rsid w:val="001B450E"/>
    <w:rsid w:val="001B46DB"/>
    <w:rsid w:val="001B4E18"/>
    <w:rsid w:val="001B4F75"/>
    <w:rsid w:val="001B5C28"/>
    <w:rsid w:val="001B5DDB"/>
    <w:rsid w:val="001B6008"/>
    <w:rsid w:val="001B62AB"/>
    <w:rsid w:val="001B62D3"/>
    <w:rsid w:val="001B74BE"/>
    <w:rsid w:val="001B74F4"/>
    <w:rsid w:val="001B75DC"/>
    <w:rsid w:val="001C0136"/>
    <w:rsid w:val="001C0431"/>
    <w:rsid w:val="001C06EF"/>
    <w:rsid w:val="001C0A6E"/>
    <w:rsid w:val="001C0AD1"/>
    <w:rsid w:val="001C0BCC"/>
    <w:rsid w:val="001C117D"/>
    <w:rsid w:val="001C1F9C"/>
    <w:rsid w:val="001C226A"/>
    <w:rsid w:val="001C236E"/>
    <w:rsid w:val="001C29E7"/>
    <w:rsid w:val="001C2DB6"/>
    <w:rsid w:val="001C32C6"/>
    <w:rsid w:val="001C3744"/>
    <w:rsid w:val="001C3E2D"/>
    <w:rsid w:val="001C414A"/>
    <w:rsid w:val="001C41E8"/>
    <w:rsid w:val="001C48C7"/>
    <w:rsid w:val="001C4A9E"/>
    <w:rsid w:val="001C6CAB"/>
    <w:rsid w:val="001C6CC1"/>
    <w:rsid w:val="001C7130"/>
    <w:rsid w:val="001C7E70"/>
    <w:rsid w:val="001D0068"/>
    <w:rsid w:val="001D01C6"/>
    <w:rsid w:val="001D092F"/>
    <w:rsid w:val="001D0D8F"/>
    <w:rsid w:val="001D1AEF"/>
    <w:rsid w:val="001D244E"/>
    <w:rsid w:val="001D24F1"/>
    <w:rsid w:val="001D2AD6"/>
    <w:rsid w:val="001D3AD1"/>
    <w:rsid w:val="001D478B"/>
    <w:rsid w:val="001D4970"/>
    <w:rsid w:val="001D4DF4"/>
    <w:rsid w:val="001D4F4D"/>
    <w:rsid w:val="001D5F02"/>
    <w:rsid w:val="001D6186"/>
    <w:rsid w:val="001D62AF"/>
    <w:rsid w:val="001D637E"/>
    <w:rsid w:val="001D6652"/>
    <w:rsid w:val="001D69E5"/>
    <w:rsid w:val="001D6B3D"/>
    <w:rsid w:val="001D7104"/>
    <w:rsid w:val="001D7366"/>
    <w:rsid w:val="001E075F"/>
    <w:rsid w:val="001E0933"/>
    <w:rsid w:val="001E14E8"/>
    <w:rsid w:val="001E1627"/>
    <w:rsid w:val="001E18BD"/>
    <w:rsid w:val="001E18EB"/>
    <w:rsid w:val="001E1AC0"/>
    <w:rsid w:val="001E1B8D"/>
    <w:rsid w:val="001E1DBA"/>
    <w:rsid w:val="001E1EF2"/>
    <w:rsid w:val="001E290B"/>
    <w:rsid w:val="001E331C"/>
    <w:rsid w:val="001E385F"/>
    <w:rsid w:val="001E39E4"/>
    <w:rsid w:val="001E4161"/>
    <w:rsid w:val="001E490C"/>
    <w:rsid w:val="001E4C68"/>
    <w:rsid w:val="001E4D20"/>
    <w:rsid w:val="001E50FD"/>
    <w:rsid w:val="001E5310"/>
    <w:rsid w:val="001E59DC"/>
    <w:rsid w:val="001E5B24"/>
    <w:rsid w:val="001E5DD7"/>
    <w:rsid w:val="001E5EEE"/>
    <w:rsid w:val="001E692A"/>
    <w:rsid w:val="001E7358"/>
    <w:rsid w:val="001E7BE3"/>
    <w:rsid w:val="001E7C72"/>
    <w:rsid w:val="001E7EDD"/>
    <w:rsid w:val="001F02CD"/>
    <w:rsid w:val="001F0774"/>
    <w:rsid w:val="001F0B7F"/>
    <w:rsid w:val="001F0CD0"/>
    <w:rsid w:val="001F0F71"/>
    <w:rsid w:val="001F105A"/>
    <w:rsid w:val="001F19D1"/>
    <w:rsid w:val="001F1B69"/>
    <w:rsid w:val="001F1D9A"/>
    <w:rsid w:val="001F2740"/>
    <w:rsid w:val="001F27FA"/>
    <w:rsid w:val="001F2C3A"/>
    <w:rsid w:val="001F3531"/>
    <w:rsid w:val="001F3696"/>
    <w:rsid w:val="001F42FF"/>
    <w:rsid w:val="001F43B8"/>
    <w:rsid w:val="001F44B4"/>
    <w:rsid w:val="001F44D3"/>
    <w:rsid w:val="001F4510"/>
    <w:rsid w:val="001F46E5"/>
    <w:rsid w:val="001F5639"/>
    <w:rsid w:val="001F58D3"/>
    <w:rsid w:val="001F64D8"/>
    <w:rsid w:val="001F65A4"/>
    <w:rsid w:val="001F65E0"/>
    <w:rsid w:val="001F6EE3"/>
    <w:rsid w:val="001F7362"/>
    <w:rsid w:val="001F7AE9"/>
    <w:rsid w:val="001F7CFD"/>
    <w:rsid w:val="002011D5"/>
    <w:rsid w:val="00201805"/>
    <w:rsid w:val="00201C2D"/>
    <w:rsid w:val="00202299"/>
    <w:rsid w:val="002022B6"/>
    <w:rsid w:val="00203367"/>
    <w:rsid w:val="00204438"/>
    <w:rsid w:val="00204A44"/>
    <w:rsid w:val="00204C45"/>
    <w:rsid w:val="00205F72"/>
    <w:rsid w:val="0020608F"/>
    <w:rsid w:val="00206147"/>
    <w:rsid w:val="002064F3"/>
    <w:rsid w:val="002069A8"/>
    <w:rsid w:val="00206A60"/>
    <w:rsid w:val="00206EE7"/>
    <w:rsid w:val="00206F75"/>
    <w:rsid w:val="0020789A"/>
    <w:rsid w:val="00207C83"/>
    <w:rsid w:val="00210869"/>
    <w:rsid w:val="002116AD"/>
    <w:rsid w:val="00211999"/>
    <w:rsid w:val="002123A4"/>
    <w:rsid w:val="002126CD"/>
    <w:rsid w:val="002130C4"/>
    <w:rsid w:val="00213773"/>
    <w:rsid w:val="00213B0E"/>
    <w:rsid w:val="00213CBC"/>
    <w:rsid w:val="002141FB"/>
    <w:rsid w:val="002146CA"/>
    <w:rsid w:val="00214733"/>
    <w:rsid w:val="002147D6"/>
    <w:rsid w:val="002151C5"/>
    <w:rsid w:val="0021575B"/>
    <w:rsid w:val="00215783"/>
    <w:rsid w:val="002160A3"/>
    <w:rsid w:val="002163D6"/>
    <w:rsid w:val="0021669B"/>
    <w:rsid w:val="00216876"/>
    <w:rsid w:val="00217240"/>
    <w:rsid w:val="0022018A"/>
    <w:rsid w:val="00220ADA"/>
    <w:rsid w:val="00220B7B"/>
    <w:rsid w:val="00220CB9"/>
    <w:rsid w:val="00220EAF"/>
    <w:rsid w:val="0022162D"/>
    <w:rsid w:val="0022180E"/>
    <w:rsid w:val="002219BE"/>
    <w:rsid w:val="00221A42"/>
    <w:rsid w:val="002220BA"/>
    <w:rsid w:val="002227B3"/>
    <w:rsid w:val="00222CE3"/>
    <w:rsid w:val="002235D7"/>
    <w:rsid w:val="002239B6"/>
    <w:rsid w:val="002239C4"/>
    <w:rsid w:val="00224617"/>
    <w:rsid w:val="00224DEF"/>
    <w:rsid w:val="00225591"/>
    <w:rsid w:val="00225690"/>
    <w:rsid w:val="0022574F"/>
    <w:rsid w:val="0022593A"/>
    <w:rsid w:val="00225B52"/>
    <w:rsid w:val="00225CE3"/>
    <w:rsid w:val="002260D7"/>
    <w:rsid w:val="00226B17"/>
    <w:rsid w:val="0022712B"/>
    <w:rsid w:val="0022730F"/>
    <w:rsid w:val="00227340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62B"/>
    <w:rsid w:val="00232A4E"/>
    <w:rsid w:val="00233618"/>
    <w:rsid w:val="00233A7D"/>
    <w:rsid w:val="0023482B"/>
    <w:rsid w:val="0023482C"/>
    <w:rsid w:val="00234AA4"/>
    <w:rsid w:val="00234C7F"/>
    <w:rsid w:val="00234E62"/>
    <w:rsid w:val="00234F8F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C64"/>
    <w:rsid w:val="00240ECB"/>
    <w:rsid w:val="002415DA"/>
    <w:rsid w:val="00241857"/>
    <w:rsid w:val="0024285E"/>
    <w:rsid w:val="00242E40"/>
    <w:rsid w:val="00242F79"/>
    <w:rsid w:val="00242FA8"/>
    <w:rsid w:val="0024310E"/>
    <w:rsid w:val="00243204"/>
    <w:rsid w:val="002438D4"/>
    <w:rsid w:val="00243AC5"/>
    <w:rsid w:val="0024405D"/>
    <w:rsid w:val="00244516"/>
    <w:rsid w:val="00244933"/>
    <w:rsid w:val="00244C88"/>
    <w:rsid w:val="00244CF8"/>
    <w:rsid w:val="002454F0"/>
    <w:rsid w:val="0024588E"/>
    <w:rsid w:val="00245A39"/>
    <w:rsid w:val="00245B9E"/>
    <w:rsid w:val="00245D5D"/>
    <w:rsid w:val="002465AC"/>
    <w:rsid w:val="002465EC"/>
    <w:rsid w:val="00246614"/>
    <w:rsid w:val="00246907"/>
    <w:rsid w:val="00246C0E"/>
    <w:rsid w:val="00246EC9"/>
    <w:rsid w:val="00246FE9"/>
    <w:rsid w:val="00247130"/>
    <w:rsid w:val="0024723E"/>
    <w:rsid w:val="00247760"/>
    <w:rsid w:val="00247E6F"/>
    <w:rsid w:val="00247FD9"/>
    <w:rsid w:val="0025003A"/>
    <w:rsid w:val="00250260"/>
    <w:rsid w:val="00250334"/>
    <w:rsid w:val="00250FD5"/>
    <w:rsid w:val="00251167"/>
    <w:rsid w:val="002511BA"/>
    <w:rsid w:val="002517FD"/>
    <w:rsid w:val="00252456"/>
    <w:rsid w:val="002526B9"/>
    <w:rsid w:val="00252DD3"/>
    <w:rsid w:val="0025394F"/>
    <w:rsid w:val="00253B97"/>
    <w:rsid w:val="0025449D"/>
    <w:rsid w:val="002544CB"/>
    <w:rsid w:val="00254724"/>
    <w:rsid w:val="0025523F"/>
    <w:rsid w:val="00255D8E"/>
    <w:rsid w:val="00256584"/>
    <w:rsid w:val="00256C48"/>
    <w:rsid w:val="00256EF8"/>
    <w:rsid w:val="002570D5"/>
    <w:rsid w:val="00257177"/>
    <w:rsid w:val="00257730"/>
    <w:rsid w:val="00257803"/>
    <w:rsid w:val="00257935"/>
    <w:rsid w:val="00257AF9"/>
    <w:rsid w:val="00257B74"/>
    <w:rsid w:val="00257CD8"/>
    <w:rsid w:val="002610D8"/>
    <w:rsid w:val="00261A6C"/>
    <w:rsid w:val="002629E2"/>
    <w:rsid w:val="00262BA8"/>
    <w:rsid w:val="00262BC8"/>
    <w:rsid w:val="002641D9"/>
    <w:rsid w:val="00264382"/>
    <w:rsid w:val="002643C5"/>
    <w:rsid w:val="00264917"/>
    <w:rsid w:val="002651EC"/>
    <w:rsid w:val="00265AEA"/>
    <w:rsid w:val="00265DC2"/>
    <w:rsid w:val="002660D1"/>
    <w:rsid w:val="0026638C"/>
    <w:rsid w:val="002665A1"/>
    <w:rsid w:val="00266F00"/>
    <w:rsid w:val="002670EF"/>
    <w:rsid w:val="002671A2"/>
    <w:rsid w:val="00267A38"/>
    <w:rsid w:val="00267A56"/>
    <w:rsid w:val="00267F5F"/>
    <w:rsid w:val="002701B4"/>
    <w:rsid w:val="0027086F"/>
    <w:rsid w:val="00270965"/>
    <w:rsid w:val="00270E28"/>
    <w:rsid w:val="00271E5D"/>
    <w:rsid w:val="00272082"/>
    <w:rsid w:val="00272AEB"/>
    <w:rsid w:val="0027349D"/>
    <w:rsid w:val="00273516"/>
    <w:rsid w:val="00273985"/>
    <w:rsid w:val="00273B82"/>
    <w:rsid w:val="00273E7A"/>
    <w:rsid w:val="002742AA"/>
    <w:rsid w:val="00274372"/>
    <w:rsid w:val="0027475A"/>
    <w:rsid w:val="002753BE"/>
    <w:rsid w:val="00275F56"/>
    <w:rsid w:val="002764C4"/>
    <w:rsid w:val="002765B7"/>
    <w:rsid w:val="002768F3"/>
    <w:rsid w:val="00276EAA"/>
    <w:rsid w:val="00277713"/>
    <w:rsid w:val="00277CFA"/>
    <w:rsid w:val="00277DBC"/>
    <w:rsid w:val="00277F64"/>
    <w:rsid w:val="00280550"/>
    <w:rsid w:val="00281063"/>
    <w:rsid w:val="00281676"/>
    <w:rsid w:val="00281E32"/>
    <w:rsid w:val="00282206"/>
    <w:rsid w:val="00282479"/>
    <w:rsid w:val="0028276E"/>
    <w:rsid w:val="002827F3"/>
    <w:rsid w:val="002828D7"/>
    <w:rsid w:val="002829BD"/>
    <w:rsid w:val="00282B3E"/>
    <w:rsid w:val="00282C1F"/>
    <w:rsid w:val="00282C6C"/>
    <w:rsid w:val="002830FF"/>
    <w:rsid w:val="00283B7F"/>
    <w:rsid w:val="00283D50"/>
    <w:rsid w:val="0028468D"/>
    <w:rsid w:val="0028470C"/>
    <w:rsid w:val="00284B5F"/>
    <w:rsid w:val="0028596B"/>
    <w:rsid w:val="00285FB9"/>
    <w:rsid w:val="00286219"/>
    <w:rsid w:val="00286A03"/>
    <w:rsid w:val="00286F1C"/>
    <w:rsid w:val="00287514"/>
    <w:rsid w:val="0028791B"/>
    <w:rsid w:val="00287E44"/>
    <w:rsid w:val="00287EB2"/>
    <w:rsid w:val="00287F79"/>
    <w:rsid w:val="00290038"/>
    <w:rsid w:val="0029006E"/>
    <w:rsid w:val="002900A9"/>
    <w:rsid w:val="002908CE"/>
    <w:rsid w:val="00290C43"/>
    <w:rsid w:val="00290C90"/>
    <w:rsid w:val="002916DB"/>
    <w:rsid w:val="0029190A"/>
    <w:rsid w:val="0029288A"/>
    <w:rsid w:val="00293271"/>
    <w:rsid w:val="00293587"/>
    <w:rsid w:val="00293651"/>
    <w:rsid w:val="00293896"/>
    <w:rsid w:val="002938E4"/>
    <w:rsid w:val="00293ED1"/>
    <w:rsid w:val="0029478C"/>
    <w:rsid w:val="00294A06"/>
    <w:rsid w:val="00294C3A"/>
    <w:rsid w:val="00294FFB"/>
    <w:rsid w:val="00295038"/>
    <w:rsid w:val="002954FD"/>
    <w:rsid w:val="00296242"/>
    <w:rsid w:val="002964CA"/>
    <w:rsid w:val="002968BA"/>
    <w:rsid w:val="00296CE6"/>
    <w:rsid w:val="002973DF"/>
    <w:rsid w:val="00297D6A"/>
    <w:rsid w:val="002A0049"/>
    <w:rsid w:val="002A0190"/>
    <w:rsid w:val="002A0971"/>
    <w:rsid w:val="002A0983"/>
    <w:rsid w:val="002A0B7F"/>
    <w:rsid w:val="002A0BF5"/>
    <w:rsid w:val="002A1128"/>
    <w:rsid w:val="002A1227"/>
    <w:rsid w:val="002A158C"/>
    <w:rsid w:val="002A1E50"/>
    <w:rsid w:val="002A24EB"/>
    <w:rsid w:val="002A2C5E"/>
    <w:rsid w:val="002A2D66"/>
    <w:rsid w:val="002A428E"/>
    <w:rsid w:val="002A46FA"/>
    <w:rsid w:val="002A475A"/>
    <w:rsid w:val="002A5227"/>
    <w:rsid w:val="002A53E2"/>
    <w:rsid w:val="002A57BC"/>
    <w:rsid w:val="002A581C"/>
    <w:rsid w:val="002A621C"/>
    <w:rsid w:val="002B00FE"/>
    <w:rsid w:val="002B0E27"/>
    <w:rsid w:val="002B10B6"/>
    <w:rsid w:val="002B10D3"/>
    <w:rsid w:val="002B1113"/>
    <w:rsid w:val="002B1867"/>
    <w:rsid w:val="002B1EA3"/>
    <w:rsid w:val="002B1F67"/>
    <w:rsid w:val="002B27A4"/>
    <w:rsid w:val="002B2A55"/>
    <w:rsid w:val="002B2DA9"/>
    <w:rsid w:val="002B30C8"/>
    <w:rsid w:val="002B31FA"/>
    <w:rsid w:val="002B33D5"/>
    <w:rsid w:val="002B3830"/>
    <w:rsid w:val="002B3947"/>
    <w:rsid w:val="002B3A06"/>
    <w:rsid w:val="002B3A13"/>
    <w:rsid w:val="002B3E52"/>
    <w:rsid w:val="002B4552"/>
    <w:rsid w:val="002B4A27"/>
    <w:rsid w:val="002B4C84"/>
    <w:rsid w:val="002B4D65"/>
    <w:rsid w:val="002B5746"/>
    <w:rsid w:val="002B58A1"/>
    <w:rsid w:val="002B63D3"/>
    <w:rsid w:val="002B6537"/>
    <w:rsid w:val="002B6815"/>
    <w:rsid w:val="002B6AB1"/>
    <w:rsid w:val="002B6E20"/>
    <w:rsid w:val="002B71D1"/>
    <w:rsid w:val="002B73B2"/>
    <w:rsid w:val="002B7C1D"/>
    <w:rsid w:val="002C0144"/>
    <w:rsid w:val="002C02B8"/>
    <w:rsid w:val="002C0CAC"/>
    <w:rsid w:val="002C1F28"/>
    <w:rsid w:val="002C254B"/>
    <w:rsid w:val="002C25DE"/>
    <w:rsid w:val="002C27E8"/>
    <w:rsid w:val="002C2965"/>
    <w:rsid w:val="002C2ACB"/>
    <w:rsid w:val="002C2F60"/>
    <w:rsid w:val="002C31F1"/>
    <w:rsid w:val="002C41CB"/>
    <w:rsid w:val="002C47F0"/>
    <w:rsid w:val="002C5199"/>
    <w:rsid w:val="002C5C58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6D1"/>
    <w:rsid w:val="002D1AD3"/>
    <w:rsid w:val="002D2E03"/>
    <w:rsid w:val="002D3759"/>
    <w:rsid w:val="002D40A5"/>
    <w:rsid w:val="002D48E1"/>
    <w:rsid w:val="002D4ED0"/>
    <w:rsid w:val="002D4FCF"/>
    <w:rsid w:val="002D612D"/>
    <w:rsid w:val="002D61C8"/>
    <w:rsid w:val="002D629E"/>
    <w:rsid w:val="002D6E9A"/>
    <w:rsid w:val="002D726B"/>
    <w:rsid w:val="002D7356"/>
    <w:rsid w:val="002D75DB"/>
    <w:rsid w:val="002E0067"/>
    <w:rsid w:val="002E023E"/>
    <w:rsid w:val="002E02D0"/>
    <w:rsid w:val="002E0489"/>
    <w:rsid w:val="002E04C0"/>
    <w:rsid w:val="002E0544"/>
    <w:rsid w:val="002E0C8E"/>
    <w:rsid w:val="002E10D8"/>
    <w:rsid w:val="002E1C5F"/>
    <w:rsid w:val="002E1DF4"/>
    <w:rsid w:val="002E211F"/>
    <w:rsid w:val="002E2C3B"/>
    <w:rsid w:val="002E320C"/>
    <w:rsid w:val="002E3C37"/>
    <w:rsid w:val="002E4005"/>
    <w:rsid w:val="002E4BA7"/>
    <w:rsid w:val="002E4D3D"/>
    <w:rsid w:val="002E50F3"/>
    <w:rsid w:val="002E5C58"/>
    <w:rsid w:val="002E5CA7"/>
    <w:rsid w:val="002E668B"/>
    <w:rsid w:val="002E6783"/>
    <w:rsid w:val="002E7235"/>
    <w:rsid w:val="002E7DEA"/>
    <w:rsid w:val="002F0276"/>
    <w:rsid w:val="002F10E7"/>
    <w:rsid w:val="002F11F9"/>
    <w:rsid w:val="002F120F"/>
    <w:rsid w:val="002F1274"/>
    <w:rsid w:val="002F13E0"/>
    <w:rsid w:val="002F16CB"/>
    <w:rsid w:val="002F1742"/>
    <w:rsid w:val="002F1AB0"/>
    <w:rsid w:val="002F1D0E"/>
    <w:rsid w:val="002F223F"/>
    <w:rsid w:val="002F3235"/>
    <w:rsid w:val="002F37A5"/>
    <w:rsid w:val="002F3C64"/>
    <w:rsid w:val="002F4431"/>
    <w:rsid w:val="002F4653"/>
    <w:rsid w:val="002F47E7"/>
    <w:rsid w:val="002F510D"/>
    <w:rsid w:val="002F579D"/>
    <w:rsid w:val="002F57EC"/>
    <w:rsid w:val="002F5808"/>
    <w:rsid w:val="002F5AB7"/>
    <w:rsid w:val="002F5F61"/>
    <w:rsid w:val="00300081"/>
    <w:rsid w:val="0030023E"/>
    <w:rsid w:val="0030059B"/>
    <w:rsid w:val="00300FC5"/>
    <w:rsid w:val="00301277"/>
    <w:rsid w:val="00301837"/>
    <w:rsid w:val="003019CD"/>
    <w:rsid w:val="00302153"/>
    <w:rsid w:val="00302552"/>
    <w:rsid w:val="00302A91"/>
    <w:rsid w:val="0030302E"/>
    <w:rsid w:val="0030341B"/>
    <w:rsid w:val="003034D2"/>
    <w:rsid w:val="0030373E"/>
    <w:rsid w:val="00303A1B"/>
    <w:rsid w:val="00303EAC"/>
    <w:rsid w:val="003045BE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0E0"/>
    <w:rsid w:val="00311270"/>
    <w:rsid w:val="0031175D"/>
    <w:rsid w:val="003119DD"/>
    <w:rsid w:val="00312297"/>
    <w:rsid w:val="003132F3"/>
    <w:rsid w:val="00313367"/>
    <w:rsid w:val="0031345A"/>
    <w:rsid w:val="0031354F"/>
    <w:rsid w:val="00314392"/>
    <w:rsid w:val="00314614"/>
    <w:rsid w:val="00314739"/>
    <w:rsid w:val="00314773"/>
    <w:rsid w:val="00314F8A"/>
    <w:rsid w:val="003151F3"/>
    <w:rsid w:val="003152FA"/>
    <w:rsid w:val="003154DB"/>
    <w:rsid w:val="00315E0F"/>
    <w:rsid w:val="00316558"/>
    <w:rsid w:val="00316779"/>
    <w:rsid w:val="00316B8F"/>
    <w:rsid w:val="00317334"/>
    <w:rsid w:val="0031736D"/>
    <w:rsid w:val="00317DA5"/>
    <w:rsid w:val="003201D0"/>
    <w:rsid w:val="003205E0"/>
    <w:rsid w:val="00320B8F"/>
    <w:rsid w:val="00320C20"/>
    <w:rsid w:val="00321386"/>
    <w:rsid w:val="00321788"/>
    <w:rsid w:val="00321848"/>
    <w:rsid w:val="00321CB3"/>
    <w:rsid w:val="00322341"/>
    <w:rsid w:val="00322430"/>
    <w:rsid w:val="0032345B"/>
    <w:rsid w:val="003235FE"/>
    <w:rsid w:val="00324FF5"/>
    <w:rsid w:val="003256A0"/>
    <w:rsid w:val="00325893"/>
    <w:rsid w:val="00325D5E"/>
    <w:rsid w:val="00325DAE"/>
    <w:rsid w:val="00325F80"/>
    <w:rsid w:val="003265DE"/>
    <w:rsid w:val="00326A08"/>
    <w:rsid w:val="00326EEB"/>
    <w:rsid w:val="003275D6"/>
    <w:rsid w:val="0032767E"/>
    <w:rsid w:val="003277C6"/>
    <w:rsid w:val="00327845"/>
    <w:rsid w:val="00327B0E"/>
    <w:rsid w:val="00327EC7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149"/>
    <w:rsid w:val="00332404"/>
    <w:rsid w:val="003327BD"/>
    <w:rsid w:val="003338EB"/>
    <w:rsid w:val="00334446"/>
    <w:rsid w:val="0033444C"/>
    <w:rsid w:val="00334725"/>
    <w:rsid w:val="00334A38"/>
    <w:rsid w:val="00334AE6"/>
    <w:rsid w:val="00334AF1"/>
    <w:rsid w:val="003353D5"/>
    <w:rsid w:val="00335788"/>
    <w:rsid w:val="00335943"/>
    <w:rsid w:val="00335A53"/>
    <w:rsid w:val="00336207"/>
    <w:rsid w:val="003375E6"/>
    <w:rsid w:val="003379A4"/>
    <w:rsid w:val="00337BB0"/>
    <w:rsid w:val="00337CB6"/>
    <w:rsid w:val="003403AE"/>
    <w:rsid w:val="003409BD"/>
    <w:rsid w:val="0034111B"/>
    <w:rsid w:val="00342559"/>
    <w:rsid w:val="00342D1A"/>
    <w:rsid w:val="0034339B"/>
    <w:rsid w:val="00343860"/>
    <w:rsid w:val="00343AB5"/>
    <w:rsid w:val="0034487B"/>
    <w:rsid w:val="00344CEF"/>
    <w:rsid w:val="00344F44"/>
    <w:rsid w:val="0034511C"/>
    <w:rsid w:val="00345191"/>
    <w:rsid w:val="0034550A"/>
    <w:rsid w:val="00345B7B"/>
    <w:rsid w:val="00345C95"/>
    <w:rsid w:val="0034620C"/>
    <w:rsid w:val="00346579"/>
    <w:rsid w:val="00346C50"/>
    <w:rsid w:val="003474B3"/>
    <w:rsid w:val="00347A1B"/>
    <w:rsid w:val="00347CA3"/>
    <w:rsid w:val="00347D0C"/>
    <w:rsid w:val="00347F9F"/>
    <w:rsid w:val="00351032"/>
    <w:rsid w:val="003510C7"/>
    <w:rsid w:val="0035149A"/>
    <w:rsid w:val="00351668"/>
    <w:rsid w:val="003522D0"/>
    <w:rsid w:val="00352775"/>
    <w:rsid w:val="00352F14"/>
    <w:rsid w:val="003530B3"/>
    <w:rsid w:val="003551AF"/>
    <w:rsid w:val="0035546F"/>
    <w:rsid w:val="003554BD"/>
    <w:rsid w:val="003554CE"/>
    <w:rsid w:val="00356586"/>
    <w:rsid w:val="00356792"/>
    <w:rsid w:val="00356B44"/>
    <w:rsid w:val="003571E2"/>
    <w:rsid w:val="003572DA"/>
    <w:rsid w:val="00360A82"/>
    <w:rsid w:val="00361062"/>
    <w:rsid w:val="003610F5"/>
    <w:rsid w:val="003616F4"/>
    <w:rsid w:val="00362B5E"/>
    <w:rsid w:val="00363758"/>
    <w:rsid w:val="003638E9"/>
    <w:rsid w:val="003643A5"/>
    <w:rsid w:val="003643AB"/>
    <w:rsid w:val="00364D97"/>
    <w:rsid w:val="0036533F"/>
    <w:rsid w:val="00365370"/>
    <w:rsid w:val="003661C9"/>
    <w:rsid w:val="0036693A"/>
    <w:rsid w:val="00366AFA"/>
    <w:rsid w:val="00366C31"/>
    <w:rsid w:val="00366E4E"/>
    <w:rsid w:val="00367407"/>
    <w:rsid w:val="003676E5"/>
    <w:rsid w:val="003676EA"/>
    <w:rsid w:val="00367886"/>
    <w:rsid w:val="00367AD9"/>
    <w:rsid w:val="00367CC7"/>
    <w:rsid w:val="00367D7A"/>
    <w:rsid w:val="00370219"/>
    <w:rsid w:val="0037051E"/>
    <w:rsid w:val="003706D1"/>
    <w:rsid w:val="00370859"/>
    <w:rsid w:val="00371208"/>
    <w:rsid w:val="0037187E"/>
    <w:rsid w:val="003718D9"/>
    <w:rsid w:val="0037207D"/>
    <w:rsid w:val="003721AC"/>
    <w:rsid w:val="00372389"/>
    <w:rsid w:val="00372564"/>
    <w:rsid w:val="00372644"/>
    <w:rsid w:val="0037334A"/>
    <w:rsid w:val="003734B3"/>
    <w:rsid w:val="0037443B"/>
    <w:rsid w:val="00374D3E"/>
    <w:rsid w:val="003750F4"/>
    <w:rsid w:val="00375820"/>
    <w:rsid w:val="00375B14"/>
    <w:rsid w:val="00375D85"/>
    <w:rsid w:val="003760FD"/>
    <w:rsid w:val="003765ED"/>
    <w:rsid w:val="003769D5"/>
    <w:rsid w:val="00376B1C"/>
    <w:rsid w:val="00377475"/>
    <w:rsid w:val="00377A8C"/>
    <w:rsid w:val="003802D1"/>
    <w:rsid w:val="0038054C"/>
    <w:rsid w:val="0038061C"/>
    <w:rsid w:val="00380A95"/>
    <w:rsid w:val="00381168"/>
    <w:rsid w:val="00381BE3"/>
    <w:rsid w:val="00381E3D"/>
    <w:rsid w:val="003825F4"/>
    <w:rsid w:val="00382770"/>
    <w:rsid w:val="00383181"/>
    <w:rsid w:val="003831C2"/>
    <w:rsid w:val="00383338"/>
    <w:rsid w:val="00383373"/>
    <w:rsid w:val="0038339B"/>
    <w:rsid w:val="00383701"/>
    <w:rsid w:val="003840B4"/>
    <w:rsid w:val="00384187"/>
    <w:rsid w:val="0038458A"/>
    <w:rsid w:val="00384744"/>
    <w:rsid w:val="003847D4"/>
    <w:rsid w:val="00384900"/>
    <w:rsid w:val="00384D8F"/>
    <w:rsid w:val="00384DCE"/>
    <w:rsid w:val="00384EF8"/>
    <w:rsid w:val="003861EC"/>
    <w:rsid w:val="0038638D"/>
    <w:rsid w:val="003863B6"/>
    <w:rsid w:val="00386891"/>
    <w:rsid w:val="00386A21"/>
    <w:rsid w:val="0038735C"/>
    <w:rsid w:val="003874B4"/>
    <w:rsid w:val="00387631"/>
    <w:rsid w:val="00387823"/>
    <w:rsid w:val="00390044"/>
    <w:rsid w:val="003903FB"/>
    <w:rsid w:val="00390644"/>
    <w:rsid w:val="0039066F"/>
    <w:rsid w:val="00390880"/>
    <w:rsid w:val="00390D50"/>
    <w:rsid w:val="00390EAD"/>
    <w:rsid w:val="00390EAF"/>
    <w:rsid w:val="00390F3A"/>
    <w:rsid w:val="003918E6"/>
    <w:rsid w:val="003919DF"/>
    <w:rsid w:val="00391CBB"/>
    <w:rsid w:val="00391D90"/>
    <w:rsid w:val="00391DDE"/>
    <w:rsid w:val="0039208E"/>
    <w:rsid w:val="003920D2"/>
    <w:rsid w:val="003923A6"/>
    <w:rsid w:val="0039257A"/>
    <w:rsid w:val="00393231"/>
    <w:rsid w:val="0039372B"/>
    <w:rsid w:val="0039383D"/>
    <w:rsid w:val="00394FE8"/>
    <w:rsid w:val="00395069"/>
    <w:rsid w:val="003955AD"/>
    <w:rsid w:val="00395A0A"/>
    <w:rsid w:val="00396C46"/>
    <w:rsid w:val="00397BF1"/>
    <w:rsid w:val="003A0A67"/>
    <w:rsid w:val="003A1273"/>
    <w:rsid w:val="003A1596"/>
    <w:rsid w:val="003A1FEA"/>
    <w:rsid w:val="003A3361"/>
    <w:rsid w:val="003A344A"/>
    <w:rsid w:val="003A3622"/>
    <w:rsid w:val="003A36D4"/>
    <w:rsid w:val="003A377D"/>
    <w:rsid w:val="003A4139"/>
    <w:rsid w:val="003A495B"/>
    <w:rsid w:val="003A4B2F"/>
    <w:rsid w:val="003A4C4A"/>
    <w:rsid w:val="003A4F9E"/>
    <w:rsid w:val="003A5033"/>
    <w:rsid w:val="003A53AA"/>
    <w:rsid w:val="003A5EEB"/>
    <w:rsid w:val="003A65D2"/>
    <w:rsid w:val="003A66B4"/>
    <w:rsid w:val="003A687F"/>
    <w:rsid w:val="003A701E"/>
    <w:rsid w:val="003A7161"/>
    <w:rsid w:val="003A7200"/>
    <w:rsid w:val="003A73F2"/>
    <w:rsid w:val="003A75C6"/>
    <w:rsid w:val="003A79FF"/>
    <w:rsid w:val="003A7DFF"/>
    <w:rsid w:val="003B00CF"/>
    <w:rsid w:val="003B00E9"/>
    <w:rsid w:val="003B02DF"/>
    <w:rsid w:val="003B06D4"/>
    <w:rsid w:val="003B0A8B"/>
    <w:rsid w:val="003B1083"/>
    <w:rsid w:val="003B1235"/>
    <w:rsid w:val="003B12DB"/>
    <w:rsid w:val="003B1C5D"/>
    <w:rsid w:val="003B1EAD"/>
    <w:rsid w:val="003B1F1C"/>
    <w:rsid w:val="003B23A8"/>
    <w:rsid w:val="003B258A"/>
    <w:rsid w:val="003B2C25"/>
    <w:rsid w:val="003B3822"/>
    <w:rsid w:val="003B3BAD"/>
    <w:rsid w:val="003B3F02"/>
    <w:rsid w:val="003B3F64"/>
    <w:rsid w:val="003B4644"/>
    <w:rsid w:val="003B469D"/>
    <w:rsid w:val="003B4B26"/>
    <w:rsid w:val="003B4CE4"/>
    <w:rsid w:val="003B4E29"/>
    <w:rsid w:val="003B5306"/>
    <w:rsid w:val="003B5757"/>
    <w:rsid w:val="003B5DE6"/>
    <w:rsid w:val="003B6179"/>
    <w:rsid w:val="003B64F6"/>
    <w:rsid w:val="003B69D0"/>
    <w:rsid w:val="003B6CE5"/>
    <w:rsid w:val="003B6D6C"/>
    <w:rsid w:val="003B7B4D"/>
    <w:rsid w:val="003C0125"/>
    <w:rsid w:val="003C03F7"/>
    <w:rsid w:val="003C05CD"/>
    <w:rsid w:val="003C0F6E"/>
    <w:rsid w:val="003C0FE5"/>
    <w:rsid w:val="003C1CAF"/>
    <w:rsid w:val="003C22D4"/>
    <w:rsid w:val="003C29AF"/>
    <w:rsid w:val="003C3F73"/>
    <w:rsid w:val="003C40A2"/>
    <w:rsid w:val="003C4971"/>
    <w:rsid w:val="003C5519"/>
    <w:rsid w:val="003C5A97"/>
    <w:rsid w:val="003C616B"/>
    <w:rsid w:val="003C6803"/>
    <w:rsid w:val="003C681D"/>
    <w:rsid w:val="003C69A7"/>
    <w:rsid w:val="003C6BED"/>
    <w:rsid w:val="003C74AD"/>
    <w:rsid w:val="003C7965"/>
    <w:rsid w:val="003C7974"/>
    <w:rsid w:val="003C7D06"/>
    <w:rsid w:val="003C7EF7"/>
    <w:rsid w:val="003D0E1F"/>
    <w:rsid w:val="003D0F15"/>
    <w:rsid w:val="003D1182"/>
    <w:rsid w:val="003D1AE0"/>
    <w:rsid w:val="003D22DA"/>
    <w:rsid w:val="003D26ED"/>
    <w:rsid w:val="003D3779"/>
    <w:rsid w:val="003D425A"/>
    <w:rsid w:val="003D4866"/>
    <w:rsid w:val="003D48CF"/>
    <w:rsid w:val="003D507A"/>
    <w:rsid w:val="003D53DF"/>
    <w:rsid w:val="003D6280"/>
    <w:rsid w:val="003D66CB"/>
    <w:rsid w:val="003D687A"/>
    <w:rsid w:val="003D6E45"/>
    <w:rsid w:val="003D7A2D"/>
    <w:rsid w:val="003D7AA3"/>
    <w:rsid w:val="003D7C91"/>
    <w:rsid w:val="003E043F"/>
    <w:rsid w:val="003E07F1"/>
    <w:rsid w:val="003E0E8C"/>
    <w:rsid w:val="003E113F"/>
    <w:rsid w:val="003E1418"/>
    <w:rsid w:val="003E1969"/>
    <w:rsid w:val="003E1AC4"/>
    <w:rsid w:val="003E35DB"/>
    <w:rsid w:val="003E3816"/>
    <w:rsid w:val="003E4698"/>
    <w:rsid w:val="003E4979"/>
    <w:rsid w:val="003E4B79"/>
    <w:rsid w:val="003E4B85"/>
    <w:rsid w:val="003E555D"/>
    <w:rsid w:val="003E581F"/>
    <w:rsid w:val="003E5F16"/>
    <w:rsid w:val="003E6070"/>
    <w:rsid w:val="003E634D"/>
    <w:rsid w:val="003E64BB"/>
    <w:rsid w:val="003E6AC1"/>
    <w:rsid w:val="003E7EEA"/>
    <w:rsid w:val="003F01E7"/>
    <w:rsid w:val="003F18CF"/>
    <w:rsid w:val="003F1E07"/>
    <w:rsid w:val="003F2947"/>
    <w:rsid w:val="003F2BFE"/>
    <w:rsid w:val="003F340D"/>
    <w:rsid w:val="003F3A44"/>
    <w:rsid w:val="003F3CDE"/>
    <w:rsid w:val="003F5325"/>
    <w:rsid w:val="003F5AA0"/>
    <w:rsid w:val="003F5F0A"/>
    <w:rsid w:val="003F664F"/>
    <w:rsid w:val="003F6DF4"/>
    <w:rsid w:val="003F7022"/>
    <w:rsid w:val="003F7263"/>
    <w:rsid w:val="003F7D77"/>
    <w:rsid w:val="00400A5E"/>
    <w:rsid w:val="00400F61"/>
    <w:rsid w:val="0040102B"/>
    <w:rsid w:val="004015B0"/>
    <w:rsid w:val="004016AD"/>
    <w:rsid w:val="00401A15"/>
    <w:rsid w:val="00401C5B"/>
    <w:rsid w:val="00401DB1"/>
    <w:rsid w:val="004020FB"/>
    <w:rsid w:val="0040230D"/>
    <w:rsid w:val="0040241D"/>
    <w:rsid w:val="004028D0"/>
    <w:rsid w:val="00402940"/>
    <w:rsid w:val="00403226"/>
    <w:rsid w:val="00403827"/>
    <w:rsid w:val="00403B52"/>
    <w:rsid w:val="00403EBE"/>
    <w:rsid w:val="004040E3"/>
    <w:rsid w:val="00404D4D"/>
    <w:rsid w:val="00405534"/>
    <w:rsid w:val="00406AFE"/>
    <w:rsid w:val="00407CDA"/>
    <w:rsid w:val="0041007D"/>
    <w:rsid w:val="004100FD"/>
    <w:rsid w:val="0041029D"/>
    <w:rsid w:val="00410347"/>
    <w:rsid w:val="004104BF"/>
    <w:rsid w:val="0041068A"/>
    <w:rsid w:val="0041074A"/>
    <w:rsid w:val="00410DEC"/>
    <w:rsid w:val="0041138F"/>
    <w:rsid w:val="004118D5"/>
    <w:rsid w:val="00411BDA"/>
    <w:rsid w:val="00412EF3"/>
    <w:rsid w:val="004133CD"/>
    <w:rsid w:val="00413549"/>
    <w:rsid w:val="00414538"/>
    <w:rsid w:val="0041479C"/>
    <w:rsid w:val="00415342"/>
    <w:rsid w:val="0041611F"/>
    <w:rsid w:val="00416787"/>
    <w:rsid w:val="00416893"/>
    <w:rsid w:val="00420226"/>
    <w:rsid w:val="004203CA"/>
    <w:rsid w:val="00420746"/>
    <w:rsid w:val="004208D7"/>
    <w:rsid w:val="00420CA2"/>
    <w:rsid w:val="00421878"/>
    <w:rsid w:val="00421AEE"/>
    <w:rsid w:val="004228EE"/>
    <w:rsid w:val="00422BB1"/>
    <w:rsid w:val="00422C53"/>
    <w:rsid w:val="00422D87"/>
    <w:rsid w:val="0042325A"/>
    <w:rsid w:val="0042336F"/>
    <w:rsid w:val="004234EF"/>
    <w:rsid w:val="00423BDC"/>
    <w:rsid w:val="004240A4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300E1"/>
    <w:rsid w:val="00430294"/>
    <w:rsid w:val="004309CF"/>
    <w:rsid w:val="00430B44"/>
    <w:rsid w:val="00430F27"/>
    <w:rsid w:val="0043104B"/>
    <w:rsid w:val="00431458"/>
    <w:rsid w:val="0043181D"/>
    <w:rsid w:val="00431A01"/>
    <w:rsid w:val="00431A68"/>
    <w:rsid w:val="00432032"/>
    <w:rsid w:val="004328E4"/>
    <w:rsid w:val="00432937"/>
    <w:rsid w:val="00433460"/>
    <w:rsid w:val="00433D87"/>
    <w:rsid w:val="00433ECE"/>
    <w:rsid w:val="00434524"/>
    <w:rsid w:val="004347A7"/>
    <w:rsid w:val="00434800"/>
    <w:rsid w:val="00434F9C"/>
    <w:rsid w:val="00435DA0"/>
    <w:rsid w:val="00435F09"/>
    <w:rsid w:val="00435F6F"/>
    <w:rsid w:val="00436548"/>
    <w:rsid w:val="00436C20"/>
    <w:rsid w:val="00436FC5"/>
    <w:rsid w:val="004373A1"/>
    <w:rsid w:val="00440392"/>
    <w:rsid w:val="00440502"/>
    <w:rsid w:val="004412E5"/>
    <w:rsid w:val="004415FC"/>
    <w:rsid w:val="00441989"/>
    <w:rsid w:val="00441F3C"/>
    <w:rsid w:val="00442112"/>
    <w:rsid w:val="00442533"/>
    <w:rsid w:val="00442822"/>
    <w:rsid w:val="004429EB"/>
    <w:rsid w:val="00442BE9"/>
    <w:rsid w:val="004437F3"/>
    <w:rsid w:val="00443A3A"/>
    <w:rsid w:val="00443AE0"/>
    <w:rsid w:val="00443D1A"/>
    <w:rsid w:val="004442B1"/>
    <w:rsid w:val="004443FB"/>
    <w:rsid w:val="004445B7"/>
    <w:rsid w:val="00444768"/>
    <w:rsid w:val="0044476D"/>
    <w:rsid w:val="00445064"/>
    <w:rsid w:val="00445172"/>
    <w:rsid w:val="00446BA8"/>
    <w:rsid w:val="00446C0F"/>
    <w:rsid w:val="00447462"/>
    <w:rsid w:val="00447603"/>
    <w:rsid w:val="00447999"/>
    <w:rsid w:val="00447AC5"/>
    <w:rsid w:val="00447EAD"/>
    <w:rsid w:val="004504A7"/>
    <w:rsid w:val="00450899"/>
    <w:rsid w:val="004508B7"/>
    <w:rsid w:val="00450FE9"/>
    <w:rsid w:val="00451A7B"/>
    <w:rsid w:val="004522A6"/>
    <w:rsid w:val="004529D7"/>
    <w:rsid w:val="00452A11"/>
    <w:rsid w:val="00453BF4"/>
    <w:rsid w:val="00453D94"/>
    <w:rsid w:val="00454571"/>
    <w:rsid w:val="00454909"/>
    <w:rsid w:val="00455AFA"/>
    <w:rsid w:val="00456308"/>
    <w:rsid w:val="004566BE"/>
    <w:rsid w:val="0045682E"/>
    <w:rsid w:val="004568B4"/>
    <w:rsid w:val="00456B1A"/>
    <w:rsid w:val="00457142"/>
    <w:rsid w:val="004573A4"/>
    <w:rsid w:val="00457493"/>
    <w:rsid w:val="00457958"/>
    <w:rsid w:val="004600F8"/>
    <w:rsid w:val="0046043D"/>
    <w:rsid w:val="00460BE8"/>
    <w:rsid w:val="00460EF6"/>
    <w:rsid w:val="004610EB"/>
    <w:rsid w:val="0046115F"/>
    <w:rsid w:val="0046148D"/>
    <w:rsid w:val="00461535"/>
    <w:rsid w:val="0046169F"/>
    <w:rsid w:val="004624C0"/>
    <w:rsid w:val="004627CF"/>
    <w:rsid w:val="00462977"/>
    <w:rsid w:val="00462DBA"/>
    <w:rsid w:val="00462F7B"/>
    <w:rsid w:val="004635B7"/>
    <w:rsid w:val="00463AFE"/>
    <w:rsid w:val="00464027"/>
    <w:rsid w:val="004641CB"/>
    <w:rsid w:val="0046443B"/>
    <w:rsid w:val="00464BC7"/>
    <w:rsid w:val="004651B8"/>
    <w:rsid w:val="00465580"/>
    <w:rsid w:val="00465972"/>
    <w:rsid w:val="004659F5"/>
    <w:rsid w:val="00465B94"/>
    <w:rsid w:val="00465E7E"/>
    <w:rsid w:val="00466BB5"/>
    <w:rsid w:val="004672E8"/>
    <w:rsid w:val="004677E9"/>
    <w:rsid w:val="00467A82"/>
    <w:rsid w:val="00467BFA"/>
    <w:rsid w:val="00467EFD"/>
    <w:rsid w:val="00470535"/>
    <w:rsid w:val="00471183"/>
    <w:rsid w:val="0047123C"/>
    <w:rsid w:val="004714F6"/>
    <w:rsid w:val="00472632"/>
    <w:rsid w:val="0047289C"/>
    <w:rsid w:val="00472E22"/>
    <w:rsid w:val="00472F67"/>
    <w:rsid w:val="004739A1"/>
    <w:rsid w:val="0047418A"/>
    <w:rsid w:val="0047430D"/>
    <w:rsid w:val="00474ED0"/>
    <w:rsid w:val="00474FDF"/>
    <w:rsid w:val="00475688"/>
    <w:rsid w:val="004758F6"/>
    <w:rsid w:val="004759E3"/>
    <w:rsid w:val="00475C51"/>
    <w:rsid w:val="00476161"/>
    <w:rsid w:val="00476658"/>
    <w:rsid w:val="0047679A"/>
    <w:rsid w:val="00476DF1"/>
    <w:rsid w:val="00476E34"/>
    <w:rsid w:val="00476EE1"/>
    <w:rsid w:val="00477163"/>
    <w:rsid w:val="00477827"/>
    <w:rsid w:val="00477B0E"/>
    <w:rsid w:val="00481688"/>
    <w:rsid w:val="00481947"/>
    <w:rsid w:val="00481E7B"/>
    <w:rsid w:val="004820E0"/>
    <w:rsid w:val="004822CA"/>
    <w:rsid w:val="004826A8"/>
    <w:rsid w:val="00483F95"/>
    <w:rsid w:val="00484D20"/>
    <w:rsid w:val="004850C1"/>
    <w:rsid w:val="004865B8"/>
    <w:rsid w:val="004869FF"/>
    <w:rsid w:val="00486F54"/>
    <w:rsid w:val="004871B4"/>
    <w:rsid w:val="004876DD"/>
    <w:rsid w:val="0049067E"/>
    <w:rsid w:val="0049178A"/>
    <w:rsid w:val="00491C1D"/>
    <w:rsid w:val="00491DF1"/>
    <w:rsid w:val="00492175"/>
    <w:rsid w:val="00492535"/>
    <w:rsid w:val="00493435"/>
    <w:rsid w:val="00493C39"/>
    <w:rsid w:val="0049434C"/>
    <w:rsid w:val="00494B28"/>
    <w:rsid w:val="00495FFF"/>
    <w:rsid w:val="00496591"/>
    <w:rsid w:val="00496A9F"/>
    <w:rsid w:val="00496DA3"/>
    <w:rsid w:val="00496EB5"/>
    <w:rsid w:val="00497358"/>
    <w:rsid w:val="00497FA5"/>
    <w:rsid w:val="004A03B3"/>
    <w:rsid w:val="004A04D5"/>
    <w:rsid w:val="004A0687"/>
    <w:rsid w:val="004A07CC"/>
    <w:rsid w:val="004A0E35"/>
    <w:rsid w:val="004A0F3D"/>
    <w:rsid w:val="004A1361"/>
    <w:rsid w:val="004A17B1"/>
    <w:rsid w:val="004A1B07"/>
    <w:rsid w:val="004A2E04"/>
    <w:rsid w:val="004A2F65"/>
    <w:rsid w:val="004A3226"/>
    <w:rsid w:val="004A35F2"/>
    <w:rsid w:val="004A399F"/>
    <w:rsid w:val="004A4096"/>
    <w:rsid w:val="004A4692"/>
    <w:rsid w:val="004A523F"/>
    <w:rsid w:val="004A5625"/>
    <w:rsid w:val="004A5856"/>
    <w:rsid w:val="004A669F"/>
    <w:rsid w:val="004A6842"/>
    <w:rsid w:val="004A6976"/>
    <w:rsid w:val="004A718C"/>
    <w:rsid w:val="004A7D1A"/>
    <w:rsid w:val="004A7DBE"/>
    <w:rsid w:val="004A7F94"/>
    <w:rsid w:val="004B08AC"/>
    <w:rsid w:val="004B0D88"/>
    <w:rsid w:val="004B15C9"/>
    <w:rsid w:val="004B1BED"/>
    <w:rsid w:val="004B206E"/>
    <w:rsid w:val="004B229E"/>
    <w:rsid w:val="004B2870"/>
    <w:rsid w:val="004B29C2"/>
    <w:rsid w:val="004B29E1"/>
    <w:rsid w:val="004B2C52"/>
    <w:rsid w:val="004B2F46"/>
    <w:rsid w:val="004B395D"/>
    <w:rsid w:val="004B4194"/>
    <w:rsid w:val="004B457E"/>
    <w:rsid w:val="004B55F0"/>
    <w:rsid w:val="004B56C3"/>
    <w:rsid w:val="004B6928"/>
    <w:rsid w:val="004B79AC"/>
    <w:rsid w:val="004B79FA"/>
    <w:rsid w:val="004B7A12"/>
    <w:rsid w:val="004B7B53"/>
    <w:rsid w:val="004B7B5D"/>
    <w:rsid w:val="004B7D94"/>
    <w:rsid w:val="004C0FB7"/>
    <w:rsid w:val="004C104B"/>
    <w:rsid w:val="004C164A"/>
    <w:rsid w:val="004C1D74"/>
    <w:rsid w:val="004C2E14"/>
    <w:rsid w:val="004C2E3A"/>
    <w:rsid w:val="004C2FE3"/>
    <w:rsid w:val="004C305A"/>
    <w:rsid w:val="004C34B9"/>
    <w:rsid w:val="004C35EF"/>
    <w:rsid w:val="004C3BCF"/>
    <w:rsid w:val="004C4829"/>
    <w:rsid w:val="004C48E5"/>
    <w:rsid w:val="004C4D30"/>
    <w:rsid w:val="004C4EAB"/>
    <w:rsid w:val="004C5031"/>
    <w:rsid w:val="004C5570"/>
    <w:rsid w:val="004C5BD0"/>
    <w:rsid w:val="004C5CD0"/>
    <w:rsid w:val="004C5D52"/>
    <w:rsid w:val="004C5DB0"/>
    <w:rsid w:val="004C60D8"/>
    <w:rsid w:val="004C62EE"/>
    <w:rsid w:val="004C6A0D"/>
    <w:rsid w:val="004C7F4F"/>
    <w:rsid w:val="004D1000"/>
    <w:rsid w:val="004D1D27"/>
    <w:rsid w:val="004D222E"/>
    <w:rsid w:val="004D2EC3"/>
    <w:rsid w:val="004D2FF6"/>
    <w:rsid w:val="004D3FD6"/>
    <w:rsid w:val="004D405F"/>
    <w:rsid w:val="004D55CA"/>
    <w:rsid w:val="004D59E0"/>
    <w:rsid w:val="004D5A27"/>
    <w:rsid w:val="004D5B36"/>
    <w:rsid w:val="004D5F0E"/>
    <w:rsid w:val="004D604F"/>
    <w:rsid w:val="004D6626"/>
    <w:rsid w:val="004D6758"/>
    <w:rsid w:val="004D6E5E"/>
    <w:rsid w:val="004D7B1A"/>
    <w:rsid w:val="004D7D84"/>
    <w:rsid w:val="004E0830"/>
    <w:rsid w:val="004E169C"/>
    <w:rsid w:val="004E1BF0"/>
    <w:rsid w:val="004E1E6A"/>
    <w:rsid w:val="004E282A"/>
    <w:rsid w:val="004E28E1"/>
    <w:rsid w:val="004E2B01"/>
    <w:rsid w:val="004E348E"/>
    <w:rsid w:val="004E34C7"/>
    <w:rsid w:val="004E356A"/>
    <w:rsid w:val="004E371F"/>
    <w:rsid w:val="004E375D"/>
    <w:rsid w:val="004E3850"/>
    <w:rsid w:val="004E3FC1"/>
    <w:rsid w:val="004E58EA"/>
    <w:rsid w:val="004E5966"/>
    <w:rsid w:val="004E5F65"/>
    <w:rsid w:val="004E6172"/>
    <w:rsid w:val="004E6C7A"/>
    <w:rsid w:val="004E7615"/>
    <w:rsid w:val="004E7CDF"/>
    <w:rsid w:val="004F078C"/>
    <w:rsid w:val="004F1324"/>
    <w:rsid w:val="004F19EB"/>
    <w:rsid w:val="004F1C7D"/>
    <w:rsid w:val="004F1D24"/>
    <w:rsid w:val="004F1E7A"/>
    <w:rsid w:val="004F21D2"/>
    <w:rsid w:val="004F2641"/>
    <w:rsid w:val="004F27F3"/>
    <w:rsid w:val="004F29B9"/>
    <w:rsid w:val="004F2B8E"/>
    <w:rsid w:val="004F2C85"/>
    <w:rsid w:val="004F32BF"/>
    <w:rsid w:val="004F3E6A"/>
    <w:rsid w:val="004F469D"/>
    <w:rsid w:val="004F46BD"/>
    <w:rsid w:val="004F5346"/>
    <w:rsid w:val="004F5966"/>
    <w:rsid w:val="004F5C09"/>
    <w:rsid w:val="004F5E4E"/>
    <w:rsid w:val="004F63CC"/>
    <w:rsid w:val="004F6678"/>
    <w:rsid w:val="004F6B28"/>
    <w:rsid w:val="004F6C65"/>
    <w:rsid w:val="004F6D2E"/>
    <w:rsid w:val="004F7667"/>
    <w:rsid w:val="004F79AF"/>
    <w:rsid w:val="004F7A1A"/>
    <w:rsid w:val="004F7F0F"/>
    <w:rsid w:val="004F7FBC"/>
    <w:rsid w:val="005001AE"/>
    <w:rsid w:val="00500287"/>
    <w:rsid w:val="005007E7"/>
    <w:rsid w:val="005012EA"/>
    <w:rsid w:val="005012FC"/>
    <w:rsid w:val="005019BC"/>
    <w:rsid w:val="00501EBE"/>
    <w:rsid w:val="00502BF9"/>
    <w:rsid w:val="00503551"/>
    <w:rsid w:val="005037BB"/>
    <w:rsid w:val="00503F38"/>
    <w:rsid w:val="005043FC"/>
    <w:rsid w:val="00504855"/>
    <w:rsid w:val="00504A55"/>
    <w:rsid w:val="00505F08"/>
    <w:rsid w:val="00505F90"/>
    <w:rsid w:val="005060BB"/>
    <w:rsid w:val="0050671D"/>
    <w:rsid w:val="0050672C"/>
    <w:rsid w:val="005068D0"/>
    <w:rsid w:val="00506C4C"/>
    <w:rsid w:val="0050700E"/>
    <w:rsid w:val="005079D7"/>
    <w:rsid w:val="00507B2A"/>
    <w:rsid w:val="00507F8E"/>
    <w:rsid w:val="0051034A"/>
    <w:rsid w:val="00510A22"/>
    <w:rsid w:val="00510D8A"/>
    <w:rsid w:val="00510E87"/>
    <w:rsid w:val="005118DF"/>
    <w:rsid w:val="00511A3A"/>
    <w:rsid w:val="00511D6E"/>
    <w:rsid w:val="00511EBC"/>
    <w:rsid w:val="00512134"/>
    <w:rsid w:val="005125D5"/>
    <w:rsid w:val="00512D51"/>
    <w:rsid w:val="00512E95"/>
    <w:rsid w:val="00514674"/>
    <w:rsid w:val="0051477F"/>
    <w:rsid w:val="00514C46"/>
    <w:rsid w:val="005154D5"/>
    <w:rsid w:val="00515BCF"/>
    <w:rsid w:val="00516083"/>
    <w:rsid w:val="0051635A"/>
    <w:rsid w:val="0051646E"/>
    <w:rsid w:val="005166C3"/>
    <w:rsid w:val="00516EA5"/>
    <w:rsid w:val="00516F04"/>
    <w:rsid w:val="005179DA"/>
    <w:rsid w:val="00517E2A"/>
    <w:rsid w:val="00520C1C"/>
    <w:rsid w:val="00521439"/>
    <w:rsid w:val="00521490"/>
    <w:rsid w:val="00522133"/>
    <w:rsid w:val="00522151"/>
    <w:rsid w:val="0052292E"/>
    <w:rsid w:val="005232E0"/>
    <w:rsid w:val="0052373B"/>
    <w:rsid w:val="0052397B"/>
    <w:rsid w:val="00523E00"/>
    <w:rsid w:val="00523E4D"/>
    <w:rsid w:val="0052439F"/>
    <w:rsid w:val="005243EB"/>
    <w:rsid w:val="00524CF5"/>
    <w:rsid w:val="0052560E"/>
    <w:rsid w:val="00525789"/>
    <w:rsid w:val="00525890"/>
    <w:rsid w:val="00526452"/>
    <w:rsid w:val="00526816"/>
    <w:rsid w:val="00526F09"/>
    <w:rsid w:val="0052734B"/>
    <w:rsid w:val="00527B60"/>
    <w:rsid w:val="00527F4F"/>
    <w:rsid w:val="0053043F"/>
    <w:rsid w:val="00530512"/>
    <w:rsid w:val="00530799"/>
    <w:rsid w:val="0053109F"/>
    <w:rsid w:val="005311E8"/>
    <w:rsid w:val="005312C4"/>
    <w:rsid w:val="0053133A"/>
    <w:rsid w:val="00531822"/>
    <w:rsid w:val="005326A4"/>
    <w:rsid w:val="005326D0"/>
    <w:rsid w:val="005327CB"/>
    <w:rsid w:val="00532800"/>
    <w:rsid w:val="00532A80"/>
    <w:rsid w:val="00532C0D"/>
    <w:rsid w:val="00532FDA"/>
    <w:rsid w:val="00533979"/>
    <w:rsid w:val="00533EE8"/>
    <w:rsid w:val="0053417D"/>
    <w:rsid w:val="0053490C"/>
    <w:rsid w:val="00534D5D"/>
    <w:rsid w:val="00535585"/>
    <w:rsid w:val="00536390"/>
    <w:rsid w:val="005364BD"/>
    <w:rsid w:val="005367D3"/>
    <w:rsid w:val="00536A58"/>
    <w:rsid w:val="00536AB4"/>
    <w:rsid w:val="00537127"/>
    <w:rsid w:val="0053764B"/>
    <w:rsid w:val="00537D26"/>
    <w:rsid w:val="0054069F"/>
    <w:rsid w:val="00541295"/>
    <w:rsid w:val="00541307"/>
    <w:rsid w:val="00541B60"/>
    <w:rsid w:val="00541DB8"/>
    <w:rsid w:val="00541F9A"/>
    <w:rsid w:val="00542599"/>
    <w:rsid w:val="00542EB4"/>
    <w:rsid w:val="005432BA"/>
    <w:rsid w:val="005448B9"/>
    <w:rsid w:val="00545136"/>
    <w:rsid w:val="005452C1"/>
    <w:rsid w:val="0054545C"/>
    <w:rsid w:val="00545B42"/>
    <w:rsid w:val="0054612B"/>
    <w:rsid w:val="00546E9B"/>
    <w:rsid w:val="005476DA"/>
    <w:rsid w:val="00547753"/>
    <w:rsid w:val="005479F5"/>
    <w:rsid w:val="00547D90"/>
    <w:rsid w:val="0055069B"/>
    <w:rsid w:val="005508EF"/>
    <w:rsid w:val="005510E3"/>
    <w:rsid w:val="0055173F"/>
    <w:rsid w:val="00551AE8"/>
    <w:rsid w:val="00551D57"/>
    <w:rsid w:val="00551DC0"/>
    <w:rsid w:val="0055229D"/>
    <w:rsid w:val="00552E11"/>
    <w:rsid w:val="00552FEB"/>
    <w:rsid w:val="0055326B"/>
    <w:rsid w:val="005532A3"/>
    <w:rsid w:val="00553395"/>
    <w:rsid w:val="00553567"/>
    <w:rsid w:val="005538EF"/>
    <w:rsid w:val="00553D4D"/>
    <w:rsid w:val="0055400F"/>
    <w:rsid w:val="00554561"/>
    <w:rsid w:val="005548DD"/>
    <w:rsid w:val="00555500"/>
    <w:rsid w:val="00555A13"/>
    <w:rsid w:val="00555CF6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A86"/>
    <w:rsid w:val="00561A6D"/>
    <w:rsid w:val="00561C64"/>
    <w:rsid w:val="00561F12"/>
    <w:rsid w:val="0056218D"/>
    <w:rsid w:val="00562E43"/>
    <w:rsid w:val="00562EAD"/>
    <w:rsid w:val="00563222"/>
    <w:rsid w:val="00563AEB"/>
    <w:rsid w:val="00564475"/>
    <w:rsid w:val="00564775"/>
    <w:rsid w:val="005647AB"/>
    <w:rsid w:val="00564A81"/>
    <w:rsid w:val="00564A82"/>
    <w:rsid w:val="00564F25"/>
    <w:rsid w:val="00566C28"/>
    <w:rsid w:val="00566EBC"/>
    <w:rsid w:val="00567500"/>
    <w:rsid w:val="0056753D"/>
    <w:rsid w:val="0056778B"/>
    <w:rsid w:val="00567811"/>
    <w:rsid w:val="00567938"/>
    <w:rsid w:val="00567CDA"/>
    <w:rsid w:val="00567E86"/>
    <w:rsid w:val="00570163"/>
    <w:rsid w:val="005701B3"/>
    <w:rsid w:val="005702BD"/>
    <w:rsid w:val="005704B1"/>
    <w:rsid w:val="0057182E"/>
    <w:rsid w:val="00572749"/>
    <w:rsid w:val="005731F8"/>
    <w:rsid w:val="00573824"/>
    <w:rsid w:val="005739F4"/>
    <w:rsid w:val="00573A7F"/>
    <w:rsid w:val="00573EE1"/>
    <w:rsid w:val="0057406C"/>
    <w:rsid w:val="005745D3"/>
    <w:rsid w:val="00575051"/>
    <w:rsid w:val="00575295"/>
    <w:rsid w:val="005758E3"/>
    <w:rsid w:val="0057605A"/>
    <w:rsid w:val="00576CB4"/>
    <w:rsid w:val="00576D35"/>
    <w:rsid w:val="005777C8"/>
    <w:rsid w:val="0057788B"/>
    <w:rsid w:val="00577AD5"/>
    <w:rsid w:val="00577F23"/>
    <w:rsid w:val="00580A72"/>
    <w:rsid w:val="0058107B"/>
    <w:rsid w:val="00581158"/>
    <w:rsid w:val="0058149F"/>
    <w:rsid w:val="0058161B"/>
    <w:rsid w:val="005817A5"/>
    <w:rsid w:val="00581DF3"/>
    <w:rsid w:val="00582853"/>
    <w:rsid w:val="00582893"/>
    <w:rsid w:val="00582C76"/>
    <w:rsid w:val="00583989"/>
    <w:rsid w:val="00583A87"/>
    <w:rsid w:val="0058403B"/>
    <w:rsid w:val="005842BA"/>
    <w:rsid w:val="005843E6"/>
    <w:rsid w:val="005845FA"/>
    <w:rsid w:val="00584AC0"/>
    <w:rsid w:val="00585544"/>
    <w:rsid w:val="00585C21"/>
    <w:rsid w:val="005874CD"/>
    <w:rsid w:val="00587597"/>
    <w:rsid w:val="00590D18"/>
    <w:rsid w:val="00590EDD"/>
    <w:rsid w:val="005911FD"/>
    <w:rsid w:val="00591988"/>
    <w:rsid w:val="005921C8"/>
    <w:rsid w:val="005922A3"/>
    <w:rsid w:val="0059239E"/>
    <w:rsid w:val="005924DB"/>
    <w:rsid w:val="005929E8"/>
    <w:rsid w:val="00592A2E"/>
    <w:rsid w:val="00592DBA"/>
    <w:rsid w:val="00592E30"/>
    <w:rsid w:val="00593155"/>
    <w:rsid w:val="0059353B"/>
    <w:rsid w:val="005938DB"/>
    <w:rsid w:val="00593FCA"/>
    <w:rsid w:val="00594027"/>
    <w:rsid w:val="005949FB"/>
    <w:rsid w:val="00594BC7"/>
    <w:rsid w:val="00594C1A"/>
    <w:rsid w:val="00595106"/>
    <w:rsid w:val="00595692"/>
    <w:rsid w:val="00595B7B"/>
    <w:rsid w:val="00596020"/>
    <w:rsid w:val="0059632F"/>
    <w:rsid w:val="005963C5"/>
    <w:rsid w:val="00596C1C"/>
    <w:rsid w:val="00597799"/>
    <w:rsid w:val="005977F9"/>
    <w:rsid w:val="00597BA8"/>
    <w:rsid w:val="005A01E7"/>
    <w:rsid w:val="005A02C8"/>
    <w:rsid w:val="005A09E5"/>
    <w:rsid w:val="005A1473"/>
    <w:rsid w:val="005A14FF"/>
    <w:rsid w:val="005A19FF"/>
    <w:rsid w:val="005A1D8D"/>
    <w:rsid w:val="005A2074"/>
    <w:rsid w:val="005A24AE"/>
    <w:rsid w:val="005A329B"/>
    <w:rsid w:val="005A3394"/>
    <w:rsid w:val="005A403A"/>
    <w:rsid w:val="005A43BE"/>
    <w:rsid w:val="005A4624"/>
    <w:rsid w:val="005A4B60"/>
    <w:rsid w:val="005A5011"/>
    <w:rsid w:val="005A508D"/>
    <w:rsid w:val="005A53F3"/>
    <w:rsid w:val="005A60BA"/>
    <w:rsid w:val="005A761B"/>
    <w:rsid w:val="005B096F"/>
    <w:rsid w:val="005B0987"/>
    <w:rsid w:val="005B0FB5"/>
    <w:rsid w:val="005B1191"/>
    <w:rsid w:val="005B1205"/>
    <w:rsid w:val="005B1512"/>
    <w:rsid w:val="005B1D3B"/>
    <w:rsid w:val="005B2088"/>
    <w:rsid w:val="005B2466"/>
    <w:rsid w:val="005B2BBB"/>
    <w:rsid w:val="005B2BC9"/>
    <w:rsid w:val="005B2BF5"/>
    <w:rsid w:val="005B2FD3"/>
    <w:rsid w:val="005B381E"/>
    <w:rsid w:val="005B41B3"/>
    <w:rsid w:val="005B4289"/>
    <w:rsid w:val="005B57DC"/>
    <w:rsid w:val="005B5926"/>
    <w:rsid w:val="005B5A74"/>
    <w:rsid w:val="005B5DBE"/>
    <w:rsid w:val="005B6515"/>
    <w:rsid w:val="005B66DA"/>
    <w:rsid w:val="005B6927"/>
    <w:rsid w:val="005B698D"/>
    <w:rsid w:val="005B6B33"/>
    <w:rsid w:val="005B6B72"/>
    <w:rsid w:val="005B6BFD"/>
    <w:rsid w:val="005B7164"/>
    <w:rsid w:val="005B7331"/>
    <w:rsid w:val="005B75B6"/>
    <w:rsid w:val="005B7D7E"/>
    <w:rsid w:val="005B7F6E"/>
    <w:rsid w:val="005C12AC"/>
    <w:rsid w:val="005C1586"/>
    <w:rsid w:val="005C1C90"/>
    <w:rsid w:val="005C1CEF"/>
    <w:rsid w:val="005C2802"/>
    <w:rsid w:val="005C3964"/>
    <w:rsid w:val="005C428A"/>
    <w:rsid w:val="005C4330"/>
    <w:rsid w:val="005C4544"/>
    <w:rsid w:val="005C4787"/>
    <w:rsid w:val="005C5113"/>
    <w:rsid w:val="005C54B8"/>
    <w:rsid w:val="005C557C"/>
    <w:rsid w:val="005C56B7"/>
    <w:rsid w:val="005C5CDF"/>
    <w:rsid w:val="005C619F"/>
    <w:rsid w:val="005C677E"/>
    <w:rsid w:val="005C6953"/>
    <w:rsid w:val="005C6B79"/>
    <w:rsid w:val="005C6CD0"/>
    <w:rsid w:val="005C7072"/>
    <w:rsid w:val="005C740D"/>
    <w:rsid w:val="005C785E"/>
    <w:rsid w:val="005C78D5"/>
    <w:rsid w:val="005C7979"/>
    <w:rsid w:val="005D00B6"/>
    <w:rsid w:val="005D101F"/>
    <w:rsid w:val="005D1247"/>
    <w:rsid w:val="005D1D1F"/>
    <w:rsid w:val="005D1D60"/>
    <w:rsid w:val="005D1F45"/>
    <w:rsid w:val="005D205D"/>
    <w:rsid w:val="005D2B00"/>
    <w:rsid w:val="005D2F54"/>
    <w:rsid w:val="005D33D2"/>
    <w:rsid w:val="005D353D"/>
    <w:rsid w:val="005D3C7C"/>
    <w:rsid w:val="005D3FD5"/>
    <w:rsid w:val="005D593D"/>
    <w:rsid w:val="005D5F0A"/>
    <w:rsid w:val="005D63A5"/>
    <w:rsid w:val="005D69A4"/>
    <w:rsid w:val="005D79B5"/>
    <w:rsid w:val="005D7BDA"/>
    <w:rsid w:val="005E0A1F"/>
    <w:rsid w:val="005E0C7D"/>
    <w:rsid w:val="005E0DEA"/>
    <w:rsid w:val="005E1667"/>
    <w:rsid w:val="005E17B3"/>
    <w:rsid w:val="005E1BB5"/>
    <w:rsid w:val="005E1BD6"/>
    <w:rsid w:val="005E20D0"/>
    <w:rsid w:val="005E2177"/>
    <w:rsid w:val="005E2654"/>
    <w:rsid w:val="005E2A79"/>
    <w:rsid w:val="005E2D15"/>
    <w:rsid w:val="005E2EDB"/>
    <w:rsid w:val="005E2FB1"/>
    <w:rsid w:val="005E30DC"/>
    <w:rsid w:val="005E31F7"/>
    <w:rsid w:val="005E3850"/>
    <w:rsid w:val="005E3D08"/>
    <w:rsid w:val="005E3EB4"/>
    <w:rsid w:val="005E40C8"/>
    <w:rsid w:val="005E43DF"/>
    <w:rsid w:val="005E43F8"/>
    <w:rsid w:val="005E48DE"/>
    <w:rsid w:val="005E566F"/>
    <w:rsid w:val="005E64AF"/>
    <w:rsid w:val="005E6BE9"/>
    <w:rsid w:val="005E6C60"/>
    <w:rsid w:val="005E71A5"/>
    <w:rsid w:val="005E777B"/>
    <w:rsid w:val="005E7FA0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2B88"/>
    <w:rsid w:val="005F3176"/>
    <w:rsid w:val="005F345E"/>
    <w:rsid w:val="005F3549"/>
    <w:rsid w:val="005F3D8C"/>
    <w:rsid w:val="005F54B4"/>
    <w:rsid w:val="005F5576"/>
    <w:rsid w:val="005F57C5"/>
    <w:rsid w:val="005F5A4E"/>
    <w:rsid w:val="005F5A6F"/>
    <w:rsid w:val="005F5C6D"/>
    <w:rsid w:val="005F5E8E"/>
    <w:rsid w:val="005F60E6"/>
    <w:rsid w:val="005F61DD"/>
    <w:rsid w:val="005F61E9"/>
    <w:rsid w:val="005F764A"/>
    <w:rsid w:val="0060008E"/>
    <w:rsid w:val="006000BA"/>
    <w:rsid w:val="006005C1"/>
    <w:rsid w:val="006011A0"/>
    <w:rsid w:val="00601EC9"/>
    <w:rsid w:val="00602A78"/>
    <w:rsid w:val="00602BCA"/>
    <w:rsid w:val="0060305F"/>
    <w:rsid w:val="006034C7"/>
    <w:rsid w:val="00604617"/>
    <w:rsid w:val="00604730"/>
    <w:rsid w:val="006049CE"/>
    <w:rsid w:val="00604AE3"/>
    <w:rsid w:val="00604C50"/>
    <w:rsid w:val="00604D1B"/>
    <w:rsid w:val="006052A3"/>
    <w:rsid w:val="006053D8"/>
    <w:rsid w:val="006056C1"/>
    <w:rsid w:val="006057CF"/>
    <w:rsid w:val="006059A0"/>
    <w:rsid w:val="00605A1A"/>
    <w:rsid w:val="00606054"/>
    <w:rsid w:val="0060611E"/>
    <w:rsid w:val="006063E0"/>
    <w:rsid w:val="00606906"/>
    <w:rsid w:val="00606EE7"/>
    <w:rsid w:val="00606FAA"/>
    <w:rsid w:val="00607C10"/>
    <w:rsid w:val="00607E5D"/>
    <w:rsid w:val="00611BA6"/>
    <w:rsid w:val="00611CCD"/>
    <w:rsid w:val="00612465"/>
    <w:rsid w:val="00612648"/>
    <w:rsid w:val="00612D19"/>
    <w:rsid w:val="0061330F"/>
    <w:rsid w:val="00613641"/>
    <w:rsid w:val="00613B4D"/>
    <w:rsid w:val="00614139"/>
    <w:rsid w:val="00614483"/>
    <w:rsid w:val="0061478C"/>
    <w:rsid w:val="0061516E"/>
    <w:rsid w:val="006151BC"/>
    <w:rsid w:val="00615204"/>
    <w:rsid w:val="00615240"/>
    <w:rsid w:val="006154F0"/>
    <w:rsid w:val="00615E77"/>
    <w:rsid w:val="00616128"/>
    <w:rsid w:val="00616221"/>
    <w:rsid w:val="006162A3"/>
    <w:rsid w:val="00616C7D"/>
    <w:rsid w:val="0061735F"/>
    <w:rsid w:val="0062006A"/>
    <w:rsid w:val="006205E1"/>
    <w:rsid w:val="006208EE"/>
    <w:rsid w:val="0062091D"/>
    <w:rsid w:val="00620C44"/>
    <w:rsid w:val="0062100E"/>
    <w:rsid w:val="006211A5"/>
    <w:rsid w:val="00621959"/>
    <w:rsid w:val="006219BC"/>
    <w:rsid w:val="00621DD8"/>
    <w:rsid w:val="00622789"/>
    <w:rsid w:val="006230BE"/>
    <w:rsid w:val="006233C1"/>
    <w:rsid w:val="00623877"/>
    <w:rsid w:val="00623DB9"/>
    <w:rsid w:val="00624649"/>
    <w:rsid w:val="006249A7"/>
    <w:rsid w:val="006249D1"/>
    <w:rsid w:val="00624D4F"/>
    <w:rsid w:val="00624F11"/>
    <w:rsid w:val="00625713"/>
    <w:rsid w:val="00625B22"/>
    <w:rsid w:val="00625C53"/>
    <w:rsid w:val="00626415"/>
    <w:rsid w:val="006270F2"/>
    <w:rsid w:val="0062768B"/>
    <w:rsid w:val="00627941"/>
    <w:rsid w:val="00627A49"/>
    <w:rsid w:val="00627D60"/>
    <w:rsid w:val="00627E30"/>
    <w:rsid w:val="006303FC"/>
    <w:rsid w:val="006309D1"/>
    <w:rsid w:val="00631716"/>
    <w:rsid w:val="0063179F"/>
    <w:rsid w:val="006317A4"/>
    <w:rsid w:val="00632259"/>
    <w:rsid w:val="00632765"/>
    <w:rsid w:val="00632DD8"/>
    <w:rsid w:val="00633879"/>
    <w:rsid w:val="006338DA"/>
    <w:rsid w:val="0063390C"/>
    <w:rsid w:val="00633A5E"/>
    <w:rsid w:val="00633F74"/>
    <w:rsid w:val="00635AEB"/>
    <w:rsid w:val="006363E4"/>
    <w:rsid w:val="00636944"/>
    <w:rsid w:val="00636EF8"/>
    <w:rsid w:val="00636FEF"/>
    <w:rsid w:val="0063715F"/>
    <w:rsid w:val="0063764D"/>
    <w:rsid w:val="006377DB"/>
    <w:rsid w:val="006379E2"/>
    <w:rsid w:val="006405A2"/>
    <w:rsid w:val="00640699"/>
    <w:rsid w:val="0064096C"/>
    <w:rsid w:val="006415EB"/>
    <w:rsid w:val="006417E0"/>
    <w:rsid w:val="006418D2"/>
    <w:rsid w:val="006419D4"/>
    <w:rsid w:val="00641B37"/>
    <w:rsid w:val="00641E1E"/>
    <w:rsid w:val="006420CC"/>
    <w:rsid w:val="00642453"/>
    <w:rsid w:val="00642DB5"/>
    <w:rsid w:val="00643B5D"/>
    <w:rsid w:val="006443B2"/>
    <w:rsid w:val="00645210"/>
    <w:rsid w:val="00645933"/>
    <w:rsid w:val="006459B3"/>
    <w:rsid w:val="00645D57"/>
    <w:rsid w:val="00646970"/>
    <w:rsid w:val="00646FDD"/>
    <w:rsid w:val="00647933"/>
    <w:rsid w:val="00647C38"/>
    <w:rsid w:val="00647D39"/>
    <w:rsid w:val="006500A2"/>
    <w:rsid w:val="0065058D"/>
    <w:rsid w:val="00650B9B"/>
    <w:rsid w:val="00650C5E"/>
    <w:rsid w:val="00651147"/>
    <w:rsid w:val="0065131D"/>
    <w:rsid w:val="00651DC1"/>
    <w:rsid w:val="00651FD6"/>
    <w:rsid w:val="0065220B"/>
    <w:rsid w:val="0065234B"/>
    <w:rsid w:val="0065252C"/>
    <w:rsid w:val="00652C8F"/>
    <w:rsid w:val="00653AC4"/>
    <w:rsid w:val="00653C52"/>
    <w:rsid w:val="006540C1"/>
    <w:rsid w:val="00654642"/>
    <w:rsid w:val="00654AF4"/>
    <w:rsid w:val="00654CB8"/>
    <w:rsid w:val="00654DFF"/>
    <w:rsid w:val="0065561D"/>
    <w:rsid w:val="006556B1"/>
    <w:rsid w:val="00655765"/>
    <w:rsid w:val="00655785"/>
    <w:rsid w:val="00655F61"/>
    <w:rsid w:val="006562F3"/>
    <w:rsid w:val="006565D3"/>
    <w:rsid w:val="00656F87"/>
    <w:rsid w:val="00656FC3"/>
    <w:rsid w:val="00657693"/>
    <w:rsid w:val="00657861"/>
    <w:rsid w:val="00657B97"/>
    <w:rsid w:val="00660010"/>
    <w:rsid w:val="00660083"/>
    <w:rsid w:val="00660680"/>
    <w:rsid w:val="00660BFB"/>
    <w:rsid w:val="00660CB2"/>
    <w:rsid w:val="00660E23"/>
    <w:rsid w:val="00660F74"/>
    <w:rsid w:val="00662A70"/>
    <w:rsid w:val="00662AF9"/>
    <w:rsid w:val="00662C14"/>
    <w:rsid w:val="00662C97"/>
    <w:rsid w:val="00662CBB"/>
    <w:rsid w:val="00662F3E"/>
    <w:rsid w:val="00663065"/>
    <w:rsid w:val="0066398B"/>
    <w:rsid w:val="00663F53"/>
    <w:rsid w:val="0066486A"/>
    <w:rsid w:val="0066527F"/>
    <w:rsid w:val="0066591D"/>
    <w:rsid w:val="00666754"/>
    <w:rsid w:val="00666AEA"/>
    <w:rsid w:val="00666ECC"/>
    <w:rsid w:val="0066700F"/>
    <w:rsid w:val="00667C61"/>
    <w:rsid w:val="00667FB2"/>
    <w:rsid w:val="00670043"/>
    <w:rsid w:val="006706A0"/>
    <w:rsid w:val="00670D2E"/>
    <w:rsid w:val="00670DE4"/>
    <w:rsid w:val="006720FA"/>
    <w:rsid w:val="00672502"/>
    <w:rsid w:val="0067269F"/>
    <w:rsid w:val="006726CB"/>
    <w:rsid w:val="0067272F"/>
    <w:rsid w:val="00673BA4"/>
    <w:rsid w:val="00674C5D"/>
    <w:rsid w:val="00674ED8"/>
    <w:rsid w:val="00675793"/>
    <w:rsid w:val="00675C5E"/>
    <w:rsid w:val="00676C24"/>
    <w:rsid w:val="00676F0B"/>
    <w:rsid w:val="006773D1"/>
    <w:rsid w:val="006801BB"/>
    <w:rsid w:val="006802E3"/>
    <w:rsid w:val="006808BE"/>
    <w:rsid w:val="00680CC6"/>
    <w:rsid w:val="00681010"/>
    <w:rsid w:val="0068241B"/>
    <w:rsid w:val="00683889"/>
    <w:rsid w:val="006842A2"/>
    <w:rsid w:val="00684529"/>
    <w:rsid w:val="006846DB"/>
    <w:rsid w:val="006848BB"/>
    <w:rsid w:val="00685075"/>
    <w:rsid w:val="00685101"/>
    <w:rsid w:val="00685339"/>
    <w:rsid w:val="00685597"/>
    <w:rsid w:val="00686338"/>
    <w:rsid w:val="00686F88"/>
    <w:rsid w:val="0068711D"/>
    <w:rsid w:val="0068731C"/>
    <w:rsid w:val="00687F2E"/>
    <w:rsid w:val="006904AD"/>
    <w:rsid w:val="006905F1"/>
    <w:rsid w:val="006912E6"/>
    <w:rsid w:val="006914E9"/>
    <w:rsid w:val="00691815"/>
    <w:rsid w:val="00691900"/>
    <w:rsid w:val="00691A83"/>
    <w:rsid w:val="00691E51"/>
    <w:rsid w:val="006920CA"/>
    <w:rsid w:val="006927F0"/>
    <w:rsid w:val="00692A8C"/>
    <w:rsid w:val="00692ACB"/>
    <w:rsid w:val="00692C4E"/>
    <w:rsid w:val="006936DB"/>
    <w:rsid w:val="00693801"/>
    <w:rsid w:val="00693C26"/>
    <w:rsid w:val="006944B8"/>
    <w:rsid w:val="00694706"/>
    <w:rsid w:val="00694BCE"/>
    <w:rsid w:val="00694DF8"/>
    <w:rsid w:val="00694EF7"/>
    <w:rsid w:val="006956E0"/>
    <w:rsid w:val="00695B57"/>
    <w:rsid w:val="00695D95"/>
    <w:rsid w:val="00695DDA"/>
    <w:rsid w:val="00696136"/>
    <w:rsid w:val="00696243"/>
    <w:rsid w:val="006962E6"/>
    <w:rsid w:val="0069657D"/>
    <w:rsid w:val="00696A8E"/>
    <w:rsid w:val="0069703E"/>
    <w:rsid w:val="00697208"/>
    <w:rsid w:val="00697A32"/>
    <w:rsid w:val="006A06E3"/>
    <w:rsid w:val="006A0B03"/>
    <w:rsid w:val="006A0B52"/>
    <w:rsid w:val="006A0E0E"/>
    <w:rsid w:val="006A0ECA"/>
    <w:rsid w:val="006A11F4"/>
    <w:rsid w:val="006A14A8"/>
    <w:rsid w:val="006A182D"/>
    <w:rsid w:val="006A1ADF"/>
    <w:rsid w:val="006A23AC"/>
    <w:rsid w:val="006A2835"/>
    <w:rsid w:val="006A3A19"/>
    <w:rsid w:val="006A3AC9"/>
    <w:rsid w:val="006A3B9E"/>
    <w:rsid w:val="006A3D6D"/>
    <w:rsid w:val="006A3D73"/>
    <w:rsid w:val="006A43EA"/>
    <w:rsid w:val="006A43F4"/>
    <w:rsid w:val="006A44E0"/>
    <w:rsid w:val="006A471A"/>
    <w:rsid w:val="006A5290"/>
    <w:rsid w:val="006A74B6"/>
    <w:rsid w:val="006A7591"/>
    <w:rsid w:val="006A777A"/>
    <w:rsid w:val="006A7AE9"/>
    <w:rsid w:val="006A7C9D"/>
    <w:rsid w:val="006B00AF"/>
    <w:rsid w:val="006B0264"/>
    <w:rsid w:val="006B1E59"/>
    <w:rsid w:val="006B2995"/>
    <w:rsid w:val="006B2F13"/>
    <w:rsid w:val="006B304E"/>
    <w:rsid w:val="006B3EFD"/>
    <w:rsid w:val="006B40C8"/>
    <w:rsid w:val="006B472A"/>
    <w:rsid w:val="006B4863"/>
    <w:rsid w:val="006B4921"/>
    <w:rsid w:val="006B549F"/>
    <w:rsid w:val="006B65CB"/>
    <w:rsid w:val="006B765D"/>
    <w:rsid w:val="006B79FE"/>
    <w:rsid w:val="006C04D7"/>
    <w:rsid w:val="006C0867"/>
    <w:rsid w:val="006C098C"/>
    <w:rsid w:val="006C12F3"/>
    <w:rsid w:val="006C1D4C"/>
    <w:rsid w:val="006C215A"/>
    <w:rsid w:val="006C24C7"/>
    <w:rsid w:val="006C273C"/>
    <w:rsid w:val="006C374A"/>
    <w:rsid w:val="006C3A0F"/>
    <w:rsid w:val="006C479E"/>
    <w:rsid w:val="006C4BF9"/>
    <w:rsid w:val="006C57FE"/>
    <w:rsid w:val="006C5AB5"/>
    <w:rsid w:val="006C6E36"/>
    <w:rsid w:val="006C705E"/>
    <w:rsid w:val="006C7216"/>
    <w:rsid w:val="006C7266"/>
    <w:rsid w:val="006D045E"/>
    <w:rsid w:val="006D0B6D"/>
    <w:rsid w:val="006D1549"/>
    <w:rsid w:val="006D1A5F"/>
    <w:rsid w:val="006D2A1A"/>
    <w:rsid w:val="006D2BE7"/>
    <w:rsid w:val="006D381C"/>
    <w:rsid w:val="006D39EA"/>
    <w:rsid w:val="006D3CE0"/>
    <w:rsid w:val="006D4801"/>
    <w:rsid w:val="006D487E"/>
    <w:rsid w:val="006D4A33"/>
    <w:rsid w:val="006D53DF"/>
    <w:rsid w:val="006D54F7"/>
    <w:rsid w:val="006D5604"/>
    <w:rsid w:val="006D5CDA"/>
    <w:rsid w:val="006D7902"/>
    <w:rsid w:val="006D799B"/>
    <w:rsid w:val="006D7C9D"/>
    <w:rsid w:val="006D7D85"/>
    <w:rsid w:val="006E045E"/>
    <w:rsid w:val="006E094F"/>
    <w:rsid w:val="006E09E9"/>
    <w:rsid w:val="006E0B21"/>
    <w:rsid w:val="006E171B"/>
    <w:rsid w:val="006E2290"/>
    <w:rsid w:val="006E2C6D"/>
    <w:rsid w:val="006E33D2"/>
    <w:rsid w:val="006E374B"/>
    <w:rsid w:val="006E3B50"/>
    <w:rsid w:val="006E44D3"/>
    <w:rsid w:val="006E4705"/>
    <w:rsid w:val="006E470D"/>
    <w:rsid w:val="006E4766"/>
    <w:rsid w:val="006E49DF"/>
    <w:rsid w:val="006E4E81"/>
    <w:rsid w:val="006E58CF"/>
    <w:rsid w:val="006E6241"/>
    <w:rsid w:val="006E645F"/>
    <w:rsid w:val="006E6F3D"/>
    <w:rsid w:val="006F0B4A"/>
    <w:rsid w:val="006F117D"/>
    <w:rsid w:val="006F1195"/>
    <w:rsid w:val="006F13F3"/>
    <w:rsid w:val="006F1DBD"/>
    <w:rsid w:val="006F1E00"/>
    <w:rsid w:val="006F28C3"/>
    <w:rsid w:val="006F2B59"/>
    <w:rsid w:val="006F2EAD"/>
    <w:rsid w:val="006F301F"/>
    <w:rsid w:val="006F4EDA"/>
    <w:rsid w:val="006F5847"/>
    <w:rsid w:val="006F5B1A"/>
    <w:rsid w:val="006F5F76"/>
    <w:rsid w:val="006F6790"/>
    <w:rsid w:val="006F7CC8"/>
    <w:rsid w:val="00700821"/>
    <w:rsid w:val="00700E98"/>
    <w:rsid w:val="007010A7"/>
    <w:rsid w:val="007011D1"/>
    <w:rsid w:val="007011D8"/>
    <w:rsid w:val="00702723"/>
    <w:rsid w:val="00703026"/>
    <w:rsid w:val="0070303A"/>
    <w:rsid w:val="0070328F"/>
    <w:rsid w:val="00704346"/>
    <w:rsid w:val="00704464"/>
    <w:rsid w:val="00704527"/>
    <w:rsid w:val="007048FB"/>
    <w:rsid w:val="0070522E"/>
    <w:rsid w:val="00705BD7"/>
    <w:rsid w:val="007061EC"/>
    <w:rsid w:val="0070642B"/>
    <w:rsid w:val="00706461"/>
    <w:rsid w:val="007068C5"/>
    <w:rsid w:val="00706995"/>
    <w:rsid w:val="00706C3A"/>
    <w:rsid w:val="00706E1E"/>
    <w:rsid w:val="007071D4"/>
    <w:rsid w:val="0070731B"/>
    <w:rsid w:val="00707C37"/>
    <w:rsid w:val="00710164"/>
    <w:rsid w:val="00710167"/>
    <w:rsid w:val="0071022D"/>
    <w:rsid w:val="00710595"/>
    <w:rsid w:val="00710870"/>
    <w:rsid w:val="007110B3"/>
    <w:rsid w:val="00711485"/>
    <w:rsid w:val="00712020"/>
    <w:rsid w:val="00712026"/>
    <w:rsid w:val="007121C0"/>
    <w:rsid w:val="00712638"/>
    <w:rsid w:val="0071276A"/>
    <w:rsid w:val="00712B22"/>
    <w:rsid w:val="00712D93"/>
    <w:rsid w:val="00713806"/>
    <w:rsid w:val="00713863"/>
    <w:rsid w:val="007139BF"/>
    <w:rsid w:val="00713C11"/>
    <w:rsid w:val="00714A38"/>
    <w:rsid w:val="00714B10"/>
    <w:rsid w:val="00714B64"/>
    <w:rsid w:val="00714BA7"/>
    <w:rsid w:val="00714F03"/>
    <w:rsid w:val="00715383"/>
    <w:rsid w:val="00715C06"/>
    <w:rsid w:val="00716D4E"/>
    <w:rsid w:val="0071717E"/>
    <w:rsid w:val="00720A2C"/>
    <w:rsid w:val="00720B85"/>
    <w:rsid w:val="00720C22"/>
    <w:rsid w:val="00720C6E"/>
    <w:rsid w:val="00720E58"/>
    <w:rsid w:val="00720E79"/>
    <w:rsid w:val="00721335"/>
    <w:rsid w:val="007214D2"/>
    <w:rsid w:val="0072206C"/>
    <w:rsid w:val="00722093"/>
    <w:rsid w:val="007223DC"/>
    <w:rsid w:val="0072242A"/>
    <w:rsid w:val="00722BE6"/>
    <w:rsid w:val="00722CD9"/>
    <w:rsid w:val="00722E26"/>
    <w:rsid w:val="00722EF9"/>
    <w:rsid w:val="007232F1"/>
    <w:rsid w:val="00723F60"/>
    <w:rsid w:val="0072433F"/>
    <w:rsid w:val="0072454A"/>
    <w:rsid w:val="007245B1"/>
    <w:rsid w:val="00724952"/>
    <w:rsid w:val="00724CD4"/>
    <w:rsid w:val="00725D1A"/>
    <w:rsid w:val="00725DF3"/>
    <w:rsid w:val="00726B7D"/>
    <w:rsid w:val="00726EC0"/>
    <w:rsid w:val="00727285"/>
    <w:rsid w:val="00727380"/>
    <w:rsid w:val="00727D91"/>
    <w:rsid w:val="00727E44"/>
    <w:rsid w:val="00730152"/>
    <w:rsid w:val="007301B7"/>
    <w:rsid w:val="0073071A"/>
    <w:rsid w:val="00730C8D"/>
    <w:rsid w:val="00730DD2"/>
    <w:rsid w:val="007310E4"/>
    <w:rsid w:val="00731129"/>
    <w:rsid w:val="00731791"/>
    <w:rsid w:val="00731884"/>
    <w:rsid w:val="00732732"/>
    <w:rsid w:val="00732AF5"/>
    <w:rsid w:val="0073397C"/>
    <w:rsid w:val="00734051"/>
    <w:rsid w:val="00734519"/>
    <w:rsid w:val="0073458B"/>
    <w:rsid w:val="00734B84"/>
    <w:rsid w:val="00735EBF"/>
    <w:rsid w:val="007365ED"/>
    <w:rsid w:val="007367B3"/>
    <w:rsid w:val="00736927"/>
    <w:rsid w:val="00737A4B"/>
    <w:rsid w:val="00740008"/>
    <w:rsid w:val="00740356"/>
    <w:rsid w:val="00740FB0"/>
    <w:rsid w:val="00741355"/>
    <w:rsid w:val="00741C56"/>
    <w:rsid w:val="00741C83"/>
    <w:rsid w:val="00741E9A"/>
    <w:rsid w:val="0074283C"/>
    <w:rsid w:val="00742891"/>
    <w:rsid w:val="00742C3D"/>
    <w:rsid w:val="00742DAD"/>
    <w:rsid w:val="00743455"/>
    <w:rsid w:val="007435B8"/>
    <w:rsid w:val="007444AE"/>
    <w:rsid w:val="007444FF"/>
    <w:rsid w:val="007447C6"/>
    <w:rsid w:val="007449FE"/>
    <w:rsid w:val="00744CEC"/>
    <w:rsid w:val="00745A05"/>
    <w:rsid w:val="00745F8E"/>
    <w:rsid w:val="00746564"/>
    <w:rsid w:val="00746721"/>
    <w:rsid w:val="00747741"/>
    <w:rsid w:val="00747ACE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635"/>
    <w:rsid w:val="00753DA5"/>
    <w:rsid w:val="0075457B"/>
    <w:rsid w:val="00754E53"/>
    <w:rsid w:val="0075502B"/>
    <w:rsid w:val="007553C5"/>
    <w:rsid w:val="00755633"/>
    <w:rsid w:val="007559CB"/>
    <w:rsid w:val="00755B6F"/>
    <w:rsid w:val="007568DD"/>
    <w:rsid w:val="00756A17"/>
    <w:rsid w:val="00756B41"/>
    <w:rsid w:val="007570C3"/>
    <w:rsid w:val="007576EC"/>
    <w:rsid w:val="00757957"/>
    <w:rsid w:val="00760978"/>
    <w:rsid w:val="00760D42"/>
    <w:rsid w:val="007623B0"/>
    <w:rsid w:val="00762A7D"/>
    <w:rsid w:val="00762F6E"/>
    <w:rsid w:val="0076375B"/>
    <w:rsid w:val="00763B9E"/>
    <w:rsid w:val="00763D31"/>
    <w:rsid w:val="00764588"/>
    <w:rsid w:val="007648FE"/>
    <w:rsid w:val="00764B39"/>
    <w:rsid w:val="00766264"/>
    <w:rsid w:val="007664EA"/>
    <w:rsid w:val="007667C4"/>
    <w:rsid w:val="007668E1"/>
    <w:rsid w:val="007670FC"/>
    <w:rsid w:val="00767282"/>
    <w:rsid w:val="007678B9"/>
    <w:rsid w:val="00767DDD"/>
    <w:rsid w:val="00767F7F"/>
    <w:rsid w:val="007703EA"/>
    <w:rsid w:val="00770C49"/>
    <w:rsid w:val="0077130E"/>
    <w:rsid w:val="007713D7"/>
    <w:rsid w:val="00771BF6"/>
    <w:rsid w:val="0077249A"/>
    <w:rsid w:val="0077262C"/>
    <w:rsid w:val="007729C2"/>
    <w:rsid w:val="00772A29"/>
    <w:rsid w:val="00773B3E"/>
    <w:rsid w:val="00773E65"/>
    <w:rsid w:val="007741B0"/>
    <w:rsid w:val="007745D3"/>
    <w:rsid w:val="007746DC"/>
    <w:rsid w:val="00774AB8"/>
    <w:rsid w:val="0077558B"/>
    <w:rsid w:val="007756E4"/>
    <w:rsid w:val="00776874"/>
    <w:rsid w:val="00776F97"/>
    <w:rsid w:val="0077726C"/>
    <w:rsid w:val="00777AAB"/>
    <w:rsid w:val="00780654"/>
    <w:rsid w:val="00780FF9"/>
    <w:rsid w:val="00781069"/>
    <w:rsid w:val="0078285C"/>
    <w:rsid w:val="00782B30"/>
    <w:rsid w:val="00782FA6"/>
    <w:rsid w:val="00783A36"/>
    <w:rsid w:val="007845D4"/>
    <w:rsid w:val="00784DF0"/>
    <w:rsid w:val="00785A38"/>
    <w:rsid w:val="00785C2A"/>
    <w:rsid w:val="0078668F"/>
    <w:rsid w:val="00786890"/>
    <w:rsid w:val="0078700E"/>
    <w:rsid w:val="00787093"/>
    <w:rsid w:val="00787339"/>
    <w:rsid w:val="0078755B"/>
    <w:rsid w:val="00787B59"/>
    <w:rsid w:val="00787EB2"/>
    <w:rsid w:val="007900A9"/>
    <w:rsid w:val="00790CB9"/>
    <w:rsid w:val="00790DC4"/>
    <w:rsid w:val="007910C3"/>
    <w:rsid w:val="00791110"/>
    <w:rsid w:val="00791250"/>
    <w:rsid w:val="0079150D"/>
    <w:rsid w:val="00791DE1"/>
    <w:rsid w:val="00791E01"/>
    <w:rsid w:val="00793181"/>
    <w:rsid w:val="007936BD"/>
    <w:rsid w:val="007936C1"/>
    <w:rsid w:val="00793B85"/>
    <w:rsid w:val="00793D45"/>
    <w:rsid w:val="00793E77"/>
    <w:rsid w:val="00795E20"/>
    <w:rsid w:val="00796787"/>
    <w:rsid w:val="007975BD"/>
    <w:rsid w:val="007978C7"/>
    <w:rsid w:val="00797B7E"/>
    <w:rsid w:val="007A0504"/>
    <w:rsid w:val="007A05A2"/>
    <w:rsid w:val="007A10D6"/>
    <w:rsid w:val="007A12EE"/>
    <w:rsid w:val="007A138C"/>
    <w:rsid w:val="007A1834"/>
    <w:rsid w:val="007A1856"/>
    <w:rsid w:val="007A1C3A"/>
    <w:rsid w:val="007A1E52"/>
    <w:rsid w:val="007A2A4D"/>
    <w:rsid w:val="007A2DE3"/>
    <w:rsid w:val="007A31B2"/>
    <w:rsid w:val="007A3629"/>
    <w:rsid w:val="007A385C"/>
    <w:rsid w:val="007A38F5"/>
    <w:rsid w:val="007A3D24"/>
    <w:rsid w:val="007A4755"/>
    <w:rsid w:val="007A4860"/>
    <w:rsid w:val="007A4CAF"/>
    <w:rsid w:val="007A4F7B"/>
    <w:rsid w:val="007A61E4"/>
    <w:rsid w:val="007A704A"/>
    <w:rsid w:val="007A7242"/>
    <w:rsid w:val="007B01CF"/>
    <w:rsid w:val="007B12B0"/>
    <w:rsid w:val="007B1392"/>
    <w:rsid w:val="007B1785"/>
    <w:rsid w:val="007B215A"/>
    <w:rsid w:val="007B22DC"/>
    <w:rsid w:val="007B24F0"/>
    <w:rsid w:val="007B34DC"/>
    <w:rsid w:val="007B38C5"/>
    <w:rsid w:val="007B3A98"/>
    <w:rsid w:val="007B4008"/>
    <w:rsid w:val="007B4777"/>
    <w:rsid w:val="007B49C4"/>
    <w:rsid w:val="007B4D74"/>
    <w:rsid w:val="007B4DC6"/>
    <w:rsid w:val="007B5132"/>
    <w:rsid w:val="007B69E8"/>
    <w:rsid w:val="007B6C17"/>
    <w:rsid w:val="007B743C"/>
    <w:rsid w:val="007C0165"/>
    <w:rsid w:val="007C0202"/>
    <w:rsid w:val="007C048B"/>
    <w:rsid w:val="007C04B1"/>
    <w:rsid w:val="007C0508"/>
    <w:rsid w:val="007C057E"/>
    <w:rsid w:val="007C1541"/>
    <w:rsid w:val="007C19DF"/>
    <w:rsid w:val="007C1D76"/>
    <w:rsid w:val="007C25B8"/>
    <w:rsid w:val="007C25F8"/>
    <w:rsid w:val="007C3205"/>
    <w:rsid w:val="007C377E"/>
    <w:rsid w:val="007C4439"/>
    <w:rsid w:val="007C44DC"/>
    <w:rsid w:val="007C4545"/>
    <w:rsid w:val="007C45F7"/>
    <w:rsid w:val="007C46D1"/>
    <w:rsid w:val="007C47C2"/>
    <w:rsid w:val="007C4822"/>
    <w:rsid w:val="007C4DEF"/>
    <w:rsid w:val="007C5091"/>
    <w:rsid w:val="007C5468"/>
    <w:rsid w:val="007C55F1"/>
    <w:rsid w:val="007C58AB"/>
    <w:rsid w:val="007C6148"/>
    <w:rsid w:val="007C6471"/>
    <w:rsid w:val="007C6900"/>
    <w:rsid w:val="007C69A9"/>
    <w:rsid w:val="007C6C60"/>
    <w:rsid w:val="007C6C8E"/>
    <w:rsid w:val="007C6D07"/>
    <w:rsid w:val="007C745C"/>
    <w:rsid w:val="007C7578"/>
    <w:rsid w:val="007C7E7C"/>
    <w:rsid w:val="007C7F4C"/>
    <w:rsid w:val="007D065E"/>
    <w:rsid w:val="007D07C1"/>
    <w:rsid w:val="007D0A94"/>
    <w:rsid w:val="007D0B22"/>
    <w:rsid w:val="007D0BD6"/>
    <w:rsid w:val="007D0D5B"/>
    <w:rsid w:val="007D0E0C"/>
    <w:rsid w:val="007D10F6"/>
    <w:rsid w:val="007D143D"/>
    <w:rsid w:val="007D2388"/>
    <w:rsid w:val="007D25B9"/>
    <w:rsid w:val="007D2BE8"/>
    <w:rsid w:val="007D3066"/>
    <w:rsid w:val="007D421B"/>
    <w:rsid w:val="007D423B"/>
    <w:rsid w:val="007D4490"/>
    <w:rsid w:val="007D4579"/>
    <w:rsid w:val="007D48A9"/>
    <w:rsid w:val="007D4E28"/>
    <w:rsid w:val="007D50B3"/>
    <w:rsid w:val="007D51EB"/>
    <w:rsid w:val="007D58BB"/>
    <w:rsid w:val="007D5B4A"/>
    <w:rsid w:val="007D6835"/>
    <w:rsid w:val="007D6A93"/>
    <w:rsid w:val="007D7CDE"/>
    <w:rsid w:val="007D7DC7"/>
    <w:rsid w:val="007E01AF"/>
    <w:rsid w:val="007E030F"/>
    <w:rsid w:val="007E0772"/>
    <w:rsid w:val="007E0D31"/>
    <w:rsid w:val="007E0E04"/>
    <w:rsid w:val="007E0EF9"/>
    <w:rsid w:val="007E15B8"/>
    <w:rsid w:val="007E21D9"/>
    <w:rsid w:val="007E287E"/>
    <w:rsid w:val="007E2BDD"/>
    <w:rsid w:val="007E34DE"/>
    <w:rsid w:val="007E45CA"/>
    <w:rsid w:val="007E48C0"/>
    <w:rsid w:val="007E5885"/>
    <w:rsid w:val="007E61B7"/>
    <w:rsid w:val="007E64FF"/>
    <w:rsid w:val="007E6F62"/>
    <w:rsid w:val="007E6FEA"/>
    <w:rsid w:val="007E7C7B"/>
    <w:rsid w:val="007E7DA1"/>
    <w:rsid w:val="007E7E0F"/>
    <w:rsid w:val="007E7F8F"/>
    <w:rsid w:val="007F015E"/>
    <w:rsid w:val="007F03AE"/>
    <w:rsid w:val="007F1160"/>
    <w:rsid w:val="007F194F"/>
    <w:rsid w:val="007F1D9B"/>
    <w:rsid w:val="007F21B0"/>
    <w:rsid w:val="007F245E"/>
    <w:rsid w:val="007F26BE"/>
    <w:rsid w:val="007F2DE9"/>
    <w:rsid w:val="007F341B"/>
    <w:rsid w:val="007F358F"/>
    <w:rsid w:val="007F3682"/>
    <w:rsid w:val="007F3786"/>
    <w:rsid w:val="007F3915"/>
    <w:rsid w:val="007F3AA2"/>
    <w:rsid w:val="007F3B45"/>
    <w:rsid w:val="007F3E3E"/>
    <w:rsid w:val="007F4A9E"/>
    <w:rsid w:val="007F4ABC"/>
    <w:rsid w:val="007F4D45"/>
    <w:rsid w:val="007F510F"/>
    <w:rsid w:val="007F545B"/>
    <w:rsid w:val="007F5687"/>
    <w:rsid w:val="007F59B2"/>
    <w:rsid w:val="007F61E3"/>
    <w:rsid w:val="007F6313"/>
    <w:rsid w:val="007F63DB"/>
    <w:rsid w:val="007F6607"/>
    <w:rsid w:val="007F7865"/>
    <w:rsid w:val="007F7A18"/>
    <w:rsid w:val="007F7CBF"/>
    <w:rsid w:val="007F7FB3"/>
    <w:rsid w:val="0080026A"/>
    <w:rsid w:val="00800340"/>
    <w:rsid w:val="0080040A"/>
    <w:rsid w:val="00800953"/>
    <w:rsid w:val="00801255"/>
    <w:rsid w:val="0080197B"/>
    <w:rsid w:val="00801C1F"/>
    <w:rsid w:val="008021D3"/>
    <w:rsid w:val="00802849"/>
    <w:rsid w:val="00802971"/>
    <w:rsid w:val="00802BEE"/>
    <w:rsid w:val="008038E3"/>
    <w:rsid w:val="008038F6"/>
    <w:rsid w:val="00804558"/>
    <w:rsid w:val="008047AE"/>
    <w:rsid w:val="008047DF"/>
    <w:rsid w:val="00804B21"/>
    <w:rsid w:val="0080521C"/>
    <w:rsid w:val="00805483"/>
    <w:rsid w:val="0080585D"/>
    <w:rsid w:val="00805A91"/>
    <w:rsid w:val="008060B8"/>
    <w:rsid w:val="00806273"/>
    <w:rsid w:val="0080661F"/>
    <w:rsid w:val="00806EFD"/>
    <w:rsid w:val="00807074"/>
    <w:rsid w:val="00807E43"/>
    <w:rsid w:val="00807F69"/>
    <w:rsid w:val="00810368"/>
    <w:rsid w:val="008108B5"/>
    <w:rsid w:val="00810BE7"/>
    <w:rsid w:val="00810E8B"/>
    <w:rsid w:val="00811336"/>
    <w:rsid w:val="0081165D"/>
    <w:rsid w:val="00811B28"/>
    <w:rsid w:val="00812862"/>
    <w:rsid w:val="00812A7A"/>
    <w:rsid w:val="0081362B"/>
    <w:rsid w:val="008142D0"/>
    <w:rsid w:val="0081450B"/>
    <w:rsid w:val="0081467F"/>
    <w:rsid w:val="0081496A"/>
    <w:rsid w:val="00815067"/>
    <w:rsid w:val="008150A0"/>
    <w:rsid w:val="00815339"/>
    <w:rsid w:val="008154F1"/>
    <w:rsid w:val="0081591F"/>
    <w:rsid w:val="00815A7E"/>
    <w:rsid w:val="00815A99"/>
    <w:rsid w:val="00815E5B"/>
    <w:rsid w:val="008160D1"/>
    <w:rsid w:val="008162B3"/>
    <w:rsid w:val="0081640D"/>
    <w:rsid w:val="0081687A"/>
    <w:rsid w:val="008169A1"/>
    <w:rsid w:val="00816B62"/>
    <w:rsid w:val="00816D37"/>
    <w:rsid w:val="00817598"/>
    <w:rsid w:val="00820160"/>
    <w:rsid w:val="008201D5"/>
    <w:rsid w:val="0082022B"/>
    <w:rsid w:val="008205A2"/>
    <w:rsid w:val="00820E0E"/>
    <w:rsid w:val="00821237"/>
    <w:rsid w:val="008216DA"/>
    <w:rsid w:val="008217C3"/>
    <w:rsid w:val="00821868"/>
    <w:rsid w:val="008218B1"/>
    <w:rsid w:val="008219B8"/>
    <w:rsid w:val="00821ECA"/>
    <w:rsid w:val="00822414"/>
    <w:rsid w:val="00822CB9"/>
    <w:rsid w:val="00822E2C"/>
    <w:rsid w:val="00823116"/>
    <w:rsid w:val="0082350E"/>
    <w:rsid w:val="00823658"/>
    <w:rsid w:val="008239BF"/>
    <w:rsid w:val="00823B36"/>
    <w:rsid w:val="00823DD1"/>
    <w:rsid w:val="0082488C"/>
    <w:rsid w:val="00824DE6"/>
    <w:rsid w:val="00824F18"/>
    <w:rsid w:val="008251E7"/>
    <w:rsid w:val="00825417"/>
    <w:rsid w:val="00826181"/>
    <w:rsid w:val="008262BC"/>
    <w:rsid w:val="008266A2"/>
    <w:rsid w:val="008267AE"/>
    <w:rsid w:val="00826970"/>
    <w:rsid w:val="00826F38"/>
    <w:rsid w:val="008304AD"/>
    <w:rsid w:val="00830B33"/>
    <w:rsid w:val="00830C85"/>
    <w:rsid w:val="0083118A"/>
    <w:rsid w:val="00831523"/>
    <w:rsid w:val="00831784"/>
    <w:rsid w:val="00831CBC"/>
    <w:rsid w:val="00832727"/>
    <w:rsid w:val="00832DD6"/>
    <w:rsid w:val="00833563"/>
    <w:rsid w:val="008337C1"/>
    <w:rsid w:val="00833C32"/>
    <w:rsid w:val="00834D2B"/>
    <w:rsid w:val="00834F23"/>
    <w:rsid w:val="00835092"/>
    <w:rsid w:val="0083530B"/>
    <w:rsid w:val="008353B6"/>
    <w:rsid w:val="00836A67"/>
    <w:rsid w:val="00836CEB"/>
    <w:rsid w:val="0083757A"/>
    <w:rsid w:val="00840EAF"/>
    <w:rsid w:val="008416BF"/>
    <w:rsid w:val="008416FD"/>
    <w:rsid w:val="0084188F"/>
    <w:rsid w:val="00841EF2"/>
    <w:rsid w:val="00842659"/>
    <w:rsid w:val="0084293A"/>
    <w:rsid w:val="0084354C"/>
    <w:rsid w:val="0084375D"/>
    <w:rsid w:val="00843F90"/>
    <w:rsid w:val="0084416F"/>
    <w:rsid w:val="00844462"/>
    <w:rsid w:val="008449FE"/>
    <w:rsid w:val="00845515"/>
    <w:rsid w:val="00845520"/>
    <w:rsid w:val="00845FC4"/>
    <w:rsid w:val="008461B0"/>
    <w:rsid w:val="00846C9F"/>
    <w:rsid w:val="00846D16"/>
    <w:rsid w:val="00846F4C"/>
    <w:rsid w:val="00847539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CF"/>
    <w:rsid w:val="00853510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4F78"/>
    <w:rsid w:val="008557C7"/>
    <w:rsid w:val="008558ED"/>
    <w:rsid w:val="008558FF"/>
    <w:rsid w:val="00855CFC"/>
    <w:rsid w:val="00855FD5"/>
    <w:rsid w:val="00856049"/>
    <w:rsid w:val="0085632A"/>
    <w:rsid w:val="008568BB"/>
    <w:rsid w:val="00856E96"/>
    <w:rsid w:val="00857822"/>
    <w:rsid w:val="00857C93"/>
    <w:rsid w:val="008602E5"/>
    <w:rsid w:val="00860BEF"/>
    <w:rsid w:val="00860D51"/>
    <w:rsid w:val="008611C1"/>
    <w:rsid w:val="0086151A"/>
    <w:rsid w:val="0086173C"/>
    <w:rsid w:val="00861DA4"/>
    <w:rsid w:val="00862248"/>
    <w:rsid w:val="00862330"/>
    <w:rsid w:val="0086245E"/>
    <w:rsid w:val="0086264B"/>
    <w:rsid w:val="008626E9"/>
    <w:rsid w:val="008626EB"/>
    <w:rsid w:val="00862EFD"/>
    <w:rsid w:val="0086323F"/>
    <w:rsid w:val="00863252"/>
    <w:rsid w:val="008638FB"/>
    <w:rsid w:val="0086444C"/>
    <w:rsid w:val="008644B1"/>
    <w:rsid w:val="00864768"/>
    <w:rsid w:val="008658AB"/>
    <w:rsid w:val="00865B18"/>
    <w:rsid w:val="0086672E"/>
    <w:rsid w:val="0086697E"/>
    <w:rsid w:val="00866CF2"/>
    <w:rsid w:val="00867442"/>
    <w:rsid w:val="008675EC"/>
    <w:rsid w:val="008679CE"/>
    <w:rsid w:val="00867DA7"/>
    <w:rsid w:val="008705A8"/>
    <w:rsid w:val="008718FC"/>
    <w:rsid w:val="00871CC2"/>
    <w:rsid w:val="00871F4F"/>
    <w:rsid w:val="0087200D"/>
    <w:rsid w:val="008720A2"/>
    <w:rsid w:val="00872131"/>
    <w:rsid w:val="008721C9"/>
    <w:rsid w:val="008723B8"/>
    <w:rsid w:val="008725F5"/>
    <w:rsid w:val="00873147"/>
    <w:rsid w:val="008735C5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111"/>
    <w:rsid w:val="00875F4F"/>
    <w:rsid w:val="00876091"/>
    <w:rsid w:val="008762D8"/>
    <w:rsid w:val="00876989"/>
    <w:rsid w:val="008770D2"/>
    <w:rsid w:val="008772D9"/>
    <w:rsid w:val="00877B29"/>
    <w:rsid w:val="00880143"/>
    <w:rsid w:val="008808B9"/>
    <w:rsid w:val="00880B30"/>
    <w:rsid w:val="00880E1C"/>
    <w:rsid w:val="00880F1D"/>
    <w:rsid w:val="0088172A"/>
    <w:rsid w:val="00881784"/>
    <w:rsid w:val="00881F90"/>
    <w:rsid w:val="0088265F"/>
    <w:rsid w:val="00882EC7"/>
    <w:rsid w:val="0088350D"/>
    <w:rsid w:val="00883DAB"/>
    <w:rsid w:val="008851C4"/>
    <w:rsid w:val="00885258"/>
    <w:rsid w:val="00885513"/>
    <w:rsid w:val="00885696"/>
    <w:rsid w:val="0088570A"/>
    <w:rsid w:val="00885E9D"/>
    <w:rsid w:val="0088636E"/>
    <w:rsid w:val="008864A7"/>
    <w:rsid w:val="008864D3"/>
    <w:rsid w:val="0088666A"/>
    <w:rsid w:val="0088688A"/>
    <w:rsid w:val="00886A9E"/>
    <w:rsid w:val="00886DC9"/>
    <w:rsid w:val="00886EC7"/>
    <w:rsid w:val="00887027"/>
    <w:rsid w:val="00887184"/>
    <w:rsid w:val="008875B1"/>
    <w:rsid w:val="008879EA"/>
    <w:rsid w:val="00887AC8"/>
    <w:rsid w:val="00887DD9"/>
    <w:rsid w:val="00890139"/>
    <w:rsid w:val="0089105B"/>
    <w:rsid w:val="0089160E"/>
    <w:rsid w:val="00891D15"/>
    <w:rsid w:val="008921B1"/>
    <w:rsid w:val="00892687"/>
    <w:rsid w:val="00893386"/>
    <w:rsid w:val="0089363C"/>
    <w:rsid w:val="00893657"/>
    <w:rsid w:val="00893671"/>
    <w:rsid w:val="00893D79"/>
    <w:rsid w:val="00893E3A"/>
    <w:rsid w:val="008940DF"/>
    <w:rsid w:val="008941FB"/>
    <w:rsid w:val="00894565"/>
    <w:rsid w:val="008950D6"/>
    <w:rsid w:val="00895B46"/>
    <w:rsid w:val="00895F47"/>
    <w:rsid w:val="008962AD"/>
    <w:rsid w:val="00896474"/>
    <w:rsid w:val="00896DBC"/>
    <w:rsid w:val="008973E9"/>
    <w:rsid w:val="0089778E"/>
    <w:rsid w:val="00897B04"/>
    <w:rsid w:val="00897B59"/>
    <w:rsid w:val="00897C6C"/>
    <w:rsid w:val="00897D1A"/>
    <w:rsid w:val="008A0905"/>
    <w:rsid w:val="008A0B02"/>
    <w:rsid w:val="008A0E0D"/>
    <w:rsid w:val="008A1013"/>
    <w:rsid w:val="008A10E7"/>
    <w:rsid w:val="008A154A"/>
    <w:rsid w:val="008A155C"/>
    <w:rsid w:val="008A180E"/>
    <w:rsid w:val="008A197C"/>
    <w:rsid w:val="008A1A18"/>
    <w:rsid w:val="008A1DDF"/>
    <w:rsid w:val="008A2545"/>
    <w:rsid w:val="008A2636"/>
    <w:rsid w:val="008A35DB"/>
    <w:rsid w:val="008A3AF9"/>
    <w:rsid w:val="008A3FBE"/>
    <w:rsid w:val="008A4013"/>
    <w:rsid w:val="008A42FA"/>
    <w:rsid w:val="008A4C9C"/>
    <w:rsid w:val="008A6041"/>
    <w:rsid w:val="008A60F8"/>
    <w:rsid w:val="008A66A8"/>
    <w:rsid w:val="008A698D"/>
    <w:rsid w:val="008A69FE"/>
    <w:rsid w:val="008A6EC7"/>
    <w:rsid w:val="008A6F36"/>
    <w:rsid w:val="008A7286"/>
    <w:rsid w:val="008A7B50"/>
    <w:rsid w:val="008B0641"/>
    <w:rsid w:val="008B0EB7"/>
    <w:rsid w:val="008B138E"/>
    <w:rsid w:val="008B168B"/>
    <w:rsid w:val="008B1C78"/>
    <w:rsid w:val="008B1EFD"/>
    <w:rsid w:val="008B1F87"/>
    <w:rsid w:val="008B28BD"/>
    <w:rsid w:val="008B2E96"/>
    <w:rsid w:val="008B2F53"/>
    <w:rsid w:val="008B3006"/>
    <w:rsid w:val="008B3139"/>
    <w:rsid w:val="008B3B50"/>
    <w:rsid w:val="008B3D47"/>
    <w:rsid w:val="008B423B"/>
    <w:rsid w:val="008B44CB"/>
    <w:rsid w:val="008B46D2"/>
    <w:rsid w:val="008B5253"/>
    <w:rsid w:val="008B53D8"/>
    <w:rsid w:val="008B63BE"/>
    <w:rsid w:val="008B640E"/>
    <w:rsid w:val="008B6505"/>
    <w:rsid w:val="008B688D"/>
    <w:rsid w:val="008B6E96"/>
    <w:rsid w:val="008B70EE"/>
    <w:rsid w:val="008B715C"/>
    <w:rsid w:val="008B75B8"/>
    <w:rsid w:val="008B76DF"/>
    <w:rsid w:val="008C0EAD"/>
    <w:rsid w:val="008C1442"/>
    <w:rsid w:val="008C1693"/>
    <w:rsid w:val="008C174E"/>
    <w:rsid w:val="008C19D9"/>
    <w:rsid w:val="008C1A5E"/>
    <w:rsid w:val="008C1A81"/>
    <w:rsid w:val="008C2933"/>
    <w:rsid w:val="008C29FE"/>
    <w:rsid w:val="008C32CA"/>
    <w:rsid w:val="008C3967"/>
    <w:rsid w:val="008C431E"/>
    <w:rsid w:val="008C4A36"/>
    <w:rsid w:val="008C54BD"/>
    <w:rsid w:val="008C54C4"/>
    <w:rsid w:val="008C55A5"/>
    <w:rsid w:val="008C6056"/>
    <w:rsid w:val="008C60C4"/>
    <w:rsid w:val="008C6628"/>
    <w:rsid w:val="008C69C9"/>
    <w:rsid w:val="008C6E38"/>
    <w:rsid w:val="008C6F75"/>
    <w:rsid w:val="008C790B"/>
    <w:rsid w:val="008C7B71"/>
    <w:rsid w:val="008C7C18"/>
    <w:rsid w:val="008C7CC4"/>
    <w:rsid w:val="008D03D4"/>
    <w:rsid w:val="008D047D"/>
    <w:rsid w:val="008D0618"/>
    <w:rsid w:val="008D0B4C"/>
    <w:rsid w:val="008D14C4"/>
    <w:rsid w:val="008D1800"/>
    <w:rsid w:val="008D1964"/>
    <w:rsid w:val="008D221A"/>
    <w:rsid w:val="008D24D6"/>
    <w:rsid w:val="008D24E1"/>
    <w:rsid w:val="008D3E6A"/>
    <w:rsid w:val="008D4A8B"/>
    <w:rsid w:val="008D53E2"/>
    <w:rsid w:val="008D5908"/>
    <w:rsid w:val="008D5AF1"/>
    <w:rsid w:val="008D626C"/>
    <w:rsid w:val="008D6A6E"/>
    <w:rsid w:val="008D781F"/>
    <w:rsid w:val="008D7DBE"/>
    <w:rsid w:val="008E02B7"/>
    <w:rsid w:val="008E10C8"/>
    <w:rsid w:val="008E20BE"/>
    <w:rsid w:val="008E241B"/>
    <w:rsid w:val="008E270A"/>
    <w:rsid w:val="008E2EC9"/>
    <w:rsid w:val="008E3096"/>
    <w:rsid w:val="008E330C"/>
    <w:rsid w:val="008E332F"/>
    <w:rsid w:val="008E3BB5"/>
    <w:rsid w:val="008E4114"/>
    <w:rsid w:val="008E45EA"/>
    <w:rsid w:val="008E4A1A"/>
    <w:rsid w:val="008E4E8F"/>
    <w:rsid w:val="008E5E01"/>
    <w:rsid w:val="008E69A3"/>
    <w:rsid w:val="008E6C74"/>
    <w:rsid w:val="008E7562"/>
    <w:rsid w:val="008E7CC9"/>
    <w:rsid w:val="008F02A1"/>
    <w:rsid w:val="008F0624"/>
    <w:rsid w:val="008F0E69"/>
    <w:rsid w:val="008F0F3B"/>
    <w:rsid w:val="008F12FF"/>
    <w:rsid w:val="008F243C"/>
    <w:rsid w:val="008F2672"/>
    <w:rsid w:val="008F2CC2"/>
    <w:rsid w:val="008F2E53"/>
    <w:rsid w:val="008F3CEF"/>
    <w:rsid w:val="008F3D3E"/>
    <w:rsid w:val="008F3F31"/>
    <w:rsid w:val="008F4655"/>
    <w:rsid w:val="008F4779"/>
    <w:rsid w:val="008F50B1"/>
    <w:rsid w:val="008F542B"/>
    <w:rsid w:val="008F5670"/>
    <w:rsid w:val="008F599F"/>
    <w:rsid w:val="008F63DF"/>
    <w:rsid w:val="008F6428"/>
    <w:rsid w:val="008F64E5"/>
    <w:rsid w:val="008F677E"/>
    <w:rsid w:val="008F7753"/>
    <w:rsid w:val="008F7C28"/>
    <w:rsid w:val="0090034D"/>
    <w:rsid w:val="0090094E"/>
    <w:rsid w:val="00900EC7"/>
    <w:rsid w:val="00900FFC"/>
    <w:rsid w:val="009011F9"/>
    <w:rsid w:val="00901244"/>
    <w:rsid w:val="00901775"/>
    <w:rsid w:val="00901955"/>
    <w:rsid w:val="00901979"/>
    <w:rsid w:val="00901C3E"/>
    <w:rsid w:val="00902357"/>
    <w:rsid w:val="0090242A"/>
    <w:rsid w:val="00902C85"/>
    <w:rsid w:val="00902DB3"/>
    <w:rsid w:val="009030F7"/>
    <w:rsid w:val="0090345A"/>
    <w:rsid w:val="009034D9"/>
    <w:rsid w:val="00903691"/>
    <w:rsid w:val="009046C9"/>
    <w:rsid w:val="009046F1"/>
    <w:rsid w:val="00904717"/>
    <w:rsid w:val="00904866"/>
    <w:rsid w:val="00904883"/>
    <w:rsid w:val="00904B0A"/>
    <w:rsid w:val="00904F84"/>
    <w:rsid w:val="009055DD"/>
    <w:rsid w:val="00905E9F"/>
    <w:rsid w:val="0090616A"/>
    <w:rsid w:val="00906527"/>
    <w:rsid w:val="00906BD9"/>
    <w:rsid w:val="00906EA0"/>
    <w:rsid w:val="0090737D"/>
    <w:rsid w:val="009073B1"/>
    <w:rsid w:val="00907F4C"/>
    <w:rsid w:val="0091006A"/>
    <w:rsid w:val="00910B57"/>
    <w:rsid w:val="0091148A"/>
    <w:rsid w:val="00911FD7"/>
    <w:rsid w:val="0091201A"/>
    <w:rsid w:val="00912347"/>
    <w:rsid w:val="0091268D"/>
    <w:rsid w:val="009129C1"/>
    <w:rsid w:val="0091363D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5FC5"/>
    <w:rsid w:val="00916068"/>
    <w:rsid w:val="009163B7"/>
    <w:rsid w:val="00916BF5"/>
    <w:rsid w:val="00916CCB"/>
    <w:rsid w:val="009175B8"/>
    <w:rsid w:val="00917786"/>
    <w:rsid w:val="00917DB8"/>
    <w:rsid w:val="00920EC8"/>
    <w:rsid w:val="00921102"/>
    <w:rsid w:val="00921305"/>
    <w:rsid w:val="00921783"/>
    <w:rsid w:val="009217D9"/>
    <w:rsid w:val="00921AC8"/>
    <w:rsid w:val="0092206F"/>
    <w:rsid w:val="0092246D"/>
    <w:rsid w:val="00922482"/>
    <w:rsid w:val="00922A2B"/>
    <w:rsid w:val="00924A6C"/>
    <w:rsid w:val="00924ED4"/>
    <w:rsid w:val="00924F63"/>
    <w:rsid w:val="0092523C"/>
    <w:rsid w:val="0092668D"/>
    <w:rsid w:val="009271AB"/>
    <w:rsid w:val="00927281"/>
    <w:rsid w:val="009273B8"/>
    <w:rsid w:val="00927A20"/>
    <w:rsid w:val="00930298"/>
    <w:rsid w:val="009302A6"/>
    <w:rsid w:val="00931325"/>
    <w:rsid w:val="00931892"/>
    <w:rsid w:val="009319DC"/>
    <w:rsid w:val="00931AAD"/>
    <w:rsid w:val="00931E6D"/>
    <w:rsid w:val="00932120"/>
    <w:rsid w:val="00932D04"/>
    <w:rsid w:val="00932DC0"/>
    <w:rsid w:val="00932E9E"/>
    <w:rsid w:val="00933B8A"/>
    <w:rsid w:val="00933FE3"/>
    <w:rsid w:val="00934141"/>
    <w:rsid w:val="009341AA"/>
    <w:rsid w:val="0093429A"/>
    <w:rsid w:val="009352D3"/>
    <w:rsid w:val="00935393"/>
    <w:rsid w:val="009355BB"/>
    <w:rsid w:val="00935789"/>
    <w:rsid w:val="009359C5"/>
    <w:rsid w:val="00935CFA"/>
    <w:rsid w:val="00935F2A"/>
    <w:rsid w:val="009361E8"/>
    <w:rsid w:val="00936247"/>
    <w:rsid w:val="00936501"/>
    <w:rsid w:val="009366AD"/>
    <w:rsid w:val="009377A1"/>
    <w:rsid w:val="00940850"/>
    <w:rsid w:val="00940B1D"/>
    <w:rsid w:val="00941D9B"/>
    <w:rsid w:val="00941F15"/>
    <w:rsid w:val="0094243B"/>
    <w:rsid w:val="009425EB"/>
    <w:rsid w:val="00942810"/>
    <w:rsid w:val="009428A1"/>
    <w:rsid w:val="009428A4"/>
    <w:rsid w:val="00943157"/>
    <w:rsid w:val="009434C7"/>
    <w:rsid w:val="0094368C"/>
    <w:rsid w:val="00943893"/>
    <w:rsid w:val="00944312"/>
    <w:rsid w:val="009443DC"/>
    <w:rsid w:val="009444BD"/>
    <w:rsid w:val="00944AE2"/>
    <w:rsid w:val="0094526B"/>
    <w:rsid w:val="009456EB"/>
    <w:rsid w:val="00945E7E"/>
    <w:rsid w:val="00945E8F"/>
    <w:rsid w:val="009463FD"/>
    <w:rsid w:val="009467FD"/>
    <w:rsid w:val="00946D2E"/>
    <w:rsid w:val="00946E64"/>
    <w:rsid w:val="009472F6"/>
    <w:rsid w:val="0094783F"/>
    <w:rsid w:val="009479BF"/>
    <w:rsid w:val="009503D1"/>
    <w:rsid w:val="00950B18"/>
    <w:rsid w:val="00950C55"/>
    <w:rsid w:val="00950CB3"/>
    <w:rsid w:val="00950FFA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5AA9"/>
    <w:rsid w:val="00955AB2"/>
    <w:rsid w:val="00955E60"/>
    <w:rsid w:val="00955EC8"/>
    <w:rsid w:val="00956281"/>
    <w:rsid w:val="0095699A"/>
    <w:rsid w:val="00956B34"/>
    <w:rsid w:val="0095702D"/>
    <w:rsid w:val="009571A6"/>
    <w:rsid w:val="0095752A"/>
    <w:rsid w:val="009577C1"/>
    <w:rsid w:val="00957881"/>
    <w:rsid w:val="009602BA"/>
    <w:rsid w:val="009615D7"/>
    <w:rsid w:val="00962D17"/>
    <w:rsid w:val="0096387B"/>
    <w:rsid w:val="00963D17"/>
    <w:rsid w:val="00963D45"/>
    <w:rsid w:val="009640B5"/>
    <w:rsid w:val="00964379"/>
    <w:rsid w:val="009643D2"/>
    <w:rsid w:val="00964459"/>
    <w:rsid w:val="009648FE"/>
    <w:rsid w:val="009657D5"/>
    <w:rsid w:val="00965F9F"/>
    <w:rsid w:val="00966141"/>
    <w:rsid w:val="009662EC"/>
    <w:rsid w:val="00966611"/>
    <w:rsid w:val="0096682A"/>
    <w:rsid w:val="009669CC"/>
    <w:rsid w:val="009670A3"/>
    <w:rsid w:val="0096738E"/>
    <w:rsid w:val="00967655"/>
    <w:rsid w:val="00970F12"/>
    <w:rsid w:val="009710BF"/>
    <w:rsid w:val="00971874"/>
    <w:rsid w:val="00971F83"/>
    <w:rsid w:val="00972061"/>
    <w:rsid w:val="0097245C"/>
    <w:rsid w:val="0097252A"/>
    <w:rsid w:val="009725FE"/>
    <w:rsid w:val="0097282B"/>
    <w:rsid w:val="00972DAC"/>
    <w:rsid w:val="00973A35"/>
    <w:rsid w:val="00974218"/>
    <w:rsid w:val="00974A1E"/>
    <w:rsid w:val="0097559A"/>
    <w:rsid w:val="00975D48"/>
    <w:rsid w:val="00975EE7"/>
    <w:rsid w:val="00976546"/>
    <w:rsid w:val="00976A40"/>
    <w:rsid w:val="00976BD6"/>
    <w:rsid w:val="00976FCF"/>
    <w:rsid w:val="009809EA"/>
    <w:rsid w:val="00980BAC"/>
    <w:rsid w:val="00980BED"/>
    <w:rsid w:val="00980DF0"/>
    <w:rsid w:val="00980F3F"/>
    <w:rsid w:val="0098117A"/>
    <w:rsid w:val="00981676"/>
    <w:rsid w:val="00981D1C"/>
    <w:rsid w:val="00982214"/>
    <w:rsid w:val="009823D4"/>
    <w:rsid w:val="00982474"/>
    <w:rsid w:val="0098307F"/>
    <w:rsid w:val="00983285"/>
    <w:rsid w:val="00983468"/>
    <w:rsid w:val="00984672"/>
    <w:rsid w:val="00984F97"/>
    <w:rsid w:val="0098569D"/>
    <w:rsid w:val="00985A09"/>
    <w:rsid w:val="00985FED"/>
    <w:rsid w:val="00986277"/>
    <w:rsid w:val="009864BB"/>
    <w:rsid w:val="009866A3"/>
    <w:rsid w:val="0098693D"/>
    <w:rsid w:val="00986A39"/>
    <w:rsid w:val="00990343"/>
    <w:rsid w:val="009905E1"/>
    <w:rsid w:val="0099064C"/>
    <w:rsid w:val="0099078A"/>
    <w:rsid w:val="0099097F"/>
    <w:rsid w:val="00991BD5"/>
    <w:rsid w:val="00992097"/>
    <w:rsid w:val="00992150"/>
    <w:rsid w:val="00992158"/>
    <w:rsid w:val="00992869"/>
    <w:rsid w:val="00992914"/>
    <w:rsid w:val="00992C47"/>
    <w:rsid w:val="00992C5C"/>
    <w:rsid w:val="00993776"/>
    <w:rsid w:val="00993832"/>
    <w:rsid w:val="00993912"/>
    <w:rsid w:val="009939AA"/>
    <w:rsid w:val="00993F15"/>
    <w:rsid w:val="009944B9"/>
    <w:rsid w:val="009947D5"/>
    <w:rsid w:val="00994B69"/>
    <w:rsid w:val="00994D20"/>
    <w:rsid w:val="00994E90"/>
    <w:rsid w:val="0099551B"/>
    <w:rsid w:val="009955E2"/>
    <w:rsid w:val="00995629"/>
    <w:rsid w:val="009959A5"/>
    <w:rsid w:val="00995C16"/>
    <w:rsid w:val="0099625A"/>
    <w:rsid w:val="009965BC"/>
    <w:rsid w:val="0099662E"/>
    <w:rsid w:val="00996C84"/>
    <w:rsid w:val="00997258"/>
    <w:rsid w:val="00997C19"/>
    <w:rsid w:val="009A0415"/>
    <w:rsid w:val="009A04CD"/>
    <w:rsid w:val="009A135B"/>
    <w:rsid w:val="009A177E"/>
    <w:rsid w:val="009A1AE9"/>
    <w:rsid w:val="009A22E6"/>
    <w:rsid w:val="009A2486"/>
    <w:rsid w:val="009A2690"/>
    <w:rsid w:val="009A2C1E"/>
    <w:rsid w:val="009A3101"/>
    <w:rsid w:val="009A3307"/>
    <w:rsid w:val="009A3520"/>
    <w:rsid w:val="009A3547"/>
    <w:rsid w:val="009A39FF"/>
    <w:rsid w:val="009A3CB5"/>
    <w:rsid w:val="009A3EAF"/>
    <w:rsid w:val="009A3F33"/>
    <w:rsid w:val="009A5501"/>
    <w:rsid w:val="009A5AE0"/>
    <w:rsid w:val="009A63DE"/>
    <w:rsid w:val="009A6621"/>
    <w:rsid w:val="009A6773"/>
    <w:rsid w:val="009A6AEA"/>
    <w:rsid w:val="009A6C33"/>
    <w:rsid w:val="009A6CC5"/>
    <w:rsid w:val="009B1F3A"/>
    <w:rsid w:val="009B2766"/>
    <w:rsid w:val="009B32F0"/>
    <w:rsid w:val="009B3A38"/>
    <w:rsid w:val="009B3EB4"/>
    <w:rsid w:val="009B3F21"/>
    <w:rsid w:val="009B3FA8"/>
    <w:rsid w:val="009B4299"/>
    <w:rsid w:val="009B42BE"/>
    <w:rsid w:val="009B5167"/>
    <w:rsid w:val="009B5973"/>
    <w:rsid w:val="009B5B48"/>
    <w:rsid w:val="009B62E6"/>
    <w:rsid w:val="009B65A1"/>
    <w:rsid w:val="009B67C4"/>
    <w:rsid w:val="009B6A3F"/>
    <w:rsid w:val="009B6C5A"/>
    <w:rsid w:val="009B71E1"/>
    <w:rsid w:val="009B731B"/>
    <w:rsid w:val="009B76C4"/>
    <w:rsid w:val="009B78BB"/>
    <w:rsid w:val="009B78E7"/>
    <w:rsid w:val="009C0448"/>
    <w:rsid w:val="009C0615"/>
    <w:rsid w:val="009C0CF8"/>
    <w:rsid w:val="009C0CF9"/>
    <w:rsid w:val="009C10A7"/>
    <w:rsid w:val="009C125A"/>
    <w:rsid w:val="009C165A"/>
    <w:rsid w:val="009C187D"/>
    <w:rsid w:val="009C1EB2"/>
    <w:rsid w:val="009C24CA"/>
    <w:rsid w:val="009C2675"/>
    <w:rsid w:val="009C2839"/>
    <w:rsid w:val="009C2D9D"/>
    <w:rsid w:val="009C2DC4"/>
    <w:rsid w:val="009C3042"/>
    <w:rsid w:val="009C386A"/>
    <w:rsid w:val="009C3E9C"/>
    <w:rsid w:val="009C4A32"/>
    <w:rsid w:val="009C4CD6"/>
    <w:rsid w:val="009C55DF"/>
    <w:rsid w:val="009C57BA"/>
    <w:rsid w:val="009C5B7E"/>
    <w:rsid w:val="009C62FE"/>
    <w:rsid w:val="009C63AB"/>
    <w:rsid w:val="009C6993"/>
    <w:rsid w:val="009C69D0"/>
    <w:rsid w:val="009C69F4"/>
    <w:rsid w:val="009C7163"/>
    <w:rsid w:val="009C77A3"/>
    <w:rsid w:val="009C7B71"/>
    <w:rsid w:val="009D03DD"/>
    <w:rsid w:val="009D0EFC"/>
    <w:rsid w:val="009D1082"/>
    <w:rsid w:val="009D20AC"/>
    <w:rsid w:val="009D20C9"/>
    <w:rsid w:val="009D21C8"/>
    <w:rsid w:val="009D26D8"/>
    <w:rsid w:val="009D27FE"/>
    <w:rsid w:val="009D2D25"/>
    <w:rsid w:val="009D2E22"/>
    <w:rsid w:val="009D30F9"/>
    <w:rsid w:val="009D3192"/>
    <w:rsid w:val="009D31C0"/>
    <w:rsid w:val="009D322C"/>
    <w:rsid w:val="009D334F"/>
    <w:rsid w:val="009D372A"/>
    <w:rsid w:val="009D3A26"/>
    <w:rsid w:val="009D3BAC"/>
    <w:rsid w:val="009D3EDD"/>
    <w:rsid w:val="009D48BA"/>
    <w:rsid w:val="009D4B7E"/>
    <w:rsid w:val="009D4D48"/>
    <w:rsid w:val="009D4DC6"/>
    <w:rsid w:val="009D4FAF"/>
    <w:rsid w:val="009D5106"/>
    <w:rsid w:val="009D66B9"/>
    <w:rsid w:val="009D6B77"/>
    <w:rsid w:val="009D6CE1"/>
    <w:rsid w:val="009D6E08"/>
    <w:rsid w:val="009E0D83"/>
    <w:rsid w:val="009E14B2"/>
    <w:rsid w:val="009E1C1F"/>
    <w:rsid w:val="009E1D15"/>
    <w:rsid w:val="009E1DFA"/>
    <w:rsid w:val="009E23ED"/>
    <w:rsid w:val="009E26BC"/>
    <w:rsid w:val="009E2B34"/>
    <w:rsid w:val="009E2F92"/>
    <w:rsid w:val="009E322C"/>
    <w:rsid w:val="009E3352"/>
    <w:rsid w:val="009E3479"/>
    <w:rsid w:val="009E387D"/>
    <w:rsid w:val="009E3E43"/>
    <w:rsid w:val="009E453D"/>
    <w:rsid w:val="009E480C"/>
    <w:rsid w:val="009E5013"/>
    <w:rsid w:val="009E56B0"/>
    <w:rsid w:val="009E5917"/>
    <w:rsid w:val="009E5B94"/>
    <w:rsid w:val="009E6223"/>
    <w:rsid w:val="009E6341"/>
    <w:rsid w:val="009E70C2"/>
    <w:rsid w:val="009E725F"/>
    <w:rsid w:val="009E79CF"/>
    <w:rsid w:val="009E7F2E"/>
    <w:rsid w:val="009F009C"/>
    <w:rsid w:val="009F0345"/>
    <w:rsid w:val="009F04E0"/>
    <w:rsid w:val="009F04F2"/>
    <w:rsid w:val="009F0620"/>
    <w:rsid w:val="009F0A8F"/>
    <w:rsid w:val="009F231C"/>
    <w:rsid w:val="009F2512"/>
    <w:rsid w:val="009F2B87"/>
    <w:rsid w:val="009F2C7D"/>
    <w:rsid w:val="009F3072"/>
    <w:rsid w:val="009F40CE"/>
    <w:rsid w:val="009F419F"/>
    <w:rsid w:val="009F4CDA"/>
    <w:rsid w:val="009F57C6"/>
    <w:rsid w:val="009F59BF"/>
    <w:rsid w:val="009F5F68"/>
    <w:rsid w:val="009F776E"/>
    <w:rsid w:val="00A00C52"/>
    <w:rsid w:val="00A00F42"/>
    <w:rsid w:val="00A00FDC"/>
    <w:rsid w:val="00A01519"/>
    <w:rsid w:val="00A0195A"/>
    <w:rsid w:val="00A020BD"/>
    <w:rsid w:val="00A02BD4"/>
    <w:rsid w:val="00A02D3C"/>
    <w:rsid w:val="00A030F0"/>
    <w:rsid w:val="00A032EA"/>
    <w:rsid w:val="00A0408F"/>
    <w:rsid w:val="00A04E68"/>
    <w:rsid w:val="00A05975"/>
    <w:rsid w:val="00A05EAA"/>
    <w:rsid w:val="00A0608D"/>
    <w:rsid w:val="00A060BE"/>
    <w:rsid w:val="00A06458"/>
    <w:rsid w:val="00A0695E"/>
    <w:rsid w:val="00A072D4"/>
    <w:rsid w:val="00A07D26"/>
    <w:rsid w:val="00A1036E"/>
    <w:rsid w:val="00A104A1"/>
    <w:rsid w:val="00A10BF6"/>
    <w:rsid w:val="00A10D80"/>
    <w:rsid w:val="00A10FC7"/>
    <w:rsid w:val="00A11671"/>
    <w:rsid w:val="00A1187C"/>
    <w:rsid w:val="00A11D6C"/>
    <w:rsid w:val="00A124C5"/>
    <w:rsid w:val="00A12CCC"/>
    <w:rsid w:val="00A12D1A"/>
    <w:rsid w:val="00A12E07"/>
    <w:rsid w:val="00A12F3D"/>
    <w:rsid w:val="00A13378"/>
    <w:rsid w:val="00A13A4E"/>
    <w:rsid w:val="00A15566"/>
    <w:rsid w:val="00A15775"/>
    <w:rsid w:val="00A15AA3"/>
    <w:rsid w:val="00A15B2D"/>
    <w:rsid w:val="00A1616C"/>
    <w:rsid w:val="00A163CD"/>
    <w:rsid w:val="00A16778"/>
    <w:rsid w:val="00A16B57"/>
    <w:rsid w:val="00A178A4"/>
    <w:rsid w:val="00A178B9"/>
    <w:rsid w:val="00A17BE8"/>
    <w:rsid w:val="00A20224"/>
    <w:rsid w:val="00A2120A"/>
    <w:rsid w:val="00A21424"/>
    <w:rsid w:val="00A21890"/>
    <w:rsid w:val="00A21997"/>
    <w:rsid w:val="00A22A08"/>
    <w:rsid w:val="00A239EF"/>
    <w:rsid w:val="00A23A98"/>
    <w:rsid w:val="00A24217"/>
    <w:rsid w:val="00A244E9"/>
    <w:rsid w:val="00A24622"/>
    <w:rsid w:val="00A246A3"/>
    <w:rsid w:val="00A250F1"/>
    <w:rsid w:val="00A259A8"/>
    <w:rsid w:val="00A25ABB"/>
    <w:rsid w:val="00A25E39"/>
    <w:rsid w:val="00A267F3"/>
    <w:rsid w:val="00A26827"/>
    <w:rsid w:val="00A26CDC"/>
    <w:rsid w:val="00A26D47"/>
    <w:rsid w:val="00A26DA7"/>
    <w:rsid w:val="00A26F41"/>
    <w:rsid w:val="00A26F88"/>
    <w:rsid w:val="00A275D1"/>
    <w:rsid w:val="00A27B57"/>
    <w:rsid w:val="00A30FF6"/>
    <w:rsid w:val="00A313B3"/>
    <w:rsid w:val="00A319CD"/>
    <w:rsid w:val="00A31D00"/>
    <w:rsid w:val="00A32051"/>
    <w:rsid w:val="00A32AE0"/>
    <w:rsid w:val="00A32B77"/>
    <w:rsid w:val="00A32BB4"/>
    <w:rsid w:val="00A336F9"/>
    <w:rsid w:val="00A33983"/>
    <w:rsid w:val="00A33CCF"/>
    <w:rsid w:val="00A34BF6"/>
    <w:rsid w:val="00A3578D"/>
    <w:rsid w:val="00A35D65"/>
    <w:rsid w:val="00A3630A"/>
    <w:rsid w:val="00A36CF6"/>
    <w:rsid w:val="00A36EC5"/>
    <w:rsid w:val="00A37EDA"/>
    <w:rsid w:val="00A4035D"/>
    <w:rsid w:val="00A4092B"/>
    <w:rsid w:val="00A40C3F"/>
    <w:rsid w:val="00A413A3"/>
    <w:rsid w:val="00A42668"/>
    <w:rsid w:val="00A42CD1"/>
    <w:rsid w:val="00A42EA2"/>
    <w:rsid w:val="00A43270"/>
    <w:rsid w:val="00A44D93"/>
    <w:rsid w:val="00A4539E"/>
    <w:rsid w:val="00A45946"/>
    <w:rsid w:val="00A45DFF"/>
    <w:rsid w:val="00A45E42"/>
    <w:rsid w:val="00A46080"/>
    <w:rsid w:val="00A461CB"/>
    <w:rsid w:val="00A46574"/>
    <w:rsid w:val="00A46C6C"/>
    <w:rsid w:val="00A46EB1"/>
    <w:rsid w:val="00A47A54"/>
    <w:rsid w:val="00A47C59"/>
    <w:rsid w:val="00A50FEC"/>
    <w:rsid w:val="00A51FC3"/>
    <w:rsid w:val="00A532FC"/>
    <w:rsid w:val="00A53624"/>
    <w:rsid w:val="00A539B2"/>
    <w:rsid w:val="00A53C1E"/>
    <w:rsid w:val="00A54F72"/>
    <w:rsid w:val="00A55D07"/>
    <w:rsid w:val="00A565B6"/>
    <w:rsid w:val="00A567E2"/>
    <w:rsid w:val="00A56806"/>
    <w:rsid w:val="00A56F56"/>
    <w:rsid w:val="00A572EA"/>
    <w:rsid w:val="00A57B9D"/>
    <w:rsid w:val="00A57F15"/>
    <w:rsid w:val="00A60066"/>
    <w:rsid w:val="00A60179"/>
    <w:rsid w:val="00A61782"/>
    <w:rsid w:val="00A61FDA"/>
    <w:rsid w:val="00A621D2"/>
    <w:rsid w:val="00A625E9"/>
    <w:rsid w:val="00A63047"/>
    <w:rsid w:val="00A6325E"/>
    <w:rsid w:val="00A63850"/>
    <w:rsid w:val="00A642CB"/>
    <w:rsid w:val="00A64787"/>
    <w:rsid w:val="00A648E9"/>
    <w:rsid w:val="00A6654A"/>
    <w:rsid w:val="00A666CB"/>
    <w:rsid w:val="00A66C0D"/>
    <w:rsid w:val="00A66D15"/>
    <w:rsid w:val="00A6713D"/>
    <w:rsid w:val="00A6764D"/>
    <w:rsid w:val="00A67934"/>
    <w:rsid w:val="00A67D4A"/>
    <w:rsid w:val="00A703AE"/>
    <w:rsid w:val="00A70415"/>
    <w:rsid w:val="00A70456"/>
    <w:rsid w:val="00A7075E"/>
    <w:rsid w:val="00A708BA"/>
    <w:rsid w:val="00A709AE"/>
    <w:rsid w:val="00A70DCB"/>
    <w:rsid w:val="00A70E5B"/>
    <w:rsid w:val="00A71423"/>
    <w:rsid w:val="00A71BA4"/>
    <w:rsid w:val="00A71FD1"/>
    <w:rsid w:val="00A720C2"/>
    <w:rsid w:val="00A72364"/>
    <w:rsid w:val="00A7248F"/>
    <w:rsid w:val="00A72733"/>
    <w:rsid w:val="00A72BC8"/>
    <w:rsid w:val="00A72C04"/>
    <w:rsid w:val="00A72FE2"/>
    <w:rsid w:val="00A73164"/>
    <w:rsid w:val="00A73341"/>
    <w:rsid w:val="00A748ED"/>
    <w:rsid w:val="00A75386"/>
    <w:rsid w:val="00A7593A"/>
    <w:rsid w:val="00A7597F"/>
    <w:rsid w:val="00A75D3F"/>
    <w:rsid w:val="00A75DB1"/>
    <w:rsid w:val="00A76479"/>
    <w:rsid w:val="00A768C8"/>
    <w:rsid w:val="00A76C21"/>
    <w:rsid w:val="00A77727"/>
    <w:rsid w:val="00A77D8B"/>
    <w:rsid w:val="00A81C6E"/>
    <w:rsid w:val="00A8226A"/>
    <w:rsid w:val="00A82941"/>
    <w:rsid w:val="00A834D6"/>
    <w:rsid w:val="00A83DBC"/>
    <w:rsid w:val="00A84746"/>
    <w:rsid w:val="00A847AE"/>
    <w:rsid w:val="00A84D2C"/>
    <w:rsid w:val="00A85084"/>
    <w:rsid w:val="00A855FE"/>
    <w:rsid w:val="00A85732"/>
    <w:rsid w:val="00A85836"/>
    <w:rsid w:val="00A85E79"/>
    <w:rsid w:val="00A85F29"/>
    <w:rsid w:val="00A8613B"/>
    <w:rsid w:val="00A861AD"/>
    <w:rsid w:val="00A86203"/>
    <w:rsid w:val="00A86D62"/>
    <w:rsid w:val="00A87124"/>
    <w:rsid w:val="00A87982"/>
    <w:rsid w:val="00A87C2F"/>
    <w:rsid w:val="00A904F2"/>
    <w:rsid w:val="00A90A9D"/>
    <w:rsid w:val="00A911A0"/>
    <w:rsid w:val="00A91363"/>
    <w:rsid w:val="00A91450"/>
    <w:rsid w:val="00A91B63"/>
    <w:rsid w:val="00A91BFA"/>
    <w:rsid w:val="00A920B1"/>
    <w:rsid w:val="00A92564"/>
    <w:rsid w:val="00A928B7"/>
    <w:rsid w:val="00A92DB9"/>
    <w:rsid w:val="00A936DB"/>
    <w:rsid w:val="00A93738"/>
    <w:rsid w:val="00A93B90"/>
    <w:rsid w:val="00A94084"/>
    <w:rsid w:val="00A9446E"/>
    <w:rsid w:val="00A947B1"/>
    <w:rsid w:val="00A951A7"/>
    <w:rsid w:val="00A9579F"/>
    <w:rsid w:val="00A95BC2"/>
    <w:rsid w:val="00A96852"/>
    <w:rsid w:val="00A96C21"/>
    <w:rsid w:val="00A9791D"/>
    <w:rsid w:val="00A97962"/>
    <w:rsid w:val="00A97D4A"/>
    <w:rsid w:val="00A97DB8"/>
    <w:rsid w:val="00AA0209"/>
    <w:rsid w:val="00AA03A6"/>
    <w:rsid w:val="00AA1041"/>
    <w:rsid w:val="00AA1128"/>
    <w:rsid w:val="00AA1A7C"/>
    <w:rsid w:val="00AA1ADA"/>
    <w:rsid w:val="00AA20B3"/>
    <w:rsid w:val="00AA2A7D"/>
    <w:rsid w:val="00AA2A95"/>
    <w:rsid w:val="00AA2ECC"/>
    <w:rsid w:val="00AA35EA"/>
    <w:rsid w:val="00AA3A3E"/>
    <w:rsid w:val="00AA3B94"/>
    <w:rsid w:val="00AA3C94"/>
    <w:rsid w:val="00AA41D4"/>
    <w:rsid w:val="00AA4203"/>
    <w:rsid w:val="00AA4775"/>
    <w:rsid w:val="00AA488F"/>
    <w:rsid w:val="00AA5515"/>
    <w:rsid w:val="00AA5582"/>
    <w:rsid w:val="00AA567F"/>
    <w:rsid w:val="00AA583C"/>
    <w:rsid w:val="00AA5E12"/>
    <w:rsid w:val="00AA65CF"/>
    <w:rsid w:val="00AA6A88"/>
    <w:rsid w:val="00AA6DBB"/>
    <w:rsid w:val="00AA7A22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0E5"/>
    <w:rsid w:val="00AB2112"/>
    <w:rsid w:val="00AB212D"/>
    <w:rsid w:val="00AB2BF5"/>
    <w:rsid w:val="00AB32C1"/>
    <w:rsid w:val="00AB33CE"/>
    <w:rsid w:val="00AB3552"/>
    <w:rsid w:val="00AB3A55"/>
    <w:rsid w:val="00AB49C3"/>
    <w:rsid w:val="00AB55F8"/>
    <w:rsid w:val="00AB5633"/>
    <w:rsid w:val="00AB5DF2"/>
    <w:rsid w:val="00AB6C4D"/>
    <w:rsid w:val="00AB7866"/>
    <w:rsid w:val="00AC112A"/>
    <w:rsid w:val="00AC188B"/>
    <w:rsid w:val="00AC1D3B"/>
    <w:rsid w:val="00AC226A"/>
    <w:rsid w:val="00AC246C"/>
    <w:rsid w:val="00AC2FB2"/>
    <w:rsid w:val="00AC32EA"/>
    <w:rsid w:val="00AC32FB"/>
    <w:rsid w:val="00AC3ADE"/>
    <w:rsid w:val="00AC3F58"/>
    <w:rsid w:val="00AC4C92"/>
    <w:rsid w:val="00AC4E28"/>
    <w:rsid w:val="00AC4E71"/>
    <w:rsid w:val="00AC4F7E"/>
    <w:rsid w:val="00AC5700"/>
    <w:rsid w:val="00AC5A64"/>
    <w:rsid w:val="00AC7042"/>
    <w:rsid w:val="00AC752F"/>
    <w:rsid w:val="00AC76C9"/>
    <w:rsid w:val="00AC7B8D"/>
    <w:rsid w:val="00AC7E49"/>
    <w:rsid w:val="00AD0095"/>
    <w:rsid w:val="00AD099F"/>
    <w:rsid w:val="00AD0CA1"/>
    <w:rsid w:val="00AD1C10"/>
    <w:rsid w:val="00AD1C52"/>
    <w:rsid w:val="00AD2204"/>
    <w:rsid w:val="00AD2E7B"/>
    <w:rsid w:val="00AD2F8F"/>
    <w:rsid w:val="00AD34C2"/>
    <w:rsid w:val="00AD3685"/>
    <w:rsid w:val="00AD3792"/>
    <w:rsid w:val="00AD3F4F"/>
    <w:rsid w:val="00AD403C"/>
    <w:rsid w:val="00AD4153"/>
    <w:rsid w:val="00AD4838"/>
    <w:rsid w:val="00AD4F1D"/>
    <w:rsid w:val="00AD5420"/>
    <w:rsid w:val="00AD56CF"/>
    <w:rsid w:val="00AD5D1B"/>
    <w:rsid w:val="00AD5DDB"/>
    <w:rsid w:val="00AD5E3E"/>
    <w:rsid w:val="00AD60B8"/>
    <w:rsid w:val="00AD60EF"/>
    <w:rsid w:val="00AD612C"/>
    <w:rsid w:val="00AD734C"/>
    <w:rsid w:val="00AD7922"/>
    <w:rsid w:val="00AE0413"/>
    <w:rsid w:val="00AE05BF"/>
    <w:rsid w:val="00AE0B75"/>
    <w:rsid w:val="00AE0D8D"/>
    <w:rsid w:val="00AE23C8"/>
    <w:rsid w:val="00AE265A"/>
    <w:rsid w:val="00AE308D"/>
    <w:rsid w:val="00AE36D1"/>
    <w:rsid w:val="00AE3C90"/>
    <w:rsid w:val="00AE3DDB"/>
    <w:rsid w:val="00AE4933"/>
    <w:rsid w:val="00AE4A64"/>
    <w:rsid w:val="00AE5771"/>
    <w:rsid w:val="00AE59FC"/>
    <w:rsid w:val="00AE6363"/>
    <w:rsid w:val="00AE6AAF"/>
    <w:rsid w:val="00AE6C74"/>
    <w:rsid w:val="00AE6E97"/>
    <w:rsid w:val="00AE742D"/>
    <w:rsid w:val="00AE758E"/>
    <w:rsid w:val="00AE7A1F"/>
    <w:rsid w:val="00AF059D"/>
    <w:rsid w:val="00AF077D"/>
    <w:rsid w:val="00AF0992"/>
    <w:rsid w:val="00AF0C7C"/>
    <w:rsid w:val="00AF0D62"/>
    <w:rsid w:val="00AF0EB3"/>
    <w:rsid w:val="00AF1281"/>
    <w:rsid w:val="00AF14C8"/>
    <w:rsid w:val="00AF1B32"/>
    <w:rsid w:val="00AF1DDA"/>
    <w:rsid w:val="00AF23D9"/>
    <w:rsid w:val="00AF23F3"/>
    <w:rsid w:val="00AF290E"/>
    <w:rsid w:val="00AF29FA"/>
    <w:rsid w:val="00AF37D5"/>
    <w:rsid w:val="00AF381B"/>
    <w:rsid w:val="00AF39E0"/>
    <w:rsid w:val="00AF3BD8"/>
    <w:rsid w:val="00AF3F63"/>
    <w:rsid w:val="00AF4345"/>
    <w:rsid w:val="00AF463B"/>
    <w:rsid w:val="00AF4CC5"/>
    <w:rsid w:val="00AF4E52"/>
    <w:rsid w:val="00AF5319"/>
    <w:rsid w:val="00AF5CA1"/>
    <w:rsid w:val="00AF608B"/>
    <w:rsid w:val="00AF6576"/>
    <w:rsid w:val="00AF6A59"/>
    <w:rsid w:val="00AF7BDD"/>
    <w:rsid w:val="00AF7E4A"/>
    <w:rsid w:val="00AF7FB9"/>
    <w:rsid w:val="00B00F8C"/>
    <w:rsid w:val="00B00FEC"/>
    <w:rsid w:val="00B02145"/>
    <w:rsid w:val="00B02F0C"/>
    <w:rsid w:val="00B03776"/>
    <w:rsid w:val="00B03ED8"/>
    <w:rsid w:val="00B0401D"/>
    <w:rsid w:val="00B04252"/>
    <w:rsid w:val="00B042D2"/>
    <w:rsid w:val="00B043D1"/>
    <w:rsid w:val="00B04E8D"/>
    <w:rsid w:val="00B04F50"/>
    <w:rsid w:val="00B0542F"/>
    <w:rsid w:val="00B05A05"/>
    <w:rsid w:val="00B06488"/>
    <w:rsid w:val="00B06495"/>
    <w:rsid w:val="00B064F1"/>
    <w:rsid w:val="00B06DA3"/>
    <w:rsid w:val="00B104EA"/>
    <w:rsid w:val="00B109DF"/>
    <w:rsid w:val="00B118E1"/>
    <w:rsid w:val="00B11A39"/>
    <w:rsid w:val="00B11A5F"/>
    <w:rsid w:val="00B11A9A"/>
    <w:rsid w:val="00B120CF"/>
    <w:rsid w:val="00B1210E"/>
    <w:rsid w:val="00B1243E"/>
    <w:rsid w:val="00B1268E"/>
    <w:rsid w:val="00B128A1"/>
    <w:rsid w:val="00B129BD"/>
    <w:rsid w:val="00B12BDA"/>
    <w:rsid w:val="00B13D2B"/>
    <w:rsid w:val="00B13F2E"/>
    <w:rsid w:val="00B14011"/>
    <w:rsid w:val="00B14793"/>
    <w:rsid w:val="00B15001"/>
    <w:rsid w:val="00B15075"/>
    <w:rsid w:val="00B15774"/>
    <w:rsid w:val="00B15DB9"/>
    <w:rsid w:val="00B160C4"/>
    <w:rsid w:val="00B162CB"/>
    <w:rsid w:val="00B1635D"/>
    <w:rsid w:val="00B16F5A"/>
    <w:rsid w:val="00B1780E"/>
    <w:rsid w:val="00B17D95"/>
    <w:rsid w:val="00B200D3"/>
    <w:rsid w:val="00B2060E"/>
    <w:rsid w:val="00B20DCF"/>
    <w:rsid w:val="00B20F8A"/>
    <w:rsid w:val="00B210B1"/>
    <w:rsid w:val="00B215EB"/>
    <w:rsid w:val="00B22522"/>
    <w:rsid w:val="00B2288A"/>
    <w:rsid w:val="00B24D66"/>
    <w:rsid w:val="00B24FA9"/>
    <w:rsid w:val="00B24FC2"/>
    <w:rsid w:val="00B258AF"/>
    <w:rsid w:val="00B264B0"/>
    <w:rsid w:val="00B26CDB"/>
    <w:rsid w:val="00B26ECF"/>
    <w:rsid w:val="00B27444"/>
    <w:rsid w:val="00B27734"/>
    <w:rsid w:val="00B27771"/>
    <w:rsid w:val="00B27787"/>
    <w:rsid w:val="00B2789C"/>
    <w:rsid w:val="00B278D7"/>
    <w:rsid w:val="00B3091E"/>
    <w:rsid w:val="00B30F5B"/>
    <w:rsid w:val="00B31602"/>
    <w:rsid w:val="00B319FE"/>
    <w:rsid w:val="00B322C6"/>
    <w:rsid w:val="00B3232C"/>
    <w:rsid w:val="00B32F0B"/>
    <w:rsid w:val="00B331B8"/>
    <w:rsid w:val="00B336DA"/>
    <w:rsid w:val="00B33786"/>
    <w:rsid w:val="00B337A4"/>
    <w:rsid w:val="00B34725"/>
    <w:rsid w:val="00B353D4"/>
    <w:rsid w:val="00B355F0"/>
    <w:rsid w:val="00B3564B"/>
    <w:rsid w:val="00B3578C"/>
    <w:rsid w:val="00B35F86"/>
    <w:rsid w:val="00B36D9E"/>
    <w:rsid w:val="00B370D9"/>
    <w:rsid w:val="00B37304"/>
    <w:rsid w:val="00B37311"/>
    <w:rsid w:val="00B373FB"/>
    <w:rsid w:val="00B37975"/>
    <w:rsid w:val="00B40A38"/>
    <w:rsid w:val="00B4106F"/>
    <w:rsid w:val="00B41BE7"/>
    <w:rsid w:val="00B41C43"/>
    <w:rsid w:val="00B424F7"/>
    <w:rsid w:val="00B42568"/>
    <w:rsid w:val="00B4299C"/>
    <w:rsid w:val="00B4316E"/>
    <w:rsid w:val="00B4339F"/>
    <w:rsid w:val="00B4381B"/>
    <w:rsid w:val="00B4383C"/>
    <w:rsid w:val="00B43E2E"/>
    <w:rsid w:val="00B4403D"/>
    <w:rsid w:val="00B44101"/>
    <w:rsid w:val="00B44AC2"/>
    <w:rsid w:val="00B45847"/>
    <w:rsid w:val="00B458D0"/>
    <w:rsid w:val="00B460A1"/>
    <w:rsid w:val="00B46275"/>
    <w:rsid w:val="00B463A5"/>
    <w:rsid w:val="00B464BB"/>
    <w:rsid w:val="00B464C7"/>
    <w:rsid w:val="00B4658A"/>
    <w:rsid w:val="00B47010"/>
    <w:rsid w:val="00B4733F"/>
    <w:rsid w:val="00B4758E"/>
    <w:rsid w:val="00B475F5"/>
    <w:rsid w:val="00B47CBB"/>
    <w:rsid w:val="00B502C3"/>
    <w:rsid w:val="00B5083E"/>
    <w:rsid w:val="00B50ADB"/>
    <w:rsid w:val="00B51466"/>
    <w:rsid w:val="00B51604"/>
    <w:rsid w:val="00B517EE"/>
    <w:rsid w:val="00B51F64"/>
    <w:rsid w:val="00B52ACF"/>
    <w:rsid w:val="00B52D22"/>
    <w:rsid w:val="00B53B4E"/>
    <w:rsid w:val="00B53C5F"/>
    <w:rsid w:val="00B54BD8"/>
    <w:rsid w:val="00B54D2A"/>
    <w:rsid w:val="00B5596C"/>
    <w:rsid w:val="00B56797"/>
    <w:rsid w:val="00B569B2"/>
    <w:rsid w:val="00B56FBD"/>
    <w:rsid w:val="00B5715A"/>
    <w:rsid w:val="00B57327"/>
    <w:rsid w:val="00B57C78"/>
    <w:rsid w:val="00B6002D"/>
    <w:rsid w:val="00B6010B"/>
    <w:rsid w:val="00B6107E"/>
    <w:rsid w:val="00B61262"/>
    <w:rsid w:val="00B6210A"/>
    <w:rsid w:val="00B6220A"/>
    <w:rsid w:val="00B62644"/>
    <w:rsid w:val="00B629F3"/>
    <w:rsid w:val="00B63434"/>
    <w:rsid w:val="00B63B5D"/>
    <w:rsid w:val="00B640CF"/>
    <w:rsid w:val="00B64C63"/>
    <w:rsid w:val="00B6569A"/>
    <w:rsid w:val="00B65828"/>
    <w:rsid w:val="00B65CF3"/>
    <w:rsid w:val="00B65D84"/>
    <w:rsid w:val="00B65E01"/>
    <w:rsid w:val="00B665BB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26B1"/>
    <w:rsid w:val="00B727DF"/>
    <w:rsid w:val="00B72CF9"/>
    <w:rsid w:val="00B72EE9"/>
    <w:rsid w:val="00B73213"/>
    <w:rsid w:val="00B73637"/>
    <w:rsid w:val="00B73D34"/>
    <w:rsid w:val="00B742C1"/>
    <w:rsid w:val="00B74720"/>
    <w:rsid w:val="00B74C99"/>
    <w:rsid w:val="00B75032"/>
    <w:rsid w:val="00B750D5"/>
    <w:rsid w:val="00B7591C"/>
    <w:rsid w:val="00B75D1D"/>
    <w:rsid w:val="00B75E98"/>
    <w:rsid w:val="00B76A3F"/>
    <w:rsid w:val="00B76A7D"/>
    <w:rsid w:val="00B76CE1"/>
    <w:rsid w:val="00B77504"/>
    <w:rsid w:val="00B776D5"/>
    <w:rsid w:val="00B77B7E"/>
    <w:rsid w:val="00B80744"/>
    <w:rsid w:val="00B80979"/>
    <w:rsid w:val="00B818AA"/>
    <w:rsid w:val="00B81B66"/>
    <w:rsid w:val="00B81BC2"/>
    <w:rsid w:val="00B81C75"/>
    <w:rsid w:val="00B81D8F"/>
    <w:rsid w:val="00B81EEF"/>
    <w:rsid w:val="00B81F26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EBC"/>
    <w:rsid w:val="00B87FF0"/>
    <w:rsid w:val="00B9059E"/>
    <w:rsid w:val="00B90825"/>
    <w:rsid w:val="00B9084F"/>
    <w:rsid w:val="00B90862"/>
    <w:rsid w:val="00B90DD5"/>
    <w:rsid w:val="00B912EC"/>
    <w:rsid w:val="00B917AC"/>
    <w:rsid w:val="00B91F77"/>
    <w:rsid w:val="00B92218"/>
    <w:rsid w:val="00B926AC"/>
    <w:rsid w:val="00B92E6B"/>
    <w:rsid w:val="00B92F7F"/>
    <w:rsid w:val="00B92FB4"/>
    <w:rsid w:val="00B93043"/>
    <w:rsid w:val="00B93431"/>
    <w:rsid w:val="00B93500"/>
    <w:rsid w:val="00B93956"/>
    <w:rsid w:val="00B93D97"/>
    <w:rsid w:val="00B94258"/>
    <w:rsid w:val="00B942F0"/>
    <w:rsid w:val="00B94392"/>
    <w:rsid w:val="00B94797"/>
    <w:rsid w:val="00B94F8A"/>
    <w:rsid w:val="00B954F2"/>
    <w:rsid w:val="00B955F5"/>
    <w:rsid w:val="00B95663"/>
    <w:rsid w:val="00B95A36"/>
    <w:rsid w:val="00B95CCC"/>
    <w:rsid w:val="00B95F44"/>
    <w:rsid w:val="00B962C7"/>
    <w:rsid w:val="00B96D3C"/>
    <w:rsid w:val="00B97345"/>
    <w:rsid w:val="00B97577"/>
    <w:rsid w:val="00BA059B"/>
    <w:rsid w:val="00BA0FE9"/>
    <w:rsid w:val="00BA139F"/>
    <w:rsid w:val="00BA1A0B"/>
    <w:rsid w:val="00BA1E85"/>
    <w:rsid w:val="00BA27BF"/>
    <w:rsid w:val="00BA2E8B"/>
    <w:rsid w:val="00BA359B"/>
    <w:rsid w:val="00BA398B"/>
    <w:rsid w:val="00BA3A93"/>
    <w:rsid w:val="00BA4D05"/>
    <w:rsid w:val="00BA5165"/>
    <w:rsid w:val="00BA5370"/>
    <w:rsid w:val="00BA5599"/>
    <w:rsid w:val="00BA5A40"/>
    <w:rsid w:val="00BA5FD5"/>
    <w:rsid w:val="00BA62AB"/>
    <w:rsid w:val="00BA72CE"/>
    <w:rsid w:val="00BA7B2D"/>
    <w:rsid w:val="00BA7E0B"/>
    <w:rsid w:val="00BB034A"/>
    <w:rsid w:val="00BB0DE3"/>
    <w:rsid w:val="00BB0EA0"/>
    <w:rsid w:val="00BB10CD"/>
    <w:rsid w:val="00BB10F0"/>
    <w:rsid w:val="00BB122E"/>
    <w:rsid w:val="00BB25BB"/>
    <w:rsid w:val="00BB4A6F"/>
    <w:rsid w:val="00BB4D66"/>
    <w:rsid w:val="00BB4EA2"/>
    <w:rsid w:val="00BB56B1"/>
    <w:rsid w:val="00BB5759"/>
    <w:rsid w:val="00BB59A6"/>
    <w:rsid w:val="00BB5A30"/>
    <w:rsid w:val="00BB5B98"/>
    <w:rsid w:val="00BB607A"/>
    <w:rsid w:val="00BB67AC"/>
    <w:rsid w:val="00BB7BAC"/>
    <w:rsid w:val="00BC08D8"/>
    <w:rsid w:val="00BC08FC"/>
    <w:rsid w:val="00BC202D"/>
    <w:rsid w:val="00BC213B"/>
    <w:rsid w:val="00BC22A2"/>
    <w:rsid w:val="00BC256F"/>
    <w:rsid w:val="00BC2964"/>
    <w:rsid w:val="00BC2A99"/>
    <w:rsid w:val="00BC3112"/>
    <w:rsid w:val="00BC3265"/>
    <w:rsid w:val="00BC3776"/>
    <w:rsid w:val="00BC3D8E"/>
    <w:rsid w:val="00BC3E7F"/>
    <w:rsid w:val="00BC41B5"/>
    <w:rsid w:val="00BC4984"/>
    <w:rsid w:val="00BC4C63"/>
    <w:rsid w:val="00BC54D1"/>
    <w:rsid w:val="00BC6308"/>
    <w:rsid w:val="00BC63FE"/>
    <w:rsid w:val="00BC666D"/>
    <w:rsid w:val="00BC67A4"/>
    <w:rsid w:val="00BC6B4D"/>
    <w:rsid w:val="00BC6C4F"/>
    <w:rsid w:val="00BC6EF4"/>
    <w:rsid w:val="00BC76AA"/>
    <w:rsid w:val="00BD1290"/>
    <w:rsid w:val="00BD1CFB"/>
    <w:rsid w:val="00BD22AA"/>
    <w:rsid w:val="00BD2B8F"/>
    <w:rsid w:val="00BD2DAD"/>
    <w:rsid w:val="00BD3047"/>
    <w:rsid w:val="00BD35B9"/>
    <w:rsid w:val="00BD36EC"/>
    <w:rsid w:val="00BD4A52"/>
    <w:rsid w:val="00BD4B84"/>
    <w:rsid w:val="00BD51CA"/>
    <w:rsid w:val="00BD54F7"/>
    <w:rsid w:val="00BD5CD2"/>
    <w:rsid w:val="00BD605A"/>
    <w:rsid w:val="00BD6157"/>
    <w:rsid w:val="00BD75B8"/>
    <w:rsid w:val="00BD77DE"/>
    <w:rsid w:val="00BD79C2"/>
    <w:rsid w:val="00BD7D45"/>
    <w:rsid w:val="00BE182B"/>
    <w:rsid w:val="00BE199C"/>
    <w:rsid w:val="00BE1F2E"/>
    <w:rsid w:val="00BE1FA7"/>
    <w:rsid w:val="00BE2AD7"/>
    <w:rsid w:val="00BE2BAA"/>
    <w:rsid w:val="00BE3237"/>
    <w:rsid w:val="00BE39E6"/>
    <w:rsid w:val="00BE4F8D"/>
    <w:rsid w:val="00BE53F7"/>
    <w:rsid w:val="00BE590A"/>
    <w:rsid w:val="00BE5EDB"/>
    <w:rsid w:val="00BE770F"/>
    <w:rsid w:val="00BE778C"/>
    <w:rsid w:val="00BE7B69"/>
    <w:rsid w:val="00BF01D4"/>
    <w:rsid w:val="00BF05FD"/>
    <w:rsid w:val="00BF0E49"/>
    <w:rsid w:val="00BF1021"/>
    <w:rsid w:val="00BF12E2"/>
    <w:rsid w:val="00BF1DEA"/>
    <w:rsid w:val="00BF20FB"/>
    <w:rsid w:val="00BF2997"/>
    <w:rsid w:val="00BF3148"/>
    <w:rsid w:val="00BF4C22"/>
    <w:rsid w:val="00BF4CD1"/>
    <w:rsid w:val="00BF4DD7"/>
    <w:rsid w:val="00BF51E4"/>
    <w:rsid w:val="00BF6043"/>
    <w:rsid w:val="00BF70CB"/>
    <w:rsid w:val="00BF71B9"/>
    <w:rsid w:val="00BF76ED"/>
    <w:rsid w:val="00BF7DA3"/>
    <w:rsid w:val="00C00156"/>
    <w:rsid w:val="00C003C3"/>
    <w:rsid w:val="00C006F6"/>
    <w:rsid w:val="00C00838"/>
    <w:rsid w:val="00C008C6"/>
    <w:rsid w:val="00C00A3D"/>
    <w:rsid w:val="00C00BE6"/>
    <w:rsid w:val="00C00F80"/>
    <w:rsid w:val="00C01250"/>
    <w:rsid w:val="00C01619"/>
    <w:rsid w:val="00C03041"/>
    <w:rsid w:val="00C031A2"/>
    <w:rsid w:val="00C03815"/>
    <w:rsid w:val="00C041F4"/>
    <w:rsid w:val="00C04C59"/>
    <w:rsid w:val="00C0524E"/>
    <w:rsid w:val="00C05428"/>
    <w:rsid w:val="00C058A3"/>
    <w:rsid w:val="00C05E05"/>
    <w:rsid w:val="00C0711F"/>
    <w:rsid w:val="00C077E1"/>
    <w:rsid w:val="00C07D38"/>
    <w:rsid w:val="00C107BE"/>
    <w:rsid w:val="00C10BD0"/>
    <w:rsid w:val="00C10C03"/>
    <w:rsid w:val="00C112F7"/>
    <w:rsid w:val="00C1161D"/>
    <w:rsid w:val="00C128AE"/>
    <w:rsid w:val="00C129D2"/>
    <w:rsid w:val="00C12B63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3E6"/>
    <w:rsid w:val="00C14AD2"/>
    <w:rsid w:val="00C14CA5"/>
    <w:rsid w:val="00C15BE1"/>
    <w:rsid w:val="00C15F3C"/>
    <w:rsid w:val="00C160D9"/>
    <w:rsid w:val="00C16680"/>
    <w:rsid w:val="00C16B32"/>
    <w:rsid w:val="00C16B91"/>
    <w:rsid w:val="00C16FF1"/>
    <w:rsid w:val="00C17007"/>
    <w:rsid w:val="00C17089"/>
    <w:rsid w:val="00C1715B"/>
    <w:rsid w:val="00C1757F"/>
    <w:rsid w:val="00C17B74"/>
    <w:rsid w:val="00C17BCC"/>
    <w:rsid w:val="00C20222"/>
    <w:rsid w:val="00C20358"/>
    <w:rsid w:val="00C20A09"/>
    <w:rsid w:val="00C20AEB"/>
    <w:rsid w:val="00C20F22"/>
    <w:rsid w:val="00C21FF8"/>
    <w:rsid w:val="00C220F2"/>
    <w:rsid w:val="00C223A0"/>
    <w:rsid w:val="00C2370B"/>
    <w:rsid w:val="00C23BBD"/>
    <w:rsid w:val="00C2411E"/>
    <w:rsid w:val="00C243C3"/>
    <w:rsid w:val="00C2455C"/>
    <w:rsid w:val="00C24638"/>
    <w:rsid w:val="00C24DEB"/>
    <w:rsid w:val="00C25384"/>
    <w:rsid w:val="00C261FA"/>
    <w:rsid w:val="00C26430"/>
    <w:rsid w:val="00C26495"/>
    <w:rsid w:val="00C26CFA"/>
    <w:rsid w:val="00C273ED"/>
    <w:rsid w:val="00C27447"/>
    <w:rsid w:val="00C27891"/>
    <w:rsid w:val="00C27D45"/>
    <w:rsid w:val="00C300F5"/>
    <w:rsid w:val="00C30355"/>
    <w:rsid w:val="00C308F4"/>
    <w:rsid w:val="00C30AED"/>
    <w:rsid w:val="00C31073"/>
    <w:rsid w:val="00C314B5"/>
    <w:rsid w:val="00C31B59"/>
    <w:rsid w:val="00C31C2C"/>
    <w:rsid w:val="00C31D35"/>
    <w:rsid w:val="00C32570"/>
    <w:rsid w:val="00C32C1E"/>
    <w:rsid w:val="00C32D53"/>
    <w:rsid w:val="00C32F69"/>
    <w:rsid w:val="00C3312E"/>
    <w:rsid w:val="00C33CD5"/>
    <w:rsid w:val="00C33F26"/>
    <w:rsid w:val="00C340CF"/>
    <w:rsid w:val="00C340E9"/>
    <w:rsid w:val="00C34101"/>
    <w:rsid w:val="00C34125"/>
    <w:rsid w:val="00C348FE"/>
    <w:rsid w:val="00C34FBC"/>
    <w:rsid w:val="00C35087"/>
    <w:rsid w:val="00C3523B"/>
    <w:rsid w:val="00C35947"/>
    <w:rsid w:val="00C35BD7"/>
    <w:rsid w:val="00C36FFE"/>
    <w:rsid w:val="00C40A83"/>
    <w:rsid w:val="00C40D37"/>
    <w:rsid w:val="00C412E1"/>
    <w:rsid w:val="00C416FD"/>
    <w:rsid w:val="00C41E73"/>
    <w:rsid w:val="00C41FA0"/>
    <w:rsid w:val="00C4271F"/>
    <w:rsid w:val="00C42A6C"/>
    <w:rsid w:val="00C42B60"/>
    <w:rsid w:val="00C43137"/>
    <w:rsid w:val="00C43E4A"/>
    <w:rsid w:val="00C43FD4"/>
    <w:rsid w:val="00C441BD"/>
    <w:rsid w:val="00C4445E"/>
    <w:rsid w:val="00C44846"/>
    <w:rsid w:val="00C44E74"/>
    <w:rsid w:val="00C45A51"/>
    <w:rsid w:val="00C469E3"/>
    <w:rsid w:val="00C47155"/>
    <w:rsid w:val="00C472FB"/>
    <w:rsid w:val="00C47987"/>
    <w:rsid w:val="00C47CD2"/>
    <w:rsid w:val="00C47D56"/>
    <w:rsid w:val="00C510DE"/>
    <w:rsid w:val="00C5150A"/>
    <w:rsid w:val="00C536E4"/>
    <w:rsid w:val="00C538AE"/>
    <w:rsid w:val="00C53A75"/>
    <w:rsid w:val="00C53C32"/>
    <w:rsid w:val="00C53E7A"/>
    <w:rsid w:val="00C54492"/>
    <w:rsid w:val="00C544B6"/>
    <w:rsid w:val="00C54601"/>
    <w:rsid w:val="00C54E26"/>
    <w:rsid w:val="00C55419"/>
    <w:rsid w:val="00C565E0"/>
    <w:rsid w:val="00C56A84"/>
    <w:rsid w:val="00C575E8"/>
    <w:rsid w:val="00C5777E"/>
    <w:rsid w:val="00C57EB0"/>
    <w:rsid w:val="00C60984"/>
    <w:rsid w:val="00C60E33"/>
    <w:rsid w:val="00C6111A"/>
    <w:rsid w:val="00C61801"/>
    <w:rsid w:val="00C618DF"/>
    <w:rsid w:val="00C62C6E"/>
    <w:rsid w:val="00C63806"/>
    <w:rsid w:val="00C64227"/>
    <w:rsid w:val="00C65030"/>
    <w:rsid w:val="00C652A1"/>
    <w:rsid w:val="00C655E4"/>
    <w:rsid w:val="00C65738"/>
    <w:rsid w:val="00C6590A"/>
    <w:rsid w:val="00C65FFB"/>
    <w:rsid w:val="00C66663"/>
    <w:rsid w:val="00C668D8"/>
    <w:rsid w:val="00C66BCD"/>
    <w:rsid w:val="00C66D5A"/>
    <w:rsid w:val="00C66E74"/>
    <w:rsid w:val="00C67029"/>
    <w:rsid w:val="00C70B38"/>
    <w:rsid w:val="00C70B43"/>
    <w:rsid w:val="00C71A56"/>
    <w:rsid w:val="00C730CC"/>
    <w:rsid w:val="00C73EB1"/>
    <w:rsid w:val="00C7437B"/>
    <w:rsid w:val="00C74512"/>
    <w:rsid w:val="00C7532A"/>
    <w:rsid w:val="00C75721"/>
    <w:rsid w:val="00C7582D"/>
    <w:rsid w:val="00C760A6"/>
    <w:rsid w:val="00C762B7"/>
    <w:rsid w:val="00C7674F"/>
    <w:rsid w:val="00C76825"/>
    <w:rsid w:val="00C77C4B"/>
    <w:rsid w:val="00C77D50"/>
    <w:rsid w:val="00C80DC6"/>
    <w:rsid w:val="00C815E4"/>
    <w:rsid w:val="00C82529"/>
    <w:rsid w:val="00C8290C"/>
    <w:rsid w:val="00C84B30"/>
    <w:rsid w:val="00C8512B"/>
    <w:rsid w:val="00C8575D"/>
    <w:rsid w:val="00C85782"/>
    <w:rsid w:val="00C858C8"/>
    <w:rsid w:val="00C85A79"/>
    <w:rsid w:val="00C86242"/>
    <w:rsid w:val="00C86D64"/>
    <w:rsid w:val="00C87CDD"/>
    <w:rsid w:val="00C909EE"/>
    <w:rsid w:val="00C90E27"/>
    <w:rsid w:val="00C910ED"/>
    <w:rsid w:val="00C914C9"/>
    <w:rsid w:val="00C9156F"/>
    <w:rsid w:val="00C916A9"/>
    <w:rsid w:val="00C916D2"/>
    <w:rsid w:val="00C918F6"/>
    <w:rsid w:val="00C91E57"/>
    <w:rsid w:val="00C922E8"/>
    <w:rsid w:val="00C93188"/>
    <w:rsid w:val="00C9353F"/>
    <w:rsid w:val="00C94E01"/>
    <w:rsid w:val="00C94EF3"/>
    <w:rsid w:val="00C9527E"/>
    <w:rsid w:val="00C952A9"/>
    <w:rsid w:val="00C9534F"/>
    <w:rsid w:val="00C95E98"/>
    <w:rsid w:val="00C95F67"/>
    <w:rsid w:val="00C961C0"/>
    <w:rsid w:val="00C965E4"/>
    <w:rsid w:val="00C9739A"/>
    <w:rsid w:val="00CA0A42"/>
    <w:rsid w:val="00CA0A96"/>
    <w:rsid w:val="00CA13BF"/>
    <w:rsid w:val="00CA13F7"/>
    <w:rsid w:val="00CA1463"/>
    <w:rsid w:val="00CA14DE"/>
    <w:rsid w:val="00CA2A57"/>
    <w:rsid w:val="00CA2C4B"/>
    <w:rsid w:val="00CA30A9"/>
    <w:rsid w:val="00CA32D9"/>
    <w:rsid w:val="00CA35EC"/>
    <w:rsid w:val="00CA3D36"/>
    <w:rsid w:val="00CA3EC4"/>
    <w:rsid w:val="00CA4007"/>
    <w:rsid w:val="00CA4249"/>
    <w:rsid w:val="00CA46F4"/>
    <w:rsid w:val="00CA4EF3"/>
    <w:rsid w:val="00CA575F"/>
    <w:rsid w:val="00CA5FB1"/>
    <w:rsid w:val="00CA66B5"/>
    <w:rsid w:val="00CA6F69"/>
    <w:rsid w:val="00CA6F7C"/>
    <w:rsid w:val="00CA7DAA"/>
    <w:rsid w:val="00CB0652"/>
    <w:rsid w:val="00CB0A8A"/>
    <w:rsid w:val="00CB0EC8"/>
    <w:rsid w:val="00CB108D"/>
    <w:rsid w:val="00CB138C"/>
    <w:rsid w:val="00CB14C7"/>
    <w:rsid w:val="00CB1BD3"/>
    <w:rsid w:val="00CB21EF"/>
    <w:rsid w:val="00CB25D4"/>
    <w:rsid w:val="00CB26B1"/>
    <w:rsid w:val="00CB2714"/>
    <w:rsid w:val="00CB2824"/>
    <w:rsid w:val="00CB2C75"/>
    <w:rsid w:val="00CB2F95"/>
    <w:rsid w:val="00CB30E7"/>
    <w:rsid w:val="00CB3270"/>
    <w:rsid w:val="00CB3426"/>
    <w:rsid w:val="00CB3454"/>
    <w:rsid w:val="00CB4DA4"/>
    <w:rsid w:val="00CB557A"/>
    <w:rsid w:val="00CB5DD1"/>
    <w:rsid w:val="00CB6108"/>
    <w:rsid w:val="00CB644A"/>
    <w:rsid w:val="00CB6649"/>
    <w:rsid w:val="00CB6807"/>
    <w:rsid w:val="00CB6A21"/>
    <w:rsid w:val="00CB7071"/>
    <w:rsid w:val="00CB7418"/>
    <w:rsid w:val="00CB75F9"/>
    <w:rsid w:val="00CB7960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F42"/>
    <w:rsid w:val="00CC566D"/>
    <w:rsid w:val="00CC5A86"/>
    <w:rsid w:val="00CC66B4"/>
    <w:rsid w:val="00CC66D5"/>
    <w:rsid w:val="00CC6AA6"/>
    <w:rsid w:val="00CC6ACF"/>
    <w:rsid w:val="00CC722F"/>
    <w:rsid w:val="00CC726E"/>
    <w:rsid w:val="00CC7476"/>
    <w:rsid w:val="00CC75EE"/>
    <w:rsid w:val="00CD0BAE"/>
    <w:rsid w:val="00CD1017"/>
    <w:rsid w:val="00CD129C"/>
    <w:rsid w:val="00CD12BA"/>
    <w:rsid w:val="00CD15B1"/>
    <w:rsid w:val="00CD181E"/>
    <w:rsid w:val="00CD2C45"/>
    <w:rsid w:val="00CD387C"/>
    <w:rsid w:val="00CD474C"/>
    <w:rsid w:val="00CD54EE"/>
    <w:rsid w:val="00CD5589"/>
    <w:rsid w:val="00CD5CCC"/>
    <w:rsid w:val="00CD6B16"/>
    <w:rsid w:val="00CD6B5E"/>
    <w:rsid w:val="00CD7422"/>
    <w:rsid w:val="00CD7887"/>
    <w:rsid w:val="00CE0950"/>
    <w:rsid w:val="00CE0FC5"/>
    <w:rsid w:val="00CE11D8"/>
    <w:rsid w:val="00CE1648"/>
    <w:rsid w:val="00CE1A90"/>
    <w:rsid w:val="00CE1C5C"/>
    <w:rsid w:val="00CE1CA9"/>
    <w:rsid w:val="00CE1E07"/>
    <w:rsid w:val="00CE2567"/>
    <w:rsid w:val="00CE2A65"/>
    <w:rsid w:val="00CE3037"/>
    <w:rsid w:val="00CE3157"/>
    <w:rsid w:val="00CE32AD"/>
    <w:rsid w:val="00CE3361"/>
    <w:rsid w:val="00CE3E3D"/>
    <w:rsid w:val="00CE3F49"/>
    <w:rsid w:val="00CE49B0"/>
    <w:rsid w:val="00CE4EA8"/>
    <w:rsid w:val="00CE5261"/>
    <w:rsid w:val="00CE584B"/>
    <w:rsid w:val="00CE5A0A"/>
    <w:rsid w:val="00CE6B0D"/>
    <w:rsid w:val="00CE6B23"/>
    <w:rsid w:val="00CE6C5C"/>
    <w:rsid w:val="00CE72F6"/>
    <w:rsid w:val="00CE7FF2"/>
    <w:rsid w:val="00CF078F"/>
    <w:rsid w:val="00CF0E8B"/>
    <w:rsid w:val="00CF1090"/>
    <w:rsid w:val="00CF12DA"/>
    <w:rsid w:val="00CF15E9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B17"/>
    <w:rsid w:val="00CF52EB"/>
    <w:rsid w:val="00CF585D"/>
    <w:rsid w:val="00CF5C73"/>
    <w:rsid w:val="00CF5CA8"/>
    <w:rsid w:val="00CF72BD"/>
    <w:rsid w:val="00CF767E"/>
    <w:rsid w:val="00CF78C0"/>
    <w:rsid w:val="00D00418"/>
    <w:rsid w:val="00D015A8"/>
    <w:rsid w:val="00D024F9"/>
    <w:rsid w:val="00D0251A"/>
    <w:rsid w:val="00D027F9"/>
    <w:rsid w:val="00D032AA"/>
    <w:rsid w:val="00D03A3E"/>
    <w:rsid w:val="00D03B1A"/>
    <w:rsid w:val="00D03E97"/>
    <w:rsid w:val="00D040BB"/>
    <w:rsid w:val="00D04846"/>
    <w:rsid w:val="00D056E9"/>
    <w:rsid w:val="00D05C6C"/>
    <w:rsid w:val="00D05CB6"/>
    <w:rsid w:val="00D06325"/>
    <w:rsid w:val="00D06B3C"/>
    <w:rsid w:val="00D074E2"/>
    <w:rsid w:val="00D07684"/>
    <w:rsid w:val="00D076A6"/>
    <w:rsid w:val="00D07F59"/>
    <w:rsid w:val="00D104B2"/>
    <w:rsid w:val="00D10986"/>
    <w:rsid w:val="00D109A6"/>
    <w:rsid w:val="00D10B14"/>
    <w:rsid w:val="00D119AE"/>
    <w:rsid w:val="00D11BB2"/>
    <w:rsid w:val="00D11EBF"/>
    <w:rsid w:val="00D12F1F"/>
    <w:rsid w:val="00D13207"/>
    <w:rsid w:val="00D13358"/>
    <w:rsid w:val="00D1342C"/>
    <w:rsid w:val="00D13FCA"/>
    <w:rsid w:val="00D142FA"/>
    <w:rsid w:val="00D14427"/>
    <w:rsid w:val="00D14873"/>
    <w:rsid w:val="00D14C06"/>
    <w:rsid w:val="00D14DAF"/>
    <w:rsid w:val="00D1564A"/>
    <w:rsid w:val="00D156E5"/>
    <w:rsid w:val="00D15AF0"/>
    <w:rsid w:val="00D16090"/>
    <w:rsid w:val="00D16747"/>
    <w:rsid w:val="00D16D2A"/>
    <w:rsid w:val="00D175C7"/>
    <w:rsid w:val="00D17619"/>
    <w:rsid w:val="00D17E09"/>
    <w:rsid w:val="00D20886"/>
    <w:rsid w:val="00D21B66"/>
    <w:rsid w:val="00D222E8"/>
    <w:rsid w:val="00D225A4"/>
    <w:rsid w:val="00D22B9C"/>
    <w:rsid w:val="00D22E00"/>
    <w:rsid w:val="00D251E6"/>
    <w:rsid w:val="00D259B0"/>
    <w:rsid w:val="00D25CCC"/>
    <w:rsid w:val="00D26097"/>
    <w:rsid w:val="00D261C5"/>
    <w:rsid w:val="00D26332"/>
    <w:rsid w:val="00D26391"/>
    <w:rsid w:val="00D2699D"/>
    <w:rsid w:val="00D26D7A"/>
    <w:rsid w:val="00D27747"/>
    <w:rsid w:val="00D27BF7"/>
    <w:rsid w:val="00D30729"/>
    <w:rsid w:val="00D30EAF"/>
    <w:rsid w:val="00D30F4F"/>
    <w:rsid w:val="00D31005"/>
    <w:rsid w:val="00D314F6"/>
    <w:rsid w:val="00D31A4F"/>
    <w:rsid w:val="00D31D6C"/>
    <w:rsid w:val="00D31D99"/>
    <w:rsid w:val="00D32CDD"/>
    <w:rsid w:val="00D32E0D"/>
    <w:rsid w:val="00D3326D"/>
    <w:rsid w:val="00D33977"/>
    <w:rsid w:val="00D34097"/>
    <w:rsid w:val="00D34F8F"/>
    <w:rsid w:val="00D3544C"/>
    <w:rsid w:val="00D35640"/>
    <w:rsid w:val="00D3719F"/>
    <w:rsid w:val="00D371C8"/>
    <w:rsid w:val="00D40271"/>
    <w:rsid w:val="00D4046C"/>
    <w:rsid w:val="00D4061B"/>
    <w:rsid w:val="00D4083E"/>
    <w:rsid w:val="00D40F15"/>
    <w:rsid w:val="00D411DD"/>
    <w:rsid w:val="00D431DA"/>
    <w:rsid w:val="00D433D7"/>
    <w:rsid w:val="00D43450"/>
    <w:rsid w:val="00D43D75"/>
    <w:rsid w:val="00D43F48"/>
    <w:rsid w:val="00D43F90"/>
    <w:rsid w:val="00D44156"/>
    <w:rsid w:val="00D44198"/>
    <w:rsid w:val="00D44273"/>
    <w:rsid w:val="00D445B3"/>
    <w:rsid w:val="00D44C1D"/>
    <w:rsid w:val="00D453B5"/>
    <w:rsid w:val="00D45977"/>
    <w:rsid w:val="00D45A0F"/>
    <w:rsid w:val="00D4614B"/>
    <w:rsid w:val="00D46DBF"/>
    <w:rsid w:val="00D46F26"/>
    <w:rsid w:val="00D4709A"/>
    <w:rsid w:val="00D47591"/>
    <w:rsid w:val="00D47671"/>
    <w:rsid w:val="00D50F4A"/>
    <w:rsid w:val="00D51089"/>
    <w:rsid w:val="00D520D9"/>
    <w:rsid w:val="00D5228C"/>
    <w:rsid w:val="00D5267F"/>
    <w:rsid w:val="00D52D1F"/>
    <w:rsid w:val="00D52E06"/>
    <w:rsid w:val="00D53292"/>
    <w:rsid w:val="00D53650"/>
    <w:rsid w:val="00D540AD"/>
    <w:rsid w:val="00D54C85"/>
    <w:rsid w:val="00D553C7"/>
    <w:rsid w:val="00D5648F"/>
    <w:rsid w:val="00D5651D"/>
    <w:rsid w:val="00D570CA"/>
    <w:rsid w:val="00D57B21"/>
    <w:rsid w:val="00D57B9A"/>
    <w:rsid w:val="00D60190"/>
    <w:rsid w:val="00D602D3"/>
    <w:rsid w:val="00D605A5"/>
    <w:rsid w:val="00D606A0"/>
    <w:rsid w:val="00D607F4"/>
    <w:rsid w:val="00D60A2F"/>
    <w:rsid w:val="00D60DAB"/>
    <w:rsid w:val="00D612AE"/>
    <w:rsid w:val="00D61A8A"/>
    <w:rsid w:val="00D62369"/>
    <w:rsid w:val="00D623AA"/>
    <w:rsid w:val="00D62A24"/>
    <w:rsid w:val="00D62FAC"/>
    <w:rsid w:val="00D635B0"/>
    <w:rsid w:val="00D637A9"/>
    <w:rsid w:val="00D63BE1"/>
    <w:rsid w:val="00D64157"/>
    <w:rsid w:val="00D65280"/>
    <w:rsid w:val="00D6616F"/>
    <w:rsid w:val="00D6699B"/>
    <w:rsid w:val="00D67E68"/>
    <w:rsid w:val="00D7009E"/>
    <w:rsid w:val="00D70C63"/>
    <w:rsid w:val="00D70DB3"/>
    <w:rsid w:val="00D710C5"/>
    <w:rsid w:val="00D712B1"/>
    <w:rsid w:val="00D71316"/>
    <w:rsid w:val="00D71705"/>
    <w:rsid w:val="00D71888"/>
    <w:rsid w:val="00D71A21"/>
    <w:rsid w:val="00D71B45"/>
    <w:rsid w:val="00D722C1"/>
    <w:rsid w:val="00D72437"/>
    <w:rsid w:val="00D726A5"/>
    <w:rsid w:val="00D727AC"/>
    <w:rsid w:val="00D72AC2"/>
    <w:rsid w:val="00D72CAE"/>
    <w:rsid w:val="00D74660"/>
    <w:rsid w:val="00D74797"/>
    <w:rsid w:val="00D74968"/>
    <w:rsid w:val="00D749D2"/>
    <w:rsid w:val="00D74D9B"/>
    <w:rsid w:val="00D750A2"/>
    <w:rsid w:val="00D75650"/>
    <w:rsid w:val="00D756E8"/>
    <w:rsid w:val="00D76039"/>
    <w:rsid w:val="00D77623"/>
    <w:rsid w:val="00D801EB"/>
    <w:rsid w:val="00D80747"/>
    <w:rsid w:val="00D8099F"/>
    <w:rsid w:val="00D809FF"/>
    <w:rsid w:val="00D80E48"/>
    <w:rsid w:val="00D81046"/>
    <w:rsid w:val="00D810F2"/>
    <w:rsid w:val="00D81285"/>
    <w:rsid w:val="00D813CC"/>
    <w:rsid w:val="00D8168F"/>
    <w:rsid w:val="00D81B9A"/>
    <w:rsid w:val="00D8228E"/>
    <w:rsid w:val="00D822C6"/>
    <w:rsid w:val="00D82890"/>
    <w:rsid w:val="00D82E5F"/>
    <w:rsid w:val="00D834DB"/>
    <w:rsid w:val="00D83561"/>
    <w:rsid w:val="00D843D6"/>
    <w:rsid w:val="00D84C30"/>
    <w:rsid w:val="00D85237"/>
    <w:rsid w:val="00D85475"/>
    <w:rsid w:val="00D85A2F"/>
    <w:rsid w:val="00D86605"/>
    <w:rsid w:val="00D86789"/>
    <w:rsid w:val="00D87BDC"/>
    <w:rsid w:val="00D9096B"/>
    <w:rsid w:val="00D90D1C"/>
    <w:rsid w:val="00D90D5C"/>
    <w:rsid w:val="00D90ED4"/>
    <w:rsid w:val="00D90F48"/>
    <w:rsid w:val="00D90FF0"/>
    <w:rsid w:val="00D91327"/>
    <w:rsid w:val="00D91838"/>
    <w:rsid w:val="00D91B98"/>
    <w:rsid w:val="00D91CBE"/>
    <w:rsid w:val="00D91E21"/>
    <w:rsid w:val="00D920E8"/>
    <w:rsid w:val="00D92722"/>
    <w:rsid w:val="00D92BC6"/>
    <w:rsid w:val="00D92BF2"/>
    <w:rsid w:val="00D93295"/>
    <w:rsid w:val="00D9335B"/>
    <w:rsid w:val="00D93B6F"/>
    <w:rsid w:val="00D93DAF"/>
    <w:rsid w:val="00D93DC5"/>
    <w:rsid w:val="00D941AE"/>
    <w:rsid w:val="00D94381"/>
    <w:rsid w:val="00D94912"/>
    <w:rsid w:val="00D94E5E"/>
    <w:rsid w:val="00D94F2C"/>
    <w:rsid w:val="00D9500C"/>
    <w:rsid w:val="00D96138"/>
    <w:rsid w:val="00D965AB"/>
    <w:rsid w:val="00D969C1"/>
    <w:rsid w:val="00D96B07"/>
    <w:rsid w:val="00D96BD2"/>
    <w:rsid w:val="00D974EC"/>
    <w:rsid w:val="00D97594"/>
    <w:rsid w:val="00DA002B"/>
    <w:rsid w:val="00DA0351"/>
    <w:rsid w:val="00DA0417"/>
    <w:rsid w:val="00DA059A"/>
    <w:rsid w:val="00DA0676"/>
    <w:rsid w:val="00DA08F0"/>
    <w:rsid w:val="00DA0F27"/>
    <w:rsid w:val="00DA156A"/>
    <w:rsid w:val="00DA1DA8"/>
    <w:rsid w:val="00DA22C1"/>
    <w:rsid w:val="00DA24B0"/>
    <w:rsid w:val="00DA2582"/>
    <w:rsid w:val="00DA2694"/>
    <w:rsid w:val="00DA3CF1"/>
    <w:rsid w:val="00DA4AA3"/>
    <w:rsid w:val="00DA4B0E"/>
    <w:rsid w:val="00DA50E4"/>
    <w:rsid w:val="00DA5BEB"/>
    <w:rsid w:val="00DA6864"/>
    <w:rsid w:val="00DA6BFD"/>
    <w:rsid w:val="00DA7645"/>
    <w:rsid w:val="00DA7C39"/>
    <w:rsid w:val="00DA7E15"/>
    <w:rsid w:val="00DA7FC8"/>
    <w:rsid w:val="00DB02FF"/>
    <w:rsid w:val="00DB10BD"/>
    <w:rsid w:val="00DB1112"/>
    <w:rsid w:val="00DB1433"/>
    <w:rsid w:val="00DB197C"/>
    <w:rsid w:val="00DB1AAF"/>
    <w:rsid w:val="00DB1FCD"/>
    <w:rsid w:val="00DB26B5"/>
    <w:rsid w:val="00DB37A2"/>
    <w:rsid w:val="00DB3810"/>
    <w:rsid w:val="00DB3AA0"/>
    <w:rsid w:val="00DB3B47"/>
    <w:rsid w:val="00DB3C49"/>
    <w:rsid w:val="00DB41B9"/>
    <w:rsid w:val="00DB42C2"/>
    <w:rsid w:val="00DB43E5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689"/>
    <w:rsid w:val="00DB67E7"/>
    <w:rsid w:val="00DB68BB"/>
    <w:rsid w:val="00DB7F10"/>
    <w:rsid w:val="00DC0DC0"/>
    <w:rsid w:val="00DC1524"/>
    <w:rsid w:val="00DC17D7"/>
    <w:rsid w:val="00DC1889"/>
    <w:rsid w:val="00DC1CA3"/>
    <w:rsid w:val="00DC2A33"/>
    <w:rsid w:val="00DC3214"/>
    <w:rsid w:val="00DC3579"/>
    <w:rsid w:val="00DC36EE"/>
    <w:rsid w:val="00DC3C7B"/>
    <w:rsid w:val="00DC3E0F"/>
    <w:rsid w:val="00DC43AE"/>
    <w:rsid w:val="00DC466F"/>
    <w:rsid w:val="00DC4841"/>
    <w:rsid w:val="00DC48C4"/>
    <w:rsid w:val="00DC4CF6"/>
    <w:rsid w:val="00DC51EE"/>
    <w:rsid w:val="00DC5533"/>
    <w:rsid w:val="00DC5770"/>
    <w:rsid w:val="00DC59D7"/>
    <w:rsid w:val="00DC6E13"/>
    <w:rsid w:val="00DC6E1B"/>
    <w:rsid w:val="00DC79DC"/>
    <w:rsid w:val="00DC7EBE"/>
    <w:rsid w:val="00DD12EF"/>
    <w:rsid w:val="00DD158F"/>
    <w:rsid w:val="00DD16FB"/>
    <w:rsid w:val="00DD235A"/>
    <w:rsid w:val="00DD2381"/>
    <w:rsid w:val="00DD2B1D"/>
    <w:rsid w:val="00DD3016"/>
    <w:rsid w:val="00DD3367"/>
    <w:rsid w:val="00DD3821"/>
    <w:rsid w:val="00DD391B"/>
    <w:rsid w:val="00DD3DAF"/>
    <w:rsid w:val="00DD3F5F"/>
    <w:rsid w:val="00DD45D3"/>
    <w:rsid w:val="00DD48F3"/>
    <w:rsid w:val="00DD4E0C"/>
    <w:rsid w:val="00DD55A1"/>
    <w:rsid w:val="00DD5A2A"/>
    <w:rsid w:val="00DD662B"/>
    <w:rsid w:val="00DD6C92"/>
    <w:rsid w:val="00DD7BEE"/>
    <w:rsid w:val="00DE0048"/>
    <w:rsid w:val="00DE01AB"/>
    <w:rsid w:val="00DE02F3"/>
    <w:rsid w:val="00DE0778"/>
    <w:rsid w:val="00DE0B85"/>
    <w:rsid w:val="00DE12BD"/>
    <w:rsid w:val="00DE1532"/>
    <w:rsid w:val="00DE179B"/>
    <w:rsid w:val="00DE1C45"/>
    <w:rsid w:val="00DE292D"/>
    <w:rsid w:val="00DE2AA3"/>
    <w:rsid w:val="00DE30D1"/>
    <w:rsid w:val="00DE3B74"/>
    <w:rsid w:val="00DE40F7"/>
    <w:rsid w:val="00DE441B"/>
    <w:rsid w:val="00DE47DF"/>
    <w:rsid w:val="00DE4D21"/>
    <w:rsid w:val="00DE5EA6"/>
    <w:rsid w:val="00DE5F34"/>
    <w:rsid w:val="00DE5F41"/>
    <w:rsid w:val="00DE61FB"/>
    <w:rsid w:val="00DE6B6A"/>
    <w:rsid w:val="00DE6D03"/>
    <w:rsid w:val="00DE6F12"/>
    <w:rsid w:val="00DE730F"/>
    <w:rsid w:val="00DE731D"/>
    <w:rsid w:val="00DE7A1D"/>
    <w:rsid w:val="00DF0A8D"/>
    <w:rsid w:val="00DF0E97"/>
    <w:rsid w:val="00DF11F0"/>
    <w:rsid w:val="00DF1956"/>
    <w:rsid w:val="00DF19CC"/>
    <w:rsid w:val="00DF1AD2"/>
    <w:rsid w:val="00DF1D62"/>
    <w:rsid w:val="00DF2170"/>
    <w:rsid w:val="00DF2D2F"/>
    <w:rsid w:val="00DF2FC2"/>
    <w:rsid w:val="00DF3D62"/>
    <w:rsid w:val="00DF40B8"/>
    <w:rsid w:val="00DF48A8"/>
    <w:rsid w:val="00DF4D08"/>
    <w:rsid w:val="00DF572E"/>
    <w:rsid w:val="00DF596A"/>
    <w:rsid w:val="00DF650F"/>
    <w:rsid w:val="00DF691D"/>
    <w:rsid w:val="00DF6BD1"/>
    <w:rsid w:val="00DF6C77"/>
    <w:rsid w:val="00DF6DA6"/>
    <w:rsid w:val="00DF708D"/>
    <w:rsid w:val="00DF7EB8"/>
    <w:rsid w:val="00E00008"/>
    <w:rsid w:val="00E0031E"/>
    <w:rsid w:val="00E00A61"/>
    <w:rsid w:val="00E00FD5"/>
    <w:rsid w:val="00E01956"/>
    <w:rsid w:val="00E02047"/>
    <w:rsid w:val="00E023E5"/>
    <w:rsid w:val="00E025BA"/>
    <w:rsid w:val="00E02837"/>
    <w:rsid w:val="00E034F3"/>
    <w:rsid w:val="00E04014"/>
    <w:rsid w:val="00E0429B"/>
    <w:rsid w:val="00E0443C"/>
    <w:rsid w:val="00E04B0F"/>
    <w:rsid w:val="00E04B4F"/>
    <w:rsid w:val="00E061BA"/>
    <w:rsid w:val="00E06719"/>
    <w:rsid w:val="00E06FD6"/>
    <w:rsid w:val="00E074C1"/>
    <w:rsid w:val="00E07B79"/>
    <w:rsid w:val="00E07CDC"/>
    <w:rsid w:val="00E07E4F"/>
    <w:rsid w:val="00E1006A"/>
    <w:rsid w:val="00E105B9"/>
    <w:rsid w:val="00E1079E"/>
    <w:rsid w:val="00E10F6A"/>
    <w:rsid w:val="00E112FA"/>
    <w:rsid w:val="00E12CED"/>
    <w:rsid w:val="00E133D5"/>
    <w:rsid w:val="00E13A45"/>
    <w:rsid w:val="00E13D2C"/>
    <w:rsid w:val="00E13EE3"/>
    <w:rsid w:val="00E148CD"/>
    <w:rsid w:val="00E14E22"/>
    <w:rsid w:val="00E14FF5"/>
    <w:rsid w:val="00E15713"/>
    <w:rsid w:val="00E16682"/>
    <w:rsid w:val="00E1678A"/>
    <w:rsid w:val="00E17549"/>
    <w:rsid w:val="00E17BAE"/>
    <w:rsid w:val="00E17E85"/>
    <w:rsid w:val="00E17E99"/>
    <w:rsid w:val="00E2002A"/>
    <w:rsid w:val="00E2055A"/>
    <w:rsid w:val="00E215B2"/>
    <w:rsid w:val="00E21F2D"/>
    <w:rsid w:val="00E22A26"/>
    <w:rsid w:val="00E22DD9"/>
    <w:rsid w:val="00E2336E"/>
    <w:rsid w:val="00E23655"/>
    <w:rsid w:val="00E23AB9"/>
    <w:rsid w:val="00E23AC4"/>
    <w:rsid w:val="00E23ED2"/>
    <w:rsid w:val="00E254F8"/>
    <w:rsid w:val="00E256F7"/>
    <w:rsid w:val="00E25995"/>
    <w:rsid w:val="00E25D57"/>
    <w:rsid w:val="00E26257"/>
    <w:rsid w:val="00E264AD"/>
    <w:rsid w:val="00E26BCC"/>
    <w:rsid w:val="00E27074"/>
    <w:rsid w:val="00E273AF"/>
    <w:rsid w:val="00E27C73"/>
    <w:rsid w:val="00E27E1C"/>
    <w:rsid w:val="00E300F2"/>
    <w:rsid w:val="00E31966"/>
    <w:rsid w:val="00E3203D"/>
    <w:rsid w:val="00E32AE4"/>
    <w:rsid w:val="00E32D2E"/>
    <w:rsid w:val="00E32D6A"/>
    <w:rsid w:val="00E33396"/>
    <w:rsid w:val="00E335C5"/>
    <w:rsid w:val="00E33D24"/>
    <w:rsid w:val="00E33E8E"/>
    <w:rsid w:val="00E34706"/>
    <w:rsid w:val="00E34791"/>
    <w:rsid w:val="00E34C42"/>
    <w:rsid w:val="00E34ED4"/>
    <w:rsid w:val="00E35580"/>
    <w:rsid w:val="00E3658B"/>
    <w:rsid w:val="00E36DD5"/>
    <w:rsid w:val="00E37347"/>
    <w:rsid w:val="00E3751A"/>
    <w:rsid w:val="00E377A6"/>
    <w:rsid w:val="00E37FA3"/>
    <w:rsid w:val="00E4005E"/>
    <w:rsid w:val="00E40A1E"/>
    <w:rsid w:val="00E41CF2"/>
    <w:rsid w:val="00E41D23"/>
    <w:rsid w:val="00E420C4"/>
    <w:rsid w:val="00E42108"/>
    <w:rsid w:val="00E4297F"/>
    <w:rsid w:val="00E42D22"/>
    <w:rsid w:val="00E430C3"/>
    <w:rsid w:val="00E438F7"/>
    <w:rsid w:val="00E43DB5"/>
    <w:rsid w:val="00E43E29"/>
    <w:rsid w:val="00E43EE5"/>
    <w:rsid w:val="00E441A9"/>
    <w:rsid w:val="00E44ACD"/>
    <w:rsid w:val="00E44CB9"/>
    <w:rsid w:val="00E45343"/>
    <w:rsid w:val="00E45934"/>
    <w:rsid w:val="00E45B97"/>
    <w:rsid w:val="00E45F62"/>
    <w:rsid w:val="00E46852"/>
    <w:rsid w:val="00E46AB1"/>
    <w:rsid w:val="00E4775D"/>
    <w:rsid w:val="00E478A2"/>
    <w:rsid w:val="00E479FF"/>
    <w:rsid w:val="00E47B79"/>
    <w:rsid w:val="00E5083F"/>
    <w:rsid w:val="00E51392"/>
    <w:rsid w:val="00E515B1"/>
    <w:rsid w:val="00E51662"/>
    <w:rsid w:val="00E5269A"/>
    <w:rsid w:val="00E535D1"/>
    <w:rsid w:val="00E536FC"/>
    <w:rsid w:val="00E53AA6"/>
    <w:rsid w:val="00E53C6C"/>
    <w:rsid w:val="00E53CB2"/>
    <w:rsid w:val="00E53D6A"/>
    <w:rsid w:val="00E54898"/>
    <w:rsid w:val="00E55558"/>
    <w:rsid w:val="00E55BB8"/>
    <w:rsid w:val="00E55BC6"/>
    <w:rsid w:val="00E560CE"/>
    <w:rsid w:val="00E56344"/>
    <w:rsid w:val="00E5685B"/>
    <w:rsid w:val="00E57459"/>
    <w:rsid w:val="00E57743"/>
    <w:rsid w:val="00E57D49"/>
    <w:rsid w:val="00E57E87"/>
    <w:rsid w:val="00E60DE1"/>
    <w:rsid w:val="00E60EA4"/>
    <w:rsid w:val="00E61076"/>
    <w:rsid w:val="00E61812"/>
    <w:rsid w:val="00E62CF0"/>
    <w:rsid w:val="00E62D0A"/>
    <w:rsid w:val="00E62E5D"/>
    <w:rsid w:val="00E6366A"/>
    <w:rsid w:val="00E64937"/>
    <w:rsid w:val="00E64986"/>
    <w:rsid w:val="00E64C84"/>
    <w:rsid w:val="00E65073"/>
    <w:rsid w:val="00E65C86"/>
    <w:rsid w:val="00E65CA6"/>
    <w:rsid w:val="00E65E8C"/>
    <w:rsid w:val="00E66800"/>
    <w:rsid w:val="00E66D78"/>
    <w:rsid w:val="00E67196"/>
    <w:rsid w:val="00E671DE"/>
    <w:rsid w:val="00E673C1"/>
    <w:rsid w:val="00E67C5C"/>
    <w:rsid w:val="00E67E4D"/>
    <w:rsid w:val="00E67E55"/>
    <w:rsid w:val="00E67F88"/>
    <w:rsid w:val="00E7027B"/>
    <w:rsid w:val="00E70504"/>
    <w:rsid w:val="00E71198"/>
    <w:rsid w:val="00E71E4F"/>
    <w:rsid w:val="00E72486"/>
    <w:rsid w:val="00E724EF"/>
    <w:rsid w:val="00E7264E"/>
    <w:rsid w:val="00E72651"/>
    <w:rsid w:val="00E73957"/>
    <w:rsid w:val="00E73C90"/>
    <w:rsid w:val="00E73D3A"/>
    <w:rsid w:val="00E7412C"/>
    <w:rsid w:val="00E743A1"/>
    <w:rsid w:val="00E74BC5"/>
    <w:rsid w:val="00E74F05"/>
    <w:rsid w:val="00E7518B"/>
    <w:rsid w:val="00E754AA"/>
    <w:rsid w:val="00E7593F"/>
    <w:rsid w:val="00E76497"/>
    <w:rsid w:val="00E76C33"/>
    <w:rsid w:val="00E76CB8"/>
    <w:rsid w:val="00E77D1D"/>
    <w:rsid w:val="00E8011B"/>
    <w:rsid w:val="00E801FE"/>
    <w:rsid w:val="00E80768"/>
    <w:rsid w:val="00E80E1E"/>
    <w:rsid w:val="00E82135"/>
    <w:rsid w:val="00E82532"/>
    <w:rsid w:val="00E82862"/>
    <w:rsid w:val="00E82CA0"/>
    <w:rsid w:val="00E82E17"/>
    <w:rsid w:val="00E8372A"/>
    <w:rsid w:val="00E84AD4"/>
    <w:rsid w:val="00E8534F"/>
    <w:rsid w:val="00E854EA"/>
    <w:rsid w:val="00E85E9E"/>
    <w:rsid w:val="00E85EC9"/>
    <w:rsid w:val="00E86BAE"/>
    <w:rsid w:val="00E870A0"/>
    <w:rsid w:val="00E876A3"/>
    <w:rsid w:val="00E87DC5"/>
    <w:rsid w:val="00E903A5"/>
    <w:rsid w:val="00E90A19"/>
    <w:rsid w:val="00E91460"/>
    <w:rsid w:val="00E915F1"/>
    <w:rsid w:val="00E91C42"/>
    <w:rsid w:val="00E91E26"/>
    <w:rsid w:val="00E9201C"/>
    <w:rsid w:val="00E92341"/>
    <w:rsid w:val="00E9331A"/>
    <w:rsid w:val="00E93635"/>
    <w:rsid w:val="00E93832"/>
    <w:rsid w:val="00E94E89"/>
    <w:rsid w:val="00E94F06"/>
    <w:rsid w:val="00E94F96"/>
    <w:rsid w:val="00E95243"/>
    <w:rsid w:val="00E956CB"/>
    <w:rsid w:val="00E960B8"/>
    <w:rsid w:val="00E96AEE"/>
    <w:rsid w:val="00E96D1C"/>
    <w:rsid w:val="00E977CB"/>
    <w:rsid w:val="00E977CE"/>
    <w:rsid w:val="00E97990"/>
    <w:rsid w:val="00E97CCC"/>
    <w:rsid w:val="00E97D2F"/>
    <w:rsid w:val="00E97EA7"/>
    <w:rsid w:val="00E97FB1"/>
    <w:rsid w:val="00EA01C6"/>
    <w:rsid w:val="00EA0ABD"/>
    <w:rsid w:val="00EA0F58"/>
    <w:rsid w:val="00EA1514"/>
    <w:rsid w:val="00EA16E1"/>
    <w:rsid w:val="00EA1767"/>
    <w:rsid w:val="00EA1F8E"/>
    <w:rsid w:val="00EA2360"/>
    <w:rsid w:val="00EA272B"/>
    <w:rsid w:val="00EA2F5D"/>
    <w:rsid w:val="00EA301E"/>
    <w:rsid w:val="00EA3B15"/>
    <w:rsid w:val="00EA3BA1"/>
    <w:rsid w:val="00EA449C"/>
    <w:rsid w:val="00EA45C9"/>
    <w:rsid w:val="00EA4F1E"/>
    <w:rsid w:val="00EA4F7D"/>
    <w:rsid w:val="00EA5386"/>
    <w:rsid w:val="00EA5F9C"/>
    <w:rsid w:val="00EA633B"/>
    <w:rsid w:val="00EA6566"/>
    <w:rsid w:val="00EA659C"/>
    <w:rsid w:val="00EA7206"/>
    <w:rsid w:val="00EB0A68"/>
    <w:rsid w:val="00EB0E6A"/>
    <w:rsid w:val="00EB0FE6"/>
    <w:rsid w:val="00EB149B"/>
    <w:rsid w:val="00EB16EB"/>
    <w:rsid w:val="00EB182C"/>
    <w:rsid w:val="00EB19D9"/>
    <w:rsid w:val="00EB2287"/>
    <w:rsid w:val="00EB269D"/>
    <w:rsid w:val="00EB30E8"/>
    <w:rsid w:val="00EB344E"/>
    <w:rsid w:val="00EB382F"/>
    <w:rsid w:val="00EB45B5"/>
    <w:rsid w:val="00EB45D7"/>
    <w:rsid w:val="00EB47B3"/>
    <w:rsid w:val="00EB47E2"/>
    <w:rsid w:val="00EB4926"/>
    <w:rsid w:val="00EB4B58"/>
    <w:rsid w:val="00EB4E5F"/>
    <w:rsid w:val="00EB4E7E"/>
    <w:rsid w:val="00EB5197"/>
    <w:rsid w:val="00EB5629"/>
    <w:rsid w:val="00EB5734"/>
    <w:rsid w:val="00EB75EB"/>
    <w:rsid w:val="00EB7605"/>
    <w:rsid w:val="00EB76CB"/>
    <w:rsid w:val="00EC089D"/>
    <w:rsid w:val="00EC0A4A"/>
    <w:rsid w:val="00EC0DD3"/>
    <w:rsid w:val="00EC101A"/>
    <w:rsid w:val="00EC1394"/>
    <w:rsid w:val="00EC20D7"/>
    <w:rsid w:val="00EC226A"/>
    <w:rsid w:val="00EC229B"/>
    <w:rsid w:val="00EC28DD"/>
    <w:rsid w:val="00EC2CF1"/>
    <w:rsid w:val="00EC2EE6"/>
    <w:rsid w:val="00EC3012"/>
    <w:rsid w:val="00EC3713"/>
    <w:rsid w:val="00EC37A0"/>
    <w:rsid w:val="00EC3A31"/>
    <w:rsid w:val="00EC3FA5"/>
    <w:rsid w:val="00EC42FA"/>
    <w:rsid w:val="00EC4BE9"/>
    <w:rsid w:val="00EC51B6"/>
    <w:rsid w:val="00EC552D"/>
    <w:rsid w:val="00EC5B93"/>
    <w:rsid w:val="00EC6B07"/>
    <w:rsid w:val="00EC774B"/>
    <w:rsid w:val="00ED02CF"/>
    <w:rsid w:val="00ED0A68"/>
    <w:rsid w:val="00ED0F43"/>
    <w:rsid w:val="00ED13EB"/>
    <w:rsid w:val="00ED1462"/>
    <w:rsid w:val="00ED14A1"/>
    <w:rsid w:val="00ED17FA"/>
    <w:rsid w:val="00ED1856"/>
    <w:rsid w:val="00ED1E7C"/>
    <w:rsid w:val="00ED24B6"/>
    <w:rsid w:val="00ED25D2"/>
    <w:rsid w:val="00ED3424"/>
    <w:rsid w:val="00ED35C0"/>
    <w:rsid w:val="00ED387E"/>
    <w:rsid w:val="00ED3F38"/>
    <w:rsid w:val="00ED4124"/>
    <w:rsid w:val="00ED48D1"/>
    <w:rsid w:val="00ED5030"/>
    <w:rsid w:val="00ED547D"/>
    <w:rsid w:val="00ED596C"/>
    <w:rsid w:val="00ED5ACF"/>
    <w:rsid w:val="00ED6393"/>
    <w:rsid w:val="00EE0174"/>
    <w:rsid w:val="00EE01D1"/>
    <w:rsid w:val="00EE083C"/>
    <w:rsid w:val="00EE0D6A"/>
    <w:rsid w:val="00EE1272"/>
    <w:rsid w:val="00EE12E9"/>
    <w:rsid w:val="00EE13A7"/>
    <w:rsid w:val="00EE16E3"/>
    <w:rsid w:val="00EE18F3"/>
    <w:rsid w:val="00EE2972"/>
    <w:rsid w:val="00EE2AD2"/>
    <w:rsid w:val="00EE2B55"/>
    <w:rsid w:val="00EE3341"/>
    <w:rsid w:val="00EE3445"/>
    <w:rsid w:val="00EE4436"/>
    <w:rsid w:val="00EE4BBE"/>
    <w:rsid w:val="00EE5181"/>
    <w:rsid w:val="00EE546C"/>
    <w:rsid w:val="00EE563D"/>
    <w:rsid w:val="00EE58E5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A0C"/>
    <w:rsid w:val="00EF0C8C"/>
    <w:rsid w:val="00EF0E21"/>
    <w:rsid w:val="00EF0EA2"/>
    <w:rsid w:val="00EF138D"/>
    <w:rsid w:val="00EF1821"/>
    <w:rsid w:val="00EF183E"/>
    <w:rsid w:val="00EF1D2F"/>
    <w:rsid w:val="00EF1E19"/>
    <w:rsid w:val="00EF20C3"/>
    <w:rsid w:val="00EF231B"/>
    <w:rsid w:val="00EF2449"/>
    <w:rsid w:val="00EF2467"/>
    <w:rsid w:val="00EF256C"/>
    <w:rsid w:val="00EF3393"/>
    <w:rsid w:val="00EF3C6A"/>
    <w:rsid w:val="00EF3F1A"/>
    <w:rsid w:val="00EF463E"/>
    <w:rsid w:val="00EF541D"/>
    <w:rsid w:val="00EF571F"/>
    <w:rsid w:val="00EF579C"/>
    <w:rsid w:val="00EF57BB"/>
    <w:rsid w:val="00EF585C"/>
    <w:rsid w:val="00EF5B01"/>
    <w:rsid w:val="00EF5B95"/>
    <w:rsid w:val="00EF60B7"/>
    <w:rsid w:val="00EF613D"/>
    <w:rsid w:val="00EF6992"/>
    <w:rsid w:val="00EF7722"/>
    <w:rsid w:val="00F00922"/>
    <w:rsid w:val="00F00AE5"/>
    <w:rsid w:val="00F00E92"/>
    <w:rsid w:val="00F0102C"/>
    <w:rsid w:val="00F0106B"/>
    <w:rsid w:val="00F0137B"/>
    <w:rsid w:val="00F0139C"/>
    <w:rsid w:val="00F015C1"/>
    <w:rsid w:val="00F01C88"/>
    <w:rsid w:val="00F020E1"/>
    <w:rsid w:val="00F0221D"/>
    <w:rsid w:val="00F02DE5"/>
    <w:rsid w:val="00F0324F"/>
    <w:rsid w:val="00F03AA2"/>
    <w:rsid w:val="00F03EBA"/>
    <w:rsid w:val="00F043F9"/>
    <w:rsid w:val="00F046C5"/>
    <w:rsid w:val="00F04E02"/>
    <w:rsid w:val="00F05558"/>
    <w:rsid w:val="00F0595E"/>
    <w:rsid w:val="00F059F0"/>
    <w:rsid w:val="00F05A7B"/>
    <w:rsid w:val="00F05F59"/>
    <w:rsid w:val="00F05FEC"/>
    <w:rsid w:val="00F06454"/>
    <w:rsid w:val="00F06CB2"/>
    <w:rsid w:val="00F06E72"/>
    <w:rsid w:val="00F07571"/>
    <w:rsid w:val="00F07C8A"/>
    <w:rsid w:val="00F07D8B"/>
    <w:rsid w:val="00F104D0"/>
    <w:rsid w:val="00F106FC"/>
    <w:rsid w:val="00F10840"/>
    <w:rsid w:val="00F116E1"/>
    <w:rsid w:val="00F11E4F"/>
    <w:rsid w:val="00F12550"/>
    <w:rsid w:val="00F1272B"/>
    <w:rsid w:val="00F12DE0"/>
    <w:rsid w:val="00F13033"/>
    <w:rsid w:val="00F13232"/>
    <w:rsid w:val="00F132E7"/>
    <w:rsid w:val="00F133A7"/>
    <w:rsid w:val="00F13A85"/>
    <w:rsid w:val="00F13C6A"/>
    <w:rsid w:val="00F13C93"/>
    <w:rsid w:val="00F14212"/>
    <w:rsid w:val="00F14334"/>
    <w:rsid w:val="00F14A1F"/>
    <w:rsid w:val="00F14D95"/>
    <w:rsid w:val="00F15909"/>
    <w:rsid w:val="00F15D2C"/>
    <w:rsid w:val="00F15E1E"/>
    <w:rsid w:val="00F16582"/>
    <w:rsid w:val="00F16B9D"/>
    <w:rsid w:val="00F16CE1"/>
    <w:rsid w:val="00F17125"/>
    <w:rsid w:val="00F179EF"/>
    <w:rsid w:val="00F17E02"/>
    <w:rsid w:val="00F17E22"/>
    <w:rsid w:val="00F20017"/>
    <w:rsid w:val="00F201CB"/>
    <w:rsid w:val="00F20776"/>
    <w:rsid w:val="00F207D4"/>
    <w:rsid w:val="00F21051"/>
    <w:rsid w:val="00F2106E"/>
    <w:rsid w:val="00F21514"/>
    <w:rsid w:val="00F21AE7"/>
    <w:rsid w:val="00F21B8E"/>
    <w:rsid w:val="00F21BA6"/>
    <w:rsid w:val="00F21CAF"/>
    <w:rsid w:val="00F223BD"/>
    <w:rsid w:val="00F223EA"/>
    <w:rsid w:val="00F2285E"/>
    <w:rsid w:val="00F22EE2"/>
    <w:rsid w:val="00F232DA"/>
    <w:rsid w:val="00F23613"/>
    <w:rsid w:val="00F242C5"/>
    <w:rsid w:val="00F24874"/>
    <w:rsid w:val="00F24980"/>
    <w:rsid w:val="00F24B20"/>
    <w:rsid w:val="00F24EF6"/>
    <w:rsid w:val="00F257C8"/>
    <w:rsid w:val="00F25C36"/>
    <w:rsid w:val="00F26145"/>
    <w:rsid w:val="00F26345"/>
    <w:rsid w:val="00F2634C"/>
    <w:rsid w:val="00F2671E"/>
    <w:rsid w:val="00F26D6D"/>
    <w:rsid w:val="00F2726E"/>
    <w:rsid w:val="00F27ADF"/>
    <w:rsid w:val="00F27E08"/>
    <w:rsid w:val="00F30616"/>
    <w:rsid w:val="00F308C7"/>
    <w:rsid w:val="00F30B4A"/>
    <w:rsid w:val="00F30CBB"/>
    <w:rsid w:val="00F319F9"/>
    <w:rsid w:val="00F32AF9"/>
    <w:rsid w:val="00F33B96"/>
    <w:rsid w:val="00F33EBC"/>
    <w:rsid w:val="00F33FCF"/>
    <w:rsid w:val="00F346B1"/>
    <w:rsid w:val="00F3484E"/>
    <w:rsid w:val="00F34E84"/>
    <w:rsid w:val="00F34FB3"/>
    <w:rsid w:val="00F361CE"/>
    <w:rsid w:val="00F36323"/>
    <w:rsid w:val="00F36F16"/>
    <w:rsid w:val="00F37507"/>
    <w:rsid w:val="00F40042"/>
    <w:rsid w:val="00F40E80"/>
    <w:rsid w:val="00F415F2"/>
    <w:rsid w:val="00F41A00"/>
    <w:rsid w:val="00F42037"/>
    <w:rsid w:val="00F423F6"/>
    <w:rsid w:val="00F42415"/>
    <w:rsid w:val="00F424D3"/>
    <w:rsid w:val="00F4284C"/>
    <w:rsid w:val="00F43B41"/>
    <w:rsid w:val="00F443B0"/>
    <w:rsid w:val="00F444E7"/>
    <w:rsid w:val="00F447EA"/>
    <w:rsid w:val="00F44943"/>
    <w:rsid w:val="00F453DF"/>
    <w:rsid w:val="00F459D5"/>
    <w:rsid w:val="00F466CA"/>
    <w:rsid w:val="00F4737E"/>
    <w:rsid w:val="00F47D48"/>
    <w:rsid w:val="00F47D5F"/>
    <w:rsid w:val="00F47E5F"/>
    <w:rsid w:val="00F50623"/>
    <w:rsid w:val="00F508D7"/>
    <w:rsid w:val="00F511EE"/>
    <w:rsid w:val="00F51D28"/>
    <w:rsid w:val="00F51E4D"/>
    <w:rsid w:val="00F51F70"/>
    <w:rsid w:val="00F5232E"/>
    <w:rsid w:val="00F525A6"/>
    <w:rsid w:val="00F533F9"/>
    <w:rsid w:val="00F539AC"/>
    <w:rsid w:val="00F53D94"/>
    <w:rsid w:val="00F5420D"/>
    <w:rsid w:val="00F5457E"/>
    <w:rsid w:val="00F54768"/>
    <w:rsid w:val="00F54ADC"/>
    <w:rsid w:val="00F553E8"/>
    <w:rsid w:val="00F55AA3"/>
    <w:rsid w:val="00F55DFC"/>
    <w:rsid w:val="00F56361"/>
    <w:rsid w:val="00F56C88"/>
    <w:rsid w:val="00F57339"/>
    <w:rsid w:val="00F57BDA"/>
    <w:rsid w:val="00F57F43"/>
    <w:rsid w:val="00F60058"/>
    <w:rsid w:val="00F6066A"/>
    <w:rsid w:val="00F60688"/>
    <w:rsid w:val="00F60D70"/>
    <w:rsid w:val="00F60D88"/>
    <w:rsid w:val="00F60DC0"/>
    <w:rsid w:val="00F61248"/>
    <w:rsid w:val="00F61281"/>
    <w:rsid w:val="00F613C3"/>
    <w:rsid w:val="00F626F5"/>
    <w:rsid w:val="00F629DE"/>
    <w:rsid w:val="00F62BCC"/>
    <w:rsid w:val="00F638B4"/>
    <w:rsid w:val="00F6394E"/>
    <w:rsid w:val="00F643C2"/>
    <w:rsid w:val="00F64A0B"/>
    <w:rsid w:val="00F6557B"/>
    <w:rsid w:val="00F666B5"/>
    <w:rsid w:val="00F67275"/>
    <w:rsid w:val="00F67EF9"/>
    <w:rsid w:val="00F70DDB"/>
    <w:rsid w:val="00F713E2"/>
    <w:rsid w:val="00F7187B"/>
    <w:rsid w:val="00F718A4"/>
    <w:rsid w:val="00F71C1B"/>
    <w:rsid w:val="00F71CAE"/>
    <w:rsid w:val="00F72698"/>
    <w:rsid w:val="00F728AA"/>
    <w:rsid w:val="00F72AD3"/>
    <w:rsid w:val="00F72C8A"/>
    <w:rsid w:val="00F72CA8"/>
    <w:rsid w:val="00F72D90"/>
    <w:rsid w:val="00F741A3"/>
    <w:rsid w:val="00F741FA"/>
    <w:rsid w:val="00F7430B"/>
    <w:rsid w:val="00F745D9"/>
    <w:rsid w:val="00F7523E"/>
    <w:rsid w:val="00F759D7"/>
    <w:rsid w:val="00F75B3D"/>
    <w:rsid w:val="00F7609A"/>
    <w:rsid w:val="00F76924"/>
    <w:rsid w:val="00F76FD6"/>
    <w:rsid w:val="00F77293"/>
    <w:rsid w:val="00F7777C"/>
    <w:rsid w:val="00F77C33"/>
    <w:rsid w:val="00F77D71"/>
    <w:rsid w:val="00F808F0"/>
    <w:rsid w:val="00F80927"/>
    <w:rsid w:val="00F819E1"/>
    <w:rsid w:val="00F81CD9"/>
    <w:rsid w:val="00F81FAC"/>
    <w:rsid w:val="00F822A0"/>
    <w:rsid w:val="00F83A8B"/>
    <w:rsid w:val="00F83B2E"/>
    <w:rsid w:val="00F84099"/>
    <w:rsid w:val="00F8412E"/>
    <w:rsid w:val="00F843F7"/>
    <w:rsid w:val="00F846BE"/>
    <w:rsid w:val="00F8476D"/>
    <w:rsid w:val="00F85501"/>
    <w:rsid w:val="00F856DE"/>
    <w:rsid w:val="00F85851"/>
    <w:rsid w:val="00F86769"/>
    <w:rsid w:val="00F8676D"/>
    <w:rsid w:val="00F86C0F"/>
    <w:rsid w:val="00F86C16"/>
    <w:rsid w:val="00F8798B"/>
    <w:rsid w:val="00F90299"/>
    <w:rsid w:val="00F9034D"/>
    <w:rsid w:val="00F90624"/>
    <w:rsid w:val="00F907AF"/>
    <w:rsid w:val="00F90E09"/>
    <w:rsid w:val="00F913B7"/>
    <w:rsid w:val="00F91CBC"/>
    <w:rsid w:val="00F91D12"/>
    <w:rsid w:val="00F91E36"/>
    <w:rsid w:val="00F922ED"/>
    <w:rsid w:val="00F92A2D"/>
    <w:rsid w:val="00F9326D"/>
    <w:rsid w:val="00F93A0A"/>
    <w:rsid w:val="00F9458F"/>
    <w:rsid w:val="00F94A71"/>
    <w:rsid w:val="00F94CCA"/>
    <w:rsid w:val="00F9535C"/>
    <w:rsid w:val="00F95780"/>
    <w:rsid w:val="00F95ED3"/>
    <w:rsid w:val="00F95EFB"/>
    <w:rsid w:val="00F9624E"/>
    <w:rsid w:val="00F966D1"/>
    <w:rsid w:val="00F968EA"/>
    <w:rsid w:val="00F96923"/>
    <w:rsid w:val="00F96E26"/>
    <w:rsid w:val="00F970DB"/>
    <w:rsid w:val="00F9766C"/>
    <w:rsid w:val="00FA008C"/>
    <w:rsid w:val="00FA0431"/>
    <w:rsid w:val="00FA0577"/>
    <w:rsid w:val="00FA086C"/>
    <w:rsid w:val="00FA0870"/>
    <w:rsid w:val="00FA0FFB"/>
    <w:rsid w:val="00FA1150"/>
    <w:rsid w:val="00FA1441"/>
    <w:rsid w:val="00FA176E"/>
    <w:rsid w:val="00FA203F"/>
    <w:rsid w:val="00FA31B1"/>
    <w:rsid w:val="00FA3460"/>
    <w:rsid w:val="00FA38A1"/>
    <w:rsid w:val="00FA3A91"/>
    <w:rsid w:val="00FA3C01"/>
    <w:rsid w:val="00FA3F41"/>
    <w:rsid w:val="00FA43FD"/>
    <w:rsid w:val="00FA4A3B"/>
    <w:rsid w:val="00FA529B"/>
    <w:rsid w:val="00FA559F"/>
    <w:rsid w:val="00FA62C1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2D0D"/>
    <w:rsid w:val="00FB306B"/>
    <w:rsid w:val="00FB3784"/>
    <w:rsid w:val="00FB4E0F"/>
    <w:rsid w:val="00FB50C2"/>
    <w:rsid w:val="00FB529D"/>
    <w:rsid w:val="00FB56C5"/>
    <w:rsid w:val="00FB57EF"/>
    <w:rsid w:val="00FB59E5"/>
    <w:rsid w:val="00FB5FB0"/>
    <w:rsid w:val="00FB6399"/>
    <w:rsid w:val="00FB6720"/>
    <w:rsid w:val="00FB6F0E"/>
    <w:rsid w:val="00FB7D67"/>
    <w:rsid w:val="00FC06BF"/>
    <w:rsid w:val="00FC0AE4"/>
    <w:rsid w:val="00FC0E21"/>
    <w:rsid w:val="00FC1694"/>
    <w:rsid w:val="00FC1C90"/>
    <w:rsid w:val="00FC1CF2"/>
    <w:rsid w:val="00FC2124"/>
    <w:rsid w:val="00FC2576"/>
    <w:rsid w:val="00FC2A8A"/>
    <w:rsid w:val="00FC2E45"/>
    <w:rsid w:val="00FC351E"/>
    <w:rsid w:val="00FC35DE"/>
    <w:rsid w:val="00FC38A5"/>
    <w:rsid w:val="00FC4398"/>
    <w:rsid w:val="00FC4B62"/>
    <w:rsid w:val="00FC4BA2"/>
    <w:rsid w:val="00FC503B"/>
    <w:rsid w:val="00FC5301"/>
    <w:rsid w:val="00FC5641"/>
    <w:rsid w:val="00FC56D8"/>
    <w:rsid w:val="00FC56E1"/>
    <w:rsid w:val="00FC588B"/>
    <w:rsid w:val="00FC5B26"/>
    <w:rsid w:val="00FC5F5C"/>
    <w:rsid w:val="00FC6028"/>
    <w:rsid w:val="00FC635D"/>
    <w:rsid w:val="00FC64BB"/>
    <w:rsid w:val="00FC66B8"/>
    <w:rsid w:val="00FC6947"/>
    <w:rsid w:val="00FC6E6C"/>
    <w:rsid w:val="00FC6E74"/>
    <w:rsid w:val="00FC7186"/>
    <w:rsid w:val="00FC742F"/>
    <w:rsid w:val="00FC7959"/>
    <w:rsid w:val="00FC7AFE"/>
    <w:rsid w:val="00FC7C89"/>
    <w:rsid w:val="00FD0F61"/>
    <w:rsid w:val="00FD10F4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4FE1"/>
    <w:rsid w:val="00FD5062"/>
    <w:rsid w:val="00FD6754"/>
    <w:rsid w:val="00FD7318"/>
    <w:rsid w:val="00FD7407"/>
    <w:rsid w:val="00FD764D"/>
    <w:rsid w:val="00FD7B35"/>
    <w:rsid w:val="00FD7C6C"/>
    <w:rsid w:val="00FD7CDC"/>
    <w:rsid w:val="00FD7F20"/>
    <w:rsid w:val="00FE01A6"/>
    <w:rsid w:val="00FE02F8"/>
    <w:rsid w:val="00FE0BA6"/>
    <w:rsid w:val="00FE1012"/>
    <w:rsid w:val="00FE1445"/>
    <w:rsid w:val="00FE153E"/>
    <w:rsid w:val="00FE18EF"/>
    <w:rsid w:val="00FE1CE2"/>
    <w:rsid w:val="00FE1DFC"/>
    <w:rsid w:val="00FE1F56"/>
    <w:rsid w:val="00FE2021"/>
    <w:rsid w:val="00FE235B"/>
    <w:rsid w:val="00FE27FE"/>
    <w:rsid w:val="00FE2852"/>
    <w:rsid w:val="00FE2F5F"/>
    <w:rsid w:val="00FE2FED"/>
    <w:rsid w:val="00FE393B"/>
    <w:rsid w:val="00FE3D61"/>
    <w:rsid w:val="00FE4456"/>
    <w:rsid w:val="00FE4608"/>
    <w:rsid w:val="00FE4826"/>
    <w:rsid w:val="00FE5DD2"/>
    <w:rsid w:val="00FE5ED4"/>
    <w:rsid w:val="00FE6169"/>
    <w:rsid w:val="00FE61FF"/>
    <w:rsid w:val="00FE66DF"/>
    <w:rsid w:val="00FE6845"/>
    <w:rsid w:val="00FE6AD1"/>
    <w:rsid w:val="00FE6B43"/>
    <w:rsid w:val="00FE713B"/>
    <w:rsid w:val="00FE7651"/>
    <w:rsid w:val="00FE78FD"/>
    <w:rsid w:val="00FE7BA2"/>
    <w:rsid w:val="00FF0586"/>
    <w:rsid w:val="00FF09BD"/>
    <w:rsid w:val="00FF1744"/>
    <w:rsid w:val="00FF2265"/>
    <w:rsid w:val="00FF3496"/>
    <w:rsid w:val="00FF3AA2"/>
    <w:rsid w:val="00FF3CA1"/>
    <w:rsid w:val="00FF4177"/>
    <w:rsid w:val="00FF4675"/>
    <w:rsid w:val="00FF48C8"/>
    <w:rsid w:val="00FF6545"/>
    <w:rsid w:val="00FF68D8"/>
    <w:rsid w:val="00FF7932"/>
    <w:rsid w:val="093153F3"/>
    <w:rsid w:val="0C63078F"/>
    <w:rsid w:val="1A6629E3"/>
    <w:rsid w:val="1D053B17"/>
    <w:rsid w:val="1E3B8DA8"/>
    <w:rsid w:val="22326BF7"/>
    <w:rsid w:val="2648896A"/>
    <w:rsid w:val="33573CE1"/>
    <w:rsid w:val="35AAD025"/>
    <w:rsid w:val="43E8E9C4"/>
    <w:rsid w:val="4A7747F2"/>
    <w:rsid w:val="519D5713"/>
    <w:rsid w:val="540E1800"/>
    <w:rsid w:val="5486FCDD"/>
    <w:rsid w:val="5A0A68F4"/>
    <w:rsid w:val="5BAA2048"/>
    <w:rsid w:val="66BEEDFE"/>
    <w:rsid w:val="67C9E91F"/>
    <w:rsid w:val="6ADD06C9"/>
    <w:rsid w:val="6B65C5B7"/>
    <w:rsid w:val="6E14A78B"/>
    <w:rsid w:val="7C6BD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E79D89"/>
  <w15:docId w15:val="{1C71481E-BF37-4FBD-81F8-0768D2CFE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09618D"/>
    <w:pPr>
      <w:numPr>
        <w:numId w:val="20"/>
      </w:numPr>
      <w:contextualSpacing/>
    </w:pPr>
  </w:style>
  <w:style w:type="paragraph" w:styleId="Sangradetextonormal">
    <w:name w:val="Body Text Indent"/>
    <w:basedOn w:val="Normal"/>
    <w:link w:val="SangradetextonormalCar"/>
    <w:semiHidden/>
    <w:unhideWhenUsed/>
    <w:rsid w:val="0009618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09618D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09618D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09618D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D15B1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288A"/>
    <w:rPr>
      <w:color w:val="605E5C"/>
      <w:shd w:val="clear" w:color="auto" w:fill="E1DFDD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3B469D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C4CD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F046C5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F133A7"/>
    <w:rPr>
      <w:color w:val="605E5C"/>
      <w:shd w:val="clear" w:color="auto" w:fill="E1DFDD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8B76DF"/>
    <w:rPr>
      <w:color w:val="605E5C"/>
      <w:shd w:val="clear" w:color="auto" w:fill="E1DFDD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C07D3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A73164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596C1C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semiHidden/>
    <w:unhideWhenUsed/>
    <w:rsid w:val="004869FF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869FF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869FF"/>
    <w:rPr>
      <w:rFonts w:ascii="Arial" w:hAnsi="Arial" w:cs="Arial"/>
      <w:b/>
      <w:bCs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0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image" Target="media/image6.jpeg"/><Relationship Id="rId3" Type="http://schemas.openxmlformats.org/officeDocument/2006/relationships/customXml" Target="../customXml/item3.xml"/><Relationship Id="rId21" Type="http://schemas.openxmlformats.org/officeDocument/2006/relationships/hyperlink" Target="https://www.instagram.com/inegi_informa/" TargetMode="External"/><Relationship Id="rId34" Type="http://schemas.openxmlformats.org/officeDocument/2006/relationships/header" Target="header4.xml"/><Relationship Id="rId7" Type="http://schemas.openxmlformats.org/officeDocument/2006/relationships/settings" Target="settings.xml"/><Relationship Id="rId12" Type="http://schemas.openxmlformats.org/officeDocument/2006/relationships/hyperlink" Target="mailto:comunicacionsocial@inegi.org.mx" TargetMode="External"/><Relationship Id="rId17" Type="http://schemas.openxmlformats.org/officeDocument/2006/relationships/header" Target="header3.xml"/><Relationship Id="rId25" Type="http://schemas.openxmlformats.org/officeDocument/2006/relationships/hyperlink" Target="https://www.youtube.com/user/INEGIInforma" TargetMode="External"/><Relationship Id="rId33" Type="http://schemas.openxmlformats.org/officeDocument/2006/relationships/hyperlink" Target="https://www.inegi.org.mx/programas/inpc/2018/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image" Target="media/image3.jpeg"/><Relationship Id="rId29" Type="http://schemas.openxmlformats.org/officeDocument/2006/relationships/chart" Target="charts/chart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24" Type="http://schemas.openxmlformats.org/officeDocument/2006/relationships/image" Target="media/image5.jpeg"/><Relationship Id="rId32" Type="http://schemas.openxmlformats.org/officeDocument/2006/relationships/hyperlink" Target="https://www.inegi.org.mx/programas/inpc/2018/default.htm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23" Type="http://schemas.openxmlformats.org/officeDocument/2006/relationships/hyperlink" Target="https://twitter.com/INEGI_INFORMA" TargetMode="External"/><Relationship Id="rId28" Type="http://schemas.openxmlformats.org/officeDocument/2006/relationships/image" Target="media/image7.png"/><Relationship Id="rId36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facebook.com/INEGIInforma/" TargetMode="External"/><Relationship Id="rId31" Type="http://schemas.openxmlformats.org/officeDocument/2006/relationships/chart" Target="charts/chart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image" Target="media/image4.jpeg"/><Relationship Id="rId27" Type="http://schemas.openxmlformats.org/officeDocument/2006/relationships/hyperlink" Target="http://www.inegi.org.mx/" TargetMode="External"/><Relationship Id="rId30" Type="http://schemas.openxmlformats.org/officeDocument/2006/relationships/chart" Target="charts/chart2.xml"/><Relationship Id="rId35" Type="http://schemas.openxmlformats.org/officeDocument/2006/relationships/fontTable" Target="fontTable.xml"/><Relationship Id="rId8" Type="http://schemas.openxmlformats.org/officeDocument/2006/relationships/webSettings" Target="webSettings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163731166294637E-2"/>
          <c:y val="4.4033297494158651E-2"/>
          <c:w val="0.90063575645545857"/>
          <c:h val="0.86234463093682401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77933C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700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'Datos base 2q jul 2018'!$S$225:$AB$225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'Datos base 2q jul 2018'!$S$227:$AB$227</c:f>
              <c:numCache>
                <c:formatCode>0.00</c:formatCode>
                <c:ptCount val="10"/>
                <c:pt idx="0">
                  <c:v>0.2533220745744913</c:v>
                </c:pt>
                <c:pt idx="1">
                  <c:v>0.18973041033514271</c:v>
                </c:pt>
                <c:pt idx="2">
                  <c:v>0.43787399986554565</c:v>
                </c:pt>
                <c:pt idx="3">
                  <c:v>0.57785839259056893</c:v>
                </c:pt>
                <c:pt idx="4">
                  <c:v>0.3809654165525922</c:v>
                </c:pt>
                <c:pt idx="5">
                  <c:v>-2.8125848624749317E-2</c:v>
                </c:pt>
                <c:pt idx="6">
                  <c:v>0.41523011451707337</c:v>
                </c:pt>
                <c:pt idx="7">
                  <c:v>0.63242899918338757</c:v>
                </c:pt>
                <c:pt idx="8">
                  <c:v>0.82964695513634279</c:v>
                </c:pt>
                <c:pt idx="9">
                  <c:v>0.55757994596972171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218-4AEE-80CF-C1E63A21D0F3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588496080"/>
        <c:axId val="588500000"/>
      </c:barChart>
      <c:catAx>
        <c:axId val="58849608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crossAx val="588500000"/>
        <c:crosses val="autoZero"/>
        <c:auto val="1"/>
        <c:lblAlgn val="ctr"/>
        <c:lblOffset val="100"/>
        <c:noMultiLvlLbl val="0"/>
      </c:catAx>
      <c:valAx>
        <c:axId val="588500000"/>
        <c:scaling>
          <c:orientation val="minMax"/>
          <c:max val="0.9"/>
          <c:min val="-0.15000000000000002"/>
        </c:scaling>
        <c:delete val="0"/>
        <c:axPos val="l"/>
        <c:majorGridlines>
          <c:spPr>
            <a:ln w="3175">
              <a:solidFill>
                <a:schemeClr val="bg1">
                  <a:lumMod val="75000"/>
                </a:schemeClr>
              </a:solidFill>
            </a:ln>
          </c:spPr>
        </c:majorGridlines>
        <c:numFmt formatCode="#,##0.00" sourceLinked="0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txPr>
          <a:bodyPr/>
          <a:lstStyle/>
          <a:p>
            <a:pPr>
              <a:defRPr sz="700"/>
            </a:pPr>
            <a:endParaRPr lang="es-MX"/>
          </a:p>
        </c:txPr>
        <c:crossAx val="588496080"/>
        <c:crosses val="autoZero"/>
        <c:crossBetween val="between"/>
        <c:majorUnit val="0.15000000000000002"/>
      </c:valAx>
      <c:spPr>
        <a:noFill/>
        <a:ln w="9525">
          <a:noFill/>
        </a:ln>
      </c:spPr>
    </c:plotArea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</c:spPr>
  <c:txPr>
    <a:bodyPr/>
    <a:lstStyle/>
    <a:p>
      <a:pPr>
        <a:defRPr sz="800" b="1"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4187896825396824E-2"/>
          <c:y val="4.8870486111111111E-2"/>
          <c:w val="0.90065292371289585"/>
          <c:h val="0.82223212220735709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'Datos base 2q jul 2018'!$M$239</c:f>
              <c:strCache>
                <c:ptCount val="1"/>
                <c:pt idx="0">
                  <c:v>Subyacente</c:v>
                </c:pt>
              </c:strCache>
            </c:strRef>
          </c:tx>
          <c:spPr>
            <a:solidFill>
              <a:srgbClr val="77933C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base 2q jul 2018'!$S$225:$AB$225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'Datos base 2q jul 2018'!$S$242:$AB$242</c:f>
              <c:numCache>
                <c:formatCode>0.00</c:formatCode>
                <c:ptCount val="10"/>
                <c:pt idx="0">
                  <c:v>0.2816728704089666</c:v>
                </c:pt>
                <c:pt idx="1">
                  <c:v>0.33998769388083883</c:v>
                </c:pt>
                <c:pt idx="2">
                  <c:v>0.36</c:v>
                </c:pt>
                <c:pt idx="3">
                  <c:v>0.76</c:v>
                </c:pt>
                <c:pt idx="4">
                  <c:v>0.48820781316685213</c:v>
                </c:pt>
                <c:pt idx="5">
                  <c:v>0.43167259878373887</c:v>
                </c:pt>
                <c:pt idx="6">
                  <c:v>0.36</c:v>
                </c:pt>
                <c:pt idx="7">
                  <c:v>0.39406216328590205</c:v>
                </c:pt>
                <c:pt idx="8">
                  <c:v>0.76</c:v>
                </c:pt>
                <c:pt idx="9">
                  <c:v>0.61136408631954353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957-4409-827E-04F64A451DFE}"/>
            </c:ext>
          </c:extLst>
        </c:ser>
        <c:ser>
          <c:idx val="2"/>
          <c:order val="1"/>
          <c:tx>
            <c:strRef>
              <c:f>'Datos base 2q jul 2018'!$M$254</c:f>
              <c:strCache>
                <c:ptCount val="1"/>
                <c:pt idx="0">
                  <c:v>No subyacente</c:v>
                </c:pt>
              </c:strCache>
            </c:strRef>
          </c:tx>
          <c:spPr>
            <a:solidFill>
              <a:srgbClr val="ABC674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base 2q jul 2018'!$S$225:$AB$225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'Datos base 2q jul 2018'!$S$257:$AB$257</c:f>
              <c:numCache>
                <c:formatCode>0.00</c:formatCode>
                <c:ptCount val="10"/>
                <c:pt idx="0">
                  <c:v>0.1653899064827602</c:v>
                </c:pt>
                <c:pt idx="1">
                  <c:v>-0.266675416008888</c:v>
                </c:pt>
                <c:pt idx="2">
                  <c:v>0.6784688106414194</c:v>
                </c:pt>
                <c:pt idx="3">
                  <c:v>3.1350343396496783E-2</c:v>
                </c:pt>
                <c:pt idx="4">
                  <c:v>7.8952604499460399E-2</c:v>
                </c:pt>
                <c:pt idx="5">
                  <c:v>-1.3779170795009676</c:v>
                </c:pt>
                <c:pt idx="6">
                  <c:v>0.56718742841435077</c:v>
                </c:pt>
                <c:pt idx="7">
                  <c:v>1.3550317816159341</c:v>
                </c:pt>
                <c:pt idx="8">
                  <c:v>1.0361692477423023</c:v>
                </c:pt>
                <c:pt idx="9">
                  <c:v>0.39887915722423006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957-4409-827E-04F64A451DFE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0"/>
        <c:overlap val="-10"/>
        <c:axId val="588498040"/>
        <c:axId val="588501960"/>
      </c:barChart>
      <c:catAx>
        <c:axId val="58849804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>
            <a:solidFill>
              <a:sysClr val="windowText" lastClr="000000"/>
            </a:solidFill>
          </a:ln>
        </c:spPr>
        <c:txPr>
          <a:bodyPr/>
          <a:lstStyle/>
          <a:p>
            <a:pPr>
              <a:defRPr sz="800" b="1" i="0" baseline="0"/>
            </a:pPr>
            <a:endParaRPr lang="es-MX"/>
          </a:p>
        </c:txPr>
        <c:crossAx val="588501960"/>
        <c:crosses val="autoZero"/>
        <c:auto val="1"/>
        <c:lblAlgn val="ctr"/>
        <c:lblOffset val="100"/>
        <c:noMultiLvlLbl val="0"/>
      </c:catAx>
      <c:valAx>
        <c:axId val="588501960"/>
        <c:scaling>
          <c:orientation val="minMax"/>
          <c:max val="1.6"/>
          <c:min val="-1.6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0.00" sourceLinked="1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588498040"/>
        <c:crosses val="autoZero"/>
        <c:crossBetween val="between"/>
        <c:majorUnit val="0.4"/>
      </c:valAx>
      <c:spPr>
        <a:noFill/>
        <a:ln>
          <a:noFill/>
        </a:ln>
      </c:spPr>
    </c:plotArea>
    <c:legend>
      <c:legendPos val="l"/>
      <c:layout>
        <c:manualLayout>
          <c:xMode val="edge"/>
          <c:yMode val="edge"/>
          <c:x val="0.16193815608332446"/>
          <c:y val="0.94656429960751032"/>
          <c:w val="0.67390167820775237"/>
          <c:h val="4.3873838409956262E-2"/>
        </c:manualLayout>
      </c:layout>
      <c:overlay val="1"/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735388875015529E-2"/>
          <c:y val="3.7005683195041661E-2"/>
          <c:w val="0.87921084673156091"/>
          <c:h val="0.78191932193178237"/>
        </c:manualLayout>
      </c:layout>
      <c:lineChart>
        <c:grouping val="standard"/>
        <c:varyColors val="0"/>
        <c:ser>
          <c:idx val="0"/>
          <c:order val="0"/>
          <c:tx>
            <c:strRef>
              <c:f>'Datos base 2q jul 2018'!$I$4</c:f>
              <c:strCache>
                <c:ptCount val="1"/>
                <c:pt idx="0">
                  <c:v>INPC</c:v>
                </c:pt>
              </c:strCache>
            </c:strRef>
          </c:tx>
          <c:spPr>
            <a:ln w="25400" cap="rnd">
              <a:solidFill>
                <a:srgbClr val="4F6228"/>
              </a:solidFill>
              <a:round/>
            </a:ln>
            <a:effectLst/>
          </c:spPr>
          <c:marker>
            <c:symbol val="none"/>
          </c:marker>
          <c:dLbls>
            <c:dLbl>
              <c:idx val="108"/>
              <c:layout>
                <c:manualLayout>
                  <c:x val="-1.6909062940567319E-4"/>
                  <c:y val="8.9208296375118991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0E4-4D19-8388-17C7399F76E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4F6228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2018'!$A$104:$B$212</c:f>
              <c:multiLvlStrCache>
                <c:ptCount val="109"/>
                <c:lvl>
                  <c:pt idx="0">
                    <c:v>Feb</c:v>
                  </c:pt>
                  <c:pt idx="1">
                    <c:v>Mar</c:v>
                  </c:pt>
                  <c:pt idx="2">
                    <c:v>Abr</c:v>
                  </c:pt>
                  <c:pt idx="3">
                    <c:v>May</c:v>
                  </c:pt>
                  <c:pt idx="4">
                    <c:v>Jun</c:v>
                  </c:pt>
                  <c:pt idx="5">
                    <c:v>Jul</c:v>
                  </c:pt>
                  <c:pt idx="6">
                    <c:v>Ago</c:v>
                  </c:pt>
                  <c:pt idx="7">
                    <c:v>Sep</c:v>
                  </c:pt>
                  <c:pt idx="8">
                    <c:v>Oct</c:v>
                  </c:pt>
                  <c:pt idx="9">
                    <c:v>Nov</c:v>
                  </c:pt>
                  <c:pt idx="10">
                    <c:v>Dic</c:v>
                  </c:pt>
                  <c:pt idx="11">
                    <c:v>Ene</c:v>
                  </c:pt>
                  <c:pt idx="12">
                    <c:v>Feb</c:v>
                  </c:pt>
                  <c:pt idx="13">
                    <c:v>Mar</c:v>
                  </c:pt>
                  <c:pt idx="14">
                    <c:v>Abr</c:v>
                  </c:pt>
                  <c:pt idx="15">
                    <c:v>May</c:v>
                  </c:pt>
                  <c:pt idx="16">
                    <c:v>Jun</c:v>
                  </c:pt>
                  <c:pt idx="17">
                    <c:v>Jul</c:v>
                  </c:pt>
                  <c:pt idx="18">
                    <c:v>Ago</c:v>
                  </c:pt>
                  <c:pt idx="19">
                    <c:v>Sep</c:v>
                  </c:pt>
                  <c:pt idx="20">
                    <c:v>Oct</c:v>
                  </c:pt>
                  <c:pt idx="21">
                    <c:v>Nov</c:v>
                  </c:pt>
                  <c:pt idx="22">
                    <c:v>Dic</c:v>
                  </c:pt>
                  <c:pt idx="23">
                    <c:v>Ene </c:v>
                  </c:pt>
                  <c:pt idx="24">
                    <c:v>Feb</c:v>
                  </c:pt>
                  <c:pt idx="25">
                    <c:v>Mar</c:v>
                  </c:pt>
                  <c:pt idx="26">
                    <c:v>Abr</c:v>
                  </c:pt>
                  <c:pt idx="27">
                    <c:v>May</c:v>
                  </c:pt>
                  <c:pt idx="28">
                    <c:v>Jun</c:v>
                  </c:pt>
                  <c:pt idx="29">
                    <c:v>Jul</c:v>
                  </c:pt>
                  <c:pt idx="30">
                    <c:v>Ago</c:v>
                  </c:pt>
                  <c:pt idx="31">
                    <c:v>Sep</c:v>
                  </c:pt>
                  <c:pt idx="32">
                    <c:v>Oct</c:v>
                  </c:pt>
                  <c:pt idx="33">
                    <c:v>Nov</c:v>
                  </c:pt>
                  <c:pt idx="34">
                    <c:v>Dic</c:v>
                  </c:pt>
                  <c:pt idx="35">
                    <c:v>Ene </c:v>
                  </c:pt>
                  <c:pt idx="36">
                    <c:v>Feb</c:v>
                  </c:pt>
                  <c:pt idx="37">
                    <c:v>Mar</c:v>
                  </c:pt>
                  <c:pt idx="38">
                    <c:v>Abr</c:v>
                  </c:pt>
                  <c:pt idx="39">
                    <c:v>May</c:v>
                  </c:pt>
                  <c:pt idx="40">
                    <c:v>Jun</c:v>
                  </c:pt>
                  <c:pt idx="41">
                    <c:v>Jul</c:v>
                  </c:pt>
                  <c:pt idx="42">
                    <c:v>Ago</c:v>
                  </c:pt>
                  <c:pt idx="43">
                    <c:v>Sep</c:v>
                  </c:pt>
                  <c:pt idx="44">
                    <c:v>Oct</c:v>
                  </c:pt>
                  <c:pt idx="45">
                    <c:v>Nov</c:v>
                  </c:pt>
                  <c:pt idx="46">
                    <c:v>Dic</c:v>
                  </c:pt>
                  <c:pt idx="47">
                    <c:v>Ene </c:v>
                  </c:pt>
                  <c:pt idx="48">
                    <c:v>Feb</c:v>
                  </c:pt>
                  <c:pt idx="49">
                    <c:v>Mar</c:v>
                  </c:pt>
                  <c:pt idx="50">
                    <c:v>Abr</c:v>
                  </c:pt>
                  <c:pt idx="51">
                    <c:v>May</c:v>
                  </c:pt>
                  <c:pt idx="52">
                    <c:v>Jun</c:v>
                  </c:pt>
                  <c:pt idx="53">
                    <c:v>Jul</c:v>
                  </c:pt>
                  <c:pt idx="54">
                    <c:v>Ago</c:v>
                  </c:pt>
                  <c:pt idx="55">
                    <c:v>Sep</c:v>
                  </c:pt>
                  <c:pt idx="56">
                    <c:v>Oct</c:v>
                  </c:pt>
                  <c:pt idx="57">
                    <c:v>Nov</c:v>
                  </c:pt>
                  <c:pt idx="58">
                    <c:v>Dic</c:v>
                  </c:pt>
                  <c:pt idx="59">
                    <c:v>Ene </c:v>
                  </c:pt>
                  <c:pt idx="60">
                    <c:v>Feb</c:v>
                  </c:pt>
                  <c:pt idx="61">
                    <c:v>Mar</c:v>
                  </c:pt>
                  <c:pt idx="62">
                    <c:v>Abr</c:v>
                  </c:pt>
                  <c:pt idx="63">
                    <c:v>May</c:v>
                  </c:pt>
                  <c:pt idx="64">
                    <c:v>Jun</c:v>
                  </c:pt>
                  <c:pt idx="65">
                    <c:v>Jul</c:v>
                  </c:pt>
                  <c:pt idx="66">
                    <c:v>Ago</c:v>
                  </c:pt>
                  <c:pt idx="67">
                    <c:v>Sep</c:v>
                  </c:pt>
                  <c:pt idx="68">
                    <c:v>Oct</c:v>
                  </c:pt>
                  <c:pt idx="69">
                    <c:v>Nov</c:v>
                  </c:pt>
                  <c:pt idx="70">
                    <c:v>Dic</c:v>
                  </c:pt>
                  <c:pt idx="71">
                    <c:v>Ene </c:v>
                  </c:pt>
                  <c:pt idx="72">
                    <c:v>Feb</c:v>
                  </c:pt>
                  <c:pt idx="73">
                    <c:v>Mar</c:v>
                  </c:pt>
                  <c:pt idx="74">
                    <c:v>Abr</c:v>
                  </c:pt>
                  <c:pt idx="75">
                    <c:v>May</c:v>
                  </c:pt>
                  <c:pt idx="76">
                    <c:v>Jun</c:v>
                  </c:pt>
                  <c:pt idx="77">
                    <c:v>Jul</c:v>
                  </c:pt>
                  <c:pt idx="78">
                    <c:v>Ago</c:v>
                  </c:pt>
                  <c:pt idx="79">
                    <c:v>Sep</c:v>
                  </c:pt>
                  <c:pt idx="80">
                    <c:v>Oct</c:v>
                  </c:pt>
                  <c:pt idx="81">
                    <c:v>Nov</c:v>
                  </c:pt>
                  <c:pt idx="82">
                    <c:v>Dic</c:v>
                  </c:pt>
                  <c:pt idx="83">
                    <c:v>Ene </c:v>
                  </c:pt>
                  <c:pt idx="84">
                    <c:v>Feb</c:v>
                  </c:pt>
                  <c:pt idx="85">
                    <c:v>Mar</c:v>
                  </c:pt>
                  <c:pt idx="86">
                    <c:v>Abr</c:v>
                  </c:pt>
                  <c:pt idx="87">
                    <c:v>May</c:v>
                  </c:pt>
                  <c:pt idx="88">
                    <c:v>Jun</c:v>
                  </c:pt>
                  <c:pt idx="89">
                    <c:v>Jul</c:v>
                  </c:pt>
                  <c:pt idx="90">
                    <c:v>Ago</c:v>
                  </c:pt>
                  <c:pt idx="91">
                    <c:v>Sep</c:v>
                  </c:pt>
                  <c:pt idx="92">
                    <c:v>Oct</c:v>
                  </c:pt>
                  <c:pt idx="93">
                    <c:v>Nov</c:v>
                  </c:pt>
                  <c:pt idx="94">
                    <c:v>Dic</c:v>
                  </c:pt>
                  <c:pt idx="95">
                    <c:v>Ene </c:v>
                  </c:pt>
                  <c:pt idx="96">
                    <c:v>Feb</c:v>
                  </c:pt>
                  <c:pt idx="97">
                    <c:v>Mar</c:v>
                  </c:pt>
                  <c:pt idx="98">
                    <c:v>Abr</c:v>
                  </c:pt>
                  <c:pt idx="99">
                    <c:v>May</c:v>
                  </c:pt>
                  <c:pt idx="100">
                    <c:v>Jun</c:v>
                  </c:pt>
                  <c:pt idx="101">
                    <c:v>Jul</c:v>
                  </c:pt>
                  <c:pt idx="102">
                    <c:v>Ago</c:v>
                  </c:pt>
                  <c:pt idx="103">
                    <c:v>Sep</c:v>
                  </c:pt>
                  <c:pt idx="104">
                    <c:v>Oct</c:v>
                  </c:pt>
                  <c:pt idx="105">
                    <c:v>Nov</c:v>
                  </c:pt>
                  <c:pt idx="106">
                    <c:v>Dic</c:v>
                  </c:pt>
                  <c:pt idx="107">
                    <c:v>Ene </c:v>
                  </c:pt>
                  <c:pt idx="108">
                    <c:v>Feb</c:v>
                  </c:pt>
                </c:lvl>
                <c:lvl>
                  <c:pt idx="0">
                    <c:v>2014</c:v>
                  </c:pt>
                  <c:pt idx="1">
                    <c:v>2014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2015</c:v>
                  </c:pt>
                  <c:pt idx="12">
                    <c:v>2015</c:v>
                  </c:pt>
                  <c:pt idx="13">
                    <c:v>2015</c:v>
                  </c:pt>
                  <c:pt idx="14">
                    <c:v>2015</c:v>
                  </c:pt>
                  <c:pt idx="15">
                    <c:v>2015</c:v>
                  </c:pt>
                  <c:pt idx="16">
                    <c:v>2015</c:v>
                  </c:pt>
                  <c:pt idx="17">
                    <c:v>2015</c:v>
                  </c:pt>
                  <c:pt idx="18">
                    <c:v>2015</c:v>
                  </c:pt>
                  <c:pt idx="19">
                    <c:v>2015</c:v>
                  </c:pt>
                  <c:pt idx="20">
                    <c:v>2015</c:v>
                  </c:pt>
                  <c:pt idx="21">
                    <c:v>2015</c:v>
                  </c:pt>
                  <c:pt idx="22">
                    <c:v>2015</c:v>
                  </c:pt>
                  <c:pt idx="23">
                    <c:v>2016</c:v>
                  </c:pt>
                  <c:pt idx="24">
                    <c:v>2016</c:v>
                  </c:pt>
                  <c:pt idx="25">
                    <c:v>2016</c:v>
                  </c:pt>
                  <c:pt idx="26">
                    <c:v>2016</c:v>
                  </c:pt>
                  <c:pt idx="27">
                    <c:v>2016</c:v>
                  </c:pt>
                  <c:pt idx="28">
                    <c:v>2016</c:v>
                  </c:pt>
                  <c:pt idx="29">
                    <c:v>2016</c:v>
                  </c:pt>
                  <c:pt idx="30">
                    <c:v>2016</c:v>
                  </c:pt>
                  <c:pt idx="31">
                    <c:v>2016</c:v>
                  </c:pt>
                  <c:pt idx="32">
                    <c:v>2016</c:v>
                  </c:pt>
                  <c:pt idx="33">
                    <c:v>2016</c:v>
                  </c:pt>
                  <c:pt idx="34">
                    <c:v>2016</c:v>
                  </c:pt>
                  <c:pt idx="35">
                    <c:v>2017</c:v>
                  </c:pt>
                  <c:pt idx="36">
                    <c:v>2017</c:v>
                  </c:pt>
                  <c:pt idx="37">
                    <c:v>2017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2017</c:v>
                  </c:pt>
                  <c:pt idx="45">
                    <c:v>2017</c:v>
                  </c:pt>
                  <c:pt idx="46">
                    <c:v>2017</c:v>
                  </c:pt>
                  <c:pt idx="47">
                    <c:v>2018</c:v>
                  </c:pt>
                  <c:pt idx="48">
                    <c:v>2018</c:v>
                  </c:pt>
                  <c:pt idx="49">
                    <c:v>2018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2019</c:v>
                  </c:pt>
                  <c:pt idx="60">
                    <c:v>2019</c:v>
                  </c:pt>
                  <c:pt idx="61">
                    <c:v>2019</c:v>
                  </c:pt>
                  <c:pt idx="62">
                    <c:v>2019</c:v>
                  </c:pt>
                  <c:pt idx="63">
                    <c:v>2019</c:v>
                  </c:pt>
                  <c:pt idx="64">
                    <c:v>2019</c:v>
                  </c:pt>
                  <c:pt idx="65">
                    <c:v>2019</c:v>
                  </c:pt>
                  <c:pt idx="66">
                    <c:v>2019</c:v>
                  </c:pt>
                  <c:pt idx="67">
                    <c:v>2019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2020</c:v>
                  </c:pt>
                  <c:pt idx="72">
                    <c:v>2020</c:v>
                  </c:pt>
                  <c:pt idx="73">
                    <c:v>2020</c:v>
                  </c:pt>
                  <c:pt idx="74">
                    <c:v>2020</c:v>
                  </c:pt>
                  <c:pt idx="75">
                    <c:v>2020</c:v>
                  </c:pt>
                  <c:pt idx="76">
                    <c:v>2020</c:v>
                  </c:pt>
                  <c:pt idx="77">
                    <c:v>2020</c:v>
                  </c:pt>
                  <c:pt idx="78">
                    <c:v>2020</c:v>
                  </c:pt>
                  <c:pt idx="79">
                    <c:v>2020</c:v>
                  </c:pt>
                  <c:pt idx="80">
                    <c:v>2020</c:v>
                  </c:pt>
                  <c:pt idx="81">
                    <c:v>2020</c:v>
                  </c:pt>
                  <c:pt idx="82">
                    <c:v>2020</c:v>
                  </c:pt>
                  <c:pt idx="83">
                    <c:v>2021</c:v>
                  </c:pt>
                  <c:pt idx="84">
                    <c:v>2021</c:v>
                  </c:pt>
                  <c:pt idx="85">
                    <c:v>2021</c:v>
                  </c:pt>
                  <c:pt idx="86">
                    <c:v>2021</c:v>
                  </c:pt>
                  <c:pt idx="87">
                    <c:v>2021</c:v>
                  </c:pt>
                  <c:pt idx="88">
                    <c:v>2021</c:v>
                  </c:pt>
                  <c:pt idx="89">
                    <c:v>2021</c:v>
                  </c:pt>
                  <c:pt idx="90">
                    <c:v>2021</c:v>
                  </c:pt>
                  <c:pt idx="91">
                    <c:v>2021</c:v>
                  </c:pt>
                  <c:pt idx="92">
                    <c:v>2021</c:v>
                  </c:pt>
                  <c:pt idx="93">
                    <c:v>2021</c:v>
                  </c:pt>
                  <c:pt idx="94">
                    <c:v>2021</c:v>
                  </c:pt>
                  <c:pt idx="95">
                    <c:v>2022</c:v>
                  </c:pt>
                  <c:pt idx="96">
                    <c:v>2022</c:v>
                  </c:pt>
                  <c:pt idx="97">
                    <c:v>2022</c:v>
                  </c:pt>
                  <c:pt idx="98">
                    <c:v>2022</c:v>
                  </c:pt>
                  <c:pt idx="99">
                    <c:v>2022</c:v>
                  </c:pt>
                  <c:pt idx="100">
                    <c:v>2022</c:v>
                  </c:pt>
                  <c:pt idx="101">
                    <c:v>2022</c:v>
                  </c:pt>
                  <c:pt idx="102">
                    <c:v>2022</c:v>
                  </c:pt>
                  <c:pt idx="103">
                    <c:v>2022</c:v>
                  </c:pt>
                  <c:pt idx="104">
                    <c:v>2022</c:v>
                  </c:pt>
                  <c:pt idx="105">
                    <c:v>2022</c:v>
                  </c:pt>
                  <c:pt idx="106">
                    <c:v>2022</c:v>
                  </c:pt>
                  <c:pt idx="107">
                    <c:v>2023</c:v>
                  </c:pt>
                  <c:pt idx="108">
                    <c:v>2023</c:v>
                  </c:pt>
                </c:lvl>
              </c:multiLvlStrCache>
            </c:multiLvlStrRef>
          </c:cat>
          <c:val>
            <c:numRef>
              <c:f>'Datos base 2q jul 2018'!$I$104:$I$212</c:f>
              <c:numCache>
                <c:formatCode>0.00</c:formatCode>
                <c:ptCount val="109"/>
                <c:pt idx="0">
                  <c:v>4.2344373798610366</c:v>
                </c:pt>
                <c:pt idx="1">
                  <c:v>3.7586466303370716</c:v>
                </c:pt>
                <c:pt idx="2">
                  <c:v>3.4967086565084369</c:v>
                </c:pt>
                <c:pt idx="3">
                  <c:v>3.5102243563208941</c:v>
                </c:pt>
                <c:pt idx="4">
                  <c:v>3.7525887063371495</c:v>
                </c:pt>
                <c:pt idx="5">
                  <c:v>4.0724065224797199</c:v>
                </c:pt>
                <c:pt idx="6">
                  <c:v>4.1499109421766818</c:v>
                </c:pt>
                <c:pt idx="7">
                  <c:v>4.2175837845748534</c:v>
                </c:pt>
                <c:pt idx="8">
                  <c:v>4.2977569004442557</c:v>
                </c:pt>
                <c:pt idx="9">
                  <c:v>4.1678692546359812</c:v>
                </c:pt>
                <c:pt idx="10">
                  <c:v>4.0813215195322616</c:v>
                </c:pt>
                <c:pt idx="11">
                  <c:v>3.06564152704324</c:v>
                </c:pt>
                <c:pt idx="12">
                  <c:v>3.0002659810266707</c:v>
                </c:pt>
                <c:pt idx="13">
                  <c:v>3.1370745983607202</c:v>
                </c:pt>
                <c:pt idx="14">
                  <c:v>3.0623272624193829</c:v>
                </c:pt>
                <c:pt idx="15">
                  <c:v>2.8766429390279602</c:v>
                </c:pt>
                <c:pt idx="16">
                  <c:v>2.8707794396834565</c:v>
                </c:pt>
                <c:pt idx="17">
                  <c:v>2.7390473494231591</c:v>
                </c:pt>
                <c:pt idx="18">
                  <c:v>2.5873164195419496</c:v>
                </c:pt>
                <c:pt idx="19">
                  <c:v>2.5188916876574323</c:v>
                </c:pt>
                <c:pt idx="20">
                  <c:v>2.479728373294678</c:v>
                </c:pt>
                <c:pt idx="21">
                  <c:v>2.2148528482245649</c:v>
                </c:pt>
                <c:pt idx="22">
                  <c:v>2.1308127762603513</c:v>
                </c:pt>
                <c:pt idx="23">
                  <c:v>2.6131051968884234</c:v>
                </c:pt>
                <c:pt idx="24">
                  <c:v>2.8672508478661238</c:v>
                </c:pt>
                <c:pt idx="25">
                  <c:v>2.6010098845233833</c:v>
                </c:pt>
                <c:pt idx="26">
                  <c:v>2.5415789247496594</c:v>
                </c:pt>
                <c:pt idx="27">
                  <c:v>2.5966621747693539</c:v>
                </c:pt>
                <c:pt idx="28">
                  <c:v>2.5379878921678647</c:v>
                </c:pt>
                <c:pt idx="29">
                  <c:v>2.6548291540369364</c:v>
                </c:pt>
                <c:pt idx="30">
                  <c:v>2.7274367765718939</c:v>
                </c:pt>
                <c:pt idx="31">
                  <c:v>2.9689493104127496</c:v>
                </c:pt>
                <c:pt idx="32">
                  <c:v>3.0636232007495217</c:v>
                </c:pt>
                <c:pt idx="33">
                  <c:v>3.3053510770768644</c:v>
                </c:pt>
                <c:pt idx="34">
                  <c:v>3.3602740188303559</c:v>
                </c:pt>
                <c:pt idx="35">
                  <c:v>4.7182814496066863</c:v>
                </c:pt>
                <c:pt idx="36">
                  <c:v>4.864231622107857</c:v>
                </c:pt>
                <c:pt idx="37">
                  <c:v>5.3525622279225669</c:v>
                </c:pt>
                <c:pt idx="38">
                  <c:v>5.8171698714187592</c:v>
                </c:pt>
                <c:pt idx="39">
                  <c:v>6.1640144817714893</c:v>
                </c:pt>
                <c:pt idx="40">
                  <c:v>6.3136558986047531</c:v>
                </c:pt>
                <c:pt idx="41">
                  <c:v>6.4381642633649552</c:v>
                </c:pt>
                <c:pt idx="42">
                  <c:v>6.6634880005353336</c:v>
                </c:pt>
                <c:pt idx="43">
                  <c:v>6.3478470530525177</c:v>
                </c:pt>
                <c:pt idx="44">
                  <c:v>6.3715322254084645</c:v>
                </c:pt>
                <c:pt idx="45">
                  <c:v>6.6345231359622225</c:v>
                </c:pt>
                <c:pt idx="46">
                  <c:v>6.773048198179799</c:v>
                </c:pt>
                <c:pt idx="47">
                  <c:v>5.5458354066678268</c:v>
                </c:pt>
                <c:pt idx="48">
                  <c:v>5.3392170318709091</c:v>
                </c:pt>
                <c:pt idx="49">
                  <c:v>5.0354120567544696</c:v>
                </c:pt>
                <c:pt idx="50">
                  <c:v>4.5507834159788176</c:v>
                </c:pt>
                <c:pt idx="51">
                  <c:v>4.5062692817092405</c:v>
                </c:pt>
                <c:pt idx="52">
                  <c:v>4.6468577938105033</c:v>
                </c:pt>
                <c:pt idx="53">
                  <c:v>4.8114055136106577</c:v>
                </c:pt>
                <c:pt idx="54">
                  <c:v>4.9045281971250159</c:v>
                </c:pt>
                <c:pt idx="55">
                  <c:v>5.0195736443805039</c:v>
                </c:pt>
                <c:pt idx="56">
                  <c:v>4.9036357279923948</c:v>
                </c:pt>
                <c:pt idx="57">
                  <c:v>4.7165339115991411</c:v>
                </c:pt>
                <c:pt idx="58">
                  <c:v>4.830546199536756</c:v>
                </c:pt>
                <c:pt idx="59">
                  <c:v>4.3656058642820295</c:v>
                </c:pt>
                <c:pt idx="60">
                  <c:v>3.9402756478725154</c:v>
                </c:pt>
                <c:pt idx="61">
                  <c:v>4.0041779576550196</c:v>
                </c:pt>
                <c:pt idx="62">
                  <c:v>4.4134533855607172</c:v>
                </c:pt>
                <c:pt idx="63">
                  <c:v>4.28199324596088</c:v>
                </c:pt>
                <c:pt idx="64">
                  <c:v>3.9471469134122472</c:v>
                </c:pt>
                <c:pt idx="65">
                  <c:v>3.7813381657405332</c:v>
                </c:pt>
                <c:pt idx="66">
                  <c:v>3.1624407913067643</c:v>
                </c:pt>
                <c:pt idx="67">
                  <c:v>2.9975128075547142</c:v>
                </c:pt>
                <c:pt idx="68">
                  <c:v>3.0195189274447864</c:v>
                </c:pt>
                <c:pt idx="69">
                  <c:v>2.9744973265691144</c:v>
                </c:pt>
                <c:pt idx="70">
                  <c:v>2.8285769753445988</c:v>
                </c:pt>
                <c:pt idx="71">
                  <c:v>3.2383520192419635</c:v>
                </c:pt>
                <c:pt idx="72">
                  <c:v>3.6961941811620269</c:v>
                </c:pt>
                <c:pt idx="73">
                  <c:v>3.249062584560658</c:v>
                </c:pt>
                <c:pt idx="74">
                  <c:v>2.1481488636253765</c:v>
                </c:pt>
                <c:pt idx="75">
                  <c:v>2.8372710276752588</c:v>
                </c:pt>
                <c:pt idx="76">
                  <c:v>3.3340109778410065</c:v>
                </c:pt>
                <c:pt idx="77">
                  <c:v>3.6234050556000374</c:v>
                </c:pt>
                <c:pt idx="78">
                  <c:v>4.0484228802932343</c:v>
                </c:pt>
                <c:pt idx="79">
                  <c:v>4.0137769140482282</c:v>
                </c:pt>
                <c:pt idx="80">
                  <c:v>4.0869640106025562</c:v>
                </c:pt>
                <c:pt idx="81">
                  <c:v>3.3318778121618209</c:v>
                </c:pt>
                <c:pt idx="82">
                  <c:v>3.1500745747352177</c:v>
                </c:pt>
                <c:pt idx="83">
                  <c:v>3.5350925812845713</c:v>
                </c:pt>
                <c:pt idx="84">
                  <c:v>3.759039751517923</c:v>
                </c:pt>
                <c:pt idx="85">
                  <c:v>4.6668788258859228</c:v>
                </c:pt>
                <c:pt idx="86">
                  <c:v>6.0848186846957697</c:v>
                </c:pt>
                <c:pt idx="87">
                  <c:v>5.8938226484052558</c:v>
                </c:pt>
                <c:pt idx="88">
                  <c:v>5.8786056228511629</c:v>
                </c:pt>
                <c:pt idx="89">
                  <c:v>5.8058151222962762</c:v>
                </c:pt>
                <c:pt idx="90">
                  <c:v>5.5920717179489543</c:v>
                </c:pt>
                <c:pt idx="91">
                  <c:v>6.0001479919344236</c:v>
                </c:pt>
                <c:pt idx="92">
                  <c:v>6.2395425377387959</c:v>
                </c:pt>
                <c:pt idx="93">
                  <c:v>7.3748805761740366</c:v>
                </c:pt>
                <c:pt idx="94">
                  <c:v>7.3551079426380284</c:v>
                </c:pt>
                <c:pt idx="95">
                  <c:v>7.0701388258778808</c:v>
                </c:pt>
                <c:pt idx="96">
                  <c:v>7.2799733109722542</c:v>
                </c:pt>
                <c:pt idx="97">
                  <c:v>7.453677207039644</c:v>
                </c:pt>
                <c:pt idx="98">
                  <c:v>7.6825028968713793</c:v>
                </c:pt>
                <c:pt idx="99">
                  <c:v>7.6526209982298532</c:v>
                </c:pt>
                <c:pt idx="100">
                  <c:v>7.9863384593604536</c:v>
                </c:pt>
                <c:pt idx="101">
                  <c:v>8.1508066360549414</c:v>
                </c:pt>
                <c:pt idx="102">
                  <c:v>8.6954231380433455</c:v>
                </c:pt>
                <c:pt idx="103">
                  <c:v>8.6997495658851065</c:v>
                </c:pt>
                <c:pt idx="104">
                  <c:v>8.406815448118298</c:v>
                </c:pt>
                <c:pt idx="105">
                  <c:v>7.7966188699907679</c:v>
                </c:pt>
                <c:pt idx="106">
                  <c:v>7.8170286766460872</c:v>
                </c:pt>
                <c:pt idx="107">
                  <c:v>7.9100354231284253</c:v>
                </c:pt>
                <c:pt idx="108">
                  <c:v>7.6188635160235663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0E4-4D19-8388-17C7399F76ED}"/>
            </c:ext>
          </c:extLst>
        </c:ser>
        <c:ser>
          <c:idx val="1"/>
          <c:order val="1"/>
          <c:tx>
            <c:strRef>
              <c:f>'Datos base 2q jul 2018'!$J$4</c:f>
              <c:strCache>
                <c:ptCount val="1"/>
                <c:pt idx="0">
                  <c:v>Subyacente</c:v>
                </c:pt>
              </c:strCache>
            </c:strRef>
          </c:tx>
          <c:spPr>
            <a:ln w="15875" cap="rnd">
              <a:solidFill>
                <a:srgbClr val="33CC33"/>
              </a:solidFill>
              <a:round/>
            </a:ln>
            <a:effectLst/>
          </c:spPr>
          <c:marker>
            <c:symbol val="none"/>
          </c:marker>
          <c:dLbls>
            <c:dLbl>
              <c:idx val="108"/>
              <c:layout>
                <c:manualLayout>
                  <c:x val="-1.6909062940567319E-4"/>
                  <c:y val="-1.1274181697138948E-4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0E4-4D19-8388-17C7399F76E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33CC33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2018'!$A$104:$B$212</c:f>
              <c:multiLvlStrCache>
                <c:ptCount val="109"/>
                <c:lvl>
                  <c:pt idx="0">
                    <c:v>Feb</c:v>
                  </c:pt>
                  <c:pt idx="1">
                    <c:v>Mar</c:v>
                  </c:pt>
                  <c:pt idx="2">
                    <c:v>Abr</c:v>
                  </c:pt>
                  <c:pt idx="3">
                    <c:v>May</c:v>
                  </c:pt>
                  <c:pt idx="4">
                    <c:v>Jun</c:v>
                  </c:pt>
                  <c:pt idx="5">
                    <c:v>Jul</c:v>
                  </c:pt>
                  <c:pt idx="6">
                    <c:v>Ago</c:v>
                  </c:pt>
                  <c:pt idx="7">
                    <c:v>Sep</c:v>
                  </c:pt>
                  <c:pt idx="8">
                    <c:v>Oct</c:v>
                  </c:pt>
                  <c:pt idx="9">
                    <c:v>Nov</c:v>
                  </c:pt>
                  <c:pt idx="10">
                    <c:v>Dic</c:v>
                  </c:pt>
                  <c:pt idx="11">
                    <c:v>Ene</c:v>
                  </c:pt>
                  <c:pt idx="12">
                    <c:v>Feb</c:v>
                  </c:pt>
                  <c:pt idx="13">
                    <c:v>Mar</c:v>
                  </c:pt>
                  <c:pt idx="14">
                    <c:v>Abr</c:v>
                  </c:pt>
                  <c:pt idx="15">
                    <c:v>May</c:v>
                  </c:pt>
                  <c:pt idx="16">
                    <c:v>Jun</c:v>
                  </c:pt>
                  <c:pt idx="17">
                    <c:v>Jul</c:v>
                  </c:pt>
                  <c:pt idx="18">
                    <c:v>Ago</c:v>
                  </c:pt>
                  <c:pt idx="19">
                    <c:v>Sep</c:v>
                  </c:pt>
                  <c:pt idx="20">
                    <c:v>Oct</c:v>
                  </c:pt>
                  <c:pt idx="21">
                    <c:v>Nov</c:v>
                  </c:pt>
                  <c:pt idx="22">
                    <c:v>Dic</c:v>
                  </c:pt>
                  <c:pt idx="23">
                    <c:v>Ene </c:v>
                  </c:pt>
                  <c:pt idx="24">
                    <c:v>Feb</c:v>
                  </c:pt>
                  <c:pt idx="25">
                    <c:v>Mar</c:v>
                  </c:pt>
                  <c:pt idx="26">
                    <c:v>Abr</c:v>
                  </c:pt>
                  <c:pt idx="27">
                    <c:v>May</c:v>
                  </c:pt>
                  <c:pt idx="28">
                    <c:v>Jun</c:v>
                  </c:pt>
                  <c:pt idx="29">
                    <c:v>Jul</c:v>
                  </c:pt>
                  <c:pt idx="30">
                    <c:v>Ago</c:v>
                  </c:pt>
                  <c:pt idx="31">
                    <c:v>Sep</c:v>
                  </c:pt>
                  <c:pt idx="32">
                    <c:v>Oct</c:v>
                  </c:pt>
                  <c:pt idx="33">
                    <c:v>Nov</c:v>
                  </c:pt>
                  <c:pt idx="34">
                    <c:v>Dic</c:v>
                  </c:pt>
                  <c:pt idx="35">
                    <c:v>Ene </c:v>
                  </c:pt>
                  <c:pt idx="36">
                    <c:v>Feb</c:v>
                  </c:pt>
                  <c:pt idx="37">
                    <c:v>Mar</c:v>
                  </c:pt>
                  <c:pt idx="38">
                    <c:v>Abr</c:v>
                  </c:pt>
                  <c:pt idx="39">
                    <c:v>May</c:v>
                  </c:pt>
                  <c:pt idx="40">
                    <c:v>Jun</c:v>
                  </c:pt>
                  <c:pt idx="41">
                    <c:v>Jul</c:v>
                  </c:pt>
                  <c:pt idx="42">
                    <c:v>Ago</c:v>
                  </c:pt>
                  <c:pt idx="43">
                    <c:v>Sep</c:v>
                  </c:pt>
                  <c:pt idx="44">
                    <c:v>Oct</c:v>
                  </c:pt>
                  <c:pt idx="45">
                    <c:v>Nov</c:v>
                  </c:pt>
                  <c:pt idx="46">
                    <c:v>Dic</c:v>
                  </c:pt>
                  <c:pt idx="47">
                    <c:v>Ene </c:v>
                  </c:pt>
                  <c:pt idx="48">
                    <c:v>Feb</c:v>
                  </c:pt>
                  <c:pt idx="49">
                    <c:v>Mar</c:v>
                  </c:pt>
                  <c:pt idx="50">
                    <c:v>Abr</c:v>
                  </c:pt>
                  <c:pt idx="51">
                    <c:v>May</c:v>
                  </c:pt>
                  <c:pt idx="52">
                    <c:v>Jun</c:v>
                  </c:pt>
                  <c:pt idx="53">
                    <c:v>Jul</c:v>
                  </c:pt>
                  <c:pt idx="54">
                    <c:v>Ago</c:v>
                  </c:pt>
                  <c:pt idx="55">
                    <c:v>Sep</c:v>
                  </c:pt>
                  <c:pt idx="56">
                    <c:v>Oct</c:v>
                  </c:pt>
                  <c:pt idx="57">
                    <c:v>Nov</c:v>
                  </c:pt>
                  <c:pt idx="58">
                    <c:v>Dic</c:v>
                  </c:pt>
                  <c:pt idx="59">
                    <c:v>Ene </c:v>
                  </c:pt>
                  <c:pt idx="60">
                    <c:v>Feb</c:v>
                  </c:pt>
                  <c:pt idx="61">
                    <c:v>Mar</c:v>
                  </c:pt>
                  <c:pt idx="62">
                    <c:v>Abr</c:v>
                  </c:pt>
                  <c:pt idx="63">
                    <c:v>May</c:v>
                  </c:pt>
                  <c:pt idx="64">
                    <c:v>Jun</c:v>
                  </c:pt>
                  <c:pt idx="65">
                    <c:v>Jul</c:v>
                  </c:pt>
                  <c:pt idx="66">
                    <c:v>Ago</c:v>
                  </c:pt>
                  <c:pt idx="67">
                    <c:v>Sep</c:v>
                  </c:pt>
                  <c:pt idx="68">
                    <c:v>Oct</c:v>
                  </c:pt>
                  <c:pt idx="69">
                    <c:v>Nov</c:v>
                  </c:pt>
                  <c:pt idx="70">
                    <c:v>Dic</c:v>
                  </c:pt>
                  <c:pt idx="71">
                    <c:v>Ene </c:v>
                  </c:pt>
                  <c:pt idx="72">
                    <c:v>Feb</c:v>
                  </c:pt>
                  <c:pt idx="73">
                    <c:v>Mar</c:v>
                  </c:pt>
                  <c:pt idx="74">
                    <c:v>Abr</c:v>
                  </c:pt>
                  <c:pt idx="75">
                    <c:v>May</c:v>
                  </c:pt>
                  <c:pt idx="76">
                    <c:v>Jun</c:v>
                  </c:pt>
                  <c:pt idx="77">
                    <c:v>Jul</c:v>
                  </c:pt>
                  <c:pt idx="78">
                    <c:v>Ago</c:v>
                  </c:pt>
                  <c:pt idx="79">
                    <c:v>Sep</c:v>
                  </c:pt>
                  <c:pt idx="80">
                    <c:v>Oct</c:v>
                  </c:pt>
                  <c:pt idx="81">
                    <c:v>Nov</c:v>
                  </c:pt>
                  <c:pt idx="82">
                    <c:v>Dic</c:v>
                  </c:pt>
                  <c:pt idx="83">
                    <c:v>Ene </c:v>
                  </c:pt>
                  <c:pt idx="84">
                    <c:v>Feb</c:v>
                  </c:pt>
                  <c:pt idx="85">
                    <c:v>Mar</c:v>
                  </c:pt>
                  <c:pt idx="86">
                    <c:v>Abr</c:v>
                  </c:pt>
                  <c:pt idx="87">
                    <c:v>May</c:v>
                  </c:pt>
                  <c:pt idx="88">
                    <c:v>Jun</c:v>
                  </c:pt>
                  <c:pt idx="89">
                    <c:v>Jul</c:v>
                  </c:pt>
                  <c:pt idx="90">
                    <c:v>Ago</c:v>
                  </c:pt>
                  <c:pt idx="91">
                    <c:v>Sep</c:v>
                  </c:pt>
                  <c:pt idx="92">
                    <c:v>Oct</c:v>
                  </c:pt>
                  <c:pt idx="93">
                    <c:v>Nov</c:v>
                  </c:pt>
                  <c:pt idx="94">
                    <c:v>Dic</c:v>
                  </c:pt>
                  <c:pt idx="95">
                    <c:v>Ene </c:v>
                  </c:pt>
                  <c:pt idx="96">
                    <c:v>Feb</c:v>
                  </c:pt>
                  <c:pt idx="97">
                    <c:v>Mar</c:v>
                  </c:pt>
                  <c:pt idx="98">
                    <c:v>Abr</c:v>
                  </c:pt>
                  <c:pt idx="99">
                    <c:v>May</c:v>
                  </c:pt>
                  <c:pt idx="100">
                    <c:v>Jun</c:v>
                  </c:pt>
                  <c:pt idx="101">
                    <c:v>Jul</c:v>
                  </c:pt>
                  <c:pt idx="102">
                    <c:v>Ago</c:v>
                  </c:pt>
                  <c:pt idx="103">
                    <c:v>Sep</c:v>
                  </c:pt>
                  <c:pt idx="104">
                    <c:v>Oct</c:v>
                  </c:pt>
                  <c:pt idx="105">
                    <c:v>Nov</c:v>
                  </c:pt>
                  <c:pt idx="106">
                    <c:v>Dic</c:v>
                  </c:pt>
                  <c:pt idx="107">
                    <c:v>Ene </c:v>
                  </c:pt>
                  <c:pt idx="108">
                    <c:v>Feb</c:v>
                  </c:pt>
                </c:lvl>
                <c:lvl>
                  <c:pt idx="0">
                    <c:v>2014</c:v>
                  </c:pt>
                  <c:pt idx="1">
                    <c:v>2014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2015</c:v>
                  </c:pt>
                  <c:pt idx="12">
                    <c:v>2015</c:v>
                  </c:pt>
                  <c:pt idx="13">
                    <c:v>2015</c:v>
                  </c:pt>
                  <c:pt idx="14">
                    <c:v>2015</c:v>
                  </c:pt>
                  <c:pt idx="15">
                    <c:v>2015</c:v>
                  </c:pt>
                  <c:pt idx="16">
                    <c:v>2015</c:v>
                  </c:pt>
                  <c:pt idx="17">
                    <c:v>2015</c:v>
                  </c:pt>
                  <c:pt idx="18">
                    <c:v>2015</c:v>
                  </c:pt>
                  <c:pt idx="19">
                    <c:v>2015</c:v>
                  </c:pt>
                  <c:pt idx="20">
                    <c:v>2015</c:v>
                  </c:pt>
                  <c:pt idx="21">
                    <c:v>2015</c:v>
                  </c:pt>
                  <c:pt idx="22">
                    <c:v>2015</c:v>
                  </c:pt>
                  <c:pt idx="23">
                    <c:v>2016</c:v>
                  </c:pt>
                  <c:pt idx="24">
                    <c:v>2016</c:v>
                  </c:pt>
                  <c:pt idx="25">
                    <c:v>2016</c:v>
                  </c:pt>
                  <c:pt idx="26">
                    <c:v>2016</c:v>
                  </c:pt>
                  <c:pt idx="27">
                    <c:v>2016</c:v>
                  </c:pt>
                  <c:pt idx="28">
                    <c:v>2016</c:v>
                  </c:pt>
                  <c:pt idx="29">
                    <c:v>2016</c:v>
                  </c:pt>
                  <c:pt idx="30">
                    <c:v>2016</c:v>
                  </c:pt>
                  <c:pt idx="31">
                    <c:v>2016</c:v>
                  </c:pt>
                  <c:pt idx="32">
                    <c:v>2016</c:v>
                  </c:pt>
                  <c:pt idx="33">
                    <c:v>2016</c:v>
                  </c:pt>
                  <c:pt idx="34">
                    <c:v>2016</c:v>
                  </c:pt>
                  <c:pt idx="35">
                    <c:v>2017</c:v>
                  </c:pt>
                  <c:pt idx="36">
                    <c:v>2017</c:v>
                  </c:pt>
                  <c:pt idx="37">
                    <c:v>2017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2017</c:v>
                  </c:pt>
                  <c:pt idx="45">
                    <c:v>2017</c:v>
                  </c:pt>
                  <c:pt idx="46">
                    <c:v>2017</c:v>
                  </c:pt>
                  <c:pt idx="47">
                    <c:v>2018</c:v>
                  </c:pt>
                  <c:pt idx="48">
                    <c:v>2018</c:v>
                  </c:pt>
                  <c:pt idx="49">
                    <c:v>2018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2019</c:v>
                  </c:pt>
                  <c:pt idx="60">
                    <c:v>2019</c:v>
                  </c:pt>
                  <c:pt idx="61">
                    <c:v>2019</c:v>
                  </c:pt>
                  <c:pt idx="62">
                    <c:v>2019</c:v>
                  </c:pt>
                  <c:pt idx="63">
                    <c:v>2019</c:v>
                  </c:pt>
                  <c:pt idx="64">
                    <c:v>2019</c:v>
                  </c:pt>
                  <c:pt idx="65">
                    <c:v>2019</c:v>
                  </c:pt>
                  <c:pt idx="66">
                    <c:v>2019</c:v>
                  </c:pt>
                  <c:pt idx="67">
                    <c:v>2019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2020</c:v>
                  </c:pt>
                  <c:pt idx="72">
                    <c:v>2020</c:v>
                  </c:pt>
                  <c:pt idx="73">
                    <c:v>2020</c:v>
                  </c:pt>
                  <c:pt idx="74">
                    <c:v>2020</c:v>
                  </c:pt>
                  <c:pt idx="75">
                    <c:v>2020</c:v>
                  </c:pt>
                  <c:pt idx="76">
                    <c:v>2020</c:v>
                  </c:pt>
                  <c:pt idx="77">
                    <c:v>2020</c:v>
                  </c:pt>
                  <c:pt idx="78">
                    <c:v>2020</c:v>
                  </c:pt>
                  <c:pt idx="79">
                    <c:v>2020</c:v>
                  </c:pt>
                  <c:pt idx="80">
                    <c:v>2020</c:v>
                  </c:pt>
                  <c:pt idx="81">
                    <c:v>2020</c:v>
                  </c:pt>
                  <c:pt idx="82">
                    <c:v>2020</c:v>
                  </c:pt>
                  <c:pt idx="83">
                    <c:v>2021</c:v>
                  </c:pt>
                  <c:pt idx="84">
                    <c:v>2021</c:v>
                  </c:pt>
                  <c:pt idx="85">
                    <c:v>2021</c:v>
                  </c:pt>
                  <c:pt idx="86">
                    <c:v>2021</c:v>
                  </c:pt>
                  <c:pt idx="87">
                    <c:v>2021</c:v>
                  </c:pt>
                  <c:pt idx="88">
                    <c:v>2021</c:v>
                  </c:pt>
                  <c:pt idx="89">
                    <c:v>2021</c:v>
                  </c:pt>
                  <c:pt idx="90">
                    <c:v>2021</c:v>
                  </c:pt>
                  <c:pt idx="91">
                    <c:v>2021</c:v>
                  </c:pt>
                  <c:pt idx="92">
                    <c:v>2021</c:v>
                  </c:pt>
                  <c:pt idx="93">
                    <c:v>2021</c:v>
                  </c:pt>
                  <c:pt idx="94">
                    <c:v>2021</c:v>
                  </c:pt>
                  <c:pt idx="95">
                    <c:v>2022</c:v>
                  </c:pt>
                  <c:pt idx="96">
                    <c:v>2022</c:v>
                  </c:pt>
                  <c:pt idx="97">
                    <c:v>2022</c:v>
                  </c:pt>
                  <c:pt idx="98">
                    <c:v>2022</c:v>
                  </c:pt>
                  <c:pt idx="99">
                    <c:v>2022</c:v>
                  </c:pt>
                  <c:pt idx="100">
                    <c:v>2022</c:v>
                  </c:pt>
                  <c:pt idx="101">
                    <c:v>2022</c:v>
                  </c:pt>
                  <c:pt idx="102">
                    <c:v>2022</c:v>
                  </c:pt>
                  <c:pt idx="103">
                    <c:v>2022</c:v>
                  </c:pt>
                  <c:pt idx="104">
                    <c:v>2022</c:v>
                  </c:pt>
                  <c:pt idx="105">
                    <c:v>2022</c:v>
                  </c:pt>
                  <c:pt idx="106">
                    <c:v>2022</c:v>
                  </c:pt>
                  <c:pt idx="107">
                    <c:v>2023</c:v>
                  </c:pt>
                  <c:pt idx="108">
                    <c:v>2023</c:v>
                  </c:pt>
                </c:lvl>
              </c:multiLvlStrCache>
            </c:multiLvlStrRef>
          </c:cat>
          <c:val>
            <c:numRef>
              <c:f>'Datos base 2q jul 2018'!$J$104:$J$212</c:f>
              <c:numCache>
                <c:formatCode>0.00</c:formatCode>
                <c:ptCount val="109"/>
                <c:pt idx="0">
                  <c:v>2.9815992803587128</c:v>
                </c:pt>
                <c:pt idx="1">
                  <c:v>2.8932252163082919</c:v>
                </c:pt>
                <c:pt idx="2">
                  <c:v>3.1101473946244109</c:v>
                </c:pt>
                <c:pt idx="3">
                  <c:v>3.0035274507757586</c:v>
                </c:pt>
                <c:pt idx="4">
                  <c:v>3.0900897382228592</c:v>
                </c:pt>
                <c:pt idx="5">
                  <c:v>3.2487794255958073</c:v>
                </c:pt>
                <c:pt idx="6">
                  <c:v>3.3745783859321801</c:v>
                </c:pt>
                <c:pt idx="7">
                  <c:v>3.3426914882561221</c:v>
                </c:pt>
                <c:pt idx="8">
                  <c:v>3.3163350058599472</c:v>
                </c:pt>
                <c:pt idx="9">
                  <c:v>3.3433053168902909</c:v>
                </c:pt>
                <c:pt idx="10">
                  <c:v>3.2448177346399127</c:v>
                </c:pt>
                <c:pt idx="11">
                  <c:v>2.3383998327657349</c:v>
                </c:pt>
                <c:pt idx="12">
                  <c:v>2.3979106641053143</c:v>
                </c:pt>
                <c:pt idx="13">
                  <c:v>2.4463932612693524</c:v>
                </c:pt>
                <c:pt idx="14">
                  <c:v>2.3081554852986721</c:v>
                </c:pt>
                <c:pt idx="15">
                  <c:v>2.3305900684862193</c:v>
                </c:pt>
                <c:pt idx="16">
                  <c:v>2.3269537481242435</c:v>
                </c:pt>
                <c:pt idx="17">
                  <c:v>2.3112445832250934</c:v>
                </c:pt>
                <c:pt idx="18">
                  <c:v>2.2994746549221601</c:v>
                </c:pt>
                <c:pt idx="19">
                  <c:v>2.3789168680112285</c:v>
                </c:pt>
                <c:pt idx="20">
                  <c:v>2.4656820691800654</c:v>
                </c:pt>
                <c:pt idx="21">
                  <c:v>2.3365787531201514</c:v>
                </c:pt>
                <c:pt idx="22">
                  <c:v>2.4119558744003973</c:v>
                </c:pt>
                <c:pt idx="23">
                  <c:v>2.6434226555474014</c:v>
                </c:pt>
                <c:pt idx="24">
                  <c:v>2.6623814836084652</c:v>
                </c:pt>
                <c:pt idx="25">
                  <c:v>2.760648466857702</c:v>
                </c:pt>
                <c:pt idx="26">
                  <c:v>2.827165397588026</c:v>
                </c:pt>
                <c:pt idx="27">
                  <c:v>2.9277923611219818</c:v>
                </c:pt>
                <c:pt idx="28">
                  <c:v>2.9744353574629447</c:v>
                </c:pt>
                <c:pt idx="29">
                  <c:v>2.9725376004903468</c:v>
                </c:pt>
                <c:pt idx="30">
                  <c:v>2.9609191830223178</c:v>
                </c:pt>
                <c:pt idx="31">
                  <c:v>3.0690587086750285</c:v>
                </c:pt>
                <c:pt idx="32">
                  <c:v>3.0980049382589616</c:v>
                </c:pt>
                <c:pt idx="33">
                  <c:v>3.2930623557082486</c:v>
                </c:pt>
                <c:pt idx="34">
                  <c:v>3.4373659982048181</c:v>
                </c:pt>
                <c:pt idx="35">
                  <c:v>3.8357376467426549</c:v>
                </c:pt>
                <c:pt idx="36">
                  <c:v>4.2555046474677471</c:v>
                </c:pt>
                <c:pt idx="37">
                  <c:v>4.4783374612475164</c:v>
                </c:pt>
                <c:pt idx="38">
                  <c:v>4.7173262046135154</c:v>
                </c:pt>
                <c:pt idx="39">
                  <c:v>4.7815776448548775</c:v>
                </c:pt>
                <c:pt idx="40">
                  <c:v>4.8338438131124217</c:v>
                </c:pt>
                <c:pt idx="41">
                  <c:v>4.935516841380946</c:v>
                </c:pt>
                <c:pt idx="42">
                  <c:v>5.0029580594435865</c:v>
                </c:pt>
                <c:pt idx="43">
                  <c:v>4.8001484368885379</c:v>
                </c:pt>
                <c:pt idx="44">
                  <c:v>4.7718024040299234</c:v>
                </c:pt>
                <c:pt idx="45">
                  <c:v>4.8971034253443557</c:v>
                </c:pt>
                <c:pt idx="46">
                  <c:v>4.868778362354127</c:v>
                </c:pt>
                <c:pt idx="47">
                  <c:v>4.5610867697520128</c:v>
                </c:pt>
                <c:pt idx="48">
                  <c:v>4.2746628168778127</c:v>
                </c:pt>
                <c:pt idx="49">
                  <c:v>4.0228686863965315</c:v>
                </c:pt>
                <c:pt idx="50">
                  <c:v>3.7095644217896755</c:v>
                </c:pt>
                <c:pt idx="51">
                  <c:v>3.6906558377127872</c:v>
                </c:pt>
                <c:pt idx="52">
                  <c:v>3.6152923643841275</c:v>
                </c:pt>
                <c:pt idx="53">
                  <c:v>3.6349156535127221</c:v>
                </c:pt>
                <c:pt idx="54">
                  <c:v>3.6268947226102743</c:v>
                </c:pt>
                <c:pt idx="55">
                  <c:v>3.6697723796647042</c:v>
                </c:pt>
                <c:pt idx="56">
                  <c:v>3.7294081492161624</c:v>
                </c:pt>
                <c:pt idx="57">
                  <c:v>3.6336719347377811</c:v>
                </c:pt>
                <c:pt idx="58">
                  <c:v>3.6830818113137154</c:v>
                </c:pt>
                <c:pt idx="59">
                  <c:v>3.5956327388364739</c:v>
                </c:pt>
                <c:pt idx="60">
                  <c:v>3.5373492702235998</c:v>
                </c:pt>
                <c:pt idx="61">
                  <c:v>3.5522683456014059</c:v>
                </c:pt>
                <c:pt idx="62">
                  <c:v>3.8709212669734594</c:v>
                </c:pt>
                <c:pt idx="63">
                  <c:v>3.7745907093303721</c:v>
                </c:pt>
                <c:pt idx="64">
                  <c:v>3.8492317375587115</c:v>
                </c:pt>
                <c:pt idx="65">
                  <c:v>3.8210955621749809</c:v>
                </c:pt>
                <c:pt idx="66">
                  <c:v>3.7767203638696234</c:v>
                </c:pt>
                <c:pt idx="67">
                  <c:v>3.7497990358150046</c:v>
                </c:pt>
                <c:pt idx="68">
                  <c:v>3.6838383356078586</c:v>
                </c:pt>
                <c:pt idx="69">
                  <c:v>3.6529927423974762</c:v>
                </c:pt>
                <c:pt idx="70">
                  <c:v>3.5946407097393385</c:v>
                </c:pt>
                <c:pt idx="71">
                  <c:v>3.725708133157446</c:v>
                </c:pt>
                <c:pt idx="72">
                  <c:v>3.6555222096642526</c:v>
                </c:pt>
                <c:pt idx="73">
                  <c:v>3.6030403255272292</c:v>
                </c:pt>
                <c:pt idx="74">
                  <c:v>3.5040766537671963</c:v>
                </c:pt>
                <c:pt idx="75">
                  <c:v>3.6427379565861173</c:v>
                </c:pt>
                <c:pt idx="76">
                  <c:v>3.7096521911010427</c:v>
                </c:pt>
                <c:pt idx="77">
                  <c:v>3.8504915694710373</c:v>
                </c:pt>
                <c:pt idx="78">
                  <c:v>3.9676929388034798</c:v>
                </c:pt>
                <c:pt idx="79">
                  <c:v>3.9869625653070173</c:v>
                </c:pt>
                <c:pt idx="80">
                  <c:v>3.9790766170676672</c:v>
                </c:pt>
                <c:pt idx="81">
                  <c:v>3.6620739666424873</c:v>
                </c:pt>
                <c:pt idx="82">
                  <c:v>3.8039036813197313</c:v>
                </c:pt>
                <c:pt idx="83">
                  <c:v>3.8378593782736781</c:v>
                </c:pt>
                <c:pt idx="84">
                  <c:v>3.8692564227404525</c:v>
                </c:pt>
                <c:pt idx="85">
                  <c:v>4.1233610508882856</c:v>
                </c:pt>
                <c:pt idx="86">
                  <c:v>4.1319882747951286</c:v>
                </c:pt>
                <c:pt idx="87">
                  <c:v>4.3677064097146889</c:v>
                </c:pt>
                <c:pt idx="88">
                  <c:v>4.5779235125644968</c:v>
                </c:pt>
                <c:pt idx="89">
                  <c:v>4.6609427435500228</c:v>
                </c:pt>
                <c:pt idx="90">
                  <c:v>4.7762493185180999</c:v>
                </c:pt>
                <c:pt idx="91">
                  <c:v>4.9241229157217292</c:v>
                </c:pt>
                <c:pt idx="92">
                  <c:v>5.1915834454121512</c:v>
                </c:pt>
                <c:pt idx="93">
                  <c:v>5.6672959906850062</c:v>
                </c:pt>
                <c:pt idx="94">
                  <c:v>5.9354480215494831</c:v>
                </c:pt>
                <c:pt idx="95">
                  <c:v>6.2062327478977775</c:v>
                </c:pt>
                <c:pt idx="96">
                  <c:v>6.5924248756255466</c:v>
                </c:pt>
                <c:pt idx="97">
                  <c:v>6.779594659077004</c:v>
                </c:pt>
                <c:pt idx="98">
                  <c:v>7.2150207723926441</c:v>
                </c:pt>
                <c:pt idx="99">
                  <c:v>7.2818609760382902</c:v>
                </c:pt>
                <c:pt idx="100">
                  <c:v>7.4944617940686076</c:v>
                </c:pt>
                <c:pt idx="101">
                  <c:v>7.6513915096307006</c:v>
                </c:pt>
                <c:pt idx="102">
                  <c:v>8.049969502096177</c:v>
                </c:pt>
                <c:pt idx="103">
                  <c:v>8.2797297030075434</c:v>
                </c:pt>
                <c:pt idx="104">
                  <c:v>8.4238564836415222</c:v>
                </c:pt>
                <c:pt idx="105">
                  <c:v>8.5148223111609624</c:v>
                </c:pt>
                <c:pt idx="106">
                  <c:v>8.3462113500310195</c:v>
                </c:pt>
                <c:pt idx="107">
                  <c:v>8.4531896197755252</c:v>
                </c:pt>
                <c:pt idx="108">
                  <c:v>8.2941511266376047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50E4-4D19-8388-17C7399F76ED}"/>
            </c:ext>
          </c:extLst>
        </c:ser>
        <c:ser>
          <c:idx val="2"/>
          <c:order val="2"/>
          <c:tx>
            <c:strRef>
              <c:f>'Datos base 2q jul 2018'!$K$4</c:f>
              <c:strCache>
                <c:ptCount val="1"/>
                <c:pt idx="0">
                  <c:v>No subyacente</c:v>
                </c:pt>
              </c:strCache>
            </c:strRef>
          </c:tx>
          <c:spPr>
            <a:ln w="12700" cap="rnd">
              <a:solidFill>
                <a:srgbClr val="7F64A0"/>
              </a:solidFill>
              <a:prstDash val="sysDash"/>
              <a:round/>
            </a:ln>
            <a:effectLst/>
          </c:spPr>
          <c:marker>
            <c:symbol val="none"/>
          </c:marker>
          <c:dLbls>
            <c:dLbl>
              <c:idx val="108"/>
              <c:layout>
                <c:manualLayout>
                  <c:x val="-1.6909062940567319E-4"/>
                  <c:y val="-1.1274181697130667E-4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0E4-4D19-8388-17C7399F76E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7F64A0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2018'!$A$104:$B$212</c:f>
              <c:multiLvlStrCache>
                <c:ptCount val="109"/>
                <c:lvl>
                  <c:pt idx="0">
                    <c:v>Feb</c:v>
                  </c:pt>
                  <c:pt idx="1">
                    <c:v>Mar</c:v>
                  </c:pt>
                  <c:pt idx="2">
                    <c:v>Abr</c:v>
                  </c:pt>
                  <c:pt idx="3">
                    <c:v>May</c:v>
                  </c:pt>
                  <c:pt idx="4">
                    <c:v>Jun</c:v>
                  </c:pt>
                  <c:pt idx="5">
                    <c:v>Jul</c:v>
                  </c:pt>
                  <c:pt idx="6">
                    <c:v>Ago</c:v>
                  </c:pt>
                  <c:pt idx="7">
                    <c:v>Sep</c:v>
                  </c:pt>
                  <c:pt idx="8">
                    <c:v>Oct</c:v>
                  </c:pt>
                  <c:pt idx="9">
                    <c:v>Nov</c:v>
                  </c:pt>
                  <c:pt idx="10">
                    <c:v>Dic</c:v>
                  </c:pt>
                  <c:pt idx="11">
                    <c:v>Ene</c:v>
                  </c:pt>
                  <c:pt idx="12">
                    <c:v>Feb</c:v>
                  </c:pt>
                  <c:pt idx="13">
                    <c:v>Mar</c:v>
                  </c:pt>
                  <c:pt idx="14">
                    <c:v>Abr</c:v>
                  </c:pt>
                  <c:pt idx="15">
                    <c:v>May</c:v>
                  </c:pt>
                  <c:pt idx="16">
                    <c:v>Jun</c:v>
                  </c:pt>
                  <c:pt idx="17">
                    <c:v>Jul</c:v>
                  </c:pt>
                  <c:pt idx="18">
                    <c:v>Ago</c:v>
                  </c:pt>
                  <c:pt idx="19">
                    <c:v>Sep</c:v>
                  </c:pt>
                  <c:pt idx="20">
                    <c:v>Oct</c:v>
                  </c:pt>
                  <c:pt idx="21">
                    <c:v>Nov</c:v>
                  </c:pt>
                  <c:pt idx="22">
                    <c:v>Dic</c:v>
                  </c:pt>
                  <c:pt idx="23">
                    <c:v>Ene </c:v>
                  </c:pt>
                  <c:pt idx="24">
                    <c:v>Feb</c:v>
                  </c:pt>
                  <c:pt idx="25">
                    <c:v>Mar</c:v>
                  </c:pt>
                  <c:pt idx="26">
                    <c:v>Abr</c:v>
                  </c:pt>
                  <c:pt idx="27">
                    <c:v>May</c:v>
                  </c:pt>
                  <c:pt idx="28">
                    <c:v>Jun</c:v>
                  </c:pt>
                  <c:pt idx="29">
                    <c:v>Jul</c:v>
                  </c:pt>
                  <c:pt idx="30">
                    <c:v>Ago</c:v>
                  </c:pt>
                  <c:pt idx="31">
                    <c:v>Sep</c:v>
                  </c:pt>
                  <c:pt idx="32">
                    <c:v>Oct</c:v>
                  </c:pt>
                  <c:pt idx="33">
                    <c:v>Nov</c:v>
                  </c:pt>
                  <c:pt idx="34">
                    <c:v>Dic</c:v>
                  </c:pt>
                  <c:pt idx="35">
                    <c:v>Ene </c:v>
                  </c:pt>
                  <c:pt idx="36">
                    <c:v>Feb</c:v>
                  </c:pt>
                  <c:pt idx="37">
                    <c:v>Mar</c:v>
                  </c:pt>
                  <c:pt idx="38">
                    <c:v>Abr</c:v>
                  </c:pt>
                  <c:pt idx="39">
                    <c:v>May</c:v>
                  </c:pt>
                  <c:pt idx="40">
                    <c:v>Jun</c:v>
                  </c:pt>
                  <c:pt idx="41">
                    <c:v>Jul</c:v>
                  </c:pt>
                  <c:pt idx="42">
                    <c:v>Ago</c:v>
                  </c:pt>
                  <c:pt idx="43">
                    <c:v>Sep</c:v>
                  </c:pt>
                  <c:pt idx="44">
                    <c:v>Oct</c:v>
                  </c:pt>
                  <c:pt idx="45">
                    <c:v>Nov</c:v>
                  </c:pt>
                  <c:pt idx="46">
                    <c:v>Dic</c:v>
                  </c:pt>
                  <c:pt idx="47">
                    <c:v>Ene </c:v>
                  </c:pt>
                  <c:pt idx="48">
                    <c:v>Feb</c:v>
                  </c:pt>
                  <c:pt idx="49">
                    <c:v>Mar</c:v>
                  </c:pt>
                  <c:pt idx="50">
                    <c:v>Abr</c:v>
                  </c:pt>
                  <c:pt idx="51">
                    <c:v>May</c:v>
                  </c:pt>
                  <c:pt idx="52">
                    <c:v>Jun</c:v>
                  </c:pt>
                  <c:pt idx="53">
                    <c:v>Jul</c:v>
                  </c:pt>
                  <c:pt idx="54">
                    <c:v>Ago</c:v>
                  </c:pt>
                  <c:pt idx="55">
                    <c:v>Sep</c:v>
                  </c:pt>
                  <c:pt idx="56">
                    <c:v>Oct</c:v>
                  </c:pt>
                  <c:pt idx="57">
                    <c:v>Nov</c:v>
                  </c:pt>
                  <c:pt idx="58">
                    <c:v>Dic</c:v>
                  </c:pt>
                  <c:pt idx="59">
                    <c:v>Ene </c:v>
                  </c:pt>
                  <c:pt idx="60">
                    <c:v>Feb</c:v>
                  </c:pt>
                  <c:pt idx="61">
                    <c:v>Mar</c:v>
                  </c:pt>
                  <c:pt idx="62">
                    <c:v>Abr</c:v>
                  </c:pt>
                  <c:pt idx="63">
                    <c:v>May</c:v>
                  </c:pt>
                  <c:pt idx="64">
                    <c:v>Jun</c:v>
                  </c:pt>
                  <c:pt idx="65">
                    <c:v>Jul</c:v>
                  </c:pt>
                  <c:pt idx="66">
                    <c:v>Ago</c:v>
                  </c:pt>
                  <c:pt idx="67">
                    <c:v>Sep</c:v>
                  </c:pt>
                  <c:pt idx="68">
                    <c:v>Oct</c:v>
                  </c:pt>
                  <c:pt idx="69">
                    <c:v>Nov</c:v>
                  </c:pt>
                  <c:pt idx="70">
                    <c:v>Dic</c:v>
                  </c:pt>
                  <c:pt idx="71">
                    <c:v>Ene </c:v>
                  </c:pt>
                  <c:pt idx="72">
                    <c:v>Feb</c:v>
                  </c:pt>
                  <c:pt idx="73">
                    <c:v>Mar</c:v>
                  </c:pt>
                  <c:pt idx="74">
                    <c:v>Abr</c:v>
                  </c:pt>
                  <c:pt idx="75">
                    <c:v>May</c:v>
                  </c:pt>
                  <c:pt idx="76">
                    <c:v>Jun</c:v>
                  </c:pt>
                  <c:pt idx="77">
                    <c:v>Jul</c:v>
                  </c:pt>
                  <c:pt idx="78">
                    <c:v>Ago</c:v>
                  </c:pt>
                  <c:pt idx="79">
                    <c:v>Sep</c:v>
                  </c:pt>
                  <c:pt idx="80">
                    <c:v>Oct</c:v>
                  </c:pt>
                  <c:pt idx="81">
                    <c:v>Nov</c:v>
                  </c:pt>
                  <c:pt idx="82">
                    <c:v>Dic</c:v>
                  </c:pt>
                  <c:pt idx="83">
                    <c:v>Ene </c:v>
                  </c:pt>
                  <c:pt idx="84">
                    <c:v>Feb</c:v>
                  </c:pt>
                  <c:pt idx="85">
                    <c:v>Mar</c:v>
                  </c:pt>
                  <c:pt idx="86">
                    <c:v>Abr</c:v>
                  </c:pt>
                  <c:pt idx="87">
                    <c:v>May</c:v>
                  </c:pt>
                  <c:pt idx="88">
                    <c:v>Jun</c:v>
                  </c:pt>
                  <c:pt idx="89">
                    <c:v>Jul</c:v>
                  </c:pt>
                  <c:pt idx="90">
                    <c:v>Ago</c:v>
                  </c:pt>
                  <c:pt idx="91">
                    <c:v>Sep</c:v>
                  </c:pt>
                  <c:pt idx="92">
                    <c:v>Oct</c:v>
                  </c:pt>
                  <c:pt idx="93">
                    <c:v>Nov</c:v>
                  </c:pt>
                  <c:pt idx="94">
                    <c:v>Dic</c:v>
                  </c:pt>
                  <c:pt idx="95">
                    <c:v>Ene </c:v>
                  </c:pt>
                  <c:pt idx="96">
                    <c:v>Feb</c:v>
                  </c:pt>
                  <c:pt idx="97">
                    <c:v>Mar</c:v>
                  </c:pt>
                  <c:pt idx="98">
                    <c:v>Abr</c:v>
                  </c:pt>
                  <c:pt idx="99">
                    <c:v>May</c:v>
                  </c:pt>
                  <c:pt idx="100">
                    <c:v>Jun</c:v>
                  </c:pt>
                  <c:pt idx="101">
                    <c:v>Jul</c:v>
                  </c:pt>
                  <c:pt idx="102">
                    <c:v>Ago</c:v>
                  </c:pt>
                  <c:pt idx="103">
                    <c:v>Sep</c:v>
                  </c:pt>
                  <c:pt idx="104">
                    <c:v>Oct</c:v>
                  </c:pt>
                  <c:pt idx="105">
                    <c:v>Nov</c:v>
                  </c:pt>
                  <c:pt idx="106">
                    <c:v>Dic</c:v>
                  </c:pt>
                  <c:pt idx="107">
                    <c:v>Ene </c:v>
                  </c:pt>
                  <c:pt idx="108">
                    <c:v>Feb</c:v>
                  </c:pt>
                </c:lvl>
                <c:lvl>
                  <c:pt idx="0">
                    <c:v>2014</c:v>
                  </c:pt>
                  <c:pt idx="1">
                    <c:v>2014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2015</c:v>
                  </c:pt>
                  <c:pt idx="12">
                    <c:v>2015</c:v>
                  </c:pt>
                  <c:pt idx="13">
                    <c:v>2015</c:v>
                  </c:pt>
                  <c:pt idx="14">
                    <c:v>2015</c:v>
                  </c:pt>
                  <c:pt idx="15">
                    <c:v>2015</c:v>
                  </c:pt>
                  <c:pt idx="16">
                    <c:v>2015</c:v>
                  </c:pt>
                  <c:pt idx="17">
                    <c:v>2015</c:v>
                  </c:pt>
                  <c:pt idx="18">
                    <c:v>2015</c:v>
                  </c:pt>
                  <c:pt idx="19">
                    <c:v>2015</c:v>
                  </c:pt>
                  <c:pt idx="20">
                    <c:v>2015</c:v>
                  </c:pt>
                  <c:pt idx="21">
                    <c:v>2015</c:v>
                  </c:pt>
                  <c:pt idx="22">
                    <c:v>2015</c:v>
                  </c:pt>
                  <c:pt idx="23">
                    <c:v>2016</c:v>
                  </c:pt>
                  <c:pt idx="24">
                    <c:v>2016</c:v>
                  </c:pt>
                  <c:pt idx="25">
                    <c:v>2016</c:v>
                  </c:pt>
                  <c:pt idx="26">
                    <c:v>2016</c:v>
                  </c:pt>
                  <c:pt idx="27">
                    <c:v>2016</c:v>
                  </c:pt>
                  <c:pt idx="28">
                    <c:v>2016</c:v>
                  </c:pt>
                  <c:pt idx="29">
                    <c:v>2016</c:v>
                  </c:pt>
                  <c:pt idx="30">
                    <c:v>2016</c:v>
                  </c:pt>
                  <c:pt idx="31">
                    <c:v>2016</c:v>
                  </c:pt>
                  <c:pt idx="32">
                    <c:v>2016</c:v>
                  </c:pt>
                  <c:pt idx="33">
                    <c:v>2016</c:v>
                  </c:pt>
                  <c:pt idx="34">
                    <c:v>2016</c:v>
                  </c:pt>
                  <c:pt idx="35">
                    <c:v>2017</c:v>
                  </c:pt>
                  <c:pt idx="36">
                    <c:v>2017</c:v>
                  </c:pt>
                  <c:pt idx="37">
                    <c:v>2017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2017</c:v>
                  </c:pt>
                  <c:pt idx="45">
                    <c:v>2017</c:v>
                  </c:pt>
                  <c:pt idx="46">
                    <c:v>2017</c:v>
                  </c:pt>
                  <c:pt idx="47">
                    <c:v>2018</c:v>
                  </c:pt>
                  <c:pt idx="48">
                    <c:v>2018</c:v>
                  </c:pt>
                  <c:pt idx="49">
                    <c:v>2018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2019</c:v>
                  </c:pt>
                  <c:pt idx="60">
                    <c:v>2019</c:v>
                  </c:pt>
                  <c:pt idx="61">
                    <c:v>2019</c:v>
                  </c:pt>
                  <c:pt idx="62">
                    <c:v>2019</c:v>
                  </c:pt>
                  <c:pt idx="63">
                    <c:v>2019</c:v>
                  </c:pt>
                  <c:pt idx="64">
                    <c:v>2019</c:v>
                  </c:pt>
                  <c:pt idx="65">
                    <c:v>2019</c:v>
                  </c:pt>
                  <c:pt idx="66">
                    <c:v>2019</c:v>
                  </c:pt>
                  <c:pt idx="67">
                    <c:v>2019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2020</c:v>
                  </c:pt>
                  <c:pt idx="72">
                    <c:v>2020</c:v>
                  </c:pt>
                  <c:pt idx="73">
                    <c:v>2020</c:v>
                  </c:pt>
                  <c:pt idx="74">
                    <c:v>2020</c:v>
                  </c:pt>
                  <c:pt idx="75">
                    <c:v>2020</c:v>
                  </c:pt>
                  <c:pt idx="76">
                    <c:v>2020</c:v>
                  </c:pt>
                  <c:pt idx="77">
                    <c:v>2020</c:v>
                  </c:pt>
                  <c:pt idx="78">
                    <c:v>2020</c:v>
                  </c:pt>
                  <c:pt idx="79">
                    <c:v>2020</c:v>
                  </c:pt>
                  <c:pt idx="80">
                    <c:v>2020</c:v>
                  </c:pt>
                  <c:pt idx="81">
                    <c:v>2020</c:v>
                  </c:pt>
                  <c:pt idx="82">
                    <c:v>2020</c:v>
                  </c:pt>
                  <c:pt idx="83">
                    <c:v>2021</c:v>
                  </c:pt>
                  <c:pt idx="84">
                    <c:v>2021</c:v>
                  </c:pt>
                  <c:pt idx="85">
                    <c:v>2021</c:v>
                  </c:pt>
                  <c:pt idx="86">
                    <c:v>2021</c:v>
                  </c:pt>
                  <c:pt idx="87">
                    <c:v>2021</c:v>
                  </c:pt>
                  <c:pt idx="88">
                    <c:v>2021</c:v>
                  </c:pt>
                  <c:pt idx="89">
                    <c:v>2021</c:v>
                  </c:pt>
                  <c:pt idx="90">
                    <c:v>2021</c:v>
                  </c:pt>
                  <c:pt idx="91">
                    <c:v>2021</c:v>
                  </c:pt>
                  <c:pt idx="92">
                    <c:v>2021</c:v>
                  </c:pt>
                  <c:pt idx="93">
                    <c:v>2021</c:v>
                  </c:pt>
                  <c:pt idx="94">
                    <c:v>2021</c:v>
                  </c:pt>
                  <c:pt idx="95">
                    <c:v>2022</c:v>
                  </c:pt>
                  <c:pt idx="96">
                    <c:v>2022</c:v>
                  </c:pt>
                  <c:pt idx="97">
                    <c:v>2022</c:v>
                  </c:pt>
                  <c:pt idx="98">
                    <c:v>2022</c:v>
                  </c:pt>
                  <c:pt idx="99">
                    <c:v>2022</c:v>
                  </c:pt>
                  <c:pt idx="100">
                    <c:v>2022</c:v>
                  </c:pt>
                  <c:pt idx="101">
                    <c:v>2022</c:v>
                  </c:pt>
                  <c:pt idx="102">
                    <c:v>2022</c:v>
                  </c:pt>
                  <c:pt idx="103">
                    <c:v>2022</c:v>
                  </c:pt>
                  <c:pt idx="104">
                    <c:v>2022</c:v>
                  </c:pt>
                  <c:pt idx="105">
                    <c:v>2022</c:v>
                  </c:pt>
                  <c:pt idx="106">
                    <c:v>2022</c:v>
                  </c:pt>
                  <c:pt idx="107">
                    <c:v>2023</c:v>
                  </c:pt>
                  <c:pt idx="108">
                    <c:v>2023</c:v>
                  </c:pt>
                </c:lvl>
              </c:multiLvlStrCache>
            </c:multiLvlStrRef>
          </c:cat>
          <c:val>
            <c:numRef>
              <c:f>'Datos base 2q jul 2018'!$K$104:$K$212</c:f>
              <c:numCache>
                <c:formatCode>0.00</c:formatCode>
                <c:ptCount val="109"/>
                <c:pt idx="0">
                  <c:v>8.2824424434665769</c:v>
                </c:pt>
                <c:pt idx="1">
                  <c:v>6.5354997126406733</c:v>
                </c:pt>
                <c:pt idx="2">
                  <c:v>4.7475792496286298</c:v>
                </c:pt>
                <c:pt idx="3">
                  <c:v>5.1863578239874082</c:v>
                </c:pt>
                <c:pt idx="4">
                  <c:v>5.9617265692740871</c:v>
                </c:pt>
                <c:pt idx="5">
                  <c:v>6.8271579641693165</c:v>
                </c:pt>
                <c:pt idx="6">
                  <c:v>6.7182708744115081</c:v>
                </c:pt>
                <c:pt idx="7">
                  <c:v>7.1119588300636041</c:v>
                </c:pt>
                <c:pt idx="8">
                  <c:v>7.5060565081171537</c:v>
                </c:pt>
                <c:pt idx="9">
                  <c:v>6.7763144885481852</c:v>
                </c:pt>
                <c:pt idx="10">
                  <c:v>6.6991037192450129</c:v>
                </c:pt>
                <c:pt idx="11">
                  <c:v>5.338364978916446</c:v>
                </c:pt>
                <c:pt idx="12">
                  <c:v>4.8839859296475376</c:v>
                </c:pt>
                <c:pt idx="13">
                  <c:v>5.2924328408390062</c:v>
                </c:pt>
                <c:pt idx="14">
                  <c:v>5.4633403420644067</c:v>
                </c:pt>
                <c:pt idx="15">
                  <c:v>4.6431485542286817</c:v>
                </c:pt>
                <c:pt idx="16">
                  <c:v>4.6336651275337841</c:v>
                </c:pt>
                <c:pt idx="17">
                  <c:v>4.1241442964936512</c:v>
                </c:pt>
                <c:pt idx="18">
                  <c:v>3.5125321367639772</c:v>
                </c:pt>
                <c:pt idx="19">
                  <c:v>2.963926777529815</c:v>
                </c:pt>
                <c:pt idx="20">
                  <c:v>2.5249797574191013</c:v>
                </c:pt>
                <c:pt idx="21">
                  <c:v>1.843026887014072</c:v>
                </c:pt>
                <c:pt idx="22">
                  <c:v>1.2762511606747</c:v>
                </c:pt>
                <c:pt idx="23">
                  <c:v>2.522246807825427</c:v>
                </c:pt>
                <c:pt idx="24">
                  <c:v>3.4938208536903983</c:v>
                </c:pt>
                <c:pt idx="25">
                  <c:v>2.1164916182627671</c:v>
                </c:pt>
                <c:pt idx="26">
                  <c:v>1.6595743619222199</c:v>
                </c:pt>
                <c:pt idx="27">
                  <c:v>1.5477448099930948</c:v>
                </c:pt>
                <c:pt idx="28">
                  <c:v>1.1555817183581019</c:v>
                </c:pt>
                <c:pt idx="29">
                  <c:v>1.6461385320237307</c:v>
                </c:pt>
                <c:pt idx="30">
                  <c:v>1.9876330916648821</c:v>
                </c:pt>
                <c:pt idx="31">
                  <c:v>2.6526253855259565</c:v>
                </c:pt>
                <c:pt idx="32">
                  <c:v>2.9532598018049154</c:v>
                </c:pt>
                <c:pt idx="33">
                  <c:v>3.3414816660668851</c:v>
                </c:pt>
                <c:pt idx="34">
                  <c:v>3.1263239622002197</c:v>
                </c:pt>
                <c:pt idx="35">
                  <c:v>7.399186009491145</c:v>
                </c:pt>
                <c:pt idx="36">
                  <c:v>6.7088696245197807</c:v>
                </c:pt>
                <c:pt idx="37">
                  <c:v>8.0239017559605941</c:v>
                </c:pt>
                <c:pt idx="38">
                  <c:v>9.2498471387532266</c:v>
                </c:pt>
                <c:pt idx="39">
                  <c:v>10.603551237535402</c:v>
                </c:pt>
                <c:pt idx="40">
                  <c:v>11.0921132755296</c:v>
                </c:pt>
                <c:pt idx="41">
                  <c:v>11.271739327633481</c:v>
                </c:pt>
                <c:pt idx="42">
                  <c:v>11.984296254130735</c:v>
                </c:pt>
                <c:pt idx="43">
                  <c:v>11.27940701705263</c:v>
                </c:pt>
                <c:pt idx="44">
                  <c:v>11.401788332337997</c:v>
                </c:pt>
                <c:pt idx="45">
                  <c:v>11.9730078319096</c:v>
                </c:pt>
                <c:pt idx="46">
                  <c:v>12.621131109032941</c:v>
                </c:pt>
                <c:pt idx="47">
                  <c:v>8.4396254977826892</c:v>
                </c:pt>
                <c:pt idx="48">
                  <c:v>8.491229033565558</c:v>
                </c:pt>
                <c:pt idx="49">
                  <c:v>8.0270896801162657</c:v>
                </c:pt>
                <c:pt idx="50">
                  <c:v>7.0713450732142382</c:v>
                </c:pt>
                <c:pt idx="51">
                  <c:v>6.9879395591619682</c:v>
                </c:pt>
                <c:pt idx="52">
                  <c:v>7.7916771163987235</c:v>
                </c:pt>
                <c:pt idx="53">
                  <c:v>8.381461263852346</c:v>
                </c:pt>
                <c:pt idx="54">
                  <c:v>8.8021172100991283</c:v>
                </c:pt>
                <c:pt idx="55">
                  <c:v>9.1504116117487211</c:v>
                </c:pt>
                <c:pt idx="56">
                  <c:v>8.4990813438131205</c:v>
                </c:pt>
                <c:pt idx="57">
                  <c:v>8.0727173955203568</c:v>
                </c:pt>
                <c:pt idx="58">
                  <c:v>8.3985017457426814</c:v>
                </c:pt>
                <c:pt idx="59">
                  <c:v>6.8077764553492903</c:v>
                </c:pt>
                <c:pt idx="60">
                  <c:v>5.2529539129089642</c:v>
                </c:pt>
                <c:pt idx="61">
                  <c:v>5.4665367537646503</c:v>
                </c:pt>
                <c:pt idx="62">
                  <c:v>6.0820526568256206</c:v>
                </c:pt>
                <c:pt idx="63">
                  <c:v>5.7798859220474119</c:v>
                </c:pt>
                <c:pt idx="64">
                  <c:v>4.1879028979615152</c:v>
                </c:pt>
                <c:pt idx="65">
                  <c:v>3.6443895185500175</c:v>
                </c:pt>
                <c:pt idx="66">
                  <c:v>1.2826704768500674</c:v>
                </c:pt>
                <c:pt idx="67">
                  <c:v>0.70609573204361009</c:v>
                </c:pt>
                <c:pt idx="68">
                  <c:v>1.0130453924242833</c:v>
                </c:pt>
                <c:pt idx="69">
                  <c:v>0.97682795762952246</c:v>
                </c:pt>
                <c:pt idx="70">
                  <c:v>0.58876764232136392</c:v>
                </c:pt>
                <c:pt idx="71">
                  <c:v>1.8057923017696931</c:v>
                </c:pt>
                <c:pt idx="72">
                  <c:v>3.8136885018296152</c:v>
                </c:pt>
                <c:pt idx="73">
                  <c:v>2.1913362911220702</c:v>
                </c:pt>
                <c:pt idx="74">
                  <c:v>-1.9643560542747407</c:v>
                </c:pt>
                <c:pt idx="75">
                  <c:v>0.35014034635030278</c:v>
                </c:pt>
                <c:pt idx="76">
                  <c:v>2.1609288294935469</c:v>
                </c:pt>
                <c:pt idx="77">
                  <c:v>2.9170722337170885</c:v>
                </c:pt>
                <c:pt idx="78">
                  <c:v>4.3012488266652937</c:v>
                </c:pt>
                <c:pt idx="79">
                  <c:v>4.1006333362519465</c:v>
                </c:pt>
                <c:pt idx="80">
                  <c:v>4.4203239013913098</c:v>
                </c:pt>
                <c:pt idx="81">
                  <c:v>2.3294058286536634</c:v>
                </c:pt>
                <c:pt idx="82">
                  <c:v>1.1841216685014366</c:v>
                </c:pt>
                <c:pt idx="83">
                  <c:v>2.6308382492326032</c:v>
                </c:pt>
                <c:pt idx="84">
                  <c:v>3.4348492636259165</c:v>
                </c:pt>
                <c:pt idx="85">
                  <c:v>6.3139857357302098</c:v>
                </c:pt>
                <c:pt idx="86">
                  <c:v>12.336770332407543</c:v>
                </c:pt>
                <c:pt idx="87">
                  <c:v>10.761266076076348</c:v>
                </c:pt>
                <c:pt idx="88">
                  <c:v>9.9970748208288782</c:v>
                </c:pt>
                <c:pt idx="89">
                  <c:v>9.3939049051903432</c:v>
                </c:pt>
                <c:pt idx="90">
                  <c:v>8.1394514594660183</c:v>
                </c:pt>
                <c:pt idx="91">
                  <c:v>9.3701646831894081</c:v>
                </c:pt>
                <c:pt idx="92">
                  <c:v>9.4727418886878958</c:v>
                </c:pt>
                <c:pt idx="93">
                  <c:v>12.611285493352554</c:v>
                </c:pt>
                <c:pt idx="94">
                  <c:v>11.735036558874356</c:v>
                </c:pt>
                <c:pt idx="95">
                  <c:v>9.682487967422615</c:v>
                </c:pt>
                <c:pt idx="96">
                  <c:v>9.33742728893343</c:v>
                </c:pt>
                <c:pt idx="97">
                  <c:v>9.4493297631981665</c:v>
                </c:pt>
                <c:pt idx="98">
                  <c:v>9.0699302455323316</c:v>
                </c:pt>
                <c:pt idx="99">
                  <c:v>8.7663328293108744</c:v>
                </c:pt>
                <c:pt idx="100">
                  <c:v>9.4683292280649987</c:v>
                </c:pt>
                <c:pt idx="101">
                  <c:v>9.6453097118526454</c:v>
                </c:pt>
                <c:pt idx="102">
                  <c:v>10.647161211391619</c:v>
                </c:pt>
                <c:pt idx="103">
                  <c:v>9.961979024285462</c:v>
                </c:pt>
                <c:pt idx="104">
                  <c:v>8.3571108343300402</c:v>
                </c:pt>
                <c:pt idx="105">
                  <c:v>5.7315941046955032</c:v>
                </c:pt>
                <c:pt idx="106">
                  <c:v>6.2698769709850888</c:v>
                </c:pt>
                <c:pt idx="107">
                  <c:v>6.320536089507689</c:v>
                </c:pt>
                <c:pt idx="108">
                  <c:v>5.6499146222361851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50E4-4D19-8388-17C7399F76E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88499216"/>
        <c:axId val="588500392"/>
      </c:lineChart>
      <c:catAx>
        <c:axId val="5884992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0"/>
          <a:lstStyle/>
          <a:p>
            <a:pPr>
              <a:defRPr sz="8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88500392"/>
        <c:crosses val="autoZero"/>
        <c:auto val="0"/>
        <c:lblAlgn val="ctr"/>
        <c:lblOffset val="100"/>
        <c:tickLblSkip val="12"/>
        <c:tickMarkSkip val="12"/>
        <c:noMultiLvlLbl val="1"/>
      </c:catAx>
      <c:valAx>
        <c:axId val="588500392"/>
        <c:scaling>
          <c:orientation val="minMax"/>
          <c:max val="15"/>
          <c:min val="-3"/>
        </c:scaling>
        <c:delete val="0"/>
        <c:axPos val="l"/>
        <c:majorGridlines>
          <c:spPr>
            <a:ln w="317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ajorGridlines>
        <c:numFmt formatCode="0.00" sourceLinked="1"/>
        <c:majorTickMark val="out"/>
        <c:minorTickMark val="none"/>
        <c:tickLblPos val="nextTo"/>
        <c:spPr>
          <a:noFill/>
          <a:ln w="9525"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88499216"/>
        <c:crossesAt val="1"/>
        <c:crossBetween val="midCat"/>
        <c:majorUnit val="3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1233002574771998"/>
          <c:y val="0.9388903342416236"/>
          <c:w val="0.75111762283296291"/>
          <c:h val="5.117278963727731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1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6350" cap="flat" cmpd="sng" algn="ctr">
      <a:solidFill>
        <a:schemeClr val="tx1"/>
      </a:solidFill>
      <a:round/>
    </a:ln>
    <a:effectLst>
      <a:outerShdw dist="12700" dir="2700000" algn="tl" rotWithShape="0">
        <a:schemeClr val="tx1"/>
      </a:outerShdw>
    </a:effectLst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D8128FBF1DCB4BB482DBB94943CBF1" ma:contentTypeVersion="4" ma:contentTypeDescription="Create a new document." ma:contentTypeScope="" ma:versionID="5dbb91214b65ddb1befca05659cde2de">
  <xsd:schema xmlns:xsd="http://www.w3.org/2001/XMLSchema" xmlns:xs="http://www.w3.org/2001/XMLSchema" xmlns:p="http://schemas.microsoft.com/office/2006/metadata/properties" xmlns:ns2="8d1394d2-d035-4f02-9e4e-321449527318" xmlns:ns3="ec0e31e1-6bce-4e36-ba83-434aaf6c7901" targetNamespace="http://schemas.microsoft.com/office/2006/metadata/properties" ma:root="true" ma:fieldsID="b4fcdd3674c30075db524b5f4645591a" ns2:_="" ns3:_="">
    <xsd:import namespace="8d1394d2-d035-4f02-9e4e-321449527318"/>
    <xsd:import namespace="ec0e31e1-6bce-4e36-ba83-434aaf6c79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1394d2-d035-4f02-9e4e-3214495273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0e31e1-6bce-4e36-ba83-434aaf6c790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3E91789-CC31-488B-B230-271BE94F42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BCE0217-6B10-4746-B3F4-C495DA0CCA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F61EA0-9B59-49DD-86E5-AF79ED1D6E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1394d2-d035-4f02-9e4e-321449527318"/>
    <ds:schemaRef ds:uri="ec0e31e1-6bce-4e36-ba83-434aaf6c79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62E0080-0888-49B8-B94B-724680DE22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22</TotalTime>
  <Pages>10</Pages>
  <Words>2711</Words>
  <Characters>14912</Characters>
  <Application>Microsoft Office Word</Application>
  <DocSecurity>0</DocSecurity>
  <Lines>124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INDICE NACIONAL DE PRECIOS AL CONSUMIDOR</vt:lpstr>
    </vt:vector>
  </TitlesOfParts>
  <Company>INEGI</Company>
  <LinksUpToDate>false</LinksUpToDate>
  <CharactersWithSpaces>17588</CharactersWithSpaces>
  <SharedDoc>false</SharedDoc>
  <HLinks>
    <vt:vector size="12" baseType="variant"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https://www.inegi.org.mx/programas/inpc/2018/</vt:lpwstr>
      </vt:variant>
      <vt:variant>
        <vt:lpwstr/>
      </vt:variant>
      <vt:variant>
        <vt:i4>1572955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https://www.inegi.org.mx/programas/inpc/2018/default.html</vt:lpwstr>
      </vt:variant>
      <vt:variant>
        <vt:lpwstr>Herramientas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INDICE NACIONAL DE PRECIOS AL CONSUMIDOR</dc:title>
  <dc:subject/>
  <dc:creator>INEGI</dc:creator>
  <cp:keywords>INDICE DE PRECIOS AL CONSUMIDOR</cp:keywords>
  <cp:lastModifiedBy>MORONES RUIZ FABIOLA CRISTINA</cp:lastModifiedBy>
  <cp:revision>5</cp:revision>
  <cp:lastPrinted>2023-03-07T18:51:00Z</cp:lastPrinted>
  <dcterms:created xsi:type="dcterms:W3CDTF">2023-03-08T18:11:00Z</dcterms:created>
  <dcterms:modified xsi:type="dcterms:W3CDTF">2023-03-08T21:47:00Z</dcterms:modified>
  <cp:category>ÍNDICES DE PRECIOS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b413c3360d560833ef706234299596a77dac51acd0ad4c0e8905d1fbfd4ad516</vt:lpwstr>
  </property>
  <property fmtid="{D5CDD505-2E9C-101B-9397-08002B2CF9AE}" pid="3" name="ContentTypeId">
    <vt:lpwstr>0x01010068D8128FBF1DCB4BB482DBB94943CBF1</vt:lpwstr>
  </property>
</Properties>
</file>