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3A6C" w14:textId="04C7AD7D" w:rsidR="000A1974" w:rsidRDefault="000A1974" w:rsidP="00D94381">
      <w:pPr>
        <w:pStyle w:val="Profesin"/>
        <w:rPr>
          <w:caps w:val="0"/>
          <w:smallCaps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12097" wp14:editId="120BC35F">
                <wp:simplePos x="0" y="0"/>
                <wp:positionH relativeFrom="margin">
                  <wp:posOffset>3067050</wp:posOffset>
                </wp:positionH>
                <wp:positionV relativeFrom="paragraph">
                  <wp:posOffset>164161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8F7F2" w14:textId="6402CE44" w:rsidR="000A1974" w:rsidRPr="00B30160" w:rsidRDefault="000A1974" w:rsidP="000A1974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9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octubre</w:t>
                            </w:r>
                          </w:p>
                          <w:p w14:paraId="319CD934" w14:textId="77777777" w:rsidR="000A1974" w:rsidRDefault="000A1974" w:rsidP="000A19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1209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1.5pt;margin-top:12.9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" filled="f" stroked="f">
                <v:textbox>
                  <w:txbxContent>
                    <w:p w14:paraId="5088F7F2" w14:textId="6402CE44" w:rsidR="000A1974" w:rsidRPr="00B30160" w:rsidRDefault="000A1974" w:rsidP="000A1974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9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octubre</w:t>
                      </w:r>
                    </w:p>
                    <w:p w14:paraId="319CD934" w14:textId="77777777" w:rsidR="000A1974" w:rsidRDefault="000A1974" w:rsidP="000A1974"/>
                  </w:txbxContent>
                </v:textbox>
                <w10:wrap type="square" anchorx="margin"/>
              </v:shape>
            </w:pict>
          </mc:Fallback>
        </mc:AlternateContent>
      </w:r>
    </w:p>
    <w:p w14:paraId="41D08909" w14:textId="77777777" w:rsidR="000A1974" w:rsidRDefault="000A1974" w:rsidP="00D94381">
      <w:pPr>
        <w:pStyle w:val="Profesin"/>
        <w:rPr>
          <w:caps w:val="0"/>
          <w:smallCaps/>
        </w:rPr>
      </w:pPr>
    </w:p>
    <w:p w14:paraId="660AA08E" w14:textId="77777777" w:rsidR="000A1974" w:rsidRDefault="000A1974" w:rsidP="00D94381">
      <w:pPr>
        <w:pStyle w:val="Profesin"/>
        <w:rPr>
          <w:caps w:val="0"/>
          <w:smallCaps/>
        </w:rPr>
      </w:pPr>
    </w:p>
    <w:p w14:paraId="0086A68B" w14:textId="77777777" w:rsidR="000A1974" w:rsidRDefault="000A1974" w:rsidP="00D94381">
      <w:pPr>
        <w:pStyle w:val="Profesin"/>
        <w:rPr>
          <w:rFonts w:ascii="Arial Negrita" w:hAnsi="Arial Negrita"/>
          <w:sz w:val="24"/>
        </w:rPr>
      </w:pPr>
    </w:p>
    <w:p w14:paraId="1E3491AC" w14:textId="77777777" w:rsidR="000A1974" w:rsidRDefault="000A1974" w:rsidP="00D94381">
      <w:pPr>
        <w:pStyle w:val="Profesin"/>
        <w:rPr>
          <w:rFonts w:ascii="Arial Negrita" w:hAnsi="Arial Negrita"/>
          <w:sz w:val="24"/>
        </w:rPr>
      </w:pPr>
    </w:p>
    <w:p w14:paraId="4A31FE25" w14:textId="48AFE016" w:rsidR="00B63B5D" w:rsidRPr="000A1974" w:rsidRDefault="00935393" w:rsidP="00D94381">
      <w:pPr>
        <w:pStyle w:val="Profesin"/>
        <w:rPr>
          <w:rFonts w:ascii="Arial Negrita" w:hAnsi="Arial Negrita"/>
          <w:sz w:val="24"/>
        </w:rPr>
      </w:pPr>
      <w:r w:rsidRPr="000A1974">
        <w:rPr>
          <w:rFonts w:ascii="Arial Negrita" w:hAnsi="Arial Negrita"/>
          <w:sz w:val="24"/>
        </w:rPr>
        <w:t>Í</w:t>
      </w:r>
      <w:r w:rsidR="00B63B5D" w:rsidRPr="000A1974">
        <w:rPr>
          <w:rFonts w:ascii="Arial Negrita" w:hAnsi="Arial Negrita"/>
          <w:sz w:val="24"/>
        </w:rPr>
        <w:t>NDICE NACIONAL DE PRECIOS AL CONSUMIDOR</w:t>
      </w:r>
    </w:p>
    <w:p w14:paraId="7AEFB77E" w14:textId="042BA06E" w:rsidR="00B63B5D" w:rsidRPr="000A1974" w:rsidRDefault="000A1974" w:rsidP="001319AC">
      <w:pPr>
        <w:pStyle w:val="Profesin"/>
        <w:spacing w:before="60"/>
        <w:rPr>
          <w:rFonts w:ascii="Arial Negrita" w:hAnsi="Arial Negrita"/>
          <w:caps w:val="0"/>
          <w:smallCaps/>
          <w:sz w:val="22"/>
        </w:rPr>
      </w:pPr>
      <w:r>
        <w:rPr>
          <w:rFonts w:ascii="Arial Negrita" w:hAnsi="Arial Negrita"/>
          <w:caps w:val="0"/>
          <w:smallCaps/>
          <w:sz w:val="22"/>
        </w:rPr>
        <w:t>A</w:t>
      </w:r>
      <w:r w:rsidR="00AE29C5" w:rsidRPr="000A1974">
        <w:rPr>
          <w:rFonts w:ascii="Arial Negrita" w:hAnsi="Arial Negrita"/>
          <w:caps w:val="0"/>
          <w:smallCaps/>
          <w:sz w:val="22"/>
        </w:rPr>
        <w:t>gost</w:t>
      </w:r>
      <w:r w:rsidR="0070695C" w:rsidRPr="000A1974">
        <w:rPr>
          <w:rFonts w:ascii="Arial Negrita" w:hAnsi="Arial Negrita"/>
          <w:caps w:val="0"/>
          <w:smallCaps/>
          <w:sz w:val="22"/>
        </w:rPr>
        <w:t>o</w:t>
      </w:r>
      <w:r w:rsidR="00C20222" w:rsidRPr="000A1974">
        <w:rPr>
          <w:rFonts w:ascii="Arial Negrita" w:hAnsi="Arial Negrita"/>
          <w:caps w:val="0"/>
          <w:smallCaps/>
          <w:sz w:val="22"/>
        </w:rPr>
        <w:t xml:space="preserve"> de 2023</w:t>
      </w:r>
    </w:p>
    <w:p w14:paraId="595F45BF" w14:textId="1C19E520" w:rsidR="000C372F" w:rsidRPr="000A1974" w:rsidRDefault="007C6471" w:rsidP="000A1974">
      <w:pPr>
        <w:pStyle w:val="Prrafodelista"/>
        <w:spacing w:before="360"/>
        <w:ind w:left="0" w:right="51"/>
        <w:rPr>
          <w:szCs w:val="22"/>
        </w:rPr>
      </w:pPr>
      <w:r w:rsidRPr="000A1974">
        <w:rPr>
          <w:szCs w:val="22"/>
        </w:rPr>
        <w:t>E</w:t>
      </w:r>
      <w:r w:rsidR="00625F10" w:rsidRPr="000A1974">
        <w:rPr>
          <w:szCs w:val="22"/>
        </w:rPr>
        <w:t xml:space="preserve">n </w:t>
      </w:r>
      <w:r w:rsidR="00391A8C" w:rsidRPr="000A1974">
        <w:rPr>
          <w:szCs w:val="22"/>
        </w:rPr>
        <w:t>agost</w:t>
      </w:r>
      <w:r w:rsidR="00625F10" w:rsidRPr="000A1974">
        <w:rPr>
          <w:szCs w:val="22"/>
        </w:rPr>
        <w:t xml:space="preserve">o de 2023, el Índice Nacional de Precios al Consumidor (INPC) </w:t>
      </w:r>
      <w:r w:rsidR="00391A8C" w:rsidRPr="000A1974">
        <w:rPr>
          <w:szCs w:val="22"/>
        </w:rPr>
        <w:t>presentó una variación de 0.55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respecto al mes anterior. Con este resultado, la inflación general anual se </w:t>
      </w:r>
      <w:r w:rsidR="00F93565" w:rsidRPr="000A1974">
        <w:rPr>
          <w:szCs w:val="22"/>
        </w:rPr>
        <w:t>ubic</w:t>
      </w:r>
      <w:r w:rsidR="00625F10" w:rsidRPr="000A1974">
        <w:rPr>
          <w:szCs w:val="22"/>
        </w:rPr>
        <w:t xml:space="preserve">ó en </w:t>
      </w:r>
      <w:r w:rsidR="00F93565" w:rsidRPr="000A1974">
        <w:rPr>
          <w:szCs w:val="22"/>
        </w:rPr>
        <w:t>4.</w:t>
      </w:r>
      <w:r w:rsidR="00391A8C" w:rsidRPr="000A1974">
        <w:rPr>
          <w:szCs w:val="22"/>
        </w:rPr>
        <w:t>64</w:t>
      </w:r>
      <w:r w:rsidR="00625F10" w:rsidRPr="000A1974">
        <w:rPr>
          <w:szCs w:val="22"/>
        </w:rPr>
        <w:t xml:space="preserve"> por ciento. En el mismo mes de 2022, la inflación mensual fue de 0.</w:t>
      </w:r>
      <w:r w:rsidR="00F93565" w:rsidRPr="000A1974">
        <w:rPr>
          <w:szCs w:val="22"/>
        </w:rPr>
        <w:t>7</w:t>
      </w:r>
      <w:r w:rsidR="00391A8C" w:rsidRPr="000A1974">
        <w:rPr>
          <w:szCs w:val="22"/>
        </w:rPr>
        <w:t>0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y la anual, de </w:t>
      </w:r>
      <w:r w:rsidR="00F93565" w:rsidRPr="000A1974">
        <w:rPr>
          <w:szCs w:val="22"/>
        </w:rPr>
        <w:t>8.</w:t>
      </w:r>
      <w:r w:rsidR="00391A8C" w:rsidRPr="000A1974">
        <w:rPr>
          <w:szCs w:val="22"/>
        </w:rPr>
        <w:t>70</w:t>
      </w:r>
      <w:r w:rsidR="00625F10" w:rsidRPr="000A1974">
        <w:rPr>
          <w:szCs w:val="22"/>
        </w:rPr>
        <w:t xml:space="preserve"> por ciento</w:t>
      </w:r>
      <w:r w:rsidR="008D03D4" w:rsidRPr="000A1974">
        <w:rPr>
          <w:szCs w:val="22"/>
        </w:rPr>
        <w:t>.</w:t>
      </w:r>
    </w:p>
    <w:p w14:paraId="37039CA9" w14:textId="04787CF0" w:rsidR="000C372F" w:rsidRPr="000A1974" w:rsidRDefault="007C6471" w:rsidP="000A1974">
      <w:pPr>
        <w:pStyle w:val="Prrafodelista"/>
        <w:spacing w:before="360"/>
        <w:ind w:left="0" w:right="51"/>
        <w:rPr>
          <w:szCs w:val="22"/>
        </w:rPr>
      </w:pPr>
      <w:r w:rsidRPr="000A1974">
        <w:rPr>
          <w:szCs w:val="22"/>
        </w:rPr>
        <w:t>E</w:t>
      </w:r>
      <w:r w:rsidR="00EF46A3" w:rsidRPr="000A1974">
        <w:rPr>
          <w:szCs w:val="22"/>
        </w:rPr>
        <w:t xml:space="preserve">l índice de precios subyacente </w:t>
      </w:r>
      <w:r w:rsidR="00391A8C" w:rsidRPr="000A1974">
        <w:rPr>
          <w:szCs w:val="22"/>
        </w:rPr>
        <w:t>aumen</w:t>
      </w:r>
      <w:r w:rsidR="00F93565" w:rsidRPr="000A1974">
        <w:rPr>
          <w:szCs w:val="22"/>
        </w:rPr>
        <w:t xml:space="preserve">tó </w:t>
      </w:r>
      <w:r w:rsidR="00625F10" w:rsidRPr="000A1974">
        <w:rPr>
          <w:szCs w:val="22"/>
        </w:rPr>
        <w:t>0.</w:t>
      </w:r>
      <w:r w:rsidR="00391A8C" w:rsidRPr="000A1974">
        <w:rPr>
          <w:szCs w:val="22"/>
        </w:rPr>
        <w:t>27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mensual y </w:t>
      </w:r>
      <w:r w:rsidR="00802450" w:rsidRPr="000A1974">
        <w:rPr>
          <w:szCs w:val="22"/>
        </w:rPr>
        <w:t>6.</w:t>
      </w:r>
      <w:r w:rsidR="00391A8C" w:rsidRPr="000A1974">
        <w:rPr>
          <w:szCs w:val="22"/>
        </w:rPr>
        <w:t>08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anual. El índice de precios no subyacente </w:t>
      </w:r>
      <w:r w:rsidR="00391A8C" w:rsidRPr="000A1974">
        <w:rPr>
          <w:szCs w:val="22"/>
        </w:rPr>
        <w:t>creció</w:t>
      </w:r>
      <w:r w:rsidR="00A67507" w:rsidRPr="000A1974">
        <w:rPr>
          <w:szCs w:val="22"/>
        </w:rPr>
        <w:t xml:space="preserve"> </w:t>
      </w:r>
      <w:r w:rsidR="00391A8C" w:rsidRPr="000A1974">
        <w:rPr>
          <w:szCs w:val="22"/>
        </w:rPr>
        <w:t>1.44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a tasa mensual </w:t>
      </w:r>
      <w:r w:rsidR="00802450" w:rsidRPr="000A1974">
        <w:rPr>
          <w:szCs w:val="22"/>
        </w:rPr>
        <w:t>y</w:t>
      </w:r>
      <w:r w:rsidR="00625F10" w:rsidRPr="000A1974">
        <w:rPr>
          <w:szCs w:val="22"/>
        </w:rPr>
        <w:t xml:space="preserve"> </w:t>
      </w:r>
      <w:r w:rsidR="00391A8C" w:rsidRPr="000A1974">
        <w:rPr>
          <w:szCs w:val="22"/>
        </w:rPr>
        <w:t>0.37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a tasa anual</w:t>
      </w:r>
      <w:r w:rsidR="00F12550" w:rsidRPr="000A1974">
        <w:rPr>
          <w:szCs w:val="22"/>
        </w:rPr>
        <w:t>.</w:t>
      </w:r>
    </w:p>
    <w:p w14:paraId="209DC4EE" w14:textId="2F7A6654" w:rsidR="008D03D4" w:rsidRPr="000A1974" w:rsidRDefault="007C6471" w:rsidP="000A1974">
      <w:pPr>
        <w:pStyle w:val="Prrafodelista"/>
        <w:spacing w:before="360"/>
        <w:ind w:left="0" w:right="51"/>
        <w:rPr>
          <w:szCs w:val="22"/>
        </w:rPr>
      </w:pPr>
      <w:r w:rsidRPr="000A1974">
        <w:rPr>
          <w:szCs w:val="22"/>
        </w:rPr>
        <w:t>A</w:t>
      </w:r>
      <w:r w:rsidR="00EF46A3" w:rsidRPr="000A1974">
        <w:rPr>
          <w:szCs w:val="22"/>
        </w:rPr>
        <w:t xml:space="preserve">l interior del índice subyacente, a tasa mensual, los precios de las mercancías </w:t>
      </w:r>
      <w:r w:rsidR="00391A8C" w:rsidRPr="000A1974">
        <w:rPr>
          <w:szCs w:val="22"/>
        </w:rPr>
        <w:t>incrementaron</w:t>
      </w:r>
      <w:r w:rsidR="00EF46A3" w:rsidRPr="000A1974">
        <w:rPr>
          <w:szCs w:val="22"/>
        </w:rPr>
        <w:t xml:space="preserve"> </w:t>
      </w:r>
      <w:r w:rsidR="00625F10" w:rsidRPr="000A1974">
        <w:rPr>
          <w:szCs w:val="22"/>
        </w:rPr>
        <w:t>0.</w:t>
      </w:r>
      <w:r w:rsidR="00391A8C" w:rsidRPr="000A1974">
        <w:rPr>
          <w:szCs w:val="22"/>
        </w:rPr>
        <w:t>24</w:t>
      </w:r>
      <w:r w:rsidR="003E5F39" w:rsidRPr="000A1974">
        <w:rPr>
          <w:szCs w:val="22"/>
        </w:rPr>
        <w:t> %</w:t>
      </w:r>
      <w:r w:rsidR="00625F10" w:rsidRPr="000A1974">
        <w:rPr>
          <w:szCs w:val="22"/>
        </w:rPr>
        <w:t xml:space="preserve"> y los de servicios, 0.</w:t>
      </w:r>
      <w:r w:rsidR="00391A8C" w:rsidRPr="000A1974">
        <w:rPr>
          <w:szCs w:val="22"/>
        </w:rPr>
        <w:t>31</w:t>
      </w:r>
      <w:r w:rsidR="00A67507" w:rsidRPr="000A1974">
        <w:rPr>
          <w:szCs w:val="22"/>
        </w:rPr>
        <w:t> </w:t>
      </w:r>
      <w:r w:rsidR="00625F10" w:rsidRPr="000A1974">
        <w:rPr>
          <w:szCs w:val="22"/>
        </w:rPr>
        <w:t>por</w:t>
      </w:r>
      <w:r w:rsidR="00A67507" w:rsidRPr="000A1974">
        <w:rPr>
          <w:szCs w:val="22"/>
        </w:rPr>
        <w:t> </w:t>
      </w:r>
      <w:r w:rsidR="00625F10" w:rsidRPr="000A1974">
        <w:rPr>
          <w:szCs w:val="22"/>
        </w:rPr>
        <w:t>ciento</w:t>
      </w:r>
      <w:r w:rsidR="008D03D4" w:rsidRPr="000A1974">
        <w:rPr>
          <w:szCs w:val="22"/>
        </w:rPr>
        <w:t>.</w:t>
      </w:r>
    </w:p>
    <w:p w14:paraId="5F98A784" w14:textId="58878E6D" w:rsidR="008D03D4" w:rsidRDefault="007C6471" w:rsidP="000A1974">
      <w:pPr>
        <w:pStyle w:val="Prrafodelista"/>
        <w:spacing w:before="360"/>
        <w:ind w:left="0" w:right="51"/>
        <w:rPr>
          <w:szCs w:val="22"/>
        </w:rPr>
      </w:pPr>
      <w:r w:rsidRPr="000A1974">
        <w:rPr>
          <w:szCs w:val="22"/>
        </w:rPr>
        <w:t>D</w:t>
      </w:r>
      <w:r w:rsidR="00EF46A3" w:rsidRPr="000A1974">
        <w:rPr>
          <w:szCs w:val="22"/>
        </w:rPr>
        <w:t xml:space="preserve">entro del índice no subyacente, a tasa mensual, </w:t>
      </w:r>
      <w:r w:rsidR="00056397" w:rsidRPr="000A1974">
        <w:rPr>
          <w:szCs w:val="22"/>
        </w:rPr>
        <w:t xml:space="preserve">los precios de </w:t>
      </w:r>
      <w:r w:rsidR="00EF46A3" w:rsidRPr="000A1974">
        <w:rPr>
          <w:szCs w:val="22"/>
        </w:rPr>
        <w:t xml:space="preserve">los productos agropecuarios </w:t>
      </w:r>
      <w:r w:rsidR="00F05E84" w:rsidRPr="000A1974">
        <w:rPr>
          <w:szCs w:val="22"/>
        </w:rPr>
        <w:t>subieron</w:t>
      </w:r>
      <w:r w:rsidR="00625F10" w:rsidRPr="000A1974">
        <w:rPr>
          <w:szCs w:val="22"/>
        </w:rPr>
        <w:t xml:space="preserve"> </w:t>
      </w:r>
      <w:r w:rsidR="005D3AAE" w:rsidRPr="000A1974">
        <w:rPr>
          <w:szCs w:val="22"/>
        </w:rPr>
        <w:t>1.</w:t>
      </w:r>
      <w:r w:rsidR="00F05E84" w:rsidRPr="000A1974">
        <w:rPr>
          <w:szCs w:val="22"/>
        </w:rPr>
        <w:t>74</w:t>
      </w:r>
      <w:r w:rsidR="003E5F39" w:rsidRPr="000A1974">
        <w:rPr>
          <w:szCs w:val="22"/>
        </w:rPr>
        <w:t> %</w:t>
      </w:r>
      <w:r w:rsidR="00D92A2C" w:rsidRPr="000A1974">
        <w:rPr>
          <w:szCs w:val="22"/>
        </w:rPr>
        <w:t xml:space="preserve"> y </w:t>
      </w:r>
      <w:r w:rsidR="00625F10" w:rsidRPr="000A1974">
        <w:rPr>
          <w:szCs w:val="22"/>
        </w:rPr>
        <w:t xml:space="preserve">los </w:t>
      </w:r>
      <w:r w:rsidR="00AE0816" w:rsidRPr="000A1974">
        <w:rPr>
          <w:szCs w:val="22"/>
        </w:rPr>
        <w:t xml:space="preserve">de </w:t>
      </w:r>
      <w:r w:rsidR="00625F10" w:rsidRPr="000A1974">
        <w:rPr>
          <w:szCs w:val="22"/>
        </w:rPr>
        <w:t>energéticos y tarifas autorizadas por el gobierno</w:t>
      </w:r>
      <w:r w:rsidR="00D92A2C" w:rsidRPr="000A1974">
        <w:rPr>
          <w:szCs w:val="22"/>
        </w:rPr>
        <w:t>,</w:t>
      </w:r>
      <w:r w:rsidR="005D3AAE" w:rsidRPr="000A1974">
        <w:rPr>
          <w:szCs w:val="22"/>
        </w:rPr>
        <w:t xml:space="preserve"> </w:t>
      </w:r>
      <w:r w:rsidR="00F05E84" w:rsidRPr="000A1974">
        <w:rPr>
          <w:szCs w:val="22"/>
        </w:rPr>
        <w:t>1.17</w:t>
      </w:r>
      <w:r w:rsidR="00AF2AE3" w:rsidRPr="000A1974">
        <w:rPr>
          <w:szCs w:val="22"/>
        </w:rPr>
        <w:t> </w:t>
      </w:r>
      <w:r w:rsidR="00292826" w:rsidRPr="000A1974">
        <w:rPr>
          <w:szCs w:val="22"/>
        </w:rPr>
        <w:t>por</w:t>
      </w:r>
      <w:r w:rsidR="00A67507" w:rsidRPr="000A1974">
        <w:rPr>
          <w:szCs w:val="22"/>
        </w:rPr>
        <w:t> </w:t>
      </w:r>
      <w:r w:rsidR="00292826" w:rsidRPr="000A1974">
        <w:rPr>
          <w:szCs w:val="22"/>
        </w:rPr>
        <w:t>ciento.</w:t>
      </w:r>
      <w:r w:rsidR="008D03D4" w:rsidRPr="000A1974">
        <w:rPr>
          <w:szCs w:val="22"/>
        </w:rPr>
        <w:t xml:space="preserve"> </w:t>
      </w:r>
    </w:p>
    <w:p w14:paraId="631FA76C" w14:textId="77777777" w:rsidR="000A1974" w:rsidRDefault="000A1974" w:rsidP="000A1974">
      <w:pPr>
        <w:pStyle w:val="Prrafodelista"/>
        <w:spacing w:before="360"/>
        <w:ind w:left="0" w:right="51"/>
        <w:rPr>
          <w:szCs w:val="22"/>
        </w:rPr>
      </w:pPr>
    </w:p>
    <w:p w14:paraId="18AFAF4F" w14:textId="26E52798" w:rsidR="000A1974" w:rsidRDefault="000A1974">
      <w:pPr>
        <w:jc w:val="left"/>
        <w:rPr>
          <w:szCs w:val="22"/>
        </w:rPr>
      </w:pPr>
      <w:r>
        <w:rPr>
          <w:szCs w:val="22"/>
        </w:rPr>
        <w:br w:type="page"/>
      </w:r>
    </w:p>
    <w:p w14:paraId="61C54514" w14:textId="77777777" w:rsidR="000A1974" w:rsidRPr="00B81C75" w:rsidRDefault="000A1974" w:rsidP="000A1974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581158">
        <w:rPr>
          <w:b/>
          <w:bCs/>
          <w:iCs/>
          <w:smallCaps/>
          <w:color w:val="000000" w:themeColor="text1"/>
          <w:sz w:val="22"/>
          <w:szCs w:val="22"/>
        </w:rPr>
        <w:lastRenderedPageBreak/>
        <w:t>Índice Nacional de Precios al Consumidor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7F8090C" w14:textId="77777777" w:rsidR="000A1974" w:rsidRPr="00257AF9" w:rsidRDefault="000A1974" w:rsidP="000A1974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agosto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6"/>
        <w:gridCol w:w="478"/>
        <w:gridCol w:w="477"/>
        <w:gridCol w:w="476"/>
        <w:gridCol w:w="134"/>
        <w:gridCol w:w="476"/>
        <w:gridCol w:w="476"/>
        <w:gridCol w:w="476"/>
        <w:gridCol w:w="134"/>
        <w:gridCol w:w="594"/>
        <w:gridCol w:w="594"/>
        <w:gridCol w:w="682"/>
        <w:gridCol w:w="134"/>
        <w:gridCol w:w="594"/>
        <w:gridCol w:w="594"/>
        <w:gridCol w:w="599"/>
      </w:tblGrid>
      <w:tr w:rsidR="000A1974" w:rsidRPr="00A9663B" w14:paraId="741F745C" w14:textId="77777777" w:rsidTr="003D2F42">
        <w:trPr>
          <w:trHeight w:val="283"/>
          <w:jc w:val="center"/>
        </w:trPr>
        <w:tc>
          <w:tcPr>
            <w:tcW w:w="3036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1800A12" w14:textId="77777777" w:rsidR="000A1974" w:rsidRPr="00443E47" w:rsidRDefault="000A1974" w:rsidP="003D2F42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93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180F1FEB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174849DF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9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4B46BF23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0A1974" w:rsidRPr="00A9663B" w14:paraId="14EE108C" w14:textId="77777777" w:rsidTr="003D2F42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75BFD4AC" w14:textId="77777777" w:rsidR="000A1974" w:rsidRPr="00443E47" w:rsidRDefault="000A1974" w:rsidP="003D2F42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5B4EB003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34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74C341B9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01BD3FDC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34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544792E4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58DB28F8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6ABF9166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5239F80E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0A1974" w:rsidRPr="00A9663B" w14:paraId="33C27453" w14:textId="77777777" w:rsidTr="003D2F42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0BFD8E13" w14:textId="77777777" w:rsidR="000A1974" w:rsidRPr="00443E47" w:rsidRDefault="000A1974" w:rsidP="003D2F42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78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9401FC2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C0F1970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A4FADDC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DCDB865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827F50D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6FF0BEF3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1DA5835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0769A55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10B87BF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2638533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EF9D50F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16F90FE" w14:textId="77777777" w:rsidR="000A1974" w:rsidRPr="00443E47" w:rsidRDefault="000A1974" w:rsidP="003D2F4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01A3385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8374796" w14:textId="77777777" w:rsidR="000A1974" w:rsidRPr="00443E47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0BC23045" w14:textId="77777777" w:rsidR="000A1974" w:rsidRPr="00443E47" w:rsidRDefault="000A1974" w:rsidP="003D2F4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A1974" w:rsidRPr="009F6415" w14:paraId="12F858DF" w14:textId="77777777" w:rsidTr="003D2F42">
        <w:trPr>
          <w:trHeight w:val="283"/>
          <w:jc w:val="center"/>
        </w:trPr>
        <w:tc>
          <w:tcPr>
            <w:tcW w:w="3036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5F562E7" w14:textId="77777777" w:rsidR="000A1974" w:rsidRPr="00B21A5C" w:rsidRDefault="000A1974" w:rsidP="003D2F42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78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1E00E15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47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3B89377C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0.70</w:t>
            </w: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1A2273A1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0.55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36BAAA53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250CE4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26C5F64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29473FE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432A9FF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6B0637F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07E5BA09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682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1E95E8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769A652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1E64BD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5.592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80B9567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8.695</w:t>
            </w:r>
          </w:p>
        </w:tc>
        <w:tc>
          <w:tcPr>
            <w:tcW w:w="599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F6F7C18" w14:textId="77777777" w:rsidR="000A1974" w:rsidRPr="00E435AB" w:rsidRDefault="000A1974" w:rsidP="003D2F4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4.639</w:t>
            </w:r>
          </w:p>
        </w:tc>
      </w:tr>
      <w:tr w:rsidR="000A1974" w:rsidRPr="00841586" w14:paraId="6C7615A0" w14:textId="77777777" w:rsidTr="003D2F42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C7626AC" w14:textId="77777777" w:rsidR="000A1974" w:rsidRPr="00B21A5C" w:rsidRDefault="000A1974" w:rsidP="003D2F42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BB66F2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0D2D66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0.80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377FFD8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D9EAD73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4B710685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A13EBF7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9503FCA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6AC1927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34DAEE1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63AD30B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9BF16A7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2D4CD5A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8D6B084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3.617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F3E81FD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6.050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3C0D7CB6" w14:textId="77777777" w:rsidR="000A1974" w:rsidRPr="00E435AB" w:rsidRDefault="000A1974" w:rsidP="003D2F4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4.544</w:t>
            </w:r>
          </w:p>
        </w:tc>
      </w:tr>
      <w:tr w:rsidR="000A1974" w:rsidRPr="00841586" w14:paraId="7DD18DEE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9288E38" w14:textId="77777777" w:rsidR="000A1974" w:rsidRPr="00B21A5C" w:rsidRDefault="000A1974" w:rsidP="003D2F42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E4ADD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0.70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6ED22F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1.14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26310E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D8C707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C2891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11789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A4B246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C1239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F7F485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106644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41E69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38E14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528909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2.389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0405C4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4.227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0210535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2.795</w:t>
            </w:r>
          </w:p>
        </w:tc>
      </w:tr>
      <w:tr w:rsidR="000A1974" w:rsidRPr="00841586" w14:paraId="05E0DB6D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3ECED5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</w:t>
            </w:r>
            <w:r>
              <w:rPr>
                <w:color w:val="000000"/>
                <w:sz w:val="16"/>
                <w:szCs w:val="16"/>
                <w:lang w:eastAsia="es-MX"/>
              </w:rPr>
              <w:t>b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ebidas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391A67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0.67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5ABB1B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1.43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6CCAF5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0.18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56E6BF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3210F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6.51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C1D35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12.94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D54A8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8.44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99176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2395A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30C2D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0.311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7B0960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C77E98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F45A95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1.362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7F5B2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2.729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6D7F50D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1.849</w:t>
            </w:r>
          </w:p>
        </w:tc>
      </w:tr>
      <w:tr w:rsidR="000A1974" w:rsidRPr="00841586" w14:paraId="1DBA695D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4EA710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Mercancías no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limenticias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A6BC8B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0.73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FFB4E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0.80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3CCB48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F365D0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39AF7E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24712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155C5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E83CBB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2B3D7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E0EB9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BB145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909199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28701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618E0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1.498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091A02A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0.946</w:t>
            </w:r>
          </w:p>
        </w:tc>
      </w:tr>
      <w:tr w:rsidR="000A1974" w:rsidRPr="00841586" w14:paraId="5F194247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68E33D" w14:textId="77777777" w:rsidR="000A1974" w:rsidRPr="00B21A5C" w:rsidRDefault="000A1974" w:rsidP="003D2F42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E2557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AF5291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A3745E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5819F3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8C6A55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7C23E6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1E0743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5.15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765C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68708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B2318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22E84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34C1C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FAEA0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F0D64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1.823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6582891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1.749</w:t>
            </w:r>
          </w:p>
        </w:tc>
      </w:tr>
      <w:tr w:rsidR="000A1974" w:rsidRPr="00841586" w14:paraId="71068742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7108471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FB5DD6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EFBD05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D75B47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0.22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798042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E33ED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1EF1B5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CF9CDB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57081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DEDDF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7F6CEC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67BE5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FF3C0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AF63A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0.328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58F394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2959F20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0.499</w:t>
            </w:r>
          </w:p>
        </w:tc>
      </w:tr>
      <w:tr w:rsidR="000A1974" w:rsidRPr="00841586" w14:paraId="0048DA5B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7FD9E7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D72E3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0.72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313B4E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1.12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61047C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1.67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99F78A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E4C88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1.92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EDDAC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3.68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3EEE82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5.49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4DBEB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4997CE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F5A1D6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F2811E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F43980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2BCE2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E8FD1C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E6FC0EB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0.185</w:t>
            </w:r>
          </w:p>
        </w:tc>
      </w:tr>
      <w:tr w:rsidR="000A1974" w:rsidRPr="00841586" w14:paraId="03F4CF7C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5ED8684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</w:t>
            </w:r>
            <w:r>
              <w:rPr>
                <w:color w:val="000000"/>
                <w:sz w:val="16"/>
                <w:szCs w:val="16"/>
                <w:lang w:eastAsia="es-MX"/>
              </w:rPr>
              <w:t>s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4E24F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-0.08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4EBC8C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0.34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481D5F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0.12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FB65B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E79DB4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4.87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DEC6D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47E932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6DFF45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8AE92A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3C64F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FAF55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A38DC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8316C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E0EE56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1.236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C848BD1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1.065</w:t>
            </w:r>
          </w:p>
        </w:tc>
      </w:tr>
      <w:tr w:rsidR="000A1974" w:rsidRPr="00841586" w14:paraId="72329E53" w14:textId="77777777" w:rsidTr="003D2F42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1C87394" w14:textId="77777777" w:rsidR="000A1974" w:rsidRPr="00B21A5C" w:rsidRDefault="000A1974" w:rsidP="003D2F42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06E30F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-0.52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D419EAD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9711FBA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1.44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3DAE3FC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F6903FB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ACA67F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2030F8C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A785D21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6998AB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B6B4C2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E55141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0.347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0F0785E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44688F7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1.975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710124E6" w14:textId="77777777" w:rsidR="000A1974" w:rsidRPr="00E435AB" w:rsidRDefault="000A1974" w:rsidP="003D2F4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2.645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53F17C19" w14:textId="77777777" w:rsidR="000A1974" w:rsidRPr="00E435AB" w:rsidRDefault="000A1974" w:rsidP="003D2F4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0.094</w:t>
            </w:r>
          </w:p>
        </w:tc>
      </w:tr>
      <w:tr w:rsidR="000A1974" w:rsidRPr="00841586" w14:paraId="2CA3CFFB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F0CECA" w14:textId="77777777" w:rsidR="000A1974" w:rsidRPr="00B21A5C" w:rsidRDefault="000A1974" w:rsidP="003D2F42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339DFF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1.98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E51021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0.98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4CAB2A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1.74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F35943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83644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8.95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CAC073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9E6F3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3.94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F1DC32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D4D3A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C7E29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4C948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EB829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EFDE2D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F492A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1.643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DABA348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0.459</w:t>
            </w:r>
          </w:p>
        </w:tc>
      </w:tr>
      <w:tr w:rsidR="000A1974" w:rsidRPr="00841586" w14:paraId="326E35AA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6EAD52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Frutas y </w:t>
            </w:r>
            <w:r>
              <w:rPr>
                <w:color w:val="000000"/>
                <w:sz w:val="16"/>
                <w:szCs w:val="16"/>
                <w:lang w:eastAsia="es-MX"/>
              </w:rPr>
              <w:t>v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erduras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7FBF42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3.91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7D2ACC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3.03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83B06A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4.00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B7A8BD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753448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78697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6741C8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F78514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D1B9A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CCE8E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50EE11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DD478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0D032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0.294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83E6FC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E529D6D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0.429</w:t>
            </w:r>
          </w:p>
        </w:tc>
      </w:tr>
      <w:tr w:rsidR="000A1974" w:rsidRPr="00841586" w14:paraId="4D4B6C44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490D9725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96C3ED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0.46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8B43E4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-0.65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5C6517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-0.18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430C92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A1C58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F24404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CC3F63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CA25FA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A1FBAE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E528DB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013256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-0.011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8ED9A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840B17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4E4D4E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9C7B3DA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0.030</w:t>
            </w:r>
          </w:p>
        </w:tc>
      </w:tr>
      <w:tr w:rsidR="000A1974" w:rsidRPr="00841586" w14:paraId="5DE60B91" w14:textId="77777777" w:rsidTr="003D2F42">
        <w:trPr>
          <w:trHeight w:val="454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853DC6" w14:textId="77777777" w:rsidR="000A1974" w:rsidRPr="00B21A5C" w:rsidRDefault="000A1974" w:rsidP="003D2F42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Energéticos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9FC34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-2.43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F1429CE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-0.11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3948C9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1.17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4E2650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49C3A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E309D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4FCB3A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-2.68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85CD6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1252B2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-0.345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F4548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-0.015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D5A7F4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3D28DC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F95FF3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1.018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86C6E0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1.002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2C580AC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-0.365</w:t>
            </w:r>
          </w:p>
        </w:tc>
      </w:tr>
      <w:tr w:rsidR="000A1974" w:rsidRPr="00841586" w14:paraId="3B4D0DC7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D56A5A5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01DA15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-3.50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BC2ED0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-0.31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00D0E4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1.67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FE870E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40755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AE1297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8.14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AFFDAC6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-5.99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78A80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D32D67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-0.351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7816A8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ADFEFDF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01EE0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115E00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F406A0D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53131B7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-0.576</w:t>
            </w:r>
          </w:p>
        </w:tc>
      </w:tr>
      <w:tr w:rsidR="000A1974" w:rsidRPr="00841586" w14:paraId="64D6486A" w14:textId="77777777" w:rsidTr="003D2F42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6164C09" w14:textId="77777777" w:rsidR="000A1974" w:rsidRPr="00B21A5C" w:rsidRDefault="000A1974" w:rsidP="003D2F42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Tarifas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06FA65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0.16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064D7D33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65C8D17C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0.13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64197895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033D39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F49B53B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9BA5CB1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5.24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D82DE59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098D354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1EFEC9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82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C53799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96BE2C2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AE6E4C0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E25D08" w14:textId="77777777" w:rsidR="000A1974" w:rsidRPr="00E435AB" w:rsidRDefault="000A1974" w:rsidP="003D2F4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5180074" w14:textId="77777777" w:rsidR="000A1974" w:rsidRPr="00E435AB" w:rsidRDefault="000A1974" w:rsidP="003D2F4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0.211</w:t>
            </w:r>
          </w:p>
        </w:tc>
      </w:tr>
    </w:tbl>
    <w:p w14:paraId="0BA50864" w14:textId="77777777" w:rsidR="000A1974" w:rsidRPr="00E671DE" w:rsidRDefault="000A1974" w:rsidP="000A1974">
      <w:pPr>
        <w:autoSpaceDE w:val="0"/>
        <w:autoSpaceDN w:val="0"/>
        <w:adjustRightInd w:val="0"/>
        <w:ind w:left="709" w:right="193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553F9DCC" w14:textId="77777777" w:rsidR="000A1974" w:rsidRPr="00E671DE" w:rsidRDefault="000A1974" w:rsidP="000A1974">
      <w:pPr>
        <w:autoSpaceDE w:val="0"/>
        <w:autoSpaceDN w:val="0"/>
        <w:adjustRightInd w:val="0"/>
        <w:ind w:left="709" w:right="51" w:hanging="709"/>
        <w:rPr>
          <w:sz w:val="16"/>
          <w:szCs w:val="16"/>
        </w:rPr>
      </w:pPr>
      <w:r>
        <w:rPr>
          <w:sz w:val="18"/>
          <w:szCs w:val="16"/>
          <w:vertAlign w:val="superscript"/>
        </w:rPr>
        <w:t xml:space="preserve">  </w:t>
      </w: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0495812A" w14:textId="77777777" w:rsidR="000A1974" w:rsidRPr="00E671DE" w:rsidRDefault="000A1974" w:rsidP="000A1974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7688EADE" w14:textId="77777777" w:rsidR="000A1974" w:rsidRDefault="000A1974" w:rsidP="000A1974">
      <w:pPr>
        <w:autoSpaceDE w:val="0"/>
        <w:autoSpaceDN w:val="0"/>
        <w:adjustRightInd w:val="0"/>
        <w:ind w:left="709" w:right="193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7DA732D7" w14:textId="77777777" w:rsidR="000A1974" w:rsidRPr="000D38ED" w:rsidRDefault="000A1974" w:rsidP="000A1974">
      <w:pPr>
        <w:autoSpaceDE w:val="0"/>
        <w:autoSpaceDN w:val="0"/>
        <w:adjustRightInd w:val="0"/>
        <w:ind w:left="210" w:right="51" w:hanging="14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7C689C5C" w14:textId="77777777" w:rsidR="000A1974" w:rsidRPr="00472632" w:rsidRDefault="000A1974" w:rsidP="000A1974">
      <w:pPr>
        <w:pStyle w:val="Texto"/>
        <w:autoSpaceDE w:val="0"/>
        <w:autoSpaceDN w:val="0"/>
        <w:adjustRightInd w:val="0"/>
        <w:spacing w:before="12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13B7594C" w14:textId="306C877C" w:rsidR="000A1974" w:rsidRDefault="000A1974" w:rsidP="000A1974">
      <w:pPr>
        <w:pStyle w:val="Prrafodelista"/>
        <w:ind w:left="0" w:right="51"/>
        <w:jc w:val="center"/>
        <w:rPr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4E966BF3" wp14:editId="7BB82330">
            <wp:extent cx="3621600" cy="1688400"/>
            <wp:effectExtent l="0" t="0" r="0" b="7620"/>
            <wp:docPr id="1322158191" name="Imagen 132215819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71746" w14:textId="77777777" w:rsidR="000A1974" w:rsidRPr="000A1974" w:rsidRDefault="000A1974" w:rsidP="000A1974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0A1974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0A1974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0A1974">
        <w:rPr>
          <w:rFonts w:ascii="Arial" w:hAnsi="Arial" w:cs="Arial"/>
          <w:lang w:val="es-ES_tradnl"/>
        </w:rPr>
        <w:t xml:space="preserve">    </w:t>
      </w:r>
    </w:p>
    <w:p w14:paraId="67A4A575" w14:textId="77777777" w:rsidR="000A1974" w:rsidRPr="000A1974" w:rsidRDefault="000A1974" w:rsidP="000A19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0A1974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0A1974">
        <w:rPr>
          <w:rFonts w:ascii="Arial" w:hAnsi="Arial" w:cs="Arial"/>
          <w:lang w:val="es-ES_tradnl"/>
        </w:rPr>
        <w:t>exts</w:t>
      </w:r>
      <w:proofErr w:type="spellEnd"/>
      <w:r w:rsidRPr="000A1974">
        <w:rPr>
          <w:rFonts w:ascii="Arial" w:hAnsi="Arial" w:cs="Arial"/>
          <w:lang w:val="es-ES_tradnl"/>
        </w:rPr>
        <w:t>. 321064, 321134 y 321241</w:t>
      </w:r>
    </w:p>
    <w:p w14:paraId="02A6330C" w14:textId="77777777" w:rsidR="000A1974" w:rsidRPr="000A1974" w:rsidRDefault="000A1974" w:rsidP="000A19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0A1974">
        <w:rPr>
          <w:rFonts w:ascii="Arial" w:hAnsi="Arial" w:cs="Arial"/>
        </w:rPr>
        <w:t>Dirección de Atención a Medios/ Dirección General Adjunta de Comunicación</w:t>
      </w:r>
    </w:p>
    <w:p w14:paraId="29A472D3" w14:textId="3AE66589" w:rsidR="00185D70" w:rsidRDefault="000A1974" w:rsidP="000A1974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0A1974">
        <w:rPr>
          <w:noProof/>
          <w:lang w:eastAsia="es-MX"/>
        </w:rPr>
        <w:drawing>
          <wp:inline distT="0" distB="0" distL="0" distR="0" wp14:anchorId="0A39572C" wp14:editId="54D1DB38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974">
        <w:rPr>
          <w:noProof/>
          <w:lang w:eastAsia="es-MX"/>
        </w:rPr>
        <w:t xml:space="preserve"> </w:t>
      </w:r>
      <w:r w:rsidRPr="000A1974">
        <w:rPr>
          <w:noProof/>
          <w:lang w:eastAsia="es-MX"/>
        </w:rPr>
        <w:drawing>
          <wp:inline distT="0" distB="0" distL="0" distR="0" wp14:anchorId="11D3E1F1" wp14:editId="088F91ED">
            <wp:extent cx="365760" cy="365760"/>
            <wp:effectExtent l="0" t="0" r="2540" b="2540"/>
            <wp:docPr id="1072836791" name="Imagen 1072836791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36791" name="Imagen 1072836791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974">
        <w:rPr>
          <w:noProof/>
          <w:lang w:eastAsia="es-MX"/>
        </w:rPr>
        <w:t xml:space="preserve"> </w:t>
      </w:r>
      <w:r w:rsidRPr="000A1974">
        <w:rPr>
          <w:noProof/>
          <w:lang w:eastAsia="es-MX"/>
        </w:rPr>
        <w:drawing>
          <wp:inline distT="0" distB="0" distL="0" distR="0" wp14:anchorId="06DDED7E" wp14:editId="0AECBDB0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974">
        <w:rPr>
          <w:noProof/>
          <w:lang w:eastAsia="es-MX"/>
        </w:rPr>
        <w:t xml:space="preserve"> </w:t>
      </w:r>
      <w:r w:rsidRPr="000A1974">
        <w:rPr>
          <w:noProof/>
          <w:lang w:eastAsia="es-MX"/>
        </w:rPr>
        <w:drawing>
          <wp:inline distT="0" distB="0" distL="0" distR="0" wp14:anchorId="3735C448" wp14:editId="24B7D29A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974">
        <w:rPr>
          <w:noProof/>
          <w:lang w:eastAsia="es-MX"/>
        </w:rPr>
        <w:t xml:space="preserve">  </w:t>
      </w:r>
      <w:r w:rsidRPr="000A1974">
        <w:rPr>
          <w:noProof/>
          <w:lang w:eastAsia="es-MX"/>
        </w:rPr>
        <w:drawing>
          <wp:inline distT="0" distB="0" distL="0" distR="0" wp14:anchorId="3B172C9F" wp14:editId="03179EF7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br w:type="page"/>
      </w:r>
    </w:p>
    <w:p w14:paraId="3D6AD0CF" w14:textId="77777777" w:rsidR="000A1974" w:rsidRDefault="000A1974" w:rsidP="000A1974">
      <w:pPr>
        <w:spacing w:before="120"/>
        <w:ind w:left="-425" w:right="-516"/>
        <w:contextualSpacing/>
        <w:jc w:val="center"/>
        <w:rPr>
          <w:b/>
          <w:bCs/>
          <w:noProof/>
          <w:lang w:eastAsia="es-MX"/>
        </w:rPr>
      </w:pPr>
    </w:p>
    <w:p w14:paraId="087F3E0F" w14:textId="461F64CC" w:rsidR="000A1974" w:rsidRPr="005E0B4F" w:rsidRDefault="000A1974" w:rsidP="000A1974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5E0B4F">
        <w:rPr>
          <w:b/>
          <w:bCs/>
          <w:noProof/>
          <w:lang w:eastAsia="es-MX"/>
        </w:rPr>
        <w:t>NOTA TÉCNICA</w:t>
      </w:r>
    </w:p>
    <w:p w14:paraId="1B57B0E9" w14:textId="77777777" w:rsidR="000A1974" w:rsidRDefault="000A1974" w:rsidP="000A1974">
      <w:pPr>
        <w:spacing w:before="120"/>
        <w:ind w:left="-425" w:right="-516"/>
        <w:contextualSpacing/>
        <w:jc w:val="center"/>
        <w:rPr>
          <w:b/>
          <w:i/>
          <w:color w:val="000000" w:themeColor="text1"/>
        </w:rPr>
      </w:pPr>
    </w:p>
    <w:p w14:paraId="24D5CFC3" w14:textId="77777777" w:rsidR="00E0429B" w:rsidRPr="00EC4BE9" w:rsidRDefault="00E0429B" w:rsidP="000C372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7D3ECB4E" w:rsidR="00F12550" w:rsidRDefault="0015305D" w:rsidP="00A004E7">
      <w:pPr>
        <w:autoSpaceDE w:val="0"/>
        <w:autoSpaceDN w:val="0"/>
        <w:adjustRightInd w:val="0"/>
        <w:spacing w:before="240"/>
      </w:pPr>
      <w:r>
        <w:t>E</w:t>
      </w:r>
      <w:r w:rsidR="00EF46A3">
        <w:t xml:space="preserve">n </w:t>
      </w:r>
      <w:r w:rsidR="00F75805">
        <w:t>agost</w:t>
      </w:r>
      <w:r w:rsidR="00625F10">
        <w:t>o</w:t>
      </w:r>
      <w:r w:rsidR="00EF46A3">
        <w:t xml:space="preserve"> de </w:t>
      </w:r>
      <w:r w:rsidR="00EF46A3" w:rsidRPr="00A71198">
        <w:t>20</w:t>
      </w:r>
      <w:r w:rsidR="00EF46A3">
        <w:t>23</w:t>
      </w:r>
      <w:r w:rsidR="00EF46A3" w:rsidRPr="00A71198">
        <w:t>, el Índice Nacional de Precios al Consumidor</w:t>
      </w:r>
      <w:r w:rsidR="00EF46A3">
        <w:t xml:space="preserve"> (INPC)</w:t>
      </w:r>
      <w:r w:rsidR="00EF46A3" w:rsidRPr="00A71198">
        <w:t xml:space="preserve"> </w:t>
      </w:r>
      <w:r w:rsidR="00F75805">
        <w:t>registr</w:t>
      </w:r>
      <w:r w:rsidR="00BD240F">
        <w:t>ó</w:t>
      </w:r>
      <w:r w:rsidR="00EF46A3">
        <w:t xml:space="preserve"> u</w:t>
      </w:r>
      <w:r w:rsidR="00BD240F">
        <w:t xml:space="preserve">n </w:t>
      </w:r>
      <w:r w:rsidR="00F75805">
        <w:t>incremento</w:t>
      </w:r>
      <w:r w:rsidR="00EF46A3">
        <w:t xml:space="preserve"> mensual de 0.</w:t>
      </w:r>
      <w:r w:rsidR="00F75805">
        <w:t>55</w:t>
      </w:r>
      <w:r w:rsidR="00EF46A3">
        <w:t xml:space="preserve"> por ciento. En el mismo mes de 2022,</w:t>
      </w:r>
      <w:r w:rsidR="00BD240F">
        <w:t xml:space="preserve"> </w:t>
      </w:r>
      <w:r w:rsidR="00F75805">
        <w:t>aument</w:t>
      </w:r>
      <w:r w:rsidR="00BD240F">
        <w:t>ó</w:t>
      </w:r>
      <w:r w:rsidR="00EF46A3">
        <w:t xml:space="preserve"> 0</w:t>
      </w:r>
      <w:r w:rsidR="00625F10">
        <w:t>.</w:t>
      </w:r>
      <w:r w:rsidR="00520A3C">
        <w:t>7</w:t>
      </w:r>
      <w:r w:rsidR="00F75805">
        <w:t>0</w:t>
      </w:r>
      <w:r w:rsidR="00631D06">
        <w:t> </w:t>
      </w:r>
      <w:r w:rsidR="00EF46A3">
        <w:t>por</w:t>
      </w:r>
      <w:r w:rsidR="00631D06">
        <w:t> </w:t>
      </w:r>
      <w:r w:rsidR="00EF46A3">
        <w:t>ciento</w:t>
      </w:r>
      <w:r w:rsidR="00B3564B">
        <w:t>.</w:t>
      </w:r>
    </w:p>
    <w:p w14:paraId="716D5CBF" w14:textId="77777777" w:rsidR="000A1974" w:rsidRDefault="000A1974" w:rsidP="00A004E7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6B38FF23" w14:textId="02FE50C6" w:rsidR="000C372F" w:rsidRPr="0091201A" w:rsidRDefault="000C372F" w:rsidP="00A004E7">
      <w:pPr>
        <w:pStyle w:val="n01"/>
        <w:keepLines w:val="0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777777" w:rsidR="000C372F" w:rsidRPr="002660A9" w:rsidRDefault="000C372F" w:rsidP="00A004E7">
      <w:pPr>
        <w:pStyle w:val="n01"/>
        <w:keepLines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3EB188C9" w:rsidR="000C372F" w:rsidRPr="000C372F" w:rsidRDefault="003B64F6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 xml:space="preserve">Variación porcentual mensual en </w:t>
      </w:r>
      <w:r w:rsidR="00BB4178">
        <w:rPr>
          <w:sz w:val="18"/>
          <w:szCs w:val="18"/>
        </w:rPr>
        <w:t>agost</w:t>
      </w:r>
      <w:r w:rsidR="0070695C">
        <w:rPr>
          <w:sz w:val="18"/>
          <w:szCs w:val="18"/>
        </w:rPr>
        <w:t>o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457F94C9" w14:textId="5E90CB81" w:rsidR="000C372F" w:rsidRDefault="00B61194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3DBEAB4" wp14:editId="16E47958">
            <wp:extent cx="5040000" cy="2880000"/>
            <wp:effectExtent l="0" t="0" r="27305" b="34925"/>
            <wp:docPr id="2369897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7BB3B8" w14:textId="77777777" w:rsidR="000D38ED" w:rsidRPr="000D38ED" w:rsidRDefault="000D38ED" w:rsidP="00250BD1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A231647" w14:textId="77777777" w:rsidR="000A1974" w:rsidRDefault="000A1974">
      <w:pPr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6AA6560" w14:textId="105AE580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lastRenderedPageBreak/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0C372F">
        <w:rPr>
          <w:color w:val="000000" w:themeColor="text1"/>
        </w:rPr>
        <w:t>.</w:t>
      </w:r>
    </w:p>
    <w:p w14:paraId="51FFCAF2" w14:textId="3B13F29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5D199328" w14:textId="77777777" w:rsidR="000C372F" w:rsidRPr="00B81C75" w:rsidRDefault="005012EA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bookmarkStart w:id="0" w:name="_Hlk113439436"/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bookmarkEnd w:id="0"/>
      <w:r w:rsidR="000C372F">
        <w:rPr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137DEE8C" w:rsidR="000C372F" w:rsidRPr="00257AF9" w:rsidRDefault="003B64F6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>
        <w:rPr>
          <w:sz w:val="18"/>
          <w:szCs w:val="18"/>
        </w:rPr>
        <w:t xml:space="preserve">Cifras durante </w:t>
      </w:r>
      <w:r w:rsidR="00BB4178">
        <w:rPr>
          <w:sz w:val="18"/>
          <w:szCs w:val="18"/>
        </w:rPr>
        <w:t>agost</w:t>
      </w:r>
      <w:r w:rsidR="0070695C">
        <w:rPr>
          <w:sz w:val="18"/>
          <w:szCs w:val="18"/>
        </w:rPr>
        <w:t>o</w:t>
      </w:r>
      <w:r w:rsidR="000C372F" w:rsidRPr="00257AF9">
        <w:rPr>
          <w:sz w:val="18"/>
          <w:szCs w:val="18"/>
        </w:rPr>
        <w:t xml:space="preserve"> de los años que se indica</w:t>
      </w:r>
      <w:r w:rsidR="000C372F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6"/>
        <w:gridCol w:w="478"/>
        <w:gridCol w:w="477"/>
        <w:gridCol w:w="476"/>
        <w:gridCol w:w="134"/>
        <w:gridCol w:w="476"/>
        <w:gridCol w:w="476"/>
        <w:gridCol w:w="476"/>
        <w:gridCol w:w="134"/>
        <w:gridCol w:w="594"/>
        <w:gridCol w:w="594"/>
        <w:gridCol w:w="682"/>
        <w:gridCol w:w="134"/>
        <w:gridCol w:w="594"/>
        <w:gridCol w:w="594"/>
        <w:gridCol w:w="599"/>
      </w:tblGrid>
      <w:tr w:rsidR="00C243C3" w:rsidRPr="00A9663B" w14:paraId="42B444CF" w14:textId="77777777" w:rsidTr="00683108">
        <w:trPr>
          <w:trHeight w:val="283"/>
          <w:jc w:val="center"/>
        </w:trPr>
        <w:tc>
          <w:tcPr>
            <w:tcW w:w="3036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D5B6B2B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1" w:name="_Hlk2757709"/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93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72B381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013EB0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9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72B49A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C243C3" w:rsidRPr="00A9663B" w14:paraId="427B5015" w14:textId="77777777" w:rsidTr="00683108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18C09032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E687D38" w14:textId="5417A42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34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7998A9E1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0BA0316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34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2B1567FE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F433EA2" w14:textId="735CEC9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01C6B202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3EA7B29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463E77" w:rsidRPr="00A9663B" w14:paraId="48C441C3" w14:textId="77777777" w:rsidTr="00683108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0FBBFE76" w14:textId="77777777" w:rsidR="00C243C3" w:rsidRPr="00443E47" w:rsidRDefault="00C243C3" w:rsidP="000E698C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78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A1DBDA0" w14:textId="77777777" w:rsidR="00C243C3" w:rsidRPr="00443E47" w:rsidRDefault="00C243C3" w:rsidP="00C74B8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20064EA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42C2AEB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D773EE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2B51356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7B3A7E8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23D24B5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EB5FAC9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662D25A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2C9EAA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2CF9CAD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1BA662C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6EE9135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9457552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08B2A72E" w14:textId="77777777" w:rsidR="00C243C3" w:rsidRPr="00443E47" w:rsidRDefault="00C243C3" w:rsidP="005B4D7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E435AB" w:rsidRPr="009F6415" w14:paraId="7F762C05" w14:textId="77777777" w:rsidTr="0056135F">
        <w:trPr>
          <w:trHeight w:val="283"/>
          <w:jc w:val="center"/>
        </w:trPr>
        <w:tc>
          <w:tcPr>
            <w:tcW w:w="3036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1BBC91" w14:textId="77777777" w:rsidR="00E435AB" w:rsidRPr="00B21A5C" w:rsidRDefault="00E435AB" w:rsidP="00E435AB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78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F1DE1A4" w14:textId="49DA728B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47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786617AF" w14:textId="4487478E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0.70</w:t>
            </w: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7FA77CDF" w14:textId="2EB75B83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0.55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76E7138" w14:textId="77777777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2FA5513" w14:textId="36B0CDE5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89E8AAE" w14:textId="6774904D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53AE159" w14:textId="4B35BCBC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EE3C649" w14:textId="77777777" w:rsidR="00E435AB" w:rsidRPr="00E435AB" w:rsidRDefault="00E435AB" w:rsidP="0056135F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3AA5C7" w14:textId="0B756A6D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0BF6932C" w14:textId="0A2A5525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682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78A43A" w14:textId="4D194B02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841031C" w14:textId="77777777" w:rsidR="00E435AB" w:rsidRPr="00E435AB" w:rsidRDefault="00E435AB" w:rsidP="0056135F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21324C" w14:textId="0D85F4D1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5.592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1936162" w14:textId="11932CD1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8.695</w:t>
            </w:r>
          </w:p>
        </w:tc>
        <w:tc>
          <w:tcPr>
            <w:tcW w:w="599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E0BA2EC" w14:textId="4E2EB811" w:rsidR="00E435AB" w:rsidRPr="00E435AB" w:rsidRDefault="00E435AB" w:rsidP="00E435AB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4.639</w:t>
            </w:r>
          </w:p>
        </w:tc>
      </w:tr>
      <w:tr w:rsidR="00E435AB" w:rsidRPr="00841586" w14:paraId="6EB8302F" w14:textId="77777777" w:rsidTr="0056135F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383B86B" w14:textId="77777777" w:rsidR="00E435AB" w:rsidRPr="00B21A5C" w:rsidRDefault="00E435AB" w:rsidP="00E435AB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F46E3C6" w14:textId="63A5D639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D9CE2FD" w14:textId="78AC7B98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0.80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06BD0FBB" w14:textId="1E050B79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112A50" w14:textId="77777777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3910D71" w14:textId="09B88FDA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EBD5B61" w14:textId="4C55D68B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1675BFA" w14:textId="6DAF9ADF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5404116" w14:textId="77777777" w:rsidR="00E435AB" w:rsidRPr="00E435AB" w:rsidRDefault="00E435AB" w:rsidP="0056135F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D0DDCD5" w14:textId="042469AC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7DDB5B6" w14:textId="258548D4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F90FB41" w14:textId="2A549762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803DB49" w14:textId="77777777" w:rsidR="00E435AB" w:rsidRPr="00E435AB" w:rsidRDefault="00E435AB" w:rsidP="0056135F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7003DF0" w14:textId="617FCA0F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3.617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F54DF6E" w14:textId="4CDAC85A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6.050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160C3E21" w14:textId="70A3ADEC" w:rsidR="00E435AB" w:rsidRPr="00E435AB" w:rsidRDefault="00E435AB" w:rsidP="00E435AB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4.544</w:t>
            </w:r>
          </w:p>
        </w:tc>
      </w:tr>
      <w:tr w:rsidR="00E435AB" w:rsidRPr="00841586" w14:paraId="0E8043EC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1D5DC2" w14:textId="77777777" w:rsidR="00E435AB" w:rsidRPr="00B21A5C" w:rsidRDefault="00E435AB" w:rsidP="00E435AB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0A2977F" w14:textId="03E9340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0.70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89AA992" w14:textId="089EC53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1.14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6815FE" w14:textId="080C0C7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4205D7B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AF17F7" w14:textId="390E5E2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37569D" w14:textId="26CAE39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2B6D9" w14:textId="638C3B4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2D9FA9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307EA" w14:textId="157D05F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63569A" w14:textId="408A9492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7FE2D6E" w14:textId="040D6B5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21CCD8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BC6C49" w14:textId="3D98D23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2.389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B930311" w14:textId="572E338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4.227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1E94EC9" w14:textId="67C21D78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2.795</w:t>
            </w:r>
          </w:p>
        </w:tc>
      </w:tr>
      <w:tr w:rsidR="00E435AB" w:rsidRPr="00841586" w14:paraId="50B03138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BA7279" w14:textId="51CEDDFF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b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ebidas y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0C67F93" w14:textId="785259D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0.67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A18E84B" w14:textId="6603306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1.43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894606F" w14:textId="7D03F14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0.18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445E56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E3E52D" w14:textId="29610EE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6.51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DBEAAD" w14:textId="0A8E189E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12.94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8C6EE73" w14:textId="788EE84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8.44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B69882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0567E7" w14:textId="4A15258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6FD700" w14:textId="3F47359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0.311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97C975" w14:textId="0E90F85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71858A8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0E05FD" w14:textId="74BECB4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1.362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089666" w14:textId="02C1265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2.729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7E9893" w14:textId="52714B7D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1.849</w:t>
            </w:r>
          </w:p>
        </w:tc>
      </w:tr>
      <w:tr w:rsidR="00E435AB" w:rsidRPr="00841586" w14:paraId="7FDA8349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5D07D0" w14:textId="44972C70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Mercancías no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limenticias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6018192" w14:textId="7A7EE73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0.73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D46AB2" w14:textId="62EE29D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0.80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A0E1265" w14:textId="4D913DE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E47D77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AE10BB" w14:textId="26BD36D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C488E3" w14:textId="16D31FE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C433B8" w14:textId="7544CD4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011B95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D8BFD6A" w14:textId="4698718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85C6FE" w14:textId="376E32CE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2FBEEF" w14:textId="22FEF89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BBCCDAA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2AA961" w14:textId="7E0D1EB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B0D80A" w14:textId="5C5D0A7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1.498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B5CBD65" w14:textId="0D980D90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0.946</w:t>
            </w:r>
          </w:p>
        </w:tc>
      </w:tr>
      <w:tr w:rsidR="00E435AB" w:rsidRPr="00841586" w14:paraId="6E061825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EB7F2D" w14:textId="77777777" w:rsidR="00E435AB" w:rsidRPr="00B21A5C" w:rsidRDefault="00E435AB" w:rsidP="00E435AB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7AE4B2" w14:textId="2DAB5C7D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2A46A8A" w14:textId="2544E70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897FCEF" w14:textId="7CBF0DF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9CF3DA3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7C3D66" w14:textId="72ED354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4C722F" w14:textId="5B94856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2C53FEE" w14:textId="51E6225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5.15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32528C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958A78" w14:textId="0BEEBF2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EDED9F" w14:textId="4C1EDC2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C19FEF" w14:textId="57B97EE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219659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91BE5B" w14:textId="441C1D4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4083CC" w14:textId="257EECC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1.823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0D01AC" w14:textId="7F94B2E3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1.749</w:t>
            </w:r>
          </w:p>
        </w:tc>
      </w:tr>
      <w:tr w:rsidR="00E435AB" w:rsidRPr="00841586" w14:paraId="4B6148AF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D93C86" w14:textId="77777777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F3CEE5" w14:textId="33CF2C65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6552EE2" w14:textId="0D55938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CF49282" w14:textId="5DA446C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0.22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A54931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8F5869D" w14:textId="6A1C1D3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39F626" w14:textId="2A6A32A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A4E3BA" w14:textId="7E026AB5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C11AD5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2F2310" w14:textId="3D51F10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A60F3CD" w14:textId="207357B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75FB42" w14:textId="0366793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4C926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159D28" w14:textId="356CE55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0.328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3AE604" w14:textId="134E932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B97032A" w14:textId="26D44688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0.499</w:t>
            </w:r>
          </w:p>
        </w:tc>
      </w:tr>
      <w:tr w:rsidR="00E435AB" w:rsidRPr="00841586" w14:paraId="139D360D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2E4706" w14:textId="77777777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067AF23" w14:textId="514C9E3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0.72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4B6923B" w14:textId="3755EE5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1.12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B14A3FA" w14:textId="4A272BB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1.67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1E354B6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358801" w14:textId="184E2AE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1.92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AF8FEB" w14:textId="2608E972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3.68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B30E019" w14:textId="2BB6F2D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5.49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11DB9F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2359F9" w14:textId="1D89776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3F7F00" w14:textId="12AB2C0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F7D8CD" w14:textId="3FFB948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944F3FB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50D747" w14:textId="1CA96C6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F7244" w14:textId="6200825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AF92BD" w14:textId="0FA4F9B1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0.185</w:t>
            </w:r>
          </w:p>
        </w:tc>
      </w:tr>
      <w:tr w:rsidR="00E435AB" w:rsidRPr="00841586" w14:paraId="7A3A11F5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2F5EF3" w14:textId="7E452FC8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s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5A5C07" w14:textId="27E0871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-0.08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896AE2" w14:textId="1D7DDB1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0.34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CD640FC" w14:textId="5420CF5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0.12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87D811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78D9D2" w14:textId="60DE3A4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4.87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749185D" w14:textId="6E5C6212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38A823" w14:textId="3CB32C3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972665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A8EF2C" w14:textId="44556CB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2EC35D6" w14:textId="13CB663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ADA3E30" w14:textId="4EAE7C6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90A369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D9C32C" w14:textId="1CCDD72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21222A" w14:textId="32E4F6B2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1.236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F285B0E" w14:textId="5FABFB91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1.065</w:t>
            </w:r>
          </w:p>
        </w:tc>
      </w:tr>
      <w:tr w:rsidR="00E435AB" w:rsidRPr="00841586" w14:paraId="1512218C" w14:textId="77777777" w:rsidTr="0056135F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0CFE2B6" w14:textId="77777777" w:rsidR="00E435AB" w:rsidRPr="00B21A5C" w:rsidRDefault="00E435AB" w:rsidP="00E435AB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391996" w14:textId="78DEF87F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-0.52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397758B" w14:textId="3F722541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24853E79" w14:textId="7D87BD7E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sz w:val="16"/>
                <w:szCs w:val="16"/>
              </w:rPr>
              <w:t>1.44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6BA6DCB" w14:textId="77777777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912C34F" w14:textId="76BFF33A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FDBA13D" w14:textId="695B92C2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7C57E72" w14:textId="7949B6B3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90BABA" w14:textId="77777777" w:rsidR="00E435AB" w:rsidRPr="00E435AB" w:rsidRDefault="00E435AB" w:rsidP="0056135F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15826D8" w14:textId="511A81D2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DD70BEE" w14:textId="0B754166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DF16CAC" w14:textId="2A33F9EB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0.347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1E2D9B4" w14:textId="77777777" w:rsidR="00E435AB" w:rsidRPr="00E435AB" w:rsidRDefault="00E435AB" w:rsidP="0056135F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6C6925A" w14:textId="64999F89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1.975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AE956DE" w14:textId="764A4C98" w:rsidR="00E435AB" w:rsidRPr="00E435AB" w:rsidRDefault="00E435AB" w:rsidP="00E435A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2.645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74B66A1F" w14:textId="369366E9" w:rsidR="00E435AB" w:rsidRPr="00E435AB" w:rsidRDefault="00E435AB" w:rsidP="00E435AB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435AB">
              <w:rPr>
                <w:b/>
                <w:bCs/>
                <w:color w:val="000000"/>
                <w:sz w:val="16"/>
                <w:szCs w:val="16"/>
              </w:rPr>
              <w:t>0.094</w:t>
            </w:r>
          </w:p>
        </w:tc>
      </w:tr>
      <w:tr w:rsidR="00E435AB" w:rsidRPr="00841586" w14:paraId="489484A1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9DBC1E" w14:textId="77777777" w:rsidR="00E435AB" w:rsidRPr="00B21A5C" w:rsidRDefault="00E435AB" w:rsidP="00E435AB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46B6F3" w14:textId="588C515D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1.98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E5390F" w14:textId="7DB3A70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0.98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8CAB170" w14:textId="506D936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1.74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61058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AADE712" w14:textId="7882089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8.95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8674FB" w14:textId="74F8BBD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429A0D" w14:textId="490609C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3.94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F1CA888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7A5202" w14:textId="66649AB5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A8E015" w14:textId="7AA6BCD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A958CC" w14:textId="74A1101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C07BC6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5949E6" w14:textId="50F6241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74D6C5" w14:textId="110D185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1.643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86011B7" w14:textId="27ABBC4E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0.459</w:t>
            </w:r>
          </w:p>
        </w:tc>
      </w:tr>
      <w:tr w:rsidR="00E435AB" w:rsidRPr="00841586" w14:paraId="107D7182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B0E497" w14:textId="77245F5B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Frutas y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v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erduras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3E2F01" w14:textId="4781978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3.91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99DEB0B" w14:textId="61DA186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3.03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4EC8E1" w14:textId="5ADF602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4.00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B7D4F4F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584EEF" w14:textId="7AF3140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D8FA5F" w14:textId="1DFEAB8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09D64B" w14:textId="109015D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26ED589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02BDE4" w14:textId="3054292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3B947D" w14:textId="7FFF9DF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C763F" w14:textId="2F079DC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A113756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84C006" w14:textId="0CD2E03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0.294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C78197" w14:textId="46AF311E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CC36EC6" w14:textId="6B5FDCE3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0.429</w:t>
            </w:r>
          </w:p>
        </w:tc>
      </w:tr>
      <w:tr w:rsidR="00E435AB" w:rsidRPr="00841586" w14:paraId="1256B635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377837F5" w14:textId="77777777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A078088" w14:textId="2BB3D6C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0.46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CDAA2AC" w14:textId="7B03EA13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-0.65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9F5BFA" w14:textId="5698F21D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-0.18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E986834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E25953" w14:textId="75F3701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189951A" w14:textId="7115933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29D905" w14:textId="08D0EB2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774EBD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146BCD" w14:textId="2E98BE4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478415C" w14:textId="274A4EA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4702E82" w14:textId="1209A4D5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-0.011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EB4DAA9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357064" w14:textId="3CD334D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2594DB" w14:textId="44ECD5E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8CC57F2" w14:textId="7ACD7244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0.030</w:t>
            </w:r>
          </w:p>
        </w:tc>
      </w:tr>
      <w:tr w:rsidR="00E435AB" w:rsidRPr="00841586" w14:paraId="41EDFC9A" w14:textId="77777777" w:rsidTr="0056135F">
        <w:trPr>
          <w:trHeight w:val="454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98DA2F" w14:textId="541242C9" w:rsidR="00E435AB" w:rsidRPr="00B21A5C" w:rsidRDefault="00E435AB" w:rsidP="00E435AB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Energéticos y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arifas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F70921" w14:textId="0BF2141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-2.43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525F87A" w14:textId="3167E55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-0.11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CBA30B8" w14:textId="274AEF0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1.17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EBD8DC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EB5DD7" w14:textId="74FD8DB2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7BECED" w14:textId="1907AD1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3D288D" w14:textId="1120FD0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-2.68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54964CA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AC82BC" w14:textId="13F266A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-0.345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2036FF" w14:textId="2229701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-0.015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EAA02A" w14:textId="56D12CB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0F48B1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649B8B" w14:textId="5000E04D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1.018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DB01D68" w14:textId="272BBB5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1.002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64E690" w14:textId="65835382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-0.365</w:t>
            </w:r>
          </w:p>
        </w:tc>
      </w:tr>
      <w:tr w:rsidR="00E435AB" w:rsidRPr="00841586" w14:paraId="7892BE95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2007510" w14:textId="77777777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97CDD7" w14:textId="5BBA9CB6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-3.50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C08194" w14:textId="1EEF2692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-0.31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C37E7C1" w14:textId="4E49D34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1.67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7C29A8D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AFD8FA" w14:textId="6CBB9ADE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23F325" w14:textId="1D407B6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8.14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33A3E4" w14:textId="2A05D9E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-5.99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232651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D81A5A7" w14:textId="6B583460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-0.351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BCC24B" w14:textId="36F220A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76B427" w14:textId="74136194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EA0E23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2D49FA" w14:textId="002DF85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7BDFED" w14:textId="60B3034B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4A545A" w14:textId="5BD8F2D0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-0.576</w:t>
            </w:r>
          </w:p>
        </w:tc>
      </w:tr>
      <w:tr w:rsidR="00E435AB" w:rsidRPr="00841586" w14:paraId="40CE95BB" w14:textId="77777777" w:rsidTr="0056135F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0A65BAF" w14:textId="77EA46B5" w:rsidR="00E435AB" w:rsidRPr="00B21A5C" w:rsidRDefault="00E435AB" w:rsidP="00E435AB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Tarifas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 w:rsidR="00BA01E0"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9181539" w14:textId="5CE2E588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0.16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2BF324F1" w14:textId="32F3299C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0.39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29DD077F" w14:textId="72B451AD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sz w:val="16"/>
                <w:szCs w:val="16"/>
              </w:rPr>
              <w:t>0.13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1F7553BA" w14:textId="7777777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319D012" w14:textId="5C62C63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40504A02" w14:textId="728E570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3341826" w14:textId="52A1D3F9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5.24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08F5972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675CFA" w14:textId="35B0BECA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666D89B" w14:textId="46E6278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82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290A0D3" w14:textId="3C8B96D7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176BBDB" w14:textId="77777777" w:rsidR="00E435AB" w:rsidRPr="00E435AB" w:rsidRDefault="00E435AB" w:rsidP="0056135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311AE68" w14:textId="29900991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5C8A32" w14:textId="44D5379F" w:rsidR="00E435AB" w:rsidRPr="00E435AB" w:rsidRDefault="00E435AB" w:rsidP="00E435A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12E85C5" w14:textId="67644AE6" w:rsidR="00E435AB" w:rsidRPr="00E435AB" w:rsidRDefault="00E435AB" w:rsidP="00E435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435AB">
              <w:rPr>
                <w:color w:val="000000"/>
                <w:sz w:val="16"/>
                <w:szCs w:val="16"/>
              </w:rPr>
              <w:t>0.211</w:t>
            </w:r>
          </w:p>
        </w:tc>
      </w:tr>
    </w:tbl>
    <w:bookmarkEnd w:id="1"/>
    <w:p w14:paraId="41C3A6E3" w14:textId="039FCABF" w:rsidR="000C372F" w:rsidRPr="00E671DE" w:rsidRDefault="000C372F" w:rsidP="000A1974">
      <w:pPr>
        <w:autoSpaceDE w:val="0"/>
        <w:autoSpaceDN w:val="0"/>
        <w:adjustRightInd w:val="0"/>
        <w:ind w:left="709" w:right="193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C243C3"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 w:rsidR="00C243C3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09E626D6" w14:textId="13D8E9B3" w:rsidR="000C372F" w:rsidRPr="00E671DE" w:rsidRDefault="000A1974" w:rsidP="000A1974">
      <w:pPr>
        <w:autoSpaceDE w:val="0"/>
        <w:autoSpaceDN w:val="0"/>
        <w:adjustRightInd w:val="0"/>
        <w:ind w:left="709" w:right="51" w:hanging="709"/>
        <w:rPr>
          <w:sz w:val="16"/>
          <w:szCs w:val="16"/>
        </w:rPr>
      </w:pPr>
      <w:r>
        <w:rPr>
          <w:sz w:val="18"/>
          <w:szCs w:val="16"/>
          <w:vertAlign w:val="superscript"/>
        </w:rPr>
        <w:t xml:space="preserve">  </w:t>
      </w:r>
      <w:r w:rsidR="000C372F" w:rsidRPr="00E671DE">
        <w:rPr>
          <w:sz w:val="18"/>
          <w:szCs w:val="16"/>
          <w:vertAlign w:val="superscript"/>
        </w:rPr>
        <w:t>2/</w:t>
      </w:r>
      <w:r w:rsidR="000C372F" w:rsidRPr="00E671DE">
        <w:rPr>
          <w:sz w:val="18"/>
          <w:szCs w:val="16"/>
          <w:vertAlign w:val="superscript"/>
        </w:rPr>
        <w:tab/>
      </w:r>
      <w:r w:rsidR="000C372F"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="000C372F"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="000C372F"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0A1974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0A1974">
      <w:pPr>
        <w:autoSpaceDE w:val="0"/>
        <w:autoSpaceDN w:val="0"/>
        <w:adjustRightInd w:val="0"/>
        <w:ind w:left="709" w:right="193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77777777" w:rsidR="000D38ED" w:rsidRPr="000D38ED" w:rsidRDefault="000D38ED" w:rsidP="00463E77">
      <w:pPr>
        <w:autoSpaceDE w:val="0"/>
        <w:autoSpaceDN w:val="0"/>
        <w:adjustRightInd w:val="0"/>
        <w:ind w:left="210" w:right="51" w:hanging="14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DF47270" w14:textId="77777777" w:rsidR="00F90299" w:rsidRPr="00EC4BE9" w:rsidRDefault="000C372F" w:rsidP="00A004E7">
      <w:pPr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7A652E37" w:rsidR="000C372F" w:rsidRDefault="0015305D" w:rsidP="00A004E7">
      <w:pPr>
        <w:autoSpaceDE w:val="0"/>
        <w:autoSpaceDN w:val="0"/>
        <w:adjustRightInd w:val="0"/>
        <w:spacing w:before="240"/>
      </w:pPr>
      <w:r>
        <w:t>E</w:t>
      </w:r>
      <w:r w:rsidR="00EF46A3">
        <w:t>n</w:t>
      </w:r>
      <w:r w:rsidR="00D450D5">
        <w:t xml:space="preserve"> agost</w:t>
      </w:r>
      <w:r w:rsidR="00625F10">
        <w:t>o</w:t>
      </w:r>
      <w:r w:rsidR="00EF46A3">
        <w:t xml:space="preserve"> de 2023, la variación</w:t>
      </w:r>
      <w:r w:rsidR="00652C0B">
        <w:t xml:space="preserve"> </w:t>
      </w:r>
      <w:r w:rsidR="00F97CAA">
        <w:t xml:space="preserve">mensual </w:t>
      </w:r>
      <w:r w:rsidR="00EF46A3" w:rsidRPr="00A71198">
        <w:t>de los índices subyacente</w:t>
      </w:r>
      <w:r w:rsidR="00AE29C5" w:rsidRPr="00AE29C5">
        <w:rPr>
          <w:rStyle w:val="Refdenotaalpie"/>
          <w:spacing w:val="4"/>
        </w:rPr>
        <w:footnoteReference w:id="2"/>
      </w:r>
      <w:r w:rsidR="00EF46A3" w:rsidRPr="00A71198">
        <w:t xml:space="preserve"> y </w:t>
      </w:r>
      <w:r w:rsidR="00EF46A3">
        <w:t>no</w:t>
      </w:r>
      <w:r w:rsidR="00EF46A3" w:rsidRPr="00A71198">
        <w:t xml:space="preserve"> subyacente fue</w:t>
      </w:r>
      <w:r w:rsidR="00EF46A3">
        <w:t xml:space="preserve"> </w:t>
      </w:r>
      <w:r w:rsidR="00EF46A3" w:rsidRPr="00A71198">
        <w:t xml:space="preserve">de </w:t>
      </w:r>
      <w:r w:rsidR="002765FB" w:rsidRPr="00A71198">
        <w:t>0.</w:t>
      </w:r>
      <w:r w:rsidR="00D450D5">
        <w:t>27</w:t>
      </w:r>
      <w:r w:rsidR="002765FB">
        <w:t xml:space="preserve"> </w:t>
      </w:r>
      <w:r w:rsidR="002765FB" w:rsidRPr="00A71198">
        <w:t>y</w:t>
      </w:r>
      <w:r w:rsidR="00F97CAA">
        <w:t xml:space="preserve"> </w:t>
      </w:r>
      <w:r w:rsidR="00D450D5">
        <w:t>1.44</w:t>
      </w:r>
      <w:r w:rsidR="003E5F39">
        <w:t> %</w:t>
      </w:r>
      <w:r w:rsidR="00EF46A3">
        <w:t xml:space="preserve">, </w:t>
      </w:r>
      <w:r w:rsidR="00EF46A3" w:rsidRPr="00A71198">
        <w:t>respectivamente</w:t>
      </w:r>
      <w:r w:rsidR="00EF46A3">
        <w:t>. En el mismo mes</w:t>
      </w:r>
      <w:r w:rsidR="00EF46A3" w:rsidRPr="00A71198">
        <w:t xml:space="preserve"> </w:t>
      </w:r>
      <w:r w:rsidR="00EF46A3">
        <w:t xml:space="preserve">de </w:t>
      </w:r>
      <w:r w:rsidR="00EF46A3" w:rsidRPr="00A71198">
        <w:t>20</w:t>
      </w:r>
      <w:r w:rsidR="00EF46A3">
        <w:t>22,</w:t>
      </w:r>
      <w:r w:rsidR="00EF46A3" w:rsidRPr="00A71198">
        <w:t xml:space="preserve"> </w:t>
      </w:r>
      <w:r w:rsidR="002765FB">
        <w:t xml:space="preserve">fue de </w:t>
      </w:r>
      <w:r w:rsidR="002765FB" w:rsidRPr="00A71198">
        <w:t>0.</w:t>
      </w:r>
      <w:r w:rsidR="00D450D5">
        <w:t>80</w:t>
      </w:r>
      <w:r w:rsidR="002765FB" w:rsidRPr="00A71198">
        <w:t xml:space="preserve"> y </w:t>
      </w:r>
      <w:r w:rsidR="00D450D5">
        <w:t>0.39</w:t>
      </w:r>
      <w:r w:rsidR="002765FB">
        <w:t xml:space="preserve"> por ciento</w:t>
      </w:r>
      <w:r w:rsidR="001B6008">
        <w:t>.</w:t>
      </w:r>
    </w:p>
    <w:p w14:paraId="3AE7F0AA" w14:textId="77777777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F087249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79BAEDFE" w:rsidR="000C372F" w:rsidRPr="000C372F" w:rsidRDefault="003B64F6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>Variación porcentual</w:t>
      </w:r>
      <w:r w:rsidR="000C372F">
        <w:rPr>
          <w:sz w:val="18"/>
          <w:szCs w:val="18"/>
        </w:rPr>
        <w:t xml:space="preserve"> mensual</w:t>
      </w:r>
      <w:r w:rsidR="000C372F" w:rsidRPr="000C372F">
        <w:rPr>
          <w:sz w:val="18"/>
          <w:szCs w:val="18"/>
        </w:rPr>
        <w:t xml:space="preserve"> en </w:t>
      </w:r>
      <w:r w:rsidR="00BB4178">
        <w:rPr>
          <w:sz w:val="18"/>
          <w:szCs w:val="18"/>
        </w:rPr>
        <w:t>agost</w:t>
      </w:r>
      <w:r w:rsidR="0070695C">
        <w:rPr>
          <w:sz w:val="18"/>
          <w:szCs w:val="18"/>
        </w:rPr>
        <w:t>o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77494855" w14:textId="0DF60FE4" w:rsidR="000C372F" w:rsidRPr="006556B1" w:rsidRDefault="00B61194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33CC6742" wp14:editId="45859768">
            <wp:extent cx="5040000" cy="2880000"/>
            <wp:effectExtent l="0" t="0" r="27305" b="34925"/>
            <wp:docPr id="1708800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168D69F" w14:textId="77777777" w:rsidR="000D38ED" w:rsidRPr="000D38ED" w:rsidRDefault="000D38ED" w:rsidP="00E6005C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DFE6169" w14:textId="0E771FCC" w:rsidR="000C372F" w:rsidRPr="00D25428" w:rsidRDefault="0015305D" w:rsidP="00A004E7">
      <w:pPr>
        <w:autoSpaceDE w:val="0"/>
        <w:autoSpaceDN w:val="0"/>
        <w:adjustRightInd w:val="0"/>
        <w:spacing w:before="240"/>
        <w:rPr>
          <w:color w:val="000000" w:themeColor="text1"/>
        </w:rPr>
      </w:pPr>
      <w:r w:rsidRPr="00ED6393">
        <w:rPr>
          <w:color w:val="000000" w:themeColor="text1"/>
        </w:rPr>
        <w:t>E</w:t>
      </w:r>
      <w:r w:rsidR="00EF46A3" w:rsidRPr="00ED6393">
        <w:rPr>
          <w:color w:val="000000" w:themeColor="text1"/>
        </w:rPr>
        <w:t xml:space="preserve">n </w:t>
      </w:r>
      <w:r w:rsidR="009544AF">
        <w:rPr>
          <w:color w:val="000000" w:themeColor="text1"/>
        </w:rPr>
        <w:t>agosto</w:t>
      </w:r>
      <w:r w:rsidR="00EF46A3" w:rsidRPr="00ED6393">
        <w:rPr>
          <w:color w:val="000000" w:themeColor="text1"/>
        </w:rPr>
        <w:t xml:space="preserve"> de 202</w:t>
      </w:r>
      <w:r w:rsidR="00EF46A3">
        <w:rPr>
          <w:color w:val="000000" w:themeColor="text1"/>
        </w:rPr>
        <w:t>3</w:t>
      </w:r>
      <w:r w:rsidR="00EF46A3" w:rsidRPr="00ED6393">
        <w:rPr>
          <w:color w:val="000000" w:themeColor="text1"/>
        </w:rPr>
        <w:t xml:space="preserve">, la variación anual del INPC fue de </w:t>
      </w:r>
      <w:r w:rsidR="004C23C4">
        <w:rPr>
          <w:color w:val="000000" w:themeColor="text1"/>
        </w:rPr>
        <w:t>4.</w:t>
      </w:r>
      <w:r w:rsidR="009544AF">
        <w:rPr>
          <w:color w:val="000000" w:themeColor="text1"/>
        </w:rPr>
        <w:t>64</w:t>
      </w:r>
      <w:r w:rsidR="003E5F39">
        <w:rPr>
          <w:color w:val="000000" w:themeColor="text1"/>
        </w:rPr>
        <w:t> %</w:t>
      </w:r>
      <w:r w:rsidR="00EF46A3" w:rsidRPr="00ED6393">
        <w:rPr>
          <w:color w:val="000000" w:themeColor="text1"/>
        </w:rPr>
        <w:t xml:space="preserve"> y la de los índices subyacente y no subyacente</w:t>
      </w:r>
      <w:r w:rsidR="00FB275F">
        <w:rPr>
          <w:color w:val="000000" w:themeColor="text1"/>
        </w:rPr>
        <w:t>,</w:t>
      </w:r>
      <w:r w:rsidR="00EF46A3" w:rsidRPr="00ED6393">
        <w:rPr>
          <w:color w:val="000000" w:themeColor="text1"/>
        </w:rPr>
        <w:t xml:space="preserve"> de </w:t>
      </w:r>
      <w:r w:rsidR="00925FB2">
        <w:rPr>
          <w:color w:val="000000" w:themeColor="text1"/>
        </w:rPr>
        <w:t>6.</w:t>
      </w:r>
      <w:r w:rsidR="009544AF">
        <w:rPr>
          <w:color w:val="000000" w:themeColor="text1"/>
        </w:rPr>
        <w:t>08</w:t>
      </w:r>
      <w:r w:rsidR="00371AAD" w:rsidRPr="00ED6393">
        <w:rPr>
          <w:color w:val="000000" w:themeColor="text1"/>
        </w:rPr>
        <w:t xml:space="preserve"> y</w:t>
      </w:r>
      <w:r w:rsidR="00371AAD">
        <w:rPr>
          <w:color w:val="000000" w:themeColor="text1"/>
        </w:rPr>
        <w:t xml:space="preserve"> </w:t>
      </w:r>
      <w:r w:rsidR="00925FB2">
        <w:rPr>
          <w:color w:val="000000" w:themeColor="text1"/>
        </w:rPr>
        <w:t>0.</w:t>
      </w:r>
      <w:r w:rsidR="009544AF">
        <w:rPr>
          <w:color w:val="000000" w:themeColor="text1"/>
        </w:rPr>
        <w:t>3</w:t>
      </w:r>
      <w:r w:rsidR="004C23C4">
        <w:rPr>
          <w:color w:val="000000" w:themeColor="text1"/>
        </w:rPr>
        <w:t>7</w:t>
      </w:r>
      <w:r w:rsidR="003E5F39">
        <w:rPr>
          <w:color w:val="000000" w:themeColor="text1"/>
        </w:rPr>
        <w:t> %</w:t>
      </w:r>
      <w:r w:rsidR="00EF46A3" w:rsidRPr="00ED6393">
        <w:rPr>
          <w:color w:val="000000" w:themeColor="text1"/>
        </w:rPr>
        <w:t xml:space="preserve">, respectivamente. En el mismo periodo del año anterior, el INPC </w:t>
      </w:r>
      <w:r w:rsidR="009544AF">
        <w:rPr>
          <w:color w:val="000000" w:themeColor="text1"/>
        </w:rPr>
        <w:t>increment</w:t>
      </w:r>
      <w:r w:rsidR="00EF46A3" w:rsidRPr="00ED6393">
        <w:rPr>
          <w:color w:val="000000" w:themeColor="text1"/>
        </w:rPr>
        <w:t xml:space="preserve">ó </w:t>
      </w:r>
      <w:r w:rsidR="004C23C4">
        <w:rPr>
          <w:color w:val="000000" w:themeColor="text1"/>
        </w:rPr>
        <w:t>8.</w:t>
      </w:r>
      <w:r w:rsidR="009544AF">
        <w:rPr>
          <w:color w:val="000000" w:themeColor="text1"/>
        </w:rPr>
        <w:t>70</w:t>
      </w:r>
      <w:r w:rsidR="003E5F39">
        <w:rPr>
          <w:color w:val="000000" w:themeColor="text1"/>
        </w:rPr>
        <w:t> %</w:t>
      </w:r>
      <w:r w:rsidR="00EF46A3" w:rsidRPr="00ED6393">
        <w:rPr>
          <w:color w:val="000000" w:themeColor="text1"/>
        </w:rPr>
        <w:t xml:space="preserve"> y sus índices componentes</w:t>
      </w:r>
      <w:r w:rsidR="00EF46A3">
        <w:rPr>
          <w:color w:val="000000" w:themeColor="text1"/>
        </w:rPr>
        <w:t xml:space="preserve">, </w:t>
      </w:r>
      <w:r w:rsidR="009544AF">
        <w:rPr>
          <w:color w:val="000000" w:themeColor="text1"/>
        </w:rPr>
        <w:t>8.05</w:t>
      </w:r>
      <w:r w:rsidR="00371AAD" w:rsidRPr="00ED6393">
        <w:rPr>
          <w:color w:val="000000" w:themeColor="text1"/>
        </w:rPr>
        <w:t xml:space="preserve"> y </w:t>
      </w:r>
      <w:r w:rsidR="009544AF">
        <w:rPr>
          <w:color w:val="000000" w:themeColor="text1"/>
        </w:rPr>
        <w:t>10</w:t>
      </w:r>
      <w:r w:rsidR="00925FB2">
        <w:rPr>
          <w:color w:val="000000" w:themeColor="text1"/>
        </w:rPr>
        <w:t>.</w:t>
      </w:r>
      <w:r w:rsidR="004C23C4">
        <w:rPr>
          <w:color w:val="000000" w:themeColor="text1"/>
        </w:rPr>
        <w:t>65</w:t>
      </w:r>
      <w:r w:rsidR="003E5F39">
        <w:rPr>
          <w:color w:val="000000" w:themeColor="text1"/>
        </w:rPr>
        <w:t> %</w:t>
      </w:r>
      <w:r w:rsidR="00EF46A3" w:rsidRPr="00ED6393">
        <w:rPr>
          <w:color w:val="000000" w:themeColor="text1"/>
        </w:rPr>
        <w:t>, en ese orden</w:t>
      </w:r>
      <w:r w:rsidR="000C372F" w:rsidRPr="00D25428">
        <w:rPr>
          <w:color w:val="000000" w:themeColor="text1"/>
        </w:rPr>
        <w:t>.</w:t>
      </w:r>
    </w:p>
    <w:p w14:paraId="62EBD634" w14:textId="77777777" w:rsidR="000C372F" w:rsidRPr="006E094F" w:rsidRDefault="000C372F" w:rsidP="00A004E7">
      <w:pPr>
        <w:pStyle w:val="n01"/>
        <w:keepLines w:val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C8579A9" w14:textId="77777777" w:rsidR="000C372F" w:rsidRPr="00FA0577" w:rsidRDefault="005012EA" w:rsidP="00A004E7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039AE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 w:rsidR="000C372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7990A07" w14:textId="36528FED" w:rsidR="000C372F" w:rsidRPr="000C372F" w:rsidRDefault="003B64F6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0C372F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4522B33E" w14:textId="597CCEAB" w:rsidR="000C372F" w:rsidRPr="00A71198" w:rsidRDefault="006157BD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411507D" wp14:editId="713D976A">
            <wp:extent cx="5040000" cy="2880000"/>
            <wp:effectExtent l="0" t="0" r="27305" b="34925"/>
            <wp:docPr id="5670482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F431F5F" w14:textId="77777777" w:rsidR="000D38ED" w:rsidRPr="000D38ED" w:rsidRDefault="000D38ED" w:rsidP="00E6005C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2D177527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07017D76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productos genéricos con mayor</w:t>
      </w:r>
      <w:r w:rsidR="00C86BF7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</w:t>
      </w:r>
      <w:r w:rsidRPr="005802FF">
        <w:rPr>
          <w:b/>
          <w:bCs/>
          <w:smallCaps/>
          <w:color w:val="000000" w:themeColor="text1"/>
          <w:spacing w:val="1"/>
          <w:sz w:val="20"/>
          <w:szCs w:val="20"/>
        </w:rPr>
        <w:t>incidencia</w:t>
      </w:r>
    </w:p>
    <w:p w14:paraId="38AF9513" w14:textId="420BB0A8" w:rsidR="000C372F" w:rsidRPr="003861EC" w:rsidRDefault="00BB417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position w:val="-1"/>
          <w:sz w:val="20"/>
          <w:szCs w:val="20"/>
        </w:rPr>
      </w:pPr>
      <w:r>
        <w:rPr>
          <w:b/>
          <w:bCs/>
          <w:smallCaps/>
          <w:color w:val="000000"/>
          <w:position w:val="-1"/>
          <w:sz w:val="20"/>
          <w:szCs w:val="20"/>
        </w:rPr>
        <w:t>agost</w:t>
      </w:r>
      <w:r w:rsidR="0070695C">
        <w:rPr>
          <w:b/>
          <w:bCs/>
          <w:smallCaps/>
          <w:color w:val="000000"/>
          <w:position w:val="-1"/>
          <w:sz w:val="20"/>
          <w:szCs w:val="20"/>
        </w:rPr>
        <w:t>o</w:t>
      </w:r>
      <w:r w:rsidR="000C372F" w:rsidRPr="003861EC">
        <w:rPr>
          <w:b/>
          <w:bCs/>
          <w:smallCaps/>
          <w:color w:val="000000"/>
          <w:position w:val="-1"/>
          <w:sz w:val="20"/>
          <w:szCs w:val="20"/>
        </w:rPr>
        <w:t xml:space="preserve"> de 202</w:t>
      </w:r>
      <w:r w:rsidR="00FA31B1" w:rsidRPr="003861EC">
        <w:rPr>
          <w:b/>
          <w:bCs/>
          <w:smallCaps/>
          <w:color w:val="000000"/>
          <w:position w:val="-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19"/>
        <w:gridCol w:w="1119"/>
        <w:gridCol w:w="177"/>
        <w:gridCol w:w="2650"/>
        <w:gridCol w:w="1119"/>
        <w:gridCol w:w="1119"/>
      </w:tblGrid>
      <w:tr w:rsidR="00915FC5" w:rsidRPr="00A9663B" w14:paraId="28330EA9" w14:textId="77777777" w:rsidTr="002E64B5">
        <w:trPr>
          <w:trHeight w:val="624"/>
          <w:jc w:val="center"/>
        </w:trPr>
        <w:tc>
          <w:tcPr>
            <w:tcW w:w="265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847F775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BED3564" w14:textId="5715F68C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3E5F39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6264120" w14:textId="50FFC9B1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77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49D55F3" w14:textId="77777777" w:rsidR="00915FC5" w:rsidRPr="00B96D30" w:rsidRDefault="00915FC5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5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2F6FF46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119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AC22E2" w14:textId="1F01D4F7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3E5F39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4EC2F4B8" w14:textId="20840F99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E2405C" w:rsidRPr="009F6415" w14:paraId="3846ADF1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C63EBD" w14:textId="1EC353DB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119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61AE3A" w14:textId="05D31D1E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31.73</w:t>
            </w:r>
          </w:p>
        </w:tc>
        <w:tc>
          <w:tcPr>
            <w:tcW w:w="1119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F65D18C" w14:textId="0EEE6F31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17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0249F9C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80BDC8B" w14:textId="6036E777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Papa y otros tubérculos</w:t>
            </w:r>
          </w:p>
        </w:tc>
        <w:tc>
          <w:tcPr>
            <w:tcW w:w="1119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18952A" w14:textId="72F49DB8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-8.64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1F4FD6" w14:textId="7B1AAF97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-0.041</w:t>
            </w:r>
          </w:p>
        </w:tc>
      </w:tr>
      <w:tr w:rsidR="00E2405C" w:rsidRPr="00841586" w14:paraId="1778FC6E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A8BD14B" w14:textId="7B2FB239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E8DC73" w14:textId="60C6271D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6.24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05DF613" w14:textId="61814B5E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FB62FFC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5BC4C4" w14:textId="2ACB2F44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987476" w14:textId="09E3D2EC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-12.80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5B8A405" w14:textId="4293516F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-0.033</w:t>
            </w:r>
          </w:p>
        </w:tc>
      </w:tr>
      <w:tr w:rsidR="00E2405C" w:rsidRPr="00841586" w14:paraId="5F385636" w14:textId="77777777" w:rsidTr="004B468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78CCAC" w14:textId="6D1E9D25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Cebolla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50AB9E" w14:textId="1B8D4EA8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30.54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D48AAB" w14:textId="3F73F656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1D8736C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7D0E401" w14:textId="4E5ACE67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Chayote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C7EF2E" w14:textId="673EE809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-21.25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82F7214" w14:textId="28E71FC3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-0.022</w:t>
            </w:r>
          </w:p>
        </w:tc>
      </w:tr>
      <w:tr w:rsidR="00E2405C" w:rsidRPr="00841586" w14:paraId="656B8327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F503381" w14:textId="3D9AAC61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Gasolina de bajo octanaje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D4A632" w14:textId="6858717A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2F886D6" w14:textId="21C10AB7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597BD6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F08E25" w14:textId="15EC231D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98A0446" w14:textId="22CC0A2D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-5.23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D2BB63" w14:textId="41C5FE3C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-0.018</w:t>
            </w:r>
          </w:p>
        </w:tc>
      </w:tr>
      <w:tr w:rsidR="00E2405C" w:rsidRPr="00841586" w14:paraId="150F0FF4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893663A" w14:textId="6CCF71F1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Loncherías, fondas, torterías y taquerías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9C5B0F5" w14:textId="2AB8BE92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22AACE" w14:textId="4A8B4529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FF67CB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3DB11C" w14:textId="03D33E10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C05B43" w14:textId="63E8F731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-5.01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79D5E2" w14:textId="2DCBF5CC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-0.014</w:t>
            </w:r>
          </w:p>
        </w:tc>
      </w:tr>
      <w:tr w:rsidR="00E2405C" w:rsidRPr="00841586" w14:paraId="0F7EC10D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3B6BD" w14:textId="14DA0A52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Universidad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E66C38" w14:textId="778C0287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D2680D" w14:textId="1B2A5C77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EE8E0A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CC153D" w14:textId="3F47FEAD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578586" w14:textId="0F3AE9CE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5AA40A5" w14:textId="3E34AED6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-0.013</w:t>
            </w:r>
          </w:p>
        </w:tc>
      </w:tr>
      <w:tr w:rsidR="00E2405C" w:rsidRPr="00841586" w14:paraId="2EE105D8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C0D1AA" w14:textId="402F80CA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38143D" w14:textId="58AEEDA9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6D4BD0" w14:textId="3D85AB5D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2025ABA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5F8EA0" w14:textId="311DFA57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Ejotes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F701B" w14:textId="00AC469C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-18.99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FACAFCC" w14:textId="450AE6FA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-0.009</w:t>
            </w:r>
          </w:p>
        </w:tc>
      </w:tr>
      <w:tr w:rsidR="00E2405C" w:rsidRPr="00841586" w14:paraId="6E156C4C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A9F60E" w14:textId="7F9D5728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Tomate verde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8512E9B" w14:textId="0645A188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D75E100" w14:textId="53DB6F74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459E08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CC7B5C" w14:textId="4D59A5B5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Aguacate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A56C56" w14:textId="6D7F1321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-2.62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F39F914" w14:textId="0EB173BE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-0.008</w:t>
            </w:r>
          </w:p>
        </w:tc>
      </w:tr>
      <w:tr w:rsidR="00E2405C" w:rsidRPr="00841586" w14:paraId="7B2C85ED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E89F83" w14:textId="1ABCE9E7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Electricidad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53C40D3" w14:textId="4FAFE698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8FCF7E" w14:textId="4A097606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1803BE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7546A3C" w14:textId="6D336E8A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Uva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7C7450" w14:textId="3E65218B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-11.02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86E5D9" w14:textId="3B277CD7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-0.006</w:t>
            </w:r>
          </w:p>
        </w:tc>
      </w:tr>
      <w:tr w:rsidR="00E2405C" w:rsidRPr="00841586" w14:paraId="34F0A828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1ADBF7" w14:textId="22B304FF" w:rsidR="00E2405C" w:rsidRPr="0047261F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Otras frutas</w:t>
            </w:r>
          </w:p>
        </w:tc>
        <w:tc>
          <w:tcPr>
            <w:tcW w:w="1119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F759122" w14:textId="736906B1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119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4DAFAC" w14:textId="746C4B67" w:rsidR="00E2405C" w:rsidRPr="0047261F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17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B595019" w14:textId="77777777" w:rsidR="00E2405C" w:rsidRPr="00B21A5C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C62972A" w14:textId="4430264A" w:rsidR="00E2405C" w:rsidRPr="001D19B6" w:rsidRDefault="00E2405C" w:rsidP="00E2405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1119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4DF60F" w14:textId="702892F2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E56216" w14:textId="3C047A0B" w:rsidR="00E2405C" w:rsidRPr="001D19B6" w:rsidRDefault="00E2405C" w:rsidP="00E2405C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E2405C">
              <w:rPr>
                <w:color w:val="000000"/>
                <w:sz w:val="16"/>
                <w:szCs w:val="16"/>
              </w:rPr>
              <w:t>-0.006</w:t>
            </w:r>
          </w:p>
        </w:tc>
      </w:tr>
    </w:tbl>
    <w:p w14:paraId="0A6357AC" w14:textId="141BE5C3" w:rsidR="007C55D3" w:rsidRDefault="000C372F" w:rsidP="000A1974">
      <w:pPr>
        <w:autoSpaceDE w:val="0"/>
        <w:autoSpaceDN w:val="0"/>
        <w:adjustRightInd w:val="0"/>
        <w:spacing w:line="276" w:lineRule="auto"/>
        <w:ind w:left="698" w:right="51" w:hanging="585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="000A1974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2024E243" w14:textId="53CFCBE2" w:rsidR="000D38ED" w:rsidRPr="000D38ED" w:rsidRDefault="000D38ED" w:rsidP="00DF62EA">
      <w:pPr>
        <w:autoSpaceDE w:val="0"/>
        <w:autoSpaceDN w:val="0"/>
        <w:adjustRightInd w:val="0"/>
        <w:spacing w:line="276" w:lineRule="auto"/>
        <w:ind w:left="283" w:right="51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208ED05" w14:textId="514EC246" w:rsidR="000C372F" w:rsidRDefault="00BD6157" w:rsidP="00AE3C90">
      <w:pPr>
        <w:autoSpaceDE w:val="0"/>
        <w:autoSpaceDN w:val="0"/>
        <w:adjustRightInd w:val="0"/>
        <w:spacing w:before="480"/>
      </w:pPr>
      <w:r>
        <w:t>En los siguientes cuadros</w:t>
      </w:r>
      <w:r w:rsidR="000B538C">
        <w:t>,</w:t>
      </w:r>
      <w:r>
        <w:t xml:space="preserve"> se muestran las entidades federativas y ciudades en las que </w:t>
      </w:r>
      <w:r w:rsidR="00505F90">
        <w:t>el INPC</w:t>
      </w:r>
      <w:r>
        <w:t xml:space="preserve"> alcanzó las mayores</w:t>
      </w:r>
      <w:r w:rsidR="00C86BF7">
        <w:t xml:space="preserve"> </w:t>
      </w:r>
      <w:r>
        <w:t xml:space="preserve">variaciones </w:t>
      </w:r>
      <w:r w:rsidR="007F3915">
        <w:t>durante</w:t>
      </w:r>
      <w:r w:rsidR="00D4046C">
        <w:t xml:space="preserve"> </w:t>
      </w:r>
      <w:r w:rsidR="009544AF">
        <w:t>agost</w:t>
      </w:r>
      <w:r w:rsidR="00B25504">
        <w:t>o</w:t>
      </w:r>
      <w:r>
        <w:t xml:space="preserve"> de 202</w:t>
      </w:r>
      <w:r w:rsidR="00FA31B1">
        <w:t>3</w:t>
      </w:r>
      <w:r w:rsidR="000C372F">
        <w:t>.</w:t>
      </w:r>
    </w:p>
    <w:p w14:paraId="6B79B9FF" w14:textId="2B581A37" w:rsidR="000C372F" w:rsidRPr="003C74AD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4B599062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</w:t>
      </w:r>
      <w:r w:rsidR="00C86BF7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</w:t>
      </w: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variación *</w:t>
      </w:r>
    </w:p>
    <w:p w14:paraId="66CFACC0" w14:textId="1F7050ED" w:rsidR="000C372F" w:rsidRPr="003861EC" w:rsidRDefault="00BB417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>
        <w:rPr>
          <w:b/>
          <w:smallCaps/>
          <w:color w:val="000000" w:themeColor="text1"/>
          <w:spacing w:val="1"/>
          <w:sz w:val="20"/>
          <w:szCs w:val="20"/>
        </w:rPr>
        <w:t>agost</w:t>
      </w:r>
      <w:r w:rsidR="0070695C">
        <w:rPr>
          <w:b/>
          <w:smallCaps/>
          <w:color w:val="000000" w:themeColor="text1"/>
          <w:spacing w:val="1"/>
          <w:sz w:val="20"/>
          <w:szCs w:val="20"/>
        </w:rPr>
        <w:t>o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 202</w:t>
      </w:r>
      <w:r w:rsidR="00FA31B1"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8"/>
        <w:gridCol w:w="1380"/>
        <w:gridCol w:w="300"/>
        <w:gridCol w:w="3418"/>
        <w:gridCol w:w="1378"/>
      </w:tblGrid>
      <w:tr w:rsidR="00ED02CF" w:rsidRPr="00A9663B" w14:paraId="37E04CEA" w14:textId="77777777" w:rsidTr="00983440">
        <w:trPr>
          <w:trHeight w:val="624"/>
          <w:jc w:val="center"/>
        </w:trPr>
        <w:tc>
          <w:tcPr>
            <w:tcW w:w="3478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48465A3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8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63C02D7" w14:textId="3EC574F3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3E5F39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300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745F022" w14:textId="77777777" w:rsidR="00ED02CF" w:rsidRPr="00FF4BF4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18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11A3645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78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75A0E0E3" w14:textId="6646D947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3E5F39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8D7BDB" w:rsidRPr="006B0239" w14:paraId="2B79702F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F38EF1" w14:textId="7FD2AB64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Chiapas</w:t>
            </w:r>
          </w:p>
        </w:tc>
        <w:tc>
          <w:tcPr>
            <w:tcW w:w="1380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4BF7689" w14:textId="14470E92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300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0334E73" w14:textId="77777777" w:rsidR="008D7BDB" w:rsidRPr="00B21A5C" w:rsidRDefault="008D7BDB" w:rsidP="008D7BD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553BBD" w14:textId="5F2D0BA6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Nuevo León</w:t>
            </w:r>
          </w:p>
        </w:tc>
        <w:tc>
          <w:tcPr>
            <w:tcW w:w="1378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FE190B7" w14:textId="43132447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8D7BDB" w:rsidRPr="00841586" w14:paraId="6D2D47B5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D17B49" w14:textId="6E8E5BAE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Querétaro</w:t>
            </w:r>
          </w:p>
        </w:tc>
        <w:tc>
          <w:tcPr>
            <w:tcW w:w="1380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7392E9" w14:textId="0DF31244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300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D7C3FE" w14:textId="77777777" w:rsidR="008D7BDB" w:rsidRPr="00B21A5C" w:rsidRDefault="008D7BDB" w:rsidP="008D7BD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6CED2" w14:textId="13EE4706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Guerrero</w:t>
            </w:r>
          </w:p>
        </w:tc>
        <w:tc>
          <w:tcPr>
            <w:tcW w:w="13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94F8A" w14:textId="7C367F3F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0.25</w:t>
            </w:r>
          </w:p>
        </w:tc>
      </w:tr>
      <w:tr w:rsidR="008D7BDB" w:rsidRPr="00841586" w14:paraId="32A01F4D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24DE37" w14:textId="2E234F1A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380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6DE0BD" w14:textId="243ABE3E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300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45376C5" w14:textId="77777777" w:rsidR="008D7BDB" w:rsidRPr="00B21A5C" w:rsidRDefault="008D7BDB" w:rsidP="008D7BD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10041AE" w14:textId="47230F37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Baja California Sur</w:t>
            </w:r>
          </w:p>
        </w:tc>
        <w:tc>
          <w:tcPr>
            <w:tcW w:w="13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1E46916" w14:textId="7E302A9C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0.30</w:t>
            </w:r>
          </w:p>
        </w:tc>
      </w:tr>
      <w:tr w:rsidR="008D7BDB" w:rsidRPr="00841586" w14:paraId="58ED4D44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DD95B0" w14:textId="4B5C408E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Michoacán</w:t>
            </w:r>
          </w:p>
        </w:tc>
        <w:tc>
          <w:tcPr>
            <w:tcW w:w="1380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C461C9" w14:textId="0F0319AB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300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E819E9" w14:textId="77777777" w:rsidR="008D7BDB" w:rsidRPr="00B21A5C" w:rsidRDefault="008D7BDB" w:rsidP="008D7BD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36DAD6" w14:textId="534AC1A5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San Luis Potosí</w:t>
            </w:r>
          </w:p>
        </w:tc>
        <w:tc>
          <w:tcPr>
            <w:tcW w:w="13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75F964" w14:textId="230DC098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0.36</w:t>
            </w:r>
          </w:p>
        </w:tc>
      </w:tr>
      <w:tr w:rsidR="008D7BDB" w:rsidRPr="00841586" w14:paraId="6FAE53EB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2B9FEAD" w14:textId="634DFB5B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1380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46BE593" w14:textId="325AA13E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0.88</w:t>
            </w:r>
          </w:p>
        </w:tc>
        <w:tc>
          <w:tcPr>
            <w:tcW w:w="300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A53111E" w14:textId="77777777" w:rsidR="008D7BDB" w:rsidRPr="00B21A5C" w:rsidRDefault="008D7BDB" w:rsidP="008D7BD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FC48822" w14:textId="2B3927BB" w:rsidR="008D7BDB" w:rsidRPr="00A50E52" w:rsidRDefault="008D7BDB" w:rsidP="008D7B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Baja California</w:t>
            </w:r>
          </w:p>
        </w:tc>
        <w:tc>
          <w:tcPr>
            <w:tcW w:w="1378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A77131" w14:textId="4083D0BF" w:rsidR="008D7BDB" w:rsidRPr="00A50E52" w:rsidRDefault="008D7BDB" w:rsidP="008D7BDB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8D7BDB">
              <w:rPr>
                <w:color w:val="000000"/>
                <w:sz w:val="16"/>
                <w:szCs w:val="16"/>
              </w:rPr>
              <w:t>0.37</w:t>
            </w:r>
          </w:p>
        </w:tc>
      </w:tr>
    </w:tbl>
    <w:p w14:paraId="098F575F" w14:textId="0B8BFAA9" w:rsidR="000C372F" w:rsidRDefault="000C372F" w:rsidP="00AE3C9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="000A1974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45C17014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10DDFA7" w14:textId="081BBC59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1B854A26" w:rsidR="000C372F" w:rsidRPr="00DD3016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ciudades con mayor</w:t>
      </w:r>
      <w:r w:rsidR="00C86BF7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</w:t>
      </w: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variación *</w:t>
      </w:r>
    </w:p>
    <w:p w14:paraId="238B1C59" w14:textId="4A38AB5C" w:rsidR="000C372F" w:rsidRPr="003861EC" w:rsidRDefault="00BB4178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>
        <w:rPr>
          <w:b/>
          <w:smallCaps/>
          <w:color w:val="000000" w:themeColor="text1"/>
          <w:spacing w:val="1"/>
          <w:sz w:val="20"/>
          <w:szCs w:val="20"/>
        </w:rPr>
        <w:t>agost</w:t>
      </w:r>
      <w:r w:rsidR="0070695C">
        <w:rPr>
          <w:b/>
          <w:smallCaps/>
          <w:color w:val="000000" w:themeColor="text1"/>
          <w:spacing w:val="1"/>
          <w:sz w:val="20"/>
          <w:szCs w:val="20"/>
        </w:rPr>
        <w:t>o</w:t>
      </w:r>
      <w:r w:rsidR="00596C1C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202</w:t>
      </w:r>
      <w:r w:rsidR="005963C5"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1371"/>
        <w:gridCol w:w="299"/>
        <w:gridCol w:w="3457"/>
        <w:gridCol w:w="1368"/>
      </w:tblGrid>
      <w:tr w:rsidR="00ED02CF" w:rsidRPr="00A9663B" w14:paraId="083862B0" w14:textId="77777777" w:rsidTr="00A076D7">
        <w:trPr>
          <w:trHeight w:val="624"/>
          <w:jc w:val="center"/>
        </w:trPr>
        <w:tc>
          <w:tcPr>
            <w:tcW w:w="3459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793754F" w14:textId="461F9952" w:rsidR="00ED02CF" w:rsidRPr="00E15260" w:rsidRDefault="00ED02CF" w:rsidP="000E698C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371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4F082C4B" w14:textId="76B6ECFB" w:rsidR="00ED02CF" w:rsidRPr="00E15260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3E5F39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299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79815DC" w14:textId="77777777" w:rsidR="00ED02CF" w:rsidRPr="00E15260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57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08B5FE0" w14:textId="77777777" w:rsidR="00ED02CF" w:rsidRPr="00E15260" w:rsidRDefault="00ED02CF" w:rsidP="000E698C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368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DEA151A" w14:textId="52DF1CC9" w:rsidR="00ED02CF" w:rsidRPr="00E15260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3E5F39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7E607D" w:rsidRPr="006B0239" w14:paraId="4DA77E69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2E9E0D" w14:textId="0D123052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Tapachula, Chis.</w:t>
            </w:r>
          </w:p>
        </w:tc>
        <w:tc>
          <w:tcPr>
            <w:tcW w:w="1371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757247B0" w14:textId="2CCC14B5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99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C352B97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D6150C" w14:textId="56B1F726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Iguala, Gro.</w:t>
            </w:r>
          </w:p>
        </w:tc>
        <w:tc>
          <w:tcPr>
            <w:tcW w:w="1368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5F25B5A" w14:textId="7400C6EA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-0.01</w:t>
            </w:r>
          </w:p>
        </w:tc>
      </w:tr>
      <w:tr w:rsidR="007E607D" w:rsidRPr="00841586" w14:paraId="4EC175E7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A95F82" w14:textId="29DE2A8F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Tehuantepec,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Oax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C1BE24" w14:textId="42EB31FC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A84299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0FA10D" w14:textId="7E285461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A255C6" w14:textId="092864FA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0.18</w:t>
            </w:r>
          </w:p>
        </w:tc>
      </w:tr>
      <w:tr w:rsidR="007E607D" w:rsidRPr="00841586" w14:paraId="708191C7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D50B1D" w14:textId="3B6417FE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Querétaro,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Qro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183C76" w14:textId="3A5BE107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D46E7C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9F4904" w14:textId="0F06650A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Monterrey, N.L.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BC0DA40" w14:textId="6D58B5B3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7E607D" w:rsidRPr="00841586" w14:paraId="0490E566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C278E7" w14:textId="0487240C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Jacona,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Mich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A50845" w14:textId="44A159EF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3AE414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CC921" w14:textId="430445C1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Atlacomulco, Méx.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CCD194" w14:textId="6A7FFBFC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7E607D" w:rsidRPr="00841586" w14:paraId="63CB7C07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D2A3C" w14:textId="1CC1B673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Pachuca,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Hgo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50A11C6" w14:textId="4BA09D59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588177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6B9655" w14:textId="653502F9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Esperanza, Son.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732E7E" w14:textId="073E36EC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7E607D" w:rsidRPr="00841586" w14:paraId="2DD6060C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61F3BC" w14:textId="7098492F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San Andrés Tuxtla, Ver.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D028F3" w14:textId="385DBB32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BFA7DB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972B2A" w14:textId="04408DE2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Cd. Acuña,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D5FC35A" w14:textId="1410FBD3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0.27</w:t>
            </w:r>
          </w:p>
        </w:tc>
      </w:tr>
      <w:tr w:rsidR="007E607D" w:rsidRPr="00841586" w14:paraId="1F32393A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B2D69A" w14:textId="6DB7FF19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Tlaxcala,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Tlax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DF7610" w14:textId="263C4A91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8C10C6B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063F15" w14:textId="1D6BE721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Mexicali, B.C.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AEFD24" w14:textId="2D59DF1C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0.28</w:t>
            </w:r>
          </w:p>
        </w:tc>
      </w:tr>
      <w:tr w:rsidR="007E607D" w:rsidRPr="00841586" w14:paraId="08F841E1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CA362B" w14:textId="547B7053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Coatzacoalcos, Ver.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C8CF021" w14:textId="3DBEB552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E4FA08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58C8CB" w14:textId="49C1AB3C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La Paz, B.C.S.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51BDCF4" w14:textId="27D12DF6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0.30</w:t>
            </w:r>
          </w:p>
        </w:tc>
      </w:tr>
      <w:tr w:rsidR="007E607D" w:rsidRPr="00841586" w14:paraId="0CF3FFC9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0401EC" w14:textId="002C0249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Zacatecas, Zac.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CA8284" w14:textId="11A9E0D5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299" w:type="dxa"/>
            <w:tcBorders>
              <w:top w:val="dotted" w:sz="4" w:space="0" w:color="9FBE62"/>
              <w:right w:val="nil"/>
            </w:tcBorders>
            <w:vAlign w:val="center"/>
          </w:tcPr>
          <w:p w14:paraId="06FDDC3F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53F70BA4" w14:textId="1CFB0A05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Guadalajara, Jal.</w:t>
            </w:r>
          </w:p>
        </w:tc>
        <w:tc>
          <w:tcPr>
            <w:tcW w:w="1368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86799B" w14:textId="7FD97E41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0.34</w:t>
            </w:r>
          </w:p>
        </w:tc>
      </w:tr>
      <w:tr w:rsidR="007E607D" w:rsidRPr="00841586" w14:paraId="26B8B978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7A878A5" w14:textId="040D986C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Izúcar de Matamoros, Pue.</w:t>
            </w:r>
          </w:p>
        </w:tc>
        <w:tc>
          <w:tcPr>
            <w:tcW w:w="1371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5291560" w14:textId="5E39083C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299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425EFFE" w14:textId="77777777" w:rsidR="007E607D" w:rsidRPr="00B21A5C" w:rsidRDefault="007E607D" w:rsidP="007E607D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E74E798" w14:textId="46C58C01" w:rsidR="007E607D" w:rsidRPr="00D0123E" w:rsidRDefault="007E607D" w:rsidP="007E607D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 xml:space="preserve">Saltillo, </w:t>
            </w:r>
            <w:proofErr w:type="spellStart"/>
            <w:r w:rsidRPr="007E607D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7E60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8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5E5AA08" w14:textId="37C38567" w:rsidR="007E607D" w:rsidRPr="00D0123E" w:rsidRDefault="007E607D" w:rsidP="007E607D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E607D">
              <w:rPr>
                <w:color w:val="000000"/>
                <w:sz w:val="16"/>
                <w:szCs w:val="16"/>
              </w:rPr>
              <w:t>0.35</w:t>
            </w:r>
          </w:p>
        </w:tc>
      </w:tr>
    </w:tbl>
    <w:p w14:paraId="5232287B" w14:textId="17252D67" w:rsidR="000C372F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="000A1974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4EF2A5EB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44548C7" w14:textId="6172F50F" w:rsidR="000C372F" w:rsidRDefault="00D8682D" w:rsidP="00AE3C90">
      <w:pPr>
        <w:widowControl w:val="0"/>
        <w:autoSpaceDE w:val="0"/>
        <w:autoSpaceDN w:val="0"/>
        <w:adjustRightInd w:val="0"/>
        <w:spacing w:before="240"/>
      </w:pPr>
      <w:r>
        <w:t xml:space="preserve">A continuación,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 xml:space="preserve">, </w:t>
      </w:r>
      <w:r>
        <w:t xml:space="preserve">para </w:t>
      </w:r>
      <w:r w:rsidR="00CD06A8">
        <w:t>agost</w:t>
      </w:r>
      <w:r w:rsidR="00B07F84">
        <w:t>o</w:t>
      </w:r>
      <w:r>
        <w:t xml:space="preserve"> de 2023, </w:t>
      </w:r>
      <w:r w:rsidR="00BD6157">
        <w:t>según</w:t>
      </w:r>
      <w:r w:rsidR="00BD6157" w:rsidRPr="005D3641">
        <w:t xml:space="preserve"> la Clasificación del Consumo Individual por Finalidades (CCIF)</w:t>
      </w:r>
      <w:r w:rsidR="00BD6157" w:rsidRPr="00A71198">
        <w:rPr>
          <w:vertAlign w:val="superscript"/>
        </w:rPr>
        <w:footnoteReference w:id="3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43733BCA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1071D9F4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DD3016" w:rsidRDefault="00E671DE" w:rsidP="00AE3C90">
      <w:pPr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DD3016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DD3016">
        <w:rPr>
          <w:smallCaps/>
          <w:sz w:val="20"/>
          <w:szCs w:val="20"/>
        </w:rPr>
        <w:t xml:space="preserve"> </w:t>
      </w:r>
    </w:p>
    <w:p w14:paraId="0502BA1D" w14:textId="0C07EFB2" w:rsidR="000C372F" w:rsidRPr="00E671DE" w:rsidRDefault="003B64F6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0C372F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0"/>
        <w:gridCol w:w="2145"/>
        <w:gridCol w:w="169"/>
        <w:gridCol w:w="1425"/>
        <w:gridCol w:w="1452"/>
        <w:gridCol w:w="83"/>
      </w:tblGrid>
      <w:tr w:rsidR="007F245E" w:rsidRPr="00A9663B" w14:paraId="225611FF" w14:textId="77777777" w:rsidTr="00BC129D">
        <w:trPr>
          <w:trHeight w:val="369"/>
          <w:jc w:val="center"/>
        </w:trPr>
        <w:tc>
          <w:tcPr>
            <w:tcW w:w="4680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3CEB52C" w14:textId="7AC690FE" w:rsidR="00555CF6" w:rsidRPr="00443E47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145" w:type="dxa"/>
            <w:vMerge w:val="restart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150B535" w14:textId="3899CBC3" w:rsidR="00555CF6" w:rsidRDefault="00555CF6" w:rsidP="009434C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Segunda quincena de </w:t>
            </w:r>
            <w:r w:rsidR="00BB4178">
              <w:rPr>
                <w:b/>
                <w:bCs/>
                <w:color w:val="000000"/>
                <w:sz w:val="16"/>
                <w:szCs w:val="16"/>
                <w:lang w:eastAsia="es-MX"/>
              </w:rPr>
              <w:t>agost</w:t>
            </w:r>
            <w:r w:rsidR="00DD70D3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2023 con relación a la quincena anterior</w:t>
            </w:r>
          </w:p>
        </w:tc>
        <w:tc>
          <w:tcPr>
            <w:tcW w:w="169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</w:tcPr>
          <w:p w14:paraId="51E6862D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77" w:type="dxa"/>
            <w:gridSpan w:val="2"/>
            <w:tcBorders>
              <w:top w:val="single" w:sz="8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5C0954B1" w14:textId="3CFBFF25" w:rsidR="00555CF6" w:rsidRPr="00443E47" w:rsidRDefault="00BB4178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Agost</w:t>
            </w:r>
            <w:r w:rsidR="00DD70D3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 con relación a:</w:t>
            </w:r>
          </w:p>
        </w:tc>
        <w:tc>
          <w:tcPr>
            <w:tcW w:w="83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6D02DFF1" w14:textId="77777777" w:rsidR="00555CF6" w:rsidRPr="000A05F3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F245E" w:rsidRPr="00A9663B" w14:paraId="2AF2B27B" w14:textId="77777777" w:rsidTr="00BC129D">
        <w:trPr>
          <w:trHeight w:val="369"/>
          <w:jc w:val="center"/>
        </w:trPr>
        <w:tc>
          <w:tcPr>
            <w:tcW w:w="4680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AFD1769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45" w:type="dxa"/>
            <w:vMerge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0442FDEA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9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54F1371D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958C335" w14:textId="59C5C51F" w:rsidR="00555CF6" w:rsidRDefault="00AA7681" w:rsidP="007F245E">
            <w:pPr>
              <w:autoSpaceDE w:val="0"/>
              <w:autoSpaceDN w:val="0"/>
              <w:adjustRightInd w:val="0"/>
              <w:ind w:left="-29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ju</w:t>
            </w:r>
            <w:r w:rsidR="00BB4178">
              <w:rPr>
                <w:b/>
                <w:bCs/>
                <w:color w:val="000000"/>
                <w:sz w:val="16"/>
                <w:szCs w:val="16"/>
                <w:lang w:eastAsia="es-MX"/>
              </w:rPr>
              <w:t>l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="00DF62EA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5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D4597FA" w14:textId="12798E4F" w:rsidR="00555CF6" w:rsidRPr="00B96D30" w:rsidRDefault="00BB4178" w:rsidP="007F245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agost</w:t>
            </w:r>
            <w:r w:rsidR="00DD70D3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3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01E435DB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3AF7" w:rsidRPr="006B0239" w14:paraId="23D70D18" w14:textId="77777777" w:rsidTr="00BC129D">
        <w:trPr>
          <w:trHeight w:val="255"/>
          <w:jc w:val="center"/>
        </w:trPr>
        <w:tc>
          <w:tcPr>
            <w:tcW w:w="468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B5DAB3" w14:textId="184E609D" w:rsidR="000B3AF7" w:rsidRPr="00897677" w:rsidRDefault="000B3AF7" w:rsidP="000B3AF7">
            <w:pPr>
              <w:ind w:left="57"/>
              <w:jc w:val="left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2145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250CC789" w14:textId="56C3E357" w:rsidR="000B3AF7" w:rsidRPr="000B3AF7" w:rsidRDefault="000B3AF7" w:rsidP="000B3AF7">
            <w:pPr>
              <w:ind w:left="-343" w:right="85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3AF7">
              <w:rPr>
                <w:b/>
                <w:bCs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69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00D134B" w14:textId="77777777" w:rsidR="000B3AF7" w:rsidRPr="002C2697" w:rsidRDefault="000B3AF7" w:rsidP="000B3AF7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B1D527" w14:textId="29B98617" w:rsidR="000B3AF7" w:rsidRPr="000B3AF7" w:rsidRDefault="000B3AF7" w:rsidP="000B3AF7">
            <w:pPr>
              <w:ind w:right="54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3AF7">
              <w:rPr>
                <w:b/>
                <w:bCs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452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4B042B" w14:textId="0D67C9CB" w:rsidR="000B3AF7" w:rsidRPr="000B3AF7" w:rsidRDefault="000B3AF7" w:rsidP="000B3AF7">
            <w:pPr>
              <w:ind w:right="49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3AF7">
              <w:rPr>
                <w:b/>
                <w:bCs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83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70EBDF01" w14:textId="77777777" w:rsidR="000B3AF7" w:rsidRPr="00013B49" w:rsidRDefault="000B3AF7" w:rsidP="000B3AF7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B3AF7" w:rsidRPr="00841586" w14:paraId="25D05983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1E2292" w14:textId="77777777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90B14F0" w14:textId="68E31ED5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590B7A3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5CB046" w14:textId="7D3E503F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E33523" w14:textId="4D4AC911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6.77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E7A5309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6E4893BE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06B6E1" w14:textId="38CB7C92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F8602D" w14:textId="0A1AA8FE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EDB84E2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565C86" w14:textId="15597077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28689C" w14:textId="59CB18BE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941D9AC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5BDB806E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58CE64" w14:textId="18FD0EB6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CD64D66" w14:textId="7A82566B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76EA5AD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F9DA61" w14:textId="754B294A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3BA64F" w14:textId="314F1781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8681431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7DB6DB80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DAD3A1" w14:textId="48B0C930" w:rsidR="000B3AF7" w:rsidRPr="00897677" w:rsidRDefault="000B3AF7" w:rsidP="000B3AF7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44A1B" w14:textId="57B4366D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FF80EE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77C501" w14:textId="7DC6D255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CD7ABA" w14:textId="7A7A8661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-0.82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64E9F05C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0A59FB0F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0FB4C9" w14:textId="3A314A66" w:rsidR="000B3AF7" w:rsidRPr="00897677" w:rsidRDefault="000B3AF7" w:rsidP="000B3AF7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1C57749" w14:textId="7AFFDF83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B940DD5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CF2A4A" w14:textId="23595E97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9627DB" w14:textId="1675D855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4.36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783E7A2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17A40DF9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0133AF" w14:textId="11388961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19AD6" w14:textId="29F34BCE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36DC05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C7310A" w14:textId="084C7653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B14D6E" w14:textId="301AE99A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6.56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47E75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34D24279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8B72B" w14:textId="02E5A7FF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ADF9B75" w14:textId="778A3E60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A996EBE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3807DF1" w14:textId="42EE6456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6C84A7" w14:textId="6C0B403C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3.69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529EF69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5B4CCC7F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4CDFB2" w14:textId="6184C5FF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DA65829" w14:textId="2FC0D023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4B6E737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C9204C" w14:textId="142D4D4A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E9084E" w14:textId="3AD7278C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-3.91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4F08C8D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35F33308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E04B9" w14:textId="77777777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EC41995" w14:textId="277789ED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C375811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D9C252" w14:textId="1D99FF1C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00B3BB" w14:textId="24F13D45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BF503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18B9F6EE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F9838F" w14:textId="1125E551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8752ED7" w14:textId="18E178CA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D4888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F53875" w14:textId="7D3D23DA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83AA9C" w14:textId="586263FD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5.50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B34EECC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4380B439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42D4BD" w14:textId="2A059ACE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210977A" w14:textId="65B9C5BB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1B7CFB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15361F" w14:textId="6C10FBD7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45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CA1A67" w14:textId="56CDC6CA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9.16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963C4C6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B3AF7" w:rsidRPr="00841586" w14:paraId="223B84D6" w14:textId="77777777" w:rsidTr="00BC129D">
        <w:trPr>
          <w:trHeight w:val="244"/>
          <w:jc w:val="center"/>
        </w:trPr>
        <w:tc>
          <w:tcPr>
            <w:tcW w:w="468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8ED5CF" w14:textId="297CAE07" w:rsidR="000B3AF7" w:rsidRPr="00897677" w:rsidRDefault="000B3AF7" w:rsidP="000B3AF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2145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BF2BF70" w14:textId="0FA89136" w:rsidR="000B3AF7" w:rsidRPr="000B3AF7" w:rsidRDefault="000B3AF7" w:rsidP="000B3AF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69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4DD8083" w14:textId="77777777" w:rsidR="000B3AF7" w:rsidRPr="002C2697" w:rsidRDefault="000B3AF7" w:rsidP="000B3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E229572" w14:textId="2F261DB7" w:rsidR="000B3AF7" w:rsidRPr="000B3AF7" w:rsidRDefault="000B3AF7" w:rsidP="000B3AF7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452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FCBFA60" w14:textId="3A9A5AD2" w:rsidR="000B3AF7" w:rsidRPr="000B3AF7" w:rsidRDefault="000B3AF7" w:rsidP="000B3AF7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0B3AF7">
              <w:rPr>
                <w:color w:val="000000"/>
                <w:sz w:val="16"/>
                <w:szCs w:val="16"/>
              </w:rPr>
              <w:t>8.69</w:t>
            </w:r>
          </w:p>
        </w:tc>
        <w:tc>
          <w:tcPr>
            <w:tcW w:w="83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F51050C" w14:textId="77777777" w:rsidR="000B3AF7" w:rsidRPr="00013B49" w:rsidRDefault="000B3AF7" w:rsidP="000B3AF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2E0F0EBB" w14:textId="084B77DA" w:rsidR="00E671DE" w:rsidRPr="004B7B53" w:rsidRDefault="00E671DE" w:rsidP="000A1974">
      <w:pPr>
        <w:autoSpaceDE w:val="0"/>
        <w:autoSpaceDN w:val="0"/>
        <w:adjustRightInd w:val="0"/>
        <w:ind w:left="698" w:right="113" w:hanging="585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="000A1974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4B7B53">
        <w:rPr>
          <w:sz w:val="16"/>
          <w:szCs w:val="16"/>
        </w:rPr>
        <w:t>.</w:t>
      </w:r>
    </w:p>
    <w:p w14:paraId="12B4E165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5CC409BA" w14:textId="7433C756" w:rsidR="006937FC" w:rsidRDefault="00411BDA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743497">
        <w:rPr>
          <w:color w:val="000000" w:themeColor="text1"/>
        </w:rPr>
        <w:lastRenderedPageBreak/>
        <w:t>E</w:t>
      </w:r>
      <w:r w:rsidR="0008540C" w:rsidRPr="00743497">
        <w:rPr>
          <w:color w:val="000000" w:themeColor="text1"/>
        </w:rPr>
        <w:t>n la prim</w:t>
      </w:r>
      <w:r w:rsidR="0008540C">
        <w:rPr>
          <w:color w:val="000000" w:themeColor="text1"/>
        </w:rPr>
        <w:t xml:space="preserve">era y segunda quincena de </w:t>
      </w:r>
      <w:r w:rsidR="00CD06A8">
        <w:rPr>
          <w:color w:val="000000" w:themeColor="text1"/>
        </w:rPr>
        <w:t>agost</w:t>
      </w:r>
      <w:r w:rsidR="00836F79">
        <w:rPr>
          <w:color w:val="000000" w:themeColor="text1"/>
        </w:rPr>
        <w:t>o</w:t>
      </w:r>
      <w:r w:rsidR="0008540C" w:rsidRPr="00743497">
        <w:rPr>
          <w:color w:val="000000" w:themeColor="text1"/>
        </w:rPr>
        <w:t xml:space="preserve"> de 202</w:t>
      </w:r>
      <w:r w:rsidR="0008540C">
        <w:rPr>
          <w:color w:val="000000" w:themeColor="text1"/>
        </w:rPr>
        <w:t>3</w:t>
      </w:r>
      <w:r w:rsidR="0008540C" w:rsidRPr="00743497">
        <w:rPr>
          <w:color w:val="000000" w:themeColor="text1"/>
        </w:rPr>
        <w:t xml:space="preserve">, el INPC registró niveles de </w:t>
      </w:r>
      <w:r w:rsidR="00CD06A8" w:rsidRPr="00743497">
        <w:rPr>
          <w:color w:val="000000" w:themeColor="text1"/>
        </w:rPr>
        <w:t>1</w:t>
      </w:r>
      <w:r w:rsidR="00CD06A8">
        <w:rPr>
          <w:color w:val="000000" w:themeColor="text1"/>
        </w:rPr>
        <w:t xml:space="preserve">29.380 </w:t>
      </w:r>
      <w:r w:rsidR="00CD06A8" w:rsidRPr="00743497">
        <w:rPr>
          <w:color w:val="000000" w:themeColor="text1"/>
        </w:rPr>
        <w:t>y 1</w:t>
      </w:r>
      <w:r w:rsidR="00CD06A8">
        <w:rPr>
          <w:color w:val="000000" w:themeColor="text1"/>
        </w:rPr>
        <w:t>29.711</w:t>
      </w:r>
      <w:r w:rsidR="0008540C">
        <w:rPr>
          <w:color w:val="000000" w:themeColor="text1"/>
        </w:rPr>
        <w:t>,</w:t>
      </w:r>
      <w:r w:rsidR="0008540C" w:rsidRPr="00743497">
        <w:rPr>
          <w:color w:val="000000" w:themeColor="text1"/>
        </w:rPr>
        <w:t xml:space="preserve"> respectivamente. Esto implicó </w:t>
      </w:r>
      <w:r w:rsidR="00836F79">
        <w:rPr>
          <w:color w:val="000000" w:themeColor="text1"/>
        </w:rPr>
        <w:t>un</w:t>
      </w:r>
      <w:r w:rsidR="005A0577">
        <w:rPr>
          <w:color w:val="000000" w:themeColor="text1"/>
        </w:rPr>
        <w:t xml:space="preserve"> </w:t>
      </w:r>
      <w:r w:rsidR="00CD06A8">
        <w:rPr>
          <w:color w:val="000000" w:themeColor="text1"/>
        </w:rPr>
        <w:t>alza</w:t>
      </w:r>
      <w:r w:rsidR="00836F79">
        <w:rPr>
          <w:color w:val="000000" w:themeColor="text1"/>
        </w:rPr>
        <w:t xml:space="preserve"> </w:t>
      </w:r>
      <w:r w:rsidR="009F4F6A">
        <w:rPr>
          <w:color w:val="000000" w:themeColor="text1"/>
        </w:rPr>
        <w:t xml:space="preserve">a tasa </w:t>
      </w:r>
      <w:r w:rsidR="00836F79">
        <w:rPr>
          <w:color w:val="000000" w:themeColor="text1"/>
        </w:rPr>
        <w:t>quincenal de 0.</w:t>
      </w:r>
      <w:r w:rsidR="001836EA">
        <w:rPr>
          <w:color w:val="000000" w:themeColor="text1"/>
        </w:rPr>
        <w:t>2</w:t>
      </w:r>
      <w:r w:rsidR="00CD06A8">
        <w:rPr>
          <w:color w:val="000000" w:themeColor="text1"/>
        </w:rPr>
        <w:t>6</w:t>
      </w:r>
      <w:r w:rsidR="0008540C">
        <w:rPr>
          <w:color w:val="000000" w:themeColor="text1"/>
        </w:rPr>
        <w:t xml:space="preserve"> por ciento</w:t>
      </w:r>
      <w:r w:rsidR="0065454D" w:rsidRPr="00512134">
        <w:rPr>
          <w:color w:val="000000" w:themeColor="text1"/>
        </w:rPr>
        <w:t>.</w:t>
      </w:r>
    </w:p>
    <w:p w14:paraId="4037A1C7" w14:textId="0A43703B" w:rsidR="00512134" w:rsidRPr="00512134" w:rsidRDefault="005963C5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B3564B">
        <w:rPr>
          <w:color w:val="000000" w:themeColor="text1"/>
        </w:rPr>
        <w:t>Por último, el Índice de Precios de la Canasta de Consumo Mínimo</w:t>
      </w:r>
      <w:r w:rsidR="00D92BC6">
        <w:rPr>
          <w:color w:val="000000" w:themeColor="text1"/>
        </w:rPr>
        <w:t xml:space="preserve"> (IPCCM)</w:t>
      </w:r>
      <w:r w:rsidRPr="00B3564B">
        <w:rPr>
          <w:color w:val="000000" w:themeColor="text1"/>
          <w:vertAlign w:val="superscript"/>
        </w:rPr>
        <w:footnoteReference w:id="4"/>
      </w:r>
      <w:r w:rsidRPr="00B3564B">
        <w:rPr>
          <w:color w:val="000000" w:themeColor="text1"/>
        </w:rPr>
        <w:t xml:space="preserve"> </w:t>
      </w:r>
      <w:r w:rsidR="000A2E4E">
        <w:rPr>
          <w:color w:val="000000" w:themeColor="text1"/>
        </w:rPr>
        <w:t>tuvo un</w:t>
      </w:r>
      <w:r w:rsidR="00F32A93">
        <w:rPr>
          <w:color w:val="000000" w:themeColor="text1"/>
        </w:rPr>
        <w:t xml:space="preserve"> </w:t>
      </w:r>
      <w:r w:rsidR="007F22B8">
        <w:rPr>
          <w:color w:val="000000" w:themeColor="text1"/>
        </w:rPr>
        <w:t>aumento</w:t>
      </w:r>
      <w:r w:rsidR="000A2E4E">
        <w:rPr>
          <w:color w:val="000000" w:themeColor="text1"/>
        </w:rPr>
        <w:t xml:space="preserve"> mensual de</w:t>
      </w:r>
      <w:r w:rsidR="000A2E4E" w:rsidRPr="00AF5DD6">
        <w:rPr>
          <w:color w:val="000000" w:themeColor="text1"/>
        </w:rPr>
        <w:t xml:space="preserve"> </w:t>
      </w:r>
      <w:r w:rsidR="001836EA">
        <w:rPr>
          <w:color w:val="000000" w:themeColor="text1"/>
        </w:rPr>
        <w:t>0.</w:t>
      </w:r>
      <w:r w:rsidR="00CD06A8">
        <w:rPr>
          <w:color w:val="000000" w:themeColor="text1"/>
        </w:rPr>
        <w:t>75</w:t>
      </w:r>
      <w:r w:rsidR="003E5F39">
        <w:rPr>
          <w:color w:val="000000" w:themeColor="text1"/>
        </w:rPr>
        <w:t> %</w:t>
      </w:r>
      <w:r w:rsidR="00836F79">
        <w:rPr>
          <w:color w:val="000000" w:themeColor="text1"/>
        </w:rPr>
        <w:t xml:space="preserve"> y anual de </w:t>
      </w:r>
      <w:r w:rsidR="00ED3F63">
        <w:rPr>
          <w:color w:val="000000" w:themeColor="text1"/>
        </w:rPr>
        <w:t>4.</w:t>
      </w:r>
      <w:r w:rsidR="00CD06A8">
        <w:rPr>
          <w:color w:val="000000" w:themeColor="text1"/>
        </w:rPr>
        <w:t>16</w:t>
      </w:r>
      <w:r w:rsidR="000A2E4E">
        <w:rPr>
          <w:color w:val="000000" w:themeColor="text1"/>
        </w:rPr>
        <w:t xml:space="preserve"> por ciento. E</w:t>
      </w:r>
      <w:r w:rsidR="000A2E4E" w:rsidRPr="00AF5DD6">
        <w:rPr>
          <w:color w:val="000000" w:themeColor="text1"/>
        </w:rPr>
        <w:t xml:space="preserve">n el mismo </w:t>
      </w:r>
      <w:r w:rsidR="000A2E4E">
        <w:rPr>
          <w:color w:val="000000" w:themeColor="text1"/>
        </w:rPr>
        <w:t xml:space="preserve">periodo </w:t>
      </w:r>
      <w:r w:rsidR="000A2E4E" w:rsidRPr="00AF5DD6">
        <w:rPr>
          <w:color w:val="000000" w:themeColor="text1"/>
        </w:rPr>
        <w:t>de 20</w:t>
      </w:r>
      <w:r w:rsidR="000A2E4E">
        <w:rPr>
          <w:color w:val="000000" w:themeColor="text1"/>
        </w:rPr>
        <w:t>22,</w:t>
      </w:r>
      <w:r w:rsidR="000A2E4E" w:rsidRPr="00AF5DD6">
        <w:rPr>
          <w:color w:val="000000" w:themeColor="text1"/>
        </w:rPr>
        <w:t xml:space="preserve"> </w:t>
      </w:r>
      <w:r w:rsidR="00836F79" w:rsidRPr="00B72438">
        <w:rPr>
          <w:color w:val="000000" w:themeColor="text1"/>
        </w:rPr>
        <w:t>las cifras</w:t>
      </w:r>
      <w:r w:rsidR="00836F79">
        <w:rPr>
          <w:color w:val="000000" w:themeColor="text1"/>
        </w:rPr>
        <w:t xml:space="preserve"> correspondientes fueron de </w:t>
      </w:r>
      <w:r w:rsidR="00ED3F63">
        <w:rPr>
          <w:color w:val="000000" w:themeColor="text1"/>
        </w:rPr>
        <w:t>0.</w:t>
      </w:r>
      <w:r w:rsidR="00CD06A8">
        <w:rPr>
          <w:color w:val="000000" w:themeColor="text1"/>
        </w:rPr>
        <w:t>94</w:t>
      </w:r>
      <w:r w:rsidR="00836F79" w:rsidRPr="00AF5DD6">
        <w:rPr>
          <w:color w:val="000000" w:themeColor="text1"/>
        </w:rPr>
        <w:t xml:space="preserve"> y</w:t>
      </w:r>
      <w:r w:rsidR="00836F79">
        <w:rPr>
          <w:color w:val="000000" w:themeColor="text1"/>
        </w:rPr>
        <w:t xml:space="preserve"> </w:t>
      </w:r>
      <w:r w:rsidR="00CD06A8">
        <w:rPr>
          <w:color w:val="000000" w:themeColor="text1"/>
        </w:rPr>
        <w:t>9.60</w:t>
      </w:r>
      <w:r w:rsidR="003E5F39">
        <w:rPr>
          <w:color w:val="000000" w:themeColor="text1"/>
        </w:rPr>
        <w:t> %</w:t>
      </w:r>
      <w:r w:rsidR="000A2E4E">
        <w:rPr>
          <w:color w:val="000000" w:themeColor="text1"/>
        </w:rPr>
        <w:t xml:space="preserve">, </w:t>
      </w:r>
      <w:r w:rsidR="00ED3F63">
        <w:rPr>
          <w:color w:val="000000" w:themeColor="text1"/>
        </w:rPr>
        <w:t>en ese orden</w:t>
      </w:r>
      <w:r w:rsidR="0065454D" w:rsidRPr="00B72438">
        <w:rPr>
          <w:color w:val="000000" w:themeColor="text1"/>
        </w:rPr>
        <w:t>.</w:t>
      </w:r>
    </w:p>
    <w:p w14:paraId="6CD58150" w14:textId="77777777" w:rsidR="00624F11" w:rsidRPr="009A273B" w:rsidRDefault="00624F11" w:rsidP="00A004E7">
      <w:pPr>
        <w:widowControl w:val="0"/>
        <w:autoSpaceDE w:val="0"/>
        <w:autoSpaceDN w:val="0"/>
        <w:adjustRightInd w:val="0"/>
        <w:spacing w:before="360"/>
        <w:rPr>
          <w:b/>
          <w:smallCaps/>
        </w:rPr>
      </w:pPr>
      <w:r w:rsidRPr="009A273B">
        <w:rPr>
          <w:b/>
          <w:smallCaps/>
        </w:rPr>
        <w:t>Nota metodológica</w:t>
      </w:r>
    </w:p>
    <w:p w14:paraId="55CECAFA" w14:textId="76505C33" w:rsidR="00C35BD7" w:rsidRPr="00A16DEB" w:rsidRDefault="00C35BD7" w:rsidP="00A004E7">
      <w:pPr>
        <w:pStyle w:val="Prrafodelista"/>
        <w:widowControl w:val="0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6ADD06C9">
        <w:rPr>
          <w:lang w:val="es-MX"/>
        </w:rPr>
        <w:t xml:space="preserve">El </w:t>
      </w:r>
      <w:r w:rsidR="00F81FAC" w:rsidRPr="6ADD06C9">
        <w:rPr>
          <w:lang w:val="es-MX"/>
        </w:rPr>
        <w:t>INPC</w:t>
      </w:r>
      <w:r w:rsidRPr="6ADD06C9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6ADD06C9">
        <w:rPr>
          <w:lang w:val="es-MX"/>
        </w:rPr>
        <w:t xml:space="preserve"> a lo largo del tiempo</w:t>
      </w:r>
      <w:r w:rsidRPr="6ADD06C9">
        <w:rPr>
          <w:lang w:val="es-MX"/>
        </w:rPr>
        <w:t>. Estas variaciones de precios repercuten de manera directa en el poder adquisitivo y en el bienestar de las y los consumidores, por lo que el INPC es un indicador trascendente y de interés general para la sociedad. La tasa de crecimiento del INPC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de un periodo a otro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permite medir </w:t>
      </w:r>
      <w:r w:rsidR="1D053B17" w:rsidRPr="6ADD06C9">
        <w:rPr>
          <w:lang w:val="es-MX"/>
        </w:rPr>
        <w:t>la</w:t>
      </w:r>
      <w:r w:rsidRPr="6ADD06C9">
        <w:rPr>
          <w:lang w:val="es-MX"/>
        </w:rPr>
        <w:t xml:space="preserve"> inflación.</w:t>
      </w:r>
    </w:p>
    <w:p w14:paraId="794DCED4" w14:textId="77777777" w:rsidR="00C35BD7" w:rsidRPr="00A16DEB" w:rsidRDefault="00C35BD7" w:rsidP="00A004E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39049E71" w14:textId="77777777" w:rsidR="00C35BD7" w:rsidRPr="008F75CD" w:rsidRDefault="00C35BD7" w:rsidP="00A004E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5B5127F0" w:rsidR="00C35BD7" w:rsidRPr="00A16DEB" w:rsidRDefault="00C35BD7" w:rsidP="00A004E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F47D48" w:rsidRPr="00F47D48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1745BA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 xml:space="preserve">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A004E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16064689" w:rsidR="00C35BD7" w:rsidRPr="00A16DEB" w:rsidRDefault="00C35BD7" w:rsidP="00A004E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C3652B">
        <w:rPr>
          <w:sz w:val="24"/>
          <w:szCs w:val="24"/>
          <w:lang w:val="es-MX"/>
        </w:rPr>
        <w:t>lo anterior</w:t>
      </w:r>
      <w:r w:rsidR="00340FBF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</w:t>
      </w:r>
      <w:r w:rsidR="00240C64">
        <w:rPr>
          <w:sz w:val="24"/>
          <w:szCs w:val="24"/>
          <w:lang w:val="es-MX"/>
        </w:rPr>
        <w:t xml:space="preserve">en </w:t>
      </w:r>
      <w:r w:rsidRPr="00A16DEB">
        <w:rPr>
          <w:sz w:val="24"/>
          <w:szCs w:val="24"/>
          <w:lang w:val="es-MX"/>
        </w:rPr>
        <w:t>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6E27684D" w14:textId="77777777" w:rsidR="00C35BD7" w:rsidRPr="008F75CD" w:rsidRDefault="00C35BD7" w:rsidP="009F57C6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78D93F84" w14:textId="057C7D86" w:rsidR="00C35BD7" w:rsidRPr="009F57C6" w:rsidRDefault="00C35BD7" w:rsidP="009F57C6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9F57C6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9F57C6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uno. Para considerar un genérico en la canasta </w:t>
      </w:r>
      <w:r w:rsidRPr="009F57C6">
        <w:rPr>
          <w:sz w:val="24"/>
          <w:szCs w:val="24"/>
          <w:lang w:val="es-MX"/>
        </w:rPr>
        <w:t>de bienes y servicios del INPC</w:t>
      </w:r>
      <w:r w:rsidR="00904866" w:rsidRPr="009F57C6">
        <w:rPr>
          <w:sz w:val="24"/>
          <w:szCs w:val="24"/>
          <w:lang w:val="es-MX"/>
        </w:rPr>
        <w:t>,</w:t>
      </w:r>
      <w:r w:rsidRPr="009F57C6">
        <w:rPr>
          <w:sz w:val="24"/>
          <w:szCs w:val="24"/>
          <w:lang w:val="es-MX"/>
        </w:rPr>
        <w:t xml:space="preserve"> su ponderación debe ser igual o mayor a 0.01 por ciento.</w:t>
      </w:r>
      <w:r w:rsidRPr="009F57C6">
        <w:rPr>
          <w:color w:val="000000"/>
          <w:sz w:val="24"/>
          <w:szCs w:val="24"/>
          <w:lang w:val="es-MX"/>
        </w:rPr>
        <w:t xml:space="preserve"> </w:t>
      </w:r>
      <w:r w:rsidRPr="009F57C6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 w:rsidRPr="009F57C6">
        <w:rPr>
          <w:color w:val="000000" w:themeColor="text1"/>
          <w:sz w:val="24"/>
          <w:szCs w:val="24"/>
          <w:lang w:val="es-ES_tradnl"/>
        </w:rPr>
        <w:t>s</w:t>
      </w:r>
      <w:r w:rsidRPr="009F57C6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AC188B" w:rsidRPr="009F57C6">
        <w:rPr>
          <w:color w:val="000000" w:themeColor="text1"/>
          <w:sz w:val="24"/>
          <w:szCs w:val="24"/>
          <w:lang w:val="es-ES_tradnl"/>
        </w:rPr>
        <w:t xml:space="preserve"> de</w:t>
      </w:r>
      <w:r w:rsidRPr="009F57C6">
        <w:rPr>
          <w:color w:val="000000" w:themeColor="text1"/>
          <w:sz w:val="24"/>
          <w:szCs w:val="24"/>
          <w:lang w:val="es-ES_tradnl"/>
        </w:rPr>
        <w:t xml:space="preserve"> la Encuesta Nacional de Ingresos y Gastos de los Hogares (ENIGH)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183D0C40" w14:textId="68745F09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8F75CD">
        <w:rPr>
          <w:sz w:val="24"/>
          <w:szCs w:val="24"/>
          <w:lang w:val="es-MX"/>
        </w:rPr>
        <w:t>Los</w:t>
      </w:r>
      <w:r w:rsidRPr="6E14A78B">
        <w:rPr>
          <w:color w:val="000000" w:themeColor="text1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6E14A78B">
        <w:rPr>
          <w:color w:val="000000" w:themeColor="text1"/>
          <w:sz w:val="24"/>
          <w:szCs w:val="24"/>
        </w:rPr>
        <w:t xml:space="preserve"> de venta son las unidades económicas o establecimientos donde </w:t>
      </w:r>
      <w:r w:rsidR="00E57743" w:rsidRPr="6E14A78B">
        <w:rPr>
          <w:color w:val="000000" w:themeColor="text1"/>
          <w:sz w:val="24"/>
          <w:szCs w:val="24"/>
        </w:rPr>
        <w:t xml:space="preserve">las y </w:t>
      </w:r>
      <w:r w:rsidRPr="6E14A78B">
        <w:rPr>
          <w:color w:val="000000" w:themeColor="text1"/>
          <w:sz w:val="24"/>
          <w:szCs w:val="24"/>
        </w:rPr>
        <w:t>los investigadores de precios cotizan cuánto cuestan los productos específicos de la canasta del INPC</w:t>
      </w:r>
      <w:r w:rsidR="00593FCA" w:rsidRPr="6E14A78B">
        <w:rPr>
          <w:color w:val="000000" w:themeColor="text1"/>
          <w:sz w:val="24"/>
          <w:szCs w:val="24"/>
        </w:rPr>
        <w:t xml:space="preserve">, que </w:t>
      </w:r>
      <w:r w:rsidRPr="6E14A78B">
        <w:rPr>
          <w:color w:val="000000" w:themeColor="text1"/>
          <w:sz w:val="24"/>
          <w:szCs w:val="24"/>
        </w:rPr>
        <w:t>incluye 299 productos genéricos</w:t>
      </w:r>
      <w:r w:rsidR="00593FCA" w:rsidRPr="6E14A78B">
        <w:rPr>
          <w:color w:val="000000" w:themeColor="text1"/>
          <w:sz w:val="24"/>
          <w:szCs w:val="24"/>
        </w:rPr>
        <w:t>.</w:t>
      </w:r>
      <w:r w:rsidR="0046169F" w:rsidRPr="6E14A78B">
        <w:rPr>
          <w:color w:val="000000" w:themeColor="text1"/>
          <w:sz w:val="24"/>
          <w:szCs w:val="24"/>
        </w:rPr>
        <w:t xml:space="preserve"> D</w:t>
      </w:r>
      <w:r w:rsidRPr="6E14A78B">
        <w:rPr>
          <w:color w:val="000000" w:themeColor="text1"/>
          <w:sz w:val="24"/>
          <w:szCs w:val="24"/>
        </w:rPr>
        <w:t xml:space="preserve">e </w:t>
      </w:r>
      <w:r w:rsidR="0046169F" w:rsidRPr="6E14A78B">
        <w:rPr>
          <w:color w:val="000000" w:themeColor="text1"/>
          <w:sz w:val="24"/>
          <w:szCs w:val="24"/>
        </w:rPr>
        <w:t>esto</w:t>
      </w:r>
      <w:r w:rsidRPr="6E14A78B">
        <w:rPr>
          <w:color w:val="000000" w:themeColor="text1"/>
          <w:sz w:val="24"/>
          <w:szCs w:val="24"/>
        </w:rPr>
        <w:t>s</w:t>
      </w:r>
      <w:r w:rsidR="00382770" w:rsidRPr="6E14A78B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se seleccionaron 248 </w:t>
      </w:r>
      <w:r w:rsidR="0046169F" w:rsidRPr="6E14A78B">
        <w:rPr>
          <w:color w:val="000000" w:themeColor="text1"/>
          <w:sz w:val="24"/>
          <w:szCs w:val="24"/>
        </w:rPr>
        <w:t>mediante</w:t>
      </w:r>
      <w:r w:rsidRPr="6E14A78B">
        <w:rPr>
          <w:color w:val="000000" w:themeColor="text1"/>
          <w:sz w:val="24"/>
          <w:szCs w:val="24"/>
        </w:rPr>
        <w:t xml:space="preserve"> un </w:t>
      </w:r>
      <w:r w:rsidRPr="6E14A78B">
        <w:rPr>
          <w:sz w:val="24"/>
          <w:szCs w:val="24"/>
        </w:rPr>
        <w:t>muestreo probabilístico y los 51 restantes con un</w:t>
      </w:r>
      <w:r w:rsidR="00593FCA" w:rsidRPr="6E14A78B">
        <w:rPr>
          <w:sz w:val="24"/>
          <w:szCs w:val="24"/>
        </w:rPr>
        <w:t xml:space="preserve">o </w:t>
      </w:r>
      <w:r w:rsidRPr="6E14A78B">
        <w:rPr>
          <w:sz w:val="24"/>
          <w:szCs w:val="24"/>
        </w:rPr>
        <w:t xml:space="preserve">no probabilístico. </w:t>
      </w:r>
      <w:r w:rsidRPr="6E14A78B">
        <w:rPr>
          <w:color w:val="000000" w:themeColor="text1"/>
          <w:sz w:val="24"/>
          <w:szCs w:val="24"/>
        </w:rPr>
        <w:t>En este último caso, se consideran los servicios cuyas tarifas autoriza o regula el gobierno,</w:t>
      </w:r>
      <w:r w:rsidR="006E783F">
        <w:rPr>
          <w:color w:val="000000" w:themeColor="text1"/>
          <w:sz w:val="24"/>
          <w:szCs w:val="24"/>
        </w:rPr>
        <w:t xml:space="preserve"> los que</w:t>
      </w:r>
      <w:r w:rsidRPr="6E14A78B">
        <w:rPr>
          <w:color w:val="000000" w:themeColor="text1"/>
          <w:sz w:val="24"/>
          <w:szCs w:val="24"/>
        </w:rPr>
        <w:t xml:space="preserve"> sol</w:t>
      </w:r>
      <w:r w:rsidR="00B60E25">
        <w:rPr>
          <w:color w:val="000000" w:themeColor="text1"/>
          <w:sz w:val="24"/>
          <w:szCs w:val="24"/>
        </w:rPr>
        <w:t>o cuentan con</w:t>
      </w:r>
      <w:r w:rsidRPr="6E14A78B">
        <w:rPr>
          <w:color w:val="000000" w:themeColor="text1"/>
          <w:sz w:val="24"/>
          <w:szCs w:val="24"/>
        </w:rPr>
        <w:t xml:space="preserve"> uno o pocos oferentes, o bien</w:t>
      </w:r>
      <w:r w:rsidR="007D0E0C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</w:t>
      </w:r>
      <w:r w:rsidR="00B60E25">
        <w:rPr>
          <w:color w:val="000000" w:themeColor="text1"/>
          <w:sz w:val="24"/>
          <w:szCs w:val="24"/>
        </w:rPr>
        <w:t xml:space="preserve">aquellos para los que </w:t>
      </w:r>
      <w:r w:rsidRPr="6E14A78B">
        <w:rPr>
          <w:color w:val="000000" w:themeColor="text1"/>
          <w:sz w:val="24"/>
          <w:szCs w:val="24"/>
        </w:rPr>
        <w:t xml:space="preserve">no </w:t>
      </w:r>
      <w:r w:rsidR="00C911B5">
        <w:rPr>
          <w:color w:val="000000" w:themeColor="text1"/>
          <w:sz w:val="24"/>
          <w:szCs w:val="24"/>
        </w:rPr>
        <w:t>hay</w:t>
      </w:r>
      <w:r w:rsidRPr="6E14A78B">
        <w:rPr>
          <w:color w:val="000000" w:themeColor="text1"/>
          <w:sz w:val="24"/>
          <w:szCs w:val="24"/>
        </w:rPr>
        <w:t xml:space="preserve"> un marco de muestreo u otros bienes y servicios cuyo precio sea 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5DCB666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cotizan,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7972F53B" w14:textId="2D3465A8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481947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5E572CFE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1B3B3D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</w:t>
      </w:r>
      <w:r w:rsidR="4A7747F2" w:rsidRPr="0C63078F">
        <w:rPr>
          <w:sz w:val="24"/>
          <w:szCs w:val="24"/>
        </w:rPr>
        <w:t>sean</w:t>
      </w:r>
      <w:r w:rsidRPr="00A16DEB">
        <w:rPr>
          <w:sz w:val="24"/>
          <w:szCs w:val="24"/>
        </w:rPr>
        <w:t xml:space="preserve"> sábado, domingo o día festivo. El día 25 de cada mes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t>Herramientas de análisis</w:t>
      </w:r>
    </w:p>
    <w:p w14:paraId="224E4F50" w14:textId="7CA08036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="00A159BE">
        <w:rPr>
          <w:sz w:val="24"/>
          <w:szCs w:val="24"/>
        </w:rPr>
        <w:t>:</w:t>
      </w:r>
      <w:r w:rsidRPr="00636E0F"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77777777" w:rsidR="00C35BD7" w:rsidRPr="00636E0F" w:rsidRDefault="00000000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26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5027BE5D" w14:textId="54D60CBD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 xml:space="preserve">grupos y 36 subgrupos, así como las variaciones en los precios de </w:t>
      </w:r>
      <w:proofErr w:type="gramStart"/>
      <w:r w:rsidRPr="00636E0F">
        <w:rPr>
          <w:sz w:val="24"/>
          <w:szCs w:val="24"/>
        </w:rPr>
        <w:t>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</w:t>
      </w:r>
      <w:proofErr w:type="gramEnd"/>
      <w:r w:rsidRPr="00636E0F">
        <w:rPr>
          <w:sz w:val="24"/>
          <w:szCs w:val="24"/>
        </w:rPr>
        <w:t>.</w:t>
      </w:r>
    </w:p>
    <w:p w14:paraId="7461339E" w14:textId="38F3CBAC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="00B04252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</w:t>
      </w:r>
      <w:r w:rsidR="00705086">
        <w:rPr>
          <w:sz w:val="24"/>
          <w:szCs w:val="24"/>
        </w:rPr>
        <w:t>izadas</w:t>
      </w:r>
      <w:r w:rsidRPr="00636E0F">
        <w:rPr>
          <w:sz w:val="24"/>
          <w:szCs w:val="24"/>
        </w:rPr>
        <w:t xml:space="preserve">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5006191A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14FDD915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532B5F4B" w:rsidR="00C35BD7" w:rsidRDefault="00C35BD7" w:rsidP="00A004E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27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AE742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AE742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798201A3" w14:textId="77777777" w:rsidR="000D774D" w:rsidRDefault="000D774D" w:rsidP="00A004E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</w:p>
    <w:p w14:paraId="17EB9832" w14:textId="77777777" w:rsidR="00C35BD7" w:rsidRPr="00472632" w:rsidRDefault="00C35BD7" w:rsidP="00A004E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A004E7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1ACEBA76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5F6A1D">
      <w:headerReference w:type="default" r:id="rId28"/>
      <w:footerReference w:type="default" r:id="rId29"/>
      <w:pgSz w:w="12242" w:h="15842" w:code="1"/>
      <w:pgMar w:top="2268" w:right="1134" w:bottom="992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950" w14:textId="77777777" w:rsidR="00665A3B" w:rsidRDefault="00665A3B">
      <w:r>
        <w:separator/>
      </w:r>
    </w:p>
  </w:endnote>
  <w:endnote w:type="continuationSeparator" w:id="0">
    <w:p w14:paraId="5DA6AF12" w14:textId="77777777" w:rsidR="00665A3B" w:rsidRDefault="00665A3B">
      <w:r>
        <w:continuationSeparator/>
      </w:r>
    </w:p>
  </w:endnote>
  <w:endnote w:type="continuationNotice" w:id="1">
    <w:p w14:paraId="6731172F" w14:textId="77777777" w:rsidR="00665A3B" w:rsidRDefault="00665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6626" w14:textId="3DB64F6B" w:rsidR="003B5757" w:rsidRPr="004071BA" w:rsidRDefault="003B5757" w:rsidP="003076C4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4071BA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FA02" w14:textId="77777777" w:rsidR="00665A3B" w:rsidRDefault="00665A3B">
      <w:r>
        <w:separator/>
      </w:r>
    </w:p>
  </w:footnote>
  <w:footnote w:type="continuationSeparator" w:id="0">
    <w:p w14:paraId="2BD85EEB" w14:textId="77777777" w:rsidR="00665A3B" w:rsidRDefault="00665A3B">
      <w:r>
        <w:continuationSeparator/>
      </w:r>
    </w:p>
  </w:footnote>
  <w:footnote w:type="continuationNotice" w:id="1">
    <w:p w14:paraId="675686F2" w14:textId="77777777" w:rsidR="00665A3B" w:rsidRDefault="00665A3B"/>
  </w:footnote>
  <w:footnote w:id="2">
    <w:p w14:paraId="1900ED29" w14:textId="77777777" w:rsidR="00AE29C5" w:rsidRPr="000C372F" w:rsidRDefault="00AE29C5" w:rsidP="00AE29C5">
      <w:pPr>
        <w:pStyle w:val="Textonotapie"/>
        <w:ind w:left="170" w:hanging="170"/>
        <w:rPr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3BBFE0F4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4">
    <w:p w14:paraId="090821FA" w14:textId="2827FFEE" w:rsidR="005963C5" w:rsidRPr="00240C64" w:rsidRDefault="005963C5" w:rsidP="00DC54D8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color w:val="auto"/>
          <w:sz w:val="16"/>
          <w:szCs w:val="16"/>
          <w:lang w:val="es-ES_tradnl" w:eastAsia="es-ES"/>
        </w:rPr>
        <w:t xml:space="preserve">Instituto Nacional de Estadística y </w:t>
      </w:r>
      <w:r w:rsidR="00ED48D1">
        <w:rPr>
          <w:color w:val="auto"/>
          <w:sz w:val="16"/>
          <w:szCs w:val="16"/>
          <w:lang w:val="es-ES_tradnl" w:eastAsia="es-ES"/>
        </w:rPr>
        <w:t>G</w:t>
      </w:r>
      <w:r>
        <w:rPr>
          <w:color w:val="auto"/>
          <w:sz w:val="16"/>
          <w:szCs w:val="16"/>
          <w:lang w:val="es-ES_tradnl" w:eastAsia="es-ES"/>
        </w:rPr>
        <w:t>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</w:t>
      </w:r>
      <w:r w:rsidR="00240C64">
        <w:rPr>
          <w:color w:val="auto"/>
          <w:sz w:val="16"/>
          <w:szCs w:val="16"/>
          <w:lang w:val="es-ES_tradnl" w:eastAsia="es-ES"/>
        </w:rPr>
        <w:t xml:space="preserve"> </w:t>
      </w:r>
      <w:r w:rsidRPr="00B2207F">
        <w:rPr>
          <w:color w:val="auto"/>
          <w:sz w:val="16"/>
          <w:szCs w:val="16"/>
          <w:lang w:val="es-ES_tradnl" w:eastAsia="es-ES"/>
        </w:rPr>
        <w:t>La metodología puede consultarse en:</w:t>
      </w:r>
      <w:r w:rsidR="00DC54D8">
        <w:rPr>
          <w:color w:val="auto"/>
          <w:sz w:val="16"/>
          <w:szCs w:val="16"/>
          <w:lang w:val="es-ES_tradnl" w:eastAsia="es-ES"/>
        </w:rPr>
        <w:t xml:space="preserve">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70C2E212" w14:textId="4C624C55" w:rsidR="00C35BD7" w:rsidRPr="009F57C6" w:rsidRDefault="00C35BD7" w:rsidP="00C35BD7">
      <w:pPr>
        <w:pStyle w:val="Textonotapie"/>
        <w:ind w:left="142" w:hanging="142"/>
        <w:rPr>
          <w:sz w:val="16"/>
          <w:szCs w:val="16"/>
        </w:rPr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AC188B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0FCC" w14:textId="77777777" w:rsidR="000A1974" w:rsidRDefault="000A1974" w:rsidP="000A1974">
    <w:pPr>
      <w:pStyle w:val="Encabezado"/>
      <w:ind w:left="-142" w:right="49" w:hanging="142"/>
      <w:jc w:val="right"/>
      <w:rPr>
        <w:b/>
        <w:color w:val="002060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F3EE6C9" wp14:editId="2B28A295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356466350" name="Imagen 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CDC3F" w14:textId="1C31A526" w:rsidR="000A1974" w:rsidRPr="00306ECD" w:rsidRDefault="000A1974" w:rsidP="000A1974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53</w:t>
    </w:r>
    <w:r>
      <w:rPr>
        <w:b/>
        <w:color w:val="002060"/>
      </w:rPr>
      <w:t>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2FA669A" w14:textId="112B12D9" w:rsidR="000A1974" w:rsidRPr="00306ECD" w:rsidRDefault="000A1974" w:rsidP="000A1974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7</w:t>
    </w:r>
    <w:r>
      <w:rPr>
        <w:b/>
        <w:color w:val="002060"/>
        <w:lang w:val="pt-BR"/>
      </w:rPr>
      <w:t xml:space="preserve"> DE 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B3F1CC1" w14:textId="62B0002D" w:rsidR="000A1974" w:rsidRPr="00F22E89" w:rsidRDefault="000A1974" w:rsidP="000A1974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0D774D">
      <w:rPr>
        <w:b/>
        <w:color w:val="002060"/>
      </w:rPr>
      <w:t>10</w:t>
    </w:r>
  </w:p>
  <w:p w14:paraId="4CD4589A" w14:textId="270955EA" w:rsidR="003B5757" w:rsidRDefault="003B5757" w:rsidP="00370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8437728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40286923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365570017">
    <w:abstractNumId w:val="7"/>
  </w:num>
  <w:num w:numId="4" w16cid:durableId="1092238191">
    <w:abstractNumId w:val="10"/>
  </w:num>
  <w:num w:numId="5" w16cid:durableId="1517883972">
    <w:abstractNumId w:val="14"/>
  </w:num>
  <w:num w:numId="6" w16cid:durableId="1924561200">
    <w:abstractNumId w:val="5"/>
  </w:num>
  <w:num w:numId="7" w16cid:durableId="1206865972">
    <w:abstractNumId w:val="8"/>
  </w:num>
  <w:num w:numId="8" w16cid:durableId="133071656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05207493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92248909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629819632">
    <w:abstractNumId w:val="27"/>
  </w:num>
  <w:num w:numId="12" w16cid:durableId="844514674">
    <w:abstractNumId w:val="30"/>
  </w:num>
  <w:num w:numId="13" w16cid:durableId="183373757">
    <w:abstractNumId w:val="31"/>
  </w:num>
  <w:num w:numId="14" w16cid:durableId="613055001">
    <w:abstractNumId w:val="19"/>
  </w:num>
  <w:num w:numId="15" w16cid:durableId="1099761624">
    <w:abstractNumId w:val="15"/>
  </w:num>
  <w:num w:numId="16" w16cid:durableId="1089697789">
    <w:abstractNumId w:val="23"/>
  </w:num>
  <w:num w:numId="17" w16cid:durableId="724835376">
    <w:abstractNumId w:val="17"/>
  </w:num>
  <w:num w:numId="18" w16cid:durableId="1413500992">
    <w:abstractNumId w:val="21"/>
  </w:num>
  <w:num w:numId="19" w16cid:durableId="358817899">
    <w:abstractNumId w:val="9"/>
  </w:num>
  <w:num w:numId="20" w16cid:durableId="953974747">
    <w:abstractNumId w:val="0"/>
  </w:num>
  <w:num w:numId="21" w16cid:durableId="284432661">
    <w:abstractNumId w:val="3"/>
  </w:num>
  <w:num w:numId="22" w16cid:durableId="281229784">
    <w:abstractNumId w:val="8"/>
  </w:num>
  <w:num w:numId="23" w16cid:durableId="1879195631">
    <w:abstractNumId w:val="12"/>
  </w:num>
  <w:num w:numId="24" w16cid:durableId="326788700">
    <w:abstractNumId w:val="29"/>
  </w:num>
  <w:num w:numId="25" w16cid:durableId="2057118711">
    <w:abstractNumId w:val="22"/>
  </w:num>
  <w:num w:numId="26" w16cid:durableId="1917670025">
    <w:abstractNumId w:val="4"/>
  </w:num>
  <w:num w:numId="27" w16cid:durableId="2101216521">
    <w:abstractNumId w:val="16"/>
  </w:num>
  <w:num w:numId="28" w16cid:durableId="845560651">
    <w:abstractNumId w:val="13"/>
  </w:num>
  <w:num w:numId="29" w16cid:durableId="1763449000">
    <w:abstractNumId w:val="11"/>
  </w:num>
  <w:num w:numId="30" w16cid:durableId="565381382">
    <w:abstractNumId w:val="2"/>
  </w:num>
  <w:num w:numId="31" w16cid:durableId="523448333">
    <w:abstractNumId w:val="25"/>
  </w:num>
  <w:num w:numId="32" w16cid:durableId="1026443946">
    <w:abstractNumId w:val="20"/>
  </w:num>
  <w:num w:numId="33" w16cid:durableId="1532183503">
    <w:abstractNumId w:val="24"/>
  </w:num>
  <w:num w:numId="34" w16cid:durableId="1043212326">
    <w:abstractNumId w:val="18"/>
  </w:num>
  <w:num w:numId="35" w16cid:durableId="1723944866">
    <w:abstractNumId w:val="28"/>
  </w:num>
  <w:num w:numId="36" w16cid:durableId="1778719803">
    <w:abstractNumId w:val="6"/>
  </w:num>
  <w:num w:numId="37" w16cid:durableId="6858618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0FE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56DD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7B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278E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08"/>
    <w:rsid w:val="00046822"/>
    <w:rsid w:val="00046AB6"/>
    <w:rsid w:val="00046D06"/>
    <w:rsid w:val="000471CD"/>
    <w:rsid w:val="0004735D"/>
    <w:rsid w:val="0004777C"/>
    <w:rsid w:val="00047D99"/>
    <w:rsid w:val="00047DA7"/>
    <w:rsid w:val="000501E0"/>
    <w:rsid w:val="00050934"/>
    <w:rsid w:val="00050FB5"/>
    <w:rsid w:val="000513F0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57A"/>
    <w:rsid w:val="00055B54"/>
    <w:rsid w:val="00055DB8"/>
    <w:rsid w:val="00056397"/>
    <w:rsid w:val="00056F51"/>
    <w:rsid w:val="000573F5"/>
    <w:rsid w:val="00057F37"/>
    <w:rsid w:val="000602B0"/>
    <w:rsid w:val="0006056C"/>
    <w:rsid w:val="00060E0D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4F8"/>
    <w:rsid w:val="00065708"/>
    <w:rsid w:val="00065A07"/>
    <w:rsid w:val="00065BC1"/>
    <w:rsid w:val="00066394"/>
    <w:rsid w:val="00066638"/>
    <w:rsid w:val="00066DA7"/>
    <w:rsid w:val="00066EA7"/>
    <w:rsid w:val="00066FA4"/>
    <w:rsid w:val="0007012A"/>
    <w:rsid w:val="0007017F"/>
    <w:rsid w:val="00070431"/>
    <w:rsid w:val="000707FF"/>
    <w:rsid w:val="00070864"/>
    <w:rsid w:val="00070F67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086E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40C"/>
    <w:rsid w:val="000856E9"/>
    <w:rsid w:val="00086295"/>
    <w:rsid w:val="00086BD6"/>
    <w:rsid w:val="0008756B"/>
    <w:rsid w:val="00087DB7"/>
    <w:rsid w:val="0009025D"/>
    <w:rsid w:val="00090B9C"/>
    <w:rsid w:val="00090C93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C6C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6F53"/>
    <w:rsid w:val="00097C0A"/>
    <w:rsid w:val="00097CF2"/>
    <w:rsid w:val="000A0344"/>
    <w:rsid w:val="000A0823"/>
    <w:rsid w:val="000A08B4"/>
    <w:rsid w:val="000A1974"/>
    <w:rsid w:val="000A21D6"/>
    <w:rsid w:val="000A2E4E"/>
    <w:rsid w:val="000A2F4F"/>
    <w:rsid w:val="000A31EF"/>
    <w:rsid w:val="000A3228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AF7"/>
    <w:rsid w:val="000B3B73"/>
    <w:rsid w:val="000B4A6A"/>
    <w:rsid w:val="000B50FB"/>
    <w:rsid w:val="000B515D"/>
    <w:rsid w:val="000B538C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76"/>
    <w:rsid w:val="000D5EDB"/>
    <w:rsid w:val="000D632A"/>
    <w:rsid w:val="000D64C6"/>
    <w:rsid w:val="000D6C0F"/>
    <w:rsid w:val="000D6F1E"/>
    <w:rsid w:val="000D774D"/>
    <w:rsid w:val="000D7A95"/>
    <w:rsid w:val="000D7BBD"/>
    <w:rsid w:val="000E03C0"/>
    <w:rsid w:val="000E0654"/>
    <w:rsid w:val="000E075F"/>
    <w:rsid w:val="000E19B3"/>
    <w:rsid w:val="000E1FBA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2AE"/>
    <w:rsid w:val="000F03F8"/>
    <w:rsid w:val="000F05D5"/>
    <w:rsid w:val="000F07C1"/>
    <w:rsid w:val="000F142E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16F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94A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B67"/>
    <w:rsid w:val="00117D7A"/>
    <w:rsid w:val="00120112"/>
    <w:rsid w:val="00120E07"/>
    <w:rsid w:val="00120EA1"/>
    <w:rsid w:val="00120EBB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2574"/>
    <w:rsid w:val="00134904"/>
    <w:rsid w:val="001349AB"/>
    <w:rsid w:val="00134F4E"/>
    <w:rsid w:val="00134FA4"/>
    <w:rsid w:val="00134FB0"/>
    <w:rsid w:val="001350AC"/>
    <w:rsid w:val="001352EC"/>
    <w:rsid w:val="00135E0B"/>
    <w:rsid w:val="00136118"/>
    <w:rsid w:val="001361A8"/>
    <w:rsid w:val="001365A5"/>
    <w:rsid w:val="00136682"/>
    <w:rsid w:val="001368CC"/>
    <w:rsid w:val="001372CA"/>
    <w:rsid w:val="00137AFD"/>
    <w:rsid w:val="001400BC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C86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05D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299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5BA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36EA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2FB9"/>
    <w:rsid w:val="001B35ED"/>
    <w:rsid w:val="001B369D"/>
    <w:rsid w:val="001B3B3D"/>
    <w:rsid w:val="001B450E"/>
    <w:rsid w:val="001B46DB"/>
    <w:rsid w:val="001B4E18"/>
    <w:rsid w:val="001B4F75"/>
    <w:rsid w:val="001B5C28"/>
    <w:rsid w:val="001B5DDB"/>
    <w:rsid w:val="001B6008"/>
    <w:rsid w:val="001B62AB"/>
    <w:rsid w:val="001B62D3"/>
    <w:rsid w:val="001B74BE"/>
    <w:rsid w:val="001B74F4"/>
    <w:rsid w:val="001B75DC"/>
    <w:rsid w:val="001C0136"/>
    <w:rsid w:val="001C0431"/>
    <w:rsid w:val="001C06EF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52E0"/>
    <w:rsid w:val="001C6CAB"/>
    <w:rsid w:val="001C6CC1"/>
    <w:rsid w:val="001C7130"/>
    <w:rsid w:val="001C7E70"/>
    <w:rsid w:val="001D0068"/>
    <w:rsid w:val="001D01C6"/>
    <w:rsid w:val="001D092F"/>
    <w:rsid w:val="001D0D8F"/>
    <w:rsid w:val="001D19B6"/>
    <w:rsid w:val="001D1AEF"/>
    <w:rsid w:val="001D244E"/>
    <w:rsid w:val="001D24F1"/>
    <w:rsid w:val="001D2AD6"/>
    <w:rsid w:val="001D3AD1"/>
    <w:rsid w:val="001D478B"/>
    <w:rsid w:val="001D4970"/>
    <w:rsid w:val="001D4C77"/>
    <w:rsid w:val="001D4DF4"/>
    <w:rsid w:val="001D4F4D"/>
    <w:rsid w:val="001D5842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B24"/>
    <w:rsid w:val="001E5DD7"/>
    <w:rsid w:val="001E5EEE"/>
    <w:rsid w:val="001E692A"/>
    <w:rsid w:val="001E7358"/>
    <w:rsid w:val="001E7BE3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3B0"/>
    <w:rsid w:val="001F7AE9"/>
    <w:rsid w:val="001F7CFD"/>
    <w:rsid w:val="002011D5"/>
    <w:rsid w:val="00201805"/>
    <w:rsid w:val="00201C2D"/>
    <w:rsid w:val="00202299"/>
    <w:rsid w:val="002022B6"/>
    <w:rsid w:val="00203367"/>
    <w:rsid w:val="00203F69"/>
    <w:rsid w:val="00204438"/>
    <w:rsid w:val="00204A44"/>
    <w:rsid w:val="00204C45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7240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898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C64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08"/>
    <w:rsid w:val="00247130"/>
    <w:rsid w:val="0024723E"/>
    <w:rsid w:val="00247760"/>
    <w:rsid w:val="00247E6F"/>
    <w:rsid w:val="00247FD9"/>
    <w:rsid w:val="0025003A"/>
    <w:rsid w:val="00250260"/>
    <w:rsid w:val="00250334"/>
    <w:rsid w:val="00250BD1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109"/>
    <w:rsid w:val="002629E2"/>
    <w:rsid w:val="00262BA8"/>
    <w:rsid w:val="00262BC8"/>
    <w:rsid w:val="0026301A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8B8"/>
    <w:rsid w:val="00270965"/>
    <w:rsid w:val="00270E28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5FB"/>
    <w:rsid w:val="00276814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8D7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26"/>
    <w:rsid w:val="0029288A"/>
    <w:rsid w:val="00293271"/>
    <w:rsid w:val="00293587"/>
    <w:rsid w:val="00293651"/>
    <w:rsid w:val="00293896"/>
    <w:rsid w:val="002938E4"/>
    <w:rsid w:val="00293ED1"/>
    <w:rsid w:val="0029478C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71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34"/>
    <w:rsid w:val="002B3947"/>
    <w:rsid w:val="002B3A06"/>
    <w:rsid w:val="002B3A13"/>
    <w:rsid w:val="002B3C89"/>
    <w:rsid w:val="002B3E52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9F8"/>
    <w:rsid w:val="002B7C1D"/>
    <w:rsid w:val="002C0144"/>
    <w:rsid w:val="002C02B8"/>
    <w:rsid w:val="002C0CAC"/>
    <w:rsid w:val="002C1F28"/>
    <w:rsid w:val="002C254B"/>
    <w:rsid w:val="002C25DE"/>
    <w:rsid w:val="002C2697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356"/>
    <w:rsid w:val="002D75DB"/>
    <w:rsid w:val="002E0067"/>
    <w:rsid w:val="002E023E"/>
    <w:rsid w:val="002E02D0"/>
    <w:rsid w:val="002E0489"/>
    <w:rsid w:val="002E04C0"/>
    <w:rsid w:val="002E0544"/>
    <w:rsid w:val="002E09BA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4B5"/>
    <w:rsid w:val="002E668B"/>
    <w:rsid w:val="002E6783"/>
    <w:rsid w:val="002E7235"/>
    <w:rsid w:val="002E7DEA"/>
    <w:rsid w:val="002F0276"/>
    <w:rsid w:val="002F09E4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223F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1FBB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3D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6EEB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8F"/>
    <w:rsid w:val="003403AE"/>
    <w:rsid w:val="003409BD"/>
    <w:rsid w:val="00340FBF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57707"/>
    <w:rsid w:val="00360A82"/>
    <w:rsid w:val="00361062"/>
    <w:rsid w:val="003610F5"/>
    <w:rsid w:val="003616F4"/>
    <w:rsid w:val="00362B5E"/>
    <w:rsid w:val="00363758"/>
    <w:rsid w:val="003638E9"/>
    <w:rsid w:val="003643A5"/>
    <w:rsid w:val="003643AB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67D7A"/>
    <w:rsid w:val="00370219"/>
    <w:rsid w:val="0037051E"/>
    <w:rsid w:val="003706D1"/>
    <w:rsid w:val="00370859"/>
    <w:rsid w:val="00371208"/>
    <w:rsid w:val="0037187E"/>
    <w:rsid w:val="003718D9"/>
    <w:rsid w:val="00371AAD"/>
    <w:rsid w:val="0037207D"/>
    <w:rsid w:val="003721AC"/>
    <w:rsid w:val="00372389"/>
    <w:rsid w:val="00372564"/>
    <w:rsid w:val="00372644"/>
    <w:rsid w:val="0037334A"/>
    <w:rsid w:val="003734B3"/>
    <w:rsid w:val="0037443B"/>
    <w:rsid w:val="00374B7E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BE3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5"/>
    <w:rsid w:val="00384EF8"/>
    <w:rsid w:val="003861EC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A8C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801"/>
    <w:rsid w:val="003A0A67"/>
    <w:rsid w:val="003A0A70"/>
    <w:rsid w:val="003A1273"/>
    <w:rsid w:val="003A1596"/>
    <w:rsid w:val="003A1FEA"/>
    <w:rsid w:val="003A3361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06C"/>
    <w:rsid w:val="003A53AA"/>
    <w:rsid w:val="003A5EEB"/>
    <w:rsid w:val="003A65D2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C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4F6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7A8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5F39"/>
    <w:rsid w:val="003E6070"/>
    <w:rsid w:val="003E634D"/>
    <w:rsid w:val="003E64BB"/>
    <w:rsid w:val="003E6AC1"/>
    <w:rsid w:val="003E7EEA"/>
    <w:rsid w:val="003F01E7"/>
    <w:rsid w:val="003F02A1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3EBE"/>
    <w:rsid w:val="004040E3"/>
    <w:rsid w:val="00404D4D"/>
    <w:rsid w:val="00405534"/>
    <w:rsid w:val="00406AFE"/>
    <w:rsid w:val="004071BA"/>
    <w:rsid w:val="00407B64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1BDA"/>
    <w:rsid w:val="00412EF3"/>
    <w:rsid w:val="004133CD"/>
    <w:rsid w:val="00413549"/>
    <w:rsid w:val="00414538"/>
    <w:rsid w:val="0041479C"/>
    <w:rsid w:val="00415342"/>
    <w:rsid w:val="0041611F"/>
    <w:rsid w:val="00416787"/>
    <w:rsid w:val="00416893"/>
    <w:rsid w:val="004175F7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6EB2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DA0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5376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6B1A"/>
    <w:rsid w:val="00457142"/>
    <w:rsid w:val="004573A4"/>
    <w:rsid w:val="00457493"/>
    <w:rsid w:val="00457958"/>
    <w:rsid w:val="004600F8"/>
    <w:rsid w:val="0046043D"/>
    <w:rsid w:val="00460BE8"/>
    <w:rsid w:val="00460EF6"/>
    <w:rsid w:val="004610EB"/>
    <w:rsid w:val="0046115F"/>
    <w:rsid w:val="0046148D"/>
    <w:rsid w:val="00461535"/>
    <w:rsid w:val="0046169F"/>
    <w:rsid w:val="004624C0"/>
    <w:rsid w:val="004627CF"/>
    <w:rsid w:val="00462977"/>
    <w:rsid w:val="00462DBA"/>
    <w:rsid w:val="00462F7B"/>
    <w:rsid w:val="004635B7"/>
    <w:rsid w:val="00463936"/>
    <w:rsid w:val="00463AFE"/>
    <w:rsid w:val="00463E77"/>
    <w:rsid w:val="00464027"/>
    <w:rsid w:val="004641CB"/>
    <w:rsid w:val="0046443B"/>
    <w:rsid w:val="00464667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1F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947"/>
    <w:rsid w:val="00481E7B"/>
    <w:rsid w:val="004820E0"/>
    <w:rsid w:val="004822CA"/>
    <w:rsid w:val="004826A8"/>
    <w:rsid w:val="00483F95"/>
    <w:rsid w:val="00484BDB"/>
    <w:rsid w:val="00484D20"/>
    <w:rsid w:val="004850C1"/>
    <w:rsid w:val="004865B8"/>
    <w:rsid w:val="00486867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23F"/>
    <w:rsid w:val="004A5625"/>
    <w:rsid w:val="004A5856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1BED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4685"/>
    <w:rsid w:val="004B55F0"/>
    <w:rsid w:val="004B56C3"/>
    <w:rsid w:val="004B6928"/>
    <w:rsid w:val="004B79AC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3C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CD4"/>
    <w:rsid w:val="004C7F4F"/>
    <w:rsid w:val="004D1000"/>
    <w:rsid w:val="004D1D27"/>
    <w:rsid w:val="004D222E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2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966"/>
    <w:rsid w:val="004F5C09"/>
    <w:rsid w:val="004F5E4E"/>
    <w:rsid w:val="004F63CC"/>
    <w:rsid w:val="004F6678"/>
    <w:rsid w:val="004F6B28"/>
    <w:rsid w:val="004F6C65"/>
    <w:rsid w:val="004F6D2E"/>
    <w:rsid w:val="004F7667"/>
    <w:rsid w:val="004F79AF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E3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0BB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0E87"/>
    <w:rsid w:val="005116BC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A3C"/>
    <w:rsid w:val="00520C1C"/>
    <w:rsid w:val="00521439"/>
    <w:rsid w:val="00521490"/>
    <w:rsid w:val="00522133"/>
    <w:rsid w:val="00522151"/>
    <w:rsid w:val="0052292E"/>
    <w:rsid w:val="005232E0"/>
    <w:rsid w:val="0052373B"/>
    <w:rsid w:val="0052394C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05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1295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CB3"/>
    <w:rsid w:val="00551D57"/>
    <w:rsid w:val="00551DC0"/>
    <w:rsid w:val="0055229D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CF6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35F"/>
    <w:rsid w:val="00561A6D"/>
    <w:rsid w:val="00561C64"/>
    <w:rsid w:val="00561F12"/>
    <w:rsid w:val="0056218D"/>
    <w:rsid w:val="00562E43"/>
    <w:rsid w:val="00562EAD"/>
    <w:rsid w:val="00563222"/>
    <w:rsid w:val="005636F8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281F"/>
    <w:rsid w:val="005731F8"/>
    <w:rsid w:val="00573824"/>
    <w:rsid w:val="005739F4"/>
    <w:rsid w:val="00573A7F"/>
    <w:rsid w:val="00573BE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2FF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3FCA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3C5"/>
    <w:rsid w:val="00596C1C"/>
    <w:rsid w:val="00597799"/>
    <w:rsid w:val="005977F9"/>
    <w:rsid w:val="00597BA8"/>
    <w:rsid w:val="005A01E7"/>
    <w:rsid w:val="005A02C8"/>
    <w:rsid w:val="005A0577"/>
    <w:rsid w:val="005A09E5"/>
    <w:rsid w:val="005A1473"/>
    <w:rsid w:val="005A14FF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C9"/>
    <w:rsid w:val="005B2BF5"/>
    <w:rsid w:val="005B2FD3"/>
    <w:rsid w:val="005B381E"/>
    <w:rsid w:val="005B41B3"/>
    <w:rsid w:val="005B4289"/>
    <w:rsid w:val="005B4D72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61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AAE"/>
    <w:rsid w:val="005D3C7C"/>
    <w:rsid w:val="005D3FD5"/>
    <w:rsid w:val="005D593D"/>
    <w:rsid w:val="005D5F0A"/>
    <w:rsid w:val="005D63A5"/>
    <w:rsid w:val="005D69A4"/>
    <w:rsid w:val="005D79B5"/>
    <w:rsid w:val="005D7BD2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4B3F"/>
    <w:rsid w:val="005E566F"/>
    <w:rsid w:val="005E5D5B"/>
    <w:rsid w:val="005E64AF"/>
    <w:rsid w:val="005E6BE9"/>
    <w:rsid w:val="005E6C60"/>
    <w:rsid w:val="005E6DD4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6A1D"/>
    <w:rsid w:val="005F764A"/>
    <w:rsid w:val="0060008E"/>
    <w:rsid w:val="006000BA"/>
    <w:rsid w:val="006005C1"/>
    <w:rsid w:val="006011A0"/>
    <w:rsid w:val="00601EC9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53C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07E5D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7BD"/>
    <w:rsid w:val="00615E77"/>
    <w:rsid w:val="00616128"/>
    <w:rsid w:val="00616221"/>
    <w:rsid w:val="006162A3"/>
    <w:rsid w:val="006167FD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9C6"/>
    <w:rsid w:val="00621DD8"/>
    <w:rsid w:val="00622789"/>
    <w:rsid w:val="006230BE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5F10"/>
    <w:rsid w:val="00626415"/>
    <w:rsid w:val="00626F72"/>
    <w:rsid w:val="006270F2"/>
    <w:rsid w:val="0062711C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1D06"/>
    <w:rsid w:val="00632259"/>
    <w:rsid w:val="00632765"/>
    <w:rsid w:val="00632DD8"/>
    <w:rsid w:val="00633879"/>
    <w:rsid w:val="006338DA"/>
    <w:rsid w:val="0063390C"/>
    <w:rsid w:val="00633914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5EDD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0B"/>
    <w:rsid w:val="00652C8F"/>
    <w:rsid w:val="00653AC4"/>
    <w:rsid w:val="00653C52"/>
    <w:rsid w:val="006540C1"/>
    <w:rsid w:val="0065454D"/>
    <w:rsid w:val="00654642"/>
    <w:rsid w:val="00654AF4"/>
    <w:rsid w:val="00654CB8"/>
    <w:rsid w:val="00654DFF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5A3B"/>
    <w:rsid w:val="00666754"/>
    <w:rsid w:val="00666AEA"/>
    <w:rsid w:val="00666ECC"/>
    <w:rsid w:val="0066700F"/>
    <w:rsid w:val="00667C61"/>
    <w:rsid w:val="00667FB2"/>
    <w:rsid w:val="00670043"/>
    <w:rsid w:val="006706A0"/>
    <w:rsid w:val="006709F0"/>
    <w:rsid w:val="00670D2E"/>
    <w:rsid w:val="00670DE4"/>
    <w:rsid w:val="00672502"/>
    <w:rsid w:val="0067269F"/>
    <w:rsid w:val="006726CB"/>
    <w:rsid w:val="0067272F"/>
    <w:rsid w:val="00672F7A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108"/>
    <w:rsid w:val="00683889"/>
    <w:rsid w:val="006842A2"/>
    <w:rsid w:val="00684529"/>
    <w:rsid w:val="006846DB"/>
    <w:rsid w:val="006848BB"/>
    <w:rsid w:val="00685075"/>
    <w:rsid w:val="00685101"/>
    <w:rsid w:val="00685339"/>
    <w:rsid w:val="00685597"/>
    <w:rsid w:val="00685BDB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7FC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0AF"/>
    <w:rsid w:val="006B0264"/>
    <w:rsid w:val="006B1E59"/>
    <w:rsid w:val="006B2995"/>
    <w:rsid w:val="006B2CB6"/>
    <w:rsid w:val="006B2F13"/>
    <w:rsid w:val="006B304E"/>
    <w:rsid w:val="006B3EFD"/>
    <w:rsid w:val="006B40C8"/>
    <w:rsid w:val="006B472A"/>
    <w:rsid w:val="006B4863"/>
    <w:rsid w:val="006B4921"/>
    <w:rsid w:val="006B549F"/>
    <w:rsid w:val="006B611C"/>
    <w:rsid w:val="006B65CB"/>
    <w:rsid w:val="006B765D"/>
    <w:rsid w:val="006B79FE"/>
    <w:rsid w:val="006C04D7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3E9"/>
    <w:rsid w:val="006D1549"/>
    <w:rsid w:val="006D1A5F"/>
    <w:rsid w:val="006D2A1A"/>
    <w:rsid w:val="006D2BE7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E783F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429"/>
    <w:rsid w:val="00700821"/>
    <w:rsid w:val="00700E98"/>
    <w:rsid w:val="00701080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086"/>
    <w:rsid w:val="0070522E"/>
    <w:rsid w:val="00705BD7"/>
    <w:rsid w:val="007061EC"/>
    <w:rsid w:val="0070642B"/>
    <w:rsid w:val="00706461"/>
    <w:rsid w:val="007068C5"/>
    <w:rsid w:val="0070695C"/>
    <w:rsid w:val="00706995"/>
    <w:rsid w:val="00706C3A"/>
    <w:rsid w:val="00706E1E"/>
    <w:rsid w:val="007071D4"/>
    <w:rsid w:val="007072B9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1F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1E70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635"/>
    <w:rsid w:val="00753DA5"/>
    <w:rsid w:val="00753DBA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75B"/>
    <w:rsid w:val="00763B9E"/>
    <w:rsid w:val="00763D31"/>
    <w:rsid w:val="00764588"/>
    <w:rsid w:val="007648FE"/>
    <w:rsid w:val="00764B39"/>
    <w:rsid w:val="00766264"/>
    <w:rsid w:val="007664EA"/>
    <w:rsid w:val="007667C4"/>
    <w:rsid w:val="007668E1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2FF6"/>
    <w:rsid w:val="00773B3E"/>
    <w:rsid w:val="00773E65"/>
    <w:rsid w:val="007741B0"/>
    <w:rsid w:val="007745D3"/>
    <w:rsid w:val="007746DC"/>
    <w:rsid w:val="00774AB8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11D7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202"/>
    <w:rsid w:val="007C048B"/>
    <w:rsid w:val="007C04B1"/>
    <w:rsid w:val="007C0508"/>
    <w:rsid w:val="007C057E"/>
    <w:rsid w:val="007C1541"/>
    <w:rsid w:val="007C19DF"/>
    <w:rsid w:val="007C1D76"/>
    <w:rsid w:val="007C25B8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D3"/>
    <w:rsid w:val="007C55F1"/>
    <w:rsid w:val="007C58AB"/>
    <w:rsid w:val="007C6148"/>
    <w:rsid w:val="007C6471"/>
    <w:rsid w:val="007C6900"/>
    <w:rsid w:val="007C69A9"/>
    <w:rsid w:val="007C6C60"/>
    <w:rsid w:val="007C6C8E"/>
    <w:rsid w:val="007C6D07"/>
    <w:rsid w:val="007C7420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5"/>
    <w:rsid w:val="007D0D5B"/>
    <w:rsid w:val="007D0E0C"/>
    <w:rsid w:val="007D10F6"/>
    <w:rsid w:val="007D143D"/>
    <w:rsid w:val="007D2388"/>
    <w:rsid w:val="007D25B9"/>
    <w:rsid w:val="007D2BE8"/>
    <w:rsid w:val="007D3066"/>
    <w:rsid w:val="007D34E7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2AB"/>
    <w:rsid w:val="007D6835"/>
    <w:rsid w:val="007D6A93"/>
    <w:rsid w:val="007D7CDE"/>
    <w:rsid w:val="007D7DC7"/>
    <w:rsid w:val="007E01AF"/>
    <w:rsid w:val="007E030F"/>
    <w:rsid w:val="007E0772"/>
    <w:rsid w:val="007E0D31"/>
    <w:rsid w:val="007E0E04"/>
    <w:rsid w:val="007E0EF9"/>
    <w:rsid w:val="007E15B8"/>
    <w:rsid w:val="007E21D9"/>
    <w:rsid w:val="007E2777"/>
    <w:rsid w:val="007E287E"/>
    <w:rsid w:val="007E2BDD"/>
    <w:rsid w:val="007E34DE"/>
    <w:rsid w:val="007E45CA"/>
    <w:rsid w:val="007E48C0"/>
    <w:rsid w:val="007E5885"/>
    <w:rsid w:val="007E607D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2B8"/>
    <w:rsid w:val="007F245E"/>
    <w:rsid w:val="007F26BE"/>
    <w:rsid w:val="007F2DE9"/>
    <w:rsid w:val="007F2FBC"/>
    <w:rsid w:val="007F341B"/>
    <w:rsid w:val="007F358F"/>
    <w:rsid w:val="007F3682"/>
    <w:rsid w:val="007F3786"/>
    <w:rsid w:val="007F3915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40A"/>
    <w:rsid w:val="00800953"/>
    <w:rsid w:val="00801255"/>
    <w:rsid w:val="0080197B"/>
    <w:rsid w:val="00801C1F"/>
    <w:rsid w:val="008021D3"/>
    <w:rsid w:val="00802450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17695"/>
    <w:rsid w:val="00820160"/>
    <w:rsid w:val="008201D5"/>
    <w:rsid w:val="0082022B"/>
    <w:rsid w:val="008205A2"/>
    <w:rsid w:val="00820709"/>
    <w:rsid w:val="00820E0E"/>
    <w:rsid w:val="00821237"/>
    <w:rsid w:val="008216DA"/>
    <w:rsid w:val="008217C3"/>
    <w:rsid w:val="00821868"/>
    <w:rsid w:val="008218B1"/>
    <w:rsid w:val="008219B8"/>
    <w:rsid w:val="00821ECA"/>
    <w:rsid w:val="00822414"/>
    <w:rsid w:val="0082280F"/>
    <w:rsid w:val="00822CB9"/>
    <w:rsid w:val="00822E2C"/>
    <w:rsid w:val="00823116"/>
    <w:rsid w:val="0082350E"/>
    <w:rsid w:val="00823658"/>
    <w:rsid w:val="008239BF"/>
    <w:rsid w:val="00823B36"/>
    <w:rsid w:val="00823DD1"/>
    <w:rsid w:val="00823FFE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0C85"/>
    <w:rsid w:val="0083118A"/>
    <w:rsid w:val="00831523"/>
    <w:rsid w:val="00831784"/>
    <w:rsid w:val="00831CBC"/>
    <w:rsid w:val="0083247A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6F79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1A3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A64"/>
    <w:rsid w:val="00851B3F"/>
    <w:rsid w:val="00851DCB"/>
    <w:rsid w:val="00851E0C"/>
    <w:rsid w:val="00851F5F"/>
    <w:rsid w:val="00852142"/>
    <w:rsid w:val="00852322"/>
    <w:rsid w:val="008525E7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068D"/>
    <w:rsid w:val="0087129C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43AC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AC8"/>
    <w:rsid w:val="00887DD9"/>
    <w:rsid w:val="00890139"/>
    <w:rsid w:val="00890349"/>
    <w:rsid w:val="00890DAF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2AD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13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BB5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1C3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4A68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BDB"/>
    <w:rsid w:val="008D7DBE"/>
    <w:rsid w:val="008E02B7"/>
    <w:rsid w:val="008E10C8"/>
    <w:rsid w:val="008E20BE"/>
    <w:rsid w:val="008E241B"/>
    <w:rsid w:val="008E270A"/>
    <w:rsid w:val="008E2EC9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CC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753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A7D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2D5E"/>
    <w:rsid w:val="0091363D"/>
    <w:rsid w:val="00913B74"/>
    <w:rsid w:val="00913EBB"/>
    <w:rsid w:val="009141BB"/>
    <w:rsid w:val="00914B55"/>
    <w:rsid w:val="00914DC4"/>
    <w:rsid w:val="00915329"/>
    <w:rsid w:val="0091588C"/>
    <w:rsid w:val="00915C73"/>
    <w:rsid w:val="00915DB5"/>
    <w:rsid w:val="00915DF4"/>
    <w:rsid w:val="00915FC5"/>
    <w:rsid w:val="00916068"/>
    <w:rsid w:val="009163B7"/>
    <w:rsid w:val="00916BF5"/>
    <w:rsid w:val="00916CCB"/>
    <w:rsid w:val="009175B8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6D"/>
    <w:rsid w:val="00922482"/>
    <w:rsid w:val="00922A2B"/>
    <w:rsid w:val="009230D6"/>
    <w:rsid w:val="00924A6C"/>
    <w:rsid w:val="00924ED4"/>
    <w:rsid w:val="00924F63"/>
    <w:rsid w:val="0092523C"/>
    <w:rsid w:val="00925FB2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5F2A"/>
    <w:rsid w:val="00936145"/>
    <w:rsid w:val="009361E8"/>
    <w:rsid w:val="00936247"/>
    <w:rsid w:val="00936501"/>
    <w:rsid w:val="009366AD"/>
    <w:rsid w:val="00936F8E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4C7"/>
    <w:rsid w:val="0094368C"/>
    <w:rsid w:val="00943893"/>
    <w:rsid w:val="0094404D"/>
    <w:rsid w:val="00944312"/>
    <w:rsid w:val="009443DC"/>
    <w:rsid w:val="009444BD"/>
    <w:rsid w:val="00944AE2"/>
    <w:rsid w:val="0094526B"/>
    <w:rsid w:val="009456EB"/>
    <w:rsid w:val="00945E7E"/>
    <w:rsid w:val="00945E8F"/>
    <w:rsid w:val="0094607D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4AF"/>
    <w:rsid w:val="009545D6"/>
    <w:rsid w:val="00954F67"/>
    <w:rsid w:val="00955AA9"/>
    <w:rsid w:val="00955AB2"/>
    <w:rsid w:val="00955E60"/>
    <w:rsid w:val="00955EC8"/>
    <w:rsid w:val="00956281"/>
    <w:rsid w:val="0095699A"/>
    <w:rsid w:val="00956B34"/>
    <w:rsid w:val="0095702D"/>
    <w:rsid w:val="009571A6"/>
    <w:rsid w:val="0095752A"/>
    <w:rsid w:val="009577C1"/>
    <w:rsid w:val="0095788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676"/>
    <w:rsid w:val="00981D1C"/>
    <w:rsid w:val="00982214"/>
    <w:rsid w:val="009823D4"/>
    <w:rsid w:val="00982474"/>
    <w:rsid w:val="0098307F"/>
    <w:rsid w:val="00983285"/>
    <w:rsid w:val="00983440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73B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3F74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99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31B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8CF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C1F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5B94"/>
    <w:rsid w:val="009E6223"/>
    <w:rsid w:val="009E6341"/>
    <w:rsid w:val="009E70C2"/>
    <w:rsid w:val="009E725F"/>
    <w:rsid w:val="009E79CF"/>
    <w:rsid w:val="009E7F2E"/>
    <w:rsid w:val="009F009C"/>
    <w:rsid w:val="009F0345"/>
    <w:rsid w:val="009F04E0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19F"/>
    <w:rsid w:val="009F4CDA"/>
    <w:rsid w:val="009F4F6A"/>
    <w:rsid w:val="009F57C6"/>
    <w:rsid w:val="009F59BF"/>
    <w:rsid w:val="009F5F68"/>
    <w:rsid w:val="009F776E"/>
    <w:rsid w:val="00A004E7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6D7"/>
    <w:rsid w:val="00A07D26"/>
    <w:rsid w:val="00A1036E"/>
    <w:rsid w:val="00A104A1"/>
    <w:rsid w:val="00A10BF6"/>
    <w:rsid w:val="00A10D80"/>
    <w:rsid w:val="00A10FC7"/>
    <w:rsid w:val="00A11370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9BE"/>
    <w:rsid w:val="00A15AA3"/>
    <w:rsid w:val="00A15B2D"/>
    <w:rsid w:val="00A1616C"/>
    <w:rsid w:val="00A163CD"/>
    <w:rsid w:val="00A16778"/>
    <w:rsid w:val="00A16B57"/>
    <w:rsid w:val="00A178A4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6E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439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57"/>
    <w:rsid w:val="00A336F9"/>
    <w:rsid w:val="00A33983"/>
    <w:rsid w:val="00A33CCF"/>
    <w:rsid w:val="00A34BF6"/>
    <w:rsid w:val="00A35578"/>
    <w:rsid w:val="00A3578D"/>
    <w:rsid w:val="00A35D65"/>
    <w:rsid w:val="00A3630A"/>
    <w:rsid w:val="00A36CF6"/>
    <w:rsid w:val="00A36EC5"/>
    <w:rsid w:val="00A37EDA"/>
    <w:rsid w:val="00A4035D"/>
    <w:rsid w:val="00A4092B"/>
    <w:rsid w:val="00A40C3F"/>
    <w:rsid w:val="00A413A3"/>
    <w:rsid w:val="00A42668"/>
    <w:rsid w:val="00A42CD1"/>
    <w:rsid w:val="00A42EA2"/>
    <w:rsid w:val="00A43270"/>
    <w:rsid w:val="00A43ACE"/>
    <w:rsid w:val="00A44D93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13F"/>
    <w:rsid w:val="00A50E52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06BE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507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29"/>
    <w:rsid w:val="00A71BA4"/>
    <w:rsid w:val="00A71E2E"/>
    <w:rsid w:val="00A71FD1"/>
    <w:rsid w:val="00A720C2"/>
    <w:rsid w:val="00A72364"/>
    <w:rsid w:val="00A7248F"/>
    <w:rsid w:val="00A72733"/>
    <w:rsid w:val="00A72BC8"/>
    <w:rsid w:val="00A72C04"/>
    <w:rsid w:val="00A72FE2"/>
    <w:rsid w:val="00A73164"/>
    <w:rsid w:val="00A73341"/>
    <w:rsid w:val="00A73C4A"/>
    <w:rsid w:val="00A748ED"/>
    <w:rsid w:val="00A75386"/>
    <w:rsid w:val="00A7593A"/>
    <w:rsid w:val="00A7597F"/>
    <w:rsid w:val="00A75D3F"/>
    <w:rsid w:val="00A75DB1"/>
    <w:rsid w:val="00A76479"/>
    <w:rsid w:val="00A768C8"/>
    <w:rsid w:val="00A76C21"/>
    <w:rsid w:val="00A76C50"/>
    <w:rsid w:val="00A77727"/>
    <w:rsid w:val="00A77D8B"/>
    <w:rsid w:val="00A81AB8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B9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6FFA"/>
    <w:rsid w:val="00A97234"/>
    <w:rsid w:val="00A9791D"/>
    <w:rsid w:val="00A97962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5E12"/>
    <w:rsid w:val="00AA65CF"/>
    <w:rsid w:val="00AA6A88"/>
    <w:rsid w:val="00AA6DBB"/>
    <w:rsid w:val="00AA7681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88B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095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16"/>
    <w:rsid w:val="00AE0B75"/>
    <w:rsid w:val="00AE0D8D"/>
    <w:rsid w:val="00AE23C8"/>
    <w:rsid w:val="00AE265A"/>
    <w:rsid w:val="00AE29C5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42D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B32"/>
    <w:rsid w:val="00AF1DDA"/>
    <w:rsid w:val="00AF23D9"/>
    <w:rsid w:val="00AF23F3"/>
    <w:rsid w:val="00AF290E"/>
    <w:rsid w:val="00AF29FA"/>
    <w:rsid w:val="00AF2AE3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52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07F84"/>
    <w:rsid w:val="00B104EA"/>
    <w:rsid w:val="00B107CB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17D95"/>
    <w:rsid w:val="00B200D3"/>
    <w:rsid w:val="00B2060E"/>
    <w:rsid w:val="00B20DCF"/>
    <w:rsid w:val="00B20E76"/>
    <w:rsid w:val="00B20F8A"/>
    <w:rsid w:val="00B210B1"/>
    <w:rsid w:val="00B215EB"/>
    <w:rsid w:val="00B22522"/>
    <w:rsid w:val="00B2288A"/>
    <w:rsid w:val="00B24D66"/>
    <w:rsid w:val="00B24FA9"/>
    <w:rsid w:val="00B24FC2"/>
    <w:rsid w:val="00B25504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8B6"/>
    <w:rsid w:val="00B319FE"/>
    <w:rsid w:val="00B322C6"/>
    <w:rsid w:val="00B3232C"/>
    <w:rsid w:val="00B32F0B"/>
    <w:rsid w:val="00B331B8"/>
    <w:rsid w:val="00B336DA"/>
    <w:rsid w:val="00B33786"/>
    <w:rsid w:val="00B337A4"/>
    <w:rsid w:val="00B33BB9"/>
    <w:rsid w:val="00B33EEB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58D0"/>
    <w:rsid w:val="00B45FC3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5F5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0E25"/>
    <w:rsid w:val="00B6107E"/>
    <w:rsid w:val="00B61194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D84"/>
    <w:rsid w:val="00B65E01"/>
    <w:rsid w:val="00B665BB"/>
    <w:rsid w:val="00B66800"/>
    <w:rsid w:val="00B668CA"/>
    <w:rsid w:val="00B66A98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956"/>
    <w:rsid w:val="00B93D97"/>
    <w:rsid w:val="00B94258"/>
    <w:rsid w:val="00B942F0"/>
    <w:rsid w:val="00B94392"/>
    <w:rsid w:val="00B94797"/>
    <w:rsid w:val="00B94F8A"/>
    <w:rsid w:val="00B954F2"/>
    <w:rsid w:val="00B955F5"/>
    <w:rsid w:val="00B95663"/>
    <w:rsid w:val="00B95A36"/>
    <w:rsid w:val="00B95CCC"/>
    <w:rsid w:val="00B95F44"/>
    <w:rsid w:val="00B962C7"/>
    <w:rsid w:val="00B96AF7"/>
    <w:rsid w:val="00B96D3C"/>
    <w:rsid w:val="00B97345"/>
    <w:rsid w:val="00B97577"/>
    <w:rsid w:val="00BA01E0"/>
    <w:rsid w:val="00BA059B"/>
    <w:rsid w:val="00BA0FE9"/>
    <w:rsid w:val="00BA139F"/>
    <w:rsid w:val="00BA1A0B"/>
    <w:rsid w:val="00BA1E85"/>
    <w:rsid w:val="00BA27BF"/>
    <w:rsid w:val="00BA2E8B"/>
    <w:rsid w:val="00BA359B"/>
    <w:rsid w:val="00BA398B"/>
    <w:rsid w:val="00BA3A93"/>
    <w:rsid w:val="00BA4D05"/>
    <w:rsid w:val="00BA5165"/>
    <w:rsid w:val="00BA5370"/>
    <w:rsid w:val="00BA5599"/>
    <w:rsid w:val="00BA5A40"/>
    <w:rsid w:val="00BA5FD5"/>
    <w:rsid w:val="00BA62AB"/>
    <w:rsid w:val="00BA62C0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2EE8"/>
    <w:rsid w:val="00BB4178"/>
    <w:rsid w:val="00BB4A6F"/>
    <w:rsid w:val="00BB4D66"/>
    <w:rsid w:val="00BB4EA2"/>
    <w:rsid w:val="00BB56B1"/>
    <w:rsid w:val="00BB5759"/>
    <w:rsid w:val="00BB59A6"/>
    <w:rsid w:val="00BB5A30"/>
    <w:rsid w:val="00BB5B98"/>
    <w:rsid w:val="00BB607A"/>
    <w:rsid w:val="00BB67AC"/>
    <w:rsid w:val="00BB7BAC"/>
    <w:rsid w:val="00BC08D8"/>
    <w:rsid w:val="00BC08FC"/>
    <w:rsid w:val="00BC129D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40F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5BE1"/>
    <w:rsid w:val="00C15F3C"/>
    <w:rsid w:val="00C160D9"/>
    <w:rsid w:val="00C165B6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222"/>
    <w:rsid w:val="00C20358"/>
    <w:rsid w:val="00C20A09"/>
    <w:rsid w:val="00C20AEB"/>
    <w:rsid w:val="00C20F22"/>
    <w:rsid w:val="00C21FF8"/>
    <w:rsid w:val="00C220F2"/>
    <w:rsid w:val="00C223A0"/>
    <w:rsid w:val="00C2370B"/>
    <w:rsid w:val="00C2380E"/>
    <w:rsid w:val="00C23BBD"/>
    <w:rsid w:val="00C2411E"/>
    <w:rsid w:val="00C243C3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8F4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E23"/>
    <w:rsid w:val="00C33F26"/>
    <w:rsid w:val="00C340CF"/>
    <w:rsid w:val="00C340E9"/>
    <w:rsid w:val="00C34101"/>
    <w:rsid w:val="00C348FE"/>
    <w:rsid w:val="00C349A5"/>
    <w:rsid w:val="00C34FBC"/>
    <w:rsid w:val="00C35087"/>
    <w:rsid w:val="00C3523B"/>
    <w:rsid w:val="00C35947"/>
    <w:rsid w:val="00C35BD7"/>
    <w:rsid w:val="00C3652B"/>
    <w:rsid w:val="00C36FFE"/>
    <w:rsid w:val="00C40A83"/>
    <w:rsid w:val="00C40D37"/>
    <w:rsid w:val="00C412E1"/>
    <w:rsid w:val="00C416FD"/>
    <w:rsid w:val="00C41A23"/>
    <w:rsid w:val="00C41E73"/>
    <w:rsid w:val="00C41FA0"/>
    <w:rsid w:val="00C4271F"/>
    <w:rsid w:val="00C42A6C"/>
    <w:rsid w:val="00C42B60"/>
    <w:rsid w:val="00C43137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150A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1F3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3E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4B86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529"/>
    <w:rsid w:val="00C8290C"/>
    <w:rsid w:val="00C84B30"/>
    <w:rsid w:val="00C8512B"/>
    <w:rsid w:val="00C8575D"/>
    <w:rsid w:val="00C85782"/>
    <w:rsid w:val="00C858C8"/>
    <w:rsid w:val="00C85A79"/>
    <w:rsid w:val="00C86242"/>
    <w:rsid w:val="00C86BF7"/>
    <w:rsid w:val="00C86D64"/>
    <w:rsid w:val="00C87CDD"/>
    <w:rsid w:val="00C909EE"/>
    <w:rsid w:val="00C90E27"/>
    <w:rsid w:val="00C910ED"/>
    <w:rsid w:val="00C911B5"/>
    <w:rsid w:val="00C914C9"/>
    <w:rsid w:val="00C9156F"/>
    <w:rsid w:val="00C916A9"/>
    <w:rsid w:val="00C916D2"/>
    <w:rsid w:val="00C918F6"/>
    <w:rsid w:val="00C91E57"/>
    <w:rsid w:val="00C922E8"/>
    <w:rsid w:val="00C93188"/>
    <w:rsid w:val="00C9353F"/>
    <w:rsid w:val="00C93C84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007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D7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F42"/>
    <w:rsid w:val="00CC4598"/>
    <w:rsid w:val="00CC566D"/>
    <w:rsid w:val="00CC5A86"/>
    <w:rsid w:val="00CC66B4"/>
    <w:rsid w:val="00CC66D5"/>
    <w:rsid w:val="00CC6AA6"/>
    <w:rsid w:val="00CC6ACF"/>
    <w:rsid w:val="00CC722F"/>
    <w:rsid w:val="00CC726E"/>
    <w:rsid w:val="00CC7476"/>
    <w:rsid w:val="00CC75EE"/>
    <w:rsid w:val="00CD06A8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59B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B23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23E"/>
    <w:rsid w:val="00D015A8"/>
    <w:rsid w:val="00D024B3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986"/>
    <w:rsid w:val="00D06B3C"/>
    <w:rsid w:val="00D074E2"/>
    <w:rsid w:val="00D07684"/>
    <w:rsid w:val="00D076A6"/>
    <w:rsid w:val="00D078B2"/>
    <w:rsid w:val="00D07F59"/>
    <w:rsid w:val="00D104B2"/>
    <w:rsid w:val="00D10986"/>
    <w:rsid w:val="00D109A6"/>
    <w:rsid w:val="00D10B14"/>
    <w:rsid w:val="00D119AE"/>
    <w:rsid w:val="00D11BB2"/>
    <w:rsid w:val="00D11EBF"/>
    <w:rsid w:val="00D125CA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A0F"/>
    <w:rsid w:val="00D25CCC"/>
    <w:rsid w:val="00D26097"/>
    <w:rsid w:val="00D261C5"/>
    <w:rsid w:val="00D26332"/>
    <w:rsid w:val="00D26391"/>
    <w:rsid w:val="00D2699D"/>
    <w:rsid w:val="00D26D7A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AEE"/>
    <w:rsid w:val="00D32CDD"/>
    <w:rsid w:val="00D32E0D"/>
    <w:rsid w:val="00D3326D"/>
    <w:rsid w:val="00D33977"/>
    <w:rsid w:val="00D33EFD"/>
    <w:rsid w:val="00D34097"/>
    <w:rsid w:val="00D34F8F"/>
    <w:rsid w:val="00D35167"/>
    <w:rsid w:val="00D3544C"/>
    <w:rsid w:val="00D35640"/>
    <w:rsid w:val="00D3719F"/>
    <w:rsid w:val="00D371C8"/>
    <w:rsid w:val="00D40271"/>
    <w:rsid w:val="00D4046C"/>
    <w:rsid w:val="00D4061B"/>
    <w:rsid w:val="00D4083E"/>
    <w:rsid w:val="00D40F15"/>
    <w:rsid w:val="00D411DD"/>
    <w:rsid w:val="00D431DA"/>
    <w:rsid w:val="00D433D7"/>
    <w:rsid w:val="00D43450"/>
    <w:rsid w:val="00D43D75"/>
    <w:rsid w:val="00D43F48"/>
    <w:rsid w:val="00D43F90"/>
    <w:rsid w:val="00D44156"/>
    <w:rsid w:val="00D44198"/>
    <w:rsid w:val="00D44273"/>
    <w:rsid w:val="00D445B3"/>
    <w:rsid w:val="00D44C1D"/>
    <w:rsid w:val="00D450D5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3D0F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3F4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77623"/>
    <w:rsid w:val="00D801EB"/>
    <w:rsid w:val="00D80747"/>
    <w:rsid w:val="00D8099F"/>
    <w:rsid w:val="00D809FF"/>
    <w:rsid w:val="00D80E48"/>
    <w:rsid w:val="00D81046"/>
    <w:rsid w:val="00D810F2"/>
    <w:rsid w:val="00D81285"/>
    <w:rsid w:val="00D813CC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682D"/>
    <w:rsid w:val="00D87956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A2C"/>
    <w:rsid w:val="00D92BC6"/>
    <w:rsid w:val="00D92BF2"/>
    <w:rsid w:val="00D93295"/>
    <w:rsid w:val="00D9335B"/>
    <w:rsid w:val="00D93B6F"/>
    <w:rsid w:val="00D93DAF"/>
    <w:rsid w:val="00D93DC5"/>
    <w:rsid w:val="00D941AE"/>
    <w:rsid w:val="00D94381"/>
    <w:rsid w:val="00D94912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C39"/>
    <w:rsid w:val="00DA7E15"/>
    <w:rsid w:val="00DA7FC8"/>
    <w:rsid w:val="00DB02FF"/>
    <w:rsid w:val="00DB10BD"/>
    <w:rsid w:val="00DB1112"/>
    <w:rsid w:val="00DB1433"/>
    <w:rsid w:val="00DB197C"/>
    <w:rsid w:val="00DB1AAF"/>
    <w:rsid w:val="00DB1FCD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15D"/>
    <w:rsid w:val="00DC43AE"/>
    <w:rsid w:val="00DC466F"/>
    <w:rsid w:val="00DC4841"/>
    <w:rsid w:val="00DC48C4"/>
    <w:rsid w:val="00DC4CF6"/>
    <w:rsid w:val="00DC51EE"/>
    <w:rsid w:val="00DC54D8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016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0D3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12A"/>
    <w:rsid w:val="00DF48A8"/>
    <w:rsid w:val="00DF4D08"/>
    <w:rsid w:val="00DF572E"/>
    <w:rsid w:val="00DF596A"/>
    <w:rsid w:val="00DF62EA"/>
    <w:rsid w:val="00DF650F"/>
    <w:rsid w:val="00DF6689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014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1F29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A65"/>
    <w:rsid w:val="00E21F2D"/>
    <w:rsid w:val="00E22A26"/>
    <w:rsid w:val="00E22DD9"/>
    <w:rsid w:val="00E2336E"/>
    <w:rsid w:val="00E23655"/>
    <w:rsid w:val="00E23AB9"/>
    <w:rsid w:val="00E23AC4"/>
    <w:rsid w:val="00E23ED2"/>
    <w:rsid w:val="00E2405C"/>
    <w:rsid w:val="00E254F8"/>
    <w:rsid w:val="00E256F7"/>
    <w:rsid w:val="00E257C2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1FD"/>
    <w:rsid w:val="00E34706"/>
    <w:rsid w:val="00E34791"/>
    <w:rsid w:val="00E34C42"/>
    <w:rsid w:val="00E34ED4"/>
    <w:rsid w:val="00E35580"/>
    <w:rsid w:val="00E3658B"/>
    <w:rsid w:val="00E36DD5"/>
    <w:rsid w:val="00E37347"/>
    <w:rsid w:val="00E374C0"/>
    <w:rsid w:val="00E3751A"/>
    <w:rsid w:val="00E375E5"/>
    <w:rsid w:val="00E377A6"/>
    <w:rsid w:val="00E37ABC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5AB"/>
    <w:rsid w:val="00E438F7"/>
    <w:rsid w:val="00E43DB5"/>
    <w:rsid w:val="00E43E29"/>
    <w:rsid w:val="00E43EE5"/>
    <w:rsid w:val="00E441A9"/>
    <w:rsid w:val="00E44ACD"/>
    <w:rsid w:val="00E44CB9"/>
    <w:rsid w:val="00E45343"/>
    <w:rsid w:val="00E45934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5BC6"/>
    <w:rsid w:val="00E560CE"/>
    <w:rsid w:val="00E56344"/>
    <w:rsid w:val="00E5685B"/>
    <w:rsid w:val="00E56C79"/>
    <w:rsid w:val="00E57459"/>
    <w:rsid w:val="00E57743"/>
    <w:rsid w:val="00E57D49"/>
    <w:rsid w:val="00E57E87"/>
    <w:rsid w:val="00E6005C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4C84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4AA"/>
    <w:rsid w:val="00E7593F"/>
    <w:rsid w:val="00E76497"/>
    <w:rsid w:val="00E76C33"/>
    <w:rsid w:val="00E76CB8"/>
    <w:rsid w:val="00E77D1D"/>
    <w:rsid w:val="00E8011B"/>
    <w:rsid w:val="00E801F3"/>
    <w:rsid w:val="00E801FE"/>
    <w:rsid w:val="00E80768"/>
    <w:rsid w:val="00E80E1E"/>
    <w:rsid w:val="00E82135"/>
    <w:rsid w:val="00E82532"/>
    <w:rsid w:val="00E82862"/>
    <w:rsid w:val="00E82CA0"/>
    <w:rsid w:val="00E82E17"/>
    <w:rsid w:val="00E834CA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01C"/>
    <w:rsid w:val="00E92341"/>
    <w:rsid w:val="00E92F92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0F58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B95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49B"/>
    <w:rsid w:val="00EB16EB"/>
    <w:rsid w:val="00EB182C"/>
    <w:rsid w:val="00EB19D9"/>
    <w:rsid w:val="00EB2287"/>
    <w:rsid w:val="00EB269D"/>
    <w:rsid w:val="00EB2759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CA1"/>
    <w:rsid w:val="00EC0DD3"/>
    <w:rsid w:val="00EC101A"/>
    <w:rsid w:val="00EC1394"/>
    <w:rsid w:val="00EC20D7"/>
    <w:rsid w:val="00EC226A"/>
    <w:rsid w:val="00EC229B"/>
    <w:rsid w:val="00EC28DD"/>
    <w:rsid w:val="00EC2CF1"/>
    <w:rsid w:val="00EC2EE6"/>
    <w:rsid w:val="00EC3012"/>
    <w:rsid w:val="00EC3713"/>
    <w:rsid w:val="00EC37A0"/>
    <w:rsid w:val="00EC3A31"/>
    <w:rsid w:val="00EC3FA5"/>
    <w:rsid w:val="00EC42FA"/>
    <w:rsid w:val="00EC4BE9"/>
    <w:rsid w:val="00EC51B6"/>
    <w:rsid w:val="00EC552D"/>
    <w:rsid w:val="00EC5B93"/>
    <w:rsid w:val="00EC6B07"/>
    <w:rsid w:val="00EC774B"/>
    <w:rsid w:val="00ED02CF"/>
    <w:rsid w:val="00ED0A68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87E"/>
    <w:rsid w:val="00ED3F38"/>
    <w:rsid w:val="00ED3F63"/>
    <w:rsid w:val="00ED4124"/>
    <w:rsid w:val="00ED48D1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51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0EA2"/>
    <w:rsid w:val="00EF128D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46A3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6992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E84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0D03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BF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184"/>
    <w:rsid w:val="00F319F9"/>
    <w:rsid w:val="00F32A93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2E77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48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361"/>
    <w:rsid w:val="00F56C88"/>
    <w:rsid w:val="00F57339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19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A3"/>
    <w:rsid w:val="00F741FA"/>
    <w:rsid w:val="00F7430B"/>
    <w:rsid w:val="00F745D9"/>
    <w:rsid w:val="00F7523E"/>
    <w:rsid w:val="00F75805"/>
    <w:rsid w:val="00F759D7"/>
    <w:rsid w:val="00F75B3D"/>
    <w:rsid w:val="00F75C98"/>
    <w:rsid w:val="00F75ED8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CD9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D12"/>
    <w:rsid w:val="00F91E36"/>
    <w:rsid w:val="00F922ED"/>
    <w:rsid w:val="00F92A2D"/>
    <w:rsid w:val="00F9326D"/>
    <w:rsid w:val="00F93565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8EA"/>
    <w:rsid w:val="00F96923"/>
    <w:rsid w:val="00F96E26"/>
    <w:rsid w:val="00F970DB"/>
    <w:rsid w:val="00F9766C"/>
    <w:rsid w:val="00F97CAA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1B1"/>
    <w:rsid w:val="00FA3460"/>
    <w:rsid w:val="00FA38A1"/>
    <w:rsid w:val="00FA3A91"/>
    <w:rsid w:val="00FA3C01"/>
    <w:rsid w:val="00FA3F41"/>
    <w:rsid w:val="00FA43FD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426"/>
    <w:rsid w:val="00FB2506"/>
    <w:rsid w:val="00FB275F"/>
    <w:rsid w:val="00FB2D0D"/>
    <w:rsid w:val="00FB306B"/>
    <w:rsid w:val="00FB3784"/>
    <w:rsid w:val="00FB4E0F"/>
    <w:rsid w:val="00FB50C2"/>
    <w:rsid w:val="00FB529D"/>
    <w:rsid w:val="00FB56C5"/>
    <w:rsid w:val="00FB57EF"/>
    <w:rsid w:val="00FB59E5"/>
    <w:rsid w:val="00FB5DDD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6E1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70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036"/>
    <w:rsid w:val="00FE713B"/>
    <w:rsid w:val="00FE7651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545"/>
    <w:rsid w:val="00FF68D8"/>
    <w:rsid w:val="00FF7932"/>
    <w:rsid w:val="093153F3"/>
    <w:rsid w:val="0C63078F"/>
    <w:rsid w:val="1A6629E3"/>
    <w:rsid w:val="1D053B17"/>
    <w:rsid w:val="1E3B8DA8"/>
    <w:rsid w:val="22326BF7"/>
    <w:rsid w:val="2648896A"/>
    <w:rsid w:val="33573CE1"/>
    <w:rsid w:val="35AAD025"/>
    <w:rsid w:val="43E8E9C4"/>
    <w:rsid w:val="4A7747F2"/>
    <w:rsid w:val="519D5713"/>
    <w:rsid w:val="540E1800"/>
    <w:rsid w:val="5486FCDD"/>
    <w:rsid w:val="5A0A68F4"/>
    <w:rsid w:val="5BAA2048"/>
    <w:rsid w:val="66BEEDFE"/>
    <w:rsid w:val="67C9E91F"/>
    <w:rsid w:val="6ADD06C9"/>
    <w:rsid w:val="6B65C5B7"/>
    <w:rsid w:val="6E14A78B"/>
    <w:rsid w:val="7C6B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79D89"/>
  <w15:docId w15:val="{1C71481E-BF37-4FBD-81F8-0768D2C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inegi.org.mx/programas/inpc/2018/default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chart" Target="charts/chart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inegi.org.mx/programas/inpc/2018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2018'!$S$233:$AB$233</c:f>
              <c:numCache>
                <c:formatCode>0.00</c:formatCode>
                <c:ptCount val="10"/>
                <c:pt idx="0">
                  <c:v>0.35919031778566257</c:v>
                </c:pt>
                <c:pt idx="1">
                  <c:v>0.21097409754704533</c:v>
                </c:pt>
                <c:pt idx="2">
                  <c:v>0.28185318468838538</c:v>
                </c:pt>
                <c:pt idx="3">
                  <c:v>0.49414435004593305</c:v>
                </c:pt>
                <c:pt idx="4">
                  <c:v>0.58343123970745481</c:v>
                </c:pt>
                <c:pt idx="5">
                  <c:v>-1.6395497989141194E-2</c:v>
                </c:pt>
                <c:pt idx="6">
                  <c:v>0.39369345891813179</c:v>
                </c:pt>
                <c:pt idx="7">
                  <c:v>0.19088334125014761</c:v>
                </c:pt>
                <c:pt idx="8">
                  <c:v>0.69541594820574648</c:v>
                </c:pt>
                <c:pt idx="9">
                  <c:v>0.55343392945852443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4-4E68-AB46-D9861A01CE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0.8"/>
          <c:min val="-0.1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1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2018'!$M$239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2018'!$S$248:$AB$248</c:f>
              <c:numCache>
                <c:formatCode>0.00</c:formatCode>
                <c:ptCount val="10"/>
                <c:pt idx="0">
                  <c:v>0.21231727827961677</c:v>
                </c:pt>
                <c:pt idx="1">
                  <c:v>0.2</c:v>
                </c:pt>
                <c:pt idx="2">
                  <c:v>0.18948313109865556</c:v>
                </c:pt>
                <c:pt idx="3">
                  <c:v>0.25</c:v>
                </c:pt>
                <c:pt idx="4">
                  <c:v>0.25</c:v>
                </c:pt>
                <c:pt idx="5">
                  <c:v>0.2</c:v>
                </c:pt>
                <c:pt idx="6">
                  <c:v>0.31680031454119906</c:v>
                </c:pt>
                <c:pt idx="7">
                  <c:v>0.42687301563859581</c:v>
                </c:pt>
                <c:pt idx="8">
                  <c:v>0.79867257064709651</c:v>
                </c:pt>
                <c:pt idx="9">
                  <c:v>0.27256372045618704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61-4AFB-8DEB-C195EA1B5602}"/>
            </c:ext>
          </c:extLst>
        </c:ser>
        <c:ser>
          <c:idx val="2"/>
          <c:order val="1"/>
          <c:tx>
            <c:strRef>
              <c:f>'Datos base 2q jul 2018'!$M$254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2018'!$S$263:$AB$263</c:f>
              <c:numCache>
                <c:formatCode>0.00</c:formatCode>
                <c:ptCount val="10"/>
                <c:pt idx="0">
                  <c:v>0.83308675180693292</c:v>
                </c:pt>
                <c:pt idx="1">
                  <c:v>0.24080585118397835</c:v>
                </c:pt>
                <c:pt idx="2">
                  <c:v>0.57757899718391403</c:v>
                </c:pt>
                <c:pt idx="3">
                  <c:v>1.2216531439340317</c:v>
                </c:pt>
                <c:pt idx="4">
                  <c:v>1.6145200585101271</c:v>
                </c:pt>
                <c:pt idx="5">
                  <c:v>-0.70094485039816634</c:v>
                </c:pt>
                <c:pt idx="6">
                  <c:v>0.63441956047378678</c:v>
                </c:pt>
                <c:pt idx="7">
                  <c:v>-0.51943603082763579</c:v>
                </c:pt>
                <c:pt idx="8">
                  <c:v>0.3893420814259807</c:v>
                </c:pt>
                <c:pt idx="9">
                  <c:v>1.4416020957280784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61-4AFB-8DEB-C195EA1B56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2"/>
          <c:min val="-1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0.5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4823338806516633E-3"/>
                  <c:y val="-4.380558357134209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52-44BC-A27B-4160DB3DEE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2018'!$A$110:$B$218</c:f>
              <c:multiLvlStrCache>
                <c:ptCount val="109"/>
                <c:lvl>
                  <c:pt idx="0">
                    <c:v>Ago</c:v>
                  </c:pt>
                  <c:pt idx="1">
                    <c:v>Sep</c:v>
                  </c:pt>
                  <c:pt idx="2">
                    <c:v>Oct</c:v>
                  </c:pt>
                  <c:pt idx="3">
                    <c:v>Nov</c:v>
                  </c:pt>
                  <c:pt idx="4">
                    <c:v>Dic</c:v>
                  </c:pt>
                  <c:pt idx="5">
                    <c:v>Ene</c:v>
                  </c:pt>
                  <c:pt idx="6">
                    <c:v>Feb</c:v>
                  </c:pt>
                  <c:pt idx="7">
                    <c:v>Mar</c:v>
                  </c:pt>
                  <c:pt idx="8">
                    <c:v>Abr</c:v>
                  </c:pt>
                  <c:pt idx="9">
                    <c:v>May</c:v>
                  </c:pt>
                  <c:pt idx="10">
                    <c:v>Jun</c:v>
                  </c:pt>
                  <c:pt idx="11">
                    <c:v>Jul</c:v>
                  </c:pt>
                  <c:pt idx="12">
                    <c:v>Ago</c:v>
                  </c:pt>
                  <c:pt idx="13">
                    <c:v>Sep</c:v>
                  </c:pt>
                  <c:pt idx="14">
                    <c:v>Oct</c:v>
                  </c:pt>
                  <c:pt idx="15">
                    <c:v>Nov</c:v>
                  </c:pt>
                  <c:pt idx="16">
                    <c:v>Dic</c:v>
                  </c:pt>
                  <c:pt idx="17">
                    <c:v>Ene </c:v>
                  </c:pt>
                  <c:pt idx="18">
                    <c:v>Feb</c:v>
                  </c:pt>
                  <c:pt idx="19">
                    <c:v>Mar</c:v>
                  </c:pt>
                  <c:pt idx="20">
                    <c:v>Abr</c:v>
                  </c:pt>
                  <c:pt idx="21">
                    <c:v>May</c:v>
                  </c:pt>
                  <c:pt idx="22">
                    <c:v>Jun</c:v>
                  </c:pt>
                  <c:pt idx="23">
                    <c:v>Jul</c:v>
                  </c:pt>
                  <c:pt idx="24">
                    <c:v>Ago</c:v>
                  </c:pt>
                  <c:pt idx="25">
                    <c:v>Sep</c:v>
                  </c:pt>
                  <c:pt idx="26">
                    <c:v>Oct</c:v>
                  </c:pt>
                  <c:pt idx="27">
                    <c:v>Nov</c:v>
                  </c:pt>
                  <c:pt idx="28">
                    <c:v>Dic</c:v>
                  </c:pt>
                  <c:pt idx="29">
                    <c:v>Ene </c:v>
                  </c:pt>
                  <c:pt idx="30">
                    <c:v>Feb</c:v>
                  </c:pt>
                  <c:pt idx="31">
                    <c:v>Mar</c:v>
                  </c:pt>
                  <c:pt idx="32">
                    <c:v>Abr</c:v>
                  </c:pt>
                  <c:pt idx="33">
                    <c:v>May</c:v>
                  </c:pt>
                  <c:pt idx="34">
                    <c:v>Jun</c:v>
                  </c:pt>
                  <c:pt idx="35">
                    <c:v>Jul</c:v>
                  </c:pt>
                  <c:pt idx="36">
                    <c:v>Ago</c:v>
                  </c:pt>
                  <c:pt idx="37">
                    <c:v>Sep</c:v>
                  </c:pt>
                  <c:pt idx="38">
                    <c:v>Oct</c:v>
                  </c:pt>
                  <c:pt idx="39">
                    <c:v>Nov</c:v>
                  </c:pt>
                  <c:pt idx="40">
                    <c:v>Dic</c:v>
                  </c:pt>
                  <c:pt idx="41">
                    <c:v>Ene </c:v>
                  </c:pt>
                  <c:pt idx="42">
                    <c:v>Feb</c:v>
                  </c:pt>
                  <c:pt idx="43">
                    <c:v>Mar</c:v>
                  </c:pt>
                  <c:pt idx="44">
                    <c:v>Abr</c:v>
                  </c:pt>
                  <c:pt idx="45">
                    <c:v>May</c:v>
                  </c:pt>
                  <c:pt idx="46">
                    <c:v>Jun</c:v>
                  </c:pt>
                  <c:pt idx="47">
                    <c:v>Jul</c:v>
                  </c:pt>
                  <c:pt idx="48">
                    <c:v>Ago</c:v>
                  </c:pt>
                  <c:pt idx="49">
                    <c:v>Sep</c:v>
                  </c:pt>
                  <c:pt idx="50">
                    <c:v>Oct</c:v>
                  </c:pt>
                  <c:pt idx="51">
                    <c:v>Nov</c:v>
                  </c:pt>
                  <c:pt idx="52">
                    <c:v>Dic</c:v>
                  </c:pt>
                  <c:pt idx="53">
                    <c:v>Ene </c:v>
                  </c:pt>
                  <c:pt idx="54">
                    <c:v>Feb</c:v>
                  </c:pt>
                  <c:pt idx="55">
                    <c:v>Mar</c:v>
                  </c:pt>
                  <c:pt idx="56">
                    <c:v>Abr</c:v>
                  </c:pt>
                  <c:pt idx="57">
                    <c:v>May</c:v>
                  </c:pt>
                  <c:pt idx="58">
                    <c:v>Jun</c:v>
                  </c:pt>
                  <c:pt idx="59">
                    <c:v>Jul</c:v>
                  </c:pt>
                  <c:pt idx="60">
                    <c:v>Ago</c:v>
                  </c:pt>
                  <c:pt idx="61">
                    <c:v>Sep</c:v>
                  </c:pt>
                  <c:pt idx="62">
                    <c:v>Oct</c:v>
                  </c:pt>
                  <c:pt idx="63">
                    <c:v>Nov</c:v>
                  </c:pt>
                  <c:pt idx="64">
                    <c:v>Dic</c:v>
                  </c:pt>
                  <c:pt idx="65">
                    <c:v>Ene </c:v>
                  </c:pt>
                  <c:pt idx="66">
                    <c:v>Feb</c:v>
                  </c:pt>
                  <c:pt idx="67">
                    <c:v>Mar</c:v>
                  </c:pt>
                  <c:pt idx="68">
                    <c:v>Abr</c:v>
                  </c:pt>
                  <c:pt idx="69">
                    <c:v>May</c:v>
                  </c:pt>
                  <c:pt idx="70">
                    <c:v>Jun</c:v>
                  </c:pt>
                  <c:pt idx="71">
                    <c:v>Jul</c:v>
                  </c:pt>
                  <c:pt idx="72">
                    <c:v>Ago</c:v>
                  </c:pt>
                  <c:pt idx="73">
                    <c:v>Sep</c:v>
                  </c:pt>
                  <c:pt idx="74">
                    <c:v>Oct</c:v>
                  </c:pt>
                  <c:pt idx="75">
                    <c:v>Nov</c:v>
                  </c:pt>
                  <c:pt idx="76">
                    <c:v>Dic</c:v>
                  </c:pt>
                  <c:pt idx="77">
                    <c:v>Ene </c:v>
                  </c:pt>
                  <c:pt idx="78">
                    <c:v>Feb</c:v>
                  </c:pt>
                  <c:pt idx="79">
                    <c:v>Mar</c:v>
                  </c:pt>
                  <c:pt idx="80">
                    <c:v>Abr</c:v>
                  </c:pt>
                  <c:pt idx="81">
                    <c:v>May</c:v>
                  </c:pt>
                  <c:pt idx="82">
                    <c:v>Jun</c:v>
                  </c:pt>
                  <c:pt idx="83">
                    <c:v>Jul</c:v>
                  </c:pt>
                  <c:pt idx="84">
                    <c:v>Ago</c:v>
                  </c:pt>
                  <c:pt idx="85">
                    <c:v>Sep</c:v>
                  </c:pt>
                  <c:pt idx="86">
                    <c:v>Oct</c:v>
                  </c:pt>
                  <c:pt idx="87">
                    <c:v>Nov</c:v>
                  </c:pt>
                  <c:pt idx="88">
                    <c:v>Dic</c:v>
                  </c:pt>
                  <c:pt idx="89">
                    <c:v>Ene </c:v>
                  </c:pt>
                  <c:pt idx="90">
                    <c:v>Feb</c:v>
                  </c:pt>
                  <c:pt idx="91">
                    <c:v>Mar</c:v>
                  </c:pt>
                  <c:pt idx="92">
                    <c:v>Abr</c:v>
                  </c:pt>
                  <c:pt idx="93">
                    <c:v>May</c:v>
                  </c:pt>
                  <c:pt idx="94">
                    <c:v>Jun</c:v>
                  </c:pt>
                  <c:pt idx="95">
                    <c:v>Jul</c:v>
                  </c:pt>
                  <c:pt idx="96">
                    <c:v>Ago</c:v>
                  </c:pt>
                  <c:pt idx="97">
                    <c:v>Sep</c:v>
                  </c:pt>
                  <c:pt idx="98">
                    <c:v>Oct</c:v>
                  </c:pt>
                  <c:pt idx="99">
                    <c:v>Nov</c:v>
                  </c:pt>
                  <c:pt idx="100">
                    <c:v>Dic</c:v>
                  </c:pt>
                  <c:pt idx="101">
                    <c:v>Ene </c:v>
                  </c:pt>
                  <c:pt idx="102">
                    <c:v>Feb</c:v>
                  </c:pt>
                  <c:pt idx="103">
                    <c:v>Mar</c:v>
                  </c:pt>
                  <c:pt idx="104">
                    <c:v>Abr</c:v>
                  </c:pt>
                  <c:pt idx="105">
                    <c:v>May</c:v>
                  </c:pt>
                  <c:pt idx="106">
                    <c:v>Jun</c:v>
                  </c:pt>
                  <c:pt idx="107">
                    <c:v>Jul</c:v>
                  </c:pt>
                  <c:pt idx="108">
                    <c:v>Ago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2015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2016</c:v>
                  </c:pt>
                  <c:pt idx="18">
                    <c:v>2016</c:v>
                  </c:pt>
                  <c:pt idx="19">
                    <c:v>2016</c:v>
                  </c:pt>
                  <c:pt idx="20">
                    <c:v>2016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2017</c:v>
                  </c:pt>
                  <c:pt idx="30">
                    <c:v>2017</c:v>
                  </c:pt>
                  <c:pt idx="31">
                    <c:v>2017</c:v>
                  </c:pt>
                  <c:pt idx="32">
                    <c:v>2017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2018</c:v>
                  </c:pt>
                  <c:pt idx="42">
                    <c:v>2018</c:v>
                  </c:pt>
                  <c:pt idx="43">
                    <c:v>2018</c:v>
                  </c:pt>
                  <c:pt idx="44">
                    <c:v>2018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2019</c:v>
                  </c:pt>
                  <c:pt idx="54">
                    <c:v>2019</c:v>
                  </c:pt>
                  <c:pt idx="55">
                    <c:v>2019</c:v>
                  </c:pt>
                  <c:pt idx="56">
                    <c:v>2019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2020</c:v>
                  </c:pt>
                  <c:pt idx="66">
                    <c:v>2020</c:v>
                  </c:pt>
                  <c:pt idx="67">
                    <c:v>2020</c:v>
                  </c:pt>
                  <c:pt idx="68">
                    <c:v>2020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2021</c:v>
                  </c:pt>
                  <c:pt idx="78">
                    <c:v>2021</c:v>
                  </c:pt>
                  <c:pt idx="79">
                    <c:v>2021</c:v>
                  </c:pt>
                  <c:pt idx="80">
                    <c:v>2021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2022</c:v>
                  </c:pt>
                  <c:pt idx="90">
                    <c:v>2022</c:v>
                  </c:pt>
                  <c:pt idx="91">
                    <c:v>2022</c:v>
                  </c:pt>
                  <c:pt idx="92">
                    <c:v>2022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2023</c:v>
                  </c:pt>
                  <c:pt idx="102">
                    <c:v>2023</c:v>
                  </c:pt>
                  <c:pt idx="103">
                    <c:v>2023</c:v>
                  </c:pt>
                  <c:pt idx="104">
                    <c:v>2023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2018'!$I$110:$I$218</c:f>
              <c:numCache>
                <c:formatCode>0.00</c:formatCode>
                <c:ptCount val="109"/>
                <c:pt idx="0">
                  <c:v>4.1499109421771312</c:v>
                </c:pt>
                <c:pt idx="1">
                  <c:v>4.2175837845747957</c:v>
                </c:pt>
                <c:pt idx="2">
                  <c:v>4.2977569004441785</c:v>
                </c:pt>
                <c:pt idx="3">
                  <c:v>4.1678692546354634</c:v>
                </c:pt>
                <c:pt idx="4">
                  <c:v>4.081321519532362</c:v>
                </c:pt>
                <c:pt idx="5">
                  <c:v>3.0656415270425881</c:v>
                </c:pt>
                <c:pt idx="6">
                  <c:v>3.0002659810258838</c:v>
                </c:pt>
                <c:pt idx="7">
                  <c:v>3.1370745983606585</c:v>
                </c:pt>
                <c:pt idx="8">
                  <c:v>3.0623272624198155</c:v>
                </c:pt>
                <c:pt idx="9">
                  <c:v>2.8766429390272257</c:v>
                </c:pt>
                <c:pt idx="10">
                  <c:v>2.8707794396841031</c:v>
                </c:pt>
                <c:pt idx="11">
                  <c:v>2.7390473494227265</c:v>
                </c:pt>
                <c:pt idx="12">
                  <c:v>2.5873164195414642</c:v>
                </c:pt>
                <c:pt idx="13">
                  <c:v>2.5188916876579719</c:v>
                </c:pt>
                <c:pt idx="14">
                  <c:v>2.4797283732951803</c:v>
                </c:pt>
                <c:pt idx="15">
                  <c:v>2.2148528482246053</c:v>
                </c:pt>
                <c:pt idx="16">
                  <c:v>2.1308127762598996</c:v>
                </c:pt>
                <c:pt idx="17">
                  <c:v>2.6131051968891468</c:v>
                </c:pt>
                <c:pt idx="18">
                  <c:v>2.8672508478667824</c:v>
                </c:pt>
                <c:pt idx="19">
                  <c:v>2.601009884523489</c:v>
                </c:pt>
                <c:pt idx="20">
                  <c:v>2.5415789247491909</c:v>
                </c:pt>
                <c:pt idx="21">
                  <c:v>2.5966621747692473</c:v>
                </c:pt>
                <c:pt idx="22">
                  <c:v>2.5379878921672696</c:v>
                </c:pt>
                <c:pt idx="23">
                  <c:v>2.6548291540373734</c:v>
                </c:pt>
                <c:pt idx="24">
                  <c:v>2.7274367765718726</c:v>
                </c:pt>
                <c:pt idx="25">
                  <c:v>2.9689493104125657</c:v>
                </c:pt>
                <c:pt idx="26">
                  <c:v>3.063623200749805</c:v>
                </c:pt>
                <c:pt idx="27">
                  <c:v>3.3053510770776118</c:v>
                </c:pt>
                <c:pt idx="28">
                  <c:v>3.3602740188299207</c:v>
                </c:pt>
                <c:pt idx="29">
                  <c:v>4.7182814496056453</c:v>
                </c:pt>
                <c:pt idx="30">
                  <c:v>4.8642316221077904</c:v>
                </c:pt>
                <c:pt idx="31">
                  <c:v>5.3525622279225935</c:v>
                </c:pt>
                <c:pt idx="32">
                  <c:v>5.8171698714189608</c:v>
                </c:pt>
                <c:pt idx="33">
                  <c:v>6.164014481771769</c:v>
                </c:pt>
                <c:pt idx="34">
                  <c:v>6.313655898604563</c:v>
                </c:pt>
                <c:pt idx="35">
                  <c:v>6.4381642633648415</c:v>
                </c:pt>
                <c:pt idx="36">
                  <c:v>6.6634880005356303</c:v>
                </c:pt>
                <c:pt idx="37">
                  <c:v>6.3478470530529556</c:v>
                </c:pt>
                <c:pt idx="38">
                  <c:v>6.3715322254074946</c:v>
                </c:pt>
                <c:pt idx="39">
                  <c:v>6.6345231359612793</c:v>
                </c:pt>
                <c:pt idx="40">
                  <c:v>6.7730481981797581</c:v>
                </c:pt>
                <c:pt idx="41">
                  <c:v>5.5458354066681883</c:v>
                </c:pt>
                <c:pt idx="42">
                  <c:v>5.3392170318710876</c:v>
                </c:pt>
                <c:pt idx="43">
                  <c:v>5.0354120567542688</c:v>
                </c:pt>
                <c:pt idx="44">
                  <c:v>4.5507834159790761</c:v>
                </c:pt>
                <c:pt idx="45">
                  <c:v>4.5062692817090664</c:v>
                </c:pt>
                <c:pt idx="46">
                  <c:v>4.646857793811197</c:v>
                </c:pt>
                <c:pt idx="47">
                  <c:v>4.8114055136107421</c:v>
                </c:pt>
                <c:pt idx="48">
                  <c:v>4.9045281971251713</c:v>
                </c:pt>
                <c:pt idx="49">
                  <c:v>5.0195736443800598</c:v>
                </c:pt>
                <c:pt idx="50">
                  <c:v>4.9036357279928389</c:v>
                </c:pt>
                <c:pt idx="51">
                  <c:v>4.7165339115996296</c:v>
                </c:pt>
                <c:pt idx="52">
                  <c:v>4.8305461995371113</c:v>
                </c:pt>
                <c:pt idx="53">
                  <c:v>4.3656058642822071</c:v>
                </c:pt>
                <c:pt idx="54">
                  <c:v>3.9402756478719825</c:v>
                </c:pt>
                <c:pt idx="55">
                  <c:v>4.0041779576547754</c:v>
                </c:pt>
                <c:pt idx="56">
                  <c:v>4.4134533855602065</c:v>
                </c:pt>
                <c:pt idx="57">
                  <c:v>4.2819932459612131</c:v>
                </c:pt>
                <c:pt idx="58">
                  <c:v>3.9471469134120252</c:v>
                </c:pt>
                <c:pt idx="59">
                  <c:v>3.7813381657400003</c:v>
                </c:pt>
                <c:pt idx="60">
                  <c:v>3.1624407913067643</c:v>
                </c:pt>
                <c:pt idx="61">
                  <c:v>2.9975128075547142</c:v>
                </c:pt>
                <c:pt idx="62">
                  <c:v>3.0195189274447864</c:v>
                </c:pt>
                <c:pt idx="63">
                  <c:v>2.9744973265691144</c:v>
                </c:pt>
                <c:pt idx="64">
                  <c:v>2.8285769753445988</c:v>
                </c:pt>
                <c:pt idx="65">
                  <c:v>3.2383520192419635</c:v>
                </c:pt>
                <c:pt idx="66">
                  <c:v>3.6961941811620269</c:v>
                </c:pt>
                <c:pt idx="67">
                  <c:v>3.249062584560658</c:v>
                </c:pt>
                <c:pt idx="68">
                  <c:v>2.1481488636253765</c:v>
                </c:pt>
                <c:pt idx="69">
                  <c:v>2.8372710276752588</c:v>
                </c:pt>
                <c:pt idx="70">
                  <c:v>3.3340109778410065</c:v>
                </c:pt>
                <c:pt idx="71">
                  <c:v>3.6234050556000374</c:v>
                </c:pt>
                <c:pt idx="72">
                  <c:v>4.0484228802932343</c:v>
                </c:pt>
                <c:pt idx="73">
                  <c:v>4.0137769140482282</c:v>
                </c:pt>
                <c:pt idx="74">
                  <c:v>4.0869640106025562</c:v>
                </c:pt>
                <c:pt idx="75">
                  <c:v>3.3318778121618209</c:v>
                </c:pt>
                <c:pt idx="76">
                  <c:v>3.1500745747352177</c:v>
                </c:pt>
                <c:pt idx="77">
                  <c:v>3.5350925812845713</c:v>
                </c:pt>
                <c:pt idx="78">
                  <c:v>3.759039751517923</c:v>
                </c:pt>
                <c:pt idx="79">
                  <c:v>4.6668788258859228</c:v>
                </c:pt>
                <c:pt idx="80">
                  <c:v>6.0848186846957697</c:v>
                </c:pt>
                <c:pt idx="81">
                  <c:v>5.8938226484052558</c:v>
                </c:pt>
                <c:pt idx="82">
                  <c:v>5.8786056228511629</c:v>
                </c:pt>
                <c:pt idx="83">
                  <c:v>5.8058151222962762</c:v>
                </c:pt>
                <c:pt idx="84">
                  <c:v>5.5920717179489543</c:v>
                </c:pt>
                <c:pt idx="85">
                  <c:v>6.0001479919344236</c:v>
                </c:pt>
                <c:pt idx="86">
                  <c:v>6.2395425377387959</c:v>
                </c:pt>
                <c:pt idx="87">
                  <c:v>7.3748805761740366</c:v>
                </c:pt>
                <c:pt idx="88">
                  <c:v>7.3551079426380284</c:v>
                </c:pt>
                <c:pt idx="89">
                  <c:v>7.0701388258778808</c:v>
                </c:pt>
                <c:pt idx="90">
                  <c:v>7.2799733109722542</c:v>
                </c:pt>
                <c:pt idx="91">
                  <c:v>7.453677207039644</c:v>
                </c:pt>
                <c:pt idx="92">
                  <c:v>7.6825028968713793</c:v>
                </c:pt>
                <c:pt idx="93">
                  <c:v>7.6526209982298532</c:v>
                </c:pt>
                <c:pt idx="94">
                  <c:v>7.9863384593604536</c:v>
                </c:pt>
                <c:pt idx="95">
                  <c:v>8.1508066360549414</c:v>
                </c:pt>
                <c:pt idx="96">
                  <c:v>8.6954231380433455</c:v>
                </c:pt>
                <c:pt idx="97">
                  <c:v>8.6997495658851065</c:v>
                </c:pt>
                <c:pt idx="98">
                  <c:v>8.406815448118298</c:v>
                </c:pt>
                <c:pt idx="99">
                  <c:v>7.7966188699907679</c:v>
                </c:pt>
                <c:pt idx="100">
                  <c:v>7.8170286766460872</c:v>
                </c:pt>
                <c:pt idx="101">
                  <c:v>7.9100354231284253</c:v>
                </c:pt>
                <c:pt idx="102">
                  <c:v>7.6188635160235663</c:v>
                </c:pt>
                <c:pt idx="103">
                  <c:v>6.8492580663953584</c:v>
                </c:pt>
                <c:pt idx="104">
                  <c:v>6.2528454005910117</c:v>
                </c:pt>
                <c:pt idx="105">
                  <c:v>5.8353026722414159</c:v>
                </c:pt>
                <c:pt idx="106">
                  <c:v>5.0555537347186208</c:v>
                </c:pt>
                <c:pt idx="107">
                  <c:v>4.78576308683345</c:v>
                </c:pt>
                <c:pt idx="108">
                  <c:v>4.6380136184098752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52-44BC-A27B-4160DB3DEE6B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4823338806516633E-3"/>
                  <c:y val="-1.066787277568963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52-44BC-A27B-4160DB3DEE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2018'!$A$110:$B$218</c:f>
              <c:multiLvlStrCache>
                <c:ptCount val="109"/>
                <c:lvl>
                  <c:pt idx="0">
                    <c:v>Ago</c:v>
                  </c:pt>
                  <c:pt idx="1">
                    <c:v>Sep</c:v>
                  </c:pt>
                  <c:pt idx="2">
                    <c:v>Oct</c:v>
                  </c:pt>
                  <c:pt idx="3">
                    <c:v>Nov</c:v>
                  </c:pt>
                  <c:pt idx="4">
                    <c:v>Dic</c:v>
                  </c:pt>
                  <c:pt idx="5">
                    <c:v>Ene</c:v>
                  </c:pt>
                  <c:pt idx="6">
                    <c:v>Feb</c:v>
                  </c:pt>
                  <c:pt idx="7">
                    <c:v>Mar</c:v>
                  </c:pt>
                  <c:pt idx="8">
                    <c:v>Abr</c:v>
                  </c:pt>
                  <c:pt idx="9">
                    <c:v>May</c:v>
                  </c:pt>
                  <c:pt idx="10">
                    <c:v>Jun</c:v>
                  </c:pt>
                  <c:pt idx="11">
                    <c:v>Jul</c:v>
                  </c:pt>
                  <c:pt idx="12">
                    <c:v>Ago</c:v>
                  </c:pt>
                  <c:pt idx="13">
                    <c:v>Sep</c:v>
                  </c:pt>
                  <c:pt idx="14">
                    <c:v>Oct</c:v>
                  </c:pt>
                  <c:pt idx="15">
                    <c:v>Nov</c:v>
                  </c:pt>
                  <c:pt idx="16">
                    <c:v>Dic</c:v>
                  </c:pt>
                  <c:pt idx="17">
                    <c:v>Ene </c:v>
                  </c:pt>
                  <c:pt idx="18">
                    <c:v>Feb</c:v>
                  </c:pt>
                  <c:pt idx="19">
                    <c:v>Mar</c:v>
                  </c:pt>
                  <c:pt idx="20">
                    <c:v>Abr</c:v>
                  </c:pt>
                  <c:pt idx="21">
                    <c:v>May</c:v>
                  </c:pt>
                  <c:pt idx="22">
                    <c:v>Jun</c:v>
                  </c:pt>
                  <c:pt idx="23">
                    <c:v>Jul</c:v>
                  </c:pt>
                  <c:pt idx="24">
                    <c:v>Ago</c:v>
                  </c:pt>
                  <c:pt idx="25">
                    <c:v>Sep</c:v>
                  </c:pt>
                  <c:pt idx="26">
                    <c:v>Oct</c:v>
                  </c:pt>
                  <c:pt idx="27">
                    <c:v>Nov</c:v>
                  </c:pt>
                  <c:pt idx="28">
                    <c:v>Dic</c:v>
                  </c:pt>
                  <c:pt idx="29">
                    <c:v>Ene </c:v>
                  </c:pt>
                  <c:pt idx="30">
                    <c:v>Feb</c:v>
                  </c:pt>
                  <c:pt idx="31">
                    <c:v>Mar</c:v>
                  </c:pt>
                  <c:pt idx="32">
                    <c:v>Abr</c:v>
                  </c:pt>
                  <c:pt idx="33">
                    <c:v>May</c:v>
                  </c:pt>
                  <c:pt idx="34">
                    <c:v>Jun</c:v>
                  </c:pt>
                  <c:pt idx="35">
                    <c:v>Jul</c:v>
                  </c:pt>
                  <c:pt idx="36">
                    <c:v>Ago</c:v>
                  </c:pt>
                  <c:pt idx="37">
                    <c:v>Sep</c:v>
                  </c:pt>
                  <c:pt idx="38">
                    <c:v>Oct</c:v>
                  </c:pt>
                  <c:pt idx="39">
                    <c:v>Nov</c:v>
                  </c:pt>
                  <c:pt idx="40">
                    <c:v>Dic</c:v>
                  </c:pt>
                  <c:pt idx="41">
                    <c:v>Ene </c:v>
                  </c:pt>
                  <c:pt idx="42">
                    <c:v>Feb</c:v>
                  </c:pt>
                  <c:pt idx="43">
                    <c:v>Mar</c:v>
                  </c:pt>
                  <c:pt idx="44">
                    <c:v>Abr</c:v>
                  </c:pt>
                  <c:pt idx="45">
                    <c:v>May</c:v>
                  </c:pt>
                  <c:pt idx="46">
                    <c:v>Jun</c:v>
                  </c:pt>
                  <c:pt idx="47">
                    <c:v>Jul</c:v>
                  </c:pt>
                  <c:pt idx="48">
                    <c:v>Ago</c:v>
                  </c:pt>
                  <c:pt idx="49">
                    <c:v>Sep</c:v>
                  </c:pt>
                  <c:pt idx="50">
                    <c:v>Oct</c:v>
                  </c:pt>
                  <c:pt idx="51">
                    <c:v>Nov</c:v>
                  </c:pt>
                  <c:pt idx="52">
                    <c:v>Dic</c:v>
                  </c:pt>
                  <c:pt idx="53">
                    <c:v>Ene </c:v>
                  </c:pt>
                  <c:pt idx="54">
                    <c:v>Feb</c:v>
                  </c:pt>
                  <c:pt idx="55">
                    <c:v>Mar</c:v>
                  </c:pt>
                  <c:pt idx="56">
                    <c:v>Abr</c:v>
                  </c:pt>
                  <c:pt idx="57">
                    <c:v>May</c:v>
                  </c:pt>
                  <c:pt idx="58">
                    <c:v>Jun</c:v>
                  </c:pt>
                  <c:pt idx="59">
                    <c:v>Jul</c:v>
                  </c:pt>
                  <c:pt idx="60">
                    <c:v>Ago</c:v>
                  </c:pt>
                  <c:pt idx="61">
                    <c:v>Sep</c:v>
                  </c:pt>
                  <c:pt idx="62">
                    <c:v>Oct</c:v>
                  </c:pt>
                  <c:pt idx="63">
                    <c:v>Nov</c:v>
                  </c:pt>
                  <c:pt idx="64">
                    <c:v>Dic</c:v>
                  </c:pt>
                  <c:pt idx="65">
                    <c:v>Ene </c:v>
                  </c:pt>
                  <c:pt idx="66">
                    <c:v>Feb</c:v>
                  </c:pt>
                  <c:pt idx="67">
                    <c:v>Mar</c:v>
                  </c:pt>
                  <c:pt idx="68">
                    <c:v>Abr</c:v>
                  </c:pt>
                  <c:pt idx="69">
                    <c:v>May</c:v>
                  </c:pt>
                  <c:pt idx="70">
                    <c:v>Jun</c:v>
                  </c:pt>
                  <c:pt idx="71">
                    <c:v>Jul</c:v>
                  </c:pt>
                  <c:pt idx="72">
                    <c:v>Ago</c:v>
                  </c:pt>
                  <c:pt idx="73">
                    <c:v>Sep</c:v>
                  </c:pt>
                  <c:pt idx="74">
                    <c:v>Oct</c:v>
                  </c:pt>
                  <c:pt idx="75">
                    <c:v>Nov</c:v>
                  </c:pt>
                  <c:pt idx="76">
                    <c:v>Dic</c:v>
                  </c:pt>
                  <c:pt idx="77">
                    <c:v>Ene </c:v>
                  </c:pt>
                  <c:pt idx="78">
                    <c:v>Feb</c:v>
                  </c:pt>
                  <c:pt idx="79">
                    <c:v>Mar</c:v>
                  </c:pt>
                  <c:pt idx="80">
                    <c:v>Abr</c:v>
                  </c:pt>
                  <c:pt idx="81">
                    <c:v>May</c:v>
                  </c:pt>
                  <c:pt idx="82">
                    <c:v>Jun</c:v>
                  </c:pt>
                  <c:pt idx="83">
                    <c:v>Jul</c:v>
                  </c:pt>
                  <c:pt idx="84">
                    <c:v>Ago</c:v>
                  </c:pt>
                  <c:pt idx="85">
                    <c:v>Sep</c:v>
                  </c:pt>
                  <c:pt idx="86">
                    <c:v>Oct</c:v>
                  </c:pt>
                  <c:pt idx="87">
                    <c:v>Nov</c:v>
                  </c:pt>
                  <c:pt idx="88">
                    <c:v>Dic</c:v>
                  </c:pt>
                  <c:pt idx="89">
                    <c:v>Ene </c:v>
                  </c:pt>
                  <c:pt idx="90">
                    <c:v>Feb</c:v>
                  </c:pt>
                  <c:pt idx="91">
                    <c:v>Mar</c:v>
                  </c:pt>
                  <c:pt idx="92">
                    <c:v>Abr</c:v>
                  </c:pt>
                  <c:pt idx="93">
                    <c:v>May</c:v>
                  </c:pt>
                  <c:pt idx="94">
                    <c:v>Jun</c:v>
                  </c:pt>
                  <c:pt idx="95">
                    <c:v>Jul</c:v>
                  </c:pt>
                  <c:pt idx="96">
                    <c:v>Ago</c:v>
                  </c:pt>
                  <c:pt idx="97">
                    <c:v>Sep</c:v>
                  </c:pt>
                  <c:pt idx="98">
                    <c:v>Oct</c:v>
                  </c:pt>
                  <c:pt idx="99">
                    <c:v>Nov</c:v>
                  </c:pt>
                  <c:pt idx="100">
                    <c:v>Dic</c:v>
                  </c:pt>
                  <c:pt idx="101">
                    <c:v>Ene </c:v>
                  </c:pt>
                  <c:pt idx="102">
                    <c:v>Feb</c:v>
                  </c:pt>
                  <c:pt idx="103">
                    <c:v>Mar</c:v>
                  </c:pt>
                  <c:pt idx="104">
                    <c:v>Abr</c:v>
                  </c:pt>
                  <c:pt idx="105">
                    <c:v>May</c:v>
                  </c:pt>
                  <c:pt idx="106">
                    <c:v>Jun</c:v>
                  </c:pt>
                  <c:pt idx="107">
                    <c:v>Jul</c:v>
                  </c:pt>
                  <c:pt idx="108">
                    <c:v>Ago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2015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2016</c:v>
                  </c:pt>
                  <c:pt idx="18">
                    <c:v>2016</c:v>
                  </c:pt>
                  <c:pt idx="19">
                    <c:v>2016</c:v>
                  </c:pt>
                  <c:pt idx="20">
                    <c:v>2016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2017</c:v>
                  </c:pt>
                  <c:pt idx="30">
                    <c:v>2017</c:v>
                  </c:pt>
                  <c:pt idx="31">
                    <c:v>2017</c:v>
                  </c:pt>
                  <c:pt idx="32">
                    <c:v>2017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2018</c:v>
                  </c:pt>
                  <c:pt idx="42">
                    <c:v>2018</c:v>
                  </c:pt>
                  <c:pt idx="43">
                    <c:v>2018</c:v>
                  </c:pt>
                  <c:pt idx="44">
                    <c:v>2018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2019</c:v>
                  </c:pt>
                  <c:pt idx="54">
                    <c:v>2019</c:v>
                  </c:pt>
                  <c:pt idx="55">
                    <c:v>2019</c:v>
                  </c:pt>
                  <c:pt idx="56">
                    <c:v>2019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2020</c:v>
                  </c:pt>
                  <c:pt idx="66">
                    <c:v>2020</c:v>
                  </c:pt>
                  <c:pt idx="67">
                    <c:v>2020</c:v>
                  </c:pt>
                  <c:pt idx="68">
                    <c:v>2020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2021</c:v>
                  </c:pt>
                  <c:pt idx="78">
                    <c:v>2021</c:v>
                  </c:pt>
                  <c:pt idx="79">
                    <c:v>2021</c:v>
                  </c:pt>
                  <c:pt idx="80">
                    <c:v>2021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2022</c:v>
                  </c:pt>
                  <c:pt idx="90">
                    <c:v>2022</c:v>
                  </c:pt>
                  <c:pt idx="91">
                    <c:v>2022</c:v>
                  </c:pt>
                  <c:pt idx="92">
                    <c:v>2022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2023</c:v>
                  </c:pt>
                  <c:pt idx="102">
                    <c:v>2023</c:v>
                  </c:pt>
                  <c:pt idx="103">
                    <c:v>2023</c:v>
                  </c:pt>
                  <c:pt idx="104">
                    <c:v>2023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2018'!$J$110:$J$218</c:f>
              <c:numCache>
                <c:formatCode>0.00</c:formatCode>
                <c:ptCount val="109"/>
                <c:pt idx="0">
                  <c:v>3.3745783859323559</c:v>
                </c:pt>
                <c:pt idx="1">
                  <c:v>3.3426914882561292</c:v>
                </c:pt>
                <c:pt idx="2">
                  <c:v>3.3163350058598535</c:v>
                </c:pt>
                <c:pt idx="3">
                  <c:v>3.343305316889821</c:v>
                </c:pt>
                <c:pt idx="4">
                  <c:v>3.2448177346399669</c:v>
                </c:pt>
                <c:pt idx="5">
                  <c:v>2.3383998327666187</c:v>
                </c:pt>
                <c:pt idx="6">
                  <c:v>2.3979106641050572</c:v>
                </c:pt>
                <c:pt idx="7">
                  <c:v>2.4463932612699559</c:v>
                </c:pt>
                <c:pt idx="8">
                  <c:v>2.3081554852985473</c:v>
                </c:pt>
                <c:pt idx="9">
                  <c:v>2.3305900684873611</c:v>
                </c:pt>
                <c:pt idx="10">
                  <c:v>2.3269537481247613</c:v>
                </c:pt>
                <c:pt idx="11">
                  <c:v>2.3112445832251507</c:v>
                </c:pt>
                <c:pt idx="12">
                  <c:v>2.2994746549222311</c:v>
                </c:pt>
                <c:pt idx="13">
                  <c:v>2.378916868010573</c:v>
                </c:pt>
                <c:pt idx="14">
                  <c:v>2.4656820691796719</c:v>
                </c:pt>
                <c:pt idx="15">
                  <c:v>2.3365787531203424</c:v>
                </c:pt>
                <c:pt idx="16">
                  <c:v>2.4119558744000611</c:v>
                </c:pt>
                <c:pt idx="17">
                  <c:v>2.6434226555469049</c:v>
                </c:pt>
                <c:pt idx="18">
                  <c:v>2.6623814836084785</c:v>
                </c:pt>
                <c:pt idx="19">
                  <c:v>2.7606484668578761</c:v>
                </c:pt>
                <c:pt idx="20">
                  <c:v>2.8271653975876809</c:v>
                </c:pt>
                <c:pt idx="21">
                  <c:v>2.9277923611218384</c:v>
                </c:pt>
                <c:pt idx="22">
                  <c:v>2.9744353574624989</c:v>
                </c:pt>
                <c:pt idx="23">
                  <c:v>2.9725376004911834</c:v>
                </c:pt>
                <c:pt idx="24">
                  <c:v>2.9609191830223502</c:v>
                </c:pt>
                <c:pt idx="25">
                  <c:v>3.0690587086752443</c:v>
                </c:pt>
                <c:pt idx="26">
                  <c:v>3.0980049382590145</c:v>
                </c:pt>
                <c:pt idx="27">
                  <c:v>3.2930623557079381</c:v>
                </c:pt>
                <c:pt idx="28">
                  <c:v>3.4373659982056033</c:v>
                </c:pt>
                <c:pt idx="29">
                  <c:v>3.8357376467430004</c:v>
                </c:pt>
                <c:pt idx="30">
                  <c:v>4.2555046474681122</c:v>
                </c:pt>
                <c:pt idx="31">
                  <c:v>4.4783374612468032</c:v>
                </c:pt>
                <c:pt idx="32">
                  <c:v>4.7173262046132205</c:v>
                </c:pt>
                <c:pt idx="33">
                  <c:v>4.7815776448543312</c:v>
                </c:pt>
                <c:pt idx="34">
                  <c:v>4.833843813112753</c:v>
                </c:pt>
                <c:pt idx="35">
                  <c:v>4.9355168413803643</c:v>
                </c:pt>
                <c:pt idx="36">
                  <c:v>5.00295805944251</c:v>
                </c:pt>
                <c:pt idx="37">
                  <c:v>4.8001484368890042</c:v>
                </c:pt>
                <c:pt idx="38">
                  <c:v>4.7718024040305878</c:v>
                </c:pt>
                <c:pt idx="39">
                  <c:v>4.8971034253441257</c:v>
                </c:pt>
                <c:pt idx="40">
                  <c:v>4.8687783623536536</c:v>
                </c:pt>
                <c:pt idx="41">
                  <c:v>4.5610867697521336</c:v>
                </c:pt>
                <c:pt idx="42">
                  <c:v>4.274662816877818</c:v>
                </c:pt>
                <c:pt idx="43">
                  <c:v>4.0228686863967731</c:v>
                </c:pt>
                <c:pt idx="44">
                  <c:v>3.7095644217902812</c:v>
                </c:pt>
                <c:pt idx="45">
                  <c:v>3.6906558377129541</c:v>
                </c:pt>
                <c:pt idx="46">
                  <c:v>3.6152923643840587</c:v>
                </c:pt>
                <c:pt idx="47">
                  <c:v>3.6349156535132536</c:v>
                </c:pt>
                <c:pt idx="48">
                  <c:v>3.6268947226107766</c:v>
                </c:pt>
                <c:pt idx="49">
                  <c:v>3.6697723796643711</c:v>
                </c:pt>
                <c:pt idx="50">
                  <c:v>3.7294081492156295</c:v>
                </c:pt>
                <c:pt idx="51">
                  <c:v>3.6336719347380031</c:v>
                </c:pt>
                <c:pt idx="52">
                  <c:v>3.6830818113138264</c:v>
                </c:pt>
                <c:pt idx="53">
                  <c:v>3.5956327388360299</c:v>
                </c:pt>
                <c:pt idx="54">
                  <c:v>3.537349270223733</c:v>
                </c:pt>
                <c:pt idx="55">
                  <c:v>3.5522683456016058</c:v>
                </c:pt>
                <c:pt idx="56">
                  <c:v>3.8709212669731707</c:v>
                </c:pt>
                <c:pt idx="57">
                  <c:v>3.7745907093303277</c:v>
                </c:pt>
                <c:pt idx="58">
                  <c:v>3.8492317375589113</c:v>
                </c:pt>
                <c:pt idx="59">
                  <c:v>3.8210955621744924</c:v>
                </c:pt>
                <c:pt idx="60">
                  <c:v>3.7767203638696234</c:v>
                </c:pt>
                <c:pt idx="61">
                  <c:v>3.7501104880073521</c:v>
                </c:pt>
                <c:pt idx="62">
                  <c:v>3.6838660901607589</c:v>
                </c:pt>
                <c:pt idx="63">
                  <c:v>3.6526547168777235</c:v>
                </c:pt>
                <c:pt idx="64">
                  <c:v>3.5944383267003222</c:v>
                </c:pt>
                <c:pt idx="65">
                  <c:v>3.7258051269170922</c:v>
                </c:pt>
                <c:pt idx="66">
                  <c:v>3.6559431980555557</c:v>
                </c:pt>
                <c:pt idx="67">
                  <c:v>3.6034824224892237</c:v>
                </c:pt>
                <c:pt idx="68">
                  <c:v>3.5040058440094501</c:v>
                </c:pt>
                <c:pt idx="69">
                  <c:v>3.6431158770428462</c:v>
                </c:pt>
                <c:pt idx="70">
                  <c:v>3.7095519936249266</c:v>
                </c:pt>
                <c:pt idx="71">
                  <c:v>3.8504643366929825</c:v>
                </c:pt>
                <c:pt idx="72">
                  <c:v>3.9681293310125154</c:v>
                </c:pt>
                <c:pt idx="73">
                  <c:v>3.9863861016879332</c:v>
                </c:pt>
                <c:pt idx="74">
                  <c:v>3.9794770148346315</c:v>
                </c:pt>
                <c:pt idx="75">
                  <c:v>3.6622510777344131</c:v>
                </c:pt>
                <c:pt idx="76">
                  <c:v>3.8038316585266685</c:v>
                </c:pt>
                <c:pt idx="77">
                  <c:v>3.8377622797323596</c:v>
                </c:pt>
                <c:pt idx="78">
                  <c:v>3.8688345679985359</c:v>
                </c:pt>
                <c:pt idx="79">
                  <c:v>4.1229167354992935</c:v>
                </c:pt>
                <c:pt idx="80">
                  <c:v>4.1320595141718375</c:v>
                </c:pt>
                <c:pt idx="81">
                  <c:v>4.3673258471376375</c:v>
                </c:pt>
                <c:pt idx="82">
                  <c:v>4.5780245490051552</c:v>
                </c:pt>
                <c:pt idx="83">
                  <c:v>4.6609701888603805</c:v>
                </c:pt>
                <c:pt idx="84">
                  <c:v>4.775809534334341</c:v>
                </c:pt>
                <c:pt idx="85">
                  <c:v>4.924389599560941</c:v>
                </c:pt>
                <c:pt idx="86">
                  <c:v>5.1911502221035022</c:v>
                </c:pt>
                <c:pt idx="87">
                  <c:v>5.6674600488462845</c:v>
                </c:pt>
                <c:pt idx="88">
                  <c:v>5.9357284799343324</c:v>
                </c:pt>
                <c:pt idx="89">
                  <c:v>6.2062327478977775</c:v>
                </c:pt>
                <c:pt idx="90">
                  <c:v>6.5924248756255466</c:v>
                </c:pt>
                <c:pt idx="91">
                  <c:v>6.779594659077004</c:v>
                </c:pt>
                <c:pt idx="92">
                  <c:v>7.2152388264808964</c:v>
                </c:pt>
                <c:pt idx="93">
                  <c:v>7.2818841880767815</c:v>
                </c:pt>
                <c:pt idx="94">
                  <c:v>7.4947964380009946</c:v>
                </c:pt>
                <c:pt idx="95">
                  <c:v>7.6516813830317609</c:v>
                </c:pt>
                <c:pt idx="96">
                  <c:v>8.0502285649986192</c:v>
                </c:pt>
                <c:pt idx="97">
                  <c:v>8.2798838640530938</c:v>
                </c:pt>
                <c:pt idx="98">
                  <c:v>8.4240478196222934</c:v>
                </c:pt>
                <c:pt idx="99">
                  <c:v>8.5148407567817941</c:v>
                </c:pt>
                <c:pt idx="100">
                  <c:v>8.3461020506626848</c:v>
                </c:pt>
                <c:pt idx="101">
                  <c:v>8.4532622485856024</c:v>
                </c:pt>
                <c:pt idx="102">
                  <c:v>8.2937354743242828</c:v>
                </c:pt>
                <c:pt idx="103">
                  <c:v>8.0880658275438666</c:v>
                </c:pt>
                <c:pt idx="104">
                  <c:v>7.6691449203935003</c:v>
                </c:pt>
                <c:pt idx="105">
                  <c:v>7.3864962180413718</c:v>
                </c:pt>
                <c:pt idx="106">
                  <c:v>6.8860751462546776</c:v>
                </c:pt>
                <c:pt idx="107">
                  <c:v>6.6396463198505007</c:v>
                </c:pt>
                <c:pt idx="108">
                  <c:v>6.0830510762893475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E52-44BC-A27B-4160DB3DEE6B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4823338806516633E-3"/>
                  <c:y val="-4.380558357134209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52-44BC-A27B-4160DB3DEE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7F64A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2018'!$A$110:$B$218</c:f>
              <c:multiLvlStrCache>
                <c:ptCount val="109"/>
                <c:lvl>
                  <c:pt idx="0">
                    <c:v>Ago</c:v>
                  </c:pt>
                  <c:pt idx="1">
                    <c:v>Sep</c:v>
                  </c:pt>
                  <c:pt idx="2">
                    <c:v>Oct</c:v>
                  </c:pt>
                  <c:pt idx="3">
                    <c:v>Nov</c:v>
                  </c:pt>
                  <c:pt idx="4">
                    <c:v>Dic</c:v>
                  </c:pt>
                  <c:pt idx="5">
                    <c:v>Ene</c:v>
                  </c:pt>
                  <c:pt idx="6">
                    <c:v>Feb</c:v>
                  </c:pt>
                  <c:pt idx="7">
                    <c:v>Mar</c:v>
                  </c:pt>
                  <c:pt idx="8">
                    <c:v>Abr</c:v>
                  </c:pt>
                  <c:pt idx="9">
                    <c:v>May</c:v>
                  </c:pt>
                  <c:pt idx="10">
                    <c:v>Jun</c:v>
                  </c:pt>
                  <c:pt idx="11">
                    <c:v>Jul</c:v>
                  </c:pt>
                  <c:pt idx="12">
                    <c:v>Ago</c:v>
                  </c:pt>
                  <c:pt idx="13">
                    <c:v>Sep</c:v>
                  </c:pt>
                  <c:pt idx="14">
                    <c:v>Oct</c:v>
                  </c:pt>
                  <c:pt idx="15">
                    <c:v>Nov</c:v>
                  </c:pt>
                  <c:pt idx="16">
                    <c:v>Dic</c:v>
                  </c:pt>
                  <c:pt idx="17">
                    <c:v>Ene </c:v>
                  </c:pt>
                  <c:pt idx="18">
                    <c:v>Feb</c:v>
                  </c:pt>
                  <c:pt idx="19">
                    <c:v>Mar</c:v>
                  </c:pt>
                  <c:pt idx="20">
                    <c:v>Abr</c:v>
                  </c:pt>
                  <c:pt idx="21">
                    <c:v>May</c:v>
                  </c:pt>
                  <c:pt idx="22">
                    <c:v>Jun</c:v>
                  </c:pt>
                  <c:pt idx="23">
                    <c:v>Jul</c:v>
                  </c:pt>
                  <c:pt idx="24">
                    <c:v>Ago</c:v>
                  </c:pt>
                  <c:pt idx="25">
                    <c:v>Sep</c:v>
                  </c:pt>
                  <c:pt idx="26">
                    <c:v>Oct</c:v>
                  </c:pt>
                  <c:pt idx="27">
                    <c:v>Nov</c:v>
                  </c:pt>
                  <c:pt idx="28">
                    <c:v>Dic</c:v>
                  </c:pt>
                  <c:pt idx="29">
                    <c:v>Ene </c:v>
                  </c:pt>
                  <c:pt idx="30">
                    <c:v>Feb</c:v>
                  </c:pt>
                  <c:pt idx="31">
                    <c:v>Mar</c:v>
                  </c:pt>
                  <c:pt idx="32">
                    <c:v>Abr</c:v>
                  </c:pt>
                  <c:pt idx="33">
                    <c:v>May</c:v>
                  </c:pt>
                  <c:pt idx="34">
                    <c:v>Jun</c:v>
                  </c:pt>
                  <c:pt idx="35">
                    <c:v>Jul</c:v>
                  </c:pt>
                  <c:pt idx="36">
                    <c:v>Ago</c:v>
                  </c:pt>
                  <c:pt idx="37">
                    <c:v>Sep</c:v>
                  </c:pt>
                  <c:pt idx="38">
                    <c:v>Oct</c:v>
                  </c:pt>
                  <c:pt idx="39">
                    <c:v>Nov</c:v>
                  </c:pt>
                  <c:pt idx="40">
                    <c:v>Dic</c:v>
                  </c:pt>
                  <c:pt idx="41">
                    <c:v>Ene </c:v>
                  </c:pt>
                  <c:pt idx="42">
                    <c:v>Feb</c:v>
                  </c:pt>
                  <c:pt idx="43">
                    <c:v>Mar</c:v>
                  </c:pt>
                  <c:pt idx="44">
                    <c:v>Abr</c:v>
                  </c:pt>
                  <c:pt idx="45">
                    <c:v>May</c:v>
                  </c:pt>
                  <c:pt idx="46">
                    <c:v>Jun</c:v>
                  </c:pt>
                  <c:pt idx="47">
                    <c:v>Jul</c:v>
                  </c:pt>
                  <c:pt idx="48">
                    <c:v>Ago</c:v>
                  </c:pt>
                  <c:pt idx="49">
                    <c:v>Sep</c:v>
                  </c:pt>
                  <c:pt idx="50">
                    <c:v>Oct</c:v>
                  </c:pt>
                  <c:pt idx="51">
                    <c:v>Nov</c:v>
                  </c:pt>
                  <c:pt idx="52">
                    <c:v>Dic</c:v>
                  </c:pt>
                  <c:pt idx="53">
                    <c:v>Ene </c:v>
                  </c:pt>
                  <c:pt idx="54">
                    <c:v>Feb</c:v>
                  </c:pt>
                  <c:pt idx="55">
                    <c:v>Mar</c:v>
                  </c:pt>
                  <c:pt idx="56">
                    <c:v>Abr</c:v>
                  </c:pt>
                  <c:pt idx="57">
                    <c:v>May</c:v>
                  </c:pt>
                  <c:pt idx="58">
                    <c:v>Jun</c:v>
                  </c:pt>
                  <c:pt idx="59">
                    <c:v>Jul</c:v>
                  </c:pt>
                  <c:pt idx="60">
                    <c:v>Ago</c:v>
                  </c:pt>
                  <c:pt idx="61">
                    <c:v>Sep</c:v>
                  </c:pt>
                  <c:pt idx="62">
                    <c:v>Oct</c:v>
                  </c:pt>
                  <c:pt idx="63">
                    <c:v>Nov</c:v>
                  </c:pt>
                  <c:pt idx="64">
                    <c:v>Dic</c:v>
                  </c:pt>
                  <c:pt idx="65">
                    <c:v>Ene </c:v>
                  </c:pt>
                  <c:pt idx="66">
                    <c:v>Feb</c:v>
                  </c:pt>
                  <c:pt idx="67">
                    <c:v>Mar</c:v>
                  </c:pt>
                  <c:pt idx="68">
                    <c:v>Abr</c:v>
                  </c:pt>
                  <c:pt idx="69">
                    <c:v>May</c:v>
                  </c:pt>
                  <c:pt idx="70">
                    <c:v>Jun</c:v>
                  </c:pt>
                  <c:pt idx="71">
                    <c:v>Jul</c:v>
                  </c:pt>
                  <c:pt idx="72">
                    <c:v>Ago</c:v>
                  </c:pt>
                  <c:pt idx="73">
                    <c:v>Sep</c:v>
                  </c:pt>
                  <c:pt idx="74">
                    <c:v>Oct</c:v>
                  </c:pt>
                  <c:pt idx="75">
                    <c:v>Nov</c:v>
                  </c:pt>
                  <c:pt idx="76">
                    <c:v>Dic</c:v>
                  </c:pt>
                  <c:pt idx="77">
                    <c:v>Ene </c:v>
                  </c:pt>
                  <c:pt idx="78">
                    <c:v>Feb</c:v>
                  </c:pt>
                  <c:pt idx="79">
                    <c:v>Mar</c:v>
                  </c:pt>
                  <c:pt idx="80">
                    <c:v>Abr</c:v>
                  </c:pt>
                  <c:pt idx="81">
                    <c:v>May</c:v>
                  </c:pt>
                  <c:pt idx="82">
                    <c:v>Jun</c:v>
                  </c:pt>
                  <c:pt idx="83">
                    <c:v>Jul</c:v>
                  </c:pt>
                  <c:pt idx="84">
                    <c:v>Ago</c:v>
                  </c:pt>
                  <c:pt idx="85">
                    <c:v>Sep</c:v>
                  </c:pt>
                  <c:pt idx="86">
                    <c:v>Oct</c:v>
                  </c:pt>
                  <c:pt idx="87">
                    <c:v>Nov</c:v>
                  </c:pt>
                  <c:pt idx="88">
                    <c:v>Dic</c:v>
                  </c:pt>
                  <c:pt idx="89">
                    <c:v>Ene </c:v>
                  </c:pt>
                  <c:pt idx="90">
                    <c:v>Feb</c:v>
                  </c:pt>
                  <c:pt idx="91">
                    <c:v>Mar</c:v>
                  </c:pt>
                  <c:pt idx="92">
                    <c:v>Abr</c:v>
                  </c:pt>
                  <c:pt idx="93">
                    <c:v>May</c:v>
                  </c:pt>
                  <c:pt idx="94">
                    <c:v>Jun</c:v>
                  </c:pt>
                  <c:pt idx="95">
                    <c:v>Jul</c:v>
                  </c:pt>
                  <c:pt idx="96">
                    <c:v>Ago</c:v>
                  </c:pt>
                  <c:pt idx="97">
                    <c:v>Sep</c:v>
                  </c:pt>
                  <c:pt idx="98">
                    <c:v>Oct</c:v>
                  </c:pt>
                  <c:pt idx="99">
                    <c:v>Nov</c:v>
                  </c:pt>
                  <c:pt idx="100">
                    <c:v>Dic</c:v>
                  </c:pt>
                  <c:pt idx="101">
                    <c:v>Ene </c:v>
                  </c:pt>
                  <c:pt idx="102">
                    <c:v>Feb</c:v>
                  </c:pt>
                  <c:pt idx="103">
                    <c:v>Mar</c:v>
                  </c:pt>
                  <c:pt idx="104">
                    <c:v>Abr</c:v>
                  </c:pt>
                  <c:pt idx="105">
                    <c:v>May</c:v>
                  </c:pt>
                  <c:pt idx="106">
                    <c:v>Jun</c:v>
                  </c:pt>
                  <c:pt idx="107">
                    <c:v>Jul</c:v>
                  </c:pt>
                  <c:pt idx="108">
                    <c:v>Ago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2015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2016</c:v>
                  </c:pt>
                  <c:pt idx="18">
                    <c:v>2016</c:v>
                  </c:pt>
                  <c:pt idx="19">
                    <c:v>2016</c:v>
                  </c:pt>
                  <c:pt idx="20">
                    <c:v>2016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2017</c:v>
                  </c:pt>
                  <c:pt idx="30">
                    <c:v>2017</c:v>
                  </c:pt>
                  <c:pt idx="31">
                    <c:v>2017</c:v>
                  </c:pt>
                  <c:pt idx="32">
                    <c:v>2017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2018</c:v>
                  </c:pt>
                  <c:pt idx="42">
                    <c:v>2018</c:v>
                  </c:pt>
                  <c:pt idx="43">
                    <c:v>2018</c:v>
                  </c:pt>
                  <c:pt idx="44">
                    <c:v>2018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2019</c:v>
                  </c:pt>
                  <c:pt idx="54">
                    <c:v>2019</c:v>
                  </c:pt>
                  <c:pt idx="55">
                    <c:v>2019</c:v>
                  </c:pt>
                  <c:pt idx="56">
                    <c:v>2019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2020</c:v>
                  </c:pt>
                  <c:pt idx="66">
                    <c:v>2020</c:v>
                  </c:pt>
                  <c:pt idx="67">
                    <c:v>2020</c:v>
                  </c:pt>
                  <c:pt idx="68">
                    <c:v>2020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2021</c:v>
                  </c:pt>
                  <c:pt idx="78">
                    <c:v>2021</c:v>
                  </c:pt>
                  <c:pt idx="79">
                    <c:v>2021</c:v>
                  </c:pt>
                  <c:pt idx="80">
                    <c:v>2021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2022</c:v>
                  </c:pt>
                  <c:pt idx="90">
                    <c:v>2022</c:v>
                  </c:pt>
                  <c:pt idx="91">
                    <c:v>2022</c:v>
                  </c:pt>
                  <c:pt idx="92">
                    <c:v>2022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2023</c:v>
                  </c:pt>
                  <c:pt idx="102">
                    <c:v>2023</c:v>
                  </c:pt>
                  <c:pt idx="103">
                    <c:v>2023</c:v>
                  </c:pt>
                  <c:pt idx="104">
                    <c:v>2023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2018'!$K$110:$K$218</c:f>
              <c:numCache>
                <c:formatCode>0.00</c:formatCode>
                <c:ptCount val="109"/>
                <c:pt idx="0">
                  <c:v>6.7182708744111084</c:v>
                </c:pt>
                <c:pt idx="1">
                  <c:v>7.1119588300626546</c:v>
                </c:pt>
                <c:pt idx="2">
                  <c:v>7.5060565081168358</c:v>
                </c:pt>
                <c:pt idx="3">
                  <c:v>6.7763144885489996</c:v>
                </c:pt>
                <c:pt idx="4">
                  <c:v>6.6991037192443095</c:v>
                </c:pt>
                <c:pt idx="5">
                  <c:v>5.3383649789169203</c:v>
                </c:pt>
                <c:pt idx="6">
                  <c:v>4.8839859296476655</c:v>
                </c:pt>
                <c:pt idx="7">
                  <c:v>5.2924328408393082</c:v>
                </c:pt>
                <c:pt idx="8">
                  <c:v>5.4633403420644537</c:v>
                </c:pt>
                <c:pt idx="9">
                  <c:v>4.6431485542283069</c:v>
                </c:pt>
                <c:pt idx="10">
                  <c:v>4.6336651275331748</c:v>
                </c:pt>
                <c:pt idx="11">
                  <c:v>4.1241442964940127</c:v>
                </c:pt>
                <c:pt idx="12">
                  <c:v>3.5125321367639364</c:v>
                </c:pt>
                <c:pt idx="13">
                  <c:v>2.963926777529954</c:v>
                </c:pt>
                <c:pt idx="14">
                  <c:v>2.5249797574200405</c:v>
                </c:pt>
                <c:pt idx="15">
                  <c:v>1.8430268870140492</c:v>
                </c:pt>
                <c:pt idx="16">
                  <c:v>1.2762511606751059</c:v>
                </c:pt>
                <c:pt idx="17">
                  <c:v>2.5222468078258351</c:v>
                </c:pt>
                <c:pt idx="18">
                  <c:v>3.4938208536906634</c:v>
                </c:pt>
                <c:pt idx="19">
                  <c:v>2.1164916182627778</c:v>
                </c:pt>
                <c:pt idx="20">
                  <c:v>1.6595743619218586</c:v>
                </c:pt>
                <c:pt idx="21">
                  <c:v>1.5477448099932374</c:v>
                </c:pt>
                <c:pt idx="22">
                  <c:v>1.1555817183580852</c:v>
                </c:pt>
                <c:pt idx="23">
                  <c:v>1.6461385320235666</c:v>
                </c:pt>
                <c:pt idx="24">
                  <c:v>1.987633091664218</c:v>
                </c:pt>
                <c:pt idx="25">
                  <c:v>2.6526253855267115</c:v>
                </c:pt>
                <c:pt idx="26">
                  <c:v>2.9532598018042813</c:v>
                </c:pt>
                <c:pt idx="27">
                  <c:v>3.3414816660662718</c:v>
                </c:pt>
                <c:pt idx="28">
                  <c:v>3.1263239622001766</c:v>
                </c:pt>
                <c:pt idx="29">
                  <c:v>7.3991860094904283</c:v>
                </c:pt>
                <c:pt idx="30">
                  <c:v>6.7088696245199975</c:v>
                </c:pt>
                <c:pt idx="31">
                  <c:v>8.0239017559602104</c:v>
                </c:pt>
                <c:pt idx="32">
                  <c:v>9.2498471387534611</c:v>
                </c:pt>
                <c:pt idx="33">
                  <c:v>10.603551237535561</c:v>
                </c:pt>
                <c:pt idx="34">
                  <c:v>11.092113275529714</c:v>
                </c:pt>
                <c:pt idx="35">
                  <c:v>11.27173932763275</c:v>
                </c:pt>
                <c:pt idx="36">
                  <c:v>11.984296254130786</c:v>
                </c:pt>
                <c:pt idx="37">
                  <c:v>11.279407017052042</c:v>
                </c:pt>
                <c:pt idx="38">
                  <c:v>11.401788332338217</c:v>
                </c:pt>
                <c:pt idx="39">
                  <c:v>11.973007831910317</c:v>
                </c:pt>
                <c:pt idx="40">
                  <c:v>12.62113110903244</c:v>
                </c:pt>
                <c:pt idx="41">
                  <c:v>8.4396254977836094</c:v>
                </c:pt>
                <c:pt idx="42">
                  <c:v>8.4912290335657303</c:v>
                </c:pt>
                <c:pt idx="43">
                  <c:v>8.0270896801165925</c:v>
                </c:pt>
                <c:pt idx="44">
                  <c:v>7.0713450732140206</c:v>
                </c:pt>
                <c:pt idx="45">
                  <c:v>6.9879395591616182</c:v>
                </c:pt>
                <c:pt idx="46">
                  <c:v>7.7916771163991578</c:v>
                </c:pt>
                <c:pt idx="47">
                  <c:v>8.3814612638523815</c:v>
                </c:pt>
                <c:pt idx="48">
                  <c:v>8.8021172100996932</c:v>
                </c:pt>
                <c:pt idx="49">
                  <c:v>9.1504116117488543</c:v>
                </c:pt>
                <c:pt idx="50">
                  <c:v>8.4990813438129429</c:v>
                </c:pt>
                <c:pt idx="51">
                  <c:v>8.0727173955200016</c:v>
                </c:pt>
                <c:pt idx="52">
                  <c:v>8.3985017457429034</c:v>
                </c:pt>
                <c:pt idx="53">
                  <c:v>6.8077764553487574</c:v>
                </c:pt>
                <c:pt idx="54">
                  <c:v>5.2529539129086311</c:v>
                </c:pt>
                <c:pt idx="55">
                  <c:v>5.4665367537644061</c:v>
                </c:pt>
                <c:pt idx="56">
                  <c:v>6.0820526568257982</c:v>
                </c:pt>
                <c:pt idx="57">
                  <c:v>5.779885922047634</c:v>
                </c:pt>
                <c:pt idx="58">
                  <c:v>4.1879028979610711</c:v>
                </c:pt>
                <c:pt idx="59">
                  <c:v>3.6443895185504172</c:v>
                </c:pt>
                <c:pt idx="60">
                  <c:v>1.2826704768500674</c:v>
                </c:pt>
                <c:pt idx="61">
                  <c:v>0.70590553694891423</c:v>
                </c:pt>
                <c:pt idx="62">
                  <c:v>1.0131752931414884</c:v>
                </c:pt>
                <c:pt idx="63">
                  <c:v>0.97708877671056626</c:v>
                </c:pt>
                <c:pt idx="64">
                  <c:v>0.58838449437621509</c:v>
                </c:pt>
                <c:pt idx="65">
                  <c:v>1.8062183705077617</c:v>
                </c:pt>
                <c:pt idx="66">
                  <c:v>3.8138376705621813</c:v>
                </c:pt>
                <c:pt idx="67">
                  <c:v>2.1917863464312237</c:v>
                </c:pt>
                <c:pt idx="68">
                  <c:v>-1.964218987637889</c:v>
                </c:pt>
                <c:pt idx="69">
                  <c:v>0.35038424175202199</c:v>
                </c:pt>
                <c:pt idx="70">
                  <c:v>2.1610441348114628</c:v>
                </c:pt>
                <c:pt idx="71">
                  <c:v>2.9170959832748089</c:v>
                </c:pt>
                <c:pt idx="72">
                  <c:v>4.3011154690524522</c:v>
                </c:pt>
                <c:pt idx="73">
                  <c:v>4.1005693317282432</c:v>
                </c:pt>
                <c:pt idx="74">
                  <c:v>4.4200439517402712</c:v>
                </c:pt>
                <c:pt idx="75">
                  <c:v>2.3291140543508781</c:v>
                </c:pt>
                <c:pt idx="76">
                  <c:v>1.1841260145107668</c:v>
                </c:pt>
                <c:pt idx="77">
                  <c:v>2.6304087293816503</c:v>
                </c:pt>
                <c:pt idx="78">
                  <c:v>3.4347006394567892</c:v>
                </c:pt>
                <c:pt idx="79">
                  <c:v>6.313517526146728</c:v>
                </c:pt>
                <c:pt idx="80">
                  <c:v>12.336613271147389</c:v>
                </c:pt>
                <c:pt idx="81">
                  <c:v>10.760996877670292</c:v>
                </c:pt>
                <c:pt idx="82">
                  <c:v>9.9969506712786362</c:v>
                </c:pt>
                <c:pt idx="83">
                  <c:v>9.3938796610184561</c:v>
                </c:pt>
                <c:pt idx="84">
                  <c:v>8.1395897247092499</c:v>
                </c:pt>
                <c:pt idx="85">
                  <c:v>9.3704384863440016</c:v>
                </c:pt>
                <c:pt idx="86">
                  <c:v>9.4728946046877205</c:v>
                </c:pt>
                <c:pt idx="87">
                  <c:v>12.611315715047855</c:v>
                </c:pt>
                <c:pt idx="88">
                  <c:v>11.735457365964507</c:v>
                </c:pt>
                <c:pt idx="89">
                  <c:v>9.682487967422615</c:v>
                </c:pt>
                <c:pt idx="90">
                  <c:v>9.33742728893343</c:v>
                </c:pt>
                <c:pt idx="91">
                  <c:v>9.4493297631981665</c:v>
                </c:pt>
                <c:pt idx="92">
                  <c:v>9.0700860171748943</c:v>
                </c:pt>
                <c:pt idx="93">
                  <c:v>8.7664611345465548</c:v>
                </c:pt>
                <c:pt idx="94">
                  <c:v>9.4684538000590734</c:v>
                </c:pt>
                <c:pt idx="95">
                  <c:v>9.6453880850416063</c:v>
                </c:pt>
                <c:pt idx="96">
                  <c:v>10.647024232099621</c:v>
                </c:pt>
                <c:pt idx="97">
                  <c:v>9.9619105381783868</c:v>
                </c:pt>
                <c:pt idx="98">
                  <c:v>8.3568824487775917</c:v>
                </c:pt>
                <c:pt idx="99">
                  <c:v>5.7319147605909615</c:v>
                </c:pt>
                <c:pt idx="100">
                  <c:v>6.2696946417422295</c:v>
                </c:pt>
                <c:pt idx="101">
                  <c:v>6.3206232213750324</c:v>
                </c:pt>
                <c:pt idx="102">
                  <c:v>5.6495637308952906</c:v>
                </c:pt>
                <c:pt idx="103">
                  <c:v>3.2683547243253397</c:v>
                </c:pt>
                <c:pt idx="104">
                  <c:v>2.1214481802021234</c:v>
                </c:pt>
                <c:pt idx="105">
                  <c:v>1.2372521985074325</c:v>
                </c:pt>
                <c:pt idx="106">
                  <c:v>-0.35579723985016409</c:v>
                </c:pt>
                <c:pt idx="107">
                  <c:v>-0.6686344125348187</c:v>
                </c:pt>
                <c:pt idx="108">
                  <c:v>0.37253611420231536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E52-44BC-A27B-4160DB3DE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E0080-0888-49B8-B94B-724680DE2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E91789-CC31-488B-B230-271BE94F4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CE0217-6B10-4746-B3F4-C495DA0CC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61EA0-9B59-49DD-86E5-AF79ED1D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15</TotalTime>
  <Pages>10</Pages>
  <Words>2711</Words>
  <Characters>14912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17588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INDICE DE PRECIOS AL CONSUMIDOR</cp:keywords>
  <cp:lastModifiedBy>MORONES RUIZ FABIOLA CRISTINA</cp:lastModifiedBy>
  <cp:revision>4</cp:revision>
  <cp:lastPrinted>2023-03-07T18:51:00Z</cp:lastPrinted>
  <dcterms:created xsi:type="dcterms:W3CDTF">2023-09-05T15:47:00Z</dcterms:created>
  <dcterms:modified xsi:type="dcterms:W3CDTF">2023-09-06T16:56:00Z</dcterms:modified>
  <cp:category>ÍNDICES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b413c3360d560833ef706234299596a77dac51acd0ad4c0e8905d1fbfd4ad516</vt:lpwstr>
  </property>
  <property fmtid="{D5CDD505-2E9C-101B-9397-08002B2CF9AE}" pid="3" name="ContentTypeId">
    <vt:lpwstr>0x01010068D8128FBF1DCB4BB482DBB94943CBF1</vt:lpwstr>
  </property>
</Properties>
</file>