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A713" w14:textId="77777777" w:rsidR="00D673CB" w:rsidRDefault="00D673CB" w:rsidP="006260AF">
      <w:pPr>
        <w:pStyle w:val="Profesin"/>
        <w:rPr>
          <w:caps w:val="0"/>
          <w:smallCaps/>
        </w:rPr>
      </w:pPr>
    </w:p>
    <w:p w14:paraId="719145A8" w14:textId="7A803B1F" w:rsidR="00D673CB" w:rsidRDefault="00D673CB" w:rsidP="006260AF">
      <w:pPr>
        <w:pStyle w:val="Profesin"/>
        <w:rPr>
          <w:caps w:val="0"/>
          <w:smallCaps/>
        </w:rPr>
      </w:pPr>
      <w:r w:rsidRPr="003C0955">
        <w:rPr>
          <w:noProof/>
          <w:color w:val="244061" w:themeColor="accent1" w:themeShade="80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B060D0" wp14:editId="394842B6">
                <wp:simplePos x="0" y="0"/>
                <wp:positionH relativeFrom="margin">
                  <wp:posOffset>3048000</wp:posOffset>
                </wp:positionH>
                <wp:positionV relativeFrom="paragraph">
                  <wp:posOffset>6985</wp:posOffset>
                </wp:positionV>
                <wp:extent cx="3336290" cy="266700"/>
                <wp:effectExtent l="0" t="0" r="0" b="0"/>
                <wp:wrapSquare wrapText="bothSides"/>
                <wp:docPr id="610586331" name="Cuadro de texto 61058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4E449" w14:textId="7D75C1F1" w:rsidR="00D673CB" w:rsidRPr="00B30160" w:rsidRDefault="00D673CB" w:rsidP="00D673CB">
                            <w:pPr>
                              <w:jc w:val="right"/>
                              <w:rPr>
                                <w:rFonts w:ascii="Arial Negrita" w:hAnsi="Arial Negrita"/>
                                <w:color w:val="07BFBA"/>
                              </w:rPr>
                            </w:pPr>
                            <w:r w:rsidRPr="00B30160">
                              <w:rPr>
                                <w:rFonts w:ascii="Arial Negrita" w:hAnsi="Arial Negrita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7</w:t>
                            </w:r>
                            <w:r w:rsidRPr="00B30160"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 xml:space="preserve"> de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diciembre</w:t>
                            </w:r>
                          </w:p>
                          <w:p w14:paraId="24D6AF25" w14:textId="77777777" w:rsidR="00D673CB" w:rsidRDefault="00D673CB" w:rsidP="00D673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060D0" id="_x0000_t202" coordsize="21600,21600" o:spt="202" path="m,l,21600r21600,l21600,xe">
                <v:stroke joinstyle="miter"/>
                <v:path gradientshapeok="t" o:connecttype="rect"/>
              </v:shapetype>
              <v:shape id="Cuadro de texto 610586331" o:spid="_x0000_s1026" type="#_x0000_t202" style="position:absolute;left:0;text-align:left;margin-left:240pt;margin-top:.55pt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" filled="f" stroked="f">
                <v:textbox>
                  <w:txbxContent>
                    <w:p w14:paraId="64A4E449" w14:textId="7D75C1F1" w:rsidR="00D673CB" w:rsidRPr="00B30160" w:rsidRDefault="00D673CB" w:rsidP="00D673CB">
                      <w:pPr>
                        <w:jc w:val="right"/>
                        <w:rPr>
                          <w:rFonts w:ascii="Arial Negrita" w:hAnsi="Arial Negrita"/>
                          <w:color w:val="07BFBA"/>
                        </w:rPr>
                      </w:pPr>
                      <w:r w:rsidRPr="00B30160">
                        <w:rPr>
                          <w:rFonts w:ascii="Arial Negrita" w:hAnsi="Arial Negrita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7</w:t>
                      </w:r>
                      <w:r w:rsidRPr="00B30160"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 xml:space="preserve"> de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diciembre</w:t>
                      </w:r>
                    </w:p>
                    <w:p w14:paraId="24D6AF25" w14:textId="77777777" w:rsidR="00D673CB" w:rsidRDefault="00D673CB" w:rsidP="00D673CB"/>
                  </w:txbxContent>
                </v:textbox>
                <w10:wrap type="square" anchorx="margin"/>
              </v:shape>
            </w:pict>
          </mc:Fallback>
        </mc:AlternateContent>
      </w:r>
    </w:p>
    <w:p w14:paraId="048924D4" w14:textId="68114B3C" w:rsidR="00D673CB" w:rsidRDefault="00D673CB" w:rsidP="006260AF">
      <w:pPr>
        <w:pStyle w:val="Profesin"/>
        <w:rPr>
          <w:caps w:val="0"/>
          <w:smallCaps/>
        </w:rPr>
      </w:pPr>
    </w:p>
    <w:p w14:paraId="3CD4AC6A" w14:textId="77777777" w:rsidR="00D673CB" w:rsidRDefault="00D673CB" w:rsidP="006260AF">
      <w:pPr>
        <w:pStyle w:val="Profesin"/>
        <w:rPr>
          <w:caps w:val="0"/>
          <w:smallCaps/>
        </w:rPr>
      </w:pPr>
    </w:p>
    <w:p w14:paraId="52B43CA4" w14:textId="77777777" w:rsidR="00D673CB" w:rsidRDefault="00D673CB" w:rsidP="006260AF">
      <w:pPr>
        <w:pStyle w:val="Profesin"/>
        <w:rPr>
          <w:caps w:val="0"/>
          <w:smallCaps/>
        </w:rPr>
      </w:pPr>
    </w:p>
    <w:p w14:paraId="69B3A321" w14:textId="45E73A4C" w:rsidR="00C6515A" w:rsidRPr="00D673CB" w:rsidRDefault="00C6515A" w:rsidP="006260AF">
      <w:pPr>
        <w:pStyle w:val="Profesin"/>
        <w:rPr>
          <w:rFonts w:ascii="Arial Negrita" w:hAnsi="Arial Negrita"/>
          <w:b w:val="0"/>
          <w:sz w:val="24"/>
        </w:rPr>
      </w:pPr>
      <w:r w:rsidRPr="00D673CB">
        <w:rPr>
          <w:rFonts w:ascii="Arial Negrita" w:hAnsi="Arial Negrita"/>
          <w:sz w:val="24"/>
        </w:rPr>
        <w:t>ÍNDICE NACIONAL DE PRECIOS</w:t>
      </w:r>
      <w:r w:rsidR="00414E58" w:rsidRPr="00D673CB">
        <w:rPr>
          <w:rFonts w:ascii="Arial Negrita" w:hAnsi="Arial Negrita"/>
          <w:sz w:val="24"/>
        </w:rPr>
        <w:t xml:space="preserve"> PRODUCTOR</w:t>
      </w:r>
    </w:p>
    <w:p w14:paraId="2B86163C" w14:textId="2777E7FD" w:rsidR="00C6515A" w:rsidRPr="00D673CB" w:rsidRDefault="009C3F25" w:rsidP="00131B41">
      <w:pPr>
        <w:pStyle w:val="Profesin"/>
        <w:spacing w:before="60"/>
        <w:rPr>
          <w:b w:val="0"/>
          <w:smallCaps/>
          <w:sz w:val="24"/>
        </w:rPr>
      </w:pPr>
      <w:r w:rsidRPr="00D673CB">
        <w:rPr>
          <w:b w:val="0"/>
          <w:caps w:val="0"/>
          <w:sz w:val="24"/>
        </w:rPr>
        <w:t>Octu</w:t>
      </w:r>
      <w:r w:rsidR="008C320C" w:rsidRPr="00D673CB">
        <w:rPr>
          <w:b w:val="0"/>
          <w:caps w:val="0"/>
          <w:sz w:val="24"/>
        </w:rPr>
        <w:t>bre</w:t>
      </w:r>
      <w:r w:rsidR="00611B65" w:rsidRPr="00D673CB">
        <w:rPr>
          <w:b w:val="0"/>
          <w:caps w:val="0"/>
          <w:sz w:val="24"/>
        </w:rPr>
        <w:t xml:space="preserve"> de</w:t>
      </w:r>
      <w:r w:rsidR="00611B65" w:rsidRPr="00D673CB">
        <w:rPr>
          <w:b w:val="0"/>
          <w:caps w:val="0"/>
          <w:smallCaps/>
          <w:sz w:val="24"/>
        </w:rPr>
        <w:t xml:space="preserve"> </w:t>
      </w:r>
      <w:r w:rsidR="00611B65" w:rsidRPr="00D673CB">
        <w:rPr>
          <w:b w:val="0"/>
          <w:caps w:val="0"/>
          <w:sz w:val="24"/>
        </w:rPr>
        <w:t>2023</w:t>
      </w:r>
    </w:p>
    <w:p w14:paraId="184009FB" w14:textId="4ABBCE42" w:rsidR="00C25E71" w:rsidRPr="00D673CB" w:rsidRDefault="00C25E71" w:rsidP="00D673CB">
      <w:pPr>
        <w:pStyle w:val="Prrafodelista"/>
        <w:spacing w:before="240"/>
        <w:ind w:left="0" w:right="51"/>
        <w:rPr>
          <w:bCs/>
          <w:szCs w:val="22"/>
        </w:rPr>
      </w:pPr>
      <w:r w:rsidRPr="00D673CB">
        <w:rPr>
          <w:bCs/>
          <w:szCs w:val="22"/>
        </w:rPr>
        <w:t>El Instituto Nacional de Estadística y Geografía</w:t>
      </w:r>
      <w:r w:rsidR="00D673CB" w:rsidRPr="00D673CB">
        <w:rPr>
          <w:bCs/>
          <w:szCs w:val="22"/>
        </w:rPr>
        <w:t xml:space="preserve"> (</w:t>
      </w:r>
      <w:proofErr w:type="spellStart"/>
      <w:r w:rsidR="00D673CB" w:rsidRPr="00D673CB">
        <w:rPr>
          <w:bCs/>
          <w:smallCaps/>
          <w:szCs w:val="22"/>
        </w:rPr>
        <w:t>inegi</w:t>
      </w:r>
      <w:proofErr w:type="spellEnd"/>
      <w:r w:rsidR="00D673CB" w:rsidRPr="00D673CB">
        <w:rPr>
          <w:bCs/>
          <w:szCs w:val="22"/>
        </w:rPr>
        <w:t>)</w:t>
      </w:r>
      <w:r w:rsidRPr="00D673CB">
        <w:rPr>
          <w:bCs/>
          <w:szCs w:val="22"/>
        </w:rPr>
        <w:t xml:space="preserve"> da a conocer los resultados del Índice Nacional de Precios Productor (</w:t>
      </w:r>
      <w:proofErr w:type="spellStart"/>
      <w:r w:rsidRPr="00D673CB">
        <w:rPr>
          <w:bCs/>
          <w:smallCaps/>
          <w:szCs w:val="22"/>
        </w:rPr>
        <w:t>inpp</w:t>
      </w:r>
      <w:proofErr w:type="spellEnd"/>
      <w:r w:rsidRPr="00D673CB">
        <w:rPr>
          <w:bCs/>
          <w:szCs w:val="22"/>
        </w:rPr>
        <w:t>), c</w:t>
      </w:r>
      <w:r w:rsidR="007F02E4" w:rsidRPr="00D673CB">
        <w:rPr>
          <w:bCs/>
          <w:szCs w:val="22"/>
        </w:rPr>
        <w:t>on el</w:t>
      </w:r>
      <w:r w:rsidRPr="00D673CB">
        <w:rPr>
          <w:bCs/>
          <w:szCs w:val="22"/>
        </w:rPr>
        <w:t xml:space="preserve"> objetivo </w:t>
      </w:r>
      <w:r w:rsidR="007E364B" w:rsidRPr="00D673CB">
        <w:rPr>
          <w:bCs/>
          <w:szCs w:val="22"/>
        </w:rPr>
        <w:t>d</w:t>
      </w:r>
      <w:r w:rsidRPr="00D673CB">
        <w:rPr>
          <w:bCs/>
          <w:szCs w:val="22"/>
        </w:rPr>
        <w:t>e medir la</w:t>
      </w:r>
      <w:r w:rsidR="007F02E4" w:rsidRPr="00D673CB">
        <w:rPr>
          <w:bCs/>
          <w:szCs w:val="22"/>
        </w:rPr>
        <w:t>s</w:t>
      </w:r>
      <w:r w:rsidRPr="00D673CB">
        <w:rPr>
          <w:bCs/>
          <w:szCs w:val="22"/>
        </w:rPr>
        <w:t xml:space="preserve"> variaci</w:t>
      </w:r>
      <w:r w:rsidR="007F02E4" w:rsidRPr="00D673CB">
        <w:rPr>
          <w:bCs/>
          <w:szCs w:val="22"/>
        </w:rPr>
        <w:t>ones</w:t>
      </w:r>
      <w:r w:rsidRPr="00D673CB">
        <w:rPr>
          <w:bCs/>
          <w:szCs w:val="22"/>
        </w:rPr>
        <w:t xml:space="preserve"> de </w:t>
      </w:r>
      <w:r w:rsidR="007E364B" w:rsidRPr="00D673CB">
        <w:rPr>
          <w:bCs/>
          <w:szCs w:val="22"/>
        </w:rPr>
        <w:t xml:space="preserve">los </w:t>
      </w:r>
      <w:r w:rsidRPr="00D673CB">
        <w:rPr>
          <w:bCs/>
          <w:szCs w:val="22"/>
        </w:rPr>
        <w:t xml:space="preserve">precios de </w:t>
      </w:r>
      <w:r w:rsidR="007F02E4" w:rsidRPr="00D673CB">
        <w:rPr>
          <w:bCs/>
          <w:szCs w:val="22"/>
        </w:rPr>
        <w:t xml:space="preserve">los </w:t>
      </w:r>
      <w:r w:rsidRPr="00D673CB">
        <w:rPr>
          <w:bCs/>
          <w:szCs w:val="22"/>
        </w:rPr>
        <w:t xml:space="preserve">bienes y servicios </w:t>
      </w:r>
      <w:r w:rsidR="007F02E4" w:rsidRPr="00D673CB">
        <w:rPr>
          <w:bCs/>
          <w:szCs w:val="22"/>
        </w:rPr>
        <w:t xml:space="preserve">que se producen a </w:t>
      </w:r>
      <w:r w:rsidR="00640978" w:rsidRPr="00D673CB">
        <w:rPr>
          <w:bCs/>
          <w:szCs w:val="22"/>
        </w:rPr>
        <w:t xml:space="preserve">nivel </w:t>
      </w:r>
      <w:r w:rsidRPr="00D673CB">
        <w:rPr>
          <w:bCs/>
          <w:szCs w:val="22"/>
        </w:rPr>
        <w:t>nacional.</w:t>
      </w:r>
    </w:p>
    <w:p w14:paraId="520FCF31" w14:textId="35750DA0" w:rsidR="00BA3A5D" w:rsidRPr="00D673CB" w:rsidRDefault="009C3F25" w:rsidP="00D673CB">
      <w:pPr>
        <w:pStyle w:val="Prrafodelista"/>
        <w:spacing w:before="240"/>
        <w:ind w:left="0" w:right="51"/>
        <w:rPr>
          <w:bCs/>
          <w:szCs w:val="22"/>
        </w:rPr>
      </w:pPr>
      <w:r w:rsidRPr="00D673CB">
        <w:rPr>
          <w:bCs/>
          <w:szCs w:val="22"/>
        </w:rPr>
        <w:t xml:space="preserve">En octubre de 2023, el </w:t>
      </w:r>
      <w:proofErr w:type="spellStart"/>
      <w:r w:rsidRPr="00D673CB">
        <w:rPr>
          <w:bCs/>
          <w:smallCaps/>
          <w:szCs w:val="22"/>
        </w:rPr>
        <w:t>inpp</w:t>
      </w:r>
      <w:proofErr w:type="spellEnd"/>
      <w:r w:rsidRPr="00D673CB">
        <w:rPr>
          <w:bCs/>
          <w:szCs w:val="22"/>
        </w:rPr>
        <w:t xml:space="preserve"> total, </w:t>
      </w:r>
      <w:r w:rsidR="004272CD" w:rsidRPr="00D673CB">
        <w:rPr>
          <w:bCs/>
          <w:szCs w:val="22"/>
        </w:rPr>
        <w:t xml:space="preserve">incluido </w:t>
      </w:r>
      <w:r w:rsidRPr="00D673CB">
        <w:rPr>
          <w:bCs/>
          <w:szCs w:val="22"/>
        </w:rPr>
        <w:t>petróleo, aumentó 0.46 % a tasa mensual y 1.35 %</w:t>
      </w:r>
      <w:r w:rsidR="00D673CB">
        <w:rPr>
          <w:bCs/>
          <w:szCs w:val="22"/>
        </w:rPr>
        <w:t> </w:t>
      </w:r>
      <w:r w:rsidRPr="00D673CB">
        <w:rPr>
          <w:bCs/>
          <w:szCs w:val="22"/>
        </w:rPr>
        <w:t>a tasa anual. En el mismo mes de 2022, disminuyó 0.27 % a tasa mensual y tuvo un alza de 7.07</w:t>
      </w:r>
      <w:r w:rsidR="003B30A1" w:rsidRPr="00D673CB">
        <w:rPr>
          <w:bCs/>
          <w:szCs w:val="22"/>
        </w:rPr>
        <w:t> </w:t>
      </w:r>
      <w:r w:rsidRPr="00D673CB">
        <w:rPr>
          <w:bCs/>
          <w:szCs w:val="22"/>
        </w:rPr>
        <w:t>% a tasa anual</w:t>
      </w:r>
      <w:r w:rsidR="00BA3A5D" w:rsidRPr="00D673CB">
        <w:rPr>
          <w:bCs/>
          <w:szCs w:val="22"/>
        </w:rPr>
        <w:t>.</w:t>
      </w:r>
    </w:p>
    <w:p w14:paraId="438C6B02" w14:textId="59FC5495" w:rsidR="00BA3A5D" w:rsidRPr="00D673CB" w:rsidRDefault="009C3F25" w:rsidP="00D673CB">
      <w:pPr>
        <w:pStyle w:val="Prrafodelista"/>
        <w:spacing w:before="240"/>
        <w:ind w:left="0" w:right="51"/>
        <w:rPr>
          <w:bCs/>
          <w:szCs w:val="22"/>
        </w:rPr>
      </w:pPr>
      <w:r w:rsidRPr="00D673CB">
        <w:rPr>
          <w:bCs/>
          <w:szCs w:val="22"/>
        </w:rPr>
        <w:t xml:space="preserve">Por grupos de actividades económicas, a tasa mensual, los precios de las </w:t>
      </w:r>
      <w:r w:rsidR="005C41AA" w:rsidRPr="00D673CB">
        <w:rPr>
          <w:bCs/>
          <w:szCs w:val="22"/>
        </w:rPr>
        <w:t xml:space="preserve">actividades </w:t>
      </w:r>
      <w:r w:rsidRPr="00D673CB">
        <w:rPr>
          <w:bCs/>
          <w:szCs w:val="22"/>
        </w:rPr>
        <w:t xml:space="preserve">secundarias </w:t>
      </w:r>
      <w:r w:rsidR="002077F8" w:rsidRPr="00D673CB">
        <w:rPr>
          <w:bCs/>
          <w:szCs w:val="22"/>
        </w:rPr>
        <w:t>incrementaron</w:t>
      </w:r>
      <w:r w:rsidRPr="00D673CB">
        <w:rPr>
          <w:bCs/>
          <w:szCs w:val="22"/>
        </w:rPr>
        <w:t xml:space="preserve"> 0.80 % y los de terciarias, 0.65 por ciento. Los de las actividades primarias decrecieron 4.16 por ciento</w:t>
      </w:r>
      <w:r w:rsidR="00134458" w:rsidRPr="00D673CB">
        <w:rPr>
          <w:bCs/>
          <w:szCs w:val="22"/>
        </w:rPr>
        <w:t>.</w:t>
      </w:r>
    </w:p>
    <w:p w14:paraId="7CF20E41" w14:textId="77B959CD" w:rsidR="004034BA" w:rsidRPr="00D673CB" w:rsidRDefault="009C3F25" w:rsidP="00D673CB">
      <w:pPr>
        <w:pStyle w:val="Prrafodelista"/>
        <w:spacing w:before="240"/>
        <w:ind w:left="0" w:right="51"/>
        <w:rPr>
          <w:bCs/>
          <w:szCs w:val="22"/>
        </w:rPr>
      </w:pPr>
      <w:r w:rsidRPr="00D673CB">
        <w:rPr>
          <w:bCs/>
          <w:szCs w:val="22"/>
        </w:rPr>
        <w:t xml:space="preserve">El Índice de Mercancías y Servicios de Uso Intermedio, </w:t>
      </w:r>
      <w:r w:rsidR="004272CD" w:rsidRPr="00D673CB">
        <w:rPr>
          <w:bCs/>
          <w:szCs w:val="22"/>
        </w:rPr>
        <w:t xml:space="preserve">incluido </w:t>
      </w:r>
      <w:r w:rsidRPr="00D673CB">
        <w:rPr>
          <w:bCs/>
          <w:szCs w:val="22"/>
        </w:rPr>
        <w:t>petróleo, bajó 0.34 % a tasa mensual y 1.08 % a tasa anual</w:t>
      </w:r>
      <w:r w:rsidR="001D1A2C" w:rsidRPr="00D673CB">
        <w:rPr>
          <w:bCs/>
          <w:szCs w:val="22"/>
        </w:rPr>
        <w:t>.</w:t>
      </w:r>
    </w:p>
    <w:p w14:paraId="5C39CD34" w14:textId="5DA9CF04" w:rsidR="00531744" w:rsidRDefault="009C3F25" w:rsidP="00D673CB">
      <w:pPr>
        <w:pStyle w:val="Prrafodelista"/>
        <w:spacing w:before="240"/>
        <w:ind w:left="0" w:right="51"/>
        <w:rPr>
          <w:bCs/>
          <w:szCs w:val="22"/>
        </w:rPr>
      </w:pPr>
      <w:r w:rsidRPr="00D673CB">
        <w:rPr>
          <w:bCs/>
          <w:szCs w:val="22"/>
        </w:rPr>
        <w:t xml:space="preserve">En el mes de referencia, el Índice de Mercancías y Servicios Finales, </w:t>
      </w:r>
      <w:r w:rsidR="004272CD" w:rsidRPr="00D673CB">
        <w:rPr>
          <w:bCs/>
          <w:szCs w:val="22"/>
        </w:rPr>
        <w:t xml:space="preserve">incluido </w:t>
      </w:r>
      <w:r w:rsidRPr="00D673CB">
        <w:rPr>
          <w:bCs/>
          <w:szCs w:val="22"/>
        </w:rPr>
        <w:t>petróleo, creció 0.77 % a tasa mensual y 2.32 % a tasa anual</w:t>
      </w:r>
      <w:r w:rsidR="00F11981" w:rsidRPr="00D673CB">
        <w:rPr>
          <w:bCs/>
          <w:szCs w:val="22"/>
        </w:rPr>
        <w:t>.</w:t>
      </w:r>
    </w:p>
    <w:p w14:paraId="03E0A2DE" w14:textId="77777777" w:rsidR="00D673CB" w:rsidRDefault="00D673CB" w:rsidP="00D673CB">
      <w:pPr>
        <w:pStyle w:val="Prrafodelista"/>
        <w:spacing w:before="240"/>
        <w:ind w:left="0" w:right="51"/>
        <w:rPr>
          <w:bCs/>
          <w:szCs w:val="22"/>
        </w:rPr>
      </w:pPr>
    </w:p>
    <w:p w14:paraId="6C05CE31" w14:textId="2F20F7A7" w:rsidR="00D673CB" w:rsidRPr="007561B3" w:rsidRDefault="00D673CB" w:rsidP="00D673CB">
      <w:pPr>
        <w:widowControl w:val="0"/>
        <w:autoSpaceDE w:val="0"/>
        <w:autoSpaceDN w:val="0"/>
        <w:adjustRightInd w:val="0"/>
        <w:jc w:val="center"/>
        <w:rPr>
          <w:smallCaps/>
          <w:snapToGrid w:val="0"/>
          <w:sz w:val="20"/>
          <w:szCs w:val="20"/>
        </w:rPr>
      </w:pPr>
      <w:r w:rsidRPr="007561B3">
        <w:rPr>
          <w:b/>
          <w:smallCaps/>
          <w:snapToGrid w:val="0"/>
          <w:sz w:val="22"/>
          <w:szCs w:val="22"/>
        </w:rPr>
        <w:t>Variación del</w:t>
      </w:r>
      <w:r w:rsidR="005C1313">
        <w:rPr>
          <w:b/>
          <w:smallCaps/>
          <w:snapToGrid w:val="0"/>
          <w:sz w:val="22"/>
          <w:szCs w:val="22"/>
        </w:rPr>
        <w:t xml:space="preserve"> </w:t>
      </w:r>
      <w:proofErr w:type="spellStart"/>
      <w:r w:rsidR="005C1313">
        <w:rPr>
          <w:b/>
          <w:smallCaps/>
          <w:snapToGrid w:val="0"/>
          <w:sz w:val="22"/>
          <w:szCs w:val="22"/>
        </w:rPr>
        <w:t>inpp</w:t>
      </w:r>
      <w:proofErr w:type="spellEnd"/>
      <w:r w:rsidRPr="007561B3">
        <w:rPr>
          <w:b/>
          <w:smallCaps/>
          <w:snapToGrid w:val="0"/>
          <w:sz w:val="22"/>
          <w:szCs w:val="22"/>
        </w:rPr>
        <w:t xml:space="preserve"> </w:t>
      </w:r>
    </w:p>
    <w:p w14:paraId="35C42B88" w14:textId="77777777" w:rsidR="00D673CB" w:rsidRPr="007561B3" w:rsidRDefault="00D673CB" w:rsidP="00D673C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7561B3">
        <w:rPr>
          <w:b/>
          <w:smallCaps/>
          <w:snapToGrid w:val="0"/>
          <w:sz w:val="20"/>
          <w:szCs w:val="20"/>
        </w:rPr>
        <w:t xml:space="preserve">mercancías y servicios intermedios, finales y producción total, </w:t>
      </w:r>
      <w:r>
        <w:rPr>
          <w:b/>
          <w:smallCaps/>
          <w:snapToGrid w:val="0"/>
          <w:sz w:val="20"/>
          <w:szCs w:val="20"/>
        </w:rPr>
        <w:t>incluido</w:t>
      </w:r>
      <w:r w:rsidRPr="007561B3">
        <w:rPr>
          <w:b/>
          <w:smallCaps/>
          <w:snapToGrid w:val="0"/>
          <w:sz w:val="20"/>
          <w:szCs w:val="20"/>
        </w:rPr>
        <w:t xml:space="preserve"> petróleo</w:t>
      </w:r>
    </w:p>
    <w:p w14:paraId="41C6D274" w14:textId="77777777" w:rsidR="00D673CB" w:rsidRPr="007561B3" w:rsidRDefault="00D673CB" w:rsidP="00D673C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7561B3">
        <w:rPr>
          <w:b/>
          <w:smallCaps/>
          <w:snapToGrid w:val="0"/>
          <w:sz w:val="20"/>
          <w:szCs w:val="20"/>
        </w:rPr>
        <w:t>clasificación por origen</w:t>
      </w:r>
    </w:p>
    <w:p w14:paraId="03848203" w14:textId="77777777" w:rsidR="00D673CB" w:rsidRPr="007561B3" w:rsidRDefault="00D673CB" w:rsidP="00D673CB">
      <w:pPr>
        <w:widowControl w:val="0"/>
        <w:autoSpaceDE w:val="0"/>
        <w:autoSpaceDN w:val="0"/>
        <w:adjustRightInd w:val="0"/>
        <w:jc w:val="center"/>
        <w:rPr>
          <w:bCs/>
          <w:snapToGrid w:val="0"/>
          <w:sz w:val="20"/>
          <w:szCs w:val="20"/>
        </w:rPr>
      </w:pPr>
      <w:r w:rsidRPr="007561B3">
        <w:rPr>
          <w:bCs/>
          <w:snapToGrid w:val="0"/>
          <w:sz w:val="20"/>
          <w:szCs w:val="20"/>
        </w:rPr>
        <w:t>octubre de 2023</w:t>
      </w:r>
    </w:p>
    <w:tbl>
      <w:tblPr>
        <w:tblW w:w="4977" w:type="pct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9"/>
        <w:gridCol w:w="849"/>
        <w:gridCol w:w="850"/>
        <w:gridCol w:w="850"/>
        <w:gridCol w:w="850"/>
        <w:gridCol w:w="850"/>
        <w:gridCol w:w="850"/>
      </w:tblGrid>
      <w:tr w:rsidR="00D673CB" w:rsidRPr="007561B3" w14:paraId="37011723" w14:textId="77777777" w:rsidTr="00F7514D">
        <w:trPr>
          <w:trHeight w:val="255"/>
        </w:trPr>
        <w:tc>
          <w:tcPr>
            <w:tcW w:w="4809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D7C66B7" w14:textId="77777777" w:rsidR="00D673CB" w:rsidRPr="007561B3" w:rsidRDefault="00D673CB" w:rsidP="00F7514D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549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87D21BD" w14:textId="77777777" w:rsidR="00D673CB" w:rsidRPr="007561B3" w:rsidRDefault="00D673CB" w:rsidP="00F7514D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>Variación porcentual m</w:t>
            </w:r>
            <w:r w:rsidRPr="007561B3">
              <w:rPr>
                <w:bCs/>
                <w:color w:val="000000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550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38456C1" w14:textId="77777777" w:rsidR="00D673CB" w:rsidRPr="007561B3" w:rsidRDefault="00D673CB" w:rsidP="00F7514D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>Variación porcentual a</w:t>
            </w:r>
            <w:r w:rsidRPr="007561B3">
              <w:rPr>
                <w:bCs/>
                <w:color w:val="000000"/>
                <w:sz w:val="16"/>
                <w:szCs w:val="16"/>
                <w:lang w:eastAsia="es-MX"/>
              </w:rPr>
              <w:t>nual</w:t>
            </w:r>
          </w:p>
        </w:tc>
      </w:tr>
      <w:tr w:rsidR="00D673CB" w:rsidRPr="007561B3" w14:paraId="631403EF" w14:textId="77777777" w:rsidTr="00F7514D">
        <w:trPr>
          <w:trHeight w:val="397"/>
        </w:trPr>
        <w:tc>
          <w:tcPr>
            <w:tcW w:w="4809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3FE15848" w14:textId="77777777" w:rsidR="00D673CB" w:rsidRPr="007561B3" w:rsidRDefault="00D673CB" w:rsidP="00F7514D">
            <w:pPr>
              <w:jc w:val="center"/>
              <w:rPr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849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3048F55" w14:textId="77777777" w:rsidR="00D673CB" w:rsidRPr="007561B3" w:rsidRDefault="00D673CB" w:rsidP="00F7514D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6"/>
                <w:lang w:eastAsia="es-MX"/>
              </w:rPr>
              <w:t>Inter-</w:t>
            </w:r>
            <w:r>
              <w:rPr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7561B3">
              <w:rPr>
                <w:bCs/>
                <w:color w:val="000000"/>
                <w:sz w:val="16"/>
                <w:szCs w:val="16"/>
                <w:lang w:eastAsia="es-MX"/>
              </w:rPr>
              <w:t>medios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0FB8D2B" w14:textId="77777777" w:rsidR="00D673CB" w:rsidRPr="007561B3" w:rsidRDefault="00D673CB" w:rsidP="00F7514D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D636390" w14:textId="77777777" w:rsidR="00D673CB" w:rsidRPr="007561B3" w:rsidRDefault="00D673CB" w:rsidP="00F7514D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8EF8D51" w14:textId="77777777" w:rsidR="00D673CB" w:rsidRPr="007561B3" w:rsidRDefault="00D673CB" w:rsidP="00F7514D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6"/>
                <w:lang w:eastAsia="es-MX"/>
              </w:rPr>
              <w:t>Inter-</w:t>
            </w:r>
            <w:r>
              <w:rPr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7561B3">
              <w:rPr>
                <w:bCs/>
                <w:color w:val="000000"/>
                <w:sz w:val="16"/>
                <w:szCs w:val="16"/>
                <w:lang w:eastAsia="es-MX"/>
              </w:rPr>
              <w:t>medios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90D1599" w14:textId="77777777" w:rsidR="00D673CB" w:rsidRPr="007561B3" w:rsidRDefault="00D673CB" w:rsidP="00F7514D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60258C3" w14:textId="77777777" w:rsidR="00D673CB" w:rsidRPr="007561B3" w:rsidRDefault="00D673CB" w:rsidP="00F7514D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</w:tr>
      <w:tr w:rsidR="00D673CB" w:rsidRPr="007561B3" w14:paraId="5E7D820C" w14:textId="77777777" w:rsidTr="00F7514D">
        <w:trPr>
          <w:trHeight w:val="227"/>
        </w:trPr>
        <w:tc>
          <w:tcPr>
            <w:tcW w:w="480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1E7D286" w14:textId="77777777" w:rsidR="00D673CB" w:rsidRPr="007561B3" w:rsidRDefault="00D673CB" w:rsidP="00F7514D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49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5842B56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-0.34</w:t>
            </w:r>
          </w:p>
        </w:tc>
        <w:tc>
          <w:tcPr>
            <w:tcW w:w="850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A7F2EC0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0.77</w:t>
            </w:r>
          </w:p>
        </w:tc>
        <w:tc>
          <w:tcPr>
            <w:tcW w:w="850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C31518B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0.46</w:t>
            </w:r>
          </w:p>
        </w:tc>
        <w:tc>
          <w:tcPr>
            <w:tcW w:w="850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B121A83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-1.08</w:t>
            </w:r>
          </w:p>
        </w:tc>
        <w:tc>
          <w:tcPr>
            <w:tcW w:w="850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08FE557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2.32</w:t>
            </w:r>
          </w:p>
        </w:tc>
        <w:tc>
          <w:tcPr>
            <w:tcW w:w="850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B5DF499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1.35</w:t>
            </w:r>
          </w:p>
        </w:tc>
      </w:tr>
      <w:tr w:rsidR="00D673CB" w:rsidRPr="007561B3" w14:paraId="29620E96" w14:textId="77777777" w:rsidTr="00F7514D">
        <w:trPr>
          <w:trHeight w:val="227"/>
        </w:trPr>
        <w:tc>
          <w:tcPr>
            <w:tcW w:w="48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FF2F8EE" w14:textId="77777777" w:rsidR="00D673CB" w:rsidRPr="007561B3" w:rsidRDefault="00D673CB" w:rsidP="00F7514D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49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7446B85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-3.59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6DDBBD7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-4.79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37BD795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-4.16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10A5CF9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-0.18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59DA13D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1.89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B3F6066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0.78</w:t>
            </w:r>
          </w:p>
        </w:tc>
      </w:tr>
      <w:tr w:rsidR="00D673CB" w:rsidRPr="007561B3" w14:paraId="3C58D6E8" w14:textId="77777777" w:rsidTr="00F7514D">
        <w:trPr>
          <w:trHeight w:val="227"/>
        </w:trPr>
        <w:tc>
          <w:tcPr>
            <w:tcW w:w="48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1D648B1" w14:textId="77777777" w:rsidR="00D673CB" w:rsidRPr="007561B3" w:rsidRDefault="00D673CB" w:rsidP="00F7514D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49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4AF6A9F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-0.24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89A11B4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1.16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9A60C38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0.80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22F9469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-4.05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65D78B4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0.68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AEC7532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-0.57</w:t>
            </w:r>
          </w:p>
        </w:tc>
      </w:tr>
      <w:tr w:rsidR="00D673CB" w:rsidRPr="007561B3" w14:paraId="428043EB" w14:textId="77777777" w:rsidTr="00F7514D">
        <w:trPr>
          <w:trHeight w:val="227"/>
        </w:trPr>
        <w:tc>
          <w:tcPr>
            <w:tcW w:w="48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73950A8" w14:textId="77777777" w:rsidR="00D673CB" w:rsidRPr="007561B3" w:rsidRDefault="00D673CB" w:rsidP="00F7514D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49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CD816B9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2.59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8EC7AF0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3.48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335512F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3.01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F7845A0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-4.64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413E4E3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-6.26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A40C989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-5.41</w:t>
            </w:r>
          </w:p>
        </w:tc>
      </w:tr>
      <w:tr w:rsidR="00D673CB" w:rsidRPr="007561B3" w14:paraId="10333F2A" w14:textId="77777777" w:rsidTr="00F7514D">
        <w:trPr>
          <w:trHeight w:val="227"/>
        </w:trPr>
        <w:tc>
          <w:tcPr>
            <w:tcW w:w="48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DBA5C39" w14:textId="77777777" w:rsidR="00D673CB" w:rsidRPr="007561B3" w:rsidRDefault="00D673CB" w:rsidP="00F7514D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49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170C5FC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0.14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E680EC4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14.25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90B5436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2.22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2AA8D36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5.71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3F8122F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3.57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EDE4613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5.35</w:t>
            </w:r>
          </w:p>
        </w:tc>
      </w:tr>
      <w:tr w:rsidR="00D673CB" w:rsidRPr="007561B3" w14:paraId="49351DD6" w14:textId="77777777" w:rsidTr="00F7514D">
        <w:trPr>
          <w:trHeight w:val="227"/>
        </w:trPr>
        <w:tc>
          <w:tcPr>
            <w:tcW w:w="48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90AF631" w14:textId="3FF32D3A" w:rsidR="00D673CB" w:rsidRPr="007561B3" w:rsidRDefault="00D673CB" w:rsidP="00F7514D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Construcción</w:t>
            </w:r>
            <w:r w:rsidRPr="007561B3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1/</w:t>
            </w:r>
          </w:p>
        </w:tc>
        <w:tc>
          <w:tcPr>
            <w:tcW w:w="849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49377A9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86281A3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-0.10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6140BA1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-0.10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A0EE8EB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90A5982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1.96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D18BDC5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1.96</w:t>
            </w:r>
          </w:p>
        </w:tc>
      </w:tr>
      <w:tr w:rsidR="00D673CB" w:rsidRPr="007561B3" w14:paraId="00AF36C0" w14:textId="77777777" w:rsidTr="00F7514D">
        <w:trPr>
          <w:trHeight w:val="227"/>
        </w:trPr>
        <w:tc>
          <w:tcPr>
            <w:tcW w:w="48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5C66A78" w14:textId="77777777" w:rsidR="00D673CB" w:rsidRPr="007561B3" w:rsidRDefault="00D673CB" w:rsidP="00F7514D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49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7EF3B42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-0.91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FC13FA0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1.24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3B29F4A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0.69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6959C46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-5.38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498DA5D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0.79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6FDC659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-0.84</w:t>
            </w:r>
          </w:p>
        </w:tc>
      </w:tr>
      <w:tr w:rsidR="00D673CB" w:rsidRPr="007561B3" w14:paraId="3624D544" w14:textId="77777777" w:rsidTr="00F7514D">
        <w:trPr>
          <w:trHeight w:val="227"/>
        </w:trPr>
        <w:tc>
          <w:tcPr>
            <w:tcW w:w="480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CD42550" w14:textId="77777777" w:rsidR="00D673CB" w:rsidRPr="007561B3" w:rsidRDefault="00D673CB" w:rsidP="00F7514D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49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1A8456E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0.60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F7C6A52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0.67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307B211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0.65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9470DB0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4.30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5E51F23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5.75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1E8417B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5.34</w:t>
            </w:r>
          </w:p>
        </w:tc>
      </w:tr>
    </w:tbl>
    <w:p w14:paraId="3E16536A" w14:textId="77777777" w:rsidR="00D673CB" w:rsidRPr="007561B3" w:rsidRDefault="00D673CB" w:rsidP="00D673CB">
      <w:pPr>
        <w:widowControl w:val="0"/>
        <w:tabs>
          <w:tab w:val="left" w:pos="266"/>
        </w:tabs>
        <w:autoSpaceDE w:val="0"/>
        <w:autoSpaceDN w:val="0"/>
        <w:adjustRightInd w:val="0"/>
        <w:ind w:left="709" w:hanging="595"/>
        <w:jc w:val="left"/>
        <w:rPr>
          <w:color w:val="000000"/>
          <w:sz w:val="14"/>
          <w:szCs w:val="16"/>
        </w:rPr>
      </w:pPr>
      <w:r w:rsidRPr="007561B3">
        <w:rPr>
          <w:sz w:val="16"/>
          <w:szCs w:val="16"/>
          <w:vertAlign w:val="superscript"/>
        </w:rPr>
        <w:t>1/</w:t>
      </w:r>
      <w:r w:rsidRPr="007561B3">
        <w:rPr>
          <w:color w:val="000000"/>
          <w:sz w:val="16"/>
          <w:szCs w:val="16"/>
          <w:vertAlign w:val="superscript"/>
        </w:rPr>
        <w:tab/>
      </w:r>
      <w:r>
        <w:rPr>
          <w:color w:val="000000"/>
          <w:sz w:val="16"/>
          <w:szCs w:val="16"/>
          <w:vertAlign w:val="superscript"/>
        </w:rPr>
        <w:t xml:space="preserve"> </w:t>
      </w:r>
      <w:r>
        <w:rPr>
          <w:color w:val="000000"/>
          <w:sz w:val="14"/>
          <w:szCs w:val="16"/>
        </w:rPr>
        <w:t xml:space="preserve">        </w:t>
      </w:r>
      <w:r w:rsidRPr="007561B3">
        <w:rPr>
          <w:color w:val="000000"/>
          <w:sz w:val="14"/>
          <w:szCs w:val="16"/>
        </w:rPr>
        <w:t>Esta actividad no genera bienes de uso intermedio.</w:t>
      </w:r>
    </w:p>
    <w:p w14:paraId="798AEECF" w14:textId="18875B79" w:rsidR="00D673CB" w:rsidRPr="007561B3" w:rsidRDefault="00D673CB" w:rsidP="00D673CB">
      <w:pPr>
        <w:widowControl w:val="0"/>
        <w:tabs>
          <w:tab w:val="left" w:pos="266"/>
        </w:tabs>
        <w:autoSpaceDE w:val="0"/>
        <w:autoSpaceDN w:val="0"/>
        <w:adjustRightInd w:val="0"/>
        <w:ind w:left="-11" w:firstLine="125"/>
        <w:jc w:val="left"/>
        <w:rPr>
          <w:spacing w:val="6"/>
          <w:sz w:val="14"/>
          <w:szCs w:val="14"/>
        </w:rPr>
      </w:pPr>
      <w:r w:rsidRPr="007561B3">
        <w:rPr>
          <w:color w:val="000000"/>
          <w:sz w:val="14"/>
          <w:szCs w:val="16"/>
        </w:rPr>
        <w:t>Fuente</w:t>
      </w:r>
      <w:r w:rsidRPr="007561B3">
        <w:rPr>
          <w:smallCaps/>
          <w:color w:val="000000"/>
          <w:sz w:val="14"/>
          <w:szCs w:val="16"/>
        </w:rPr>
        <w:t xml:space="preserve">: </w:t>
      </w:r>
      <w:proofErr w:type="spellStart"/>
      <w:r w:rsidRPr="007561B3">
        <w:rPr>
          <w:smallCaps/>
          <w:color w:val="000000"/>
          <w:sz w:val="14"/>
          <w:szCs w:val="16"/>
        </w:rPr>
        <w:t>inegi</w:t>
      </w:r>
      <w:proofErr w:type="spellEnd"/>
      <w:r w:rsidRPr="007561B3">
        <w:rPr>
          <w:color w:val="000000"/>
          <w:sz w:val="14"/>
          <w:szCs w:val="16"/>
        </w:rPr>
        <w:t xml:space="preserve">. </w:t>
      </w:r>
      <w:proofErr w:type="spellStart"/>
      <w:r w:rsidRPr="007561B3">
        <w:rPr>
          <w:smallCaps/>
          <w:color w:val="000000"/>
          <w:sz w:val="14"/>
          <w:szCs w:val="16"/>
        </w:rPr>
        <w:t>inpp</w:t>
      </w:r>
      <w:proofErr w:type="spellEnd"/>
      <w:r>
        <w:rPr>
          <w:color w:val="000000"/>
          <w:sz w:val="14"/>
          <w:szCs w:val="16"/>
        </w:rPr>
        <w:t>.</w:t>
      </w:r>
      <w:r w:rsidRPr="007561B3">
        <w:rPr>
          <w:color w:val="000000"/>
          <w:sz w:val="14"/>
          <w:szCs w:val="16"/>
        </w:rPr>
        <w:t xml:space="preserve"> 2023.</w:t>
      </w:r>
    </w:p>
    <w:p w14:paraId="0B9FA90E" w14:textId="77777777" w:rsidR="00D673CB" w:rsidRDefault="00D673CB" w:rsidP="00D673CB">
      <w:pPr>
        <w:pStyle w:val="Prrafodelista"/>
        <w:spacing w:before="240"/>
        <w:ind w:left="0" w:right="51"/>
        <w:rPr>
          <w:bCs/>
          <w:szCs w:val="22"/>
        </w:rPr>
      </w:pPr>
    </w:p>
    <w:p w14:paraId="3910914E" w14:textId="77777777" w:rsidR="00D673CB" w:rsidRDefault="00D673CB" w:rsidP="00D673CB">
      <w:pPr>
        <w:pStyle w:val="Prrafodelista"/>
        <w:spacing w:before="240"/>
        <w:ind w:left="0" w:right="51"/>
        <w:rPr>
          <w:bCs/>
          <w:szCs w:val="22"/>
        </w:rPr>
      </w:pPr>
    </w:p>
    <w:p w14:paraId="4D2FC60C" w14:textId="77777777" w:rsidR="00D673CB" w:rsidRDefault="00D673CB" w:rsidP="00D673CB">
      <w:pPr>
        <w:pStyle w:val="Prrafodelista"/>
        <w:spacing w:before="240"/>
        <w:ind w:left="0" w:right="51"/>
        <w:rPr>
          <w:bCs/>
          <w:szCs w:val="22"/>
        </w:rPr>
      </w:pPr>
    </w:p>
    <w:p w14:paraId="3929343A" w14:textId="5218EF02" w:rsidR="00D673CB" w:rsidRPr="007561B3" w:rsidRDefault="00D673CB" w:rsidP="00D673C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7561B3">
        <w:rPr>
          <w:b/>
          <w:smallCaps/>
          <w:snapToGrid w:val="0"/>
          <w:sz w:val="22"/>
          <w:szCs w:val="22"/>
        </w:rPr>
        <w:t>Variación del</w:t>
      </w:r>
      <w:r w:rsidR="005C1313">
        <w:rPr>
          <w:b/>
          <w:smallCaps/>
          <w:snapToGrid w:val="0"/>
          <w:sz w:val="22"/>
          <w:szCs w:val="22"/>
        </w:rPr>
        <w:t xml:space="preserve"> </w:t>
      </w:r>
      <w:proofErr w:type="spellStart"/>
      <w:r w:rsidR="005C1313" w:rsidRPr="005C1313">
        <w:rPr>
          <w:rFonts w:ascii="Arial Negrita" w:hAnsi="Arial Negrita"/>
          <w:b/>
          <w:smallCaps/>
          <w:snapToGrid w:val="0"/>
          <w:sz w:val="22"/>
          <w:szCs w:val="22"/>
        </w:rPr>
        <w:t>inpp</w:t>
      </w:r>
      <w:proofErr w:type="spellEnd"/>
      <w:r w:rsidRPr="007561B3">
        <w:rPr>
          <w:b/>
          <w:smallCaps/>
          <w:snapToGrid w:val="0"/>
          <w:sz w:val="22"/>
          <w:szCs w:val="22"/>
        </w:rPr>
        <w:t xml:space="preserve"> </w:t>
      </w:r>
    </w:p>
    <w:p w14:paraId="7CC5714E" w14:textId="77777777" w:rsidR="00D673CB" w:rsidRPr="007561B3" w:rsidRDefault="00D673CB" w:rsidP="00D673C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7561B3">
        <w:rPr>
          <w:b/>
          <w:smallCaps/>
          <w:snapToGrid w:val="0"/>
          <w:sz w:val="20"/>
          <w:szCs w:val="20"/>
        </w:rPr>
        <w:t xml:space="preserve">producción total, </w:t>
      </w:r>
      <w:r>
        <w:rPr>
          <w:b/>
          <w:smallCaps/>
          <w:snapToGrid w:val="0"/>
          <w:sz w:val="20"/>
          <w:szCs w:val="20"/>
        </w:rPr>
        <w:t>incluido</w:t>
      </w:r>
      <w:r w:rsidRPr="007561B3">
        <w:rPr>
          <w:b/>
          <w:smallCaps/>
          <w:snapToGrid w:val="0"/>
          <w:sz w:val="20"/>
          <w:szCs w:val="20"/>
        </w:rPr>
        <w:t xml:space="preserve"> petróleo</w:t>
      </w:r>
    </w:p>
    <w:p w14:paraId="3D98AE2E" w14:textId="77777777" w:rsidR="00D673CB" w:rsidRPr="007561B3" w:rsidRDefault="00D673CB" w:rsidP="00D673CB">
      <w:pPr>
        <w:keepNext/>
        <w:keepLines/>
        <w:widowControl w:val="0"/>
        <w:autoSpaceDE w:val="0"/>
        <w:autoSpaceDN w:val="0"/>
        <w:adjustRightInd w:val="0"/>
        <w:jc w:val="center"/>
        <w:rPr>
          <w:snapToGrid w:val="0"/>
          <w:sz w:val="20"/>
          <w:szCs w:val="20"/>
        </w:rPr>
      </w:pPr>
      <w:r w:rsidRPr="007561B3">
        <w:rPr>
          <w:snapToGrid w:val="0"/>
          <w:sz w:val="20"/>
          <w:szCs w:val="20"/>
        </w:rPr>
        <w:t>octubre de los años que se indican</w:t>
      </w:r>
    </w:p>
    <w:tbl>
      <w:tblPr>
        <w:tblW w:w="497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9"/>
        <w:gridCol w:w="849"/>
        <w:gridCol w:w="850"/>
        <w:gridCol w:w="850"/>
        <w:gridCol w:w="850"/>
        <w:gridCol w:w="850"/>
        <w:gridCol w:w="850"/>
      </w:tblGrid>
      <w:tr w:rsidR="00D673CB" w:rsidRPr="007561B3" w14:paraId="7C55BC1F" w14:textId="77777777" w:rsidTr="00F7514D">
        <w:trPr>
          <w:trHeight w:val="255"/>
          <w:jc w:val="center"/>
        </w:trPr>
        <w:tc>
          <w:tcPr>
            <w:tcW w:w="4809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55EE378" w14:textId="77777777" w:rsidR="00D673CB" w:rsidRPr="007561B3" w:rsidRDefault="00D673CB" w:rsidP="00F7514D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8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8"/>
                <w:lang w:eastAsia="es-MX"/>
              </w:rPr>
              <w:t>Actividad económica</w:t>
            </w:r>
          </w:p>
        </w:tc>
        <w:tc>
          <w:tcPr>
            <w:tcW w:w="2549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4493461" w14:textId="77777777" w:rsidR="00D673CB" w:rsidRPr="007561B3" w:rsidRDefault="00D673CB" w:rsidP="00F7514D">
            <w:pPr>
              <w:jc w:val="center"/>
              <w:rPr>
                <w:bCs/>
                <w:color w:val="000000"/>
                <w:sz w:val="16"/>
                <w:szCs w:val="18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>Variación porcentual m</w:t>
            </w:r>
            <w:r w:rsidRPr="007561B3">
              <w:rPr>
                <w:bCs/>
                <w:color w:val="000000"/>
                <w:sz w:val="16"/>
                <w:szCs w:val="18"/>
                <w:lang w:eastAsia="es-MX"/>
              </w:rPr>
              <w:t>ensual</w:t>
            </w:r>
          </w:p>
        </w:tc>
        <w:tc>
          <w:tcPr>
            <w:tcW w:w="2550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76B5982" w14:textId="77777777" w:rsidR="00D673CB" w:rsidRPr="007561B3" w:rsidRDefault="00D673CB" w:rsidP="00F7514D">
            <w:pPr>
              <w:jc w:val="center"/>
              <w:rPr>
                <w:bCs/>
                <w:color w:val="000000"/>
                <w:sz w:val="16"/>
                <w:szCs w:val="18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>Variación porcentual a</w:t>
            </w:r>
            <w:r w:rsidRPr="007561B3">
              <w:rPr>
                <w:bCs/>
                <w:color w:val="000000"/>
                <w:sz w:val="16"/>
                <w:szCs w:val="18"/>
                <w:lang w:eastAsia="es-MX"/>
              </w:rPr>
              <w:t>nual</w:t>
            </w:r>
          </w:p>
        </w:tc>
      </w:tr>
      <w:tr w:rsidR="00D673CB" w:rsidRPr="007561B3" w14:paraId="797F8D56" w14:textId="77777777" w:rsidTr="00F7514D">
        <w:trPr>
          <w:trHeight w:val="255"/>
          <w:jc w:val="center"/>
        </w:trPr>
        <w:tc>
          <w:tcPr>
            <w:tcW w:w="4809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001EE0AF" w14:textId="77777777" w:rsidR="00D673CB" w:rsidRPr="007561B3" w:rsidRDefault="00D673CB" w:rsidP="00F7514D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49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B9E50F2" w14:textId="77777777" w:rsidR="00D673CB" w:rsidRPr="007561B3" w:rsidRDefault="00D673CB" w:rsidP="00F751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39436AC" w14:textId="77777777" w:rsidR="00D673CB" w:rsidRPr="007561B3" w:rsidRDefault="00D673CB" w:rsidP="00F751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80235C9" w14:textId="77777777" w:rsidR="00D673CB" w:rsidRPr="007561B3" w:rsidRDefault="00D673CB" w:rsidP="00F751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7D61690" w14:textId="77777777" w:rsidR="00D673CB" w:rsidRPr="007561B3" w:rsidRDefault="00D673CB" w:rsidP="00F751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B2C9B81" w14:textId="77777777" w:rsidR="00D673CB" w:rsidRPr="007561B3" w:rsidRDefault="00D673CB" w:rsidP="00F751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956942F" w14:textId="77777777" w:rsidR="00D673CB" w:rsidRPr="007561B3" w:rsidRDefault="00D673CB" w:rsidP="00F751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D673CB" w:rsidRPr="007561B3" w14:paraId="0DD29A4D" w14:textId="77777777" w:rsidTr="00F7514D">
        <w:trPr>
          <w:trHeight w:val="227"/>
          <w:jc w:val="center"/>
        </w:trPr>
        <w:tc>
          <w:tcPr>
            <w:tcW w:w="480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D5E1A46" w14:textId="77777777" w:rsidR="00D673CB" w:rsidRPr="007561B3" w:rsidRDefault="00D673CB" w:rsidP="00F7514D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49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E22B6FD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1.22</w:t>
            </w:r>
          </w:p>
        </w:tc>
        <w:tc>
          <w:tcPr>
            <w:tcW w:w="850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4D2CD4B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-0.27</w:t>
            </w:r>
          </w:p>
        </w:tc>
        <w:tc>
          <w:tcPr>
            <w:tcW w:w="850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61A97BB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0.46</w:t>
            </w:r>
          </w:p>
        </w:tc>
        <w:tc>
          <w:tcPr>
            <w:tcW w:w="850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53BA079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8.39</w:t>
            </w:r>
          </w:p>
        </w:tc>
        <w:tc>
          <w:tcPr>
            <w:tcW w:w="850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B881CFF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7.07</w:t>
            </w:r>
          </w:p>
        </w:tc>
        <w:tc>
          <w:tcPr>
            <w:tcW w:w="850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FCD30B6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1.35</w:t>
            </w:r>
          </w:p>
        </w:tc>
      </w:tr>
      <w:tr w:rsidR="00D673CB" w:rsidRPr="007561B3" w14:paraId="222EE5C2" w14:textId="77777777" w:rsidTr="00F7514D">
        <w:trPr>
          <w:trHeight w:val="227"/>
          <w:jc w:val="center"/>
        </w:trPr>
        <w:tc>
          <w:tcPr>
            <w:tcW w:w="48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37629D4" w14:textId="77777777" w:rsidR="00D673CB" w:rsidRPr="007561B3" w:rsidRDefault="00D673CB" w:rsidP="00F7514D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49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72F8A26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-0.82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5D3AF5F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-0.29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4FB81A4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-4.16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FA937E9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10.58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9D2BC7C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14.29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495CEE5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0.78</w:t>
            </w:r>
          </w:p>
        </w:tc>
      </w:tr>
      <w:tr w:rsidR="00D673CB" w:rsidRPr="007561B3" w14:paraId="072C9DFB" w14:textId="77777777" w:rsidTr="00F7514D">
        <w:trPr>
          <w:trHeight w:val="227"/>
          <w:jc w:val="center"/>
        </w:trPr>
        <w:tc>
          <w:tcPr>
            <w:tcW w:w="48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C3110A6" w14:textId="77777777" w:rsidR="00D673CB" w:rsidRPr="007561B3" w:rsidRDefault="00D673CB" w:rsidP="00F7514D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49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158B3F5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1.77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2FC7706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-0.50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A6F03C9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0.80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FF11CD2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11.20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FEB8639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7.20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988FBB2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-0.57</w:t>
            </w:r>
          </w:p>
        </w:tc>
      </w:tr>
      <w:tr w:rsidR="00D673CB" w:rsidRPr="007561B3" w14:paraId="694A2F4E" w14:textId="77777777" w:rsidTr="00F7514D">
        <w:trPr>
          <w:trHeight w:val="227"/>
          <w:jc w:val="center"/>
        </w:trPr>
        <w:tc>
          <w:tcPr>
            <w:tcW w:w="48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5B55024" w14:textId="77777777" w:rsidR="00D673CB" w:rsidRPr="007561B3" w:rsidRDefault="00D673CB" w:rsidP="00F7514D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49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7D06A7E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6.85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1922F75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-4.66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0333A26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3.01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84AA8D0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41.38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33AECCF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-0.14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69B9259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-5.41</w:t>
            </w:r>
          </w:p>
        </w:tc>
      </w:tr>
      <w:tr w:rsidR="00D673CB" w:rsidRPr="007561B3" w14:paraId="077C516A" w14:textId="77777777" w:rsidTr="00F7514D">
        <w:trPr>
          <w:trHeight w:val="227"/>
          <w:jc w:val="center"/>
        </w:trPr>
        <w:tc>
          <w:tcPr>
            <w:tcW w:w="48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5E05AE68" w14:textId="77777777" w:rsidR="00D673CB" w:rsidRPr="007561B3" w:rsidRDefault="00D673CB" w:rsidP="00F7514D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49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B00BB47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1.98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61D5110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2.15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DBB841E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2.22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DC83A4F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3.79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571A025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6.09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319952B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5.35</w:t>
            </w:r>
          </w:p>
        </w:tc>
      </w:tr>
      <w:tr w:rsidR="00D673CB" w:rsidRPr="007561B3" w14:paraId="03C0B607" w14:textId="77777777" w:rsidTr="00F7514D">
        <w:trPr>
          <w:trHeight w:val="227"/>
          <w:jc w:val="center"/>
        </w:trPr>
        <w:tc>
          <w:tcPr>
            <w:tcW w:w="48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74C0B3A" w14:textId="77777777" w:rsidR="00D673CB" w:rsidRPr="007561B3" w:rsidRDefault="00D673CB" w:rsidP="00F7514D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Construcción</w:t>
            </w:r>
          </w:p>
        </w:tc>
        <w:tc>
          <w:tcPr>
            <w:tcW w:w="849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B5797FC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0.34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A6E8CFD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-0.66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E23BC12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-0.10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BF2E99D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15.24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0F8F53D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11.14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9E510C3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1.96</w:t>
            </w:r>
          </w:p>
        </w:tc>
      </w:tr>
      <w:tr w:rsidR="00D673CB" w:rsidRPr="007561B3" w14:paraId="31D32459" w14:textId="77777777" w:rsidTr="00F7514D">
        <w:trPr>
          <w:trHeight w:val="227"/>
          <w:jc w:val="center"/>
        </w:trPr>
        <w:tc>
          <w:tcPr>
            <w:tcW w:w="48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313CBF7" w14:textId="77777777" w:rsidR="00D673CB" w:rsidRPr="007561B3" w:rsidRDefault="00D673CB" w:rsidP="00F7514D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49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98476A7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1.48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9C8E026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-0.11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A4BF8D4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0.69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F95D3DA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8.04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1ED2F2F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7.34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337E183" w14:textId="77777777" w:rsidR="00D673CB" w:rsidRPr="007561B3" w:rsidRDefault="00D673CB" w:rsidP="00F7514D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-0.84</w:t>
            </w:r>
          </w:p>
        </w:tc>
      </w:tr>
      <w:tr w:rsidR="00D673CB" w:rsidRPr="007561B3" w14:paraId="47085391" w14:textId="77777777" w:rsidTr="00F7514D">
        <w:trPr>
          <w:trHeight w:val="227"/>
          <w:jc w:val="center"/>
        </w:trPr>
        <w:tc>
          <w:tcPr>
            <w:tcW w:w="480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C26484C" w14:textId="77777777" w:rsidR="00D673CB" w:rsidRPr="007561B3" w:rsidRDefault="00D673CB" w:rsidP="00F7514D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49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3B0368B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0.48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A294F69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0.20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DD82B9C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0.65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90DEFEB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2.87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6B9C1BE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5.61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F4A78C7" w14:textId="77777777" w:rsidR="00D673CB" w:rsidRPr="007561B3" w:rsidRDefault="00D673CB" w:rsidP="00F7514D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5.34</w:t>
            </w:r>
          </w:p>
        </w:tc>
      </w:tr>
    </w:tbl>
    <w:p w14:paraId="257AC362" w14:textId="37E6C32B" w:rsidR="00D673CB" w:rsidRPr="007561B3" w:rsidRDefault="00D673CB" w:rsidP="00D673CB">
      <w:pPr>
        <w:widowControl w:val="0"/>
        <w:tabs>
          <w:tab w:val="left" w:pos="266"/>
        </w:tabs>
        <w:autoSpaceDE w:val="0"/>
        <w:autoSpaceDN w:val="0"/>
        <w:adjustRightInd w:val="0"/>
        <w:ind w:left="-11" w:firstLine="125"/>
        <w:jc w:val="left"/>
        <w:rPr>
          <w:snapToGrid w:val="0"/>
          <w:sz w:val="14"/>
          <w:szCs w:val="14"/>
          <w:u w:val="single"/>
        </w:rPr>
      </w:pPr>
      <w:r w:rsidRPr="007561B3">
        <w:rPr>
          <w:color w:val="000000"/>
          <w:sz w:val="14"/>
          <w:szCs w:val="14"/>
        </w:rPr>
        <w:t xml:space="preserve">Fuente: </w:t>
      </w:r>
      <w:proofErr w:type="spellStart"/>
      <w:r w:rsidRPr="007561B3">
        <w:rPr>
          <w:smallCaps/>
          <w:color w:val="000000"/>
          <w:sz w:val="14"/>
          <w:szCs w:val="14"/>
        </w:rPr>
        <w:t>inegi</w:t>
      </w:r>
      <w:proofErr w:type="spellEnd"/>
      <w:r w:rsidRPr="007561B3">
        <w:rPr>
          <w:color w:val="000000"/>
          <w:sz w:val="14"/>
          <w:szCs w:val="14"/>
        </w:rPr>
        <w:t xml:space="preserve">. </w:t>
      </w:r>
      <w:proofErr w:type="spellStart"/>
      <w:r w:rsidRPr="007561B3">
        <w:rPr>
          <w:smallCaps/>
          <w:color w:val="000000"/>
          <w:sz w:val="14"/>
          <w:szCs w:val="16"/>
        </w:rPr>
        <w:t>inpp</w:t>
      </w:r>
      <w:proofErr w:type="spellEnd"/>
      <w:r>
        <w:rPr>
          <w:color w:val="000000"/>
          <w:sz w:val="14"/>
          <w:szCs w:val="16"/>
        </w:rPr>
        <w:t>.</w:t>
      </w:r>
      <w:r w:rsidRPr="007561B3">
        <w:rPr>
          <w:color w:val="000000"/>
          <w:sz w:val="14"/>
          <w:szCs w:val="16"/>
        </w:rPr>
        <w:t xml:space="preserve"> 2023</w:t>
      </w:r>
      <w:r w:rsidRPr="007561B3">
        <w:rPr>
          <w:color w:val="000000"/>
          <w:sz w:val="16"/>
          <w:szCs w:val="16"/>
        </w:rPr>
        <w:t>.</w:t>
      </w:r>
      <w:r w:rsidRPr="007561B3">
        <w:rPr>
          <w:snapToGrid w:val="0"/>
          <w:sz w:val="14"/>
          <w:szCs w:val="14"/>
          <w:u w:val="single"/>
        </w:rPr>
        <w:t xml:space="preserve"> </w:t>
      </w:r>
    </w:p>
    <w:p w14:paraId="4772E4EA" w14:textId="77777777" w:rsidR="00D673CB" w:rsidRDefault="00D673CB" w:rsidP="00D673CB">
      <w:pPr>
        <w:pStyle w:val="Texto"/>
        <w:keepNext/>
        <w:keepLines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7561B3">
        <w:rPr>
          <w:b/>
          <w:sz w:val="22"/>
          <w:szCs w:val="24"/>
        </w:rPr>
        <w:t xml:space="preserve">CERTIFICACIÓN </w:t>
      </w:r>
      <w:r w:rsidRPr="007561B3">
        <w:rPr>
          <w:b/>
          <w:smallCaps/>
          <w:sz w:val="22"/>
          <w:szCs w:val="24"/>
        </w:rPr>
        <w:t>ISO</w:t>
      </w:r>
      <w:r w:rsidRPr="007561B3">
        <w:rPr>
          <w:b/>
          <w:sz w:val="22"/>
          <w:szCs w:val="24"/>
        </w:rPr>
        <w:t xml:space="preserve"> 9001:2015</w:t>
      </w:r>
    </w:p>
    <w:p w14:paraId="76C2B30F" w14:textId="1F4AD9EB" w:rsidR="00D673CB" w:rsidRPr="007561B3" w:rsidRDefault="00D673CB" w:rsidP="00D673CB">
      <w:pPr>
        <w:pStyle w:val="Texto"/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2"/>
          <w:szCs w:val="24"/>
        </w:rPr>
      </w:pPr>
      <w:r w:rsidRPr="007561B3">
        <w:rPr>
          <w:noProof/>
          <w:lang w:val="es-MX" w:eastAsia="es-MX"/>
        </w:rPr>
        <w:drawing>
          <wp:inline distT="0" distB="0" distL="0" distR="0" wp14:anchorId="1596C698" wp14:editId="544D6DDD">
            <wp:extent cx="3600000" cy="1677600"/>
            <wp:effectExtent l="0" t="0" r="635" b="0"/>
            <wp:docPr id="1244084202" name="Imagen 124408420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67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FE982F" w14:textId="77777777" w:rsidR="00D673CB" w:rsidRDefault="00D673CB" w:rsidP="00D673CB">
      <w:pPr>
        <w:pStyle w:val="Prrafodelista"/>
        <w:spacing w:before="240"/>
        <w:ind w:left="0" w:right="51"/>
        <w:rPr>
          <w:bCs/>
          <w:szCs w:val="22"/>
        </w:rPr>
      </w:pPr>
    </w:p>
    <w:p w14:paraId="12147639" w14:textId="546823A6" w:rsidR="00D673CB" w:rsidRDefault="00D673CB" w:rsidP="003F4F48">
      <w:pPr>
        <w:spacing w:before="360"/>
        <w:ind w:left="142" w:right="51"/>
        <w:jc w:val="center"/>
        <w:rPr>
          <w:bCs/>
          <w:szCs w:val="22"/>
        </w:rPr>
      </w:pPr>
      <w:bookmarkStart w:id="0" w:name="_Hlk148955161"/>
      <w:r w:rsidRPr="000974C7">
        <w:rPr>
          <w:bCs/>
          <w:snapToGrid w:val="0"/>
        </w:rPr>
        <w:t>Se anexa Nota técnica</w:t>
      </w:r>
      <w:bookmarkEnd w:id="0"/>
    </w:p>
    <w:p w14:paraId="5F3E170A" w14:textId="77777777" w:rsidR="00D673CB" w:rsidRDefault="00D673CB" w:rsidP="00D673CB">
      <w:pPr>
        <w:pStyle w:val="Prrafodelista"/>
        <w:spacing w:before="240"/>
        <w:ind w:left="0" w:right="51"/>
        <w:rPr>
          <w:bCs/>
          <w:szCs w:val="22"/>
        </w:rPr>
      </w:pPr>
    </w:p>
    <w:p w14:paraId="55ACEDBC" w14:textId="77777777" w:rsidR="003F4F48" w:rsidRDefault="003F4F48" w:rsidP="00D673CB">
      <w:pPr>
        <w:pStyle w:val="Prrafodelista"/>
        <w:spacing w:before="240"/>
        <w:ind w:left="0" w:right="51"/>
        <w:rPr>
          <w:bCs/>
          <w:szCs w:val="22"/>
        </w:rPr>
      </w:pPr>
    </w:p>
    <w:p w14:paraId="4A341527" w14:textId="77777777" w:rsidR="00D673CB" w:rsidRPr="00D673CB" w:rsidRDefault="00D673CB" w:rsidP="00D673CB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bookmarkStart w:id="1" w:name="_Hlk147145049"/>
      <w:bookmarkStart w:id="2" w:name="_Hlk148018231"/>
      <w:bookmarkStart w:id="3" w:name="_Hlk148955175"/>
      <w:r w:rsidRPr="00D673CB">
        <w:rPr>
          <w:rFonts w:ascii="Arial" w:hAnsi="Arial" w:cs="Arial"/>
          <w:lang w:val="es-ES_tradnl"/>
        </w:rPr>
        <w:t xml:space="preserve">Para consultas de medios y periodistas, escribir a: </w:t>
      </w:r>
      <w:hyperlink r:id="rId9" w:history="1">
        <w:r w:rsidRPr="00D673CB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D673CB">
        <w:rPr>
          <w:rFonts w:ascii="Arial" w:hAnsi="Arial" w:cs="Arial"/>
          <w:lang w:val="es-ES_tradnl"/>
        </w:rPr>
        <w:t xml:space="preserve">    </w:t>
      </w:r>
    </w:p>
    <w:p w14:paraId="4B1C46CB" w14:textId="77777777" w:rsidR="00D673CB" w:rsidRPr="00D673CB" w:rsidRDefault="00D673CB" w:rsidP="00D673C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D673CB">
        <w:rPr>
          <w:rFonts w:ascii="Arial" w:hAnsi="Arial" w:cs="Arial"/>
          <w:lang w:val="es-ES_tradnl"/>
        </w:rPr>
        <w:t>o llamar al teléfono (55) 52-78-10-00, extensiones 321064, 321134 y 321241</w:t>
      </w:r>
    </w:p>
    <w:p w14:paraId="16D4BA7B" w14:textId="77777777" w:rsidR="00D673CB" w:rsidRPr="00D673CB" w:rsidRDefault="00D673CB" w:rsidP="00D673C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D673CB">
        <w:rPr>
          <w:rFonts w:ascii="Arial" w:hAnsi="Arial" w:cs="Arial"/>
        </w:rPr>
        <w:t>Dirección de Atención a Medios/ Dirección General Adjunta de Comunicación</w:t>
      </w:r>
    </w:p>
    <w:p w14:paraId="7A02C743" w14:textId="77777777" w:rsidR="00D673CB" w:rsidRPr="00D673CB" w:rsidRDefault="00D673CB" w:rsidP="00D673C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57A35996" w14:textId="3A878A4E" w:rsidR="00D673CB" w:rsidRDefault="00D673CB" w:rsidP="00D673CB">
      <w:pPr>
        <w:pStyle w:val="Piedepgina"/>
        <w:jc w:val="center"/>
        <w:rPr>
          <w:noProof/>
          <w:lang w:eastAsia="es-MX"/>
        </w:rPr>
      </w:pPr>
      <w:r w:rsidRPr="00D673CB">
        <w:rPr>
          <w:noProof/>
          <w:lang w:eastAsia="es-MX"/>
        </w:rPr>
        <w:tab/>
      </w:r>
      <w:r w:rsidRPr="00D673CB">
        <w:rPr>
          <w:noProof/>
          <w:lang w:eastAsia="es-MX"/>
        </w:rPr>
        <w:drawing>
          <wp:inline distT="0" distB="0" distL="0" distR="0" wp14:anchorId="30B0C043" wp14:editId="11875DDE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73CB">
        <w:rPr>
          <w:noProof/>
          <w:lang w:eastAsia="es-MX"/>
        </w:rPr>
        <w:t xml:space="preserve"> </w:t>
      </w:r>
      <w:r w:rsidRPr="00D673CB">
        <w:rPr>
          <w:noProof/>
          <w:lang w:eastAsia="es-MX"/>
        </w:rPr>
        <w:drawing>
          <wp:inline distT="0" distB="0" distL="0" distR="0" wp14:anchorId="4D22D428" wp14:editId="7EE0CF8D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3CB">
        <w:rPr>
          <w:noProof/>
          <w:lang w:eastAsia="es-MX"/>
        </w:rPr>
        <w:t xml:space="preserve"> </w:t>
      </w:r>
      <w:r w:rsidRPr="00D673CB">
        <w:rPr>
          <w:noProof/>
          <w:lang w:eastAsia="es-MX"/>
        </w:rPr>
        <w:drawing>
          <wp:inline distT="0" distB="0" distL="0" distR="0" wp14:anchorId="2E112F02" wp14:editId="74265D93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3CB">
        <w:rPr>
          <w:noProof/>
          <w:lang w:eastAsia="es-MX"/>
        </w:rPr>
        <w:t xml:space="preserve"> </w:t>
      </w:r>
      <w:r w:rsidRPr="00D673CB">
        <w:rPr>
          <w:noProof/>
          <w:lang w:eastAsia="es-MX"/>
        </w:rPr>
        <w:drawing>
          <wp:inline distT="0" distB="0" distL="0" distR="0" wp14:anchorId="4A9F50CF" wp14:editId="68D2A58F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3CB">
        <w:rPr>
          <w:noProof/>
          <w:lang w:eastAsia="es-MX"/>
        </w:rPr>
        <w:t xml:space="preserve">  </w:t>
      </w:r>
      <w:r w:rsidRPr="00D673CB">
        <w:rPr>
          <w:noProof/>
          <w:lang w:eastAsia="es-MX"/>
        </w:rPr>
        <w:drawing>
          <wp:inline distT="0" distB="0" distL="0" distR="0" wp14:anchorId="649CA904" wp14:editId="4E2E7F33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  <w:r>
        <w:rPr>
          <w:noProof/>
          <w:lang w:eastAsia="es-MX"/>
        </w:rPr>
        <w:br w:type="page"/>
      </w:r>
    </w:p>
    <w:p w14:paraId="75CBC4F2" w14:textId="77777777" w:rsidR="00187925" w:rsidRDefault="00187925" w:rsidP="00D673CB">
      <w:pPr>
        <w:pStyle w:val="Piedepgina"/>
        <w:jc w:val="center"/>
        <w:rPr>
          <w:b/>
          <w:bCs/>
          <w:sz w:val="23"/>
          <w:szCs w:val="23"/>
        </w:rPr>
      </w:pPr>
    </w:p>
    <w:p w14:paraId="7CD199AA" w14:textId="4544A71C" w:rsidR="00D673CB" w:rsidRPr="00D673CB" w:rsidRDefault="00187925" w:rsidP="00D673CB">
      <w:pPr>
        <w:pStyle w:val="Piedepgina"/>
        <w:jc w:val="center"/>
        <w:rPr>
          <w:noProof/>
          <w:lang w:eastAsia="es-MX"/>
        </w:rPr>
      </w:pPr>
      <w:r>
        <w:rPr>
          <w:b/>
          <w:bCs/>
          <w:sz w:val="23"/>
          <w:szCs w:val="23"/>
        </w:rPr>
        <w:t>NOTA TÉCNICA</w:t>
      </w:r>
    </w:p>
    <w:p w14:paraId="1C821175" w14:textId="1336B9BA" w:rsidR="005C48B4" w:rsidRDefault="005C48B4" w:rsidP="002077F8">
      <w:pPr>
        <w:autoSpaceDE w:val="0"/>
        <w:autoSpaceDN w:val="0"/>
        <w:adjustRightInd w:val="0"/>
        <w:spacing w:before="240"/>
        <w:rPr>
          <w:bCs/>
          <w:iCs/>
          <w:snapToGrid w:val="0"/>
        </w:rPr>
      </w:pPr>
      <w:bookmarkStart w:id="4" w:name="_Hlk21329855"/>
      <w:bookmarkEnd w:id="3"/>
      <w:r w:rsidRPr="007561B3">
        <w:t>El Instituto Nacional de Estadística y Geografía (</w:t>
      </w:r>
      <w:proofErr w:type="spellStart"/>
      <w:r w:rsidRPr="007561B3">
        <w:rPr>
          <w:smallCaps/>
        </w:rPr>
        <w:t>inegi</w:t>
      </w:r>
      <w:proofErr w:type="spellEnd"/>
      <w:r w:rsidRPr="007561B3">
        <w:t>) da a conocer los resultados del Índice Nacional de Precios Productor (</w:t>
      </w:r>
      <w:proofErr w:type="spellStart"/>
      <w:r w:rsidRPr="007561B3">
        <w:rPr>
          <w:smallCaps/>
        </w:rPr>
        <w:t>inpp</w:t>
      </w:r>
      <w:proofErr w:type="spellEnd"/>
      <w:r w:rsidRPr="007561B3">
        <w:t>)</w:t>
      </w:r>
      <w:r w:rsidR="005C7EA0" w:rsidRPr="007561B3">
        <w:t xml:space="preserve">. El </w:t>
      </w:r>
      <w:r w:rsidRPr="007561B3">
        <w:t xml:space="preserve">objetivo </w:t>
      </w:r>
      <w:r w:rsidR="005C7EA0" w:rsidRPr="007561B3">
        <w:t>es</w:t>
      </w:r>
      <w:r w:rsidR="007F02E4" w:rsidRPr="007561B3">
        <w:t xml:space="preserve"> </w:t>
      </w:r>
      <w:r w:rsidRPr="007561B3">
        <w:t>medir la</w:t>
      </w:r>
      <w:r w:rsidR="007F02E4" w:rsidRPr="007561B3">
        <w:t>s</w:t>
      </w:r>
      <w:r w:rsidRPr="007561B3">
        <w:t xml:space="preserve"> variaci</w:t>
      </w:r>
      <w:r w:rsidR="007F02E4" w:rsidRPr="007561B3">
        <w:t>ones</w:t>
      </w:r>
      <w:r w:rsidRPr="007561B3">
        <w:t xml:space="preserve"> de los precios de </w:t>
      </w:r>
      <w:r w:rsidR="007F02E4" w:rsidRPr="007561B3">
        <w:t xml:space="preserve">los </w:t>
      </w:r>
      <w:r w:rsidRPr="007561B3">
        <w:t xml:space="preserve">bienes y servicios </w:t>
      </w:r>
      <w:r w:rsidR="007F02E4" w:rsidRPr="007561B3">
        <w:t>que se</w:t>
      </w:r>
      <w:r w:rsidRPr="007561B3">
        <w:t xml:space="preserve"> produc</w:t>
      </w:r>
      <w:r w:rsidR="007F02E4" w:rsidRPr="007561B3">
        <w:t>en en el país para el consumo interno y para la exportación</w:t>
      </w:r>
      <w:r w:rsidRPr="007561B3">
        <w:rPr>
          <w:bCs/>
          <w:iCs/>
          <w:snapToGrid w:val="0"/>
        </w:rPr>
        <w:t>.</w:t>
      </w:r>
    </w:p>
    <w:p w14:paraId="6AA270AB" w14:textId="77777777" w:rsidR="00187925" w:rsidRPr="007561B3" w:rsidRDefault="00187925" w:rsidP="002077F8">
      <w:pPr>
        <w:autoSpaceDE w:val="0"/>
        <w:autoSpaceDN w:val="0"/>
        <w:adjustRightInd w:val="0"/>
        <w:spacing w:before="240"/>
        <w:rPr>
          <w:bCs/>
          <w:iCs/>
          <w:snapToGrid w:val="0"/>
        </w:rPr>
      </w:pPr>
    </w:p>
    <w:p w14:paraId="7F544761" w14:textId="68D1C6EF" w:rsidR="0098436A" w:rsidRPr="007561B3" w:rsidRDefault="002E1F9D" w:rsidP="000F703E">
      <w:pPr>
        <w:autoSpaceDE w:val="0"/>
        <w:autoSpaceDN w:val="0"/>
        <w:adjustRightInd w:val="0"/>
        <w:spacing w:before="360"/>
        <w:rPr>
          <w:b/>
          <w:iCs/>
          <w:smallCaps/>
          <w:snapToGrid w:val="0"/>
        </w:rPr>
      </w:pPr>
      <w:r w:rsidRPr="007561B3">
        <w:rPr>
          <w:b/>
          <w:iCs/>
          <w:smallCaps/>
          <w:snapToGrid w:val="0"/>
        </w:rPr>
        <w:t>Índice Nacional de Precios Productor</w:t>
      </w:r>
      <w:r w:rsidR="00B16ACC" w:rsidRPr="007561B3">
        <w:rPr>
          <w:b/>
          <w:iCs/>
          <w:smallCaps/>
          <w:snapToGrid w:val="0"/>
        </w:rPr>
        <w:t xml:space="preserve"> </w:t>
      </w:r>
      <w:r w:rsidR="00B542E2" w:rsidRPr="007561B3">
        <w:rPr>
          <w:b/>
          <w:iCs/>
          <w:smallCaps/>
          <w:snapToGrid w:val="0"/>
        </w:rPr>
        <w:t>total</w:t>
      </w:r>
    </w:p>
    <w:bookmarkEnd w:id="4"/>
    <w:p w14:paraId="5F43466D" w14:textId="1F485336" w:rsidR="004D5C5B" w:rsidRPr="007561B3" w:rsidRDefault="009C3F25" w:rsidP="000F703E">
      <w:pPr>
        <w:pStyle w:val="n01"/>
        <w:keepLines w:val="0"/>
        <w:spacing w:before="200"/>
        <w:ind w:left="0" w:firstLine="0"/>
        <w:rPr>
          <w:rFonts w:ascii="Arial" w:hAnsi="Arial"/>
          <w:color w:val="auto"/>
        </w:rPr>
      </w:pPr>
      <w:r w:rsidRPr="007561B3">
        <w:rPr>
          <w:rFonts w:ascii="Arial" w:hAnsi="Arial"/>
          <w:color w:val="auto"/>
        </w:rPr>
        <w:t xml:space="preserve">En octubre de 2023, el </w:t>
      </w:r>
      <w:proofErr w:type="spellStart"/>
      <w:r w:rsidRPr="007561B3">
        <w:rPr>
          <w:rFonts w:ascii="Arial" w:hAnsi="Arial"/>
          <w:smallCaps/>
          <w:color w:val="auto"/>
        </w:rPr>
        <w:t>inpp</w:t>
      </w:r>
      <w:proofErr w:type="spellEnd"/>
      <w:r w:rsidRPr="007561B3">
        <w:rPr>
          <w:rFonts w:ascii="Arial" w:hAnsi="Arial"/>
          <w:color w:val="auto"/>
        </w:rPr>
        <w:t xml:space="preserve"> total, </w:t>
      </w:r>
      <w:r w:rsidR="00AD64FB">
        <w:rPr>
          <w:rFonts w:ascii="Arial" w:hAnsi="Arial"/>
          <w:color w:val="auto"/>
        </w:rPr>
        <w:t>incluido</w:t>
      </w:r>
      <w:r w:rsidR="00AD64FB" w:rsidRPr="007561B3">
        <w:rPr>
          <w:rFonts w:ascii="Arial" w:hAnsi="Arial"/>
          <w:color w:val="auto"/>
        </w:rPr>
        <w:t xml:space="preserve"> </w:t>
      </w:r>
      <w:r w:rsidRPr="007561B3">
        <w:rPr>
          <w:rFonts w:ascii="Arial" w:hAnsi="Arial"/>
          <w:color w:val="auto"/>
        </w:rPr>
        <w:t>petróleo, aumentó 0.46 % a tasa mensual y 1.35 %</w:t>
      </w:r>
      <w:r w:rsidR="00187925">
        <w:rPr>
          <w:rFonts w:ascii="Arial" w:hAnsi="Arial"/>
          <w:color w:val="auto"/>
        </w:rPr>
        <w:t> </w:t>
      </w:r>
      <w:r w:rsidRPr="007561B3">
        <w:rPr>
          <w:rFonts w:ascii="Arial" w:hAnsi="Arial"/>
          <w:color w:val="auto"/>
        </w:rPr>
        <w:t>a tasa anual. En el mismo mes de 2022, disminuyó 0.27 % a tasa mensual y creció 7.07 % a tasa anual</w:t>
      </w:r>
      <w:r w:rsidR="002E0F76" w:rsidRPr="007561B3">
        <w:rPr>
          <w:rFonts w:ascii="Arial" w:hAnsi="Arial"/>
          <w:color w:val="auto"/>
        </w:rPr>
        <w:t>.</w:t>
      </w:r>
    </w:p>
    <w:p w14:paraId="32F1BCE8" w14:textId="77777777" w:rsidR="004D5C5B" w:rsidRPr="007561B3" w:rsidRDefault="004D5C5B" w:rsidP="000F703E">
      <w:pPr>
        <w:pStyle w:val="n01"/>
        <w:keepLines w:val="0"/>
        <w:spacing w:before="200"/>
        <w:ind w:left="0" w:firstLine="0"/>
        <w:jc w:val="center"/>
        <w:rPr>
          <w:rFonts w:ascii="Arial" w:hAnsi="Arial"/>
          <w:color w:val="auto"/>
          <w:sz w:val="20"/>
        </w:rPr>
      </w:pPr>
      <w:r w:rsidRPr="007561B3">
        <w:rPr>
          <w:rFonts w:ascii="Arial" w:hAnsi="Arial"/>
          <w:color w:val="auto"/>
          <w:sz w:val="20"/>
        </w:rPr>
        <w:t>Gráfica 1</w:t>
      </w:r>
    </w:p>
    <w:p w14:paraId="7EE8ED0A" w14:textId="5EE94574" w:rsidR="00E21E68" w:rsidRPr="007561B3" w:rsidRDefault="00276662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7561B3">
        <w:rPr>
          <w:b/>
          <w:smallCaps/>
          <w:snapToGrid w:val="0"/>
          <w:sz w:val="22"/>
          <w:szCs w:val="22"/>
        </w:rPr>
        <w:t xml:space="preserve">Variación del </w:t>
      </w:r>
      <w:r w:rsidR="00E21E68" w:rsidRPr="007561B3">
        <w:rPr>
          <w:b/>
          <w:smallCaps/>
          <w:snapToGrid w:val="0"/>
          <w:sz w:val="22"/>
          <w:szCs w:val="22"/>
        </w:rPr>
        <w:t xml:space="preserve">Índice Nacional de Precios Productor </w:t>
      </w:r>
    </w:p>
    <w:p w14:paraId="04686407" w14:textId="153F6DE3" w:rsidR="004D5C5B" w:rsidRPr="007561B3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7561B3">
        <w:rPr>
          <w:b/>
          <w:smallCaps/>
          <w:snapToGrid w:val="0"/>
          <w:sz w:val="20"/>
          <w:szCs w:val="20"/>
        </w:rPr>
        <w:t>producción total, actividades primarias, secundarias y terciarias,</w:t>
      </w:r>
      <w:r w:rsidR="007F02E4" w:rsidRPr="007561B3">
        <w:rPr>
          <w:b/>
          <w:smallCaps/>
          <w:snapToGrid w:val="0"/>
          <w:sz w:val="20"/>
          <w:szCs w:val="20"/>
        </w:rPr>
        <w:t xml:space="preserve"> </w:t>
      </w:r>
      <w:r w:rsidR="000F703E">
        <w:rPr>
          <w:b/>
          <w:smallCaps/>
          <w:snapToGrid w:val="0"/>
          <w:sz w:val="20"/>
          <w:szCs w:val="20"/>
        </w:rPr>
        <w:t>incluido</w:t>
      </w:r>
      <w:r w:rsidRPr="007561B3">
        <w:rPr>
          <w:b/>
          <w:smallCaps/>
          <w:snapToGrid w:val="0"/>
          <w:sz w:val="20"/>
          <w:szCs w:val="20"/>
        </w:rPr>
        <w:t xml:space="preserve"> petróleo</w:t>
      </w:r>
    </w:p>
    <w:p w14:paraId="33D21DFC" w14:textId="580F3D63" w:rsidR="004D5C5B" w:rsidRPr="007561B3" w:rsidRDefault="00346D73" w:rsidP="004D5C5B">
      <w:pPr>
        <w:widowControl w:val="0"/>
        <w:autoSpaceDE w:val="0"/>
        <w:autoSpaceDN w:val="0"/>
        <w:adjustRightInd w:val="0"/>
        <w:jc w:val="center"/>
        <w:rPr>
          <w:snapToGrid w:val="0"/>
          <w:color w:val="000000"/>
          <w:sz w:val="20"/>
          <w:szCs w:val="20"/>
        </w:rPr>
      </w:pPr>
      <w:r w:rsidRPr="007561B3">
        <w:rPr>
          <w:snapToGrid w:val="0"/>
          <w:color w:val="000000"/>
          <w:sz w:val="20"/>
          <w:szCs w:val="20"/>
        </w:rPr>
        <w:t>octubre de los años que se indican</w:t>
      </w:r>
    </w:p>
    <w:p w14:paraId="39340BF1" w14:textId="443A3CB5" w:rsidR="00550380" w:rsidRPr="007561B3" w:rsidRDefault="00550380" w:rsidP="004D5C5B">
      <w:pPr>
        <w:widowControl w:val="0"/>
        <w:autoSpaceDE w:val="0"/>
        <w:autoSpaceDN w:val="0"/>
        <w:adjustRightInd w:val="0"/>
        <w:jc w:val="center"/>
        <w:rPr>
          <w:snapToGrid w:val="0"/>
          <w:color w:val="000000"/>
          <w:sz w:val="18"/>
          <w:szCs w:val="18"/>
        </w:rPr>
      </w:pPr>
      <w:r w:rsidRPr="007561B3">
        <w:rPr>
          <w:bCs/>
          <w:snapToGrid w:val="0"/>
          <w:sz w:val="18"/>
          <w:szCs w:val="18"/>
        </w:rPr>
        <w:t>(variación porcentual anual)</w:t>
      </w:r>
    </w:p>
    <w:p w14:paraId="1ED5244A" w14:textId="27487AA0" w:rsidR="005D387F" w:rsidRPr="007561B3" w:rsidRDefault="009C3F25" w:rsidP="004D5C5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7561B3">
        <w:rPr>
          <w:noProof/>
        </w:rPr>
        <w:drawing>
          <wp:inline distT="0" distB="0" distL="0" distR="0" wp14:anchorId="229508BE" wp14:editId="678C05D2">
            <wp:extent cx="5040000" cy="2880000"/>
            <wp:effectExtent l="0" t="0" r="27305" b="34925"/>
            <wp:docPr id="164186835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1DDF941" w14:textId="5D27DE97" w:rsidR="004445E5" w:rsidRPr="007561B3" w:rsidRDefault="004445E5" w:rsidP="008D1E4D">
      <w:pPr>
        <w:ind w:left="1134"/>
        <w:rPr>
          <w:snapToGrid w:val="0"/>
          <w:sz w:val="16"/>
          <w:szCs w:val="16"/>
          <w:u w:val="single"/>
        </w:rPr>
      </w:pPr>
      <w:r w:rsidRPr="007561B3">
        <w:rPr>
          <w:color w:val="000000"/>
          <w:sz w:val="16"/>
          <w:szCs w:val="14"/>
        </w:rPr>
        <w:t xml:space="preserve">Fuente: </w:t>
      </w:r>
      <w:proofErr w:type="spellStart"/>
      <w:r w:rsidR="005C48B4" w:rsidRPr="007561B3">
        <w:rPr>
          <w:smallCaps/>
          <w:color w:val="000000"/>
          <w:sz w:val="16"/>
          <w:szCs w:val="16"/>
        </w:rPr>
        <w:t>inegi</w:t>
      </w:r>
      <w:proofErr w:type="spellEnd"/>
      <w:r w:rsidR="00392FE6" w:rsidRPr="007561B3">
        <w:rPr>
          <w:color w:val="000000"/>
          <w:sz w:val="16"/>
          <w:szCs w:val="16"/>
        </w:rPr>
        <w:t>. Índice Nacional de Precios Productor</w:t>
      </w:r>
      <w:r w:rsidR="00194E8E" w:rsidRPr="007561B3">
        <w:rPr>
          <w:color w:val="000000"/>
          <w:sz w:val="16"/>
          <w:szCs w:val="16"/>
        </w:rPr>
        <w:t xml:space="preserve"> (</w:t>
      </w:r>
      <w:proofErr w:type="spellStart"/>
      <w:r w:rsidR="00194E8E" w:rsidRPr="007561B3">
        <w:rPr>
          <w:smallCaps/>
          <w:color w:val="000000"/>
          <w:sz w:val="16"/>
          <w:szCs w:val="16"/>
        </w:rPr>
        <w:t>inpp</w:t>
      </w:r>
      <w:proofErr w:type="spellEnd"/>
      <w:r w:rsidR="00194E8E" w:rsidRPr="007561B3">
        <w:rPr>
          <w:color w:val="000000"/>
          <w:sz w:val="16"/>
          <w:szCs w:val="16"/>
        </w:rPr>
        <w:t>), 2023</w:t>
      </w:r>
      <w:r w:rsidR="00392FE6" w:rsidRPr="007561B3">
        <w:rPr>
          <w:color w:val="000000"/>
          <w:sz w:val="16"/>
          <w:szCs w:val="16"/>
        </w:rPr>
        <w:t>.</w:t>
      </w:r>
    </w:p>
    <w:p w14:paraId="6BB032AA" w14:textId="4EE71659" w:rsidR="00873E66" w:rsidRDefault="009C3F25" w:rsidP="0068287A">
      <w:pPr>
        <w:spacing w:before="480"/>
        <w:rPr>
          <w:bCs/>
          <w:spacing w:val="6"/>
        </w:rPr>
      </w:pPr>
      <w:r w:rsidRPr="007561B3">
        <w:rPr>
          <w:bCs/>
        </w:rPr>
        <w:t>Por grupos de actividades económicas, a tasa mensual, los precios de las secundarias aumentaron 0.80 % y los de terciarias, 0.65 por ciento. Los de las actividades primarias decrecieron 4.16 por ciento</w:t>
      </w:r>
      <w:r w:rsidR="00C60619" w:rsidRPr="007561B3">
        <w:rPr>
          <w:bCs/>
          <w:spacing w:val="6"/>
        </w:rPr>
        <w:t>.</w:t>
      </w:r>
    </w:p>
    <w:p w14:paraId="73A03AEF" w14:textId="77777777" w:rsidR="00187925" w:rsidRDefault="00187925" w:rsidP="0068287A">
      <w:pPr>
        <w:spacing w:before="480"/>
        <w:rPr>
          <w:bCs/>
          <w:spacing w:val="6"/>
        </w:rPr>
      </w:pPr>
    </w:p>
    <w:p w14:paraId="1127FB0E" w14:textId="77777777" w:rsidR="00187925" w:rsidRPr="007561B3" w:rsidRDefault="00187925" w:rsidP="0068287A">
      <w:pPr>
        <w:spacing w:before="480"/>
        <w:rPr>
          <w:bCs/>
        </w:rPr>
      </w:pPr>
    </w:p>
    <w:p w14:paraId="68D3A091" w14:textId="77777777" w:rsidR="00187925" w:rsidRDefault="00187925" w:rsidP="00531744">
      <w:pPr>
        <w:widowControl w:val="0"/>
        <w:autoSpaceDE w:val="0"/>
        <w:autoSpaceDN w:val="0"/>
        <w:adjustRightInd w:val="0"/>
        <w:spacing w:before="240"/>
        <w:jc w:val="center"/>
        <w:rPr>
          <w:snapToGrid w:val="0"/>
          <w:sz w:val="20"/>
          <w:szCs w:val="20"/>
        </w:rPr>
      </w:pPr>
    </w:p>
    <w:p w14:paraId="1B15CC23" w14:textId="74C947C7" w:rsidR="004D5C5B" w:rsidRPr="007561B3" w:rsidRDefault="004D5C5B" w:rsidP="00531744">
      <w:pPr>
        <w:widowControl w:val="0"/>
        <w:autoSpaceDE w:val="0"/>
        <w:autoSpaceDN w:val="0"/>
        <w:adjustRightInd w:val="0"/>
        <w:spacing w:before="240"/>
        <w:jc w:val="center"/>
        <w:rPr>
          <w:snapToGrid w:val="0"/>
          <w:sz w:val="20"/>
          <w:szCs w:val="20"/>
        </w:rPr>
      </w:pPr>
      <w:r w:rsidRPr="007561B3">
        <w:rPr>
          <w:snapToGrid w:val="0"/>
          <w:sz w:val="20"/>
          <w:szCs w:val="20"/>
        </w:rPr>
        <w:t xml:space="preserve">Cuadro </w:t>
      </w:r>
      <w:r w:rsidR="00187925">
        <w:rPr>
          <w:snapToGrid w:val="0"/>
          <w:sz w:val="20"/>
          <w:szCs w:val="20"/>
        </w:rPr>
        <w:t>1</w:t>
      </w:r>
    </w:p>
    <w:p w14:paraId="2E452B0A" w14:textId="684009F2" w:rsidR="00E21E68" w:rsidRPr="007561B3" w:rsidRDefault="005C48B4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7561B3">
        <w:rPr>
          <w:b/>
          <w:smallCaps/>
          <w:snapToGrid w:val="0"/>
          <w:sz w:val="22"/>
          <w:szCs w:val="22"/>
        </w:rPr>
        <w:t xml:space="preserve">Variación e incidencia del </w:t>
      </w:r>
      <w:r w:rsidR="00E21E68" w:rsidRPr="007561B3">
        <w:rPr>
          <w:b/>
          <w:smallCaps/>
          <w:snapToGrid w:val="0"/>
          <w:sz w:val="22"/>
          <w:szCs w:val="22"/>
        </w:rPr>
        <w:t xml:space="preserve">Índice Nacional de Precios Productor </w:t>
      </w:r>
    </w:p>
    <w:p w14:paraId="084A20B9" w14:textId="42FFF809" w:rsidR="005C48B4" w:rsidRPr="007561B3" w:rsidRDefault="00E21E68" w:rsidP="00E44C01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7561B3">
        <w:rPr>
          <w:b/>
          <w:smallCaps/>
          <w:snapToGrid w:val="0"/>
          <w:sz w:val="20"/>
          <w:szCs w:val="20"/>
        </w:rPr>
        <w:t>mercancías y servicios intermedios, finales y producción total,</w:t>
      </w:r>
      <w:r w:rsidR="007F02E4" w:rsidRPr="007561B3">
        <w:rPr>
          <w:b/>
          <w:smallCaps/>
          <w:snapToGrid w:val="0"/>
          <w:sz w:val="20"/>
          <w:szCs w:val="20"/>
        </w:rPr>
        <w:t xml:space="preserve"> </w:t>
      </w:r>
      <w:r w:rsidR="000F703E">
        <w:rPr>
          <w:b/>
          <w:smallCaps/>
          <w:snapToGrid w:val="0"/>
          <w:sz w:val="20"/>
          <w:szCs w:val="20"/>
        </w:rPr>
        <w:t>incluido</w:t>
      </w:r>
      <w:r w:rsidRPr="007561B3">
        <w:rPr>
          <w:b/>
          <w:smallCaps/>
          <w:snapToGrid w:val="0"/>
          <w:sz w:val="20"/>
          <w:szCs w:val="20"/>
        </w:rPr>
        <w:t xml:space="preserve"> petróleo</w:t>
      </w:r>
    </w:p>
    <w:p w14:paraId="08FB1E41" w14:textId="1ED614ED" w:rsidR="00E44C01" w:rsidRPr="007561B3" w:rsidRDefault="005C377E" w:rsidP="00E44C01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7561B3">
        <w:rPr>
          <w:b/>
          <w:smallCaps/>
          <w:snapToGrid w:val="0"/>
          <w:sz w:val="20"/>
          <w:szCs w:val="20"/>
        </w:rPr>
        <w:t>clasificación por origen</w:t>
      </w:r>
    </w:p>
    <w:p w14:paraId="24C468A0" w14:textId="39DE0FB6" w:rsidR="004D5C5B" w:rsidRPr="007561B3" w:rsidRDefault="00346D73" w:rsidP="00E44C01">
      <w:pPr>
        <w:widowControl w:val="0"/>
        <w:autoSpaceDE w:val="0"/>
        <w:autoSpaceDN w:val="0"/>
        <w:adjustRightInd w:val="0"/>
        <w:jc w:val="center"/>
        <w:rPr>
          <w:bCs/>
          <w:snapToGrid w:val="0"/>
          <w:sz w:val="20"/>
          <w:szCs w:val="20"/>
        </w:rPr>
      </w:pPr>
      <w:r w:rsidRPr="007561B3">
        <w:rPr>
          <w:bCs/>
          <w:snapToGrid w:val="0"/>
          <w:sz w:val="20"/>
          <w:szCs w:val="20"/>
        </w:rPr>
        <w:t>octubre de 2023</w:t>
      </w:r>
    </w:p>
    <w:tbl>
      <w:tblPr>
        <w:tblW w:w="4986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1"/>
        <w:gridCol w:w="635"/>
        <w:gridCol w:w="636"/>
        <w:gridCol w:w="635"/>
        <w:gridCol w:w="635"/>
        <w:gridCol w:w="634"/>
        <w:gridCol w:w="635"/>
        <w:gridCol w:w="635"/>
        <w:gridCol w:w="635"/>
        <w:gridCol w:w="635"/>
      </w:tblGrid>
      <w:tr w:rsidR="00DD6E37" w:rsidRPr="007561B3" w14:paraId="17A35AA7" w14:textId="77777777" w:rsidTr="00694ABF">
        <w:trPr>
          <w:trHeight w:val="255"/>
          <w:jc w:val="center"/>
        </w:trPr>
        <w:tc>
          <w:tcPr>
            <w:tcW w:w="4211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F9BF5B3" w14:textId="77777777" w:rsidR="00DD6E37" w:rsidRPr="007561B3" w:rsidRDefault="00DD6E37" w:rsidP="00E5618C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4"/>
                <w:lang w:eastAsia="es-MX"/>
              </w:rPr>
            </w:pPr>
            <w:bookmarkStart w:id="5" w:name="_Hlk2757803"/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>Actividad económica</w:t>
            </w:r>
          </w:p>
        </w:tc>
        <w:tc>
          <w:tcPr>
            <w:tcW w:w="190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D2DAB8C" w14:textId="77777777" w:rsidR="00DD6E37" w:rsidRPr="007561B3" w:rsidRDefault="00DD6E37" w:rsidP="00E5618C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>Variación porcentual mensual</w:t>
            </w:r>
          </w:p>
        </w:tc>
        <w:tc>
          <w:tcPr>
            <w:tcW w:w="1904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C1AD355" w14:textId="77777777" w:rsidR="00DD6E37" w:rsidRPr="007561B3" w:rsidRDefault="00DD6E37" w:rsidP="00E5618C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>Variación porcentual anual</w:t>
            </w:r>
          </w:p>
        </w:tc>
        <w:tc>
          <w:tcPr>
            <w:tcW w:w="1905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C2A2392" w14:textId="77777777" w:rsidR="00DD6E37" w:rsidRPr="007561B3" w:rsidRDefault="00DD6E37" w:rsidP="00E5618C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>Incidencia mensual</w:t>
            </w:r>
            <w:r w:rsidRPr="007561B3">
              <w:rPr>
                <w:bCs/>
                <w:color w:val="000000"/>
                <w:sz w:val="16"/>
                <w:szCs w:val="14"/>
                <w:vertAlign w:val="superscript"/>
                <w:lang w:eastAsia="es-MX"/>
              </w:rPr>
              <w:t xml:space="preserve"> </w:t>
            </w:r>
            <w:r w:rsidRPr="007561B3">
              <w:rPr>
                <w:bCs/>
                <w:color w:val="000000"/>
                <w:position w:val="-1"/>
                <w:sz w:val="16"/>
                <w:szCs w:val="14"/>
                <w:vertAlign w:val="superscript"/>
                <w:lang w:eastAsia="es-MX"/>
              </w:rPr>
              <w:t>1/</w:t>
            </w:r>
          </w:p>
        </w:tc>
      </w:tr>
      <w:tr w:rsidR="00DD6E37" w:rsidRPr="007561B3" w14:paraId="15571C39" w14:textId="77777777" w:rsidTr="00694ABF">
        <w:trPr>
          <w:trHeight w:val="397"/>
          <w:jc w:val="center"/>
        </w:trPr>
        <w:tc>
          <w:tcPr>
            <w:tcW w:w="4211" w:type="dxa"/>
            <w:vMerge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70D97E80" w14:textId="77777777" w:rsidR="00DD6E37" w:rsidRPr="007561B3" w:rsidRDefault="00DD6E37" w:rsidP="00E5618C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635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2D6D96D" w14:textId="77777777" w:rsidR="00DD6E37" w:rsidRPr="007561B3" w:rsidRDefault="00DD6E37" w:rsidP="00E5618C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proofErr w:type="spellStart"/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  <w:proofErr w:type="spellEnd"/>
          </w:p>
        </w:tc>
        <w:tc>
          <w:tcPr>
            <w:tcW w:w="63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7601E36" w14:textId="77777777" w:rsidR="00DD6E37" w:rsidRPr="007561B3" w:rsidRDefault="00DD6E37" w:rsidP="00E5618C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63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D73E1DE" w14:textId="77777777" w:rsidR="00DD6E37" w:rsidRPr="007561B3" w:rsidRDefault="00DD6E37" w:rsidP="00E5618C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  <w:tc>
          <w:tcPr>
            <w:tcW w:w="635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1AD0334" w14:textId="77777777" w:rsidR="00DD6E37" w:rsidRPr="007561B3" w:rsidRDefault="00DD6E37" w:rsidP="00E5618C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proofErr w:type="spellStart"/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  <w:proofErr w:type="spellEnd"/>
          </w:p>
        </w:tc>
        <w:tc>
          <w:tcPr>
            <w:tcW w:w="634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560979D" w14:textId="77777777" w:rsidR="00DD6E37" w:rsidRPr="007561B3" w:rsidRDefault="00DD6E37" w:rsidP="00E5618C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63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5A544F1" w14:textId="77777777" w:rsidR="00DD6E37" w:rsidRPr="007561B3" w:rsidRDefault="00DD6E37" w:rsidP="00E5618C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  <w:tc>
          <w:tcPr>
            <w:tcW w:w="635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052A266" w14:textId="77777777" w:rsidR="00DD6E37" w:rsidRPr="007561B3" w:rsidRDefault="00DD6E37" w:rsidP="00E5618C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proofErr w:type="spellStart"/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  <w:proofErr w:type="spellEnd"/>
          </w:p>
        </w:tc>
        <w:tc>
          <w:tcPr>
            <w:tcW w:w="63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D2CFC85" w14:textId="77777777" w:rsidR="00DD6E37" w:rsidRPr="007561B3" w:rsidRDefault="00DD6E37" w:rsidP="00E5618C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63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1E04F84" w14:textId="77777777" w:rsidR="00DD6E37" w:rsidRPr="007561B3" w:rsidRDefault="00DD6E37" w:rsidP="00E5618C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</w:tr>
      <w:tr w:rsidR="009C3F25" w:rsidRPr="007561B3" w14:paraId="1161191B" w14:textId="77777777" w:rsidTr="009C3F25">
        <w:trPr>
          <w:trHeight w:val="198"/>
          <w:jc w:val="center"/>
        </w:trPr>
        <w:tc>
          <w:tcPr>
            <w:tcW w:w="4211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9E28310" w14:textId="77777777" w:rsidR="009C3F25" w:rsidRPr="007561B3" w:rsidRDefault="009C3F25" w:rsidP="009C3F25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>Índice General</w:t>
            </w:r>
          </w:p>
        </w:tc>
        <w:tc>
          <w:tcPr>
            <w:tcW w:w="63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1CACAD1" w14:textId="4CB7B2C1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-0.34</w:t>
            </w:r>
          </w:p>
        </w:tc>
        <w:tc>
          <w:tcPr>
            <w:tcW w:w="63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BD36AC6" w14:textId="5803D57F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0.77</w:t>
            </w:r>
          </w:p>
        </w:tc>
        <w:tc>
          <w:tcPr>
            <w:tcW w:w="63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8B40645" w14:textId="0EAC1D40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0.46</w:t>
            </w:r>
          </w:p>
        </w:tc>
        <w:tc>
          <w:tcPr>
            <w:tcW w:w="63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D6164D3" w14:textId="7B1414E0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-1.08</w:t>
            </w:r>
          </w:p>
        </w:tc>
        <w:tc>
          <w:tcPr>
            <w:tcW w:w="634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C65D1BC" w14:textId="473AD394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2.32</w:t>
            </w:r>
          </w:p>
        </w:tc>
        <w:tc>
          <w:tcPr>
            <w:tcW w:w="63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92C0664" w14:textId="7453C5A8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1.35</w:t>
            </w:r>
          </w:p>
        </w:tc>
        <w:tc>
          <w:tcPr>
            <w:tcW w:w="63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8FE1626" w14:textId="48C25908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-0.337</w:t>
            </w:r>
          </w:p>
        </w:tc>
        <w:tc>
          <w:tcPr>
            <w:tcW w:w="63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6A49842" w14:textId="0B63AB04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0.770</w:t>
            </w:r>
          </w:p>
        </w:tc>
        <w:tc>
          <w:tcPr>
            <w:tcW w:w="63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371D766" w14:textId="03184349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0.459</w:t>
            </w:r>
          </w:p>
        </w:tc>
      </w:tr>
      <w:tr w:rsidR="009C3F25" w:rsidRPr="007561B3" w14:paraId="09DFB46F" w14:textId="77777777" w:rsidTr="009C3F25">
        <w:trPr>
          <w:trHeight w:val="198"/>
          <w:jc w:val="center"/>
        </w:trPr>
        <w:tc>
          <w:tcPr>
            <w:tcW w:w="421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550CEB5C" w14:textId="77777777" w:rsidR="009C3F25" w:rsidRPr="007561B3" w:rsidRDefault="009C3F25" w:rsidP="009C3F25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BAE1E5B" w14:textId="48178A7A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-3.59</w:t>
            </w:r>
          </w:p>
        </w:tc>
        <w:tc>
          <w:tcPr>
            <w:tcW w:w="63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1CF8585" w14:textId="05E2A989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-4.79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141E78D" w14:textId="72641A05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-4.16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85CFAD1" w14:textId="16C1424A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-0.18</w:t>
            </w:r>
          </w:p>
        </w:tc>
        <w:tc>
          <w:tcPr>
            <w:tcW w:w="63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20F01A9" w14:textId="488A3D0B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1.89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4BF9326" w14:textId="1F422FDF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0.78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47D0213" w14:textId="4C9F52D7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-0.395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AC59B0B" w14:textId="218F6666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-0.185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9D9F6DA" w14:textId="706D347C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-0.244</w:t>
            </w:r>
          </w:p>
        </w:tc>
      </w:tr>
      <w:tr w:rsidR="009C3F25" w:rsidRPr="007561B3" w14:paraId="764D1ABA" w14:textId="77777777" w:rsidTr="009C3F25">
        <w:trPr>
          <w:trHeight w:val="198"/>
          <w:jc w:val="center"/>
        </w:trPr>
        <w:tc>
          <w:tcPr>
            <w:tcW w:w="421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619B261" w14:textId="77777777" w:rsidR="009C3F25" w:rsidRPr="007561B3" w:rsidRDefault="009C3F25" w:rsidP="009C3F25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Agricultura, cría y explotación de animales, aprovechamiento forestal, pesca y caza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2DD2BF4" w14:textId="5656A36D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-3.59</w:t>
            </w:r>
          </w:p>
        </w:tc>
        <w:tc>
          <w:tcPr>
            <w:tcW w:w="63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9EBD4A7" w14:textId="2AF9DB3A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-4.79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74A0088" w14:textId="3B78128E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-4.16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D034789" w14:textId="49A6410A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-0.18</w:t>
            </w:r>
          </w:p>
        </w:tc>
        <w:tc>
          <w:tcPr>
            <w:tcW w:w="63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1DC1C5A" w14:textId="225BE2C2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1.89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4386A69" w14:textId="1E409B49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0.78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356FD15" w14:textId="0D940D45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-0.395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B37FEA5" w14:textId="06AB6A7E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-0.185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E30EEFC" w14:textId="05D3606F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-0.244</w:t>
            </w:r>
          </w:p>
        </w:tc>
      </w:tr>
      <w:tr w:rsidR="009C3F25" w:rsidRPr="007561B3" w14:paraId="001ECAE7" w14:textId="77777777" w:rsidTr="009C3F25">
        <w:trPr>
          <w:trHeight w:val="198"/>
          <w:jc w:val="center"/>
        </w:trPr>
        <w:tc>
          <w:tcPr>
            <w:tcW w:w="421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70741F7" w14:textId="77777777" w:rsidR="009C3F25" w:rsidRPr="007561B3" w:rsidRDefault="009C3F25" w:rsidP="009C3F25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secundarias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C7A65E4" w14:textId="10CC0533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-0.24</w:t>
            </w:r>
          </w:p>
        </w:tc>
        <w:tc>
          <w:tcPr>
            <w:tcW w:w="63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EA3A868" w14:textId="01A6D9EF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1.16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78069AF" w14:textId="12E7153B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0.80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463387E" w14:textId="4466392D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-4.05</w:t>
            </w:r>
          </w:p>
        </w:tc>
        <w:tc>
          <w:tcPr>
            <w:tcW w:w="63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D7AEC0C" w14:textId="0AF7D4AF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0.68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FBE83FE" w14:textId="01C4B704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-0.57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ADA7605" w14:textId="10490239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-0.134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9EE9A59" w14:textId="49B7531F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0.736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1A41DFA" w14:textId="2FD3413D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0.492</w:t>
            </w:r>
          </w:p>
        </w:tc>
      </w:tr>
      <w:tr w:rsidR="009C3F25" w:rsidRPr="007561B3" w14:paraId="2C31E3E2" w14:textId="77777777" w:rsidTr="009C3F25">
        <w:trPr>
          <w:trHeight w:val="198"/>
          <w:jc w:val="center"/>
        </w:trPr>
        <w:tc>
          <w:tcPr>
            <w:tcW w:w="421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85AB38B" w14:textId="77777777" w:rsidR="009C3F25" w:rsidRPr="007561B3" w:rsidRDefault="009C3F25" w:rsidP="009C3F25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AA6BB1C" w14:textId="37403031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2.59</w:t>
            </w:r>
          </w:p>
        </w:tc>
        <w:tc>
          <w:tcPr>
            <w:tcW w:w="63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964DA58" w14:textId="04E4AA46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3.48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D192C25" w14:textId="60C2173B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3.01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9BF80E6" w14:textId="187AD5A3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-4.64</w:t>
            </w:r>
          </w:p>
        </w:tc>
        <w:tc>
          <w:tcPr>
            <w:tcW w:w="63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2C0E254" w14:textId="4DFC2AA0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-6.26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CB78435" w14:textId="2D281C48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-5.41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757E156" w14:textId="660EEA62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0.230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16C7249" w14:textId="45763984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0.107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86956C0" w14:textId="25DC468B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0.141</w:t>
            </w:r>
          </w:p>
        </w:tc>
      </w:tr>
      <w:tr w:rsidR="009C3F25" w:rsidRPr="007561B3" w14:paraId="290F0E22" w14:textId="77777777" w:rsidTr="009C3F25">
        <w:trPr>
          <w:trHeight w:val="198"/>
          <w:jc w:val="center"/>
        </w:trPr>
        <w:tc>
          <w:tcPr>
            <w:tcW w:w="421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110030AB" w14:textId="77777777" w:rsidR="009C3F25" w:rsidRPr="007561B3" w:rsidRDefault="009C3F25" w:rsidP="009C3F25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F57C23F" w14:textId="05589422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0.14</w:t>
            </w:r>
          </w:p>
        </w:tc>
        <w:tc>
          <w:tcPr>
            <w:tcW w:w="63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4C3D894" w14:textId="15DDE8FD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14.25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858A2F9" w14:textId="1738D9AD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2.22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B70F204" w14:textId="4DDE4CA7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63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70148D6" w14:textId="0DAE4E8E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3.57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7541B39" w14:textId="235F4A5D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5.35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0A53F9D" w14:textId="3F1299DF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0.010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E861EB5" w14:textId="41278BEB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0.066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A54FA30" w14:textId="2D013630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0.050</w:t>
            </w:r>
          </w:p>
        </w:tc>
      </w:tr>
      <w:tr w:rsidR="009C3F25" w:rsidRPr="007561B3" w14:paraId="22C4C447" w14:textId="77777777" w:rsidTr="009C3F25">
        <w:trPr>
          <w:trHeight w:val="198"/>
          <w:jc w:val="center"/>
        </w:trPr>
        <w:tc>
          <w:tcPr>
            <w:tcW w:w="421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19DEA38" w14:textId="77777777" w:rsidR="009C3F25" w:rsidRPr="007561B3" w:rsidRDefault="009C3F25" w:rsidP="009C3F25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 xml:space="preserve">Construcción </w:t>
            </w:r>
            <w:r w:rsidRPr="007561B3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2/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22F4534" w14:textId="6C6EC185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63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A7EB415" w14:textId="3C9664D4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-0.10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9CF5B73" w14:textId="4D192BC0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-0.10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2F4321B" w14:textId="5B57E1C4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63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D32FBDF" w14:textId="3670903D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1.96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7F5471E" w14:textId="7B6CCA54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1.96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7B63114" w14:textId="2DFCCB56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3858463" w14:textId="747689F7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-0.014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434A5AD" w14:textId="14A26389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-0.010</w:t>
            </w:r>
          </w:p>
        </w:tc>
      </w:tr>
      <w:tr w:rsidR="009C3F25" w:rsidRPr="007561B3" w14:paraId="793020BC" w14:textId="77777777" w:rsidTr="009C3F25">
        <w:trPr>
          <w:trHeight w:val="198"/>
          <w:jc w:val="center"/>
        </w:trPr>
        <w:tc>
          <w:tcPr>
            <w:tcW w:w="421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1AA96F4" w14:textId="77777777" w:rsidR="009C3F25" w:rsidRPr="007561B3" w:rsidRDefault="009C3F25" w:rsidP="009C3F25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Industrias manufactureras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86E1390" w14:textId="5B0E0634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-0.91</w:t>
            </w:r>
          </w:p>
        </w:tc>
        <w:tc>
          <w:tcPr>
            <w:tcW w:w="63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1F15E24" w14:textId="568D894B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1.24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3B57B52" w14:textId="2F4F5760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0.69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448D686" w14:textId="1CE3828A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-5.38</w:t>
            </w:r>
          </w:p>
        </w:tc>
        <w:tc>
          <w:tcPr>
            <w:tcW w:w="63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95AB570" w14:textId="105C294B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0.79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7EF4CC0" w14:textId="7A276B5C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-0.84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2602B07" w14:textId="431E3119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-0.374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E5F9E1C" w14:textId="753B22CA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0.578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5416799" w14:textId="74203796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0.311</w:t>
            </w:r>
          </w:p>
        </w:tc>
      </w:tr>
      <w:tr w:rsidR="009C3F25" w:rsidRPr="007561B3" w14:paraId="7E660962" w14:textId="77777777" w:rsidTr="009C3F25">
        <w:trPr>
          <w:trHeight w:val="198"/>
          <w:jc w:val="center"/>
        </w:trPr>
        <w:tc>
          <w:tcPr>
            <w:tcW w:w="421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664C96D" w14:textId="77777777" w:rsidR="009C3F25" w:rsidRPr="007561B3" w:rsidRDefault="009C3F25" w:rsidP="009C3F25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39041A0" w14:textId="3841141B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0.60</w:t>
            </w:r>
          </w:p>
        </w:tc>
        <w:tc>
          <w:tcPr>
            <w:tcW w:w="63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0326798" w14:textId="1171E187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0.67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8BD3591" w14:textId="7FD7A921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0.65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DBCE58C" w14:textId="48A96F9D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4.30</w:t>
            </w:r>
          </w:p>
        </w:tc>
        <w:tc>
          <w:tcPr>
            <w:tcW w:w="63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2BF1EF4" w14:textId="55666A1A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5.75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9132A1D" w14:textId="2ED0210F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5.34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F439292" w14:textId="35D48945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0.193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E5ADB83" w14:textId="4927F240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0.219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EA3D66E" w14:textId="4509BBC0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0.212</w:t>
            </w:r>
          </w:p>
        </w:tc>
      </w:tr>
      <w:tr w:rsidR="009C3F25" w:rsidRPr="007561B3" w14:paraId="0ED57D40" w14:textId="77777777" w:rsidTr="009C3F25">
        <w:trPr>
          <w:trHeight w:val="198"/>
          <w:jc w:val="center"/>
        </w:trPr>
        <w:tc>
          <w:tcPr>
            <w:tcW w:w="421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B82E31F" w14:textId="77777777" w:rsidR="009C3F25" w:rsidRPr="007561B3" w:rsidRDefault="009C3F25" w:rsidP="009C3F25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Transportes, correos y almacenamiento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74FF31A" w14:textId="0D8F5F8D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1.10</w:t>
            </w:r>
          </w:p>
        </w:tc>
        <w:tc>
          <w:tcPr>
            <w:tcW w:w="63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12E1A4B" w14:textId="5C3F3875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1.29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0B36DA9" w14:textId="59825573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1.24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E82D200" w14:textId="5A1A4ADD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63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BBF092A" w14:textId="2F6F9A89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6.72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ACF6ED0" w14:textId="6F2850F4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6.62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2DB2A9C" w14:textId="0C8E0689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0.077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CFE5EB1" w14:textId="1684D46C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0.116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58372BD" w14:textId="2984DFD7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0.105</w:t>
            </w:r>
          </w:p>
        </w:tc>
      </w:tr>
      <w:tr w:rsidR="009C3F25" w:rsidRPr="007561B3" w14:paraId="6080B95D" w14:textId="77777777" w:rsidTr="009C3F25">
        <w:trPr>
          <w:trHeight w:val="198"/>
          <w:jc w:val="center"/>
        </w:trPr>
        <w:tc>
          <w:tcPr>
            <w:tcW w:w="421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F32C9C2" w14:textId="77777777" w:rsidR="009C3F25" w:rsidRPr="007561B3" w:rsidRDefault="009C3F25" w:rsidP="009C3F25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Información en medios masivos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A72D238" w14:textId="3E5161FC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0.12</w:t>
            </w:r>
          </w:p>
        </w:tc>
        <w:tc>
          <w:tcPr>
            <w:tcW w:w="63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1F797C5" w14:textId="601B4779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0.12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28629DA" w14:textId="234A51D7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0.12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0003608" w14:textId="2A1ADFAB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1.14</w:t>
            </w:r>
          </w:p>
        </w:tc>
        <w:tc>
          <w:tcPr>
            <w:tcW w:w="63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325C6B2" w14:textId="74A43D9F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1.37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B4479E5" w14:textId="48AA986D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1.28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D054139" w14:textId="2FD87C83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DA40B71" w14:textId="2C30AC7E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9579875" w14:textId="20FF2F71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0.002</w:t>
            </w:r>
          </w:p>
        </w:tc>
      </w:tr>
      <w:tr w:rsidR="009C3F25" w:rsidRPr="007561B3" w14:paraId="0D4E52FE" w14:textId="77777777" w:rsidTr="009C3F25">
        <w:trPr>
          <w:trHeight w:val="198"/>
          <w:jc w:val="center"/>
        </w:trPr>
        <w:tc>
          <w:tcPr>
            <w:tcW w:w="421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553FE1A" w14:textId="77777777" w:rsidR="009C3F25" w:rsidRPr="007561B3" w:rsidRDefault="009C3F25" w:rsidP="009C3F25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Servicios inmobiliarios y de alquiler de bienes muebles e intangibles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247F2B4" w14:textId="3C8C505C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0.37</w:t>
            </w:r>
          </w:p>
        </w:tc>
        <w:tc>
          <w:tcPr>
            <w:tcW w:w="63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D36B343" w14:textId="36EC3D23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0.30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688034F" w14:textId="29FDCAF4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0.31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AF3ABBD" w14:textId="597752EE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3.29</w:t>
            </w:r>
          </w:p>
        </w:tc>
        <w:tc>
          <w:tcPr>
            <w:tcW w:w="63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1105AC8" w14:textId="35611C70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4.05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B77A4DE" w14:textId="563E4C5B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3.91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7FC9603" w14:textId="4E8EDAF2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0.014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013E83B" w14:textId="1284241D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0.021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6C0CB90" w14:textId="6F01463D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0.019</w:t>
            </w:r>
          </w:p>
        </w:tc>
      </w:tr>
      <w:tr w:rsidR="009C3F25" w:rsidRPr="007561B3" w14:paraId="16B8E7F0" w14:textId="77777777" w:rsidTr="009C3F25">
        <w:trPr>
          <w:trHeight w:val="198"/>
          <w:jc w:val="center"/>
        </w:trPr>
        <w:tc>
          <w:tcPr>
            <w:tcW w:w="421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0D2A189" w14:textId="77777777" w:rsidR="009C3F25" w:rsidRPr="007561B3" w:rsidRDefault="009C3F25" w:rsidP="009C3F25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Servicios profesionales, científicos y técnicos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B8BAE47" w14:textId="0C1AE355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0.55</w:t>
            </w:r>
          </w:p>
        </w:tc>
        <w:tc>
          <w:tcPr>
            <w:tcW w:w="63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8A9CBC2" w14:textId="714C83FF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2.59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4FAB5F4" w14:textId="42E961A2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0.97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12341BD" w14:textId="2DBA126F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2.79</w:t>
            </w:r>
          </w:p>
        </w:tc>
        <w:tc>
          <w:tcPr>
            <w:tcW w:w="63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09D98F2" w14:textId="06A50CB0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5.25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90158F9" w14:textId="4AB86580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3.29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3BF44B0" w14:textId="5CEC4B4E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0.037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BBAF413" w14:textId="77E657EB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0.018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E323219" w14:textId="3DDDAF0C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0.023</w:t>
            </w:r>
          </w:p>
        </w:tc>
      </w:tr>
      <w:tr w:rsidR="009C3F25" w:rsidRPr="007561B3" w14:paraId="2861341F" w14:textId="77777777" w:rsidTr="009C3F25">
        <w:trPr>
          <w:trHeight w:val="198"/>
          <w:jc w:val="center"/>
        </w:trPr>
        <w:tc>
          <w:tcPr>
            <w:tcW w:w="421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EA6A998" w14:textId="77777777" w:rsidR="009C3F25" w:rsidRPr="007561B3" w:rsidRDefault="009C3F25" w:rsidP="009C3F25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Servicios de apoyo a los negocios y manejo de residuos y desechos, y servicios de remediación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C50A07" w14:textId="6A99C7B5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0.14</w:t>
            </w:r>
          </w:p>
        </w:tc>
        <w:tc>
          <w:tcPr>
            <w:tcW w:w="63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41E9845" w14:textId="1BCB86F2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3.43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4C44DEE" w14:textId="4F8EBBE5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0.31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9EE8C83" w14:textId="5A0E1B6B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4.93</w:t>
            </w:r>
          </w:p>
        </w:tc>
        <w:tc>
          <w:tcPr>
            <w:tcW w:w="63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F914A65" w14:textId="04ACC857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3.41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3DFBF22" w14:textId="3AD3D0C4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4.85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9B46F44" w14:textId="7B7DA1E9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0.013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A1D5D78" w14:textId="6C6A463B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0.007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3978F4C" w14:textId="7F53ED93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0.009</w:t>
            </w:r>
          </w:p>
        </w:tc>
      </w:tr>
      <w:tr w:rsidR="009C3F25" w:rsidRPr="007561B3" w14:paraId="10D8C467" w14:textId="77777777" w:rsidTr="009C3F25">
        <w:trPr>
          <w:trHeight w:val="198"/>
          <w:jc w:val="center"/>
        </w:trPr>
        <w:tc>
          <w:tcPr>
            <w:tcW w:w="421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419571D" w14:textId="77777777" w:rsidR="009C3F25" w:rsidRPr="007561B3" w:rsidRDefault="009C3F25" w:rsidP="009C3F25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 xml:space="preserve">Servicios educativos </w:t>
            </w:r>
            <w:r w:rsidRPr="007561B3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2/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B2FC2CF" w14:textId="6D8EB791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63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2515FC9" w14:textId="05609ACD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0.00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6D45AAB" w14:textId="5ECE0924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0.00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BA711E4" w14:textId="6E9044F0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63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3661209" w14:textId="4D709401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6.69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DCED965" w14:textId="33B7ED97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6.69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376CC22" w14:textId="70C5C526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F822964" w14:textId="3C9E1C46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F7AB0AE" w14:textId="1CD66793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0.000</w:t>
            </w:r>
          </w:p>
        </w:tc>
      </w:tr>
      <w:tr w:rsidR="009C3F25" w:rsidRPr="007561B3" w14:paraId="4A1A6EC1" w14:textId="77777777" w:rsidTr="009C3F25">
        <w:trPr>
          <w:trHeight w:val="198"/>
          <w:jc w:val="center"/>
        </w:trPr>
        <w:tc>
          <w:tcPr>
            <w:tcW w:w="421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6F357F1" w14:textId="77777777" w:rsidR="009C3F25" w:rsidRPr="007561B3" w:rsidRDefault="009C3F25" w:rsidP="009C3F25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 xml:space="preserve">Servicios de salud y de asistencia social </w:t>
            </w:r>
            <w:r w:rsidRPr="007561B3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2/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0819F0E" w14:textId="6637357E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63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7BFA225" w14:textId="3F1CA8B3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0.23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DBC38E8" w14:textId="6A81F07D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0.23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8E029D2" w14:textId="48A00359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63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AB13BC7" w14:textId="39964B6B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6.74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C4EF6A4" w14:textId="5EF6DBC5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6.74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C58D802" w14:textId="7CA52934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76383D1" w14:textId="6956B59F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0.010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FC4C084" w14:textId="310A0B61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0.007</w:t>
            </w:r>
          </w:p>
        </w:tc>
      </w:tr>
      <w:tr w:rsidR="009C3F25" w:rsidRPr="007561B3" w14:paraId="2320C2D7" w14:textId="77777777" w:rsidTr="009C3F25">
        <w:trPr>
          <w:trHeight w:val="198"/>
          <w:jc w:val="center"/>
        </w:trPr>
        <w:tc>
          <w:tcPr>
            <w:tcW w:w="421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317C40B" w14:textId="77777777" w:rsidR="009C3F25" w:rsidRPr="007561B3" w:rsidRDefault="009C3F25" w:rsidP="009C3F25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 xml:space="preserve">Servicios de esparcimiento culturales y deportivos, y otros servicios recreativos </w:t>
            </w:r>
            <w:r w:rsidRPr="007561B3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2/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1C8C358" w14:textId="2440903E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63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DFAEFCB" w14:textId="4900EDAD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0.43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ECE1D14" w14:textId="0F9BBA5C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0.43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43E7C68" w14:textId="62D8B333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63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C376A17" w14:textId="218958F4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5.07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4EDB2B2" w14:textId="2F69F63C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5.07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DED354C" w14:textId="2D393220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0228E42" w14:textId="13DE7332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8B85851" w14:textId="15A0771A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0.001</w:t>
            </w:r>
          </w:p>
        </w:tc>
      </w:tr>
      <w:tr w:rsidR="009C3F25" w:rsidRPr="007561B3" w14:paraId="5CA7460F" w14:textId="77777777" w:rsidTr="009C3F25">
        <w:trPr>
          <w:trHeight w:val="198"/>
          <w:jc w:val="center"/>
        </w:trPr>
        <w:tc>
          <w:tcPr>
            <w:tcW w:w="421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ADF7A69" w14:textId="77777777" w:rsidR="009C3F25" w:rsidRPr="007561B3" w:rsidRDefault="009C3F25" w:rsidP="009C3F25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Servicios de alojamiento temporal y de preparación de alimentos y bebidas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A67F2DA" w14:textId="2457A29F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2.26</w:t>
            </w:r>
          </w:p>
        </w:tc>
        <w:tc>
          <w:tcPr>
            <w:tcW w:w="63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0DC4D77" w14:textId="7FFAAE3B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1.20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E94B7E1" w14:textId="0DE8732E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1.34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A5F1113" w14:textId="2D2EBD00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4.40</w:t>
            </w:r>
          </w:p>
        </w:tc>
        <w:tc>
          <w:tcPr>
            <w:tcW w:w="63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C1ED3AD" w14:textId="554C23A6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5AB8284" w14:textId="5C54F1DF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FBAE6BB" w14:textId="5F308D28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0.027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032799C" w14:textId="060A31E0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0.040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B70422B" w14:textId="2DB7590E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0.036</w:t>
            </w:r>
          </w:p>
        </w:tc>
      </w:tr>
      <w:tr w:rsidR="009C3F25" w:rsidRPr="007561B3" w14:paraId="1070C9F2" w14:textId="77777777" w:rsidTr="009C3F25">
        <w:trPr>
          <w:trHeight w:val="198"/>
          <w:jc w:val="center"/>
        </w:trPr>
        <w:tc>
          <w:tcPr>
            <w:tcW w:w="4211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18379082" w14:textId="77777777" w:rsidR="009C3F25" w:rsidRPr="007561B3" w:rsidRDefault="009C3F25" w:rsidP="009C3F25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Otros servicios excepto actividades gubernamentales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6AF83A6" w14:textId="50569F38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1.33</w:t>
            </w:r>
          </w:p>
        </w:tc>
        <w:tc>
          <w:tcPr>
            <w:tcW w:w="63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65A4887" w14:textId="3FB04D67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0.34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09D38FC" w14:textId="464A5AB3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0.65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A0027F" w14:textId="1490D7BE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634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78CB202" w14:textId="11B21AF4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B95B179" w14:textId="14A1685E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6.08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8C63206" w14:textId="614703A9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0.021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679B319" w14:textId="2DABC2B2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63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5D89248" w14:textId="3AAF51FD" w:rsidR="009C3F25" w:rsidRPr="007561B3" w:rsidRDefault="009C3F25" w:rsidP="009C3F25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0.009</w:t>
            </w:r>
          </w:p>
        </w:tc>
      </w:tr>
    </w:tbl>
    <w:bookmarkEnd w:id="5"/>
    <w:p w14:paraId="2F228876" w14:textId="6840EF2B" w:rsidR="00EB5FF4" w:rsidRPr="007561B3" w:rsidRDefault="0058559A" w:rsidP="00187925">
      <w:pPr>
        <w:autoSpaceDE w:val="0"/>
        <w:autoSpaceDN w:val="0"/>
        <w:adjustRightInd w:val="0"/>
        <w:ind w:left="709" w:right="51" w:hanging="593"/>
        <w:rPr>
          <w:sz w:val="14"/>
          <w:szCs w:val="14"/>
        </w:rPr>
      </w:pPr>
      <w:r w:rsidRPr="007561B3">
        <w:rPr>
          <w:sz w:val="16"/>
          <w:szCs w:val="14"/>
          <w:vertAlign w:val="superscript"/>
        </w:rPr>
        <w:t>1</w:t>
      </w:r>
      <w:r w:rsidR="00EB5FF4" w:rsidRPr="007561B3">
        <w:rPr>
          <w:sz w:val="16"/>
          <w:szCs w:val="14"/>
          <w:vertAlign w:val="superscript"/>
        </w:rPr>
        <w:t>/</w:t>
      </w:r>
      <w:r w:rsidR="00EB5FF4" w:rsidRPr="007561B3">
        <w:rPr>
          <w:sz w:val="14"/>
          <w:szCs w:val="14"/>
          <w:vertAlign w:val="superscript"/>
        </w:rPr>
        <w:tab/>
      </w:r>
      <w:r w:rsidR="00225EEB" w:rsidRPr="007561B3">
        <w:rPr>
          <w:sz w:val="14"/>
          <w:szCs w:val="14"/>
        </w:rPr>
        <w:t>La incidencia se refiere a la contribución</w:t>
      </w:r>
      <w:r w:rsidR="0013755D" w:rsidRPr="007561B3">
        <w:rPr>
          <w:sz w:val="14"/>
          <w:szCs w:val="14"/>
        </w:rPr>
        <w:t>,</w:t>
      </w:r>
      <w:r w:rsidR="00225EEB" w:rsidRPr="007561B3">
        <w:rPr>
          <w:sz w:val="14"/>
          <w:szCs w:val="14"/>
        </w:rPr>
        <w:t xml:space="preserve"> en puntos porcentuales</w:t>
      </w:r>
      <w:r w:rsidR="0013755D" w:rsidRPr="007561B3">
        <w:rPr>
          <w:sz w:val="14"/>
          <w:szCs w:val="14"/>
        </w:rPr>
        <w:t>,</w:t>
      </w:r>
      <w:r w:rsidR="00225EEB" w:rsidRPr="007561B3">
        <w:rPr>
          <w:sz w:val="14"/>
          <w:szCs w:val="14"/>
        </w:rPr>
        <w:t xml:space="preserve"> de cada componente del </w:t>
      </w:r>
      <w:r w:rsidR="005C377E" w:rsidRPr="007561B3">
        <w:rPr>
          <w:sz w:val="14"/>
          <w:szCs w:val="14"/>
        </w:rPr>
        <w:t>Índice Nacional de Precios Productor (</w:t>
      </w:r>
      <w:proofErr w:type="spellStart"/>
      <w:r w:rsidR="00277213" w:rsidRPr="007561B3">
        <w:rPr>
          <w:smallCaps/>
          <w:sz w:val="14"/>
          <w:szCs w:val="14"/>
        </w:rPr>
        <w:t>inpp</w:t>
      </w:r>
      <w:proofErr w:type="spellEnd"/>
      <w:r w:rsidR="005C377E" w:rsidRPr="007561B3">
        <w:rPr>
          <w:sz w:val="14"/>
          <w:szCs w:val="14"/>
        </w:rPr>
        <w:t>)</w:t>
      </w:r>
      <w:r w:rsidR="00225EEB" w:rsidRPr="007561B3">
        <w:rPr>
          <w:sz w:val="14"/>
          <w:szCs w:val="14"/>
        </w:rPr>
        <w:t xml:space="preserve"> en la variación porcentual del índice general. </w:t>
      </w:r>
      <w:r w:rsidR="005E5C6E" w:rsidRPr="007561B3">
        <w:rPr>
          <w:sz w:val="14"/>
          <w:szCs w:val="14"/>
        </w:rPr>
        <w:t>E</w:t>
      </w:r>
      <w:r w:rsidR="00225EEB" w:rsidRPr="007561B3">
        <w:rPr>
          <w:sz w:val="14"/>
          <w:szCs w:val="14"/>
        </w:rPr>
        <w:t>sta se calcula utilizando los ponderadores de cada subíndice, así como los precios relativos y sus respectivas variaciones. En ciertos casos, la suma de los componentes de algún grupo de subíndices puede</w:t>
      </w:r>
      <w:r w:rsidR="008D4141" w:rsidRPr="007561B3">
        <w:rPr>
          <w:sz w:val="14"/>
          <w:szCs w:val="14"/>
        </w:rPr>
        <w:t xml:space="preserve"> presentar</w:t>
      </w:r>
      <w:r w:rsidR="00225EEB" w:rsidRPr="007561B3">
        <w:rPr>
          <w:sz w:val="14"/>
          <w:szCs w:val="14"/>
        </w:rPr>
        <w:t xml:space="preserve"> discrepancia</w:t>
      </w:r>
      <w:r w:rsidR="008D4141" w:rsidRPr="007561B3">
        <w:rPr>
          <w:sz w:val="14"/>
          <w:szCs w:val="14"/>
        </w:rPr>
        <w:t>s</w:t>
      </w:r>
      <w:r w:rsidR="00225EEB" w:rsidRPr="007561B3">
        <w:rPr>
          <w:sz w:val="14"/>
          <w:szCs w:val="14"/>
        </w:rPr>
        <w:t xml:space="preserve"> por efectos de</w:t>
      </w:r>
      <w:r w:rsidR="00901B32" w:rsidRPr="007561B3">
        <w:rPr>
          <w:sz w:val="14"/>
          <w:szCs w:val="14"/>
        </w:rPr>
        <w:t>l</w:t>
      </w:r>
      <w:r w:rsidR="00225EEB" w:rsidRPr="007561B3">
        <w:rPr>
          <w:sz w:val="14"/>
          <w:szCs w:val="14"/>
        </w:rPr>
        <w:t xml:space="preserve"> redondeo</w:t>
      </w:r>
      <w:r w:rsidR="00EB5FF4" w:rsidRPr="007561B3">
        <w:rPr>
          <w:sz w:val="14"/>
          <w:szCs w:val="14"/>
        </w:rPr>
        <w:t>.</w:t>
      </w:r>
    </w:p>
    <w:p w14:paraId="5AD9DD39" w14:textId="77777777" w:rsidR="00EB5FF4" w:rsidRPr="007561B3" w:rsidRDefault="0058559A" w:rsidP="00187925">
      <w:pPr>
        <w:autoSpaceDE w:val="0"/>
        <w:autoSpaceDN w:val="0"/>
        <w:adjustRightInd w:val="0"/>
        <w:ind w:left="709" w:right="51" w:hanging="593"/>
        <w:rPr>
          <w:sz w:val="14"/>
          <w:szCs w:val="14"/>
        </w:rPr>
      </w:pPr>
      <w:r w:rsidRPr="007561B3">
        <w:rPr>
          <w:sz w:val="16"/>
          <w:szCs w:val="14"/>
          <w:vertAlign w:val="superscript"/>
        </w:rPr>
        <w:t>2</w:t>
      </w:r>
      <w:r w:rsidR="00EB5FF4" w:rsidRPr="007561B3">
        <w:rPr>
          <w:sz w:val="16"/>
          <w:szCs w:val="14"/>
          <w:vertAlign w:val="superscript"/>
        </w:rPr>
        <w:t>/</w:t>
      </w:r>
      <w:r w:rsidR="00EB5FF4" w:rsidRPr="007561B3">
        <w:rPr>
          <w:sz w:val="14"/>
          <w:szCs w:val="14"/>
        </w:rPr>
        <w:tab/>
        <w:t>Estas actividades no registran información</w:t>
      </w:r>
      <w:r w:rsidR="00AD49E5" w:rsidRPr="007561B3">
        <w:rPr>
          <w:sz w:val="14"/>
          <w:szCs w:val="14"/>
        </w:rPr>
        <w:t>, pues no</w:t>
      </w:r>
      <w:r w:rsidR="00EB5FF4" w:rsidRPr="007561B3">
        <w:rPr>
          <w:sz w:val="14"/>
          <w:szCs w:val="14"/>
        </w:rPr>
        <w:t xml:space="preserve"> generan bienes de uso intermedio.</w:t>
      </w:r>
    </w:p>
    <w:p w14:paraId="7308C30C" w14:textId="26F69974" w:rsidR="004445E5" w:rsidRPr="007561B3" w:rsidRDefault="004445E5" w:rsidP="008D1E4D">
      <w:pPr>
        <w:autoSpaceDE w:val="0"/>
        <w:autoSpaceDN w:val="0"/>
        <w:adjustRightInd w:val="0"/>
        <w:ind w:left="284" w:right="51" w:hanging="170"/>
        <w:rPr>
          <w:snapToGrid w:val="0"/>
          <w:sz w:val="14"/>
          <w:szCs w:val="14"/>
        </w:rPr>
      </w:pPr>
      <w:r w:rsidRPr="007561B3">
        <w:rPr>
          <w:color w:val="000000"/>
          <w:sz w:val="14"/>
          <w:szCs w:val="14"/>
        </w:rPr>
        <w:t>Fuente:</w:t>
      </w:r>
      <w:r w:rsidR="00187925">
        <w:rPr>
          <w:color w:val="000000"/>
          <w:sz w:val="14"/>
          <w:szCs w:val="14"/>
        </w:rPr>
        <w:t xml:space="preserve"> </w:t>
      </w:r>
      <w:r w:rsidRPr="007561B3">
        <w:rPr>
          <w:color w:val="000000"/>
          <w:sz w:val="14"/>
          <w:szCs w:val="14"/>
        </w:rPr>
        <w:t xml:space="preserve"> </w:t>
      </w:r>
      <w:proofErr w:type="spellStart"/>
      <w:r w:rsidR="00277213" w:rsidRPr="007561B3">
        <w:rPr>
          <w:smallCaps/>
          <w:color w:val="000000"/>
          <w:sz w:val="14"/>
          <w:szCs w:val="14"/>
        </w:rPr>
        <w:t>inegi</w:t>
      </w:r>
      <w:proofErr w:type="spellEnd"/>
      <w:r w:rsidR="00276662" w:rsidRPr="007561B3">
        <w:rPr>
          <w:bCs/>
          <w:snapToGrid w:val="0"/>
          <w:sz w:val="14"/>
          <w:szCs w:val="14"/>
        </w:rPr>
        <w:t>.</w:t>
      </w:r>
      <w:r w:rsidR="00276662" w:rsidRPr="007561B3">
        <w:rPr>
          <w:b/>
          <w:snapToGrid w:val="0"/>
          <w:sz w:val="14"/>
          <w:szCs w:val="14"/>
        </w:rPr>
        <w:t xml:space="preserve"> </w:t>
      </w:r>
      <w:r w:rsidR="00276662" w:rsidRPr="007561B3">
        <w:rPr>
          <w:bCs/>
          <w:snapToGrid w:val="0"/>
          <w:sz w:val="14"/>
          <w:szCs w:val="14"/>
        </w:rPr>
        <w:t xml:space="preserve">Índice </w:t>
      </w:r>
      <w:r w:rsidR="00392FE6" w:rsidRPr="007561B3">
        <w:rPr>
          <w:bCs/>
          <w:snapToGrid w:val="0"/>
          <w:sz w:val="14"/>
          <w:szCs w:val="14"/>
        </w:rPr>
        <w:t xml:space="preserve">Nacional </w:t>
      </w:r>
      <w:r w:rsidR="00276662" w:rsidRPr="007561B3">
        <w:rPr>
          <w:bCs/>
          <w:snapToGrid w:val="0"/>
          <w:sz w:val="14"/>
          <w:szCs w:val="14"/>
        </w:rPr>
        <w:t>de Precios Productor</w:t>
      </w:r>
      <w:r w:rsidR="00194E8E" w:rsidRPr="007561B3">
        <w:rPr>
          <w:bCs/>
          <w:snapToGrid w:val="0"/>
          <w:sz w:val="14"/>
          <w:szCs w:val="14"/>
        </w:rPr>
        <w:t xml:space="preserve"> (</w:t>
      </w:r>
      <w:proofErr w:type="spellStart"/>
      <w:r w:rsidR="00194E8E" w:rsidRPr="007561B3">
        <w:rPr>
          <w:bCs/>
          <w:smallCaps/>
          <w:snapToGrid w:val="0"/>
          <w:sz w:val="14"/>
          <w:szCs w:val="14"/>
        </w:rPr>
        <w:t>inpp</w:t>
      </w:r>
      <w:proofErr w:type="spellEnd"/>
      <w:r w:rsidR="00194E8E" w:rsidRPr="007561B3">
        <w:rPr>
          <w:bCs/>
          <w:snapToGrid w:val="0"/>
          <w:sz w:val="14"/>
          <w:szCs w:val="14"/>
        </w:rPr>
        <w:t>), 2023</w:t>
      </w:r>
      <w:r w:rsidR="00276662" w:rsidRPr="007561B3">
        <w:rPr>
          <w:bCs/>
          <w:snapToGrid w:val="0"/>
          <w:sz w:val="14"/>
          <w:szCs w:val="14"/>
        </w:rPr>
        <w:t>.</w:t>
      </w:r>
    </w:p>
    <w:p w14:paraId="322FA06A" w14:textId="2EEDE443" w:rsidR="00DF5B76" w:rsidRPr="007561B3" w:rsidRDefault="009C3F25" w:rsidP="00195053">
      <w:pPr>
        <w:autoSpaceDE w:val="0"/>
        <w:autoSpaceDN w:val="0"/>
        <w:adjustRightInd w:val="0"/>
        <w:spacing w:before="480"/>
      </w:pPr>
      <w:r w:rsidRPr="007561B3">
        <w:t xml:space="preserve">En octubre de 2023 y por origen de los bienes, los precios de Mercancías y Servicios de Uso Intermedio, </w:t>
      </w:r>
      <w:r w:rsidR="008D5FD1">
        <w:t>incluido</w:t>
      </w:r>
      <w:r w:rsidR="008D5FD1" w:rsidRPr="007561B3">
        <w:t xml:space="preserve"> </w:t>
      </w:r>
      <w:r w:rsidRPr="007561B3">
        <w:t>petróleo, disminuyeron 0.34 % a tasa mensual y 1.08 % a tasa anual. Por su parte, los precios de Mercancías y Servicios Finales ascendieron 0.77 % a tasa mensual y a tasa anual, 2.32 por ciento</w:t>
      </w:r>
      <w:r w:rsidR="00BC37B6" w:rsidRPr="007561B3">
        <w:t>.</w:t>
      </w:r>
    </w:p>
    <w:p w14:paraId="6829E27D" w14:textId="77777777" w:rsidR="00C963A9" w:rsidRPr="007561B3" w:rsidRDefault="00C963A9">
      <w:pPr>
        <w:jc w:val="left"/>
        <w:rPr>
          <w:snapToGrid w:val="0"/>
          <w:sz w:val="20"/>
          <w:szCs w:val="20"/>
        </w:rPr>
      </w:pPr>
      <w:bookmarkStart w:id="6" w:name="OLE_LINK1"/>
      <w:r w:rsidRPr="007561B3">
        <w:rPr>
          <w:snapToGrid w:val="0"/>
          <w:sz w:val="20"/>
          <w:szCs w:val="20"/>
        </w:rPr>
        <w:br w:type="page"/>
      </w:r>
    </w:p>
    <w:p w14:paraId="29E2C967" w14:textId="77777777" w:rsidR="004D5C5B" w:rsidRPr="007561B3" w:rsidRDefault="004D5C5B" w:rsidP="00EB5FF4">
      <w:pPr>
        <w:widowControl w:val="0"/>
        <w:autoSpaceDE w:val="0"/>
        <w:autoSpaceDN w:val="0"/>
        <w:adjustRightInd w:val="0"/>
        <w:spacing w:before="360"/>
        <w:jc w:val="center"/>
        <w:rPr>
          <w:snapToGrid w:val="0"/>
          <w:sz w:val="20"/>
          <w:szCs w:val="20"/>
        </w:rPr>
      </w:pPr>
      <w:r w:rsidRPr="007561B3">
        <w:rPr>
          <w:snapToGrid w:val="0"/>
          <w:sz w:val="20"/>
          <w:szCs w:val="20"/>
        </w:rPr>
        <w:lastRenderedPageBreak/>
        <w:t xml:space="preserve">Gráfica </w:t>
      </w:r>
      <w:r w:rsidR="00AC59C9" w:rsidRPr="007561B3">
        <w:rPr>
          <w:snapToGrid w:val="0"/>
          <w:sz w:val="20"/>
          <w:szCs w:val="20"/>
        </w:rPr>
        <w:t>2</w:t>
      </w:r>
    </w:p>
    <w:p w14:paraId="7C552EC9" w14:textId="0348DE6E" w:rsidR="00E21E68" w:rsidRPr="007561B3" w:rsidRDefault="00392FE6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7561B3">
        <w:rPr>
          <w:b/>
          <w:smallCaps/>
          <w:snapToGrid w:val="0"/>
          <w:sz w:val="22"/>
          <w:szCs w:val="22"/>
        </w:rPr>
        <w:t xml:space="preserve">Variación del </w:t>
      </w:r>
      <w:r w:rsidR="00E21E68" w:rsidRPr="007561B3">
        <w:rPr>
          <w:b/>
          <w:smallCaps/>
          <w:snapToGrid w:val="0"/>
          <w:sz w:val="22"/>
          <w:szCs w:val="22"/>
        </w:rPr>
        <w:t xml:space="preserve">Índice Nacional de Precios Productor </w:t>
      </w:r>
    </w:p>
    <w:p w14:paraId="6EDC73EE" w14:textId="2A6405BF" w:rsidR="00277213" w:rsidRPr="007561B3" w:rsidRDefault="00E21E68" w:rsidP="00EB5FF4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7561B3">
        <w:rPr>
          <w:b/>
          <w:smallCaps/>
          <w:snapToGrid w:val="0"/>
          <w:sz w:val="20"/>
          <w:szCs w:val="20"/>
        </w:rPr>
        <w:t>mercancías y servicios intermedios, finales y producción total</w:t>
      </w:r>
      <w:r w:rsidR="007F02E4" w:rsidRPr="007561B3">
        <w:rPr>
          <w:b/>
          <w:smallCaps/>
          <w:snapToGrid w:val="0"/>
          <w:sz w:val="20"/>
          <w:szCs w:val="20"/>
        </w:rPr>
        <w:t xml:space="preserve">, </w:t>
      </w:r>
      <w:r w:rsidR="000F703E">
        <w:rPr>
          <w:b/>
          <w:smallCaps/>
          <w:snapToGrid w:val="0"/>
          <w:sz w:val="20"/>
          <w:szCs w:val="20"/>
        </w:rPr>
        <w:t>incluido</w:t>
      </w:r>
      <w:r w:rsidRPr="007561B3">
        <w:rPr>
          <w:b/>
          <w:smallCaps/>
          <w:snapToGrid w:val="0"/>
          <w:sz w:val="20"/>
          <w:szCs w:val="20"/>
        </w:rPr>
        <w:t xml:space="preserve"> petróleo</w:t>
      </w:r>
    </w:p>
    <w:p w14:paraId="18337D8C" w14:textId="1A585438" w:rsidR="004D5C5B" w:rsidRPr="007561B3" w:rsidRDefault="00E21E68" w:rsidP="00EB5FF4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7561B3">
        <w:rPr>
          <w:b/>
          <w:smallCaps/>
          <w:snapToGrid w:val="0"/>
          <w:sz w:val="20"/>
          <w:szCs w:val="20"/>
        </w:rPr>
        <w:t xml:space="preserve">clasificación por origen </w:t>
      </w:r>
    </w:p>
    <w:p w14:paraId="26F37E10" w14:textId="5D9461C1" w:rsidR="00277213" w:rsidRPr="007561B3" w:rsidRDefault="00346D73" w:rsidP="00EB5FF4">
      <w:pPr>
        <w:widowControl w:val="0"/>
        <w:autoSpaceDE w:val="0"/>
        <w:autoSpaceDN w:val="0"/>
        <w:adjustRightInd w:val="0"/>
        <w:jc w:val="center"/>
        <w:rPr>
          <w:bCs/>
          <w:snapToGrid w:val="0"/>
          <w:sz w:val="20"/>
          <w:szCs w:val="20"/>
        </w:rPr>
      </w:pPr>
      <w:r w:rsidRPr="007561B3">
        <w:rPr>
          <w:bCs/>
          <w:snapToGrid w:val="0"/>
          <w:sz w:val="20"/>
          <w:szCs w:val="20"/>
        </w:rPr>
        <w:t>a octubre de 2023</w:t>
      </w:r>
    </w:p>
    <w:p w14:paraId="1EE1FFAD" w14:textId="3794A36B" w:rsidR="00550380" w:rsidRPr="007561B3" w:rsidRDefault="00550380" w:rsidP="00EB5FF4">
      <w:pPr>
        <w:widowControl w:val="0"/>
        <w:autoSpaceDE w:val="0"/>
        <w:autoSpaceDN w:val="0"/>
        <w:adjustRightInd w:val="0"/>
        <w:jc w:val="center"/>
        <w:rPr>
          <w:bCs/>
          <w:snapToGrid w:val="0"/>
          <w:sz w:val="20"/>
          <w:szCs w:val="20"/>
        </w:rPr>
      </w:pPr>
      <w:r w:rsidRPr="007561B3">
        <w:rPr>
          <w:bCs/>
          <w:snapToGrid w:val="0"/>
          <w:sz w:val="18"/>
          <w:szCs w:val="18"/>
        </w:rPr>
        <w:t>(variación porcentual anual)</w:t>
      </w:r>
    </w:p>
    <w:p w14:paraId="3DC325B3" w14:textId="49FFB35A" w:rsidR="004D5C5B" w:rsidRPr="007561B3" w:rsidRDefault="009C3F25" w:rsidP="00EB5FF4">
      <w:pPr>
        <w:widowControl w:val="0"/>
        <w:autoSpaceDE w:val="0"/>
        <w:autoSpaceDN w:val="0"/>
        <w:adjustRightInd w:val="0"/>
        <w:jc w:val="center"/>
      </w:pPr>
      <w:r w:rsidRPr="007561B3">
        <w:rPr>
          <w:noProof/>
        </w:rPr>
        <w:drawing>
          <wp:inline distT="0" distB="0" distL="0" distR="0" wp14:anchorId="719070F0" wp14:editId="3F165E38">
            <wp:extent cx="5040000" cy="2880000"/>
            <wp:effectExtent l="0" t="0" r="27305" b="34925"/>
            <wp:docPr id="14010680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28A0AC4" w14:textId="7F700952" w:rsidR="004445E5" w:rsidRPr="007561B3" w:rsidRDefault="00905C36" w:rsidP="008D1E4D">
      <w:pPr>
        <w:ind w:left="1134"/>
        <w:rPr>
          <w:snapToGrid w:val="0"/>
          <w:sz w:val="14"/>
          <w:szCs w:val="14"/>
          <w:u w:val="single"/>
        </w:rPr>
      </w:pPr>
      <w:r w:rsidRPr="007561B3">
        <w:rPr>
          <w:color w:val="000000"/>
          <w:sz w:val="16"/>
          <w:szCs w:val="14"/>
        </w:rPr>
        <w:t xml:space="preserve">Fuente: </w:t>
      </w:r>
      <w:proofErr w:type="spellStart"/>
      <w:r w:rsidR="00277213" w:rsidRPr="007561B3">
        <w:rPr>
          <w:smallCaps/>
          <w:color w:val="000000"/>
          <w:sz w:val="16"/>
          <w:szCs w:val="16"/>
        </w:rPr>
        <w:t>inegi</w:t>
      </w:r>
      <w:proofErr w:type="spellEnd"/>
      <w:r w:rsidRPr="007561B3">
        <w:rPr>
          <w:color w:val="000000"/>
          <w:sz w:val="16"/>
          <w:szCs w:val="16"/>
        </w:rPr>
        <w:t>. Índice Nacional de Precios Productor (</w:t>
      </w:r>
      <w:proofErr w:type="spellStart"/>
      <w:r w:rsidRPr="007561B3">
        <w:rPr>
          <w:smallCaps/>
          <w:color w:val="000000"/>
          <w:sz w:val="16"/>
          <w:szCs w:val="16"/>
        </w:rPr>
        <w:t>inpp</w:t>
      </w:r>
      <w:proofErr w:type="spellEnd"/>
      <w:r w:rsidRPr="007561B3">
        <w:rPr>
          <w:color w:val="000000"/>
          <w:sz w:val="16"/>
          <w:szCs w:val="16"/>
        </w:rPr>
        <w:t>), 2023</w:t>
      </w:r>
      <w:r w:rsidR="00392FE6" w:rsidRPr="007561B3">
        <w:rPr>
          <w:color w:val="000000"/>
          <w:sz w:val="16"/>
          <w:szCs w:val="14"/>
        </w:rPr>
        <w:t>.</w:t>
      </w:r>
      <w:r w:rsidR="004445E5" w:rsidRPr="007561B3">
        <w:rPr>
          <w:snapToGrid w:val="0"/>
          <w:sz w:val="14"/>
          <w:szCs w:val="14"/>
          <w:u w:val="single"/>
        </w:rPr>
        <w:t xml:space="preserve"> </w:t>
      </w:r>
    </w:p>
    <w:p w14:paraId="04CBA04D" w14:textId="77777777" w:rsidR="004D5C5B" w:rsidRPr="007561B3" w:rsidRDefault="004D5C5B" w:rsidP="00195053">
      <w:pPr>
        <w:pStyle w:val="n01"/>
        <w:keepLines w:val="0"/>
        <w:spacing w:before="320"/>
        <w:ind w:left="709" w:firstLine="0"/>
        <w:rPr>
          <w:rFonts w:ascii="Arial" w:hAnsi="Arial"/>
          <w:b/>
          <w:snapToGrid w:val="0"/>
          <w:color w:val="000000"/>
        </w:rPr>
      </w:pPr>
      <w:r w:rsidRPr="007561B3">
        <w:rPr>
          <w:rFonts w:ascii="Arial" w:hAnsi="Arial"/>
          <w:b/>
          <w:snapToGrid w:val="0"/>
          <w:color w:val="000000"/>
        </w:rPr>
        <w:t xml:space="preserve">Actividades </w:t>
      </w:r>
      <w:r w:rsidR="002F199A" w:rsidRPr="007561B3">
        <w:rPr>
          <w:rFonts w:ascii="Arial" w:hAnsi="Arial"/>
          <w:b/>
          <w:snapToGrid w:val="0"/>
          <w:color w:val="000000"/>
        </w:rPr>
        <w:t>p</w:t>
      </w:r>
      <w:r w:rsidRPr="007561B3">
        <w:rPr>
          <w:rFonts w:ascii="Arial" w:hAnsi="Arial"/>
          <w:b/>
          <w:snapToGrid w:val="0"/>
          <w:color w:val="000000"/>
        </w:rPr>
        <w:t>rimarias</w:t>
      </w:r>
    </w:p>
    <w:p w14:paraId="12D16C11" w14:textId="122FE80B" w:rsidR="00BA3A5D" w:rsidRPr="007561B3" w:rsidRDefault="008C385A" w:rsidP="00BA3A5D">
      <w:pPr>
        <w:pStyle w:val="n01"/>
        <w:keepLines w:val="0"/>
        <w:ind w:left="0" w:firstLine="0"/>
        <w:rPr>
          <w:rFonts w:ascii="Arial" w:hAnsi="Arial"/>
          <w:color w:val="auto"/>
        </w:rPr>
      </w:pPr>
      <w:r w:rsidRPr="007561B3">
        <w:rPr>
          <w:rFonts w:ascii="Arial" w:hAnsi="Arial"/>
          <w:color w:val="auto"/>
        </w:rPr>
        <w:t>En el mes que se reporta, los precios de las actividades primarias decrecieron 4.16 % a tasa mensual. El producto genérico con la contribución más significativa en el índice total de dichas actividades fue «aves», con una caída mensual de 26.04 por ciento</w:t>
      </w:r>
      <w:r w:rsidR="00BA3A5D" w:rsidRPr="007561B3">
        <w:rPr>
          <w:rFonts w:ascii="Arial" w:hAnsi="Arial"/>
          <w:color w:val="auto"/>
        </w:rPr>
        <w:t>.</w:t>
      </w:r>
    </w:p>
    <w:p w14:paraId="1E55435F" w14:textId="31EDBE52" w:rsidR="00646924" w:rsidRPr="007561B3" w:rsidRDefault="004D5C5B" w:rsidP="00195053">
      <w:pPr>
        <w:pStyle w:val="n01"/>
        <w:keepLines w:val="0"/>
        <w:spacing w:before="320"/>
        <w:ind w:left="709" w:firstLine="0"/>
        <w:rPr>
          <w:rFonts w:ascii="Arial" w:hAnsi="Arial"/>
          <w:b/>
          <w:snapToGrid w:val="0"/>
          <w:color w:val="000000"/>
        </w:rPr>
      </w:pPr>
      <w:r w:rsidRPr="007561B3">
        <w:rPr>
          <w:rFonts w:ascii="Arial" w:hAnsi="Arial"/>
          <w:b/>
          <w:snapToGrid w:val="0"/>
          <w:color w:val="000000"/>
        </w:rPr>
        <w:t xml:space="preserve">Actividades </w:t>
      </w:r>
      <w:r w:rsidR="002F199A" w:rsidRPr="007561B3">
        <w:rPr>
          <w:rFonts w:ascii="Arial" w:hAnsi="Arial"/>
          <w:b/>
          <w:snapToGrid w:val="0"/>
          <w:color w:val="000000"/>
        </w:rPr>
        <w:t>s</w:t>
      </w:r>
      <w:r w:rsidRPr="007561B3">
        <w:rPr>
          <w:rFonts w:ascii="Arial" w:hAnsi="Arial"/>
          <w:b/>
          <w:snapToGrid w:val="0"/>
          <w:color w:val="000000"/>
        </w:rPr>
        <w:t>ecundarias</w:t>
      </w:r>
    </w:p>
    <w:p w14:paraId="62D88991" w14:textId="1024B3AE" w:rsidR="009953A9" w:rsidRPr="007561B3" w:rsidRDefault="008C385A" w:rsidP="00195053">
      <w:pPr>
        <w:pStyle w:val="n01"/>
        <w:keepLines w:val="0"/>
        <w:ind w:left="0" w:firstLine="0"/>
        <w:rPr>
          <w:rFonts w:ascii="Arial" w:hAnsi="Arial"/>
          <w:color w:val="auto"/>
        </w:rPr>
      </w:pPr>
      <w:r w:rsidRPr="007561B3">
        <w:rPr>
          <w:rFonts w:ascii="Arial" w:hAnsi="Arial"/>
          <w:color w:val="auto"/>
        </w:rPr>
        <w:t xml:space="preserve">En octubre de 2023, los precios de las actividades secundarias, </w:t>
      </w:r>
      <w:r w:rsidR="008D5FD1">
        <w:rPr>
          <w:rFonts w:ascii="Arial" w:hAnsi="Arial"/>
          <w:color w:val="auto"/>
        </w:rPr>
        <w:t>incluido</w:t>
      </w:r>
      <w:r w:rsidR="008D5FD1" w:rsidRPr="007561B3">
        <w:rPr>
          <w:rFonts w:ascii="Arial" w:hAnsi="Arial"/>
          <w:color w:val="auto"/>
        </w:rPr>
        <w:t xml:space="preserve"> </w:t>
      </w:r>
      <w:r w:rsidRPr="007561B3">
        <w:rPr>
          <w:rFonts w:ascii="Arial" w:hAnsi="Arial"/>
          <w:color w:val="auto"/>
        </w:rPr>
        <w:t>petróleo, incrementaron 0.80 % a tasa mensual. Lo anterior resultó de un aumento en los precios de los sectores Minería, de 3.01 %</w:t>
      </w:r>
      <w:r w:rsidR="00056443" w:rsidRPr="007561B3">
        <w:rPr>
          <w:rFonts w:ascii="Arial" w:hAnsi="Arial"/>
          <w:color w:val="auto"/>
        </w:rPr>
        <w:t>;</w:t>
      </w:r>
      <w:r w:rsidRPr="007561B3">
        <w:rPr>
          <w:rFonts w:ascii="Arial" w:hAnsi="Arial"/>
          <w:color w:val="auto"/>
        </w:rPr>
        <w:t xml:space="preserve"> Generación, transmisión y distribución de energía eléctrica, suministro de agua y de gas por ductos al consumidor final, de 2.22</w:t>
      </w:r>
      <w:r w:rsidR="00C30F34" w:rsidRPr="007561B3">
        <w:rPr>
          <w:rFonts w:ascii="Arial" w:hAnsi="Arial"/>
          <w:color w:val="auto"/>
        </w:rPr>
        <w:t> </w:t>
      </w:r>
      <w:r w:rsidRPr="007561B3">
        <w:rPr>
          <w:rFonts w:ascii="Arial" w:hAnsi="Arial"/>
          <w:color w:val="auto"/>
        </w:rPr>
        <w:t>% e Industrias manufactureras, de 0.69 %, así como de la reducción de 0.10 % en el sector de la Construcción</w:t>
      </w:r>
      <w:r w:rsidR="00A87CB5" w:rsidRPr="007561B3">
        <w:rPr>
          <w:rFonts w:ascii="Arial" w:hAnsi="Arial"/>
          <w:color w:val="auto"/>
        </w:rPr>
        <w:t>.</w:t>
      </w:r>
    </w:p>
    <w:p w14:paraId="28225D00" w14:textId="77777777" w:rsidR="004D5C5B" w:rsidRPr="007561B3" w:rsidRDefault="004D5C5B" w:rsidP="000F703E">
      <w:pPr>
        <w:pStyle w:val="n01"/>
        <w:keepLines w:val="0"/>
        <w:spacing w:before="320"/>
        <w:ind w:hanging="12"/>
        <w:rPr>
          <w:rFonts w:ascii="Arial" w:hAnsi="Arial"/>
          <w:b/>
          <w:snapToGrid w:val="0"/>
          <w:color w:val="000000"/>
        </w:rPr>
      </w:pPr>
      <w:r w:rsidRPr="007561B3">
        <w:rPr>
          <w:rFonts w:ascii="Arial" w:hAnsi="Arial"/>
          <w:b/>
          <w:snapToGrid w:val="0"/>
          <w:color w:val="000000"/>
        </w:rPr>
        <w:t xml:space="preserve">Industrias </w:t>
      </w:r>
      <w:r w:rsidR="00A83F5E" w:rsidRPr="007561B3">
        <w:rPr>
          <w:rFonts w:ascii="Arial" w:hAnsi="Arial"/>
          <w:b/>
          <w:snapToGrid w:val="0"/>
          <w:color w:val="000000"/>
        </w:rPr>
        <w:t>m</w:t>
      </w:r>
      <w:r w:rsidRPr="007561B3">
        <w:rPr>
          <w:rFonts w:ascii="Arial" w:hAnsi="Arial"/>
          <w:b/>
          <w:snapToGrid w:val="0"/>
          <w:color w:val="000000"/>
        </w:rPr>
        <w:t>anufactureras</w:t>
      </w:r>
    </w:p>
    <w:bookmarkEnd w:id="6"/>
    <w:p w14:paraId="49569893" w14:textId="023C0297" w:rsidR="00BD06D7" w:rsidRPr="007561B3" w:rsidRDefault="008C385A" w:rsidP="00195053">
      <w:pPr>
        <w:pStyle w:val="n01"/>
        <w:keepLines w:val="0"/>
        <w:ind w:left="0" w:firstLine="0"/>
        <w:rPr>
          <w:rFonts w:ascii="Arial" w:hAnsi="Arial"/>
          <w:snapToGrid w:val="0"/>
          <w:color w:val="auto"/>
        </w:rPr>
      </w:pPr>
      <w:r w:rsidRPr="007561B3">
        <w:rPr>
          <w:rFonts w:ascii="Arial" w:hAnsi="Arial"/>
          <w:snapToGrid w:val="0"/>
          <w:color w:val="auto"/>
        </w:rPr>
        <w:t>Los precios de Industrias manufactureras ascendieron 0.69 % a tasa mensual y retrocedieron 0.84 % a tasa anual. Los subsectores que destacaron por el crecimiento mensual en sus precios fueron: Fabricación de equipo de computación, comunicación, medición y de otros equipos, componentes y accesorios electrónicos, con 3.18 % y Fabricación de maquinaria y equipo, con 2.88 por ciento.</w:t>
      </w:r>
    </w:p>
    <w:p w14:paraId="4530686E" w14:textId="77777777" w:rsidR="00187925" w:rsidRDefault="00187925" w:rsidP="00187925">
      <w:pPr>
        <w:widowControl w:val="0"/>
        <w:autoSpaceDE w:val="0"/>
        <w:autoSpaceDN w:val="0"/>
        <w:adjustRightInd w:val="0"/>
        <w:spacing w:before="240"/>
        <w:jc w:val="center"/>
        <w:rPr>
          <w:snapToGrid w:val="0"/>
          <w:sz w:val="20"/>
          <w:szCs w:val="20"/>
        </w:rPr>
      </w:pPr>
    </w:p>
    <w:p w14:paraId="1A28157F" w14:textId="008D3B81" w:rsidR="004D5C5B" w:rsidRPr="007561B3" w:rsidRDefault="004D5C5B" w:rsidP="00187925">
      <w:pPr>
        <w:widowControl w:val="0"/>
        <w:autoSpaceDE w:val="0"/>
        <w:autoSpaceDN w:val="0"/>
        <w:adjustRightInd w:val="0"/>
        <w:spacing w:before="240"/>
        <w:jc w:val="center"/>
        <w:rPr>
          <w:snapToGrid w:val="0"/>
          <w:sz w:val="20"/>
          <w:szCs w:val="20"/>
        </w:rPr>
      </w:pPr>
      <w:r w:rsidRPr="007561B3">
        <w:rPr>
          <w:snapToGrid w:val="0"/>
          <w:sz w:val="20"/>
          <w:szCs w:val="20"/>
        </w:rPr>
        <w:t xml:space="preserve">Cuadro </w:t>
      </w:r>
      <w:r w:rsidR="00187925">
        <w:rPr>
          <w:snapToGrid w:val="0"/>
          <w:sz w:val="20"/>
          <w:szCs w:val="20"/>
        </w:rPr>
        <w:t>2</w:t>
      </w:r>
    </w:p>
    <w:p w14:paraId="21311F02" w14:textId="492F3761" w:rsidR="00734E19" w:rsidRPr="007561B3" w:rsidRDefault="00392FE6" w:rsidP="009E703E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7561B3">
        <w:rPr>
          <w:b/>
          <w:smallCaps/>
          <w:snapToGrid w:val="0"/>
          <w:sz w:val="22"/>
          <w:szCs w:val="22"/>
        </w:rPr>
        <w:t>Variación del</w:t>
      </w:r>
      <w:r w:rsidR="00C30F34" w:rsidRPr="007561B3">
        <w:rPr>
          <w:b/>
          <w:smallCaps/>
          <w:snapToGrid w:val="0"/>
          <w:sz w:val="20"/>
          <w:szCs w:val="20"/>
        </w:rPr>
        <w:t xml:space="preserve"> </w:t>
      </w:r>
      <w:r w:rsidR="00E21E68" w:rsidRPr="007561B3">
        <w:rPr>
          <w:b/>
          <w:smallCaps/>
          <w:snapToGrid w:val="0"/>
          <w:sz w:val="22"/>
          <w:szCs w:val="22"/>
        </w:rPr>
        <w:t>Índice Nacional de Precios Productor</w:t>
      </w:r>
    </w:p>
    <w:p w14:paraId="621A8840" w14:textId="7B4CF0A3" w:rsidR="00195053" w:rsidRPr="007561B3" w:rsidRDefault="00195053" w:rsidP="00195053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7561B3">
        <w:rPr>
          <w:b/>
          <w:smallCaps/>
          <w:snapToGrid w:val="0"/>
          <w:sz w:val="20"/>
          <w:szCs w:val="20"/>
        </w:rPr>
        <w:t xml:space="preserve">mercancías y servicios intermedios, finales y producción total, </w:t>
      </w:r>
      <w:r w:rsidR="000F703E">
        <w:rPr>
          <w:b/>
          <w:smallCaps/>
          <w:snapToGrid w:val="0"/>
          <w:sz w:val="20"/>
          <w:szCs w:val="20"/>
        </w:rPr>
        <w:t>incluido</w:t>
      </w:r>
      <w:r w:rsidRPr="007561B3">
        <w:rPr>
          <w:b/>
          <w:smallCaps/>
          <w:snapToGrid w:val="0"/>
          <w:sz w:val="20"/>
          <w:szCs w:val="20"/>
        </w:rPr>
        <w:t xml:space="preserve"> petróleo</w:t>
      </w:r>
    </w:p>
    <w:p w14:paraId="7B747604" w14:textId="3ED6375A" w:rsidR="004D5C5B" w:rsidRPr="007561B3" w:rsidRDefault="002F199A" w:rsidP="004D5C5B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color w:val="000000"/>
          <w:spacing w:val="1"/>
          <w:sz w:val="20"/>
          <w:szCs w:val="20"/>
        </w:rPr>
      </w:pPr>
      <w:r w:rsidRPr="007561B3">
        <w:rPr>
          <w:b/>
          <w:smallCaps/>
          <w:snapToGrid w:val="0"/>
          <w:sz w:val="20"/>
          <w:szCs w:val="20"/>
        </w:rPr>
        <w:t>industrias manufactureras</w:t>
      </w:r>
    </w:p>
    <w:p w14:paraId="7BB44CA2" w14:textId="2C5CC536" w:rsidR="00C30F34" w:rsidRPr="007561B3" w:rsidRDefault="00346D73" w:rsidP="004D5C5B">
      <w:pPr>
        <w:widowControl w:val="0"/>
        <w:autoSpaceDE w:val="0"/>
        <w:autoSpaceDN w:val="0"/>
        <w:adjustRightInd w:val="0"/>
        <w:jc w:val="center"/>
        <w:rPr>
          <w:bCs/>
          <w:snapToGrid w:val="0"/>
          <w:sz w:val="20"/>
          <w:szCs w:val="20"/>
        </w:rPr>
      </w:pPr>
      <w:r w:rsidRPr="007561B3">
        <w:rPr>
          <w:bCs/>
          <w:snapToGrid w:val="0"/>
          <w:sz w:val="20"/>
          <w:szCs w:val="20"/>
        </w:rPr>
        <w:t>octubre de 2023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7"/>
        <w:gridCol w:w="854"/>
        <w:gridCol w:w="855"/>
        <w:gridCol w:w="854"/>
        <w:gridCol w:w="855"/>
        <w:gridCol w:w="854"/>
        <w:gridCol w:w="855"/>
      </w:tblGrid>
      <w:tr w:rsidR="00BD69E7" w:rsidRPr="00195053" w14:paraId="6E229452" w14:textId="77777777" w:rsidTr="008A5C69">
        <w:trPr>
          <w:trHeight w:val="255"/>
          <w:jc w:val="center"/>
        </w:trPr>
        <w:tc>
          <w:tcPr>
            <w:tcW w:w="4827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5361979" w14:textId="77777777" w:rsidR="00BD69E7" w:rsidRPr="007561B3" w:rsidRDefault="00BD69E7" w:rsidP="00E5618C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bookmarkStart w:id="7" w:name="_Hlk2757840"/>
            <w:r w:rsidRPr="007561B3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563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77C25DB" w14:textId="2C7ADC6F" w:rsidR="00BD69E7" w:rsidRPr="007561B3" w:rsidRDefault="00C30F34" w:rsidP="00E5618C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>Variación porcentual mensual</w:t>
            </w:r>
          </w:p>
        </w:tc>
        <w:tc>
          <w:tcPr>
            <w:tcW w:w="2564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0C4EF72" w14:textId="397BE908" w:rsidR="00BD69E7" w:rsidRPr="007561B3" w:rsidRDefault="00C30F34" w:rsidP="00E5618C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 xml:space="preserve">Variación porcentual </w:t>
            </w:r>
            <w:r w:rsidRPr="007561B3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anual</w:t>
            </w:r>
          </w:p>
        </w:tc>
      </w:tr>
      <w:tr w:rsidR="00BD69E7" w:rsidRPr="00195053" w14:paraId="12094564" w14:textId="77777777" w:rsidTr="008A5C69">
        <w:trPr>
          <w:trHeight w:val="397"/>
          <w:jc w:val="center"/>
        </w:trPr>
        <w:tc>
          <w:tcPr>
            <w:tcW w:w="4827" w:type="dxa"/>
            <w:vMerge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3FA0F890" w14:textId="77777777" w:rsidR="00BD69E7" w:rsidRPr="007561B3" w:rsidRDefault="00BD69E7" w:rsidP="00E5618C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</w:p>
        </w:tc>
        <w:tc>
          <w:tcPr>
            <w:tcW w:w="854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D6C8003" w14:textId="77777777" w:rsidR="00BD69E7" w:rsidRPr="007561B3" w:rsidRDefault="00BD69E7" w:rsidP="00E5618C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proofErr w:type="spellStart"/>
            <w:r w:rsidRPr="007561B3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Inter-medios</w:t>
            </w:r>
            <w:proofErr w:type="spellEnd"/>
          </w:p>
        </w:tc>
        <w:tc>
          <w:tcPr>
            <w:tcW w:w="85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677A271" w14:textId="77777777" w:rsidR="00BD69E7" w:rsidRPr="007561B3" w:rsidRDefault="00BD69E7" w:rsidP="00E5618C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7561B3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54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69FC177" w14:textId="77777777" w:rsidR="00BD69E7" w:rsidRPr="007561B3" w:rsidRDefault="00BD69E7" w:rsidP="00E5618C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7561B3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855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9CDA1BD" w14:textId="77777777" w:rsidR="00BD69E7" w:rsidRPr="007561B3" w:rsidRDefault="00BD69E7" w:rsidP="00E5618C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proofErr w:type="spellStart"/>
            <w:r w:rsidRPr="007561B3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Inter-medios</w:t>
            </w:r>
            <w:proofErr w:type="spellEnd"/>
          </w:p>
        </w:tc>
        <w:tc>
          <w:tcPr>
            <w:tcW w:w="854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0C28948" w14:textId="77777777" w:rsidR="00BD69E7" w:rsidRPr="007561B3" w:rsidRDefault="00BD69E7" w:rsidP="00E5618C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7561B3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5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2195CC8" w14:textId="77777777" w:rsidR="00BD69E7" w:rsidRPr="007561B3" w:rsidRDefault="00BD69E7" w:rsidP="00E5618C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7561B3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Total</w:t>
            </w:r>
          </w:p>
        </w:tc>
      </w:tr>
      <w:tr w:rsidR="008C385A" w:rsidRPr="00195053" w14:paraId="4BACA37A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8B7D3EA" w14:textId="336C6426" w:rsidR="008C385A" w:rsidRPr="007561B3" w:rsidRDefault="008C385A" w:rsidP="008C385A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54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F496F88" w14:textId="6B33D365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-0.34</w:t>
            </w:r>
          </w:p>
        </w:tc>
        <w:tc>
          <w:tcPr>
            <w:tcW w:w="85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F487EBD" w14:textId="7A16C886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0.77</w:t>
            </w:r>
          </w:p>
        </w:tc>
        <w:tc>
          <w:tcPr>
            <w:tcW w:w="854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B32D354" w14:textId="46178C04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0.46</w:t>
            </w:r>
          </w:p>
        </w:tc>
        <w:tc>
          <w:tcPr>
            <w:tcW w:w="85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7E21FF9" w14:textId="4DB1D8BC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-1.08</w:t>
            </w:r>
          </w:p>
        </w:tc>
        <w:tc>
          <w:tcPr>
            <w:tcW w:w="854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8F16102" w14:textId="070B9E77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2.32</w:t>
            </w:r>
          </w:p>
        </w:tc>
        <w:tc>
          <w:tcPr>
            <w:tcW w:w="85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F23637E" w14:textId="7BDDFFCB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1.35</w:t>
            </w:r>
          </w:p>
        </w:tc>
      </w:tr>
      <w:tr w:rsidR="008C385A" w:rsidRPr="00195053" w14:paraId="1EA33E01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9085CD5" w14:textId="77777777" w:rsidR="008C385A" w:rsidRPr="007561B3" w:rsidRDefault="008C385A" w:rsidP="008C385A">
            <w:pPr>
              <w:ind w:left="708" w:hanging="651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>Industrias manufactureras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0DE253C" w14:textId="5166C919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-0.91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54717B5" w14:textId="2B1F4A0D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1.24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3655B57" w14:textId="4D5F5796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0.69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26DD140" w14:textId="436BCB4F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-5.38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A016A61" w14:textId="13EC3324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0.79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35AD4D2" w14:textId="3279E69B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-0.84</w:t>
            </w:r>
          </w:p>
        </w:tc>
      </w:tr>
      <w:tr w:rsidR="008C385A" w:rsidRPr="00195053" w14:paraId="0C57E95B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78E6B4D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Industria alimentaria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DB758FE" w14:textId="0A423928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-6.76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DDDD107" w14:textId="30350AF4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0.12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1A8E1B1" w14:textId="45AE0C35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-1.46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6E72FB8" w14:textId="2EBCA6FB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-5.97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E1E9FC1" w14:textId="4A69237E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5.82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7E376F9" w14:textId="547D3AF2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3.00</w:t>
            </w:r>
          </w:p>
        </w:tc>
      </w:tr>
      <w:tr w:rsidR="008C385A" w:rsidRPr="00195053" w14:paraId="478E0220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39FF2B2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Industria de las bebidas y del tabaco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A2E57B4" w14:textId="5992ECD5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0.47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EE76157" w14:textId="00E60ABE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0.49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D8E355A" w14:textId="16494E6B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0.49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3A18328" w14:textId="07AF4C6B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6.99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631579E" w14:textId="60F8E704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7.48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DFB2A2F" w14:textId="2D27B35E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7.45</w:t>
            </w:r>
          </w:p>
        </w:tc>
      </w:tr>
      <w:tr w:rsidR="008C385A" w:rsidRPr="00195053" w14:paraId="40E4F6C1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DF4502E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Fabricación de insumos textiles y acabado de textiles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0B4C44A" w14:textId="420D6D80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0.39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1DAFA9E" w14:textId="4D3E7751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1.12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8CD278F" w14:textId="344C29A3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0.83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1738095" w14:textId="5F467D00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-0.99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7188043" w14:textId="755B24FF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0.20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1FD63A9" w14:textId="5D9C1222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-0.27</w:t>
            </w:r>
          </w:p>
        </w:tc>
      </w:tr>
      <w:tr w:rsidR="008C385A" w:rsidRPr="00195053" w14:paraId="2D504EF4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ADB11F9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Fabricación de productos textiles, excepto prendas de vestir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14D385A" w14:textId="412857AC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0.11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A77A5B1" w14:textId="0CB79D1D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-0.01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B1C5EB3" w14:textId="273678F6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0.03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A69EC57" w14:textId="61F5E09A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0.13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C9CB459" w14:textId="5F56CCB9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-0.45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2BFA602" w14:textId="21F2F5F3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-0.25</w:t>
            </w:r>
          </w:p>
        </w:tc>
      </w:tr>
      <w:tr w:rsidR="008C385A" w:rsidRPr="00195053" w14:paraId="5C821A4F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CF1B144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Fabricación de prendas de vestir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F2A7A9B" w14:textId="185A1F22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0.71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BAE84B7" w14:textId="5E1CF02B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1.00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1265CB5" w14:textId="243EA099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0.99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7BF9240" w14:textId="52298E82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5.12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B5A7CE3" w14:textId="66ABC848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3.73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975EFED" w14:textId="21BBEB2D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3.77</w:t>
            </w:r>
          </w:p>
        </w:tc>
      </w:tr>
      <w:tr w:rsidR="008C385A" w:rsidRPr="00195053" w14:paraId="4B0EF491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06381FEB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Curtido y acabado de cuero y piel, y fabricación de productos de cuero, piel y materiales sucedáneos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22D3E55" w14:textId="62439DDD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0.83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CBD130E" w14:textId="08061B94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0.66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C90C133" w14:textId="173E3392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0.69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8509572" w14:textId="51CC2120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2.24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6822109" w14:textId="1A4410F1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3.84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93A4250" w14:textId="0BD686C9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3.55</w:t>
            </w:r>
          </w:p>
        </w:tc>
      </w:tr>
      <w:tr w:rsidR="008C385A" w:rsidRPr="00195053" w14:paraId="41FF6C48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7C9421C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Industria de la madera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EF9E113" w14:textId="7B4E58C5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0.01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33C5284" w14:textId="199377C8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0.43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C369021" w14:textId="0C33AFB9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0.09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443DB3" w14:textId="4A012794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-4.63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8FFAB4F" w14:textId="36D99EA5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-3.39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35BC0C8" w14:textId="2937530B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-4.38</w:t>
            </w:r>
          </w:p>
        </w:tc>
      </w:tr>
      <w:tr w:rsidR="008C385A" w:rsidRPr="00195053" w14:paraId="2BC9ABE2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EE9E5C3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Industria del papel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E206159" w14:textId="36C31FC5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0.11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B4388BE" w14:textId="712FE745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0.17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8E1D324" w14:textId="7DA06E73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0.15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A6DD822" w14:textId="172DA698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-2.53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30951D7" w14:textId="7AFF4CAB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5.80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7957581" w14:textId="76E2DD23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2.30</w:t>
            </w:r>
          </w:p>
        </w:tc>
      </w:tr>
      <w:tr w:rsidR="008C385A" w:rsidRPr="00195053" w14:paraId="3C00E2C0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2D3C4A8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Impresión e industrias conexas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12C4CC7" w14:textId="5F0DAB87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0.65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B8A4FEC" w14:textId="2E0B2C6E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0.65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4290492" w14:textId="0637DF3D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0.65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4A14E33" w14:textId="3428DDBF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3.90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B41C95B" w14:textId="23DF36CC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3.90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5D65ED4" w14:textId="257DC010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3.90</w:t>
            </w:r>
          </w:p>
        </w:tc>
      </w:tr>
      <w:tr w:rsidR="008C385A" w:rsidRPr="00195053" w14:paraId="54ABDD55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907C3C8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Fabricación de productos derivados del petróleo y del carbón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9EE95F1" w14:textId="36216266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1.21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0FB0091" w14:textId="61BC14A0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2.63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8516F20" w14:textId="745F58DD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1.70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720FE29" w14:textId="3AECB067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-12.63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7C33513" w14:textId="79978388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-13.48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6D7ECFF" w14:textId="7BCD250A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-12.93</w:t>
            </w:r>
          </w:p>
        </w:tc>
      </w:tr>
      <w:tr w:rsidR="008C385A" w:rsidRPr="00195053" w14:paraId="56F3BB0E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056F8E4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Industria química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3973C11" w14:textId="5749CF1C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1.59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BE8079B" w14:textId="7123385F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0.89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F789E52" w14:textId="176216CA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1.30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15EA7E7" w14:textId="0EF17886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-8.42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75C02FD" w14:textId="5C33F7B4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-0.06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FEB74FD" w14:textId="6E49309E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-5.08</w:t>
            </w:r>
          </w:p>
        </w:tc>
      </w:tr>
      <w:tr w:rsidR="008C385A" w:rsidRPr="00195053" w14:paraId="27001B96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F5BDF90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Industria del plástico y del hule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29C86CE" w14:textId="58CC3189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1.05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9EC7177" w14:textId="753AA509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0.79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EC9B9E5" w14:textId="00768C28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0.94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BED73F6" w14:textId="0D54D8AC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-1.36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F868240" w14:textId="70400729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-0.94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63FC1F2" w14:textId="6481340A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-1.17</w:t>
            </w:r>
          </w:p>
        </w:tc>
      </w:tr>
      <w:tr w:rsidR="008C385A" w:rsidRPr="00195053" w14:paraId="5BE903DA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A2F0596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Fabricación de productos a base de minerales no metálicos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8F618E6" w14:textId="2D748DAF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-0.04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425D504" w14:textId="34B3B092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0.31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A69F3C4" w14:textId="747978EE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0.03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DB95C99" w14:textId="5CE7D270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5.17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B2254D6" w14:textId="20804E68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3.89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F1D8E4D" w14:textId="1BA28951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4.92</w:t>
            </w:r>
          </w:p>
        </w:tc>
      </w:tr>
      <w:tr w:rsidR="008C385A" w:rsidRPr="00195053" w14:paraId="69EFF679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545A0FC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Industrias metálicas básicas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B3D8E68" w14:textId="0F98921B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-0.81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38D01B9" w14:textId="3D4F84DD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1.44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387FD2A" w14:textId="21C7D5AE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0.33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307D78D" w14:textId="32AB9DE7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-5.80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EE504E8" w14:textId="26156003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-2.71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2F9F31A" w14:textId="3466159F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-4.24</w:t>
            </w:r>
          </w:p>
        </w:tc>
      </w:tr>
      <w:tr w:rsidR="008C385A" w:rsidRPr="00195053" w14:paraId="0BBCC084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5CF6B7B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Fabricación de productos metálicos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15B1A42" w14:textId="12CF9E05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0.16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F0B483E" w14:textId="5FF1BEAC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0.38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EDF4C82" w14:textId="44404C76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0.30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7871D32" w14:textId="4126787E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-4.45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577FEAC" w14:textId="42A96F27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-2.37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77201D3" w14:textId="77A35F5C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-3.15</w:t>
            </w:r>
          </w:p>
        </w:tc>
      </w:tr>
      <w:tr w:rsidR="008C385A" w:rsidRPr="00195053" w14:paraId="79220145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33238A8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Fabricación de maquinaria y equipo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8B4616C" w14:textId="593B7D99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1.32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B0A1E49" w14:textId="05E3828E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2.98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E38BD3F" w14:textId="16A35438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2.88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1C0F4D9" w14:textId="1D0D1B9B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-0.72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27E164D" w14:textId="711774BA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-3.39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A2A7045" w14:textId="30FDC255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-3.23</w:t>
            </w:r>
          </w:p>
        </w:tc>
      </w:tr>
      <w:tr w:rsidR="008C385A" w:rsidRPr="00195053" w14:paraId="10FE8F95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897BE16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Fabricación de equipo de computación, comunicación, medición y de otros equipos, componentes y accesorios electrónicos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0641BF2" w14:textId="4B0FECF5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1.82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B90F777" w14:textId="1DF718E0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3.24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372874C" w14:textId="34B42A08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3.18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BBD13D9" w14:textId="3F40AA09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-3.16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FAF503B" w14:textId="44F9A88A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-2.07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3A5F6ED" w14:textId="3F606D2F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-2.11</w:t>
            </w:r>
          </w:p>
        </w:tc>
      </w:tr>
      <w:tr w:rsidR="008C385A" w:rsidRPr="00195053" w14:paraId="1C70EDEC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10D7046C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Fabricación de accesorios, aparatos eléctricos y equipo de generación de energía eléctrica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3D16D0A" w14:textId="2B424DC0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-1.16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450EF40" w14:textId="021A3DAC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1.02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FF74331" w14:textId="361DD08B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0.81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BD97994" w14:textId="2516E6F1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-1.15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11A073F" w14:textId="6138806C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0.02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E94C5B1" w14:textId="50CB6431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-0.09</w:t>
            </w:r>
          </w:p>
        </w:tc>
      </w:tr>
      <w:tr w:rsidR="008C385A" w:rsidRPr="00195053" w14:paraId="367232C3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3642950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Fabricación de equipo de transporte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491ACD8" w14:textId="285A52D1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2.51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3A09897" w14:textId="117CCF5D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1.74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30A7C39" w14:textId="3B8ABA33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1.81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4C665C" w14:textId="6AFAD4C9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-1.69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1FF8E20" w14:textId="3A18D018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-1.06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3FC05AA" w14:textId="7C7E02DF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-1.12</w:t>
            </w:r>
          </w:p>
        </w:tc>
      </w:tr>
      <w:tr w:rsidR="008C385A" w:rsidRPr="00195053" w14:paraId="3B47E7D4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61231D0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Fabricación de muebles, colchones y persianas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30DE3A3" w14:textId="24B60FDD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0.19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6E2AD59" w14:textId="3674CC05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0.45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120ED9A" w14:textId="21FA9847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0.44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747DE40" w14:textId="03BF815C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2.66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B2604A8" w14:textId="753CD94F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3.93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C8D7ED7" w14:textId="026A94E0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3.92</w:t>
            </w:r>
          </w:p>
        </w:tc>
      </w:tr>
      <w:tr w:rsidR="008C385A" w:rsidRPr="00195053" w14:paraId="627E10C2" w14:textId="77777777" w:rsidTr="008A5C69">
        <w:trPr>
          <w:trHeight w:val="170"/>
          <w:jc w:val="center"/>
        </w:trPr>
        <w:tc>
          <w:tcPr>
            <w:tcW w:w="4827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095952B" w14:textId="77777777" w:rsidR="008C385A" w:rsidRPr="007561B3" w:rsidRDefault="008C385A" w:rsidP="008C385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Otras industrias manufactureras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58874B5" w14:textId="5BE66F45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0.54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EF1EE51" w14:textId="00568205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1.80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2505380" w14:textId="0FD01274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1.70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EA00036" w14:textId="64E566ED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2.97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B34DF9F" w14:textId="5840A4C1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0.04</w:t>
            </w:r>
          </w:p>
        </w:tc>
        <w:tc>
          <w:tcPr>
            <w:tcW w:w="85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673C5F5" w14:textId="0ECC5C28" w:rsidR="008C385A" w:rsidRPr="007561B3" w:rsidRDefault="008C385A" w:rsidP="008C385A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0.26</w:t>
            </w:r>
          </w:p>
        </w:tc>
      </w:tr>
    </w:tbl>
    <w:bookmarkEnd w:id="7"/>
    <w:p w14:paraId="3983F2EB" w14:textId="1535CD89" w:rsidR="004445E5" w:rsidRPr="007561B3" w:rsidRDefault="00905C36" w:rsidP="004445E5">
      <w:pPr>
        <w:widowControl w:val="0"/>
        <w:autoSpaceDE w:val="0"/>
        <w:autoSpaceDN w:val="0"/>
        <w:adjustRightInd w:val="0"/>
        <w:ind w:left="283" w:right="113" w:hanging="170"/>
        <w:rPr>
          <w:snapToGrid w:val="0"/>
          <w:sz w:val="14"/>
          <w:szCs w:val="14"/>
          <w:u w:val="single"/>
        </w:rPr>
      </w:pPr>
      <w:r w:rsidRPr="007561B3">
        <w:rPr>
          <w:color w:val="000000"/>
          <w:sz w:val="14"/>
          <w:szCs w:val="14"/>
        </w:rPr>
        <w:t xml:space="preserve">Fuente: </w:t>
      </w:r>
      <w:proofErr w:type="spellStart"/>
      <w:r w:rsidR="00277213" w:rsidRPr="007561B3">
        <w:rPr>
          <w:smallCaps/>
          <w:color w:val="000000"/>
          <w:sz w:val="14"/>
          <w:szCs w:val="14"/>
        </w:rPr>
        <w:t>inegi</w:t>
      </w:r>
      <w:proofErr w:type="spellEnd"/>
      <w:r w:rsidRPr="007561B3">
        <w:rPr>
          <w:bCs/>
          <w:snapToGrid w:val="0"/>
          <w:sz w:val="14"/>
          <w:szCs w:val="14"/>
        </w:rPr>
        <w:t>.</w:t>
      </w:r>
      <w:r w:rsidRPr="007561B3">
        <w:rPr>
          <w:b/>
          <w:snapToGrid w:val="0"/>
          <w:sz w:val="14"/>
          <w:szCs w:val="14"/>
        </w:rPr>
        <w:t xml:space="preserve"> </w:t>
      </w:r>
      <w:r w:rsidRPr="007561B3">
        <w:rPr>
          <w:bCs/>
          <w:snapToGrid w:val="0"/>
          <w:sz w:val="14"/>
          <w:szCs w:val="14"/>
        </w:rPr>
        <w:t>Índice Nacional de Precios Productor (</w:t>
      </w:r>
      <w:proofErr w:type="spellStart"/>
      <w:r w:rsidR="00277213" w:rsidRPr="007561B3">
        <w:rPr>
          <w:bCs/>
          <w:smallCaps/>
          <w:snapToGrid w:val="0"/>
          <w:sz w:val="14"/>
          <w:szCs w:val="14"/>
        </w:rPr>
        <w:t>inpp</w:t>
      </w:r>
      <w:proofErr w:type="spellEnd"/>
      <w:r w:rsidRPr="007561B3">
        <w:rPr>
          <w:bCs/>
          <w:snapToGrid w:val="0"/>
          <w:sz w:val="14"/>
          <w:szCs w:val="14"/>
        </w:rPr>
        <w:t>), 2023</w:t>
      </w:r>
      <w:r w:rsidR="00FC0304" w:rsidRPr="007561B3">
        <w:rPr>
          <w:color w:val="000000"/>
          <w:sz w:val="14"/>
          <w:szCs w:val="14"/>
        </w:rPr>
        <w:t>.</w:t>
      </w:r>
      <w:r w:rsidR="004445E5" w:rsidRPr="007561B3">
        <w:rPr>
          <w:snapToGrid w:val="0"/>
          <w:sz w:val="14"/>
          <w:szCs w:val="14"/>
          <w:u w:val="single"/>
        </w:rPr>
        <w:t xml:space="preserve"> </w:t>
      </w:r>
    </w:p>
    <w:p w14:paraId="160AE5C9" w14:textId="77777777" w:rsidR="004D5C5B" w:rsidRPr="007561B3" w:rsidRDefault="004D5C5B" w:rsidP="00195053">
      <w:pPr>
        <w:pStyle w:val="n01"/>
        <w:keepLines w:val="0"/>
        <w:spacing w:before="360"/>
        <w:ind w:left="709" w:firstLine="0"/>
        <w:rPr>
          <w:rFonts w:ascii="Arial" w:hAnsi="Arial"/>
          <w:b/>
          <w:snapToGrid w:val="0"/>
          <w:color w:val="000000"/>
        </w:rPr>
      </w:pPr>
      <w:r w:rsidRPr="007561B3">
        <w:rPr>
          <w:rFonts w:ascii="Arial" w:hAnsi="Arial"/>
          <w:b/>
          <w:snapToGrid w:val="0"/>
          <w:color w:val="000000"/>
        </w:rPr>
        <w:t xml:space="preserve">Actividades </w:t>
      </w:r>
      <w:r w:rsidR="002F199A" w:rsidRPr="007561B3">
        <w:rPr>
          <w:rFonts w:ascii="Arial" w:hAnsi="Arial"/>
          <w:b/>
          <w:snapToGrid w:val="0"/>
          <w:color w:val="000000"/>
        </w:rPr>
        <w:t>t</w:t>
      </w:r>
      <w:r w:rsidRPr="007561B3">
        <w:rPr>
          <w:rFonts w:ascii="Arial" w:hAnsi="Arial"/>
          <w:b/>
          <w:snapToGrid w:val="0"/>
          <w:color w:val="000000"/>
        </w:rPr>
        <w:t>erciarias</w:t>
      </w:r>
    </w:p>
    <w:p w14:paraId="3B1DFD47" w14:textId="6AA9A67E" w:rsidR="004D5C5B" w:rsidRPr="007561B3" w:rsidRDefault="008C385A" w:rsidP="00195053">
      <w:pPr>
        <w:autoSpaceDE w:val="0"/>
        <w:autoSpaceDN w:val="0"/>
        <w:adjustRightInd w:val="0"/>
        <w:spacing w:before="240"/>
      </w:pPr>
      <w:r w:rsidRPr="007561B3">
        <w:t>Durante octubre de este año, los precios de las actividades terciarias subieron 0.65 % a tasa mensual. El sector Servicios de alojamiento temporal y de preparación de alimentos y bebidas, presentó el alza más significativa en sus precios, con 1.34 por ciento</w:t>
      </w:r>
      <w:r w:rsidR="004166F6" w:rsidRPr="007561B3">
        <w:t xml:space="preserve">. </w:t>
      </w:r>
    </w:p>
    <w:p w14:paraId="3EE6B9AA" w14:textId="3F3526D1" w:rsidR="004D5C5B" w:rsidRPr="007561B3" w:rsidRDefault="0098031E" w:rsidP="00195053">
      <w:pPr>
        <w:autoSpaceDE w:val="0"/>
        <w:autoSpaceDN w:val="0"/>
        <w:adjustRightInd w:val="0"/>
        <w:spacing w:before="360"/>
        <w:rPr>
          <w:b/>
          <w:iCs/>
          <w:smallCaps/>
          <w:snapToGrid w:val="0"/>
        </w:rPr>
      </w:pPr>
      <w:r w:rsidRPr="007561B3">
        <w:rPr>
          <w:b/>
          <w:iCs/>
          <w:smallCaps/>
          <w:snapToGrid w:val="0"/>
        </w:rPr>
        <w:t>Índice Nacional de Precios Productor</w:t>
      </w:r>
      <w:r w:rsidR="00030F2F" w:rsidRPr="007561B3">
        <w:rPr>
          <w:b/>
          <w:iCs/>
          <w:smallCaps/>
          <w:snapToGrid w:val="0"/>
        </w:rPr>
        <w:t xml:space="preserve"> </w:t>
      </w:r>
      <w:r w:rsidR="0043274D" w:rsidRPr="007561B3">
        <w:rPr>
          <w:b/>
          <w:iCs/>
          <w:smallCaps/>
          <w:snapToGrid w:val="0"/>
        </w:rPr>
        <w:t>de bienes intermedios</w:t>
      </w:r>
    </w:p>
    <w:p w14:paraId="04FBEFD0" w14:textId="20E2AF5B" w:rsidR="008C385A" w:rsidRPr="007561B3" w:rsidRDefault="008C385A" w:rsidP="00195053">
      <w:pPr>
        <w:autoSpaceDE w:val="0"/>
        <w:autoSpaceDN w:val="0"/>
        <w:adjustRightInd w:val="0"/>
        <w:spacing w:before="240"/>
        <w:rPr>
          <w:snapToGrid w:val="0"/>
        </w:rPr>
      </w:pPr>
      <w:r w:rsidRPr="007561B3">
        <w:rPr>
          <w:snapToGrid w:val="0"/>
        </w:rPr>
        <w:t xml:space="preserve">En el décimo mes de 2023, el Índice de Mercancías y Servicios de Uso Intermedio, </w:t>
      </w:r>
      <w:r w:rsidR="008D5FD1">
        <w:rPr>
          <w:snapToGrid w:val="0"/>
        </w:rPr>
        <w:t>incluido</w:t>
      </w:r>
      <w:r w:rsidR="008D5FD1" w:rsidRPr="007561B3">
        <w:rPr>
          <w:snapToGrid w:val="0"/>
        </w:rPr>
        <w:t xml:space="preserve"> </w:t>
      </w:r>
      <w:r w:rsidRPr="007561B3">
        <w:rPr>
          <w:snapToGrid w:val="0"/>
        </w:rPr>
        <w:t>petróleo, disminuyó 0.34 % respecto al mes pasado y 1.08 % a tasa anual.</w:t>
      </w:r>
    </w:p>
    <w:p w14:paraId="68776EC1" w14:textId="572C7DFD" w:rsidR="004D5C5B" w:rsidRPr="007561B3" w:rsidRDefault="008C385A" w:rsidP="008C385A">
      <w:pPr>
        <w:autoSpaceDE w:val="0"/>
        <w:autoSpaceDN w:val="0"/>
        <w:adjustRightInd w:val="0"/>
        <w:spacing w:before="240"/>
        <w:rPr>
          <w:snapToGrid w:val="0"/>
        </w:rPr>
      </w:pPr>
      <w:r w:rsidRPr="007561B3">
        <w:rPr>
          <w:snapToGrid w:val="0"/>
        </w:rPr>
        <w:t>Por grandes grupos de actividades económicas, los precios de las primarias bajaron 3.59 % a tasa mensual y 0.18 % a tasa anual. Los de las secundarias descendieron 0.24</w:t>
      </w:r>
      <w:r w:rsidR="00C30F34" w:rsidRPr="007561B3">
        <w:rPr>
          <w:snapToGrid w:val="0"/>
        </w:rPr>
        <w:t> </w:t>
      </w:r>
      <w:r w:rsidRPr="007561B3">
        <w:rPr>
          <w:snapToGrid w:val="0"/>
        </w:rPr>
        <w:t xml:space="preserve">% a tasa mensual y 4.05 % a tasa anual. Los precios de las </w:t>
      </w:r>
      <w:r w:rsidR="00C30F34" w:rsidRPr="007561B3">
        <w:rPr>
          <w:snapToGrid w:val="0"/>
        </w:rPr>
        <w:t xml:space="preserve">actividades </w:t>
      </w:r>
      <w:r w:rsidRPr="007561B3">
        <w:rPr>
          <w:snapToGrid w:val="0"/>
        </w:rPr>
        <w:t>terciarias ascendieron 0.60 %</w:t>
      </w:r>
      <w:r w:rsidR="00187925">
        <w:rPr>
          <w:snapToGrid w:val="0"/>
        </w:rPr>
        <w:t> </w:t>
      </w:r>
      <w:r w:rsidRPr="007561B3">
        <w:rPr>
          <w:snapToGrid w:val="0"/>
        </w:rPr>
        <w:t>a tasa mensual y 4.30 % anual</w:t>
      </w:r>
      <w:r w:rsidR="0070303F" w:rsidRPr="007561B3">
        <w:rPr>
          <w:snapToGrid w:val="0"/>
        </w:rPr>
        <w:t>.</w:t>
      </w:r>
      <w:r w:rsidR="004D5C5B" w:rsidRPr="007561B3">
        <w:rPr>
          <w:snapToGrid w:val="0"/>
        </w:rPr>
        <w:t xml:space="preserve"> </w:t>
      </w:r>
    </w:p>
    <w:p w14:paraId="0634A468" w14:textId="77777777" w:rsidR="00647111" w:rsidRPr="007561B3" w:rsidRDefault="00647111">
      <w:pPr>
        <w:jc w:val="left"/>
        <w:rPr>
          <w:snapToGrid w:val="0"/>
          <w:sz w:val="20"/>
          <w:szCs w:val="20"/>
        </w:rPr>
      </w:pPr>
      <w:r w:rsidRPr="007561B3">
        <w:rPr>
          <w:snapToGrid w:val="0"/>
          <w:sz w:val="20"/>
          <w:szCs w:val="20"/>
        </w:rPr>
        <w:br w:type="page"/>
      </w:r>
    </w:p>
    <w:p w14:paraId="5FF7D096" w14:textId="77777777" w:rsidR="00187925" w:rsidRDefault="00187925" w:rsidP="00D441A2">
      <w:pPr>
        <w:widowControl w:val="0"/>
        <w:autoSpaceDE w:val="0"/>
        <w:autoSpaceDN w:val="0"/>
        <w:adjustRightInd w:val="0"/>
        <w:spacing w:before="240"/>
        <w:jc w:val="center"/>
        <w:rPr>
          <w:snapToGrid w:val="0"/>
          <w:sz w:val="20"/>
          <w:szCs w:val="20"/>
        </w:rPr>
      </w:pPr>
    </w:p>
    <w:p w14:paraId="48E0C458" w14:textId="09BAD7DC" w:rsidR="004D5C5B" w:rsidRPr="007561B3" w:rsidRDefault="004D5C5B" w:rsidP="00D441A2">
      <w:pPr>
        <w:widowControl w:val="0"/>
        <w:autoSpaceDE w:val="0"/>
        <w:autoSpaceDN w:val="0"/>
        <w:adjustRightInd w:val="0"/>
        <w:spacing w:before="240"/>
        <w:jc w:val="center"/>
        <w:rPr>
          <w:snapToGrid w:val="0"/>
          <w:sz w:val="20"/>
          <w:szCs w:val="20"/>
        </w:rPr>
      </w:pPr>
      <w:r w:rsidRPr="007561B3">
        <w:rPr>
          <w:snapToGrid w:val="0"/>
          <w:sz w:val="20"/>
          <w:szCs w:val="20"/>
        </w:rPr>
        <w:t xml:space="preserve">Cuadro </w:t>
      </w:r>
      <w:r w:rsidR="00187925">
        <w:rPr>
          <w:snapToGrid w:val="0"/>
          <w:sz w:val="20"/>
          <w:szCs w:val="20"/>
        </w:rPr>
        <w:t>3</w:t>
      </w:r>
    </w:p>
    <w:p w14:paraId="71D942D3" w14:textId="1AB56E26" w:rsidR="00E21E68" w:rsidRPr="007561B3" w:rsidRDefault="00392FE6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7561B3">
        <w:rPr>
          <w:b/>
          <w:smallCaps/>
          <w:snapToGrid w:val="0"/>
          <w:sz w:val="22"/>
          <w:szCs w:val="22"/>
        </w:rPr>
        <w:t>Variación</w:t>
      </w:r>
      <w:r w:rsidR="00C30F34" w:rsidRPr="007561B3">
        <w:rPr>
          <w:b/>
          <w:smallCaps/>
          <w:snapToGrid w:val="0"/>
          <w:sz w:val="22"/>
          <w:szCs w:val="22"/>
        </w:rPr>
        <w:t xml:space="preserve"> </w:t>
      </w:r>
      <w:r w:rsidRPr="007561B3">
        <w:rPr>
          <w:b/>
          <w:smallCaps/>
          <w:snapToGrid w:val="0"/>
          <w:sz w:val="22"/>
          <w:szCs w:val="22"/>
        </w:rPr>
        <w:t xml:space="preserve">del </w:t>
      </w:r>
      <w:r w:rsidR="00E21E68" w:rsidRPr="007561B3">
        <w:rPr>
          <w:b/>
          <w:smallCaps/>
          <w:snapToGrid w:val="0"/>
          <w:sz w:val="22"/>
          <w:szCs w:val="22"/>
        </w:rPr>
        <w:t xml:space="preserve">Índice Nacional de Precios Productor </w:t>
      </w:r>
    </w:p>
    <w:p w14:paraId="4C7F8778" w14:textId="31BE2C28" w:rsidR="00A94AA0" w:rsidRPr="007561B3" w:rsidRDefault="00E21E68" w:rsidP="00A94AA0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7561B3">
        <w:rPr>
          <w:b/>
          <w:smallCaps/>
          <w:snapToGrid w:val="0"/>
          <w:sz w:val="20"/>
          <w:szCs w:val="20"/>
        </w:rPr>
        <w:t>mercancías y servicios de uso intermedio,</w:t>
      </w:r>
      <w:r w:rsidR="00A94AA0" w:rsidRPr="007561B3">
        <w:rPr>
          <w:b/>
          <w:smallCaps/>
          <w:snapToGrid w:val="0"/>
          <w:sz w:val="20"/>
          <w:szCs w:val="20"/>
        </w:rPr>
        <w:t xml:space="preserve"> </w:t>
      </w:r>
      <w:r w:rsidR="000F703E">
        <w:rPr>
          <w:b/>
          <w:smallCaps/>
          <w:snapToGrid w:val="0"/>
          <w:sz w:val="20"/>
          <w:szCs w:val="20"/>
        </w:rPr>
        <w:t>incluido</w:t>
      </w:r>
      <w:r w:rsidR="00A94AA0" w:rsidRPr="007561B3">
        <w:rPr>
          <w:b/>
          <w:smallCaps/>
          <w:snapToGrid w:val="0"/>
          <w:sz w:val="20"/>
          <w:szCs w:val="20"/>
        </w:rPr>
        <w:t xml:space="preserve"> petróleo</w:t>
      </w:r>
    </w:p>
    <w:p w14:paraId="4A4E0619" w14:textId="6902965C" w:rsidR="004D5C5B" w:rsidRPr="007561B3" w:rsidRDefault="00346D73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 w:rsidRPr="007561B3">
        <w:rPr>
          <w:snapToGrid w:val="0"/>
          <w:sz w:val="20"/>
          <w:szCs w:val="20"/>
        </w:rPr>
        <w:t>octubre de los años que se indican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1"/>
        <w:gridCol w:w="853"/>
        <w:gridCol w:w="854"/>
        <w:gridCol w:w="854"/>
        <w:gridCol w:w="854"/>
        <w:gridCol w:w="854"/>
        <w:gridCol w:w="854"/>
      </w:tblGrid>
      <w:tr w:rsidR="00C30F34" w:rsidRPr="007561B3" w14:paraId="5C34031C" w14:textId="77777777" w:rsidTr="001F0668">
        <w:trPr>
          <w:trHeight w:val="255"/>
          <w:jc w:val="center"/>
        </w:trPr>
        <w:tc>
          <w:tcPr>
            <w:tcW w:w="4831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C584DAB" w14:textId="77777777" w:rsidR="00C30F34" w:rsidRPr="007561B3" w:rsidRDefault="00C30F34" w:rsidP="00C30F34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bookmarkStart w:id="8" w:name="_Hlk2757867"/>
            <w:r w:rsidRPr="007561B3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561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2A8750E" w14:textId="76E72E86" w:rsidR="00C30F34" w:rsidRPr="007561B3" w:rsidRDefault="00C30F34" w:rsidP="00C30F34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>Variación porcentual mensual</w:t>
            </w:r>
          </w:p>
        </w:tc>
        <w:tc>
          <w:tcPr>
            <w:tcW w:w="2562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39F956B" w14:textId="0C507290" w:rsidR="00C30F34" w:rsidRPr="007561B3" w:rsidRDefault="00C30F34" w:rsidP="00C30F34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 xml:space="preserve">Variación porcentual </w:t>
            </w:r>
            <w:r w:rsidRPr="007561B3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anual</w:t>
            </w:r>
          </w:p>
        </w:tc>
      </w:tr>
      <w:tr w:rsidR="002557F7" w:rsidRPr="007561B3" w14:paraId="557D75F7" w14:textId="77777777" w:rsidTr="001F0668">
        <w:trPr>
          <w:trHeight w:val="255"/>
          <w:jc w:val="center"/>
        </w:trPr>
        <w:tc>
          <w:tcPr>
            <w:tcW w:w="4831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52682FD3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3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1FF85A7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4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2B6FC88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4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102D557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4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4BF0C3F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4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045BC16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4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E4D45D9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8C385A" w:rsidRPr="007561B3" w14:paraId="09FE3A45" w14:textId="77777777" w:rsidTr="001F0668">
        <w:trPr>
          <w:trHeight w:val="227"/>
          <w:jc w:val="center"/>
        </w:trPr>
        <w:tc>
          <w:tcPr>
            <w:tcW w:w="4831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923604B" w14:textId="77777777" w:rsidR="008C385A" w:rsidRPr="007561B3" w:rsidRDefault="008C385A" w:rsidP="008C385A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53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D31F5BC" w14:textId="3D6B3020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1.86</w:t>
            </w:r>
          </w:p>
        </w:tc>
        <w:tc>
          <w:tcPr>
            <w:tcW w:w="854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0AD1AFE" w14:textId="3A3F6C2C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-1.06</w:t>
            </w:r>
          </w:p>
        </w:tc>
        <w:tc>
          <w:tcPr>
            <w:tcW w:w="854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BF1591D" w14:textId="73DB483B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-0.34</w:t>
            </w:r>
          </w:p>
        </w:tc>
        <w:tc>
          <w:tcPr>
            <w:tcW w:w="854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4F49B61" w14:textId="41609869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12.29</w:t>
            </w:r>
          </w:p>
        </w:tc>
        <w:tc>
          <w:tcPr>
            <w:tcW w:w="854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6F9BD2A" w14:textId="3F63327D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6.69</w:t>
            </w:r>
          </w:p>
        </w:tc>
        <w:tc>
          <w:tcPr>
            <w:tcW w:w="854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5DAE7E0" w14:textId="71CACAD4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-1.08</w:t>
            </w:r>
          </w:p>
        </w:tc>
      </w:tr>
      <w:tr w:rsidR="008C385A" w:rsidRPr="007561B3" w14:paraId="60CADC2F" w14:textId="77777777" w:rsidTr="001F0668">
        <w:trPr>
          <w:trHeight w:val="227"/>
          <w:jc w:val="center"/>
        </w:trPr>
        <w:tc>
          <w:tcPr>
            <w:tcW w:w="483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90E1DE3" w14:textId="77777777" w:rsidR="008C385A" w:rsidRPr="007561B3" w:rsidRDefault="008C385A" w:rsidP="008C385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5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D9D8FD7" w14:textId="63001789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-0.76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0A4070C" w14:textId="65186065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-0.43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FAF05F6" w14:textId="1DC7DBC6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-3.59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884ADD1" w14:textId="1B06317C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10.27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50D2A15" w14:textId="75E3A892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14.03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514248C" w14:textId="1B9BE78E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-0.18</w:t>
            </w:r>
          </w:p>
        </w:tc>
      </w:tr>
      <w:tr w:rsidR="008C385A" w:rsidRPr="007561B3" w14:paraId="309F3CC3" w14:textId="77777777" w:rsidTr="001F0668">
        <w:trPr>
          <w:trHeight w:val="227"/>
          <w:jc w:val="center"/>
        </w:trPr>
        <w:tc>
          <w:tcPr>
            <w:tcW w:w="483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16DE24B" w14:textId="77777777" w:rsidR="008C385A" w:rsidRPr="007561B3" w:rsidRDefault="008C385A" w:rsidP="008C385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5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F8F54AD" w14:textId="216BE7AF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3.13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8B04D3C" w14:textId="0452E678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-1.80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E8FCF37" w14:textId="37304069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-0.24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E0D3158" w14:textId="632060E5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19.08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B2AD7EF" w14:textId="5961E69C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6.32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5AAB2EE" w14:textId="66299FEA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-4.05</w:t>
            </w:r>
          </w:p>
        </w:tc>
      </w:tr>
      <w:tr w:rsidR="008C385A" w:rsidRPr="007561B3" w14:paraId="1B0619E9" w14:textId="77777777" w:rsidTr="001F0668">
        <w:trPr>
          <w:trHeight w:val="227"/>
          <w:jc w:val="center"/>
        </w:trPr>
        <w:tc>
          <w:tcPr>
            <w:tcW w:w="483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7EAD8AF" w14:textId="77777777" w:rsidR="008C385A" w:rsidRPr="007561B3" w:rsidRDefault="008C385A" w:rsidP="008C385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5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787953B" w14:textId="2F4D36DC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7.13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774C23C" w14:textId="35F661A7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-6.06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54C74C8" w14:textId="36E4BBEC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2.59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128CF3B" w14:textId="1DFE4387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39.45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5A2FB93" w14:textId="1E16F581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-1.84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89A1AE3" w14:textId="142D67C8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-4.64</w:t>
            </w:r>
          </w:p>
        </w:tc>
      </w:tr>
      <w:tr w:rsidR="008C385A" w:rsidRPr="007561B3" w14:paraId="703DE6C6" w14:textId="77777777" w:rsidTr="001F0668">
        <w:trPr>
          <w:trHeight w:val="227"/>
          <w:jc w:val="center"/>
        </w:trPr>
        <w:tc>
          <w:tcPr>
            <w:tcW w:w="483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541CAFE6" w14:textId="77777777" w:rsidR="008C385A" w:rsidRPr="007561B3" w:rsidRDefault="008C385A" w:rsidP="008C385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5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B94E37E" w14:textId="060D368B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-0.05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9E849EA" w14:textId="3B6855FA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0.18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F687AA2" w14:textId="073E9D02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0.14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63596E2" w14:textId="67E03895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3.64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0EA23A9" w14:textId="10AC4587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5.38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166CFC7" w14:textId="1A7624CD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5.71</w:t>
            </w:r>
          </w:p>
        </w:tc>
      </w:tr>
      <w:tr w:rsidR="008C385A" w:rsidRPr="007561B3" w14:paraId="1F0E5856" w14:textId="77777777" w:rsidTr="001F0668">
        <w:trPr>
          <w:trHeight w:val="227"/>
          <w:jc w:val="center"/>
        </w:trPr>
        <w:tc>
          <w:tcPr>
            <w:tcW w:w="483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1CB1FD6" w14:textId="77777777" w:rsidR="008C385A" w:rsidRPr="007561B3" w:rsidRDefault="008C385A" w:rsidP="008C385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5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891096B" w14:textId="4A03BE5C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2.69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F231BF3" w14:textId="09B38672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-1.10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0F3F717" w14:textId="0572B965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-0.91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A5B27F0" w14:textId="196AE1F7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17.59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6180251" w14:textId="1A195E22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8.47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21DDF5B" w14:textId="7304366C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-5.38</w:t>
            </w:r>
          </w:p>
        </w:tc>
      </w:tr>
      <w:tr w:rsidR="008C385A" w:rsidRPr="007561B3" w14:paraId="436F4ED2" w14:textId="77777777" w:rsidTr="001F0668">
        <w:trPr>
          <w:trHeight w:val="227"/>
          <w:jc w:val="center"/>
        </w:trPr>
        <w:tc>
          <w:tcPr>
            <w:tcW w:w="4831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45FB084" w14:textId="77777777" w:rsidR="008C385A" w:rsidRPr="007561B3" w:rsidRDefault="008C385A" w:rsidP="008C385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53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6036030" w14:textId="7A5D3BC8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0.36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A8E0009" w14:textId="458D6991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0.18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4A410A5" w14:textId="702C8608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0.60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51F4655" w14:textId="736A467A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1.91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BDA1427" w14:textId="63FD3616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5.07</w:t>
            </w:r>
          </w:p>
        </w:tc>
        <w:tc>
          <w:tcPr>
            <w:tcW w:w="854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843FDE0" w14:textId="149F9840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4.30</w:t>
            </w:r>
          </w:p>
        </w:tc>
      </w:tr>
    </w:tbl>
    <w:bookmarkEnd w:id="8"/>
    <w:p w14:paraId="4B7C9469" w14:textId="56A0A971" w:rsidR="004445E5" w:rsidRPr="007561B3" w:rsidRDefault="00905C36" w:rsidP="004445E5">
      <w:pPr>
        <w:widowControl w:val="0"/>
        <w:autoSpaceDE w:val="0"/>
        <w:autoSpaceDN w:val="0"/>
        <w:adjustRightInd w:val="0"/>
        <w:ind w:left="283" w:right="113" w:hanging="170"/>
        <w:rPr>
          <w:snapToGrid w:val="0"/>
          <w:sz w:val="14"/>
          <w:szCs w:val="14"/>
          <w:u w:val="single"/>
        </w:rPr>
      </w:pPr>
      <w:r w:rsidRPr="007561B3">
        <w:rPr>
          <w:color w:val="000000"/>
          <w:sz w:val="14"/>
          <w:szCs w:val="14"/>
        </w:rPr>
        <w:t xml:space="preserve">Fuente: </w:t>
      </w:r>
      <w:proofErr w:type="spellStart"/>
      <w:r w:rsidR="00277213" w:rsidRPr="007561B3">
        <w:rPr>
          <w:smallCaps/>
          <w:color w:val="000000"/>
          <w:sz w:val="14"/>
          <w:szCs w:val="14"/>
        </w:rPr>
        <w:t>inegi</w:t>
      </w:r>
      <w:proofErr w:type="spellEnd"/>
      <w:r w:rsidRPr="007561B3">
        <w:rPr>
          <w:bCs/>
          <w:snapToGrid w:val="0"/>
          <w:sz w:val="14"/>
          <w:szCs w:val="14"/>
        </w:rPr>
        <w:t>.</w:t>
      </w:r>
      <w:r w:rsidRPr="007561B3">
        <w:rPr>
          <w:b/>
          <w:snapToGrid w:val="0"/>
          <w:sz w:val="14"/>
          <w:szCs w:val="14"/>
        </w:rPr>
        <w:t xml:space="preserve"> </w:t>
      </w:r>
      <w:r w:rsidRPr="007561B3">
        <w:rPr>
          <w:bCs/>
          <w:snapToGrid w:val="0"/>
          <w:sz w:val="14"/>
          <w:szCs w:val="14"/>
        </w:rPr>
        <w:t>Índice Nacional de Precios Productor (</w:t>
      </w:r>
      <w:proofErr w:type="spellStart"/>
      <w:r w:rsidR="00277213" w:rsidRPr="007561B3">
        <w:rPr>
          <w:bCs/>
          <w:smallCaps/>
          <w:snapToGrid w:val="0"/>
          <w:sz w:val="14"/>
          <w:szCs w:val="14"/>
        </w:rPr>
        <w:t>inpp</w:t>
      </w:r>
      <w:proofErr w:type="spellEnd"/>
      <w:r w:rsidRPr="007561B3">
        <w:rPr>
          <w:bCs/>
          <w:snapToGrid w:val="0"/>
          <w:sz w:val="14"/>
          <w:szCs w:val="14"/>
        </w:rPr>
        <w:t>), 2023</w:t>
      </w:r>
      <w:r w:rsidR="00FC0304" w:rsidRPr="007561B3">
        <w:rPr>
          <w:color w:val="000000"/>
          <w:sz w:val="14"/>
          <w:szCs w:val="14"/>
        </w:rPr>
        <w:t>.</w:t>
      </w:r>
      <w:r w:rsidR="004445E5" w:rsidRPr="007561B3">
        <w:rPr>
          <w:snapToGrid w:val="0"/>
          <w:sz w:val="14"/>
          <w:szCs w:val="14"/>
          <w:u w:val="single"/>
        </w:rPr>
        <w:t xml:space="preserve"> </w:t>
      </w:r>
    </w:p>
    <w:p w14:paraId="05564E4C" w14:textId="77777777" w:rsidR="004D5C5B" w:rsidRPr="007561B3" w:rsidRDefault="0098031E" w:rsidP="0060630A">
      <w:pPr>
        <w:widowControl w:val="0"/>
        <w:autoSpaceDE w:val="0"/>
        <w:autoSpaceDN w:val="0"/>
        <w:adjustRightInd w:val="0"/>
        <w:spacing w:before="360"/>
        <w:rPr>
          <w:b/>
          <w:iCs/>
          <w:smallCaps/>
          <w:snapToGrid w:val="0"/>
        </w:rPr>
      </w:pPr>
      <w:r w:rsidRPr="007561B3">
        <w:rPr>
          <w:b/>
          <w:iCs/>
          <w:smallCaps/>
          <w:snapToGrid w:val="0"/>
        </w:rPr>
        <w:t>Índice Nacional de Precios Productor</w:t>
      </w:r>
      <w:r w:rsidR="00644E58" w:rsidRPr="007561B3">
        <w:rPr>
          <w:b/>
          <w:iCs/>
          <w:smallCaps/>
          <w:snapToGrid w:val="0"/>
        </w:rPr>
        <w:t xml:space="preserve"> </w:t>
      </w:r>
      <w:r w:rsidR="00197731" w:rsidRPr="007561B3">
        <w:rPr>
          <w:b/>
          <w:iCs/>
          <w:smallCaps/>
          <w:snapToGrid w:val="0"/>
        </w:rPr>
        <w:t>de bienes finales</w:t>
      </w:r>
    </w:p>
    <w:p w14:paraId="5B067E64" w14:textId="2F37329E" w:rsidR="004D5C5B" w:rsidRPr="007561B3" w:rsidRDefault="008C385A" w:rsidP="00126792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7561B3">
        <w:rPr>
          <w:snapToGrid w:val="0"/>
        </w:rPr>
        <w:t xml:space="preserve">En octubre de 2023, el Índice de Mercancías y Servicios Finales, </w:t>
      </w:r>
      <w:r w:rsidR="00A459C7">
        <w:rPr>
          <w:snapToGrid w:val="0"/>
        </w:rPr>
        <w:t>incluido</w:t>
      </w:r>
      <w:r w:rsidR="00A459C7" w:rsidRPr="007561B3">
        <w:rPr>
          <w:snapToGrid w:val="0"/>
        </w:rPr>
        <w:t xml:space="preserve"> </w:t>
      </w:r>
      <w:r w:rsidRPr="007561B3">
        <w:rPr>
          <w:snapToGrid w:val="0"/>
        </w:rPr>
        <w:t>petróleo, creció 0.77 % a tasa mensual y 2.32 %, anual</w:t>
      </w:r>
      <w:r w:rsidR="006314F3" w:rsidRPr="007561B3">
        <w:rPr>
          <w:snapToGrid w:val="0"/>
        </w:rPr>
        <w:t>.</w:t>
      </w:r>
    </w:p>
    <w:p w14:paraId="232BB8CB" w14:textId="77777777" w:rsidR="004D5C5B" w:rsidRPr="007561B3" w:rsidRDefault="004D5C5B" w:rsidP="00A94AA0">
      <w:pPr>
        <w:pStyle w:val="n01"/>
        <w:keepLines w:val="0"/>
        <w:widowControl w:val="0"/>
        <w:spacing w:before="360"/>
        <w:ind w:left="0" w:firstLine="709"/>
        <w:rPr>
          <w:rFonts w:ascii="Arial" w:hAnsi="Arial"/>
          <w:b/>
          <w:snapToGrid w:val="0"/>
          <w:color w:val="000000"/>
        </w:rPr>
      </w:pPr>
      <w:r w:rsidRPr="007561B3">
        <w:rPr>
          <w:rFonts w:ascii="Arial" w:hAnsi="Arial"/>
          <w:b/>
          <w:snapToGrid w:val="0"/>
          <w:color w:val="000000"/>
        </w:rPr>
        <w:t xml:space="preserve">Por origen de la producción </w:t>
      </w:r>
    </w:p>
    <w:p w14:paraId="4B086242" w14:textId="55752289" w:rsidR="000068D8" w:rsidRDefault="008C385A" w:rsidP="00647111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7561B3">
        <w:rPr>
          <w:snapToGrid w:val="0"/>
        </w:rPr>
        <w:t>Por grandes grupos de actividades económicas, los precios de las secundarias aumentaron 1.16 % y los de terciarias, 0.67 %, mientras que los de primarias bajaron 4.79 % a tasa mensual. En su comparación anual, los de las actividades primarias tuvieron un alza de 1.89 %;</w:t>
      </w:r>
      <w:r w:rsidR="00187925">
        <w:rPr>
          <w:snapToGrid w:val="0"/>
        </w:rPr>
        <w:t> </w:t>
      </w:r>
      <w:r w:rsidRPr="007561B3">
        <w:rPr>
          <w:snapToGrid w:val="0"/>
        </w:rPr>
        <w:t>los de secundarias, de 0.68 % y los de terciarias</w:t>
      </w:r>
      <w:r w:rsidR="00C30F34" w:rsidRPr="007561B3">
        <w:rPr>
          <w:snapToGrid w:val="0"/>
        </w:rPr>
        <w:t>, de</w:t>
      </w:r>
      <w:r w:rsidRPr="007561B3">
        <w:rPr>
          <w:snapToGrid w:val="0"/>
        </w:rPr>
        <w:t xml:space="preserve"> 5.75 por ciento</w:t>
      </w:r>
      <w:r w:rsidR="00500CB0" w:rsidRPr="007561B3">
        <w:rPr>
          <w:snapToGrid w:val="0"/>
        </w:rPr>
        <w:t>.</w:t>
      </w:r>
    </w:p>
    <w:p w14:paraId="365AE217" w14:textId="77777777" w:rsidR="00187925" w:rsidRPr="007561B3" w:rsidRDefault="00187925" w:rsidP="00647111">
      <w:pPr>
        <w:widowControl w:val="0"/>
        <w:autoSpaceDE w:val="0"/>
        <w:autoSpaceDN w:val="0"/>
        <w:adjustRightInd w:val="0"/>
        <w:spacing w:before="240"/>
        <w:rPr>
          <w:snapToGrid w:val="0"/>
          <w:sz w:val="20"/>
          <w:szCs w:val="20"/>
        </w:rPr>
      </w:pPr>
    </w:p>
    <w:p w14:paraId="69A579C2" w14:textId="7AC091A7" w:rsidR="004D5C5B" w:rsidRPr="007561B3" w:rsidRDefault="004D5C5B" w:rsidP="00195053">
      <w:pPr>
        <w:widowControl w:val="0"/>
        <w:autoSpaceDE w:val="0"/>
        <w:autoSpaceDN w:val="0"/>
        <w:adjustRightInd w:val="0"/>
        <w:spacing w:before="240"/>
        <w:jc w:val="center"/>
        <w:rPr>
          <w:snapToGrid w:val="0"/>
          <w:sz w:val="20"/>
          <w:szCs w:val="20"/>
        </w:rPr>
      </w:pPr>
      <w:r w:rsidRPr="007561B3">
        <w:rPr>
          <w:snapToGrid w:val="0"/>
          <w:sz w:val="20"/>
          <w:szCs w:val="20"/>
        </w:rPr>
        <w:t xml:space="preserve">Cuadro </w:t>
      </w:r>
      <w:r w:rsidR="00187925">
        <w:rPr>
          <w:snapToGrid w:val="0"/>
          <w:sz w:val="20"/>
          <w:szCs w:val="20"/>
        </w:rPr>
        <w:t>4</w:t>
      </w:r>
    </w:p>
    <w:p w14:paraId="0C3CF314" w14:textId="0244A59D" w:rsidR="00E21E68" w:rsidRPr="007561B3" w:rsidRDefault="00FC0304" w:rsidP="00195053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7561B3">
        <w:rPr>
          <w:b/>
          <w:smallCaps/>
          <w:snapToGrid w:val="0"/>
          <w:sz w:val="22"/>
          <w:szCs w:val="22"/>
        </w:rPr>
        <w:t xml:space="preserve">Variación del </w:t>
      </w:r>
      <w:r w:rsidR="00E21E68" w:rsidRPr="007561B3">
        <w:rPr>
          <w:b/>
          <w:smallCaps/>
          <w:snapToGrid w:val="0"/>
          <w:sz w:val="22"/>
          <w:szCs w:val="22"/>
        </w:rPr>
        <w:t xml:space="preserve">Índice Nacional de Precios Productor </w:t>
      </w:r>
    </w:p>
    <w:p w14:paraId="2B994A8F" w14:textId="018EA334" w:rsidR="004D5C5B" w:rsidRPr="007561B3" w:rsidRDefault="00E21E68" w:rsidP="00195053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7561B3">
        <w:rPr>
          <w:b/>
          <w:smallCaps/>
          <w:snapToGrid w:val="0"/>
          <w:sz w:val="20"/>
          <w:szCs w:val="20"/>
        </w:rPr>
        <w:t xml:space="preserve">mercancías y servicios finales, </w:t>
      </w:r>
      <w:r w:rsidR="000F703E">
        <w:rPr>
          <w:b/>
          <w:smallCaps/>
          <w:snapToGrid w:val="0"/>
          <w:sz w:val="20"/>
          <w:szCs w:val="20"/>
        </w:rPr>
        <w:t>incluido</w:t>
      </w:r>
      <w:r w:rsidRPr="007561B3">
        <w:rPr>
          <w:b/>
          <w:smallCaps/>
          <w:snapToGrid w:val="0"/>
          <w:sz w:val="20"/>
          <w:szCs w:val="20"/>
        </w:rPr>
        <w:t xml:space="preserve"> petróleo</w:t>
      </w:r>
    </w:p>
    <w:p w14:paraId="32CE2A3D" w14:textId="6D6C0645" w:rsidR="004D5C5B" w:rsidRPr="007561B3" w:rsidRDefault="00346D73" w:rsidP="00195053">
      <w:pPr>
        <w:widowControl w:val="0"/>
        <w:autoSpaceDE w:val="0"/>
        <w:autoSpaceDN w:val="0"/>
        <w:adjustRightInd w:val="0"/>
        <w:jc w:val="center"/>
        <w:rPr>
          <w:snapToGrid w:val="0"/>
          <w:sz w:val="20"/>
          <w:szCs w:val="20"/>
        </w:rPr>
      </w:pPr>
      <w:r w:rsidRPr="007561B3">
        <w:rPr>
          <w:snapToGrid w:val="0"/>
          <w:sz w:val="20"/>
          <w:szCs w:val="20"/>
        </w:rPr>
        <w:t>octubre de los años que se indican</w:t>
      </w:r>
    </w:p>
    <w:tbl>
      <w:tblPr>
        <w:tblW w:w="4981" w:type="pct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0"/>
        <w:gridCol w:w="850"/>
        <w:gridCol w:w="851"/>
        <w:gridCol w:w="851"/>
        <w:gridCol w:w="851"/>
        <w:gridCol w:w="851"/>
        <w:gridCol w:w="852"/>
      </w:tblGrid>
      <w:tr w:rsidR="00C30F34" w:rsidRPr="007561B3" w14:paraId="57C0C4F7" w14:textId="77777777" w:rsidTr="002E525B">
        <w:trPr>
          <w:trHeight w:val="255"/>
        </w:trPr>
        <w:tc>
          <w:tcPr>
            <w:tcW w:w="4810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B7A6BCF" w14:textId="77777777" w:rsidR="00C30F34" w:rsidRPr="007561B3" w:rsidRDefault="00C30F34" w:rsidP="00C30F34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bookmarkStart w:id="9" w:name="_Hlk2757904"/>
            <w:r w:rsidRPr="007561B3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552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286D7BD" w14:textId="4DA2C8D5" w:rsidR="00C30F34" w:rsidRPr="007561B3" w:rsidRDefault="00C30F34" w:rsidP="00C30F34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>Variación porcentual mensual</w:t>
            </w:r>
          </w:p>
        </w:tc>
        <w:tc>
          <w:tcPr>
            <w:tcW w:w="2554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A0F4B19" w14:textId="0330EA47" w:rsidR="00C30F34" w:rsidRPr="007561B3" w:rsidRDefault="00C30F34" w:rsidP="00C30F34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4"/>
                <w:lang w:eastAsia="es-MX"/>
              </w:rPr>
              <w:t xml:space="preserve">Variación porcentual </w:t>
            </w:r>
            <w:r w:rsidRPr="007561B3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anual</w:t>
            </w:r>
          </w:p>
        </w:tc>
      </w:tr>
      <w:tr w:rsidR="002557F7" w:rsidRPr="007561B3" w14:paraId="6C573566" w14:textId="77777777" w:rsidTr="002E525B">
        <w:trPr>
          <w:trHeight w:val="255"/>
        </w:trPr>
        <w:tc>
          <w:tcPr>
            <w:tcW w:w="4810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19510B21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524AAD5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ABA8FE8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22FB203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ACD0B4F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737B6F6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F72A5FF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8C385A" w:rsidRPr="007561B3" w14:paraId="31FA7434" w14:textId="77777777" w:rsidTr="002E525B">
        <w:trPr>
          <w:trHeight w:val="227"/>
        </w:trPr>
        <w:tc>
          <w:tcPr>
            <w:tcW w:w="4810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8A87D5E" w14:textId="77777777" w:rsidR="008C385A" w:rsidRPr="007561B3" w:rsidRDefault="008C385A" w:rsidP="008C385A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50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2DE6DF8" w14:textId="77A0EBAA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0.97</w:t>
            </w:r>
          </w:p>
        </w:tc>
        <w:tc>
          <w:tcPr>
            <w:tcW w:w="85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A2D8F5F" w14:textId="3AEB4A4B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0.04</w:t>
            </w:r>
          </w:p>
        </w:tc>
        <w:tc>
          <w:tcPr>
            <w:tcW w:w="85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0E205E7" w14:textId="3118BB04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0.77</w:t>
            </w:r>
          </w:p>
        </w:tc>
        <w:tc>
          <w:tcPr>
            <w:tcW w:w="851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A095952" w14:textId="3EB24982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6.90</w:t>
            </w:r>
          </w:p>
        </w:tc>
        <w:tc>
          <w:tcPr>
            <w:tcW w:w="85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3B44F92" w14:textId="13A2CBF9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7.22</w:t>
            </w:r>
          </w:p>
        </w:tc>
        <w:tc>
          <w:tcPr>
            <w:tcW w:w="85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75D5108" w14:textId="77252C03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2.32</w:t>
            </w:r>
          </w:p>
        </w:tc>
      </w:tr>
      <w:tr w:rsidR="008C385A" w:rsidRPr="007561B3" w14:paraId="653D537C" w14:textId="77777777" w:rsidTr="002E525B">
        <w:trPr>
          <w:trHeight w:val="227"/>
        </w:trPr>
        <w:tc>
          <w:tcPr>
            <w:tcW w:w="481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048AFA0" w14:textId="77777777" w:rsidR="008C385A" w:rsidRPr="007561B3" w:rsidRDefault="008C385A" w:rsidP="008C385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F868AEE" w14:textId="3F062A03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-0.88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78CA566" w14:textId="462BFD62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-0.13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9B22B32" w14:textId="61B2B49B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-4.79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33001A4" w14:textId="45E8527B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10.95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3BBE0AB" w14:textId="2FC1949F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14.58</w:t>
            </w:r>
          </w:p>
        </w:tc>
        <w:tc>
          <w:tcPr>
            <w:tcW w:w="85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9A6F623" w14:textId="3BB9D166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1.89</w:t>
            </w:r>
          </w:p>
        </w:tc>
      </w:tr>
      <w:tr w:rsidR="008C385A" w:rsidRPr="007561B3" w14:paraId="1DB00CFF" w14:textId="77777777" w:rsidTr="002E525B">
        <w:trPr>
          <w:trHeight w:val="227"/>
        </w:trPr>
        <w:tc>
          <w:tcPr>
            <w:tcW w:w="481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CB8B3C7" w14:textId="77777777" w:rsidR="008C385A" w:rsidRPr="007561B3" w:rsidRDefault="008C385A" w:rsidP="008C385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4D5E389" w14:textId="2216335A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1.29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C86DD8E" w14:textId="0D8F04D8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-0.03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CEE61CF" w14:textId="65904157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1.16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02B1824" w14:textId="08C223BA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8.57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04A0408" w14:textId="5101F319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7.51</w:t>
            </w:r>
          </w:p>
        </w:tc>
        <w:tc>
          <w:tcPr>
            <w:tcW w:w="85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289708F" w14:textId="4020621D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0.68</w:t>
            </w:r>
          </w:p>
        </w:tc>
      </w:tr>
      <w:tr w:rsidR="008C385A" w:rsidRPr="007561B3" w14:paraId="32D36D19" w14:textId="77777777" w:rsidTr="002E525B">
        <w:trPr>
          <w:trHeight w:val="227"/>
        </w:trPr>
        <w:tc>
          <w:tcPr>
            <w:tcW w:w="481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5EF4D9C" w14:textId="77777777" w:rsidR="008C385A" w:rsidRPr="007561B3" w:rsidRDefault="008C385A" w:rsidP="008C385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8810B46" w14:textId="5A6874C2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6.54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99A5FB6" w14:textId="586480B3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-3.06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2569671" w14:textId="77767C13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3.48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ED65846" w14:textId="10CD6EE4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43.65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0054C7F" w14:textId="5DB9E453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1.81</w:t>
            </w:r>
          </w:p>
        </w:tc>
        <w:tc>
          <w:tcPr>
            <w:tcW w:w="85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6548086" w14:textId="27E763C3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-6.26</w:t>
            </w:r>
          </w:p>
        </w:tc>
      </w:tr>
      <w:tr w:rsidR="008C385A" w:rsidRPr="007561B3" w14:paraId="1367F5BA" w14:textId="77777777" w:rsidTr="002E525B">
        <w:trPr>
          <w:trHeight w:val="227"/>
        </w:trPr>
        <w:tc>
          <w:tcPr>
            <w:tcW w:w="481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40D1871" w14:textId="77777777" w:rsidR="008C385A" w:rsidRPr="007561B3" w:rsidRDefault="008C385A" w:rsidP="008C385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56FA861" w14:textId="3AA62F00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13.98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79B587F" w14:textId="243351AD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13.25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D9ED003" w14:textId="76FB0124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14.25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09ECEB2" w14:textId="260810BB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4.59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76C40B5" w14:textId="49873902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9.77</w:t>
            </w:r>
          </w:p>
        </w:tc>
        <w:tc>
          <w:tcPr>
            <w:tcW w:w="85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EFB2284" w14:textId="79A2FD49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3.57</w:t>
            </w:r>
          </w:p>
        </w:tc>
      </w:tr>
      <w:tr w:rsidR="008C385A" w:rsidRPr="007561B3" w14:paraId="4EB0119D" w14:textId="77777777" w:rsidTr="002E525B">
        <w:trPr>
          <w:trHeight w:val="227"/>
        </w:trPr>
        <w:tc>
          <w:tcPr>
            <w:tcW w:w="481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64A96E5" w14:textId="77777777" w:rsidR="008C385A" w:rsidRPr="007561B3" w:rsidRDefault="008C385A" w:rsidP="008C385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>Construcción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68B9D1E" w14:textId="16EF1A8B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0.34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5175E23" w14:textId="607F7E4C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-0.66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C83678B" w14:textId="74368C22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-0.10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827F8AA" w14:textId="17440B0B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15.24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07B824D" w14:textId="494D06A4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11.14</w:t>
            </w:r>
          </w:p>
        </w:tc>
        <w:tc>
          <w:tcPr>
            <w:tcW w:w="85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D429739" w14:textId="6C5217F4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1.96</w:t>
            </w:r>
          </w:p>
        </w:tc>
      </w:tr>
      <w:tr w:rsidR="008C385A" w:rsidRPr="007561B3" w14:paraId="55BA9967" w14:textId="77777777" w:rsidTr="002E525B">
        <w:trPr>
          <w:trHeight w:val="227"/>
        </w:trPr>
        <w:tc>
          <w:tcPr>
            <w:tcW w:w="481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3A09ECF" w14:textId="77777777" w:rsidR="008C385A" w:rsidRPr="007561B3" w:rsidRDefault="008C385A" w:rsidP="008C385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3F93ED1" w14:textId="246B7858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1.05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BEBCD0B" w14:textId="4516603B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0.25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025CECD" w14:textId="0CBBA719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1.24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57B63F8" w14:textId="045820BC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5.02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9B6DE3C" w14:textId="656FA3C3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6.94</w:t>
            </w:r>
          </w:p>
        </w:tc>
        <w:tc>
          <w:tcPr>
            <w:tcW w:w="85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7788608" w14:textId="654A47AF" w:rsidR="008C385A" w:rsidRPr="007561B3" w:rsidRDefault="008C385A" w:rsidP="008C385A">
            <w:pPr>
              <w:ind w:right="227"/>
              <w:jc w:val="right"/>
              <w:rPr>
                <w:sz w:val="14"/>
                <w:szCs w:val="14"/>
              </w:rPr>
            </w:pPr>
            <w:r w:rsidRPr="007561B3">
              <w:rPr>
                <w:sz w:val="14"/>
                <w:szCs w:val="14"/>
              </w:rPr>
              <w:t>0.79</w:t>
            </w:r>
          </w:p>
        </w:tc>
      </w:tr>
      <w:tr w:rsidR="008C385A" w:rsidRPr="007561B3" w14:paraId="19F6EA84" w14:textId="77777777" w:rsidTr="002E525B">
        <w:trPr>
          <w:trHeight w:val="227"/>
        </w:trPr>
        <w:tc>
          <w:tcPr>
            <w:tcW w:w="4810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29BDC9B" w14:textId="77777777" w:rsidR="008C385A" w:rsidRPr="007561B3" w:rsidRDefault="008C385A" w:rsidP="008C385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06B1E7E" w14:textId="1CCBEF73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0.53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87DAF1A" w14:textId="636F445E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0.20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8B33E6D" w14:textId="6C3BB693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0.67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6ECE76" w14:textId="7F3C75B2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3.26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8F3702B" w14:textId="313D40B5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5.82</w:t>
            </w:r>
          </w:p>
        </w:tc>
        <w:tc>
          <w:tcPr>
            <w:tcW w:w="85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E22D94A" w14:textId="0818F7DA" w:rsidR="008C385A" w:rsidRPr="007561B3" w:rsidRDefault="008C385A" w:rsidP="008C385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561B3">
              <w:rPr>
                <w:b/>
                <w:bCs/>
                <w:sz w:val="14"/>
                <w:szCs w:val="14"/>
              </w:rPr>
              <w:t>5.75</w:t>
            </w:r>
          </w:p>
        </w:tc>
      </w:tr>
    </w:tbl>
    <w:bookmarkEnd w:id="9"/>
    <w:p w14:paraId="48BB3D05" w14:textId="409E9356" w:rsidR="004445E5" w:rsidRDefault="00905C36" w:rsidP="004445E5">
      <w:pPr>
        <w:widowControl w:val="0"/>
        <w:autoSpaceDE w:val="0"/>
        <w:autoSpaceDN w:val="0"/>
        <w:adjustRightInd w:val="0"/>
        <w:ind w:left="283" w:right="113" w:hanging="170"/>
        <w:rPr>
          <w:snapToGrid w:val="0"/>
          <w:sz w:val="14"/>
          <w:szCs w:val="14"/>
          <w:u w:val="single"/>
        </w:rPr>
      </w:pPr>
      <w:r w:rsidRPr="007561B3">
        <w:rPr>
          <w:color w:val="000000"/>
          <w:sz w:val="14"/>
          <w:szCs w:val="14"/>
        </w:rPr>
        <w:t xml:space="preserve">Fuente: </w:t>
      </w:r>
      <w:proofErr w:type="spellStart"/>
      <w:r w:rsidR="006C0499" w:rsidRPr="007561B3">
        <w:rPr>
          <w:smallCaps/>
          <w:color w:val="000000"/>
          <w:sz w:val="14"/>
          <w:szCs w:val="14"/>
        </w:rPr>
        <w:t>inegi</w:t>
      </w:r>
      <w:proofErr w:type="spellEnd"/>
      <w:r w:rsidRPr="007561B3">
        <w:rPr>
          <w:bCs/>
          <w:snapToGrid w:val="0"/>
          <w:sz w:val="14"/>
          <w:szCs w:val="14"/>
        </w:rPr>
        <w:t>.</w:t>
      </w:r>
      <w:r w:rsidRPr="007561B3">
        <w:rPr>
          <w:b/>
          <w:snapToGrid w:val="0"/>
          <w:sz w:val="14"/>
          <w:szCs w:val="14"/>
        </w:rPr>
        <w:t xml:space="preserve"> </w:t>
      </w:r>
      <w:r w:rsidRPr="007561B3">
        <w:rPr>
          <w:bCs/>
          <w:snapToGrid w:val="0"/>
          <w:sz w:val="14"/>
          <w:szCs w:val="14"/>
        </w:rPr>
        <w:t>Índice Nacional de Precios Productor (</w:t>
      </w:r>
      <w:proofErr w:type="spellStart"/>
      <w:r w:rsidR="006C0499" w:rsidRPr="007561B3">
        <w:rPr>
          <w:bCs/>
          <w:smallCaps/>
          <w:snapToGrid w:val="0"/>
          <w:sz w:val="14"/>
          <w:szCs w:val="14"/>
        </w:rPr>
        <w:t>inpp</w:t>
      </w:r>
      <w:proofErr w:type="spellEnd"/>
      <w:r w:rsidRPr="007561B3">
        <w:rPr>
          <w:bCs/>
          <w:snapToGrid w:val="0"/>
          <w:sz w:val="14"/>
          <w:szCs w:val="14"/>
        </w:rPr>
        <w:t>), 2023</w:t>
      </w:r>
      <w:r w:rsidR="00FC0304" w:rsidRPr="007561B3">
        <w:rPr>
          <w:color w:val="000000"/>
          <w:sz w:val="14"/>
          <w:szCs w:val="14"/>
        </w:rPr>
        <w:t>.</w:t>
      </w:r>
      <w:r w:rsidR="004445E5" w:rsidRPr="007561B3">
        <w:rPr>
          <w:snapToGrid w:val="0"/>
          <w:sz w:val="14"/>
          <w:szCs w:val="14"/>
          <w:u w:val="single"/>
        </w:rPr>
        <w:t xml:space="preserve"> </w:t>
      </w:r>
    </w:p>
    <w:p w14:paraId="012B1B09" w14:textId="77777777" w:rsidR="00187925" w:rsidRDefault="00187925" w:rsidP="004445E5">
      <w:pPr>
        <w:widowControl w:val="0"/>
        <w:autoSpaceDE w:val="0"/>
        <w:autoSpaceDN w:val="0"/>
        <w:adjustRightInd w:val="0"/>
        <w:ind w:left="283" w:right="113" w:hanging="170"/>
        <w:rPr>
          <w:snapToGrid w:val="0"/>
          <w:sz w:val="14"/>
          <w:szCs w:val="14"/>
          <w:u w:val="single"/>
        </w:rPr>
      </w:pPr>
    </w:p>
    <w:p w14:paraId="666A44E2" w14:textId="77777777" w:rsidR="00187925" w:rsidRDefault="00187925" w:rsidP="004445E5">
      <w:pPr>
        <w:widowControl w:val="0"/>
        <w:autoSpaceDE w:val="0"/>
        <w:autoSpaceDN w:val="0"/>
        <w:adjustRightInd w:val="0"/>
        <w:ind w:left="283" w:right="113" w:hanging="170"/>
        <w:rPr>
          <w:snapToGrid w:val="0"/>
          <w:sz w:val="14"/>
          <w:szCs w:val="14"/>
          <w:u w:val="single"/>
        </w:rPr>
      </w:pPr>
    </w:p>
    <w:p w14:paraId="07F06072" w14:textId="77777777" w:rsidR="00187925" w:rsidRDefault="00187925" w:rsidP="004445E5">
      <w:pPr>
        <w:widowControl w:val="0"/>
        <w:autoSpaceDE w:val="0"/>
        <w:autoSpaceDN w:val="0"/>
        <w:adjustRightInd w:val="0"/>
        <w:ind w:left="283" w:right="113" w:hanging="170"/>
        <w:rPr>
          <w:snapToGrid w:val="0"/>
          <w:sz w:val="14"/>
          <w:szCs w:val="14"/>
          <w:u w:val="single"/>
        </w:rPr>
      </w:pPr>
    </w:p>
    <w:p w14:paraId="33128716" w14:textId="77777777" w:rsidR="00187925" w:rsidRDefault="00187925" w:rsidP="004445E5">
      <w:pPr>
        <w:widowControl w:val="0"/>
        <w:autoSpaceDE w:val="0"/>
        <w:autoSpaceDN w:val="0"/>
        <w:adjustRightInd w:val="0"/>
        <w:ind w:left="283" w:right="113" w:hanging="170"/>
        <w:rPr>
          <w:snapToGrid w:val="0"/>
          <w:sz w:val="14"/>
          <w:szCs w:val="14"/>
          <w:u w:val="single"/>
        </w:rPr>
      </w:pPr>
    </w:p>
    <w:p w14:paraId="568863FF" w14:textId="77777777" w:rsidR="00187925" w:rsidRDefault="00187925" w:rsidP="004445E5">
      <w:pPr>
        <w:widowControl w:val="0"/>
        <w:autoSpaceDE w:val="0"/>
        <w:autoSpaceDN w:val="0"/>
        <w:adjustRightInd w:val="0"/>
        <w:ind w:left="283" w:right="113" w:hanging="170"/>
        <w:rPr>
          <w:snapToGrid w:val="0"/>
          <w:sz w:val="14"/>
          <w:szCs w:val="14"/>
          <w:u w:val="single"/>
        </w:rPr>
      </w:pPr>
    </w:p>
    <w:p w14:paraId="12EA85F5" w14:textId="77777777" w:rsidR="00187925" w:rsidRDefault="00187925" w:rsidP="004445E5">
      <w:pPr>
        <w:widowControl w:val="0"/>
        <w:autoSpaceDE w:val="0"/>
        <w:autoSpaceDN w:val="0"/>
        <w:adjustRightInd w:val="0"/>
        <w:ind w:left="283" w:right="113" w:hanging="170"/>
        <w:rPr>
          <w:snapToGrid w:val="0"/>
          <w:sz w:val="14"/>
          <w:szCs w:val="14"/>
          <w:u w:val="single"/>
        </w:rPr>
      </w:pPr>
    </w:p>
    <w:p w14:paraId="0C52E1A6" w14:textId="77777777" w:rsidR="00187925" w:rsidRPr="007561B3" w:rsidRDefault="00187925" w:rsidP="004445E5">
      <w:pPr>
        <w:widowControl w:val="0"/>
        <w:autoSpaceDE w:val="0"/>
        <w:autoSpaceDN w:val="0"/>
        <w:adjustRightInd w:val="0"/>
        <w:ind w:left="283" w:right="113" w:hanging="170"/>
        <w:rPr>
          <w:snapToGrid w:val="0"/>
          <w:sz w:val="14"/>
          <w:szCs w:val="14"/>
          <w:u w:val="single"/>
        </w:rPr>
      </w:pPr>
    </w:p>
    <w:p w14:paraId="5220BDDC" w14:textId="3DEE288B" w:rsidR="004D5C5B" w:rsidRPr="007561B3" w:rsidRDefault="004D5C5B" w:rsidP="00A94AA0">
      <w:pPr>
        <w:pStyle w:val="n01"/>
        <w:keepLines w:val="0"/>
        <w:widowControl w:val="0"/>
        <w:spacing w:before="360"/>
        <w:ind w:left="0" w:firstLine="709"/>
        <w:rPr>
          <w:rFonts w:ascii="Arial" w:hAnsi="Arial"/>
          <w:b/>
          <w:snapToGrid w:val="0"/>
          <w:color w:val="000000"/>
        </w:rPr>
      </w:pPr>
      <w:r w:rsidRPr="007561B3">
        <w:rPr>
          <w:rFonts w:ascii="Arial" w:hAnsi="Arial"/>
          <w:b/>
          <w:snapToGrid w:val="0"/>
          <w:color w:val="000000"/>
        </w:rPr>
        <w:t>Por destino de la producción</w:t>
      </w:r>
    </w:p>
    <w:p w14:paraId="7834622F" w14:textId="406EEE22" w:rsidR="00500CB0" w:rsidRDefault="008C385A" w:rsidP="00500CB0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7561B3">
        <w:rPr>
          <w:snapToGrid w:val="0"/>
        </w:rPr>
        <w:t>En octubre pasado, los precios de los bienes finales de demanda interna presentaron un incremento mensual de 0.33 % y anual, de 3.65 por ciento. A su interior, los precios de los bienes de consumo subieron 0.37 % a tasa mensual y 4.71 % a tasa anual. Los destinados a la formación de capital presentaron un alza mensual de 0.24 % y de 1.09 % anual. Por su parte, los precios de los bienes orientados a la exportación aumentaron 1.97 % a tasa mensual y disminuyeron 1.12 % a tasa anual</w:t>
      </w:r>
      <w:r w:rsidR="00720DC6" w:rsidRPr="007561B3">
        <w:rPr>
          <w:snapToGrid w:val="0"/>
        </w:rPr>
        <w:t>.</w:t>
      </w:r>
    </w:p>
    <w:p w14:paraId="68367D2B" w14:textId="77777777" w:rsidR="00187925" w:rsidRPr="007561B3" w:rsidRDefault="00187925" w:rsidP="00500CB0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</w:p>
    <w:p w14:paraId="06483BE8" w14:textId="4B48327F" w:rsidR="004D5C5B" w:rsidRPr="007561B3" w:rsidRDefault="004D5C5B" w:rsidP="00195053">
      <w:pPr>
        <w:widowControl w:val="0"/>
        <w:autoSpaceDE w:val="0"/>
        <w:autoSpaceDN w:val="0"/>
        <w:adjustRightInd w:val="0"/>
        <w:spacing w:before="220"/>
        <w:jc w:val="center"/>
        <w:rPr>
          <w:snapToGrid w:val="0"/>
          <w:sz w:val="20"/>
          <w:szCs w:val="20"/>
        </w:rPr>
      </w:pPr>
      <w:r w:rsidRPr="007561B3">
        <w:rPr>
          <w:snapToGrid w:val="0"/>
          <w:sz w:val="20"/>
          <w:szCs w:val="20"/>
        </w:rPr>
        <w:t xml:space="preserve">Cuadro </w:t>
      </w:r>
      <w:r w:rsidR="00187925">
        <w:rPr>
          <w:snapToGrid w:val="0"/>
          <w:sz w:val="20"/>
          <w:szCs w:val="20"/>
        </w:rPr>
        <w:t>5</w:t>
      </w:r>
    </w:p>
    <w:p w14:paraId="1C2EFA3E" w14:textId="2F92DBF0" w:rsidR="00E21E68" w:rsidRPr="007561B3" w:rsidRDefault="006C0499" w:rsidP="00195053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7561B3">
        <w:rPr>
          <w:b/>
          <w:smallCaps/>
          <w:snapToGrid w:val="0"/>
          <w:sz w:val="22"/>
          <w:szCs w:val="22"/>
        </w:rPr>
        <w:t xml:space="preserve">Variación e incidencia del </w:t>
      </w:r>
      <w:r w:rsidR="00E21E68" w:rsidRPr="007561B3">
        <w:rPr>
          <w:b/>
          <w:smallCaps/>
          <w:snapToGrid w:val="0"/>
          <w:sz w:val="22"/>
          <w:szCs w:val="22"/>
        </w:rPr>
        <w:t xml:space="preserve">Índice Nacional de Precios Productor </w:t>
      </w:r>
    </w:p>
    <w:p w14:paraId="1F53BE90" w14:textId="1EDDDC9C" w:rsidR="001F753E" w:rsidRPr="007561B3" w:rsidRDefault="00E21E68" w:rsidP="00195053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7561B3">
        <w:rPr>
          <w:b/>
          <w:smallCaps/>
          <w:snapToGrid w:val="0"/>
          <w:sz w:val="20"/>
          <w:szCs w:val="20"/>
        </w:rPr>
        <w:t xml:space="preserve">mercancías y servicios finales, </w:t>
      </w:r>
      <w:r w:rsidR="000F703E">
        <w:rPr>
          <w:b/>
          <w:smallCaps/>
          <w:snapToGrid w:val="0"/>
          <w:sz w:val="20"/>
          <w:szCs w:val="20"/>
        </w:rPr>
        <w:t>incluido</w:t>
      </w:r>
      <w:r w:rsidRPr="007561B3">
        <w:rPr>
          <w:b/>
          <w:smallCaps/>
          <w:snapToGrid w:val="0"/>
          <w:sz w:val="20"/>
          <w:szCs w:val="20"/>
        </w:rPr>
        <w:t xml:space="preserve"> petróleo </w:t>
      </w:r>
    </w:p>
    <w:p w14:paraId="0B4680C5" w14:textId="7BD1165C" w:rsidR="00E44C01" w:rsidRPr="007561B3" w:rsidRDefault="00E44C01" w:rsidP="00195053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7561B3">
        <w:rPr>
          <w:b/>
          <w:smallCaps/>
          <w:snapToGrid w:val="0"/>
          <w:sz w:val="20"/>
          <w:szCs w:val="20"/>
        </w:rPr>
        <w:t>clasificación por destino</w:t>
      </w:r>
    </w:p>
    <w:p w14:paraId="2AC6C21C" w14:textId="484E89CB" w:rsidR="004D5C5B" w:rsidRPr="007561B3" w:rsidRDefault="00346D73" w:rsidP="00195053">
      <w:pPr>
        <w:widowControl w:val="0"/>
        <w:autoSpaceDE w:val="0"/>
        <w:autoSpaceDN w:val="0"/>
        <w:adjustRightInd w:val="0"/>
        <w:jc w:val="center"/>
        <w:rPr>
          <w:bCs/>
          <w:snapToGrid w:val="0"/>
          <w:sz w:val="20"/>
          <w:szCs w:val="20"/>
        </w:rPr>
      </w:pPr>
      <w:r w:rsidRPr="007561B3">
        <w:rPr>
          <w:bCs/>
          <w:snapToGrid w:val="0"/>
          <w:sz w:val="20"/>
          <w:szCs w:val="20"/>
        </w:rPr>
        <w:t>octubre</w:t>
      </w:r>
      <w:r w:rsidRPr="007561B3">
        <w:rPr>
          <w:bCs/>
          <w:color w:val="000000"/>
          <w:spacing w:val="1"/>
          <w:sz w:val="20"/>
          <w:szCs w:val="20"/>
        </w:rPr>
        <w:t xml:space="preserve"> de 2023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0"/>
        <w:gridCol w:w="1064"/>
        <w:gridCol w:w="1067"/>
        <w:gridCol w:w="1067"/>
        <w:gridCol w:w="1065"/>
        <w:gridCol w:w="1067"/>
        <w:gridCol w:w="1067"/>
        <w:gridCol w:w="1067"/>
      </w:tblGrid>
      <w:tr w:rsidR="002557F7" w:rsidRPr="007561B3" w14:paraId="3ACB8B00" w14:textId="77777777" w:rsidTr="003A2563">
        <w:trPr>
          <w:trHeight w:val="255"/>
          <w:jc w:val="center"/>
        </w:trPr>
        <w:tc>
          <w:tcPr>
            <w:tcW w:w="2490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7C96E78" w14:textId="77777777" w:rsidR="002557F7" w:rsidRPr="007561B3" w:rsidRDefault="002557F7" w:rsidP="00E5618C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7561B3">
              <w:rPr>
                <w:bCs/>
                <w:color w:val="000000"/>
                <w:sz w:val="16"/>
                <w:szCs w:val="16"/>
                <w:lang w:eastAsia="es-MX"/>
              </w:rPr>
              <w:t>Destino de la producción</w:t>
            </w:r>
          </w:p>
        </w:tc>
        <w:tc>
          <w:tcPr>
            <w:tcW w:w="3198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59FC4E9" w14:textId="77777777" w:rsidR="002557F7" w:rsidRPr="007561B3" w:rsidRDefault="002557F7" w:rsidP="00E5618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Variación porcentual mensual</w:t>
            </w:r>
          </w:p>
        </w:tc>
        <w:tc>
          <w:tcPr>
            <w:tcW w:w="1065" w:type="dxa"/>
            <w:vMerge w:val="restart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0D521E40" w14:textId="77777777" w:rsidR="002557F7" w:rsidRPr="007561B3" w:rsidRDefault="002557F7" w:rsidP="00E5618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 xml:space="preserve">Incidencia mensual </w:t>
            </w:r>
            <w:r w:rsidRPr="007561B3">
              <w:rPr>
                <w:bCs/>
                <w:color w:val="000000"/>
                <w:position w:val="-1"/>
                <w:sz w:val="16"/>
                <w:szCs w:val="16"/>
                <w:vertAlign w:val="superscript"/>
                <w:lang w:eastAsia="es-MX"/>
              </w:rPr>
              <w:t>1/</w:t>
            </w:r>
            <w:r w:rsidRPr="007561B3">
              <w:rPr>
                <w:bCs/>
                <w:color w:val="000000"/>
                <w:position w:val="-1"/>
                <w:sz w:val="16"/>
                <w:szCs w:val="16"/>
                <w:lang w:eastAsia="es-MX"/>
              </w:rPr>
              <w:t xml:space="preserve"> Total</w:t>
            </w:r>
          </w:p>
        </w:tc>
        <w:tc>
          <w:tcPr>
            <w:tcW w:w="3201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25F3D9E" w14:textId="77777777" w:rsidR="002557F7" w:rsidRPr="007561B3" w:rsidRDefault="002557F7" w:rsidP="00E5618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Variación porcentual anual</w:t>
            </w:r>
          </w:p>
        </w:tc>
      </w:tr>
      <w:tr w:rsidR="002557F7" w:rsidRPr="007561B3" w14:paraId="5444E516" w14:textId="77777777" w:rsidTr="003A2563">
        <w:trPr>
          <w:trHeight w:val="255"/>
          <w:jc w:val="center"/>
        </w:trPr>
        <w:tc>
          <w:tcPr>
            <w:tcW w:w="2490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2DA0461C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4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8AE621B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Mercancías</w:t>
            </w:r>
          </w:p>
        </w:tc>
        <w:tc>
          <w:tcPr>
            <w:tcW w:w="1067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4F6A004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1067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4659D30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5" w:type="dxa"/>
            <w:vMerge/>
            <w:tcBorders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194BE4D9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F972B55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Mercancías</w:t>
            </w:r>
          </w:p>
        </w:tc>
        <w:tc>
          <w:tcPr>
            <w:tcW w:w="1067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5660ED5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1067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753C8A3" w14:textId="77777777" w:rsidR="002557F7" w:rsidRPr="007561B3" w:rsidRDefault="002557F7" w:rsidP="00E561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8C385A" w:rsidRPr="007561B3" w14:paraId="4032DD60" w14:textId="77777777" w:rsidTr="003A2563">
        <w:trPr>
          <w:trHeight w:val="227"/>
          <w:jc w:val="center"/>
        </w:trPr>
        <w:tc>
          <w:tcPr>
            <w:tcW w:w="2490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72156EF5" w14:textId="77777777" w:rsidR="008C385A" w:rsidRPr="007561B3" w:rsidRDefault="008C385A" w:rsidP="008C385A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 xml:space="preserve">INPP </w:t>
            </w:r>
          </w:p>
        </w:tc>
        <w:tc>
          <w:tcPr>
            <w:tcW w:w="1064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B4E9169" w14:textId="0F01D6FB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0.82</w:t>
            </w:r>
          </w:p>
        </w:tc>
        <w:tc>
          <w:tcPr>
            <w:tcW w:w="1067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02D2BE8" w14:textId="3FD950CB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0.68</w:t>
            </w:r>
          </w:p>
        </w:tc>
        <w:tc>
          <w:tcPr>
            <w:tcW w:w="1067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FFA370C" w14:textId="27FCEAD7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0.77</w:t>
            </w:r>
          </w:p>
        </w:tc>
        <w:tc>
          <w:tcPr>
            <w:tcW w:w="106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6D1ECA68" w14:textId="59FCBB2E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0.770</w:t>
            </w:r>
          </w:p>
        </w:tc>
        <w:tc>
          <w:tcPr>
            <w:tcW w:w="1067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147EC25" w14:textId="21E30D31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0.78</w:t>
            </w:r>
          </w:p>
        </w:tc>
        <w:tc>
          <w:tcPr>
            <w:tcW w:w="1067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F3B24BA" w14:textId="5A3BA553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5.26</w:t>
            </w:r>
          </w:p>
        </w:tc>
        <w:tc>
          <w:tcPr>
            <w:tcW w:w="1067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AFCD2E1" w14:textId="34088F7A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2.32</w:t>
            </w:r>
          </w:p>
        </w:tc>
      </w:tr>
      <w:tr w:rsidR="008C385A" w:rsidRPr="007561B3" w14:paraId="235F5782" w14:textId="77777777" w:rsidTr="003A2563">
        <w:trPr>
          <w:trHeight w:val="227"/>
          <w:jc w:val="center"/>
        </w:trPr>
        <w:tc>
          <w:tcPr>
            <w:tcW w:w="249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7A638B55" w14:textId="77777777" w:rsidR="008C385A" w:rsidRPr="007561B3" w:rsidRDefault="008C385A" w:rsidP="008C385A">
            <w:pPr>
              <w:autoSpaceDE w:val="0"/>
              <w:autoSpaceDN w:val="0"/>
              <w:adjustRightInd w:val="0"/>
              <w:ind w:left="113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 xml:space="preserve">Demanda interna </w:t>
            </w:r>
          </w:p>
        </w:tc>
        <w:tc>
          <w:tcPr>
            <w:tcW w:w="106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7E52574" w14:textId="6FF92BBD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1067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CDAAA6F" w14:textId="0E48CDD9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0.67</w:t>
            </w:r>
          </w:p>
        </w:tc>
        <w:tc>
          <w:tcPr>
            <w:tcW w:w="1067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BC92F41" w14:textId="1B1E4C73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0.33</w:t>
            </w:r>
          </w:p>
        </w:tc>
        <w:tc>
          <w:tcPr>
            <w:tcW w:w="106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30269CAB" w14:textId="46A60822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0.245</w:t>
            </w:r>
          </w:p>
        </w:tc>
        <w:tc>
          <w:tcPr>
            <w:tcW w:w="106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4550D9C" w14:textId="2084078F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2.30</w:t>
            </w:r>
          </w:p>
        </w:tc>
        <w:tc>
          <w:tcPr>
            <w:tcW w:w="1067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DF7EA12" w14:textId="43CD05C9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5.22</w:t>
            </w:r>
          </w:p>
        </w:tc>
        <w:tc>
          <w:tcPr>
            <w:tcW w:w="1067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ADB8A8F" w14:textId="2B5E2FF6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3.65</w:t>
            </w:r>
          </w:p>
        </w:tc>
      </w:tr>
      <w:tr w:rsidR="008C385A" w:rsidRPr="007561B3" w14:paraId="4A34084F" w14:textId="77777777" w:rsidTr="003A2563">
        <w:trPr>
          <w:trHeight w:val="227"/>
          <w:jc w:val="center"/>
        </w:trPr>
        <w:tc>
          <w:tcPr>
            <w:tcW w:w="249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1BACDB9D" w14:textId="77777777" w:rsidR="008C385A" w:rsidRPr="007561B3" w:rsidRDefault="008C385A" w:rsidP="008C385A">
            <w:pPr>
              <w:autoSpaceDE w:val="0"/>
              <w:autoSpaceDN w:val="0"/>
              <w:adjustRightInd w:val="0"/>
              <w:ind w:left="227"/>
              <w:jc w:val="left"/>
              <w:rPr>
                <w:color w:val="000000"/>
                <w:sz w:val="14"/>
                <w:szCs w:val="14"/>
                <w:vertAlign w:val="superscript"/>
              </w:rPr>
            </w:pPr>
            <w:r w:rsidRPr="007561B3">
              <w:rPr>
                <w:color w:val="000000"/>
                <w:sz w:val="14"/>
                <w:szCs w:val="14"/>
              </w:rPr>
              <w:t xml:space="preserve">Consumo </w:t>
            </w:r>
            <w:r w:rsidRPr="007561B3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2/</w:t>
            </w:r>
          </w:p>
        </w:tc>
        <w:tc>
          <w:tcPr>
            <w:tcW w:w="106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171D127" w14:textId="023F3896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-0.03</w:t>
            </w:r>
          </w:p>
        </w:tc>
        <w:tc>
          <w:tcPr>
            <w:tcW w:w="1067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671AB13" w14:textId="6973F7D1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0.66</w:t>
            </w:r>
          </w:p>
        </w:tc>
        <w:tc>
          <w:tcPr>
            <w:tcW w:w="1067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1BCAC94" w14:textId="3C10D297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0.37</w:t>
            </w:r>
          </w:p>
        </w:tc>
        <w:tc>
          <w:tcPr>
            <w:tcW w:w="106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5E3577D7" w14:textId="7C26A0B0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0.195</w:t>
            </w:r>
          </w:p>
        </w:tc>
        <w:tc>
          <w:tcPr>
            <w:tcW w:w="106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4435749" w14:textId="2E953C84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3.30</w:t>
            </w:r>
          </w:p>
        </w:tc>
        <w:tc>
          <w:tcPr>
            <w:tcW w:w="1067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6785FBD" w14:textId="51CE5D24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1067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2FDB5CB" w14:textId="2201AE06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4.71</w:t>
            </w:r>
          </w:p>
        </w:tc>
      </w:tr>
      <w:tr w:rsidR="008C385A" w:rsidRPr="007561B3" w14:paraId="251FFADB" w14:textId="77777777" w:rsidTr="003A2563">
        <w:trPr>
          <w:trHeight w:val="227"/>
          <w:jc w:val="center"/>
        </w:trPr>
        <w:tc>
          <w:tcPr>
            <w:tcW w:w="249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492F9730" w14:textId="77777777" w:rsidR="008C385A" w:rsidRPr="007561B3" w:rsidRDefault="008C385A" w:rsidP="008C385A">
            <w:pPr>
              <w:autoSpaceDE w:val="0"/>
              <w:autoSpaceDN w:val="0"/>
              <w:adjustRightInd w:val="0"/>
              <w:ind w:left="227"/>
              <w:jc w:val="lef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 xml:space="preserve">Formación de capital </w:t>
            </w:r>
          </w:p>
        </w:tc>
        <w:tc>
          <w:tcPr>
            <w:tcW w:w="106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1C7FA22" w14:textId="38EA16CE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0.14</w:t>
            </w:r>
          </w:p>
        </w:tc>
        <w:tc>
          <w:tcPr>
            <w:tcW w:w="1067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FD3C132" w14:textId="6156B40E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0.69</w:t>
            </w:r>
          </w:p>
        </w:tc>
        <w:tc>
          <w:tcPr>
            <w:tcW w:w="1067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9A762A5" w14:textId="669AF013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0.24</w:t>
            </w:r>
          </w:p>
        </w:tc>
        <w:tc>
          <w:tcPr>
            <w:tcW w:w="106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558038B8" w14:textId="49138E31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0.049</w:t>
            </w:r>
          </w:p>
        </w:tc>
        <w:tc>
          <w:tcPr>
            <w:tcW w:w="106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30CD073" w14:textId="34A69C98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1.07</w:t>
            </w:r>
          </w:p>
        </w:tc>
        <w:tc>
          <w:tcPr>
            <w:tcW w:w="1067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DA58AF2" w14:textId="7AEEE09F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1.16</w:t>
            </w:r>
          </w:p>
        </w:tc>
        <w:tc>
          <w:tcPr>
            <w:tcW w:w="1067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2D01E1D" w14:textId="6DFAF1AF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1.09</w:t>
            </w:r>
          </w:p>
        </w:tc>
      </w:tr>
      <w:tr w:rsidR="008C385A" w:rsidRPr="007561B3" w14:paraId="611A883D" w14:textId="77777777" w:rsidTr="003A2563">
        <w:trPr>
          <w:trHeight w:val="227"/>
          <w:jc w:val="center"/>
        </w:trPr>
        <w:tc>
          <w:tcPr>
            <w:tcW w:w="2490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56E75F80" w14:textId="77777777" w:rsidR="008C385A" w:rsidRPr="007561B3" w:rsidRDefault="008C385A" w:rsidP="008C385A">
            <w:pPr>
              <w:autoSpaceDE w:val="0"/>
              <w:autoSpaceDN w:val="0"/>
              <w:adjustRightInd w:val="0"/>
              <w:ind w:left="113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 xml:space="preserve">Exportaciones </w:t>
            </w:r>
          </w:p>
        </w:tc>
        <w:tc>
          <w:tcPr>
            <w:tcW w:w="1064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5479755" w14:textId="369B4036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2.01</w:t>
            </w:r>
          </w:p>
        </w:tc>
        <w:tc>
          <w:tcPr>
            <w:tcW w:w="1067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6854596" w14:textId="4BFE432B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1.15</w:t>
            </w:r>
          </w:p>
        </w:tc>
        <w:tc>
          <w:tcPr>
            <w:tcW w:w="1067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1CB5DB0" w14:textId="2B68310B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1.97</w:t>
            </w:r>
          </w:p>
        </w:tc>
        <w:tc>
          <w:tcPr>
            <w:tcW w:w="106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51D60CBE" w14:textId="246F14A0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0.526</w:t>
            </w:r>
          </w:p>
        </w:tc>
        <w:tc>
          <w:tcPr>
            <w:tcW w:w="1067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BB3ACC4" w14:textId="759A8A86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-1.41</w:t>
            </w:r>
          </w:p>
        </w:tc>
        <w:tc>
          <w:tcPr>
            <w:tcW w:w="1067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6F7A994" w14:textId="4197628A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1067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6316C74" w14:textId="53AE2776" w:rsidR="008C385A" w:rsidRPr="007561B3" w:rsidRDefault="008C385A" w:rsidP="008C385A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561B3">
              <w:rPr>
                <w:b/>
                <w:bCs/>
                <w:color w:val="000000"/>
                <w:sz w:val="14"/>
                <w:szCs w:val="14"/>
              </w:rPr>
              <w:t>-1.12</w:t>
            </w:r>
          </w:p>
        </w:tc>
      </w:tr>
    </w:tbl>
    <w:p w14:paraId="37DC80EB" w14:textId="62B08209" w:rsidR="0017655C" w:rsidRPr="007561B3" w:rsidRDefault="0017655C" w:rsidP="00187925">
      <w:pPr>
        <w:widowControl w:val="0"/>
        <w:autoSpaceDE w:val="0"/>
        <w:autoSpaceDN w:val="0"/>
        <w:adjustRightInd w:val="0"/>
        <w:ind w:left="709" w:right="51" w:hanging="596"/>
        <w:rPr>
          <w:sz w:val="16"/>
          <w:szCs w:val="14"/>
          <w:vertAlign w:val="superscript"/>
        </w:rPr>
      </w:pPr>
      <w:r w:rsidRPr="007561B3">
        <w:rPr>
          <w:sz w:val="16"/>
          <w:szCs w:val="14"/>
          <w:vertAlign w:val="superscript"/>
        </w:rPr>
        <w:t>1/</w:t>
      </w:r>
      <w:r w:rsidRPr="007561B3">
        <w:rPr>
          <w:sz w:val="16"/>
          <w:szCs w:val="14"/>
          <w:vertAlign w:val="superscript"/>
        </w:rPr>
        <w:tab/>
      </w:r>
      <w:r w:rsidR="00B074FC" w:rsidRPr="007561B3">
        <w:rPr>
          <w:sz w:val="14"/>
          <w:szCs w:val="14"/>
        </w:rPr>
        <w:t>La incidencia se refiere a la contribución</w:t>
      </w:r>
      <w:r w:rsidR="008E6B4F" w:rsidRPr="007561B3">
        <w:rPr>
          <w:sz w:val="14"/>
          <w:szCs w:val="14"/>
        </w:rPr>
        <w:t>,</w:t>
      </w:r>
      <w:r w:rsidR="00B074FC" w:rsidRPr="007561B3">
        <w:rPr>
          <w:sz w:val="14"/>
          <w:szCs w:val="14"/>
        </w:rPr>
        <w:t xml:space="preserve"> en puntos porcentuales</w:t>
      </w:r>
      <w:r w:rsidR="008E6B4F" w:rsidRPr="007561B3">
        <w:rPr>
          <w:sz w:val="14"/>
          <w:szCs w:val="14"/>
        </w:rPr>
        <w:t>,</w:t>
      </w:r>
      <w:r w:rsidR="00B074FC" w:rsidRPr="007561B3">
        <w:rPr>
          <w:sz w:val="14"/>
          <w:szCs w:val="14"/>
        </w:rPr>
        <w:t xml:space="preserve"> de cada componente del </w:t>
      </w:r>
      <w:proofErr w:type="spellStart"/>
      <w:r w:rsidR="006C0499" w:rsidRPr="007561B3">
        <w:rPr>
          <w:smallCaps/>
          <w:sz w:val="14"/>
          <w:szCs w:val="14"/>
        </w:rPr>
        <w:t>inpp</w:t>
      </w:r>
      <w:proofErr w:type="spellEnd"/>
      <w:r w:rsidR="00B074FC" w:rsidRPr="007561B3">
        <w:rPr>
          <w:sz w:val="14"/>
          <w:szCs w:val="14"/>
        </w:rPr>
        <w:t xml:space="preserve"> en la variación porcentual del índice general. </w:t>
      </w:r>
      <w:r w:rsidR="00533681" w:rsidRPr="007561B3">
        <w:rPr>
          <w:sz w:val="14"/>
          <w:szCs w:val="14"/>
        </w:rPr>
        <w:t>E</w:t>
      </w:r>
      <w:r w:rsidR="00B074FC" w:rsidRPr="007561B3">
        <w:rPr>
          <w:sz w:val="14"/>
          <w:szCs w:val="14"/>
        </w:rPr>
        <w:t xml:space="preserve">sta se calcula utilizando los ponderadores de cada subíndice, así como los precios relativos y sus respectivas variaciones. En ciertos casos, la suma de los componentes de algún grupo de subíndices puede </w:t>
      </w:r>
      <w:r w:rsidR="008D4141" w:rsidRPr="007561B3">
        <w:rPr>
          <w:sz w:val="14"/>
          <w:szCs w:val="14"/>
        </w:rPr>
        <w:t>presentar</w:t>
      </w:r>
      <w:r w:rsidR="00B074FC" w:rsidRPr="007561B3">
        <w:rPr>
          <w:sz w:val="14"/>
          <w:szCs w:val="14"/>
        </w:rPr>
        <w:t xml:space="preserve"> discrepancia</w:t>
      </w:r>
      <w:r w:rsidR="008D4141" w:rsidRPr="007561B3">
        <w:rPr>
          <w:sz w:val="14"/>
          <w:szCs w:val="14"/>
        </w:rPr>
        <w:t>s</w:t>
      </w:r>
      <w:r w:rsidR="00B074FC" w:rsidRPr="007561B3">
        <w:rPr>
          <w:sz w:val="14"/>
          <w:szCs w:val="14"/>
        </w:rPr>
        <w:t xml:space="preserve"> por efectos de</w:t>
      </w:r>
      <w:r w:rsidR="00034F9C" w:rsidRPr="007561B3">
        <w:rPr>
          <w:sz w:val="14"/>
          <w:szCs w:val="14"/>
        </w:rPr>
        <w:t>l</w:t>
      </w:r>
      <w:r w:rsidR="00B074FC" w:rsidRPr="007561B3">
        <w:rPr>
          <w:sz w:val="14"/>
          <w:szCs w:val="14"/>
        </w:rPr>
        <w:t xml:space="preserve"> redondeo</w:t>
      </w:r>
      <w:r w:rsidRPr="007561B3">
        <w:rPr>
          <w:sz w:val="14"/>
          <w:szCs w:val="14"/>
        </w:rPr>
        <w:t>.</w:t>
      </w:r>
    </w:p>
    <w:p w14:paraId="214A7C9B" w14:textId="77777777" w:rsidR="0054304E" w:rsidRPr="007561B3" w:rsidRDefault="00D36239" w:rsidP="00187925">
      <w:pPr>
        <w:widowControl w:val="0"/>
        <w:autoSpaceDE w:val="0"/>
        <w:autoSpaceDN w:val="0"/>
        <w:adjustRightInd w:val="0"/>
        <w:ind w:left="709" w:right="51" w:hanging="596"/>
        <w:rPr>
          <w:sz w:val="14"/>
          <w:szCs w:val="16"/>
        </w:rPr>
      </w:pPr>
      <w:r w:rsidRPr="007561B3">
        <w:rPr>
          <w:sz w:val="16"/>
          <w:szCs w:val="18"/>
          <w:vertAlign w:val="superscript"/>
        </w:rPr>
        <w:t>2</w:t>
      </w:r>
      <w:r w:rsidR="0054304E" w:rsidRPr="007561B3">
        <w:rPr>
          <w:sz w:val="16"/>
          <w:szCs w:val="18"/>
          <w:vertAlign w:val="superscript"/>
        </w:rPr>
        <w:t>/</w:t>
      </w:r>
      <w:r w:rsidR="0054304E" w:rsidRPr="007561B3">
        <w:rPr>
          <w:sz w:val="14"/>
          <w:szCs w:val="16"/>
        </w:rPr>
        <w:tab/>
        <w:t>Consumo privado más consumo de gobierno individualizado</w:t>
      </w:r>
      <w:r w:rsidR="0072686D" w:rsidRPr="007561B3">
        <w:rPr>
          <w:sz w:val="14"/>
          <w:szCs w:val="16"/>
        </w:rPr>
        <w:t>,</w:t>
      </w:r>
      <w:r w:rsidR="006165EF" w:rsidRPr="007561B3">
        <w:rPr>
          <w:sz w:val="14"/>
          <w:szCs w:val="16"/>
        </w:rPr>
        <w:t xml:space="preserve"> </w:t>
      </w:r>
      <w:r w:rsidR="00D41319" w:rsidRPr="007561B3">
        <w:rPr>
          <w:sz w:val="14"/>
          <w:szCs w:val="16"/>
        </w:rPr>
        <w:t>es decir,</w:t>
      </w:r>
      <w:r w:rsidR="00D402A8" w:rsidRPr="007561B3">
        <w:rPr>
          <w:sz w:val="14"/>
          <w:szCs w:val="16"/>
        </w:rPr>
        <w:t xml:space="preserve"> gastos incurridos en beneficio de los hogares</w:t>
      </w:r>
      <w:r w:rsidR="008A743A" w:rsidRPr="007561B3">
        <w:rPr>
          <w:sz w:val="14"/>
          <w:szCs w:val="16"/>
        </w:rPr>
        <w:t xml:space="preserve"> (atención de la salud, vivienda, educación, etc</w:t>
      </w:r>
      <w:r w:rsidR="00E64B5E" w:rsidRPr="007561B3">
        <w:rPr>
          <w:sz w:val="14"/>
          <w:szCs w:val="16"/>
        </w:rPr>
        <w:t>.</w:t>
      </w:r>
      <w:r w:rsidR="008A743A" w:rsidRPr="007561B3">
        <w:rPr>
          <w:sz w:val="14"/>
          <w:szCs w:val="16"/>
        </w:rPr>
        <w:t>)</w:t>
      </w:r>
      <w:r w:rsidR="00D402A8" w:rsidRPr="007561B3">
        <w:rPr>
          <w:sz w:val="14"/>
          <w:szCs w:val="16"/>
        </w:rPr>
        <w:t>.</w:t>
      </w:r>
    </w:p>
    <w:p w14:paraId="419B19DB" w14:textId="3FB2EC80" w:rsidR="004445E5" w:rsidRPr="007561B3" w:rsidRDefault="00905C36" w:rsidP="008D1E4D">
      <w:pPr>
        <w:widowControl w:val="0"/>
        <w:autoSpaceDE w:val="0"/>
        <w:autoSpaceDN w:val="0"/>
        <w:adjustRightInd w:val="0"/>
        <w:ind w:left="283" w:right="51" w:hanging="170"/>
        <w:rPr>
          <w:snapToGrid w:val="0"/>
          <w:sz w:val="14"/>
          <w:szCs w:val="14"/>
          <w:u w:val="single"/>
        </w:rPr>
      </w:pPr>
      <w:r w:rsidRPr="007561B3">
        <w:rPr>
          <w:color w:val="000000"/>
          <w:sz w:val="14"/>
          <w:szCs w:val="14"/>
        </w:rPr>
        <w:t>Fuente:</w:t>
      </w:r>
      <w:r w:rsidR="00187925">
        <w:rPr>
          <w:color w:val="000000"/>
          <w:sz w:val="14"/>
          <w:szCs w:val="14"/>
        </w:rPr>
        <w:t xml:space="preserve">  </w:t>
      </w:r>
      <w:r w:rsidRPr="007561B3">
        <w:rPr>
          <w:color w:val="000000"/>
          <w:sz w:val="14"/>
          <w:szCs w:val="14"/>
        </w:rPr>
        <w:t xml:space="preserve"> </w:t>
      </w:r>
      <w:proofErr w:type="spellStart"/>
      <w:r w:rsidR="006C0499" w:rsidRPr="007561B3">
        <w:rPr>
          <w:smallCaps/>
          <w:color w:val="000000"/>
          <w:sz w:val="14"/>
          <w:szCs w:val="14"/>
        </w:rPr>
        <w:t>inegi</w:t>
      </w:r>
      <w:proofErr w:type="spellEnd"/>
      <w:r w:rsidRPr="007561B3">
        <w:rPr>
          <w:bCs/>
          <w:snapToGrid w:val="0"/>
          <w:sz w:val="14"/>
          <w:szCs w:val="14"/>
        </w:rPr>
        <w:t>.</w:t>
      </w:r>
      <w:r w:rsidRPr="007561B3">
        <w:rPr>
          <w:b/>
          <w:snapToGrid w:val="0"/>
          <w:sz w:val="14"/>
          <w:szCs w:val="14"/>
        </w:rPr>
        <w:t xml:space="preserve"> </w:t>
      </w:r>
      <w:r w:rsidRPr="007561B3">
        <w:rPr>
          <w:bCs/>
          <w:snapToGrid w:val="0"/>
          <w:sz w:val="14"/>
          <w:szCs w:val="14"/>
        </w:rPr>
        <w:t>Índice Nacional de Precios Productor (</w:t>
      </w:r>
      <w:proofErr w:type="spellStart"/>
      <w:r w:rsidR="006C0499" w:rsidRPr="007561B3">
        <w:rPr>
          <w:bCs/>
          <w:smallCaps/>
          <w:snapToGrid w:val="0"/>
          <w:sz w:val="14"/>
          <w:szCs w:val="14"/>
        </w:rPr>
        <w:t>inpp</w:t>
      </w:r>
      <w:proofErr w:type="spellEnd"/>
      <w:r w:rsidRPr="007561B3">
        <w:rPr>
          <w:bCs/>
          <w:snapToGrid w:val="0"/>
          <w:sz w:val="14"/>
          <w:szCs w:val="14"/>
        </w:rPr>
        <w:t>), 2023</w:t>
      </w:r>
      <w:r w:rsidR="00FC0304" w:rsidRPr="007561B3">
        <w:rPr>
          <w:color w:val="000000"/>
          <w:sz w:val="14"/>
          <w:szCs w:val="14"/>
        </w:rPr>
        <w:t>.</w:t>
      </w:r>
      <w:r w:rsidR="004445E5" w:rsidRPr="007561B3">
        <w:rPr>
          <w:snapToGrid w:val="0"/>
          <w:sz w:val="14"/>
          <w:szCs w:val="14"/>
          <w:u w:val="single"/>
        </w:rPr>
        <w:t xml:space="preserve"> </w:t>
      </w:r>
    </w:p>
    <w:p w14:paraId="23C8E5B0" w14:textId="77777777" w:rsidR="00187925" w:rsidRDefault="00187925" w:rsidP="00195053">
      <w:pPr>
        <w:autoSpaceDE w:val="0"/>
        <w:autoSpaceDN w:val="0"/>
        <w:adjustRightInd w:val="0"/>
        <w:spacing w:before="360"/>
        <w:rPr>
          <w:b/>
          <w:smallCaps/>
          <w:snapToGrid w:val="0"/>
        </w:rPr>
      </w:pPr>
    </w:p>
    <w:p w14:paraId="6A9C19E4" w14:textId="0D6CD8E1" w:rsidR="004D5C5B" w:rsidRPr="007561B3" w:rsidRDefault="004D5C5B" w:rsidP="00195053">
      <w:pPr>
        <w:autoSpaceDE w:val="0"/>
        <w:autoSpaceDN w:val="0"/>
        <w:adjustRightInd w:val="0"/>
        <w:spacing w:before="360"/>
        <w:rPr>
          <w:b/>
          <w:smallCaps/>
          <w:snapToGrid w:val="0"/>
        </w:rPr>
      </w:pPr>
      <w:r w:rsidRPr="007561B3">
        <w:rPr>
          <w:b/>
          <w:smallCaps/>
          <w:snapToGrid w:val="0"/>
        </w:rPr>
        <w:t xml:space="preserve">Genéricos que más influyeron en el resultado del </w:t>
      </w:r>
      <w:r w:rsidR="00EA1643" w:rsidRPr="007561B3">
        <w:rPr>
          <w:b/>
          <w:smallCaps/>
          <w:snapToGrid w:val="0"/>
        </w:rPr>
        <w:t>Índice Nacional de Precios Productor</w:t>
      </w:r>
      <w:r w:rsidRPr="007561B3">
        <w:rPr>
          <w:b/>
          <w:smallCaps/>
          <w:snapToGrid w:val="0"/>
        </w:rPr>
        <w:t xml:space="preserve"> </w:t>
      </w:r>
      <w:r w:rsidR="00EA1643" w:rsidRPr="007561B3">
        <w:rPr>
          <w:b/>
          <w:smallCaps/>
          <w:snapToGrid w:val="0"/>
        </w:rPr>
        <w:t>t</w:t>
      </w:r>
      <w:r w:rsidRPr="007561B3">
        <w:rPr>
          <w:b/>
          <w:smallCaps/>
          <w:snapToGrid w:val="0"/>
        </w:rPr>
        <w:t>otal</w:t>
      </w:r>
    </w:p>
    <w:p w14:paraId="019A3B64" w14:textId="2987F037" w:rsidR="00C92C86" w:rsidRPr="007561B3" w:rsidRDefault="008C385A" w:rsidP="00195053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7561B3">
        <w:rPr>
          <w:snapToGrid w:val="0"/>
        </w:rPr>
        <w:t xml:space="preserve">El siguiente cuadro presenta las variaciones en los precios de productos genéricos que, por su contribución, destacaron en el comportamiento mensual del </w:t>
      </w:r>
      <w:proofErr w:type="spellStart"/>
      <w:r w:rsidRPr="007561B3">
        <w:rPr>
          <w:smallCaps/>
          <w:snapToGrid w:val="0"/>
        </w:rPr>
        <w:t>inpp</w:t>
      </w:r>
      <w:proofErr w:type="spellEnd"/>
      <w:r w:rsidRPr="007561B3">
        <w:rPr>
          <w:snapToGrid w:val="0"/>
        </w:rPr>
        <w:t xml:space="preserve"> total, </w:t>
      </w:r>
      <w:r w:rsidR="00A459C7">
        <w:rPr>
          <w:snapToGrid w:val="0"/>
        </w:rPr>
        <w:t>incluido</w:t>
      </w:r>
      <w:r w:rsidR="00A459C7" w:rsidRPr="007561B3">
        <w:rPr>
          <w:snapToGrid w:val="0"/>
        </w:rPr>
        <w:t xml:space="preserve"> </w:t>
      </w:r>
      <w:r w:rsidRPr="007561B3">
        <w:rPr>
          <w:snapToGrid w:val="0"/>
        </w:rPr>
        <w:t>petróleo, durante el décimo mes de 2023</w:t>
      </w:r>
      <w:r w:rsidR="0068287A" w:rsidRPr="007561B3">
        <w:rPr>
          <w:snapToGrid w:val="0"/>
        </w:rPr>
        <w:t>.</w:t>
      </w:r>
      <w:r w:rsidR="00915F1F" w:rsidRPr="007561B3">
        <w:rPr>
          <w:snapToGrid w:val="0"/>
        </w:rPr>
        <w:t xml:space="preserve"> </w:t>
      </w:r>
    </w:p>
    <w:p w14:paraId="0E6B3474" w14:textId="77777777" w:rsidR="00187925" w:rsidRDefault="00187925">
      <w:pPr>
        <w:jc w:val="lef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br w:type="page"/>
      </w:r>
    </w:p>
    <w:p w14:paraId="2FE27285" w14:textId="77777777" w:rsidR="00187925" w:rsidRDefault="00187925" w:rsidP="00052307">
      <w:pPr>
        <w:spacing w:before="220"/>
        <w:jc w:val="center"/>
        <w:rPr>
          <w:snapToGrid w:val="0"/>
          <w:sz w:val="20"/>
          <w:szCs w:val="20"/>
        </w:rPr>
      </w:pPr>
    </w:p>
    <w:p w14:paraId="14E50C99" w14:textId="41C7FA84" w:rsidR="004D5C5B" w:rsidRPr="007561B3" w:rsidRDefault="004D5C5B" w:rsidP="00052307">
      <w:pPr>
        <w:spacing w:before="220"/>
        <w:jc w:val="center"/>
        <w:rPr>
          <w:snapToGrid w:val="0"/>
        </w:rPr>
      </w:pPr>
      <w:r w:rsidRPr="007561B3">
        <w:rPr>
          <w:snapToGrid w:val="0"/>
          <w:sz w:val="20"/>
          <w:szCs w:val="20"/>
        </w:rPr>
        <w:t xml:space="preserve">Cuadro </w:t>
      </w:r>
      <w:r w:rsidR="00187925">
        <w:rPr>
          <w:snapToGrid w:val="0"/>
          <w:sz w:val="20"/>
          <w:szCs w:val="20"/>
        </w:rPr>
        <w:t>6</w:t>
      </w:r>
    </w:p>
    <w:p w14:paraId="3A535AB0" w14:textId="01EB13A1" w:rsidR="004D5C5B" w:rsidRPr="007561B3" w:rsidRDefault="00640978" w:rsidP="009E703E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7561B3">
        <w:rPr>
          <w:b/>
          <w:smallCaps/>
          <w:snapToGrid w:val="0"/>
          <w:sz w:val="22"/>
          <w:szCs w:val="22"/>
        </w:rPr>
        <w:t xml:space="preserve">Variación e incidencia del </w:t>
      </w:r>
      <w:r w:rsidR="00E21E68" w:rsidRPr="007561B3">
        <w:rPr>
          <w:b/>
          <w:smallCaps/>
          <w:snapToGrid w:val="0"/>
          <w:sz w:val="22"/>
          <w:szCs w:val="22"/>
        </w:rPr>
        <w:t>Índice Nacional de Precios Productor</w:t>
      </w:r>
      <w:r w:rsidR="009E703E" w:rsidRPr="007561B3">
        <w:rPr>
          <w:b/>
          <w:smallCaps/>
          <w:snapToGrid w:val="0"/>
          <w:sz w:val="22"/>
          <w:szCs w:val="22"/>
        </w:rPr>
        <w:t xml:space="preserve">, </w:t>
      </w:r>
      <w:r w:rsidR="000F703E">
        <w:rPr>
          <w:b/>
          <w:smallCaps/>
          <w:snapToGrid w:val="0"/>
          <w:sz w:val="22"/>
          <w:szCs w:val="22"/>
        </w:rPr>
        <w:t>incluido</w:t>
      </w:r>
      <w:r w:rsidR="00E21E68" w:rsidRPr="007561B3">
        <w:rPr>
          <w:b/>
          <w:smallCaps/>
          <w:snapToGrid w:val="0"/>
          <w:sz w:val="22"/>
          <w:szCs w:val="22"/>
        </w:rPr>
        <w:t xml:space="preserve"> petróleo </w:t>
      </w:r>
    </w:p>
    <w:p w14:paraId="51A186E1" w14:textId="77777777" w:rsidR="008D4141" w:rsidRPr="007561B3" w:rsidRDefault="00E21E68" w:rsidP="004D5C5B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/>
          <w:spacing w:val="1"/>
          <w:sz w:val="20"/>
          <w:szCs w:val="20"/>
        </w:rPr>
      </w:pPr>
      <w:r w:rsidRPr="007561B3">
        <w:rPr>
          <w:b/>
          <w:bCs/>
          <w:smallCaps/>
          <w:color w:val="000000"/>
          <w:sz w:val="20"/>
          <w:szCs w:val="20"/>
        </w:rPr>
        <w:t>genéricos con mayor incidencia</w:t>
      </w:r>
      <w:r w:rsidR="008D4141" w:rsidRPr="007561B3">
        <w:rPr>
          <w:b/>
          <w:bCs/>
          <w:smallCaps/>
          <w:color w:val="000000"/>
          <w:spacing w:val="1"/>
          <w:sz w:val="20"/>
          <w:szCs w:val="20"/>
        </w:rPr>
        <w:t xml:space="preserve"> </w:t>
      </w:r>
    </w:p>
    <w:p w14:paraId="2ACAE080" w14:textId="55C06432" w:rsidR="004D5C5B" w:rsidRPr="007561B3" w:rsidRDefault="00346D73" w:rsidP="004D5C5B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7561B3">
        <w:rPr>
          <w:color w:val="000000"/>
          <w:spacing w:val="1"/>
          <w:sz w:val="20"/>
          <w:szCs w:val="20"/>
        </w:rPr>
        <w:t>octubre de 2023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7"/>
        <w:gridCol w:w="982"/>
        <w:gridCol w:w="981"/>
        <w:gridCol w:w="2996"/>
        <w:gridCol w:w="999"/>
        <w:gridCol w:w="999"/>
      </w:tblGrid>
      <w:tr w:rsidR="002557F7" w:rsidRPr="007561B3" w14:paraId="4C99811F" w14:textId="77777777" w:rsidTr="00E5618C">
        <w:trPr>
          <w:trHeight w:val="454"/>
          <w:jc w:val="center"/>
        </w:trPr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767A696" w14:textId="77777777" w:rsidR="002557F7" w:rsidRPr="007561B3" w:rsidRDefault="002557F7" w:rsidP="00E5618C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</w:rPr>
            </w:pPr>
            <w:bookmarkStart w:id="10" w:name="_Hlk2757980"/>
            <w:r w:rsidRPr="007561B3">
              <w:rPr>
                <w:bCs/>
                <w:color w:val="000000"/>
                <w:sz w:val="16"/>
                <w:szCs w:val="16"/>
              </w:rPr>
              <w:t>Productos con precios al alza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E6E9DFD" w14:textId="0709911B" w:rsidR="002557F7" w:rsidRPr="007561B3" w:rsidRDefault="002557F7" w:rsidP="00E5618C">
            <w:pPr>
              <w:autoSpaceDE w:val="0"/>
              <w:autoSpaceDN w:val="0"/>
              <w:adjustRightInd w:val="0"/>
              <w:ind w:left="-88" w:right="-72"/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Variación</w:t>
            </w:r>
            <w:r w:rsidR="00891F54" w:rsidRPr="007561B3">
              <w:rPr>
                <w:bCs/>
                <w:color w:val="000000"/>
                <w:sz w:val="16"/>
                <w:szCs w:val="16"/>
              </w:rPr>
              <w:t> %</w:t>
            </w:r>
            <w:r w:rsidRPr="007561B3">
              <w:rPr>
                <w:bCs/>
                <w:color w:val="000000"/>
                <w:sz w:val="16"/>
                <w:szCs w:val="16"/>
              </w:rPr>
              <w:t xml:space="preserve"> mensual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14AFB00E" w14:textId="77777777" w:rsidR="002557F7" w:rsidRPr="007561B3" w:rsidRDefault="002557F7" w:rsidP="00E5618C">
            <w:pPr>
              <w:autoSpaceDE w:val="0"/>
              <w:autoSpaceDN w:val="0"/>
              <w:adjustRightInd w:val="0"/>
              <w:ind w:left="-57" w:right="-72"/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Incidencia</w:t>
            </w:r>
            <w:r w:rsidRPr="007561B3">
              <w:rPr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7561B3">
              <w:rPr>
                <w:bCs/>
                <w:color w:val="000000"/>
                <w:position w:val="-1"/>
                <w:sz w:val="16"/>
                <w:szCs w:val="16"/>
                <w:vertAlign w:val="superscript"/>
              </w:rPr>
              <w:t>1/</w:t>
            </w:r>
            <w:r w:rsidRPr="007561B3">
              <w:rPr>
                <w:bCs/>
                <w:color w:val="000000"/>
                <w:sz w:val="16"/>
                <w:szCs w:val="16"/>
              </w:rPr>
              <w:t xml:space="preserve"> mensual</w:t>
            </w:r>
          </w:p>
        </w:tc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301C4F4" w14:textId="77777777" w:rsidR="002557F7" w:rsidRPr="007561B3" w:rsidRDefault="002557F7" w:rsidP="00E5618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Productos con precios a la baja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vAlign w:val="center"/>
          </w:tcPr>
          <w:p w14:paraId="65EDA37F" w14:textId="347E2284" w:rsidR="002557F7" w:rsidRPr="007561B3" w:rsidRDefault="002557F7" w:rsidP="00E5618C">
            <w:pPr>
              <w:autoSpaceDE w:val="0"/>
              <w:autoSpaceDN w:val="0"/>
              <w:adjustRightInd w:val="0"/>
              <w:ind w:left="-55" w:right="-63"/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Variación</w:t>
            </w:r>
            <w:r w:rsidR="00891F54" w:rsidRPr="007561B3">
              <w:rPr>
                <w:bCs/>
                <w:color w:val="000000"/>
                <w:sz w:val="16"/>
                <w:szCs w:val="16"/>
              </w:rPr>
              <w:t> %</w:t>
            </w:r>
            <w:r w:rsidRPr="007561B3">
              <w:rPr>
                <w:bCs/>
                <w:color w:val="000000"/>
                <w:sz w:val="16"/>
                <w:szCs w:val="16"/>
              </w:rPr>
              <w:t xml:space="preserve"> mensual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68A63DB0" w14:textId="77777777" w:rsidR="002557F7" w:rsidRPr="007561B3" w:rsidRDefault="002557F7" w:rsidP="00E5618C">
            <w:pPr>
              <w:autoSpaceDE w:val="0"/>
              <w:autoSpaceDN w:val="0"/>
              <w:adjustRightInd w:val="0"/>
              <w:ind w:left="-55" w:right="-63"/>
              <w:jc w:val="center"/>
              <w:rPr>
                <w:bCs/>
                <w:color w:val="000000"/>
                <w:sz w:val="16"/>
                <w:szCs w:val="16"/>
              </w:rPr>
            </w:pPr>
            <w:r w:rsidRPr="007561B3">
              <w:rPr>
                <w:bCs/>
                <w:color w:val="000000"/>
                <w:sz w:val="16"/>
                <w:szCs w:val="16"/>
              </w:rPr>
              <w:t>Incidencia</w:t>
            </w:r>
            <w:r w:rsidRPr="007561B3">
              <w:rPr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7561B3">
              <w:rPr>
                <w:bCs/>
                <w:color w:val="000000"/>
                <w:position w:val="-1"/>
                <w:sz w:val="16"/>
                <w:szCs w:val="16"/>
                <w:vertAlign w:val="superscript"/>
              </w:rPr>
              <w:t>1/</w:t>
            </w:r>
            <w:r w:rsidRPr="007561B3">
              <w:rPr>
                <w:bCs/>
                <w:color w:val="000000"/>
                <w:sz w:val="16"/>
                <w:szCs w:val="16"/>
              </w:rPr>
              <w:t xml:space="preserve"> mensual</w:t>
            </w:r>
          </w:p>
        </w:tc>
      </w:tr>
      <w:tr w:rsidR="008C385A" w:rsidRPr="007561B3" w14:paraId="7A4D4295" w14:textId="77777777" w:rsidTr="00E5618C">
        <w:trPr>
          <w:trHeight w:val="198"/>
          <w:jc w:val="center"/>
        </w:trPr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7FB6997" w14:textId="54A2B23B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Petróleo crudo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30E8BD7" w14:textId="0891A7AD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3.90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017839C" w14:textId="0F2C9078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0.107</w:t>
            </w:r>
          </w:p>
        </w:tc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120BC9B" w14:textId="2B90341D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Aves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FF06459" w14:textId="6FCE674F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-26.04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4465C3B" w14:textId="2604D8D3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-0.251</w:t>
            </w:r>
          </w:p>
        </w:tc>
      </w:tr>
      <w:tr w:rsidR="008C385A" w:rsidRPr="007561B3" w14:paraId="004DE50F" w14:textId="77777777" w:rsidTr="00E5618C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10057B4" w14:textId="425F9404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Transporte aéreo de pasajeros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5313464" w14:textId="053142E2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13.20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BB382F2" w14:textId="125F70EF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0.081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0B3601A" w14:textId="2526F3F2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Carne de ave en canal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C7AAC66" w14:textId="7C1AE205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-14.05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9348E8F" w14:textId="61D51FBC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-0.211</w:t>
            </w:r>
          </w:p>
        </w:tc>
      </w:tr>
      <w:tr w:rsidR="008C385A" w:rsidRPr="007561B3" w14:paraId="1056C15E" w14:textId="77777777" w:rsidTr="00E5618C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7593383" w14:textId="23F1C87F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Otros petrolíferos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419F1DF" w14:textId="214C5D46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11.91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260D29A" w14:textId="4CE404BF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0.073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77C2893" w14:textId="5E1A7B94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Gasolina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12D65F3" w14:textId="5E560BEB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-7.68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5ACC6E3" w14:textId="6E313195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-0.041</w:t>
            </w:r>
          </w:p>
        </w:tc>
      </w:tr>
      <w:tr w:rsidR="008C385A" w:rsidRPr="007561B3" w14:paraId="5F913AA9" w14:textId="77777777" w:rsidTr="00E5618C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B44FC5A" w14:textId="522066DD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Electricidad residencial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091F44B" w14:textId="4FA03C4B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19.23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A55B4CB" w14:textId="1E5DB1C0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0.047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5059788" w14:textId="1A41EAE8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Jitomate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292F056" w14:textId="672FBB25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-13.30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A1AC200" w14:textId="72B49B2B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-0.022</w:t>
            </w:r>
          </w:p>
        </w:tc>
      </w:tr>
      <w:tr w:rsidR="008C385A" w:rsidRPr="007561B3" w14:paraId="5FAE309F" w14:textId="77777777" w:rsidTr="00E5618C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1845C3B" w14:textId="334271C7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Computadoras y accesorios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DD3206C" w14:textId="69D1E91C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4.42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78F92AC" w14:textId="5FF7F972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0.043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9FA963D" w14:textId="5FF16861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Naranja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D62A67C" w14:textId="2DF5AE2F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-15.25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C99B47E" w14:textId="2E5577EA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-0.010</w:t>
            </w:r>
          </w:p>
        </w:tc>
      </w:tr>
      <w:tr w:rsidR="008C385A" w:rsidRPr="007561B3" w14:paraId="591CC83B" w14:textId="77777777" w:rsidTr="00E5618C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88C1E80" w14:textId="1E86EEC8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Azúcar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27AED10" w14:textId="78E92B31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10.83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0E57379" w14:textId="1BA99D46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0.038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D8BE21E" w14:textId="5966BD1A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Aguacate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A6E67CC" w14:textId="7A502EF9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-5.56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890E137" w14:textId="0100B587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-0.009</w:t>
            </w:r>
          </w:p>
        </w:tc>
      </w:tr>
      <w:tr w:rsidR="008C385A" w:rsidRPr="007561B3" w14:paraId="57B0F5A0" w14:textId="77777777" w:rsidTr="00E5618C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03A63B0" w14:textId="78E81E68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Hoteles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B0F3221" w14:textId="5E9D00F3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3.92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102D1A3" w14:textId="7EDDFE5C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0.034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4313627" w14:textId="33C850EC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Edificación residencial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EF74B22" w14:textId="5CADD097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-0.13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00A56CD" w14:textId="033064CE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-0.008</w:t>
            </w:r>
          </w:p>
        </w:tc>
      </w:tr>
      <w:tr w:rsidR="008C385A" w:rsidRPr="007561B3" w14:paraId="6FDCCB7A" w14:textId="77777777" w:rsidTr="00E5618C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CBDE68" w14:textId="6F9109FE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Otras partes y refacciones automotrices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A20091C" w14:textId="712A022D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4.73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A0A3C07" w14:textId="384E49B2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0.029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5ADD5F8" w14:textId="4557C02C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Edificación de inmuebles comerciales y de servicios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8F68DFF" w14:textId="4ECABBC6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-0.24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5B22FB4" w14:textId="55DBCF27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-0.005</w:t>
            </w:r>
          </w:p>
        </w:tc>
      </w:tr>
      <w:tr w:rsidR="008C385A" w:rsidRPr="007561B3" w14:paraId="5E2B2258" w14:textId="77777777" w:rsidTr="00E5618C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770547" w14:textId="4DA831F3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Oro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512354E" w14:textId="020529A8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4.33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693DA3D" w14:textId="1604406B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0.026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1281506" w14:textId="5CBA2C38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Perfiles de hierro y acero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9BB703B" w14:textId="321A3B89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-4.12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6CD5463" w14:textId="20ACE68F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-0.005</w:t>
            </w:r>
          </w:p>
        </w:tc>
      </w:tr>
      <w:tr w:rsidR="008C385A" w:rsidRPr="007561B3" w14:paraId="7F7FEC6C" w14:textId="77777777" w:rsidTr="00E5618C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7D175A4" w14:textId="65958DAA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Bujías y otras partes para sistema eléctrico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99AEF17" w14:textId="0B110B47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3.43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7D32F61" w14:textId="64C2BDD0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0.023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BCD76FB" w14:textId="6F5975DF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Láminas de acero galvanizado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45A2D62" w14:textId="1EA077B3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-3.86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28BFD43" w14:textId="2734B5A0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-0.005</w:t>
            </w:r>
          </w:p>
        </w:tc>
      </w:tr>
      <w:tr w:rsidR="008C385A" w:rsidRPr="007561B3" w14:paraId="41AC2405" w14:textId="77777777" w:rsidTr="00E5618C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99DD974" w14:textId="6B9770F0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Camiones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7AC1878" w14:textId="141E876E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3.06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033B1EC" w14:textId="5B8227C2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0.021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A3D8E03" w14:textId="2B10031A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Construcción de naves y plantas industriales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67DFCC7" w14:textId="4B929D37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-0.54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A574984" w14:textId="4D3FA7B0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-0.005</w:t>
            </w:r>
          </w:p>
        </w:tc>
      </w:tr>
      <w:tr w:rsidR="008C385A" w:rsidRPr="007561B3" w14:paraId="6F90531B" w14:textId="77777777" w:rsidTr="00E5618C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3EEB035" w14:textId="3EBB690B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Autotransporte de carga general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6EA934E" w14:textId="085A956C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0.47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021FE11" w14:textId="57CDF4BD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0.020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31C86D9" w14:textId="0C24F570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Alambres y cables con aislamiento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86E2746" w14:textId="73D9D19F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-2.18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4E56640" w14:textId="23EBB8CC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-0.004</w:t>
            </w:r>
          </w:p>
        </w:tc>
      </w:tr>
      <w:tr w:rsidR="008C385A" w:rsidRPr="007561B3" w14:paraId="7DF77469" w14:textId="77777777" w:rsidTr="00E5618C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ED112F2" w14:textId="1F0E14D4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Asientos para vehículos automotrices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5D08331" w14:textId="4BD406CD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3.82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B45A7E6" w14:textId="7D2392DF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0.019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A46E5C4" w14:textId="3501FACE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 xml:space="preserve">Molibdeno y </w:t>
            </w:r>
            <w:r w:rsidR="00C729DF" w:rsidRPr="007561B3">
              <w:rPr>
                <w:color w:val="000000"/>
                <w:sz w:val="14"/>
                <w:szCs w:val="14"/>
              </w:rPr>
              <w:t xml:space="preserve">otros </w:t>
            </w:r>
            <w:r w:rsidRPr="007561B3">
              <w:rPr>
                <w:color w:val="000000"/>
                <w:sz w:val="14"/>
                <w:szCs w:val="14"/>
              </w:rPr>
              <w:t>minerales metálicos no ferrosos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CE9676B" w14:textId="0001039C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-9.35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1315E32" w14:textId="4C8A609C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-0.004</w:t>
            </w:r>
          </w:p>
        </w:tc>
      </w:tr>
      <w:tr w:rsidR="008C385A" w:rsidRPr="007561B3" w14:paraId="4195E238" w14:textId="77777777" w:rsidTr="00E5618C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939CE97" w14:textId="4D3E76C0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Huevo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9B746CD" w14:textId="7297CBF3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10.37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7241F68" w14:textId="4EBFBDBE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0.019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FD5B910" w14:textId="3B988C2C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Cebolla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529844F" w14:textId="32FEDF7F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-9.44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4C5C14F" w14:textId="45EA6822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-0.004</w:t>
            </w:r>
          </w:p>
        </w:tc>
      </w:tr>
      <w:tr w:rsidR="008C385A" w:rsidRPr="007561B3" w14:paraId="4193CE3F" w14:textId="77777777" w:rsidTr="00E5618C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E14551D" w14:textId="038AA6C7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Equipos de comunicación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D11FA0C" w14:textId="473264D5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4.88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5B28743" w14:textId="58AD2BFA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0.018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CFBD434" w14:textId="245ED23C" w:rsidR="008C385A" w:rsidRPr="007561B3" w:rsidRDefault="008C385A" w:rsidP="008C385A">
            <w:pPr>
              <w:ind w:left="57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Alambres y cables sin recubrir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408B7F0" w14:textId="6CE002DE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-2.26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D856581" w14:textId="333950E9" w:rsidR="008C385A" w:rsidRPr="007561B3" w:rsidRDefault="008C385A" w:rsidP="008C385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561B3">
              <w:rPr>
                <w:color w:val="000000"/>
                <w:sz w:val="14"/>
                <w:szCs w:val="14"/>
              </w:rPr>
              <w:t>-0.004</w:t>
            </w:r>
          </w:p>
        </w:tc>
      </w:tr>
    </w:tbl>
    <w:bookmarkEnd w:id="10"/>
    <w:p w14:paraId="54F02A41" w14:textId="191C2A0E" w:rsidR="0054304E" w:rsidRPr="007561B3" w:rsidRDefault="0054304E" w:rsidP="00187925">
      <w:pPr>
        <w:autoSpaceDE w:val="0"/>
        <w:autoSpaceDN w:val="0"/>
        <w:adjustRightInd w:val="0"/>
        <w:ind w:left="567" w:hanging="497"/>
        <w:rPr>
          <w:sz w:val="14"/>
          <w:szCs w:val="16"/>
        </w:rPr>
      </w:pPr>
      <w:r w:rsidRPr="007561B3">
        <w:rPr>
          <w:sz w:val="16"/>
          <w:szCs w:val="18"/>
          <w:vertAlign w:val="superscript"/>
        </w:rPr>
        <w:t>1/</w:t>
      </w:r>
      <w:r w:rsidRPr="007561B3">
        <w:rPr>
          <w:sz w:val="16"/>
          <w:szCs w:val="18"/>
          <w:vertAlign w:val="superscript"/>
        </w:rPr>
        <w:tab/>
      </w:r>
      <w:r w:rsidRPr="007561B3">
        <w:rPr>
          <w:sz w:val="14"/>
          <w:szCs w:val="16"/>
        </w:rPr>
        <w:t>La incidencia se refiere a la contribución</w:t>
      </w:r>
      <w:r w:rsidR="008E6B4F" w:rsidRPr="007561B3">
        <w:rPr>
          <w:sz w:val="14"/>
          <w:szCs w:val="16"/>
        </w:rPr>
        <w:t>,</w:t>
      </w:r>
      <w:r w:rsidRPr="007561B3">
        <w:rPr>
          <w:sz w:val="14"/>
          <w:szCs w:val="16"/>
        </w:rPr>
        <w:t xml:space="preserve"> en puntos porcentuales</w:t>
      </w:r>
      <w:r w:rsidR="008E6B4F" w:rsidRPr="007561B3">
        <w:rPr>
          <w:sz w:val="14"/>
          <w:szCs w:val="16"/>
        </w:rPr>
        <w:t>,</w:t>
      </w:r>
      <w:r w:rsidRPr="007561B3">
        <w:rPr>
          <w:sz w:val="14"/>
          <w:szCs w:val="16"/>
        </w:rPr>
        <w:t xml:space="preserve"> de cada componente del </w:t>
      </w:r>
      <w:proofErr w:type="spellStart"/>
      <w:r w:rsidR="00052307" w:rsidRPr="007561B3">
        <w:rPr>
          <w:smallCaps/>
          <w:sz w:val="14"/>
          <w:szCs w:val="16"/>
        </w:rPr>
        <w:t>inpp</w:t>
      </w:r>
      <w:proofErr w:type="spellEnd"/>
      <w:r w:rsidRPr="007561B3">
        <w:rPr>
          <w:sz w:val="14"/>
          <w:szCs w:val="16"/>
        </w:rPr>
        <w:t xml:space="preserve"> en la variación porcentual del índice general. </w:t>
      </w:r>
      <w:r w:rsidR="00533681" w:rsidRPr="007561B3">
        <w:rPr>
          <w:sz w:val="14"/>
          <w:szCs w:val="16"/>
        </w:rPr>
        <w:t>E</w:t>
      </w:r>
      <w:r w:rsidRPr="007561B3">
        <w:rPr>
          <w:sz w:val="14"/>
          <w:szCs w:val="16"/>
        </w:rPr>
        <w:t>sta se</w:t>
      </w:r>
      <w:r w:rsidR="008D1E4D" w:rsidRPr="007561B3">
        <w:rPr>
          <w:sz w:val="14"/>
          <w:szCs w:val="16"/>
        </w:rPr>
        <w:t xml:space="preserve"> </w:t>
      </w:r>
      <w:r w:rsidRPr="007561B3">
        <w:rPr>
          <w:sz w:val="14"/>
          <w:szCs w:val="16"/>
        </w:rPr>
        <w:t>calcula utilizando los ponderadores de cada subíndice, así como los precios relativos y sus respectivas variaciones.</w:t>
      </w:r>
    </w:p>
    <w:p w14:paraId="1C91F0D6" w14:textId="3080AC00" w:rsidR="004445E5" w:rsidRPr="007561B3" w:rsidRDefault="00905C36" w:rsidP="004445E5">
      <w:pPr>
        <w:autoSpaceDE w:val="0"/>
        <w:autoSpaceDN w:val="0"/>
        <w:adjustRightInd w:val="0"/>
        <w:ind w:left="210" w:hanging="140"/>
        <w:jc w:val="left"/>
        <w:rPr>
          <w:snapToGrid w:val="0"/>
          <w:sz w:val="14"/>
          <w:szCs w:val="14"/>
          <w:u w:val="single"/>
        </w:rPr>
      </w:pPr>
      <w:r w:rsidRPr="007561B3">
        <w:rPr>
          <w:color w:val="000000"/>
          <w:sz w:val="14"/>
          <w:szCs w:val="14"/>
        </w:rPr>
        <w:t xml:space="preserve">Fuente: </w:t>
      </w:r>
      <w:proofErr w:type="spellStart"/>
      <w:r w:rsidR="006C0499" w:rsidRPr="007561B3">
        <w:rPr>
          <w:smallCaps/>
          <w:color w:val="000000"/>
          <w:sz w:val="14"/>
          <w:szCs w:val="14"/>
        </w:rPr>
        <w:t>inegi</w:t>
      </w:r>
      <w:proofErr w:type="spellEnd"/>
      <w:r w:rsidRPr="007561B3">
        <w:rPr>
          <w:bCs/>
          <w:snapToGrid w:val="0"/>
          <w:sz w:val="14"/>
          <w:szCs w:val="14"/>
        </w:rPr>
        <w:t>.</w:t>
      </w:r>
      <w:r w:rsidRPr="007561B3">
        <w:rPr>
          <w:b/>
          <w:snapToGrid w:val="0"/>
          <w:sz w:val="14"/>
          <w:szCs w:val="14"/>
        </w:rPr>
        <w:t xml:space="preserve"> </w:t>
      </w:r>
      <w:r w:rsidRPr="007561B3">
        <w:rPr>
          <w:bCs/>
          <w:snapToGrid w:val="0"/>
          <w:sz w:val="14"/>
          <w:szCs w:val="14"/>
        </w:rPr>
        <w:t>Índice Nacional de Precios Productor (</w:t>
      </w:r>
      <w:proofErr w:type="spellStart"/>
      <w:r w:rsidR="006C0499" w:rsidRPr="007561B3">
        <w:rPr>
          <w:bCs/>
          <w:smallCaps/>
          <w:snapToGrid w:val="0"/>
          <w:sz w:val="14"/>
          <w:szCs w:val="14"/>
        </w:rPr>
        <w:t>inpp</w:t>
      </w:r>
      <w:proofErr w:type="spellEnd"/>
      <w:r w:rsidRPr="007561B3">
        <w:rPr>
          <w:bCs/>
          <w:snapToGrid w:val="0"/>
          <w:sz w:val="14"/>
          <w:szCs w:val="14"/>
        </w:rPr>
        <w:t>), 2023</w:t>
      </w:r>
      <w:r w:rsidR="008C320C" w:rsidRPr="007561B3">
        <w:rPr>
          <w:color w:val="000000"/>
          <w:sz w:val="14"/>
          <w:szCs w:val="14"/>
        </w:rPr>
        <w:t>.</w:t>
      </w:r>
      <w:r w:rsidR="004445E5" w:rsidRPr="007561B3">
        <w:rPr>
          <w:snapToGrid w:val="0"/>
          <w:sz w:val="14"/>
          <w:szCs w:val="14"/>
          <w:u w:val="single"/>
        </w:rPr>
        <w:t xml:space="preserve"> </w:t>
      </w:r>
    </w:p>
    <w:p w14:paraId="25D0F778" w14:textId="10C28468" w:rsidR="00DE0B7A" w:rsidRPr="007561B3" w:rsidRDefault="00B074FC" w:rsidP="000068D8">
      <w:pPr>
        <w:spacing w:before="360"/>
        <w:rPr>
          <w:b/>
          <w:smallCaps/>
          <w:snapToGrid w:val="0"/>
        </w:rPr>
      </w:pPr>
      <w:r w:rsidRPr="007561B3">
        <w:rPr>
          <w:b/>
          <w:smallCaps/>
          <w:snapToGrid w:val="0"/>
        </w:rPr>
        <w:t xml:space="preserve">Nota metodológica </w:t>
      </w:r>
    </w:p>
    <w:p w14:paraId="5CB27322" w14:textId="11D558FC" w:rsidR="00B074FC" w:rsidRPr="007561B3" w:rsidRDefault="00B26CBE" w:rsidP="00B074FC">
      <w:pPr>
        <w:spacing w:before="240"/>
        <w:rPr>
          <w:snapToGrid w:val="0"/>
        </w:rPr>
      </w:pPr>
      <w:r w:rsidRPr="007561B3">
        <w:rPr>
          <w:snapToGrid w:val="0"/>
        </w:rPr>
        <w:t xml:space="preserve">El </w:t>
      </w:r>
      <w:proofErr w:type="spellStart"/>
      <w:r w:rsidR="00052307" w:rsidRPr="007561B3">
        <w:rPr>
          <w:smallCaps/>
          <w:snapToGrid w:val="0"/>
        </w:rPr>
        <w:t>inpp</w:t>
      </w:r>
      <w:proofErr w:type="spellEnd"/>
      <w:r w:rsidR="00052307" w:rsidRPr="007561B3">
        <w:rPr>
          <w:snapToGrid w:val="0"/>
        </w:rPr>
        <w:t xml:space="preserve"> </w:t>
      </w:r>
      <w:r w:rsidRPr="007561B3">
        <w:rPr>
          <w:snapToGrid w:val="0"/>
        </w:rPr>
        <w:t xml:space="preserve">es un indicador económico que mide la evolución de los precios de una canasta fija de bienes y servicios representativa de la producción nacional. </w:t>
      </w:r>
      <w:r w:rsidR="00A459C7">
        <w:rPr>
          <w:snapToGrid w:val="0"/>
        </w:rPr>
        <w:t xml:space="preserve">El </w:t>
      </w:r>
      <w:proofErr w:type="spellStart"/>
      <w:r w:rsidR="00A459C7" w:rsidRPr="007561B3">
        <w:rPr>
          <w:smallCaps/>
          <w:snapToGrid w:val="0"/>
        </w:rPr>
        <w:t>inpp</w:t>
      </w:r>
      <w:proofErr w:type="spellEnd"/>
      <w:r w:rsidR="00A459C7">
        <w:rPr>
          <w:snapToGrid w:val="0"/>
        </w:rPr>
        <w:t xml:space="preserve"> i</w:t>
      </w:r>
      <w:r w:rsidRPr="007561B3">
        <w:rPr>
          <w:snapToGrid w:val="0"/>
        </w:rPr>
        <w:t xml:space="preserve">ntegra un conjunto de </w:t>
      </w:r>
      <w:r w:rsidR="00764008" w:rsidRPr="007561B3">
        <w:rPr>
          <w:snapToGrid w:val="0"/>
        </w:rPr>
        <w:t>í</w:t>
      </w:r>
      <w:r w:rsidRPr="007561B3">
        <w:rPr>
          <w:snapToGrid w:val="0"/>
        </w:rPr>
        <w:t xml:space="preserve">ndices de precios que permiten medir la variación de </w:t>
      </w:r>
      <w:r w:rsidR="00311D07" w:rsidRPr="007561B3">
        <w:rPr>
          <w:snapToGrid w:val="0"/>
        </w:rPr>
        <w:t xml:space="preserve">estos en </w:t>
      </w:r>
      <w:r w:rsidRPr="007561B3">
        <w:rPr>
          <w:snapToGrid w:val="0"/>
        </w:rPr>
        <w:t xml:space="preserve">bienes y servicios por origen sectorial de la producción y de acuerdo </w:t>
      </w:r>
      <w:r w:rsidR="00004F2B" w:rsidRPr="007561B3">
        <w:rPr>
          <w:snapToGrid w:val="0"/>
        </w:rPr>
        <w:t>con</w:t>
      </w:r>
      <w:r w:rsidR="00764008" w:rsidRPr="007561B3">
        <w:rPr>
          <w:snapToGrid w:val="0"/>
        </w:rPr>
        <w:t xml:space="preserve"> </w:t>
      </w:r>
      <w:r w:rsidRPr="007561B3">
        <w:rPr>
          <w:snapToGrid w:val="0"/>
        </w:rPr>
        <w:t>su destino, en cuanto a bienes intermedios y finales</w:t>
      </w:r>
      <w:r w:rsidR="002F553E" w:rsidRPr="007561B3">
        <w:rPr>
          <w:snapToGrid w:val="0"/>
        </w:rPr>
        <w:t>. E</w:t>
      </w:r>
      <w:r w:rsidRPr="007561B3">
        <w:rPr>
          <w:snapToGrid w:val="0"/>
        </w:rPr>
        <w:t xml:space="preserve">stos últimos para el consumo, la formación de capital </w:t>
      </w:r>
      <w:r w:rsidRPr="007561B3">
        <w:t>y</w:t>
      </w:r>
      <w:r w:rsidRPr="007561B3">
        <w:rPr>
          <w:snapToGrid w:val="0"/>
        </w:rPr>
        <w:t xml:space="preserve"> las exportaciones</w:t>
      </w:r>
      <w:r w:rsidR="00B074FC" w:rsidRPr="007561B3">
        <w:rPr>
          <w:snapToGrid w:val="0"/>
        </w:rPr>
        <w:t>.</w:t>
      </w:r>
    </w:p>
    <w:p w14:paraId="44F7D690" w14:textId="586CA0BE" w:rsidR="00B074FC" w:rsidRPr="007561B3" w:rsidRDefault="00B074FC" w:rsidP="000068D8">
      <w:pPr>
        <w:widowControl w:val="0"/>
        <w:spacing w:before="240"/>
        <w:rPr>
          <w:snapToGrid w:val="0"/>
          <w:lang w:val="es-MX"/>
        </w:rPr>
      </w:pPr>
      <w:r w:rsidRPr="007561B3">
        <w:rPr>
          <w:snapToGrid w:val="0"/>
          <w:lang w:val="es-MX"/>
        </w:rPr>
        <w:t xml:space="preserve">Las características metodológicas del </w:t>
      </w:r>
      <w:proofErr w:type="spellStart"/>
      <w:r w:rsidR="006C0499" w:rsidRPr="007561B3">
        <w:rPr>
          <w:smallCaps/>
          <w:snapToGrid w:val="0"/>
        </w:rPr>
        <w:t>inpp</w:t>
      </w:r>
      <w:proofErr w:type="spellEnd"/>
      <w:r w:rsidRPr="007561B3">
        <w:rPr>
          <w:snapToGrid w:val="0"/>
          <w:lang w:val="es-MX"/>
        </w:rPr>
        <w:t xml:space="preserve"> son:</w:t>
      </w:r>
    </w:p>
    <w:p w14:paraId="72EF2BC6" w14:textId="77777777" w:rsidR="00B074FC" w:rsidRPr="007561B3" w:rsidRDefault="00B074FC" w:rsidP="00640978">
      <w:pPr>
        <w:pStyle w:val="Prrafodelista"/>
        <w:widowControl w:val="0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  <w:lang w:val="es-MX"/>
        </w:rPr>
      </w:pPr>
      <w:r w:rsidRPr="007561B3">
        <w:rPr>
          <w:i/>
          <w:snapToGrid w:val="0"/>
          <w:lang w:val="es-MX"/>
        </w:rPr>
        <w:t xml:space="preserve">Periodo </w:t>
      </w:r>
      <w:r w:rsidR="00604C43" w:rsidRPr="007561B3">
        <w:rPr>
          <w:i/>
          <w:snapToGrid w:val="0"/>
          <w:lang w:val="es-MX"/>
        </w:rPr>
        <w:t>base</w:t>
      </w:r>
    </w:p>
    <w:p w14:paraId="1744B89D" w14:textId="1D054018" w:rsidR="00525192" w:rsidRPr="007561B3" w:rsidRDefault="00737A95" w:rsidP="00484493">
      <w:pPr>
        <w:widowControl w:val="0"/>
        <w:spacing w:before="60"/>
        <w:ind w:left="357"/>
        <w:rPr>
          <w:i/>
          <w:snapToGrid w:val="0"/>
          <w:lang w:val="es-MX"/>
        </w:rPr>
      </w:pPr>
      <w:r w:rsidRPr="007561B3">
        <w:rPr>
          <w:snapToGrid w:val="0"/>
          <w:lang w:val="es-MX"/>
        </w:rPr>
        <w:t xml:space="preserve">El periodo de referencia del </w:t>
      </w:r>
      <w:proofErr w:type="spellStart"/>
      <w:r w:rsidR="006C0499" w:rsidRPr="007561B3">
        <w:rPr>
          <w:smallCaps/>
          <w:snapToGrid w:val="0"/>
          <w:lang w:val="es-MX"/>
        </w:rPr>
        <w:t>inpp</w:t>
      </w:r>
      <w:proofErr w:type="spellEnd"/>
      <w:r w:rsidRPr="007561B3">
        <w:rPr>
          <w:snapToGrid w:val="0"/>
          <w:lang w:val="es-MX"/>
        </w:rPr>
        <w:t xml:space="preserve"> es el mes de julio de 2019=100. A partir de este se</w:t>
      </w:r>
      <w:r w:rsidR="00E44C01" w:rsidRPr="007561B3">
        <w:rPr>
          <w:snapToGrid w:val="0"/>
          <w:lang w:val="es-MX"/>
        </w:rPr>
        <w:t xml:space="preserve"> comparan </w:t>
      </w:r>
      <w:r w:rsidRPr="007561B3">
        <w:rPr>
          <w:snapToGrid w:val="0"/>
          <w:lang w:val="es-MX"/>
        </w:rPr>
        <w:t>los precios, por lo que se l</w:t>
      </w:r>
      <w:r w:rsidR="003458EC" w:rsidRPr="007561B3">
        <w:rPr>
          <w:snapToGrid w:val="0"/>
          <w:lang w:val="es-MX"/>
        </w:rPr>
        <w:t>o</w:t>
      </w:r>
      <w:r w:rsidRPr="007561B3">
        <w:rPr>
          <w:snapToGrid w:val="0"/>
          <w:lang w:val="es-MX"/>
        </w:rPr>
        <w:t xml:space="preserve"> denomina </w:t>
      </w:r>
      <w:r w:rsidRPr="007561B3">
        <w:rPr>
          <w:i/>
          <w:iCs/>
          <w:snapToGrid w:val="0"/>
          <w:lang w:val="es-MX"/>
        </w:rPr>
        <w:t>periodo base de comparación de los precios</w:t>
      </w:r>
      <w:r w:rsidR="00B074FC" w:rsidRPr="007561B3">
        <w:rPr>
          <w:snapToGrid w:val="0"/>
        </w:rPr>
        <w:t>.</w:t>
      </w:r>
    </w:p>
    <w:p w14:paraId="33EFF11E" w14:textId="53950745" w:rsidR="00B074FC" w:rsidRPr="007561B3" w:rsidRDefault="00B074FC" w:rsidP="00A94AA0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  <w:lang w:val="es-MX"/>
        </w:rPr>
      </w:pPr>
      <w:r w:rsidRPr="007561B3">
        <w:rPr>
          <w:i/>
          <w:snapToGrid w:val="0"/>
          <w:lang w:val="es-MX"/>
        </w:rPr>
        <w:t>Canasta de bienes y servicios</w:t>
      </w:r>
    </w:p>
    <w:p w14:paraId="1701DF39" w14:textId="7A147628" w:rsidR="00B074FC" w:rsidRPr="007561B3" w:rsidRDefault="003101BD" w:rsidP="006260AF">
      <w:pPr>
        <w:spacing w:before="60"/>
        <w:ind w:left="357"/>
        <w:rPr>
          <w:snapToGrid w:val="0"/>
          <w:lang w:val="es-MX"/>
        </w:rPr>
      </w:pPr>
      <w:r w:rsidRPr="007561B3">
        <w:rPr>
          <w:snapToGrid w:val="0"/>
          <w:lang w:val="es-MX"/>
        </w:rPr>
        <w:t>La canasta de bienes y servicios se integra por 560 bienes y servicios genéricos</w:t>
      </w:r>
      <w:r w:rsidR="00D73123" w:rsidRPr="007561B3">
        <w:rPr>
          <w:snapToGrid w:val="0"/>
          <w:lang w:val="es-MX"/>
        </w:rPr>
        <w:t>,</w:t>
      </w:r>
      <w:r w:rsidRPr="007561B3">
        <w:rPr>
          <w:snapToGrid w:val="0"/>
          <w:vertAlign w:val="superscript"/>
          <w:lang w:val="es-MX"/>
        </w:rPr>
        <w:footnoteReference w:id="2"/>
      </w:r>
      <w:r w:rsidRPr="007561B3">
        <w:rPr>
          <w:snapToGrid w:val="0"/>
          <w:lang w:val="es-MX"/>
        </w:rPr>
        <w:t xml:space="preserve"> de los cuales 68 corresponden al sector </w:t>
      </w:r>
      <w:r w:rsidR="00E44C01" w:rsidRPr="007561B3">
        <w:rPr>
          <w:snapToGrid w:val="0"/>
          <w:lang w:val="es-MX"/>
        </w:rPr>
        <w:t>p</w:t>
      </w:r>
      <w:r w:rsidRPr="007561B3">
        <w:rPr>
          <w:snapToGrid w:val="0"/>
          <w:lang w:val="es-MX"/>
        </w:rPr>
        <w:t xml:space="preserve">rimario, 382 al </w:t>
      </w:r>
      <w:r w:rsidR="00E44C01" w:rsidRPr="007561B3">
        <w:rPr>
          <w:snapToGrid w:val="0"/>
          <w:lang w:val="es-MX"/>
        </w:rPr>
        <w:t>s</w:t>
      </w:r>
      <w:r w:rsidRPr="007561B3">
        <w:rPr>
          <w:snapToGrid w:val="0"/>
          <w:lang w:val="es-MX"/>
        </w:rPr>
        <w:t xml:space="preserve">ecundario y 110 al </w:t>
      </w:r>
      <w:r w:rsidR="00E44C01" w:rsidRPr="007561B3">
        <w:rPr>
          <w:snapToGrid w:val="0"/>
          <w:lang w:val="es-MX"/>
        </w:rPr>
        <w:t>t</w:t>
      </w:r>
      <w:r w:rsidRPr="007561B3">
        <w:rPr>
          <w:snapToGrid w:val="0"/>
          <w:lang w:val="es-MX"/>
        </w:rPr>
        <w:t xml:space="preserve">erciario. Su contenido se define con base en las participaciones de los bienes y servicios en los valores de la producción nacional de los sectores económicos considerados por el índice. Para que </w:t>
      </w:r>
      <w:r w:rsidRPr="007561B3">
        <w:rPr>
          <w:snapToGrid w:val="0"/>
          <w:lang w:val="es-MX"/>
        </w:rPr>
        <w:lastRenderedPageBreak/>
        <w:t>un producto se integre en la canasta</w:t>
      </w:r>
      <w:r w:rsidR="002C00AE" w:rsidRPr="007561B3">
        <w:rPr>
          <w:snapToGrid w:val="0"/>
          <w:lang w:val="es-MX"/>
        </w:rPr>
        <w:t>,</w:t>
      </w:r>
      <w:r w:rsidRPr="007561B3">
        <w:rPr>
          <w:snapToGrid w:val="0"/>
          <w:lang w:val="es-MX"/>
        </w:rPr>
        <w:t xml:space="preserve"> su participación debe ser igual o mayor a 0.005</w:t>
      </w:r>
      <w:r w:rsidR="00D73123" w:rsidRPr="007561B3">
        <w:rPr>
          <w:snapToGrid w:val="0"/>
          <w:lang w:val="es-MX"/>
        </w:rPr>
        <w:t xml:space="preserve"> por ciento</w:t>
      </w:r>
      <w:r w:rsidRPr="007561B3">
        <w:rPr>
          <w:snapToGrid w:val="0"/>
          <w:lang w:val="es-MX"/>
        </w:rPr>
        <w:t>.</w:t>
      </w:r>
    </w:p>
    <w:p w14:paraId="3DDD4095" w14:textId="77777777" w:rsidR="00B074FC" w:rsidRPr="007561B3" w:rsidRDefault="00B074FC" w:rsidP="00A94AA0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  <w:lang w:val="es-MX"/>
        </w:rPr>
      </w:pPr>
      <w:r w:rsidRPr="007561B3">
        <w:rPr>
          <w:i/>
          <w:snapToGrid w:val="0"/>
          <w:lang w:val="es-MX"/>
        </w:rPr>
        <w:t>Estructura de ponderación</w:t>
      </w:r>
    </w:p>
    <w:p w14:paraId="6C037AC7" w14:textId="2B4A5113" w:rsidR="008B1D81" w:rsidRPr="007561B3" w:rsidRDefault="00737A95" w:rsidP="006260AF">
      <w:pPr>
        <w:spacing w:before="60"/>
        <w:ind w:left="357"/>
        <w:rPr>
          <w:snapToGrid w:val="0"/>
          <w:lang w:val="es-ES"/>
        </w:rPr>
      </w:pPr>
      <w:r w:rsidRPr="007561B3">
        <w:rPr>
          <w:snapToGrid w:val="0"/>
          <w:lang w:val="es-MX"/>
        </w:rPr>
        <w:t xml:space="preserve">La estructura de ponderación del </w:t>
      </w:r>
      <w:proofErr w:type="spellStart"/>
      <w:r w:rsidR="006C0499" w:rsidRPr="007561B3">
        <w:rPr>
          <w:smallCaps/>
          <w:snapToGrid w:val="0"/>
          <w:lang w:val="es-MX"/>
        </w:rPr>
        <w:t>inpp</w:t>
      </w:r>
      <w:proofErr w:type="spellEnd"/>
      <w:r w:rsidRPr="007561B3">
        <w:rPr>
          <w:snapToGrid w:val="0"/>
          <w:lang w:val="es-MX"/>
        </w:rPr>
        <w:t xml:space="preserve"> con base en julio de 2019 se determinó a partir de los valores de producción de los Cuadros de Oferta y Utilización 2017 y la Matriz de Insumo</w:t>
      </w:r>
      <w:r w:rsidR="008C40D1" w:rsidRPr="007561B3">
        <w:rPr>
          <w:snapToGrid w:val="0"/>
          <w:lang w:val="es-MX"/>
        </w:rPr>
        <w:noBreakHyphen/>
      </w:r>
      <w:r w:rsidRPr="007561B3">
        <w:rPr>
          <w:snapToGrid w:val="0"/>
          <w:lang w:val="es-MX"/>
        </w:rPr>
        <w:t>Producto de 2013 del Sistema de Cuentas Nacionales de México</w:t>
      </w:r>
      <w:r w:rsidR="002F04AD" w:rsidRPr="007561B3">
        <w:rPr>
          <w:snapToGrid w:val="0"/>
          <w:lang w:val="es-MX"/>
        </w:rPr>
        <w:t>. También se incluyó</w:t>
      </w:r>
      <w:r w:rsidRPr="007561B3">
        <w:rPr>
          <w:snapToGrid w:val="0"/>
          <w:lang w:val="es-MX"/>
        </w:rPr>
        <w:t xml:space="preserve"> información de los Censos Económicos 2014, registros administrativos proporcionados por Petróleos Mexicanos</w:t>
      </w:r>
      <w:r w:rsidR="00BF2EC8" w:rsidRPr="007561B3">
        <w:rPr>
          <w:snapToGrid w:val="0"/>
          <w:lang w:val="es-MX"/>
        </w:rPr>
        <w:t xml:space="preserve"> (</w:t>
      </w:r>
      <w:proofErr w:type="spellStart"/>
      <w:r w:rsidR="006C0499" w:rsidRPr="007561B3">
        <w:rPr>
          <w:smallCaps/>
          <w:snapToGrid w:val="0"/>
          <w:lang w:val="es-MX"/>
        </w:rPr>
        <w:t>pemex</w:t>
      </w:r>
      <w:proofErr w:type="spellEnd"/>
      <w:r w:rsidR="00BF2EC8" w:rsidRPr="007561B3">
        <w:rPr>
          <w:snapToGrid w:val="0"/>
          <w:lang w:val="es-MX"/>
        </w:rPr>
        <w:t>)</w:t>
      </w:r>
      <w:r w:rsidRPr="007561B3">
        <w:rPr>
          <w:snapToGrid w:val="0"/>
          <w:lang w:val="es-MX"/>
        </w:rPr>
        <w:t xml:space="preserve">, el Sistema de Información Agropecuaria y Pesquera </w:t>
      </w:r>
      <w:r w:rsidR="6267C786" w:rsidRPr="007561B3">
        <w:rPr>
          <w:snapToGrid w:val="0"/>
          <w:lang w:val="es-MX"/>
        </w:rPr>
        <w:t>además de</w:t>
      </w:r>
      <w:r w:rsidRPr="007561B3">
        <w:rPr>
          <w:snapToGrid w:val="0"/>
          <w:lang w:val="es-MX"/>
        </w:rPr>
        <w:t xml:space="preserve"> la Encuesta Mensual de la Industria Manufacturera</w:t>
      </w:r>
      <w:r w:rsidR="00382A2C" w:rsidRPr="007561B3">
        <w:rPr>
          <w:snapToGrid w:val="0"/>
          <w:lang w:val="es-MX"/>
        </w:rPr>
        <w:t xml:space="preserve"> </w:t>
      </w:r>
      <w:r w:rsidRPr="007561B3">
        <w:rPr>
          <w:snapToGrid w:val="0"/>
          <w:lang w:val="es-MX"/>
        </w:rPr>
        <w:t>2017, entre otros</w:t>
      </w:r>
      <w:r w:rsidR="00B074FC" w:rsidRPr="007561B3">
        <w:rPr>
          <w:snapToGrid w:val="0"/>
          <w:lang w:val="es-ES"/>
        </w:rPr>
        <w:t xml:space="preserve">. </w:t>
      </w:r>
    </w:p>
    <w:p w14:paraId="5C8A1EA6" w14:textId="06D4FFCB" w:rsidR="00B074FC" w:rsidRPr="007561B3" w:rsidRDefault="00B074FC" w:rsidP="00A94AA0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7561B3">
        <w:rPr>
          <w:i/>
          <w:snapToGrid w:val="0"/>
        </w:rPr>
        <w:t xml:space="preserve">Cobertura Sectorial del </w:t>
      </w:r>
      <w:proofErr w:type="spellStart"/>
      <w:r w:rsidR="00A05450" w:rsidRPr="007561B3">
        <w:rPr>
          <w:i/>
          <w:smallCaps/>
          <w:snapToGrid w:val="0"/>
        </w:rPr>
        <w:t>inpp</w:t>
      </w:r>
      <w:proofErr w:type="spellEnd"/>
    </w:p>
    <w:p w14:paraId="39C6B7F9" w14:textId="35705C62" w:rsidR="00484493" w:rsidRPr="007561B3" w:rsidRDefault="00737A95" w:rsidP="006260AF">
      <w:pPr>
        <w:spacing w:before="60"/>
        <w:ind w:left="357"/>
        <w:rPr>
          <w:snapToGrid w:val="0"/>
        </w:rPr>
      </w:pPr>
      <w:r w:rsidRPr="007561B3">
        <w:rPr>
          <w:snapToGrid w:val="0"/>
        </w:rPr>
        <w:t xml:space="preserve">El </w:t>
      </w:r>
      <w:proofErr w:type="spellStart"/>
      <w:r w:rsidR="002A667F" w:rsidRPr="007561B3">
        <w:rPr>
          <w:smallCaps/>
          <w:snapToGrid w:val="0"/>
          <w:lang w:val="es-MX"/>
        </w:rPr>
        <w:t>inpp</w:t>
      </w:r>
      <w:proofErr w:type="spellEnd"/>
      <w:r w:rsidRPr="007561B3">
        <w:rPr>
          <w:snapToGrid w:val="0"/>
        </w:rPr>
        <w:t xml:space="preserve"> tiene cobertura para 15 sectores de actividad económica del </w:t>
      </w:r>
      <w:r w:rsidR="00EE3C1B" w:rsidRPr="007561B3">
        <w:rPr>
          <w:lang w:eastAsia="es-MX"/>
        </w:rPr>
        <w:t>«</w:t>
      </w:r>
      <w:r w:rsidR="00104C54" w:rsidRPr="007561B3">
        <w:rPr>
          <w:snapToGrid w:val="0"/>
        </w:rPr>
        <w:t>Sistema de Clasificación Industrial de América del Norte</w:t>
      </w:r>
      <w:r w:rsidR="00EE3C1B" w:rsidRPr="007561B3">
        <w:rPr>
          <w:lang w:eastAsia="es-MX"/>
        </w:rPr>
        <w:t>»</w:t>
      </w:r>
      <w:r w:rsidR="00104C54" w:rsidRPr="007561B3">
        <w:rPr>
          <w:snapToGrid w:val="0"/>
        </w:rPr>
        <w:t xml:space="preserve"> </w:t>
      </w:r>
      <w:r w:rsidRPr="007561B3">
        <w:rPr>
          <w:snapToGrid w:val="0"/>
        </w:rPr>
        <w:t>2013, 62 subsectores, 168 ramas, 268</w:t>
      </w:r>
      <w:r w:rsidR="00657579">
        <w:rPr>
          <w:snapToGrid w:val="0"/>
        </w:rPr>
        <w:t> </w:t>
      </w:r>
      <w:r w:rsidRPr="007561B3">
        <w:rPr>
          <w:snapToGrid w:val="0"/>
        </w:rPr>
        <w:t>subramas y 344 clases de actividad económica</w:t>
      </w:r>
      <w:r w:rsidR="00DA035D" w:rsidRPr="007561B3">
        <w:rPr>
          <w:snapToGrid w:val="0"/>
        </w:rPr>
        <w:t>. Esto</w:t>
      </w:r>
      <w:r w:rsidRPr="007561B3">
        <w:rPr>
          <w:snapToGrid w:val="0"/>
        </w:rPr>
        <w:t xml:space="preserve"> representa 79.2</w:t>
      </w:r>
      <w:r w:rsidR="00891F54" w:rsidRPr="007561B3">
        <w:rPr>
          <w:snapToGrid w:val="0"/>
        </w:rPr>
        <w:t> %</w:t>
      </w:r>
      <w:r w:rsidR="009E3630" w:rsidRPr="007561B3">
        <w:rPr>
          <w:snapToGrid w:val="0"/>
        </w:rPr>
        <w:t xml:space="preserve"> </w:t>
      </w:r>
      <w:r w:rsidRPr="007561B3">
        <w:rPr>
          <w:snapToGrid w:val="0"/>
        </w:rPr>
        <w:t>del valor de la producción nacional registrada en los Cuadros de Oferta y Utilización de 2017</w:t>
      </w:r>
      <w:r w:rsidR="00B074FC" w:rsidRPr="007561B3">
        <w:rPr>
          <w:snapToGrid w:val="0"/>
        </w:rPr>
        <w:t>.</w:t>
      </w:r>
    </w:p>
    <w:p w14:paraId="700564C2" w14:textId="77777777" w:rsidR="007F02E4" w:rsidRPr="007561B3" w:rsidRDefault="007F02E4" w:rsidP="00640978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7561B3">
        <w:rPr>
          <w:i/>
          <w:snapToGrid w:val="0"/>
        </w:rPr>
        <w:t>Diseño estadístico para la selección de unidades económicas a cotizar</w:t>
      </w:r>
    </w:p>
    <w:p w14:paraId="07162429" w14:textId="19F75659" w:rsidR="00F82B48" w:rsidRPr="007561B3" w:rsidRDefault="007F02E4" w:rsidP="00640978">
      <w:pPr>
        <w:spacing w:before="60"/>
        <w:ind w:left="357"/>
        <w:rPr>
          <w:snapToGrid w:val="0"/>
        </w:rPr>
      </w:pPr>
      <w:r w:rsidRPr="007561B3">
        <w:rPr>
          <w:snapToGrid w:val="0"/>
        </w:rPr>
        <w:t xml:space="preserve">De </w:t>
      </w:r>
      <w:r w:rsidRPr="007561B3">
        <w:rPr>
          <w:snapToGrid w:val="0"/>
          <w:lang w:val="es-MX"/>
        </w:rPr>
        <w:t>acuerdo</w:t>
      </w:r>
      <w:r w:rsidRPr="007561B3">
        <w:rPr>
          <w:snapToGrid w:val="0"/>
        </w:rPr>
        <w:t xml:space="preserve"> con las características y fuentes de información de donde se captan los precios de los 560 genéricos de la canasta, hay diferentes diseños muestrales para la selección de los establecimientos o unidades económicas a cotizar. En el caso de los 447 genéricos de </w:t>
      </w:r>
      <w:r w:rsidR="00737A95" w:rsidRPr="007561B3">
        <w:rPr>
          <w:snapToGrid w:val="0"/>
        </w:rPr>
        <w:t>cotización directa en campo, se sigue un muestreo probabilístico para seleccionar los establecimientos de 71 genéricos y un muestreo de cuota para la selección de las unidades económicas de los 376 genéricos restantes. Los precios de los genéricos referidos a pequeños productores (panaderías, tortillerías, salones de belleza, etc.) se captan por conducto de las fuentes de información del</w:t>
      </w:r>
      <w:r w:rsidR="00382A2C" w:rsidRPr="007561B3">
        <w:rPr>
          <w:snapToGrid w:val="0"/>
        </w:rPr>
        <w:t xml:space="preserve"> Índice Nacional de Precios al Consumidor</w:t>
      </w:r>
      <w:r w:rsidR="00D2167E" w:rsidRPr="007561B3">
        <w:rPr>
          <w:snapToGrid w:val="0"/>
        </w:rPr>
        <w:t>.</w:t>
      </w:r>
      <w:r w:rsidR="00737A95" w:rsidRPr="007561B3">
        <w:rPr>
          <w:snapToGrid w:val="0"/>
        </w:rPr>
        <w:t xml:space="preserve"> </w:t>
      </w:r>
      <w:r w:rsidR="00D2167E" w:rsidRPr="007561B3">
        <w:rPr>
          <w:snapToGrid w:val="0"/>
        </w:rPr>
        <w:t>L</w:t>
      </w:r>
      <w:r w:rsidR="00737A95" w:rsidRPr="007561B3">
        <w:rPr>
          <w:snapToGrid w:val="0"/>
        </w:rPr>
        <w:t>os demás genéricos</w:t>
      </w:r>
      <w:r w:rsidR="00D2167E" w:rsidRPr="007561B3">
        <w:rPr>
          <w:snapToGrid w:val="0"/>
        </w:rPr>
        <w:t xml:space="preserve"> lo hacen</w:t>
      </w:r>
      <w:r w:rsidR="00F444FE" w:rsidRPr="007561B3">
        <w:rPr>
          <w:snapToGrid w:val="0"/>
        </w:rPr>
        <w:t xml:space="preserve"> mediante </w:t>
      </w:r>
      <w:r w:rsidR="00737A95" w:rsidRPr="007561B3">
        <w:rPr>
          <w:snapToGrid w:val="0"/>
        </w:rPr>
        <w:t>registros administrativos del Sistema Nacional de Información e Integración de Mercados, la C</w:t>
      </w:r>
      <w:r w:rsidR="00BF2EC8" w:rsidRPr="007561B3">
        <w:rPr>
          <w:snapToGrid w:val="0"/>
        </w:rPr>
        <w:t xml:space="preserve">omisión </w:t>
      </w:r>
      <w:r w:rsidR="00737A95" w:rsidRPr="007561B3">
        <w:rPr>
          <w:snapToGrid w:val="0"/>
        </w:rPr>
        <w:t>F</w:t>
      </w:r>
      <w:r w:rsidR="00BF2EC8" w:rsidRPr="007561B3">
        <w:rPr>
          <w:snapToGrid w:val="0"/>
        </w:rPr>
        <w:t xml:space="preserve">ederal de </w:t>
      </w:r>
      <w:r w:rsidR="00737A95" w:rsidRPr="007561B3">
        <w:rPr>
          <w:snapToGrid w:val="0"/>
        </w:rPr>
        <w:t>E</w:t>
      </w:r>
      <w:r w:rsidR="00BF2EC8" w:rsidRPr="007561B3">
        <w:rPr>
          <w:snapToGrid w:val="0"/>
        </w:rPr>
        <w:t xml:space="preserve">lectricidad </w:t>
      </w:r>
      <w:r w:rsidR="00737A95" w:rsidRPr="007561B3">
        <w:rPr>
          <w:snapToGrid w:val="0"/>
        </w:rPr>
        <w:t xml:space="preserve">y </w:t>
      </w:r>
      <w:proofErr w:type="spellStart"/>
      <w:r w:rsidR="00A05450" w:rsidRPr="007561B3">
        <w:rPr>
          <w:smallCaps/>
          <w:snapToGrid w:val="0"/>
        </w:rPr>
        <w:t>pemex</w:t>
      </w:r>
      <w:proofErr w:type="spellEnd"/>
      <w:r w:rsidR="00737A95" w:rsidRPr="007561B3">
        <w:rPr>
          <w:snapToGrid w:val="0"/>
        </w:rPr>
        <w:t>, entre otros</w:t>
      </w:r>
      <w:r w:rsidR="00B074FC" w:rsidRPr="007561B3">
        <w:rPr>
          <w:snapToGrid w:val="0"/>
        </w:rPr>
        <w:t>.</w:t>
      </w:r>
    </w:p>
    <w:p w14:paraId="00D77740" w14:textId="379464B5" w:rsidR="00B074FC" w:rsidRPr="007561B3" w:rsidRDefault="00B074FC" w:rsidP="00195053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7561B3">
        <w:rPr>
          <w:i/>
          <w:snapToGrid w:val="0"/>
        </w:rPr>
        <w:t xml:space="preserve">Cálculo del </w:t>
      </w:r>
      <w:proofErr w:type="spellStart"/>
      <w:r w:rsidR="00A05450" w:rsidRPr="007561B3">
        <w:rPr>
          <w:i/>
          <w:smallCaps/>
          <w:snapToGrid w:val="0"/>
        </w:rPr>
        <w:t>inpp</w:t>
      </w:r>
      <w:proofErr w:type="spellEnd"/>
    </w:p>
    <w:p w14:paraId="65067F94" w14:textId="3DC7B1F7" w:rsidR="00B074FC" w:rsidRPr="007561B3" w:rsidRDefault="00737A95" w:rsidP="00195053">
      <w:pPr>
        <w:spacing w:before="60"/>
        <w:ind w:left="357"/>
        <w:rPr>
          <w:snapToGrid w:val="0"/>
        </w:rPr>
      </w:pPr>
      <w:r w:rsidRPr="007561B3">
        <w:rPr>
          <w:snapToGrid w:val="0"/>
        </w:rPr>
        <w:t xml:space="preserve">El </w:t>
      </w:r>
      <w:proofErr w:type="spellStart"/>
      <w:r w:rsidR="006C0499" w:rsidRPr="007561B3">
        <w:rPr>
          <w:smallCaps/>
          <w:snapToGrid w:val="0"/>
          <w:lang w:val="es-MX"/>
        </w:rPr>
        <w:t>inpp</w:t>
      </w:r>
      <w:proofErr w:type="spellEnd"/>
      <w:r w:rsidRPr="007561B3">
        <w:rPr>
          <w:snapToGrid w:val="0"/>
        </w:rPr>
        <w:t xml:space="preserve"> se construye en dos etapas</w:t>
      </w:r>
      <w:r w:rsidR="00DA035D" w:rsidRPr="007561B3">
        <w:rPr>
          <w:snapToGrid w:val="0"/>
        </w:rPr>
        <w:t>.</w:t>
      </w:r>
      <w:r w:rsidRPr="007561B3">
        <w:rPr>
          <w:snapToGrid w:val="0"/>
        </w:rPr>
        <w:t xml:space="preserve"> </w:t>
      </w:r>
      <w:r w:rsidR="00DA035D" w:rsidRPr="007561B3">
        <w:rPr>
          <w:snapToGrid w:val="0"/>
        </w:rPr>
        <w:t>L</w:t>
      </w:r>
      <w:r w:rsidRPr="007561B3">
        <w:rPr>
          <w:snapToGrid w:val="0"/>
        </w:rPr>
        <w:t>a primera considera el cálculo de los índices elementales o índices de genéricos</w:t>
      </w:r>
      <w:r w:rsidR="00323CA3" w:rsidRPr="007561B3">
        <w:rPr>
          <w:snapToGrid w:val="0"/>
        </w:rPr>
        <w:t>.</w:t>
      </w:r>
      <w:r w:rsidRPr="007561B3">
        <w:rPr>
          <w:snapToGrid w:val="0"/>
        </w:rPr>
        <w:t xml:space="preserve"> </w:t>
      </w:r>
      <w:r w:rsidR="00323CA3" w:rsidRPr="007561B3">
        <w:rPr>
          <w:snapToGrid w:val="0"/>
        </w:rPr>
        <w:t>Estos</w:t>
      </w:r>
      <w:r w:rsidRPr="007561B3">
        <w:rPr>
          <w:snapToGrid w:val="0"/>
        </w:rPr>
        <w:t xml:space="preserve"> constituyen los agregados de menor nivel para los </w:t>
      </w:r>
      <w:r w:rsidR="00954FC4" w:rsidRPr="007561B3">
        <w:rPr>
          <w:snapToGrid w:val="0"/>
        </w:rPr>
        <w:t xml:space="preserve">que </w:t>
      </w:r>
      <w:r w:rsidRPr="007561B3">
        <w:rPr>
          <w:snapToGrid w:val="0"/>
        </w:rPr>
        <w:t xml:space="preserve">se dispone de información de los valores de la producción y que </w:t>
      </w:r>
      <w:r w:rsidR="00954FC4" w:rsidRPr="007561B3">
        <w:rPr>
          <w:snapToGrid w:val="0"/>
        </w:rPr>
        <w:t xml:space="preserve">se </w:t>
      </w:r>
      <w:r w:rsidRPr="007561B3">
        <w:rPr>
          <w:snapToGrid w:val="0"/>
        </w:rPr>
        <w:t>comp</w:t>
      </w:r>
      <w:r w:rsidR="00954FC4" w:rsidRPr="007561B3">
        <w:rPr>
          <w:snapToGrid w:val="0"/>
        </w:rPr>
        <w:t>onen</w:t>
      </w:r>
      <w:r w:rsidRPr="007561B3">
        <w:rPr>
          <w:snapToGrid w:val="0"/>
        </w:rPr>
        <w:t xml:space="preserve"> por bienes y servicios relativamente homogéneos denominados </w:t>
      </w:r>
      <w:r w:rsidRPr="007561B3">
        <w:rPr>
          <w:i/>
          <w:iCs/>
          <w:snapToGrid w:val="0"/>
        </w:rPr>
        <w:t>productos específicos</w:t>
      </w:r>
      <w:r w:rsidRPr="007561B3">
        <w:rPr>
          <w:snapToGrid w:val="0"/>
        </w:rPr>
        <w:t>. En la segunda etapa, los índices elementales de los productos genéricos se promedian de forma ponderada</w:t>
      </w:r>
      <w:r w:rsidR="0099096F" w:rsidRPr="007561B3">
        <w:rPr>
          <w:snapToGrid w:val="0"/>
        </w:rPr>
        <w:t>,</w:t>
      </w:r>
      <w:r w:rsidRPr="007561B3">
        <w:rPr>
          <w:snapToGrid w:val="0"/>
        </w:rPr>
        <w:t xml:space="preserve"> mediante el Índice de Laspeyres, para construir los índices agregados de nivel superior</w:t>
      </w:r>
      <w:r w:rsidR="00B074FC" w:rsidRPr="007561B3">
        <w:rPr>
          <w:snapToGrid w:val="0"/>
        </w:rPr>
        <w:t xml:space="preserve">. </w:t>
      </w:r>
    </w:p>
    <w:p w14:paraId="45594CD9" w14:textId="77777777" w:rsidR="00DC58B9" w:rsidRPr="007561B3" w:rsidRDefault="00DC58B9" w:rsidP="00A94AA0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7561B3">
        <w:rPr>
          <w:i/>
          <w:snapToGrid w:val="0"/>
        </w:rPr>
        <w:t xml:space="preserve">Publicación de resultados </w:t>
      </w:r>
    </w:p>
    <w:p w14:paraId="0DE5FE59" w14:textId="699EB666" w:rsidR="00737A95" w:rsidRDefault="00737A95" w:rsidP="00737A95">
      <w:pPr>
        <w:spacing w:before="60"/>
        <w:ind w:left="357"/>
      </w:pPr>
      <w:r w:rsidRPr="007561B3">
        <w:t xml:space="preserve">El cálculo y divulgación del </w:t>
      </w:r>
      <w:proofErr w:type="spellStart"/>
      <w:r w:rsidR="00A05450" w:rsidRPr="007561B3">
        <w:rPr>
          <w:smallCaps/>
        </w:rPr>
        <w:t>inpp</w:t>
      </w:r>
      <w:proofErr w:type="spellEnd"/>
      <w:r w:rsidRPr="007561B3">
        <w:t xml:space="preserve"> es mensual</w:t>
      </w:r>
      <w:r w:rsidR="006E7C8E" w:rsidRPr="007561B3">
        <w:t>.</w:t>
      </w:r>
      <w:r w:rsidRPr="007561B3">
        <w:t xml:space="preserve"> </w:t>
      </w:r>
      <w:r w:rsidR="006E7C8E" w:rsidRPr="007561B3">
        <w:t>S</w:t>
      </w:r>
      <w:r w:rsidRPr="007561B3">
        <w:t xml:space="preserve">e publica los días 10 de cada mes en el </w:t>
      </w:r>
      <w:r w:rsidRPr="007561B3">
        <w:rPr>
          <w:i/>
          <w:iCs/>
        </w:rPr>
        <w:t>Diario Oficial de la Federación</w:t>
      </w:r>
      <w:r w:rsidR="0007428D" w:rsidRPr="007561B3">
        <w:t xml:space="preserve"> (</w:t>
      </w:r>
      <w:proofErr w:type="spellStart"/>
      <w:r w:rsidR="00A05450" w:rsidRPr="007561B3">
        <w:rPr>
          <w:smallCaps/>
        </w:rPr>
        <w:t>dof</w:t>
      </w:r>
      <w:proofErr w:type="spellEnd"/>
      <w:r w:rsidR="0007428D" w:rsidRPr="007561B3">
        <w:t>)</w:t>
      </w:r>
      <w:r w:rsidRPr="007561B3">
        <w:t>, o el día hábil anterior</w:t>
      </w:r>
      <w:r w:rsidR="00092531" w:rsidRPr="007561B3">
        <w:t>,</w:t>
      </w:r>
      <w:r w:rsidRPr="007561B3">
        <w:t xml:space="preserve"> en caso de que esta fecha sea sábado, domingo o día festivo. </w:t>
      </w:r>
      <w:r w:rsidR="006E7C8E" w:rsidRPr="007561B3">
        <w:t xml:space="preserve">Un día antes de su publicación en el </w:t>
      </w:r>
      <w:proofErr w:type="spellStart"/>
      <w:r w:rsidR="00A05450" w:rsidRPr="007561B3">
        <w:rPr>
          <w:smallCaps/>
        </w:rPr>
        <w:t>dof</w:t>
      </w:r>
      <w:proofErr w:type="spellEnd"/>
      <w:r w:rsidR="006E7C8E" w:rsidRPr="007561B3">
        <w:t xml:space="preserve">, </w:t>
      </w:r>
      <w:r w:rsidRPr="007561B3">
        <w:t>se difunde en la página del</w:t>
      </w:r>
      <w:r w:rsidR="009D1E2B" w:rsidRPr="007561B3">
        <w:t xml:space="preserve"> </w:t>
      </w:r>
      <w:proofErr w:type="spellStart"/>
      <w:r w:rsidR="006C0499" w:rsidRPr="007561B3">
        <w:rPr>
          <w:smallCaps/>
        </w:rPr>
        <w:t>inegi</w:t>
      </w:r>
      <w:proofErr w:type="spellEnd"/>
      <w:r w:rsidR="006C0499" w:rsidRPr="007561B3">
        <w:t xml:space="preserve"> </w:t>
      </w:r>
      <w:r w:rsidRPr="007561B3">
        <w:t xml:space="preserve">junto con un </w:t>
      </w:r>
      <w:r w:rsidR="007B3E59" w:rsidRPr="007561B3">
        <w:t>c</w:t>
      </w:r>
      <w:r w:rsidRPr="007561B3">
        <w:t>omunicado de prensa.</w:t>
      </w:r>
    </w:p>
    <w:p w14:paraId="45699BFB" w14:textId="77777777" w:rsidR="00187925" w:rsidRPr="007561B3" w:rsidRDefault="00187925" w:rsidP="00737A95">
      <w:pPr>
        <w:spacing w:before="60"/>
        <w:ind w:left="357"/>
      </w:pPr>
    </w:p>
    <w:p w14:paraId="4B5B43D2" w14:textId="33C0FC76" w:rsidR="00DC58B9" w:rsidRPr="007561B3" w:rsidRDefault="00F3182F" w:rsidP="007B3E59">
      <w:pPr>
        <w:pStyle w:val="Texto"/>
        <w:autoSpaceDE w:val="0"/>
        <w:autoSpaceDN w:val="0"/>
        <w:adjustRightInd w:val="0"/>
        <w:spacing w:before="120" w:after="0" w:line="240" w:lineRule="auto"/>
        <w:ind w:left="357" w:firstLine="0"/>
        <w:rPr>
          <w:sz w:val="24"/>
          <w:szCs w:val="24"/>
          <w:lang w:val="es-ES_tradnl"/>
        </w:rPr>
      </w:pPr>
      <w:r w:rsidRPr="007561B3">
        <w:rPr>
          <w:sz w:val="24"/>
          <w:szCs w:val="28"/>
        </w:rPr>
        <w:t>Y</w:t>
      </w:r>
      <w:r w:rsidR="007B3E59" w:rsidRPr="007561B3">
        <w:rPr>
          <w:sz w:val="24"/>
          <w:szCs w:val="28"/>
        </w:rPr>
        <w:t>a que algunas fuentes de información pueden actualizar sus cifras</w:t>
      </w:r>
      <w:r w:rsidR="00D67F3F" w:rsidRPr="007561B3">
        <w:rPr>
          <w:sz w:val="24"/>
          <w:szCs w:val="28"/>
        </w:rPr>
        <w:t xml:space="preserve"> después de haberse publicado el índice</w:t>
      </w:r>
      <w:r w:rsidR="007B3E59" w:rsidRPr="007561B3">
        <w:rPr>
          <w:sz w:val="24"/>
          <w:szCs w:val="28"/>
        </w:rPr>
        <w:t xml:space="preserve">, los resultados del </w:t>
      </w:r>
      <w:proofErr w:type="spellStart"/>
      <w:r w:rsidR="00A05450" w:rsidRPr="007561B3">
        <w:rPr>
          <w:smallCaps/>
          <w:sz w:val="24"/>
          <w:szCs w:val="28"/>
        </w:rPr>
        <w:t>inpp</w:t>
      </w:r>
      <w:proofErr w:type="spellEnd"/>
      <w:r w:rsidR="007B3E59" w:rsidRPr="007561B3">
        <w:rPr>
          <w:sz w:val="24"/>
          <w:szCs w:val="28"/>
        </w:rPr>
        <w:t xml:space="preserve"> son preliminares</w:t>
      </w:r>
      <w:r w:rsidR="00D67F3F" w:rsidRPr="007561B3">
        <w:rPr>
          <w:sz w:val="24"/>
          <w:szCs w:val="28"/>
        </w:rPr>
        <w:t xml:space="preserve"> y</w:t>
      </w:r>
      <w:r w:rsidR="007B3E59" w:rsidRPr="007561B3">
        <w:rPr>
          <w:sz w:val="24"/>
          <w:szCs w:val="28"/>
        </w:rPr>
        <w:t xml:space="preserve"> susceptibles de actualización hasta cinco meses después de su publicación</w:t>
      </w:r>
      <w:r w:rsidR="00E30E89" w:rsidRPr="007561B3">
        <w:rPr>
          <w:sz w:val="24"/>
          <w:szCs w:val="28"/>
        </w:rPr>
        <w:t xml:space="preserve"> (por ejemplo</w:t>
      </w:r>
      <w:r w:rsidR="00E75F63" w:rsidRPr="007561B3">
        <w:rPr>
          <w:sz w:val="24"/>
          <w:szCs w:val="28"/>
        </w:rPr>
        <w:t>,</w:t>
      </w:r>
      <w:r w:rsidR="00E30E89" w:rsidRPr="007561B3">
        <w:rPr>
          <w:sz w:val="24"/>
          <w:szCs w:val="28"/>
        </w:rPr>
        <w:t xml:space="preserve"> el petróleo)</w:t>
      </w:r>
      <w:r w:rsidR="00737A95" w:rsidRPr="007561B3">
        <w:rPr>
          <w:sz w:val="24"/>
          <w:szCs w:val="28"/>
        </w:rPr>
        <w:t>. Asimismo, se publican por el lado de la oferta (por origen o por quién los produce) y por el lado de la demanda (por destino o por quién los consume), tanto para bienes finales como para bienes intermedios</w:t>
      </w:r>
      <w:r w:rsidR="00DC58B9" w:rsidRPr="007561B3">
        <w:rPr>
          <w:sz w:val="24"/>
          <w:szCs w:val="28"/>
        </w:rPr>
        <w:t>.</w:t>
      </w:r>
    </w:p>
    <w:p w14:paraId="07459E91" w14:textId="32A28E66" w:rsidR="00F361F9" w:rsidRPr="007561B3" w:rsidRDefault="0010445E" w:rsidP="00A94AA0">
      <w:pPr>
        <w:spacing w:before="240"/>
        <w:rPr>
          <w:snapToGrid w:val="0"/>
        </w:rPr>
      </w:pPr>
      <w:r w:rsidRPr="007561B3">
        <w:t xml:space="preserve">Mediante los </w:t>
      </w:r>
      <w:r w:rsidR="00FD7309" w:rsidRPr="007561B3">
        <w:t>í</w:t>
      </w:r>
      <w:r w:rsidRPr="007561B3">
        <w:t xml:space="preserve">ndices de </w:t>
      </w:r>
      <w:r w:rsidR="00FD7309" w:rsidRPr="007561B3">
        <w:t>p</w:t>
      </w:r>
      <w:r w:rsidRPr="007561B3">
        <w:t xml:space="preserve">recios, el </w:t>
      </w:r>
      <w:proofErr w:type="spellStart"/>
      <w:r w:rsidR="00A05450" w:rsidRPr="007561B3">
        <w:rPr>
          <w:smallCaps/>
        </w:rPr>
        <w:t>inegi</w:t>
      </w:r>
      <w:proofErr w:type="spellEnd"/>
      <w:r w:rsidRPr="007561B3">
        <w:t xml:space="preserve"> genera la información contenida en este documento y la da a conocer con base en el Calendario de </w:t>
      </w:r>
      <w:r w:rsidRPr="007561B3">
        <w:rPr>
          <w:snapToGrid w:val="0"/>
        </w:rPr>
        <w:t>Difusión de Información Estadística y Geográfica y de Interés Nacional</w:t>
      </w:r>
      <w:r w:rsidR="00521B4F" w:rsidRPr="007561B3">
        <w:rPr>
          <w:snapToGrid w:val="0"/>
        </w:rPr>
        <w:t>.</w:t>
      </w:r>
    </w:p>
    <w:p w14:paraId="14E0DAE6" w14:textId="7E77BDE5" w:rsidR="00B074FC" w:rsidRPr="007561B3" w:rsidRDefault="00737A95" w:rsidP="00640978">
      <w:pPr>
        <w:keepNext/>
        <w:keepLines/>
        <w:spacing w:before="240"/>
        <w:rPr>
          <w:snapToGrid w:val="0"/>
        </w:rPr>
      </w:pPr>
      <w:r w:rsidRPr="007561B3">
        <w:rPr>
          <w:snapToGrid w:val="0"/>
        </w:rPr>
        <w:t xml:space="preserve">Para mayor detalle del diseño conceptual y metodológico del </w:t>
      </w:r>
      <w:proofErr w:type="spellStart"/>
      <w:r w:rsidR="00A05450" w:rsidRPr="007561B3">
        <w:rPr>
          <w:smallCaps/>
          <w:snapToGrid w:val="0"/>
        </w:rPr>
        <w:t>inpp</w:t>
      </w:r>
      <w:proofErr w:type="spellEnd"/>
      <w:r w:rsidR="007606ED" w:rsidRPr="007561B3">
        <w:rPr>
          <w:snapToGrid w:val="0"/>
        </w:rPr>
        <w:t>,</w:t>
      </w:r>
      <w:r w:rsidRPr="007561B3">
        <w:rPr>
          <w:snapToGrid w:val="0"/>
        </w:rPr>
        <w:t xml:space="preserve"> cons</w:t>
      </w:r>
      <w:r w:rsidR="0010445E" w:rsidRPr="007561B3">
        <w:rPr>
          <w:snapToGrid w:val="0"/>
        </w:rPr>
        <w:t>últese</w:t>
      </w:r>
      <w:r w:rsidRPr="007561B3">
        <w:rPr>
          <w:snapToGrid w:val="0"/>
        </w:rPr>
        <w:t xml:space="preserve"> la página del </w:t>
      </w:r>
      <w:proofErr w:type="spellStart"/>
      <w:r w:rsidR="006C0499" w:rsidRPr="007561B3">
        <w:rPr>
          <w:smallCaps/>
          <w:snapToGrid w:val="0"/>
        </w:rPr>
        <w:t>inegi</w:t>
      </w:r>
      <w:proofErr w:type="spellEnd"/>
      <w:r w:rsidRPr="007561B3">
        <w:rPr>
          <w:snapToGrid w:val="0"/>
        </w:rPr>
        <w:t xml:space="preserve">: </w:t>
      </w:r>
      <w:hyperlink r:id="rId22" w:history="1">
        <w:r w:rsidRPr="007561B3">
          <w:rPr>
            <w:rStyle w:val="Hipervnculo"/>
            <w:snapToGrid w:val="0"/>
          </w:rPr>
          <w:t>https://www.inegi.org.mx/programas/inpp/2019/</w:t>
        </w:r>
      </w:hyperlink>
      <w:r w:rsidRPr="007561B3">
        <w:rPr>
          <w:snapToGrid w:val="0"/>
        </w:rPr>
        <w:t xml:space="preserve">. </w:t>
      </w:r>
      <w:r w:rsidR="0010445E" w:rsidRPr="007561B3">
        <w:t xml:space="preserve">En la misma liga se pueden consultar </w:t>
      </w:r>
      <w:r w:rsidRPr="007561B3">
        <w:rPr>
          <w:snapToGrid w:val="0"/>
        </w:rPr>
        <w:t>los tabulados de resultados del índice, las series históricas y herramientas de análisis del indicador</w:t>
      </w:r>
      <w:r w:rsidR="00B074FC" w:rsidRPr="007561B3">
        <w:rPr>
          <w:snapToGrid w:val="0"/>
        </w:rPr>
        <w:t>.</w:t>
      </w:r>
    </w:p>
    <w:p w14:paraId="113A6234" w14:textId="77777777" w:rsidR="006408D1" w:rsidRPr="007561B3" w:rsidRDefault="006408D1" w:rsidP="00640978">
      <w:pPr>
        <w:pStyle w:val="Texto"/>
        <w:keepNext/>
        <w:keepLines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7561B3">
        <w:rPr>
          <w:b/>
          <w:sz w:val="22"/>
          <w:szCs w:val="24"/>
        </w:rPr>
        <w:t xml:space="preserve">CERTIFICACIÓN </w:t>
      </w:r>
      <w:r w:rsidRPr="007561B3">
        <w:rPr>
          <w:b/>
          <w:smallCaps/>
          <w:sz w:val="22"/>
          <w:szCs w:val="24"/>
        </w:rPr>
        <w:t>ISO</w:t>
      </w:r>
      <w:r w:rsidRPr="007561B3">
        <w:rPr>
          <w:b/>
          <w:sz w:val="22"/>
          <w:szCs w:val="24"/>
        </w:rPr>
        <w:t xml:space="preserve"> 9001:2015</w:t>
      </w:r>
    </w:p>
    <w:p w14:paraId="07D624A9" w14:textId="45D096A8" w:rsidR="00A6567C" w:rsidRPr="007561B3" w:rsidRDefault="00E96923" w:rsidP="00640978">
      <w:pPr>
        <w:keepNext/>
        <w:keepLines/>
        <w:jc w:val="center"/>
        <w:rPr>
          <w:b/>
          <w:snapToGrid w:val="0"/>
        </w:rPr>
      </w:pPr>
      <w:r w:rsidRPr="007561B3">
        <w:rPr>
          <w:noProof/>
          <w:lang w:val="es-MX" w:eastAsia="es-MX"/>
        </w:rPr>
        <w:drawing>
          <wp:inline distT="0" distB="0" distL="0" distR="0" wp14:anchorId="6E3073C9" wp14:editId="3554FBE7">
            <wp:extent cx="3600000" cy="1677600"/>
            <wp:effectExtent l="0" t="0" r="635" b="0"/>
            <wp:docPr id="24" name="Imagen 24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67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6567C" w:rsidRPr="007561B3" w:rsidSect="00D673CB">
      <w:headerReference w:type="default" r:id="rId23"/>
      <w:footerReference w:type="default" r:id="rId24"/>
      <w:pgSz w:w="12242" w:h="15842" w:code="1"/>
      <w:pgMar w:top="1134" w:right="1134" w:bottom="1134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785C6" w14:textId="77777777" w:rsidR="00816A9D" w:rsidRDefault="00816A9D">
      <w:r>
        <w:separator/>
      </w:r>
    </w:p>
  </w:endnote>
  <w:endnote w:type="continuationSeparator" w:id="0">
    <w:p w14:paraId="3949BF16" w14:textId="77777777" w:rsidR="00816A9D" w:rsidRDefault="00816A9D">
      <w:r>
        <w:continuationSeparator/>
      </w:r>
    </w:p>
  </w:endnote>
  <w:endnote w:type="continuationNotice" w:id="1">
    <w:p w14:paraId="3F927D22" w14:textId="77777777" w:rsidR="00816A9D" w:rsidRDefault="00816A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D9A5" w14:textId="4CF1F75E" w:rsidR="00544AF7" w:rsidRPr="00D673CB" w:rsidRDefault="00D673CB" w:rsidP="00D673CB">
    <w:pPr>
      <w:pStyle w:val="Piedepgina"/>
      <w:jc w:val="center"/>
    </w:pPr>
    <w:bookmarkStart w:id="11" w:name="_Hlk147145069"/>
    <w:r w:rsidRPr="00204167">
      <w:rPr>
        <w:b/>
        <w:color w:val="003057"/>
        <w:sz w:val="20"/>
      </w:rPr>
      <w:t>Comunicación social</w:t>
    </w:r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39CDC" w14:textId="77777777" w:rsidR="00816A9D" w:rsidRDefault="00816A9D">
      <w:r>
        <w:separator/>
      </w:r>
    </w:p>
  </w:footnote>
  <w:footnote w:type="continuationSeparator" w:id="0">
    <w:p w14:paraId="73461C7D" w14:textId="77777777" w:rsidR="00816A9D" w:rsidRDefault="00816A9D">
      <w:r>
        <w:continuationSeparator/>
      </w:r>
    </w:p>
  </w:footnote>
  <w:footnote w:type="continuationNotice" w:id="1">
    <w:p w14:paraId="5361CC93" w14:textId="77777777" w:rsidR="00816A9D" w:rsidRDefault="00816A9D"/>
  </w:footnote>
  <w:footnote w:id="2">
    <w:p w14:paraId="7F50447E" w14:textId="4FA66E96" w:rsidR="00544AF7" w:rsidRDefault="00544AF7" w:rsidP="003101BD">
      <w:pPr>
        <w:pStyle w:val="Textonotapie"/>
        <w:ind w:left="170" w:hanging="170"/>
      </w:pPr>
      <w:r>
        <w:rPr>
          <w:rStyle w:val="Refdenotaalpie"/>
        </w:rPr>
        <w:footnoteRef/>
      </w:r>
      <w: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>: c</w:t>
      </w:r>
      <w:r w:rsidRPr="006301B8">
        <w:rPr>
          <w:color w:val="000000"/>
          <w:sz w:val="16"/>
          <w:szCs w:val="16"/>
        </w:rPr>
        <w:t xml:space="preserve">onjunto de bienes y servicios de la canasta del </w:t>
      </w:r>
      <w:r w:rsidR="00052307" w:rsidRPr="00052307">
        <w:rPr>
          <w:smallCaps/>
          <w:color w:val="000000"/>
          <w:sz w:val="16"/>
          <w:szCs w:val="16"/>
        </w:rPr>
        <w:t>inpp</w:t>
      </w:r>
      <w:r w:rsidRPr="006301B8">
        <w:rPr>
          <w:color w:val="000000"/>
          <w:sz w:val="16"/>
          <w:szCs w:val="16"/>
        </w:rPr>
        <w:t xml:space="preserve"> que poseen alto grado de homogeneidad</w:t>
      </w:r>
      <w:r>
        <w:rPr>
          <w:color w:val="000000"/>
          <w:sz w:val="16"/>
          <w:szCs w:val="16"/>
        </w:rPr>
        <w:t>.</w:t>
      </w:r>
      <w:r w:rsidRPr="006301B8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</w:t>
      </w:r>
      <w:r w:rsidRPr="006301B8">
        <w:rPr>
          <w:color w:val="000000"/>
          <w:sz w:val="16"/>
          <w:szCs w:val="16"/>
        </w:rPr>
        <w:t xml:space="preserve">e compone de productos específicos o variedades con características similares. </w:t>
      </w:r>
      <w:r>
        <w:rPr>
          <w:color w:val="000000"/>
          <w:sz w:val="16"/>
          <w:szCs w:val="16"/>
        </w:rPr>
        <w:t>Se trata de</w:t>
      </w:r>
      <w:r w:rsidRPr="006301B8">
        <w:rPr>
          <w:color w:val="000000"/>
          <w:sz w:val="16"/>
          <w:szCs w:val="16"/>
        </w:rPr>
        <w:t xml:space="preserve"> la categoría primaria o agregado elemental para </w:t>
      </w:r>
      <w:r>
        <w:rPr>
          <w:color w:val="000000"/>
          <w:sz w:val="16"/>
          <w:szCs w:val="16"/>
        </w:rPr>
        <w:t>la</w:t>
      </w:r>
      <w:r w:rsidRPr="006301B8">
        <w:rPr>
          <w:color w:val="000000"/>
          <w:sz w:val="16"/>
          <w:szCs w:val="16"/>
        </w:rPr>
        <w:t xml:space="preserve"> cual se dispone de datos de </w:t>
      </w:r>
      <w:r>
        <w:rPr>
          <w:color w:val="000000"/>
          <w:sz w:val="16"/>
          <w:szCs w:val="16"/>
        </w:rPr>
        <w:t xml:space="preserve">producción </w:t>
      </w:r>
      <w:r w:rsidRPr="006301B8">
        <w:rPr>
          <w:color w:val="000000"/>
          <w:sz w:val="16"/>
          <w:szCs w:val="16"/>
        </w:rPr>
        <w:t xml:space="preserve">y ponderación propia con la que se calculan los índices de acuerdo </w:t>
      </w:r>
      <w:r>
        <w:rPr>
          <w:color w:val="000000"/>
          <w:sz w:val="16"/>
          <w:szCs w:val="16"/>
        </w:rPr>
        <w:t>con</w:t>
      </w:r>
      <w:r w:rsidRPr="006301B8">
        <w:rPr>
          <w:color w:val="000000"/>
          <w:sz w:val="16"/>
          <w:szCs w:val="16"/>
        </w:rPr>
        <w:t xml:space="preserve"> la fórmula de Laspeyres</w:t>
      </w:r>
      <w:r>
        <w:rPr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21528" w14:textId="77777777" w:rsidR="00D673CB" w:rsidRDefault="00D673CB" w:rsidP="00D673CB"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19D4C88" wp14:editId="0A8D9E01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28D60" w14:textId="3BE1BA22" w:rsidR="00D673CB" w:rsidRPr="00306ECD" w:rsidRDefault="00D673CB" w:rsidP="00D673CB">
    <w:pPr>
      <w:pStyle w:val="Encabezado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>Comunicado de prensa núm</w:t>
    </w:r>
    <w:r>
      <w:rPr>
        <w:b/>
        <w:color w:val="002060"/>
      </w:rPr>
      <w:t>ero</w:t>
    </w:r>
    <w:r w:rsidRPr="00306ECD">
      <w:rPr>
        <w:b/>
        <w:color w:val="002060"/>
      </w:rPr>
      <w:t xml:space="preserve"> </w:t>
    </w:r>
    <w:r>
      <w:rPr>
        <w:b/>
        <w:color w:val="002060"/>
      </w:rPr>
      <w:t>658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6E1680CD" w14:textId="094ED1C8" w:rsidR="00D673CB" w:rsidRPr="00306ECD" w:rsidRDefault="00D673CB" w:rsidP="00D673CB">
    <w:pPr>
      <w:pStyle w:val="Encabezado"/>
      <w:tabs>
        <w:tab w:val="clear" w:pos="4320"/>
        <w:tab w:val="clear" w:pos="8640"/>
      </w:tabs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9 de </w:t>
    </w:r>
    <w:proofErr w:type="spellStart"/>
    <w:r>
      <w:rPr>
        <w:b/>
        <w:color w:val="002060"/>
        <w:lang w:val="pt-BR"/>
      </w:rPr>
      <w:t>noviembre</w:t>
    </w:r>
    <w:proofErr w:type="spellEnd"/>
    <w:r>
      <w:rPr>
        <w:b/>
        <w:color w:val="002060"/>
        <w:lang w:val="pt-BR"/>
      </w:rPr>
      <w:t xml:space="preserve"> de </w:t>
    </w:r>
    <w:r w:rsidRPr="00306ECD">
      <w:rPr>
        <w:b/>
        <w:color w:val="002060"/>
        <w:lang w:val="pt-BR"/>
      </w:rPr>
      <w:t>202</w:t>
    </w:r>
    <w:r>
      <w:rPr>
        <w:b/>
        <w:color w:val="002060"/>
        <w:lang w:val="pt-BR"/>
      </w:rPr>
      <w:t>3</w:t>
    </w:r>
  </w:p>
  <w:p w14:paraId="70582C02" w14:textId="51C9A94D" w:rsidR="00D673CB" w:rsidRPr="00F22E89" w:rsidRDefault="00D673CB" w:rsidP="00D673CB">
    <w:pPr>
      <w:pStyle w:val="Encabezado"/>
      <w:ind w:left="-567" w:right="49"/>
      <w:jc w:val="right"/>
      <w:rPr>
        <w:b/>
        <w:color w:val="002060"/>
      </w:rPr>
    </w:pPr>
    <w:r w:rsidRPr="006B2980">
      <w:rPr>
        <w:b/>
        <w:color w:val="002060"/>
      </w:rPr>
      <w:t xml:space="preserve">Página </w:t>
    </w:r>
    <w:r w:rsidRPr="006B2980">
      <w:rPr>
        <w:b/>
        <w:color w:val="002060"/>
      </w:rPr>
      <w:fldChar w:fldCharType="begin"/>
    </w:r>
    <w:r w:rsidRPr="006B2980">
      <w:rPr>
        <w:b/>
        <w:color w:val="002060"/>
      </w:rPr>
      <w:instrText xml:space="preserve"> PAGE  \* Arabic </w:instrText>
    </w:r>
    <w:r w:rsidRPr="006B2980">
      <w:rPr>
        <w:b/>
        <w:color w:val="002060"/>
      </w:rPr>
      <w:fldChar w:fldCharType="separate"/>
    </w:r>
    <w:r>
      <w:rPr>
        <w:b/>
        <w:color w:val="002060"/>
      </w:rPr>
      <w:t>1</w:t>
    </w:r>
    <w:r w:rsidRPr="006B2980">
      <w:rPr>
        <w:b/>
        <w:color w:val="002060"/>
      </w:rPr>
      <w:fldChar w:fldCharType="end"/>
    </w:r>
    <w:r w:rsidRPr="006B2980">
      <w:rPr>
        <w:b/>
        <w:color w:val="002060"/>
      </w:rPr>
      <w:t>/</w:t>
    </w:r>
    <w:r>
      <w:rPr>
        <w:b/>
        <w:color w:val="002060"/>
      </w:rPr>
      <w:t>1</w:t>
    </w:r>
    <w:r w:rsidR="00187925">
      <w:rPr>
        <w:b/>
        <w:color w:val="002060"/>
      </w:rPr>
      <w:t>1</w:t>
    </w:r>
  </w:p>
  <w:p w14:paraId="2AA71439" w14:textId="1207CC60" w:rsidR="00544AF7" w:rsidRDefault="00544AF7" w:rsidP="003D5B8A">
    <w:pPr>
      <w:pStyle w:val="Encabezado"/>
      <w:tabs>
        <w:tab w:val="clear" w:pos="4320"/>
        <w:tab w:val="clear" w:pos="8640"/>
        <w:tab w:val="center" w:pos="2892"/>
      </w:tabs>
    </w:pP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078E5"/>
    <w:multiLevelType w:val="hybridMultilevel"/>
    <w:tmpl w:val="5FD87AF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2A79"/>
    <w:multiLevelType w:val="hybridMultilevel"/>
    <w:tmpl w:val="DC36898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2BA17F79"/>
    <w:multiLevelType w:val="hybridMultilevel"/>
    <w:tmpl w:val="1722BC0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1873FB1"/>
    <w:multiLevelType w:val="hybridMultilevel"/>
    <w:tmpl w:val="4F9A5D6A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2E30AB"/>
    <w:multiLevelType w:val="hybridMultilevel"/>
    <w:tmpl w:val="8BB40BE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176937"/>
    <w:multiLevelType w:val="hybridMultilevel"/>
    <w:tmpl w:val="68586D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84AF7"/>
    <w:multiLevelType w:val="hybridMultilevel"/>
    <w:tmpl w:val="603E97E8"/>
    <w:lvl w:ilvl="0" w:tplc="080A000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96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3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11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18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25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32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39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4707" w:hanging="360"/>
      </w:pPr>
      <w:rPr>
        <w:rFonts w:ascii="Wingdings" w:hAnsi="Wingdings" w:hint="default"/>
      </w:rPr>
    </w:lvl>
  </w:abstractNum>
  <w:abstractNum w:abstractNumId="20" w15:restartNumberingAfterBreak="0">
    <w:nsid w:val="62273754"/>
    <w:multiLevelType w:val="hybridMultilevel"/>
    <w:tmpl w:val="B0DC8A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2" w15:restartNumberingAfterBreak="0">
    <w:nsid w:val="6A533000"/>
    <w:multiLevelType w:val="hybridMultilevel"/>
    <w:tmpl w:val="733E7F5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4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24696232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18151072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853690145">
    <w:abstractNumId w:val="4"/>
  </w:num>
  <w:num w:numId="4" w16cid:durableId="649288905">
    <w:abstractNumId w:val="7"/>
  </w:num>
  <w:num w:numId="5" w16cid:durableId="1082141020">
    <w:abstractNumId w:val="9"/>
  </w:num>
  <w:num w:numId="6" w16cid:durableId="1705204958">
    <w:abstractNumId w:val="2"/>
  </w:num>
  <w:num w:numId="7" w16cid:durableId="552619424">
    <w:abstractNumId w:val="5"/>
  </w:num>
  <w:num w:numId="8" w16cid:durableId="14645419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7148873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0705374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619529959">
    <w:abstractNumId w:val="21"/>
  </w:num>
  <w:num w:numId="12" w16cid:durableId="1488740342">
    <w:abstractNumId w:val="23"/>
  </w:num>
  <w:num w:numId="13" w16cid:durableId="583297678">
    <w:abstractNumId w:val="24"/>
  </w:num>
  <w:num w:numId="14" w16cid:durableId="942033542">
    <w:abstractNumId w:val="13"/>
  </w:num>
  <w:num w:numId="15" w16cid:durableId="725833841">
    <w:abstractNumId w:val="10"/>
  </w:num>
  <w:num w:numId="16" w16cid:durableId="1892497531">
    <w:abstractNumId w:val="17"/>
  </w:num>
  <w:num w:numId="17" w16cid:durableId="731198446">
    <w:abstractNumId w:val="12"/>
  </w:num>
  <w:num w:numId="18" w16cid:durableId="1223756839">
    <w:abstractNumId w:val="15"/>
  </w:num>
  <w:num w:numId="19" w16cid:durableId="1689326838">
    <w:abstractNumId w:val="6"/>
  </w:num>
  <w:num w:numId="20" w16cid:durableId="2092964704">
    <w:abstractNumId w:val="3"/>
  </w:num>
  <w:num w:numId="21" w16cid:durableId="1855535992">
    <w:abstractNumId w:val="11"/>
  </w:num>
  <w:num w:numId="22" w16cid:durableId="1468668083">
    <w:abstractNumId w:val="14"/>
  </w:num>
  <w:num w:numId="23" w16cid:durableId="2001300078">
    <w:abstractNumId w:val="1"/>
  </w:num>
  <w:num w:numId="24" w16cid:durableId="306010115">
    <w:abstractNumId w:val="18"/>
  </w:num>
  <w:num w:numId="25" w16cid:durableId="1348368788">
    <w:abstractNumId w:val="16"/>
  </w:num>
  <w:num w:numId="26" w16cid:durableId="1490293075">
    <w:abstractNumId w:val="20"/>
  </w:num>
  <w:num w:numId="27" w16cid:durableId="1147940043">
    <w:abstractNumId w:val="19"/>
  </w:num>
  <w:num w:numId="28" w16cid:durableId="983198109">
    <w:abstractNumId w:val="8"/>
  </w:num>
  <w:num w:numId="29" w16cid:durableId="18472041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7E"/>
    <w:rsid w:val="0000043F"/>
    <w:rsid w:val="00000BEA"/>
    <w:rsid w:val="00000D4E"/>
    <w:rsid w:val="0000180F"/>
    <w:rsid w:val="00002117"/>
    <w:rsid w:val="00002292"/>
    <w:rsid w:val="00002466"/>
    <w:rsid w:val="00002665"/>
    <w:rsid w:val="000027BD"/>
    <w:rsid w:val="00002B26"/>
    <w:rsid w:val="00002C4B"/>
    <w:rsid w:val="00003C25"/>
    <w:rsid w:val="00003C68"/>
    <w:rsid w:val="00003E62"/>
    <w:rsid w:val="00004291"/>
    <w:rsid w:val="0000458A"/>
    <w:rsid w:val="00004941"/>
    <w:rsid w:val="00004F2B"/>
    <w:rsid w:val="000050C6"/>
    <w:rsid w:val="00005940"/>
    <w:rsid w:val="000059E8"/>
    <w:rsid w:val="000068D8"/>
    <w:rsid w:val="00006B5A"/>
    <w:rsid w:val="00006DFC"/>
    <w:rsid w:val="000078B1"/>
    <w:rsid w:val="00007A1A"/>
    <w:rsid w:val="00010671"/>
    <w:rsid w:val="00010A59"/>
    <w:rsid w:val="00011040"/>
    <w:rsid w:val="000112A7"/>
    <w:rsid w:val="0001151F"/>
    <w:rsid w:val="00011733"/>
    <w:rsid w:val="00011840"/>
    <w:rsid w:val="00011AC0"/>
    <w:rsid w:val="00011BD3"/>
    <w:rsid w:val="0001200E"/>
    <w:rsid w:val="00012278"/>
    <w:rsid w:val="000122CF"/>
    <w:rsid w:val="00012A27"/>
    <w:rsid w:val="00012E16"/>
    <w:rsid w:val="0001302A"/>
    <w:rsid w:val="000132A4"/>
    <w:rsid w:val="00013319"/>
    <w:rsid w:val="000139E6"/>
    <w:rsid w:val="00013B98"/>
    <w:rsid w:val="00013E55"/>
    <w:rsid w:val="0001447E"/>
    <w:rsid w:val="000144ED"/>
    <w:rsid w:val="00014FBD"/>
    <w:rsid w:val="00015302"/>
    <w:rsid w:val="00015BCE"/>
    <w:rsid w:val="00015DDA"/>
    <w:rsid w:val="00016590"/>
    <w:rsid w:val="00016B4E"/>
    <w:rsid w:val="00016B7D"/>
    <w:rsid w:val="00016C89"/>
    <w:rsid w:val="00016D3A"/>
    <w:rsid w:val="0001718D"/>
    <w:rsid w:val="000176AC"/>
    <w:rsid w:val="00020377"/>
    <w:rsid w:val="00021432"/>
    <w:rsid w:val="00021492"/>
    <w:rsid w:val="000216A3"/>
    <w:rsid w:val="00022562"/>
    <w:rsid w:val="000228C4"/>
    <w:rsid w:val="00022CA3"/>
    <w:rsid w:val="000243B5"/>
    <w:rsid w:val="00024469"/>
    <w:rsid w:val="00024CC1"/>
    <w:rsid w:val="000260EE"/>
    <w:rsid w:val="00026B3C"/>
    <w:rsid w:val="00026B52"/>
    <w:rsid w:val="00026C14"/>
    <w:rsid w:val="000301E7"/>
    <w:rsid w:val="00030480"/>
    <w:rsid w:val="0003065F"/>
    <w:rsid w:val="00030D10"/>
    <w:rsid w:val="00030F2F"/>
    <w:rsid w:val="00031231"/>
    <w:rsid w:val="000314D3"/>
    <w:rsid w:val="0003162E"/>
    <w:rsid w:val="00031BCF"/>
    <w:rsid w:val="00031CA9"/>
    <w:rsid w:val="000328B5"/>
    <w:rsid w:val="000328D5"/>
    <w:rsid w:val="00032B16"/>
    <w:rsid w:val="00033603"/>
    <w:rsid w:val="00033A14"/>
    <w:rsid w:val="0003447A"/>
    <w:rsid w:val="00034732"/>
    <w:rsid w:val="000347D8"/>
    <w:rsid w:val="00034A2E"/>
    <w:rsid w:val="00034BC3"/>
    <w:rsid w:val="00034C1F"/>
    <w:rsid w:val="00034C7A"/>
    <w:rsid w:val="00034F9C"/>
    <w:rsid w:val="00034FEC"/>
    <w:rsid w:val="000353F3"/>
    <w:rsid w:val="00035600"/>
    <w:rsid w:val="00035B2D"/>
    <w:rsid w:val="00035DA7"/>
    <w:rsid w:val="000362C3"/>
    <w:rsid w:val="00036D72"/>
    <w:rsid w:val="00037089"/>
    <w:rsid w:val="00037177"/>
    <w:rsid w:val="00037A1B"/>
    <w:rsid w:val="00037CC4"/>
    <w:rsid w:val="00037EF5"/>
    <w:rsid w:val="00040409"/>
    <w:rsid w:val="0004047A"/>
    <w:rsid w:val="0004066E"/>
    <w:rsid w:val="00040F75"/>
    <w:rsid w:val="0004185F"/>
    <w:rsid w:val="00041D86"/>
    <w:rsid w:val="00041FF7"/>
    <w:rsid w:val="0004225C"/>
    <w:rsid w:val="00042DB1"/>
    <w:rsid w:val="00042F98"/>
    <w:rsid w:val="00043535"/>
    <w:rsid w:val="00043B32"/>
    <w:rsid w:val="00043E2B"/>
    <w:rsid w:val="00044296"/>
    <w:rsid w:val="00044699"/>
    <w:rsid w:val="00044700"/>
    <w:rsid w:val="00044C5E"/>
    <w:rsid w:val="0004596A"/>
    <w:rsid w:val="00045AF1"/>
    <w:rsid w:val="00045CF6"/>
    <w:rsid w:val="00045E9B"/>
    <w:rsid w:val="00046139"/>
    <w:rsid w:val="000465BF"/>
    <w:rsid w:val="00046822"/>
    <w:rsid w:val="00046AB6"/>
    <w:rsid w:val="00046D06"/>
    <w:rsid w:val="000471CD"/>
    <w:rsid w:val="0004735D"/>
    <w:rsid w:val="0004777C"/>
    <w:rsid w:val="00047832"/>
    <w:rsid w:val="000501E0"/>
    <w:rsid w:val="00050934"/>
    <w:rsid w:val="00050964"/>
    <w:rsid w:val="00050E59"/>
    <w:rsid w:val="00050FB5"/>
    <w:rsid w:val="00051511"/>
    <w:rsid w:val="0005167A"/>
    <w:rsid w:val="00051C72"/>
    <w:rsid w:val="00051C7F"/>
    <w:rsid w:val="00051D1C"/>
    <w:rsid w:val="00051D9E"/>
    <w:rsid w:val="00052307"/>
    <w:rsid w:val="00052705"/>
    <w:rsid w:val="00052F04"/>
    <w:rsid w:val="00052F1E"/>
    <w:rsid w:val="000536D2"/>
    <w:rsid w:val="00053B2C"/>
    <w:rsid w:val="00053BF4"/>
    <w:rsid w:val="00053EB7"/>
    <w:rsid w:val="00054A4F"/>
    <w:rsid w:val="00054B82"/>
    <w:rsid w:val="00055047"/>
    <w:rsid w:val="0005587A"/>
    <w:rsid w:val="00055B54"/>
    <w:rsid w:val="00056443"/>
    <w:rsid w:val="00056A5E"/>
    <w:rsid w:val="00056F51"/>
    <w:rsid w:val="000573F5"/>
    <w:rsid w:val="00057797"/>
    <w:rsid w:val="00057F37"/>
    <w:rsid w:val="000602B0"/>
    <w:rsid w:val="000603F1"/>
    <w:rsid w:val="0006056C"/>
    <w:rsid w:val="00061759"/>
    <w:rsid w:val="00061B60"/>
    <w:rsid w:val="00061EE0"/>
    <w:rsid w:val="0006211B"/>
    <w:rsid w:val="0006228A"/>
    <w:rsid w:val="00062696"/>
    <w:rsid w:val="000626F8"/>
    <w:rsid w:val="00063614"/>
    <w:rsid w:val="00063838"/>
    <w:rsid w:val="00063AB9"/>
    <w:rsid w:val="0006433F"/>
    <w:rsid w:val="000646BA"/>
    <w:rsid w:val="00064BBC"/>
    <w:rsid w:val="00064C03"/>
    <w:rsid w:val="00064E9D"/>
    <w:rsid w:val="00064FDB"/>
    <w:rsid w:val="00065106"/>
    <w:rsid w:val="000651F1"/>
    <w:rsid w:val="00065708"/>
    <w:rsid w:val="00065A07"/>
    <w:rsid w:val="00065BC1"/>
    <w:rsid w:val="00066413"/>
    <w:rsid w:val="00066638"/>
    <w:rsid w:val="000667EA"/>
    <w:rsid w:val="00066C10"/>
    <w:rsid w:val="00066EA7"/>
    <w:rsid w:val="000679B8"/>
    <w:rsid w:val="00067BD8"/>
    <w:rsid w:val="0007012A"/>
    <w:rsid w:val="0007017F"/>
    <w:rsid w:val="00070431"/>
    <w:rsid w:val="00070702"/>
    <w:rsid w:val="000707FF"/>
    <w:rsid w:val="00070864"/>
    <w:rsid w:val="00070E78"/>
    <w:rsid w:val="00071154"/>
    <w:rsid w:val="000712EF"/>
    <w:rsid w:val="0007145A"/>
    <w:rsid w:val="00071F33"/>
    <w:rsid w:val="000724CC"/>
    <w:rsid w:val="000725AC"/>
    <w:rsid w:val="00072B18"/>
    <w:rsid w:val="00072FC4"/>
    <w:rsid w:val="000730F3"/>
    <w:rsid w:val="00073491"/>
    <w:rsid w:val="000736DB"/>
    <w:rsid w:val="000739D2"/>
    <w:rsid w:val="00073EF4"/>
    <w:rsid w:val="0007428D"/>
    <w:rsid w:val="000744A7"/>
    <w:rsid w:val="000753EC"/>
    <w:rsid w:val="0007567F"/>
    <w:rsid w:val="000756C1"/>
    <w:rsid w:val="00075B3A"/>
    <w:rsid w:val="00075DEC"/>
    <w:rsid w:val="00076234"/>
    <w:rsid w:val="00076600"/>
    <w:rsid w:val="000767F7"/>
    <w:rsid w:val="00076EE9"/>
    <w:rsid w:val="00077C46"/>
    <w:rsid w:val="00077E83"/>
    <w:rsid w:val="0008027F"/>
    <w:rsid w:val="0008084D"/>
    <w:rsid w:val="0008133D"/>
    <w:rsid w:val="000814ED"/>
    <w:rsid w:val="000816B6"/>
    <w:rsid w:val="0008175A"/>
    <w:rsid w:val="0008195B"/>
    <w:rsid w:val="000826F7"/>
    <w:rsid w:val="00082F11"/>
    <w:rsid w:val="000830E1"/>
    <w:rsid w:val="0008325D"/>
    <w:rsid w:val="000834DD"/>
    <w:rsid w:val="00084687"/>
    <w:rsid w:val="000849B5"/>
    <w:rsid w:val="00084A57"/>
    <w:rsid w:val="00084BED"/>
    <w:rsid w:val="00084EDB"/>
    <w:rsid w:val="00084FF2"/>
    <w:rsid w:val="0008524D"/>
    <w:rsid w:val="000856E9"/>
    <w:rsid w:val="00086295"/>
    <w:rsid w:val="0008756B"/>
    <w:rsid w:val="00087DB7"/>
    <w:rsid w:val="0009025D"/>
    <w:rsid w:val="000903B7"/>
    <w:rsid w:val="000905EB"/>
    <w:rsid w:val="00090B4A"/>
    <w:rsid w:val="00090B9C"/>
    <w:rsid w:val="00090D7B"/>
    <w:rsid w:val="00090DDF"/>
    <w:rsid w:val="00090E32"/>
    <w:rsid w:val="00091474"/>
    <w:rsid w:val="000915F7"/>
    <w:rsid w:val="00092531"/>
    <w:rsid w:val="00092764"/>
    <w:rsid w:val="0009292F"/>
    <w:rsid w:val="00092F4C"/>
    <w:rsid w:val="00093BF0"/>
    <w:rsid w:val="00094496"/>
    <w:rsid w:val="00094AE9"/>
    <w:rsid w:val="00094D88"/>
    <w:rsid w:val="000950E7"/>
    <w:rsid w:val="00095360"/>
    <w:rsid w:val="000955AA"/>
    <w:rsid w:val="000957BC"/>
    <w:rsid w:val="00096737"/>
    <w:rsid w:val="00097594"/>
    <w:rsid w:val="00097C0A"/>
    <w:rsid w:val="000A0344"/>
    <w:rsid w:val="000A0823"/>
    <w:rsid w:val="000A21D6"/>
    <w:rsid w:val="000A2F4F"/>
    <w:rsid w:val="000A31EF"/>
    <w:rsid w:val="000A3354"/>
    <w:rsid w:val="000A3733"/>
    <w:rsid w:val="000A42B9"/>
    <w:rsid w:val="000A43B0"/>
    <w:rsid w:val="000A4B3D"/>
    <w:rsid w:val="000A5092"/>
    <w:rsid w:val="000A53E6"/>
    <w:rsid w:val="000A574B"/>
    <w:rsid w:val="000A5B04"/>
    <w:rsid w:val="000A5B0D"/>
    <w:rsid w:val="000A5E2A"/>
    <w:rsid w:val="000A643B"/>
    <w:rsid w:val="000A6CE9"/>
    <w:rsid w:val="000A707A"/>
    <w:rsid w:val="000A7773"/>
    <w:rsid w:val="000A7808"/>
    <w:rsid w:val="000A78BA"/>
    <w:rsid w:val="000A7CF5"/>
    <w:rsid w:val="000B0710"/>
    <w:rsid w:val="000B09B5"/>
    <w:rsid w:val="000B0D5A"/>
    <w:rsid w:val="000B1C11"/>
    <w:rsid w:val="000B1D13"/>
    <w:rsid w:val="000B2412"/>
    <w:rsid w:val="000B26AB"/>
    <w:rsid w:val="000B297C"/>
    <w:rsid w:val="000B29B8"/>
    <w:rsid w:val="000B2A27"/>
    <w:rsid w:val="000B42D9"/>
    <w:rsid w:val="000B45DD"/>
    <w:rsid w:val="000B4A6A"/>
    <w:rsid w:val="000B4E7D"/>
    <w:rsid w:val="000B50FB"/>
    <w:rsid w:val="000B515D"/>
    <w:rsid w:val="000B5A74"/>
    <w:rsid w:val="000B5BAB"/>
    <w:rsid w:val="000B5FA3"/>
    <w:rsid w:val="000B613B"/>
    <w:rsid w:val="000B6904"/>
    <w:rsid w:val="000B6AF6"/>
    <w:rsid w:val="000B6C67"/>
    <w:rsid w:val="000B7827"/>
    <w:rsid w:val="000C044D"/>
    <w:rsid w:val="000C1051"/>
    <w:rsid w:val="000C1F04"/>
    <w:rsid w:val="000C2892"/>
    <w:rsid w:val="000C2B3C"/>
    <w:rsid w:val="000C2F9E"/>
    <w:rsid w:val="000C30D7"/>
    <w:rsid w:val="000C3105"/>
    <w:rsid w:val="000C34DD"/>
    <w:rsid w:val="000C37BC"/>
    <w:rsid w:val="000C3983"/>
    <w:rsid w:val="000C482F"/>
    <w:rsid w:val="000C4992"/>
    <w:rsid w:val="000C5299"/>
    <w:rsid w:val="000C5468"/>
    <w:rsid w:val="000C55CC"/>
    <w:rsid w:val="000C5852"/>
    <w:rsid w:val="000C5D0E"/>
    <w:rsid w:val="000C5F62"/>
    <w:rsid w:val="000C6A4A"/>
    <w:rsid w:val="000C6AFD"/>
    <w:rsid w:val="000D0552"/>
    <w:rsid w:val="000D06FA"/>
    <w:rsid w:val="000D0826"/>
    <w:rsid w:val="000D0DDA"/>
    <w:rsid w:val="000D0ED5"/>
    <w:rsid w:val="000D113E"/>
    <w:rsid w:val="000D1169"/>
    <w:rsid w:val="000D15C5"/>
    <w:rsid w:val="000D15F8"/>
    <w:rsid w:val="000D258D"/>
    <w:rsid w:val="000D25A3"/>
    <w:rsid w:val="000D28A5"/>
    <w:rsid w:val="000D2DB1"/>
    <w:rsid w:val="000D2F28"/>
    <w:rsid w:val="000D31C1"/>
    <w:rsid w:val="000D36B2"/>
    <w:rsid w:val="000D39FD"/>
    <w:rsid w:val="000D3C34"/>
    <w:rsid w:val="000D451F"/>
    <w:rsid w:val="000D4833"/>
    <w:rsid w:val="000D49D2"/>
    <w:rsid w:val="000D4A88"/>
    <w:rsid w:val="000D4BBC"/>
    <w:rsid w:val="000D4D90"/>
    <w:rsid w:val="000D4E26"/>
    <w:rsid w:val="000D50DE"/>
    <w:rsid w:val="000D5176"/>
    <w:rsid w:val="000D572D"/>
    <w:rsid w:val="000D5EDB"/>
    <w:rsid w:val="000D64C0"/>
    <w:rsid w:val="000D6718"/>
    <w:rsid w:val="000D6C0F"/>
    <w:rsid w:val="000D6F1E"/>
    <w:rsid w:val="000D7A95"/>
    <w:rsid w:val="000D7B5B"/>
    <w:rsid w:val="000D7BBD"/>
    <w:rsid w:val="000E03C0"/>
    <w:rsid w:val="000E0654"/>
    <w:rsid w:val="000E08DB"/>
    <w:rsid w:val="000E14F3"/>
    <w:rsid w:val="000E19B3"/>
    <w:rsid w:val="000E28A6"/>
    <w:rsid w:val="000E2970"/>
    <w:rsid w:val="000E318F"/>
    <w:rsid w:val="000E3CC1"/>
    <w:rsid w:val="000E412A"/>
    <w:rsid w:val="000E48CC"/>
    <w:rsid w:val="000E4FE7"/>
    <w:rsid w:val="000E5331"/>
    <w:rsid w:val="000E5526"/>
    <w:rsid w:val="000E5D6B"/>
    <w:rsid w:val="000E5FE0"/>
    <w:rsid w:val="000E62E2"/>
    <w:rsid w:val="000E6D5D"/>
    <w:rsid w:val="000E75C3"/>
    <w:rsid w:val="000E7AFC"/>
    <w:rsid w:val="000F05BF"/>
    <w:rsid w:val="000F05D5"/>
    <w:rsid w:val="000F08E7"/>
    <w:rsid w:val="000F17E0"/>
    <w:rsid w:val="000F19B9"/>
    <w:rsid w:val="000F1DEB"/>
    <w:rsid w:val="000F2C80"/>
    <w:rsid w:val="000F2C84"/>
    <w:rsid w:val="000F348F"/>
    <w:rsid w:val="000F3491"/>
    <w:rsid w:val="000F3A32"/>
    <w:rsid w:val="000F3DE6"/>
    <w:rsid w:val="000F44E7"/>
    <w:rsid w:val="000F44F2"/>
    <w:rsid w:val="000F49F1"/>
    <w:rsid w:val="000F4C41"/>
    <w:rsid w:val="000F4FA7"/>
    <w:rsid w:val="000F536A"/>
    <w:rsid w:val="000F541D"/>
    <w:rsid w:val="000F5AD1"/>
    <w:rsid w:val="000F5EAF"/>
    <w:rsid w:val="000F69FA"/>
    <w:rsid w:val="000F703E"/>
    <w:rsid w:val="000F7577"/>
    <w:rsid w:val="000F7974"/>
    <w:rsid w:val="000F7ECD"/>
    <w:rsid w:val="000F7FB5"/>
    <w:rsid w:val="00100317"/>
    <w:rsid w:val="00100710"/>
    <w:rsid w:val="001011EC"/>
    <w:rsid w:val="001017C1"/>
    <w:rsid w:val="00101CC3"/>
    <w:rsid w:val="00101E92"/>
    <w:rsid w:val="00101F40"/>
    <w:rsid w:val="00103847"/>
    <w:rsid w:val="00103913"/>
    <w:rsid w:val="00103B21"/>
    <w:rsid w:val="0010445E"/>
    <w:rsid w:val="00104C54"/>
    <w:rsid w:val="00105234"/>
    <w:rsid w:val="00105E2B"/>
    <w:rsid w:val="0010619C"/>
    <w:rsid w:val="0010647A"/>
    <w:rsid w:val="0010664D"/>
    <w:rsid w:val="00107CAD"/>
    <w:rsid w:val="00110510"/>
    <w:rsid w:val="0011076D"/>
    <w:rsid w:val="00110DB1"/>
    <w:rsid w:val="00110DF0"/>
    <w:rsid w:val="001114D0"/>
    <w:rsid w:val="00111703"/>
    <w:rsid w:val="00111AA3"/>
    <w:rsid w:val="00111F29"/>
    <w:rsid w:val="00113348"/>
    <w:rsid w:val="00113404"/>
    <w:rsid w:val="001134B4"/>
    <w:rsid w:val="00113DE8"/>
    <w:rsid w:val="0011424C"/>
    <w:rsid w:val="001142CA"/>
    <w:rsid w:val="0011478A"/>
    <w:rsid w:val="00114B56"/>
    <w:rsid w:val="00114B96"/>
    <w:rsid w:val="00114E47"/>
    <w:rsid w:val="00115952"/>
    <w:rsid w:val="00115A20"/>
    <w:rsid w:val="00116647"/>
    <w:rsid w:val="00116AF0"/>
    <w:rsid w:val="00116F84"/>
    <w:rsid w:val="00117D7A"/>
    <w:rsid w:val="00120112"/>
    <w:rsid w:val="0012050B"/>
    <w:rsid w:val="00120EA1"/>
    <w:rsid w:val="001212C3"/>
    <w:rsid w:val="0012181E"/>
    <w:rsid w:val="00121B1D"/>
    <w:rsid w:val="00122048"/>
    <w:rsid w:val="001228A0"/>
    <w:rsid w:val="00122CE7"/>
    <w:rsid w:val="00123EFF"/>
    <w:rsid w:val="001241F7"/>
    <w:rsid w:val="001245D2"/>
    <w:rsid w:val="00124D1A"/>
    <w:rsid w:val="001251AF"/>
    <w:rsid w:val="00125654"/>
    <w:rsid w:val="001259DC"/>
    <w:rsid w:val="00125D0D"/>
    <w:rsid w:val="00125D33"/>
    <w:rsid w:val="00125D9D"/>
    <w:rsid w:val="00126038"/>
    <w:rsid w:val="001263E8"/>
    <w:rsid w:val="00126792"/>
    <w:rsid w:val="00126BFA"/>
    <w:rsid w:val="00126F10"/>
    <w:rsid w:val="00127810"/>
    <w:rsid w:val="001301E6"/>
    <w:rsid w:val="001304F2"/>
    <w:rsid w:val="00130C4C"/>
    <w:rsid w:val="001313EB"/>
    <w:rsid w:val="00131B41"/>
    <w:rsid w:val="0013222E"/>
    <w:rsid w:val="00132507"/>
    <w:rsid w:val="00132940"/>
    <w:rsid w:val="00133020"/>
    <w:rsid w:val="00133FA8"/>
    <w:rsid w:val="00134108"/>
    <w:rsid w:val="00134458"/>
    <w:rsid w:val="00134904"/>
    <w:rsid w:val="001349AB"/>
    <w:rsid w:val="00134F4E"/>
    <w:rsid w:val="00134FB0"/>
    <w:rsid w:val="001350AC"/>
    <w:rsid w:val="001352EC"/>
    <w:rsid w:val="00135E09"/>
    <w:rsid w:val="00135E0B"/>
    <w:rsid w:val="001361A8"/>
    <w:rsid w:val="001365A5"/>
    <w:rsid w:val="001368CC"/>
    <w:rsid w:val="00136ACB"/>
    <w:rsid w:val="00136CA0"/>
    <w:rsid w:val="00136F09"/>
    <w:rsid w:val="001372CA"/>
    <w:rsid w:val="0013755D"/>
    <w:rsid w:val="00137A69"/>
    <w:rsid w:val="00137AFD"/>
    <w:rsid w:val="0014012A"/>
    <w:rsid w:val="001405E7"/>
    <w:rsid w:val="00140999"/>
    <w:rsid w:val="00140AD8"/>
    <w:rsid w:val="00140BE4"/>
    <w:rsid w:val="001411DE"/>
    <w:rsid w:val="00141399"/>
    <w:rsid w:val="00141A0B"/>
    <w:rsid w:val="00141AF4"/>
    <w:rsid w:val="00141D7A"/>
    <w:rsid w:val="00142CBB"/>
    <w:rsid w:val="00142E09"/>
    <w:rsid w:val="0014377B"/>
    <w:rsid w:val="001437F3"/>
    <w:rsid w:val="00143D3A"/>
    <w:rsid w:val="00144474"/>
    <w:rsid w:val="00144E39"/>
    <w:rsid w:val="00145F65"/>
    <w:rsid w:val="001460E0"/>
    <w:rsid w:val="00146902"/>
    <w:rsid w:val="00146DFA"/>
    <w:rsid w:val="00147C56"/>
    <w:rsid w:val="0015018D"/>
    <w:rsid w:val="00150228"/>
    <w:rsid w:val="001502C3"/>
    <w:rsid w:val="001502D9"/>
    <w:rsid w:val="001504E8"/>
    <w:rsid w:val="00150536"/>
    <w:rsid w:val="001509B8"/>
    <w:rsid w:val="00150E52"/>
    <w:rsid w:val="00151930"/>
    <w:rsid w:val="00152167"/>
    <w:rsid w:val="00152336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9B4"/>
    <w:rsid w:val="00155A36"/>
    <w:rsid w:val="0015755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470C"/>
    <w:rsid w:val="00164CD1"/>
    <w:rsid w:val="0016518E"/>
    <w:rsid w:val="001655BD"/>
    <w:rsid w:val="0016568F"/>
    <w:rsid w:val="00165810"/>
    <w:rsid w:val="00165A07"/>
    <w:rsid w:val="00165E36"/>
    <w:rsid w:val="0016614B"/>
    <w:rsid w:val="001664CD"/>
    <w:rsid w:val="001665FD"/>
    <w:rsid w:val="00166A80"/>
    <w:rsid w:val="001678D0"/>
    <w:rsid w:val="00167A72"/>
    <w:rsid w:val="001700BB"/>
    <w:rsid w:val="0017080F"/>
    <w:rsid w:val="00170972"/>
    <w:rsid w:val="00170BD4"/>
    <w:rsid w:val="00171176"/>
    <w:rsid w:val="001711E3"/>
    <w:rsid w:val="00171F36"/>
    <w:rsid w:val="00172464"/>
    <w:rsid w:val="00172600"/>
    <w:rsid w:val="00172614"/>
    <w:rsid w:val="00172AA4"/>
    <w:rsid w:val="0017308E"/>
    <w:rsid w:val="001731DF"/>
    <w:rsid w:val="00173309"/>
    <w:rsid w:val="0017357E"/>
    <w:rsid w:val="001735A8"/>
    <w:rsid w:val="00173881"/>
    <w:rsid w:val="00173896"/>
    <w:rsid w:val="00173B1E"/>
    <w:rsid w:val="001740E5"/>
    <w:rsid w:val="00174587"/>
    <w:rsid w:val="0017474C"/>
    <w:rsid w:val="00174783"/>
    <w:rsid w:val="00175CF4"/>
    <w:rsid w:val="001761E2"/>
    <w:rsid w:val="001763FA"/>
    <w:rsid w:val="001763FC"/>
    <w:rsid w:val="0017655C"/>
    <w:rsid w:val="00176592"/>
    <w:rsid w:val="00176991"/>
    <w:rsid w:val="001769D4"/>
    <w:rsid w:val="00176BCF"/>
    <w:rsid w:val="00176E7D"/>
    <w:rsid w:val="00177026"/>
    <w:rsid w:val="00177187"/>
    <w:rsid w:val="001773BC"/>
    <w:rsid w:val="0018054D"/>
    <w:rsid w:val="00180887"/>
    <w:rsid w:val="00180A83"/>
    <w:rsid w:val="00180C81"/>
    <w:rsid w:val="00180E57"/>
    <w:rsid w:val="00181301"/>
    <w:rsid w:val="001813AB"/>
    <w:rsid w:val="001819C6"/>
    <w:rsid w:val="00181B28"/>
    <w:rsid w:val="00181B78"/>
    <w:rsid w:val="0018211C"/>
    <w:rsid w:val="001821F8"/>
    <w:rsid w:val="001822F6"/>
    <w:rsid w:val="00182CBE"/>
    <w:rsid w:val="001831B3"/>
    <w:rsid w:val="00183F45"/>
    <w:rsid w:val="001845FA"/>
    <w:rsid w:val="0018496A"/>
    <w:rsid w:val="0018522B"/>
    <w:rsid w:val="001854A8"/>
    <w:rsid w:val="00185B5A"/>
    <w:rsid w:val="00185D40"/>
    <w:rsid w:val="00186C17"/>
    <w:rsid w:val="00187925"/>
    <w:rsid w:val="00190180"/>
    <w:rsid w:val="00190A43"/>
    <w:rsid w:val="00190D0B"/>
    <w:rsid w:val="001912FB"/>
    <w:rsid w:val="00191484"/>
    <w:rsid w:val="00191608"/>
    <w:rsid w:val="00191664"/>
    <w:rsid w:val="00192045"/>
    <w:rsid w:val="00192065"/>
    <w:rsid w:val="001941AA"/>
    <w:rsid w:val="001946A6"/>
    <w:rsid w:val="00194E8E"/>
    <w:rsid w:val="00194EC7"/>
    <w:rsid w:val="00194F73"/>
    <w:rsid w:val="00194FD5"/>
    <w:rsid w:val="00195053"/>
    <w:rsid w:val="00195EC2"/>
    <w:rsid w:val="00195F99"/>
    <w:rsid w:val="00196542"/>
    <w:rsid w:val="001965B7"/>
    <w:rsid w:val="00197731"/>
    <w:rsid w:val="001A016C"/>
    <w:rsid w:val="001A0422"/>
    <w:rsid w:val="001A0556"/>
    <w:rsid w:val="001A101D"/>
    <w:rsid w:val="001A102F"/>
    <w:rsid w:val="001A1A27"/>
    <w:rsid w:val="001A1ED0"/>
    <w:rsid w:val="001A35A6"/>
    <w:rsid w:val="001A368A"/>
    <w:rsid w:val="001A3963"/>
    <w:rsid w:val="001A3BF6"/>
    <w:rsid w:val="001A41DF"/>
    <w:rsid w:val="001A43AC"/>
    <w:rsid w:val="001A43F5"/>
    <w:rsid w:val="001A4601"/>
    <w:rsid w:val="001A4E0E"/>
    <w:rsid w:val="001A4E79"/>
    <w:rsid w:val="001A4E8C"/>
    <w:rsid w:val="001A4EF7"/>
    <w:rsid w:val="001A4F6E"/>
    <w:rsid w:val="001A52DD"/>
    <w:rsid w:val="001A57EF"/>
    <w:rsid w:val="001A5ABD"/>
    <w:rsid w:val="001A5CE0"/>
    <w:rsid w:val="001A60E2"/>
    <w:rsid w:val="001A69F0"/>
    <w:rsid w:val="001A79AA"/>
    <w:rsid w:val="001A7F95"/>
    <w:rsid w:val="001B07B0"/>
    <w:rsid w:val="001B0992"/>
    <w:rsid w:val="001B0A70"/>
    <w:rsid w:val="001B0AC4"/>
    <w:rsid w:val="001B1120"/>
    <w:rsid w:val="001B15E2"/>
    <w:rsid w:val="001B163A"/>
    <w:rsid w:val="001B16FD"/>
    <w:rsid w:val="001B253D"/>
    <w:rsid w:val="001B277C"/>
    <w:rsid w:val="001B2C6A"/>
    <w:rsid w:val="001B2F19"/>
    <w:rsid w:val="001B2F22"/>
    <w:rsid w:val="001B35ED"/>
    <w:rsid w:val="001B369D"/>
    <w:rsid w:val="001B3952"/>
    <w:rsid w:val="001B450E"/>
    <w:rsid w:val="001B46DB"/>
    <w:rsid w:val="001B4F75"/>
    <w:rsid w:val="001B5288"/>
    <w:rsid w:val="001B538F"/>
    <w:rsid w:val="001B5DDB"/>
    <w:rsid w:val="001B62D3"/>
    <w:rsid w:val="001B74F4"/>
    <w:rsid w:val="001B75DC"/>
    <w:rsid w:val="001B7953"/>
    <w:rsid w:val="001C0136"/>
    <w:rsid w:val="001C0A6E"/>
    <w:rsid w:val="001C0AD1"/>
    <w:rsid w:val="001C0BCC"/>
    <w:rsid w:val="001C117D"/>
    <w:rsid w:val="001C1F9C"/>
    <w:rsid w:val="001C226A"/>
    <w:rsid w:val="001C236E"/>
    <w:rsid w:val="001C29E7"/>
    <w:rsid w:val="001C32C6"/>
    <w:rsid w:val="001C3893"/>
    <w:rsid w:val="001C3E2D"/>
    <w:rsid w:val="001C48C7"/>
    <w:rsid w:val="001C4A9E"/>
    <w:rsid w:val="001C5256"/>
    <w:rsid w:val="001C5588"/>
    <w:rsid w:val="001C5952"/>
    <w:rsid w:val="001C6CAB"/>
    <w:rsid w:val="001C6CC1"/>
    <w:rsid w:val="001C7130"/>
    <w:rsid w:val="001C746A"/>
    <w:rsid w:val="001C7E70"/>
    <w:rsid w:val="001D0068"/>
    <w:rsid w:val="001D01C6"/>
    <w:rsid w:val="001D0870"/>
    <w:rsid w:val="001D092F"/>
    <w:rsid w:val="001D0EB1"/>
    <w:rsid w:val="001D1471"/>
    <w:rsid w:val="001D1A2C"/>
    <w:rsid w:val="001D1AEF"/>
    <w:rsid w:val="001D23E8"/>
    <w:rsid w:val="001D244E"/>
    <w:rsid w:val="001D24F1"/>
    <w:rsid w:val="001D373D"/>
    <w:rsid w:val="001D3AD1"/>
    <w:rsid w:val="001D3D95"/>
    <w:rsid w:val="001D478B"/>
    <w:rsid w:val="001D4970"/>
    <w:rsid w:val="001D4BF9"/>
    <w:rsid w:val="001D4F19"/>
    <w:rsid w:val="001D5F02"/>
    <w:rsid w:val="001D6186"/>
    <w:rsid w:val="001D62AF"/>
    <w:rsid w:val="001D637E"/>
    <w:rsid w:val="001D6652"/>
    <w:rsid w:val="001D69E5"/>
    <w:rsid w:val="001D6B3D"/>
    <w:rsid w:val="001D7104"/>
    <w:rsid w:val="001E0411"/>
    <w:rsid w:val="001E075F"/>
    <w:rsid w:val="001E08E2"/>
    <w:rsid w:val="001E0933"/>
    <w:rsid w:val="001E09AF"/>
    <w:rsid w:val="001E0ADA"/>
    <w:rsid w:val="001E0BA5"/>
    <w:rsid w:val="001E14E8"/>
    <w:rsid w:val="001E150B"/>
    <w:rsid w:val="001E1627"/>
    <w:rsid w:val="001E18BD"/>
    <w:rsid w:val="001E1DBA"/>
    <w:rsid w:val="001E1EBE"/>
    <w:rsid w:val="001E1EF2"/>
    <w:rsid w:val="001E28DE"/>
    <w:rsid w:val="001E290B"/>
    <w:rsid w:val="001E385F"/>
    <w:rsid w:val="001E39E4"/>
    <w:rsid w:val="001E490C"/>
    <w:rsid w:val="001E4C68"/>
    <w:rsid w:val="001E4D9A"/>
    <w:rsid w:val="001E4DDB"/>
    <w:rsid w:val="001E5055"/>
    <w:rsid w:val="001E50FD"/>
    <w:rsid w:val="001E5310"/>
    <w:rsid w:val="001E59DC"/>
    <w:rsid w:val="001E5DD7"/>
    <w:rsid w:val="001E5EEE"/>
    <w:rsid w:val="001E6975"/>
    <w:rsid w:val="001E7358"/>
    <w:rsid w:val="001E7C2A"/>
    <w:rsid w:val="001E7C72"/>
    <w:rsid w:val="001E7D14"/>
    <w:rsid w:val="001E7DB8"/>
    <w:rsid w:val="001E7EDD"/>
    <w:rsid w:val="001E7F19"/>
    <w:rsid w:val="001F02CD"/>
    <w:rsid w:val="001F0668"/>
    <w:rsid w:val="001F0B7F"/>
    <w:rsid w:val="001F0CD0"/>
    <w:rsid w:val="001F0F71"/>
    <w:rsid w:val="001F14ED"/>
    <w:rsid w:val="001F19D1"/>
    <w:rsid w:val="001F1B69"/>
    <w:rsid w:val="001F1D9A"/>
    <w:rsid w:val="001F1EBA"/>
    <w:rsid w:val="001F2740"/>
    <w:rsid w:val="001F2C3A"/>
    <w:rsid w:val="001F3531"/>
    <w:rsid w:val="001F3696"/>
    <w:rsid w:val="001F42FF"/>
    <w:rsid w:val="001F445D"/>
    <w:rsid w:val="001F44B4"/>
    <w:rsid w:val="001F44D3"/>
    <w:rsid w:val="001F4510"/>
    <w:rsid w:val="001F4B32"/>
    <w:rsid w:val="001F58D3"/>
    <w:rsid w:val="001F65A4"/>
    <w:rsid w:val="001F65E0"/>
    <w:rsid w:val="001F6B5B"/>
    <w:rsid w:val="001F6EE3"/>
    <w:rsid w:val="001F6F27"/>
    <w:rsid w:val="001F7362"/>
    <w:rsid w:val="001F753E"/>
    <w:rsid w:val="001F75EA"/>
    <w:rsid w:val="001F7AE9"/>
    <w:rsid w:val="001F7CFD"/>
    <w:rsid w:val="001F7D5E"/>
    <w:rsid w:val="002011D5"/>
    <w:rsid w:val="00201203"/>
    <w:rsid w:val="00201C2D"/>
    <w:rsid w:val="00201FE0"/>
    <w:rsid w:val="00202EE2"/>
    <w:rsid w:val="00203367"/>
    <w:rsid w:val="002033EB"/>
    <w:rsid w:val="00204438"/>
    <w:rsid w:val="00204A44"/>
    <w:rsid w:val="00204CD0"/>
    <w:rsid w:val="00206147"/>
    <w:rsid w:val="002064BE"/>
    <w:rsid w:val="002064F3"/>
    <w:rsid w:val="002069A8"/>
    <w:rsid w:val="00206EE7"/>
    <w:rsid w:val="002070C0"/>
    <w:rsid w:val="002077F8"/>
    <w:rsid w:val="0020789A"/>
    <w:rsid w:val="00207C83"/>
    <w:rsid w:val="0021073B"/>
    <w:rsid w:val="00210869"/>
    <w:rsid w:val="00210B7C"/>
    <w:rsid w:val="002116AD"/>
    <w:rsid w:val="00211999"/>
    <w:rsid w:val="0021222E"/>
    <w:rsid w:val="002123A4"/>
    <w:rsid w:val="002126CD"/>
    <w:rsid w:val="00213773"/>
    <w:rsid w:val="00213B0E"/>
    <w:rsid w:val="00213CBC"/>
    <w:rsid w:val="002141FB"/>
    <w:rsid w:val="002146CA"/>
    <w:rsid w:val="002147D6"/>
    <w:rsid w:val="0021575B"/>
    <w:rsid w:val="00215783"/>
    <w:rsid w:val="0021669B"/>
    <w:rsid w:val="00216876"/>
    <w:rsid w:val="0022003C"/>
    <w:rsid w:val="0022018A"/>
    <w:rsid w:val="002203DD"/>
    <w:rsid w:val="00220ADA"/>
    <w:rsid w:val="00220B7B"/>
    <w:rsid w:val="0022180E"/>
    <w:rsid w:val="002220BA"/>
    <w:rsid w:val="002227B3"/>
    <w:rsid w:val="002227CF"/>
    <w:rsid w:val="0022296F"/>
    <w:rsid w:val="00222C53"/>
    <w:rsid w:val="00222CE3"/>
    <w:rsid w:val="002235D7"/>
    <w:rsid w:val="002239C4"/>
    <w:rsid w:val="00224617"/>
    <w:rsid w:val="00224922"/>
    <w:rsid w:val="00224D6D"/>
    <w:rsid w:val="00225591"/>
    <w:rsid w:val="00225690"/>
    <w:rsid w:val="0022574F"/>
    <w:rsid w:val="0022593A"/>
    <w:rsid w:val="00225B52"/>
    <w:rsid w:val="00225CE3"/>
    <w:rsid w:val="00225EEB"/>
    <w:rsid w:val="002260D7"/>
    <w:rsid w:val="00226B17"/>
    <w:rsid w:val="0022712B"/>
    <w:rsid w:val="002276A4"/>
    <w:rsid w:val="00227843"/>
    <w:rsid w:val="00227A99"/>
    <w:rsid w:val="00227C8B"/>
    <w:rsid w:val="00230450"/>
    <w:rsid w:val="00230A44"/>
    <w:rsid w:val="00230A52"/>
    <w:rsid w:val="00230FA5"/>
    <w:rsid w:val="00231131"/>
    <w:rsid w:val="00231632"/>
    <w:rsid w:val="0023170E"/>
    <w:rsid w:val="00231839"/>
    <w:rsid w:val="00231BA2"/>
    <w:rsid w:val="0023262B"/>
    <w:rsid w:val="00232A4E"/>
    <w:rsid w:val="00232AE1"/>
    <w:rsid w:val="00232FF2"/>
    <w:rsid w:val="00233A7D"/>
    <w:rsid w:val="00233BA3"/>
    <w:rsid w:val="00234218"/>
    <w:rsid w:val="0023482B"/>
    <w:rsid w:val="0023482C"/>
    <w:rsid w:val="00234AA4"/>
    <w:rsid w:val="00234C7F"/>
    <w:rsid w:val="00234E62"/>
    <w:rsid w:val="00234F8F"/>
    <w:rsid w:val="00235F7E"/>
    <w:rsid w:val="002364AC"/>
    <w:rsid w:val="0023658F"/>
    <w:rsid w:val="00236872"/>
    <w:rsid w:val="00236890"/>
    <w:rsid w:val="002368C0"/>
    <w:rsid w:val="00236CC2"/>
    <w:rsid w:val="00236CDE"/>
    <w:rsid w:val="00237417"/>
    <w:rsid w:val="0023763A"/>
    <w:rsid w:val="0023774A"/>
    <w:rsid w:val="00237D7D"/>
    <w:rsid w:val="002404D1"/>
    <w:rsid w:val="002405C8"/>
    <w:rsid w:val="00240DF5"/>
    <w:rsid w:val="00240ECB"/>
    <w:rsid w:val="00241373"/>
    <w:rsid w:val="002415DA"/>
    <w:rsid w:val="00241620"/>
    <w:rsid w:val="00241857"/>
    <w:rsid w:val="0024187D"/>
    <w:rsid w:val="0024285E"/>
    <w:rsid w:val="002429D0"/>
    <w:rsid w:val="00242F79"/>
    <w:rsid w:val="00242FA8"/>
    <w:rsid w:val="0024310E"/>
    <w:rsid w:val="00243204"/>
    <w:rsid w:val="002432F1"/>
    <w:rsid w:val="00243AC5"/>
    <w:rsid w:val="0024405D"/>
    <w:rsid w:val="00244516"/>
    <w:rsid w:val="00244915"/>
    <w:rsid w:val="00244CF8"/>
    <w:rsid w:val="002454F0"/>
    <w:rsid w:val="00245B9E"/>
    <w:rsid w:val="00246013"/>
    <w:rsid w:val="0024637D"/>
    <w:rsid w:val="002465AC"/>
    <w:rsid w:val="002465EC"/>
    <w:rsid w:val="00246614"/>
    <w:rsid w:val="00246907"/>
    <w:rsid w:val="00246C0E"/>
    <w:rsid w:val="00246EC9"/>
    <w:rsid w:val="00246FE9"/>
    <w:rsid w:val="00247097"/>
    <w:rsid w:val="00247130"/>
    <w:rsid w:val="0024723E"/>
    <w:rsid w:val="00247760"/>
    <w:rsid w:val="00247E6F"/>
    <w:rsid w:val="00247FD9"/>
    <w:rsid w:val="0025003A"/>
    <w:rsid w:val="00250260"/>
    <w:rsid w:val="00250E5D"/>
    <w:rsid w:val="00250FD5"/>
    <w:rsid w:val="00251167"/>
    <w:rsid w:val="002511BA"/>
    <w:rsid w:val="00251594"/>
    <w:rsid w:val="00251EE2"/>
    <w:rsid w:val="002524AD"/>
    <w:rsid w:val="00252525"/>
    <w:rsid w:val="002526B9"/>
    <w:rsid w:val="00252DD3"/>
    <w:rsid w:val="00253371"/>
    <w:rsid w:val="0025394F"/>
    <w:rsid w:val="00253B97"/>
    <w:rsid w:val="002544CB"/>
    <w:rsid w:val="00254724"/>
    <w:rsid w:val="002557F7"/>
    <w:rsid w:val="00255D75"/>
    <w:rsid w:val="00255D8E"/>
    <w:rsid w:val="00256584"/>
    <w:rsid w:val="00256C48"/>
    <w:rsid w:val="00256EF8"/>
    <w:rsid w:val="002570D5"/>
    <w:rsid w:val="00257177"/>
    <w:rsid w:val="00257730"/>
    <w:rsid w:val="00257803"/>
    <w:rsid w:val="00257B74"/>
    <w:rsid w:val="00257CD8"/>
    <w:rsid w:val="00260936"/>
    <w:rsid w:val="00260CF8"/>
    <w:rsid w:val="002610D8"/>
    <w:rsid w:val="00261A6C"/>
    <w:rsid w:val="002629E2"/>
    <w:rsid w:val="00262BA8"/>
    <w:rsid w:val="00262BC8"/>
    <w:rsid w:val="00262D73"/>
    <w:rsid w:val="00263324"/>
    <w:rsid w:val="002641D9"/>
    <w:rsid w:val="002643C5"/>
    <w:rsid w:val="00264917"/>
    <w:rsid w:val="00264A2B"/>
    <w:rsid w:val="002651EC"/>
    <w:rsid w:val="00265A8D"/>
    <w:rsid w:val="00265DC2"/>
    <w:rsid w:val="0026638C"/>
    <w:rsid w:val="00266547"/>
    <w:rsid w:val="00266F00"/>
    <w:rsid w:val="002670EF"/>
    <w:rsid w:val="002671A2"/>
    <w:rsid w:val="00267A38"/>
    <w:rsid w:val="00267F5F"/>
    <w:rsid w:val="002705EF"/>
    <w:rsid w:val="00270965"/>
    <w:rsid w:val="00271ACC"/>
    <w:rsid w:val="00271E5D"/>
    <w:rsid w:val="00272082"/>
    <w:rsid w:val="0027315F"/>
    <w:rsid w:val="002732E3"/>
    <w:rsid w:val="0027349D"/>
    <w:rsid w:val="00273516"/>
    <w:rsid w:val="00273985"/>
    <w:rsid w:val="00273B82"/>
    <w:rsid w:val="00273E7A"/>
    <w:rsid w:val="00274277"/>
    <w:rsid w:val="00274372"/>
    <w:rsid w:val="0027475A"/>
    <w:rsid w:val="0027521D"/>
    <w:rsid w:val="00275F56"/>
    <w:rsid w:val="002763A3"/>
    <w:rsid w:val="002765B7"/>
    <w:rsid w:val="00276662"/>
    <w:rsid w:val="00276B47"/>
    <w:rsid w:val="00276EAA"/>
    <w:rsid w:val="00277213"/>
    <w:rsid w:val="00277713"/>
    <w:rsid w:val="00277DBC"/>
    <w:rsid w:val="00277F64"/>
    <w:rsid w:val="00280550"/>
    <w:rsid w:val="00281063"/>
    <w:rsid w:val="00281605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77A"/>
    <w:rsid w:val="00283B7F"/>
    <w:rsid w:val="0028468D"/>
    <w:rsid w:val="0028470C"/>
    <w:rsid w:val="00284B5F"/>
    <w:rsid w:val="002850E8"/>
    <w:rsid w:val="00285665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C64"/>
    <w:rsid w:val="00293271"/>
    <w:rsid w:val="00293587"/>
    <w:rsid w:val="00293896"/>
    <w:rsid w:val="002939A1"/>
    <w:rsid w:val="00293ED1"/>
    <w:rsid w:val="002940C5"/>
    <w:rsid w:val="00294429"/>
    <w:rsid w:val="0029454A"/>
    <w:rsid w:val="002948BB"/>
    <w:rsid w:val="00294A06"/>
    <w:rsid w:val="00294FFB"/>
    <w:rsid w:val="00295029"/>
    <w:rsid w:val="002954FD"/>
    <w:rsid w:val="00295A96"/>
    <w:rsid w:val="00296242"/>
    <w:rsid w:val="002962E2"/>
    <w:rsid w:val="0029686B"/>
    <w:rsid w:val="00296987"/>
    <w:rsid w:val="00296CE6"/>
    <w:rsid w:val="002973DF"/>
    <w:rsid w:val="00297794"/>
    <w:rsid w:val="00297D6A"/>
    <w:rsid w:val="00297DAE"/>
    <w:rsid w:val="002A0159"/>
    <w:rsid w:val="002A0190"/>
    <w:rsid w:val="002A0801"/>
    <w:rsid w:val="002A0983"/>
    <w:rsid w:val="002A0BF5"/>
    <w:rsid w:val="002A1128"/>
    <w:rsid w:val="002A158C"/>
    <w:rsid w:val="002A24EB"/>
    <w:rsid w:val="002A2676"/>
    <w:rsid w:val="002A2A83"/>
    <w:rsid w:val="002A2C5E"/>
    <w:rsid w:val="002A2D66"/>
    <w:rsid w:val="002A428E"/>
    <w:rsid w:val="002A4479"/>
    <w:rsid w:val="002A46FA"/>
    <w:rsid w:val="002A4920"/>
    <w:rsid w:val="002A4D1E"/>
    <w:rsid w:val="002A5227"/>
    <w:rsid w:val="002A57BC"/>
    <w:rsid w:val="002A581C"/>
    <w:rsid w:val="002A64B4"/>
    <w:rsid w:val="002A667F"/>
    <w:rsid w:val="002B00FE"/>
    <w:rsid w:val="002B0E27"/>
    <w:rsid w:val="002B10B6"/>
    <w:rsid w:val="002B10D3"/>
    <w:rsid w:val="002B1113"/>
    <w:rsid w:val="002B1867"/>
    <w:rsid w:val="002B1EA3"/>
    <w:rsid w:val="002B2A55"/>
    <w:rsid w:val="002B2D59"/>
    <w:rsid w:val="002B2DA9"/>
    <w:rsid w:val="002B30C8"/>
    <w:rsid w:val="002B31FA"/>
    <w:rsid w:val="002B33D5"/>
    <w:rsid w:val="002B3A06"/>
    <w:rsid w:val="002B4552"/>
    <w:rsid w:val="002B4C84"/>
    <w:rsid w:val="002B5746"/>
    <w:rsid w:val="002B6389"/>
    <w:rsid w:val="002B63D3"/>
    <w:rsid w:val="002B6815"/>
    <w:rsid w:val="002B6AB1"/>
    <w:rsid w:val="002B71D1"/>
    <w:rsid w:val="002B7518"/>
    <w:rsid w:val="002B76CB"/>
    <w:rsid w:val="002B7960"/>
    <w:rsid w:val="002C00AE"/>
    <w:rsid w:val="002C0144"/>
    <w:rsid w:val="002C096D"/>
    <w:rsid w:val="002C0CAC"/>
    <w:rsid w:val="002C1A65"/>
    <w:rsid w:val="002C1F28"/>
    <w:rsid w:val="002C254B"/>
    <w:rsid w:val="002C25DE"/>
    <w:rsid w:val="002C2737"/>
    <w:rsid w:val="002C27E8"/>
    <w:rsid w:val="002C2ACB"/>
    <w:rsid w:val="002C2F60"/>
    <w:rsid w:val="002C41CB"/>
    <w:rsid w:val="002C469D"/>
    <w:rsid w:val="002C474F"/>
    <w:rsid w:val="002C4ACE"/>
    <w:rsid w:val="002C56B9"/>
    <w:rsid w:val="002C5C58"/>
    <w:rsid w:val="002C6873"/>
    <w:rsid w:val="002C6A1A"/>
    <w:rsid w:val="002C6B67"/>
    <w:rsid w:val="002C7284"/>
    <w:rsid w:val="002C72AB"/>
    <w:rsid w:val="002C73EE"/>
    <w:rsid w:val="002C7660"/>
    <w:rsid w:val="002C7718"/>
    <w:rsid w:val="002C77DB"/>
    <w:rsid w:val="002C77F7"/>
    <w:rsid w:val="002C7CD4"/>
    <w:rsid w:val="002D00A2"/>
    <w:rsid w:val="002D0321"/>
    <w:rsid w:val="002D06A7"/>
    <w:rsid w:val="002D0E7A"/>
    <w:rsid w:val="002D128B"/>
    <w:rsid w:val="002D155B"/>
    <w:rsid w:val="002D1686"/>
    <w:rsid w:val="002D1AD3"/>
    <w:rsid w:val="002D2225"/>
    <w:rsid w:val="002D2264"/>
    <w:rsid w:val="002D2476"/>
    <w:rsid w:val="002D3CFD"/>
    <w:rsid w:val="002D3D3F"/>
    <w:rsid w:val="002D3D62"/>
    <w:rsid w:val="002D40A5"/>
    <w:rsid w:val="002D48D7"/>
    <w:rsid w:val="002D48E1"/>
    <w:rsid w:val="002D4A69"/>
    <w:rsid w:val="002D61C8"/>
    <w:rsid w:val="002D629E"/>
    <w:rsid w:val="002D638E"/>
    <w:rsid w:val="002D6E9A"/>
    <w:rsid w:val="002D71C0"/>
    <w:rsid w:val="002D726B"/>
    <w:rsid w:val="002D75DB"/>
    <w:rsid w:val="002D7AAD"/>
    <w:rsid w:val="002D7D71"/>
    <w:rsid w:val="002E0067"/>
    <w:rsid w:val="002E02D0"/>
    <w:rsid w:val="002E0489"/>
    <w:rsid w:val="002E04C0"/>
    <w:rsid w:val="002E0544"/>
    <w:rsid w:val="002E0F76"/>
    <w:rsid w:val="002E1DF4"/>
    <w:rsid w:val="002E1F9D"/>
    <w:rsid w:val="002E20A2"/>
    <w:rsid w:val="002E20FF"/>
    <w:rsid w:val="002E25D8"/>
    <w:rsid w:val="002E2C3B"/>
    <w:rsid w:val="002E3C37"/>
    <w:rsid w:val="002E46E7"/>
    <w:rsid w:val="002E4BA7"/>
    <w:rsid w:val="002E4D3D"/>
    <w:rsid w:val="002E4EBD"/>
    <w:rsid w:val="002E525B"/>
    <w:rsid w:val="002E5CA7"/>
    <w:rsid w:val="002E668B"/>
    <w:rsid w:val="002E6EA4"/>
    <w:rsid w:val="002E7235"/>
    <w:rsid w:val="002E7DA8"/>
    <w:rsid w:val="002E7DEA"/>
    <w:rsid w:val="002F0276"/>
    <w:rsid w:val="002F04AD"/>
    <w:rsid w:val="002F05DA"/>
    <w:rsid w:val="002F10E7"/>
    <w:rsid w:val="002F11F9"/>
    <w:rsid w:val="002F1274"/>
    <w:rsid w:val="002F12DE"/>
    <w:rsid w:val="002F13E0"/>
    <w:rsid w:val="002F16CB"/>
    <w:rsid w:val="002F1742"/>
    <w:rsid w:val="002F199A"/>
    <w:rsid w:val="002F1AB0"/>
    <w:rsid w:val="002F1ADA"/>
    <w:rsid w:val="002F2133"/>
    <w:rsid w:val="002F34A2"/>
    <w:rsid w:val="002F3A86"/>
    <w:rsid w:val="002F3C64"/>
    <w:rsid w:val="002F3D31"/>
    <w:rsid w:val="002F4431"/>
    <w:rsid w:val="002F443C"/>
    <w:rsid w:val="002F478D"/>
    <w:rsid w:val="002F47E7"/>
    <w:rsid w:val="002F4D78"/>
    <w:rsid w:val="002F510D"/>
    <w:rsid w:val="002F520A"/>
    <w:rsid w:val="002F553E"/>
    <w:rsid w:val="002F5F61"/>
    <w:rsid w:val="00300081"/>
    <w:rsid w:val="0030023E"/>
    <w:rsid w:val="0030059B"/>
    <w:rsid w:val="00300FC5"/>
    <w:rsid w:val="00301277"/>
    <w:rsid w:val="00301837"/>
    <w:rsid w:val="003019CD"/>
    <w:rsid w:val="00301AD7"/>
    <w:rsid w:val="00302002"/>
    <w:rsid w:val="00302483"/>
    <w:rsid w:val="00302B28"/>
    <w:rsid w:val="0030341B"/>
    <w:rsid w:val="003034D2"/>
    <w:rsid w:val="0030373E"/>
    <w:rsid w:val="00303A1B"/>
    <w:rsid w:val="00303C4B"/>
    <w:rsid w:val="003040D8"/>
    <w:rsid w:val="003045BE"/>
    <w:rsid w:val="00305766"/>
    <w:rsid w:val="00305F53"/>
    <w:rsid w:val="003060F3"/>
    <w:rsid w:val="0030612A"/>
    <w:rsid w:val="0030638A"/>
    <w:rsid w:val="003068EC"/>
    <w:rsid w:val="00306C01"/>
    <w:rsid w:val="00307144"/>
    <w:rsid w:val="00307269"/>
    <w:rsid w:val="0030759B"/>
    <w:rsid w:val="003076C4"/>
    <w:rsid w:val="003077C9"/>
    <w:rsid w:val="003079A6"/>
    <w:rsid w:val="0031000E"/>
    <w:rsid w:val="003101BD"/>
    <w:rsid w:val="003106C8"/>
    <w:rsid w:val="00310E3F"/>
    <w:rsid w:val="00311270"/>
    <w:rsid w:val="0031175D"/>
    <w:rsid w:val="003119DD"/>
    <w:rsid w:val="00311D07"/>
    <w:rsid w:val="00312297"/>
    <w:rsid w:val="00312A1F"/>
    <w:rsid w:val="00313221"/>
    <w:rsid w:val="00313367"/>
    <w:rsid w:val="0031354F"/>
    <w:rsid w:val="00313CBA"/>
    <w:rsid w:val="00314614"/>
    <w:rsid w:val="00314739"/>
    <w:rsid w:val="00314773"/>
    <w:rsid w:val="00314F8A"/>
    <w:rsid w:val="003150A9"/>
    <w:rsid w:val="003151F3"/>
    <w:rsid w:val="003152FA"/>
    <w:rsid w:val="00315384"/>
    <w:rsid w:val="003154DB"/>
    <w:rsid w:val="0031623F"/>
    <w:rsid w:val="00316779"/>
    <w:rsid w:val="00316DDF"/>
    <w:rsid w:val="00316F99"/>
    <w:rsid w:val="00317DA5"/>
    <w:rsid w:val="003201D0"/>
    <w:rsid w:val="003205E0"/>
    <w:rsid w:val="00321386"/>
    <w:rsid w:val="003215A8"/>
    <w:rsid w:val="00321788"/>
    <w:rsid w:val="00321848"/>
    <w:rsid w:val="00321CB3"/>
    <w:rsid w:val="00321E81"/>
    <w:rsid w:val="00322045"/>
    <w:rsid w:val="00322341"/>
    <w:rsid w:val="003226A7"/>
    <w:rsid w:val="0032270C"/>
    <w:rsid w:val="00323457"/>
    <w:rsid w:val="0032345B"/>
    <w:rsid w:val="003235FE"/>
    <w:rsid w:val="0032378F"/>
    <w:rsid w:val="00323CA3"/>
    <w:rsid w:val="00324D25"/>
    <w:rsid w:val="00324FF5"/>
    <w:rsid w:val="003255AF"/>
    <w:rsid w:val="003256A0"/>
    <w:rsid w:val="00325DFE"/>
    <w:rsid w:val="003265DE"/>
    <w:rsid w:val="00326A08"/>
    <w:rsid w:val="00326A8B"/>
    <w:rsid w:val="003274C7"/>
    <w:rsid w:val="003275D6"/>
    <w:rsid w:val="0032767E"/>
    <w:rsid w:val="003277C6"/>
    <w:rsid w:val="00327845"/>
    <w:rsid w:val="00327B0E"/>
    <w:rsid w:val="003302CF"/>
    <w:rsid w:val="0033043B"/>
    <w:rsid w:val="0033049D"/>
    <w:rsid w:val="00330559"/>
    <w:rsid w:val="00330793"/>
    <w:rsid w:val="00330B86"/>
    <w:rsid w:val="00330DB5"/>
    <w:rsid w:val="00331306"/>
    <w:rsid w:val="003313C8"/>
    <w:rsid w:val="00331659"/>
    <w:rsid w:val="003318B6"/>
    <w:rsid w:val="003319C5"/>
    <w:rsid w:val="00331A58"/>
    <w:rsid w:val="003320F9"/>
    <w:rsid w:val="003327BD"/>
    <w:rsid w:val="003338EB"/>
    <w:rsid w:val="00334259"/>
    <w:rsid w:val="00334446"/>
    <w:rsid w:val="0033444C"/>
    <w:rsid w:val="00334725"/>
    <w:rsid w:val="00334A38"/>
    <w:rsid w:val="00334AF1"/>
    <w:rsid w:val="003350C9"/>
    <w:rsid w:val="00335332"/>
    <w:rsid w:val="003353D5"/>
    <w:rsid w:val="0033598A"/>
    <w:rsid w:val="00335A53"/>
    <w:rsid w:val="00336328"/>
    <w:rsid w:val="003379A4"/>
    <w:rsid w:val="00337BB0"/>
    <w:rsid w:val="00337BDD"/>
    <w:rsid w:val="00337CB6"/>
    <w:rsid w:val="00337E7A"/>
    <w:rsid w:val="003403AE"/>
    <w:rsid w:val="003409BD"/>
    <w:rsid w:val="00340E3E"/>
    <w:rsid w:val="0034111B"/>
    <w:rsid w:val="00342559"/>
    <w:rsid w:val="00342D1A"/>
    <w:rsid w:val="0034339B"/>
    <w:rsid w:val="00343830"/>
    <w:rsid w:val="00343860"/>
    <w:rsid w:val="00343AB5"/>
    <w:rsid w:val="00344CEF"/>
    <w:rsid w:val="00344F44"/>
    <w:rsid w:val="0034511C"/>
    <w:rsid w:val="00345191"/>
    <w:rsid w:val="0034550A"/>
    <w:rsid w:val="003458EC"/>
    <w:rsid w:val="003459C8"/>
    <w:rsid w:val="00345B7B"/>
    <w:rsid w:val="003461FB"/>
    <w:rsid w:val="0034620C"/>
    <w:rsid w:val="00346579"/>
    <w:rsid w:val="00346C50"/>
    <w:rsid w:val="00346D73"/>
    <w:rsid w:val="003474B3"/>
    <w:rsid w:val="0034757D"/>
    <w:rsid w:val="00347A1B"/>
    <w:rsid w:val="00347CA3"/>
    <w:rsid w:val="00347F9F"/>
    <w:rsid w:val="0035066E"/>
    <w:rsid w:val="00351032"/>
    <w:rsid w:val="0035149A"/>
    <w:rsid w:val="00351668"/>
    <w:rsid w:val="00351FA4"/>
    <w:rsid w:val="0035238D"/>
    <w:rsid w:val="00352650"/>
    <w:rsid w:val="00352775"/>
    <w:rsid w:val="00352F14"/>
    <w:rsid w:val="003530B3"/>
    <w:rsid w:val="00353D69"/>
    <w:rsid w:val="0035515B"/>
    <w:rsid w:val="00355317"/>
    <w:rsid w:val="0035546F"/>
    <w:rsid w:val="003554B1"/>
    <w:rsid w:val="003554BD"/>
    <w:rsid w:val="003554CE"/>
    <w:rsid w:val="00356586"/>
    <w:rsid w:val="00356792"/>
    <w:rsid w:val="003571E2"/>
    <w:rsid w:val="00357423"/>
    <w:rsid w:val="003576C9"/>
    <w:rsid w:val="00360A82"/>
    <w:rsid w:val="00360E22"/>
    <w:rsid w:val="00361062"/>
    <w:rsid w:val="003610F5"/>
    <w:rsid w:val="003616F4"/>
    <w:rsid w:val="003617E0"/>
    <w:rsid w:val="00362B5E"/>
    <w:rsid w:val="003638E9"/>
    <w:rsid w:val="003643A5"/>
    <w:rsid w:val="00364D97"/>
    <w:rsid w:val="0036533F"/>
    <w:rsid w:val="00365370"/>
    <w:rsid w:val="0036554C"/>
    <w:rsid w:val="00365DE2"/>
    <w:rsid w:val="003661C9"/>
    <w:rsid w:val="0036693A"/>
    <w:rsid w:val="00366AFA"/>
    <w:rsid w:val="00366C31"/>
    <w:rsid w:val="00366E38"/>
    <w:rsid w:val="00366E4E"/>
    <w:rsid w:val="00367606"/>
    <w:rsid w:val="003676E5"/>
    <w:rsid w:val="003676EA"/>
    <w:rsid w:val="00367886"/>
    <w:rsid w:val="00367AD9"/>
    <w:rsid w:val="00367CC7"/>
    <w:rsid w:val="00367F73"/>
    <w:rsid w:val="00370219"/>
    <w:rsid w:val="0037051E"/>
    <w:rsid w:val="00370859"/>
    <w:rsid w:val="00370C14"/>
    <w:rsid w:val="00370C8A"/>
    <w:rsid w:val="00370D93"/>
    <w:rsid w:val="00371208"/>
    <w:rsid w:val="003718D9"/>
    <w:rsid w:val="00371E8D"/>
    <w:rsid w:val="0037207D"/>
    <w:rsid w:val="00372389"/>
    <w:rsid w:val="003723E4"/>
    <w:rsid w:val="00372564"/>
    <w:rsid w:val="00372644"/>
    <w:rsid w:val="003728DD"/>
    <w:rsid w:val="00372B3F"/>
    <w:rsid w:val="00372C6C"/>
    <w:rsid w:val="0037334A"/>
    <w:rsid w:val="003734B3"/>
    <w:rsid w:val="00373DE4"/>
    <w:rsid w:val="0037443B"/>
    <w:rsid w:val="00374D3E"/>
    <w:rsid w:val="00375430"/>
    <w:rsid w:val="00375820"/>
    <w:rsid w:val="00375B14"/>
    <w:rsid w:val="00375D85"/>
    <w:rsid w:val="00375E72"/>
    <w:rsid w:val="003760FD"/>
    <w:rsid w:val="003769D5"/>
    <w:rsid w:val="00377386"/>
    <w:rsid w:val="00377475"/>
    <w:rsid w:val="00377A8C"/>
    <w:rsid w:val="00377E5C"/>
    <w:rsid w:val="00377F4C"/>
    <w:rsid w:val="0038054C"/>
    <w:rsid w:val="0038061C"/>
    <w:rsid w:val="0038090C"/>
    <w:rsid w:val="00381007"/>
    <w:rsid w:val="00381168"/>
    <w:rsid w:val="00381E3D"/>
    <w:rsid w:val="003825F4"/>
    <w:rsid w:val="00382A2C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6871"/>
    <w:rsid w:val="00386891"/>
    <w:rsid w:val="00386A21"/>
    <w:rsid w:val="0038735C"/>
    <w:rsid w:val="003874B4"/>
    <w:rsid w:val="00387631"/>
    <w:rsid w:val="00387823"/>
    <w:rsid w:val="00387CB2"/>
    <w:rsid w:val="00390044"/>
    <w:rsid w:val="003903CE"/>
    <w:rsid w:val="003903FB"/>
    <w:rsid w:val="00390644"/>
    <w:rsid w:val="0039066F"/>
    <w:rsid w:val="00390809"/>
    <w:rsid w:val="00390D50"/>
    <w:rsid w:val="00390EAD"/>
    <w:rsid w:val="00390EAF"/>
    <w:rsid w:val="003915CD"/>
    <w:rsid w:val="00391CBB"/>
    <w:rsid w:val="00391D90"/>
    <w:rsid w:val="00391DDE"/>
    <w:rsid w:val="00391EF3"/>
    <w:rsid w:val="0039208E"/>
    <w:rsid w:val="003923A6"/>
    <w:rsid w:val="0039252E"/>
    <w:rsid w:val="0039257A"/>
    <w:rsid w:val="00392FE6"/>
    <w:rsid w:val="00393231"/>
    <w:rsid w:val="0039372B"/>
    <w:rsid w:val="0039383D"/>
    <w:rsid w:val="00394932"/>
    <w:rsid w:val="00394FE8"/>
    <w:rsid w:val="0039500E"/>
    <w:rsid w:val="00395069"/>
    <w:rsid w:val="003955AD"/>
    <w:rsid w:val="00395990"/>
    <w:rsid w:val="00395A0A"/>
    <w:rsid w:val="00396C46"/>
    <w:rsid w:val="003972D1"/>
    <w:rsid w:val="00397A3A"/>
    <w:rsid w:val="00397BF1"/>
    <w:rsid w:val="003A0A67"/>
    <w:rsid w:val="003A1273"/>
    <w:rsid w:val="003A1596"/>
    <w:rsid w:val="003A1FEA"/>
    <w:rsid w:val="003A2563"/>
    <w:rsid w:val="003A27ED"/>
    <w:rsid w:val="003A344A"/>
    <w:rsid w:val="003A3622"/>
    <w:rsid w:val="003A3681"/>
    <w:rsid w:val="003A36D4"/>
    <w:rsid w:val="003A4139"/>
    <w:rsid w:val="003A41B8"/>
    <w:rsid w:val="003A495B"/>
    <w:rsid w:val="003A4B2F"/>
    <w:rsid w:val="003A4C4A"/>
    <w:rsid w:val="003A4F9E"/>
    <w:rsid w:val="003A5033"/>
    <w:rsid w:val="003A53AA"/>
    <w:rsid w:val="003A5EEB"/>
    <w:rsid w:val="003A6A10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42"/>
    <w:rsid w:val="003B1083"/>
    <w:rsid w:val="003B12DB"/>
    <w:rsid w:val="003B1C5D"/>
    <w:rsid w:val="003B1DB0"/>
    <w:rsid w:val="003B1EAD"/>
    <w:rsid w:val="003B1F1C"/>
    <w:rsid w:val="003B23A8"/>
    <w:rsid w:val="003B26BB"/>
    <w:rsid w:val="003B28B9"/>
    <w:rsid w:val="003B30A1"/>
    <w:rsid w:val="003B3822"/>
    <w:rsid w:val="003B3BAD"/>
    <w:rsid w:val="003B3F02"/>
    <w:rsid w:val="003B3F64"/>
    <w:rsid w:val="003B4644"/>
    <w:rsid w:val="003B47A9"/>
    <w:rsid w:val="003B4B26"/>
    <w:rsid w:val="003B4E29"/>
    <w:rsid w:val="003B50BB"/>
    <w:rsid w:val="003B5306"/>
    <w:rsid w:val="003B5757"/>
    <w:rsid w:val="003B6179"/>
    <w:rsid w:val="003B69D0"/>
    <w:rsid w:val="003B778A"/>
    <w:rsid w:val="003B7B4D"/>
    <w:rsid w:val="003C0125"/>
    <w:rsid w:val="003C03F7"/>
    <w:rsid w:val="003C05CD"/>
    <w:rsid w:val="003C0FE5"/>
    <w:rsid w:val="003C1BBB"/>
    <w:rsid w:val="003C1CAF"/>
    <w:rsid w:val="003C22D4"/>
    <w:rsid w:val="003C27AC"/>
    <w:rsid w:val="003C29AF"/>
    <w:rsid w:val="003C3F73"/>
    <w:rsid w:val="003C40A2"/>
    <w:rsid w:val="003C4502"/>
    <w:rsid w:val="003C4BA9"/>
    <w:rsid w:val="003C5519"/>
    <w:rsid w:val="003C57D1"/>
    <w:rsid w:val="003C5A97"/>
    <w:rsid w:val="003C616B"/>
    <w:rsid w:val="003C681D"/>
    <w:rsid w:val="003C6BED"/>
    <w:rsid w:val="003C7965"/>
    <w:rsid w:val="003C7D06"/>
    <w:rsid w:val="003C7EF7"/>
    <w:rsid w:val="003D032B"/>
    <w:rsid w:val="003D0E1F"/>
    <w:rsid w:val="003D1182"/>
    <w:rsid w:val="003D1AE0"/>
    <w:rsid w:val="003D1D57"/>
    <w:rsid w:val="003D22DA"/>
    <w:rsid w:val="003D2706"/>
    <w:rsid w:val="003D28C7"/>
    <w:rsid w:val="003D2B8A"/>
    <w:rsid w:val="003D2E9B"/>
    <w:rsid w:val="003D2F70"/>
    <w:rsid w:val="003D3201"/>
    <w:rsid w:val="003D32E8"/>
    <w:rsid w:val="003D3779"/>
    <w:rsid w:val="003D425A"/>
    <w:rsid w:val="003D42A1"/>
    <w:rsid w:val="003D4866"/>
    <w:rsid w:val="003D507A"/>
    <w:rsid w:val="003D5B8A"/>
    <w:rsid w:val="003D6280"/>
    <w:rsid w:val="003D66CB"/>
    <w:rsid w:val="003D687A"/>
    <w:rsid w:val="003D6A57"/>
    <w:rsid w:val="003D6E45"/>
    <w:rsid w:val="003D75D0"/>
    <w:rsid w:val="003D79FE"/>
    <w:rsid w:val="003D7A2D"/>
    <w:rsid w:val="003D7C91"/>
    <w:rsid w:val="003E043F"/>
    <w:rsid w:val="003E07F1"/>
    <w:rsid w:val="003E0E8C"/>
    <w:rsid w:val="003E113F"/>
    <w:rsid w:val="003E1418"/>
    <w:rsid w:val="003E4478"/>
    <w:rsid w:val="003E4979"/>
    <w:rsid w:val="003E4B79"/>
    <w:rsid w:val="003E4B85"/>
    <w:rsid w:val="003E581F"/>
    <w:rsid w:val="003E5B33"/>
    <w:rsid w:val="003E5F16"/>
    <w:rsid w:val="003E6340"/>
    <w:rsid w:val="003E634D"/>
    <w:rsid w:val="003E64BB"/>
    <w:rsid w:val="003E6AC1"/>
    <w:rsid w:val="003E77B4"/>
    <w:rsid w:val="003E7EEA"/>
    <w:rsid w:val="003F01E7"/>
    <w:rsid w:val="003F1726"/>
    <w:rsid w:val="003F18CF"/>
    <w:rsid w:val="003F1A42"/>
    <w:rsid w:val="003F1EB2"/>
    <w:rsid w:val="003F2BFE"/>
    <w:rsid w:val="003F3A44"/>
    <w:rsid w:val="003F4238"/>
    <w:rsid w:val="003F4F48"/>
    <w:rsid w:val="003F564C"/>
    <w:rsid w:val="003F5A7B"/>
    <w:rsid w:val="003F5B9C"/>
    <w:rsid w:val="003F5E65"/>
    <w:rsid w:val="003F5F0A"/>
    <w:rsid w:val="003F68DB"/>
    <w:rsid w:val="003F6DF4"/>
    <w:rsid w:val="003F7022"/>
    <w:rsid w:val="003F7263"/>
    <w:rsid w:val="003F7B36"/>
    <w:rsid w:val="003F7D77"/>
    <w:rsid w:val="00400A5E"/>
    <w:rsid w:val="00401418"/>
    <w:rsid w:val="004015B0"/>
    <w:rsid w:val="004016AD"/>
    <w:rsid w:val="00401A15"/>
    <w:rsid w:val="00401C5B"/>
    <w:rsid w:val="00401DB1"/>
    <w:rsid w:val="00401E08"/>
    <w:rsid w:val="004020FB"/>
    <w:rsid w:val="0040230D"/>
    <w:rsid w:val="004028D0"/>
    <w:rsid w:val="00402940"/>
    <w:rsid w:val="00403226"/>
    <w:rsid w:val="00403333"/>
    <w:rsid w:val="004034BA"/>
    <w:rsid w:val="00403827"/>
    <w:rsid w:val="004040E3"/>
    <w:rsid w:val="00404D4D"/>
    <w:rsid w:val="00407CDA"/>
    <w:rsid w:val="004100FD"/>
    <w:rsid w:val="0041029D"/>
    <w:rsid w:val="00410347"/>
    <w:rsid w:val="004104BF"/>
    <w:rsid w:val="0041068A"/>
    <w:rsid w:val="004106B2"/>
    <w:rsid w:val="00410DEC"/>
    <w:rsid w:val="0041138F"/>
    <w:rsid w:val="0041166E"/>
    <w:rsid w:val="004117A1"/>
    <w:rsid w:val="004118D5"/>
    <w:rsid w:val="004124D5"/>
    <w:rsid w:val="00412BA7"/>
    <w:rsid w:val="00412C31"/>
    <w:rsid w:val="00412EF3"/>
    <w:rsid w:val="004133CD"/>
    <w:rsid w:val="00413549"/>
    <w:rsid w:val="00413DA1"/>
    <w:rsid w:val="00414538"/>
    <w:rsid w:val="0041479C"/>
    <w:rsid w:val="00414E58"/>
    <w:rsid w:val="004166F6"/>
    <w:rsid w:val="00416787"/>
    <w:rsid w:val="0041700C"/>
    <w:rsid w:val="00417C7F"/>
    <w:rsid w:val="004203CA"/>
    <w:rsid w:val="004208D7"/>
    <w:rsid w:val="00420C77"/>
    <w:rsid w:val="00420CA2"/>
    <w:rsid w:val="004210BA"/>
    <w:rsid w:val="0042126F"/>
    <w:rsid w:val="004215FA"/>
    <w:rsid w:val="00421878"/>
    <w:rsid w:val="00421ED4"/>
    <w:rsid w:val="004228EE"/>
    <w:rsid w:val="00422BB1"/>
    <w:rsid w:val="00422BD5"/>
    <w:rsid w:val="00422D87"/>
    <w:rsid w:val="0042325A"/>
    <w:rsid w:val="0042336F"/>
    <w:rsid w:val="004234EF"/>
    <w:rsid w:val="00424208"/>
    <w:rsid w:val="004242F2"/>
    <w:rsid w:val="004249DB"/>
    <w:rsid w:val="00424C76"/>
    <w:rsid w:val="00425554"/>
    <w:rsid w:val="0042556A"/>
    <w:rsid w:val="00425B68"/>
    <w:rsid w:val="00425C9F"/>
    <w:rsid w:val="004268A5"/>
    <w:rsid w:val="004272CD"/>
    <w:rsid w:val="00427A53"/>
    <w:rsid w:val="00427FC5"/>
    <w:rsid w:val="00430013"/>
    <w:rsid w:val="004300E1"/>
    <w:rsid w:val="00430294"/>
    <w:rsid w:val="00430330"/>
    <w:rsid w:val="004309CF"/>
    <w:rsid w:val="00430B44"/>
    <w:rsid w:val="00430CB8"/>
    <w:rsid w:val="00430F27"/>
    <w:rsid w:val="00431001"/>
    <w:rsid w:val="0043104B"/>
    <w:rsid w:val="0043151E"/>
    <w:rsid w:val="0043181D"/>
    <w:rsid w:val="00432281"/>
    <w:rsid w:val="0043274D"/>
    <w:rsid w:val="004328E4"/>
    <w:rsid w:val="00432937"/>
    <w:rsid w:val="00433460"/>
    <w:rsid w:val="00433D87"/>
    <w:rsid w:val="00433ECE"/>
    <w:rsid w:val="004343C2"/>
    <w:rsid w:val="004347A7"/>
    <w:rsid w:val="00434800"/>
    <w:rsid w:val="00434F9C"/>
    <w:rsid w:val="0043531E"/>
    <w:rsid w:val="00435BEB"/>
    <w:rsid w:val="00435F09"/>
    <w:rsid w:val="00435F6F"/>
    <w:rsid w:val="004363D3"/>
    <w:rsid w:val="00436548"/>
    <w:rsid w:val="00436C20"/>
    <w:rsid w:val="00437368"/>
    <w:rsid w:val="004373A1"/>
    <w:rsid w:val="0043760F"/>
    <w:rsid w:val="00437844"/>
    <w:rsid w:val="00437FBE"/>
    <w:rsid w:val="00440392"/>
    <w:rsid w:val="00440502"/>
    <w:rsid w:val="00440B8C"/>
    <w:rsid w:val="00440C3A"/>
    <w:rsid w:val="00441069"/>
    <w:rsid w:val="004412E5"/>
    <w:rsid w:val="004415FC"/>
    <w:rsid w:val="00441989"/>
    <w:rsid w:val="00442112"/>
    <w:rsid w:val="00442475"/>
    <w:rsid w:val="00442822"/>
    <w:rsid w:val="0044294A"/>
    <w:rsid w:val="004433F4"/>
    <w:rsid w:val="004437F3"/>
    <w:rsid w:val="00443A3A"/>
    <w:rsid w:val="00443AE0"/>
    <w:rsid w:val="00443D1A"/>
    <w:rsid w:val="004442B1"/>
    <w:rsid w:val="004443FB"/>
    <w:rsid w:val="004445E5"/>
    <w:rsid w:val="0044476D"/>
    <w:rsid w:val="00445064"/>
    <w:rsid w:val="00445172"/>
    <w:rsid w:val="00447603"/>
    <w:rsid w:val="00447999"/>
    <w:rsid w:val="0044799D"/>
    <w:rsid w:val="00447AC5"/>
    <w:rsid w:val="00447EAD"/>
    <w:rsid w:val="004504A7"/>
    <w:rsid w:val="00450899"/>
    <w:rsid w:val="004508B7"/>
    <w:rsid w:val="00450D48"/>
    <w:rsid w:val="00450FE9"/>
    <w:rsid w:val="0045176B"/>
    <w:rsid w:val="00451A7B"/>
    <w:rsid w:val="00451AFF"/>
    <w:rsid w:val="0045210A"/>
    <w:rsid w:val="004522A6"/>
    <w:rsid w:val="00452623"/>
    <w:rsid w:val="004529D7"/>
    <w:rsid w:val="00452A11"/>
    <w:rsid w:val="00452D8F"/>
    <w:rsid w:val="00453648"/>
    <w:rsid w:val="00453BF4"/>
    <w:rsid w:val="00454571"/>
    <w:rsid w:val="00455AFA"/>
    <w:rsid w:val="00456308"/>
    <w:rsid w:val="00456347"/>
    <w:rsid w:val="004566BE"/>
    <w:rsid w:val="0045682E"/>
    <w:rsid w:val="004568B4"/>
    <w:rsid w:val="0045698F"/>
    <w:rsid w:val="00457142"/>
    <w:rsid w:val="004573A4"/>
    <w:rsid w:val="00457493"/>
    <w:rsid w:val="004578A5"/>
    <w:rsid w:val="00457958"/>
    <w:rsid w:val="0046087C"/>
    <w:rsid w:val="0046115F"/>
    <w:rsid w:val="0046148D"/>
    <w:rsid w:val="00461535"/>
    <w:rsid w:val="004619CF"/>
    <w:rsid w:val="004620E9"/>
    <w:rsid w:val="004627CF"/>
    <w:rsid w:val="00462977"/>
    <w:rsid w:val="00462CEE"/>
    <w:rsid w:val="00462DBA"/>
    <w:rsid w:val="004635B7"/>
    <w:rsid w:val="00464027"/>
    <w:rsid w:val="004641CB"/>
    <w:rsid w:val="004642BC"/>
    <w:rsid w:val="0046443B"/>
    <w:rsid w:val="00464BC7"/>
    <w:rsid w:val="004651B8"/>
    <w:rsid w:val="00465580"/>
    <w:rsid w:val="00465972"/>
    <w:rsid w:val="00465E7E"/>
    <w:rsid w:val="00466AA3"/>
    <w:rsid w:val="00466BB5"/>
    <w:rsid w:val="004671A2"/>
    <w:rsid w:val="004672E8"/>
    <w:rsid w:val="004677E9"/>
    <w:rsid w:val="00470535"/>
    <w:rsid w:val="00470F0D"/>
    <w:rsid w:val="00471183"/>
    <w:rsid w:val="0047123C"/>
    <w:rsid w:val="004713FF"/>
    <w:rsid w:val="004714F6"/>
    <w:rsid w:val="0047252D"/>
    <w:rsid w:val="0047289C"/>
    <w:rsid w:val="00472E22"/>
    <w:rsid w:val="00472F67"/>
    <w:rsid w:val="00473132"/>
    <w:rsid w:val="004733A8"/>
    <w:rsid w:val="004739A1"/>
    <w:rsid w:val="0047430D"/>
    <w:rsid w:val="00474FDF"/>
    <w:rsid w:val="00475688"/>
    <w:rsid w:val="004758F6"/>
    <w:rsid w:val="004759E3"/>
    <w:rsid w:val="00475C51"/>
    <w:rsid w:val="00476161"/>
    <w:rsid w:val="00476658"/>
    <w:rsid w:val="0047678A"/>
    <w:rsid w:val="00476E34"/>
    <w:rsid w:val="00476EE1"/>
    <w:rsid w:val="00477163"/>
    <w:rsid w:val="00477857"/>
    <w:rsid w:val="00477B0E"/>
    <w:rsid w:val="00477B39"/>
    <w:rsid w:val="0048012C"/>
    <w:rsid w:val="00481688"/>
    <w:rsid w:val="004820E0"/>
    <w:rsid w:val="004822CA"/>
    <w:rsid w:val="004838B0"/>
    <w:rsid w:val="00483DF7"/>
    <w:rsid w:val="00483F95"/>
    <w:rsid w:val="00484493"/>
    <w:rsid w:val="004847DD"/>
    <w:rsid w:val="00484D20"/>
    <w:rsid w:val="00484D47"/>
    <w:rsid w:val="00484F92"/>
    <w:rsid w:val="004850C1"/>
    <w:rsid w:val="004862A1"/>
    <w:rsid w:val="004864E7"/>
    <w:rsid w:val="00486F54"/>
    <w:rsid w:val="004871B4"/>
    <w:rsid w:val="004876DD"/>
    <w:rsid w:val="00487E8E"/>
    <w:rsid w:val="00490973"/>
    <w:rsid w:val="004915E7"/>
    <w:rsid w:val="0049178A"/>
    <w:rsid w:val="00491C1D"/>
    <w:rsid w:val="00491DF1"/>
    <w:rsid w:val="00492535"/>
    <w:rsid w:val="004927C9"/>
    <w:rsid w:val="00492D54"/>
    <w:rsid w:val="00493435"/>
    <w:rsid w:val="00494B28"/>
    <w:rsid w:val="00495137"/>
    <w:rsid w:val="0049534E"/>
    <w:rsid w:val="00495660"/>
    <w:rsid w:val="00495A31"/>
    <w:rsid w:val="00495FFF"/>
    <w:rsid w:val="00496A9F"/>
    <w:rsid w:val="00497358"/>
    <w:rsid w:val="00497FA5"/>
    <w:rsid w:val="004A03B3"/>
    <w:rsid w:val="004A04D5"/>
    <w:rsid w:val="004A1253"/>
    <w:rsid w:val="004A13FE"/>
    <w:rsid w:val="004A19BC"/>
    <w:rsid w:val="004A1B07"/>
    <w:rsid w:val="004A1BF6"/>
    <w:rsid w:val="004A2E04"/>
    <w:rsid w:val="004A3226"/>
    <w:rsid w:val="004A399F"/>
    <w:rsid w:val="004A4096"/>
    <w:rsid w:val="004A417F"/>
    <w:rsid w:val="004A4692"/>
    <w:rsid w:val="004A59B8"/>
    <w:rsid w:val="004A5D5A"/>
    <w:rsid w:val="004A669F"/>
    <w:rsid w:val="004A6842"/>
    <w:rsid w:val="004A6F3B"/>
    <w:rsid w:val="004A718C"/>
    <w:rsid w:val="004A71A2"/>
    <w:rsid w:val="004A76A2"/>
    <w:rsid w:val="004A7DBE"/>
    <w:rsid w:val="004A7F94"/>
    <w:rsid w:val="004B03D1"/>
    <w:rsid w:val="004B08AC"/>
    <w:rsid w:val="004B097E"/>
    <w:rsid w:val="004B0D88"/>
    <w:rsid w:val="004B1151"/>
    <w:rsid w:val="004B1172"/>
    <w:rsid w:val="004B1C77"/>
    <w:rsid w:val="004B206E"/>
    <w:rsid w:val="004B229E"/>
    <w:rsid w:val="004B29C2"/>
    <w:rsid w:val="004B29E1"/>
    <w:rsid w:val="004B2C52"/>
    <w:rsid w:val="004B2F46"/>
    <w:rsid w:val="004B2FEB"/>
    <w:rsid w:val="004B395D"/>
    <w:rsid w:val="004B3AE1"/>
    <w:rsid w:val="004B3F34"/>
    <w:rsid w:val="004B4194"/>
    <w:rsid w:val="004B457E"/>
    <w:rsid w:val="004B55F0"/>
    <w:rsid w:val="004B56C3"/>
    <w:rsid w:val="004B63F8"/>
    <w:rsid w:val="004B6928"/>
    <w:rsid w:val="004B7593"/>
    <w:rsid w:val="004B79FA"/>
    <w:rsid w:val="004B7D94"/>
    <w:rsid w:val="004C05ED"/>
    <w:rsid w:val="004C0FB7"/>
    <w:rsid w:val="004C104B"/>
    <w:rsid w:val="004C1145"/>
    <w:rsid w:val="004C1542"/>
    <w:rsid w:val="004C164A"/>
    <w:rsid w:val="004C2E14"/>
    <w:rsid w:val="004C2FE3"/>
    <w:rsid w:val="004C305A"/>
    <w:rsid w:val="004C35EF"/>
    <w:rsid w:val="004C3847"/>
    <w:rsid w:val="004C3BCF"/>
    <w:rsid w:val="004C4829"/>
    <w:rsid w:val="004C4C58"/>
    <w:rsid w:val="004C4D30"/>
    <w:rsid w:val="004C4EAB"/>
    <w:rsid w:val="004C5570"/>
    <w:rsid w:val="004C59E9"/>
    <w:rsid w:val="004C5BD0"/>
    <w:rsid w:val="004C5D52"/>
    <w:rsid w:val="004C5DB0"/>
    <w:rsid w:val="004C5F01"/>
    <w:rsid w:val="004C60D8"/>
    <w:rsid w:val="004C6197"/>
    <w:rsid w:val="004C62EE"/>
    <w:rsid w:val="004C6A0D"/>
    <w:rsid w:val="004C6DF3"/>
    <w:rsid w:val="004C771C"/>
    <w:rsid w:val="004C7D1D"/>
    <w:rsid w:val="004C7D3A"/>
    <w:rsid w:val="004D033C"/>
    <w:rsid w:val="004D0D00"/>
    <w:rsid w:val="004D1000"/>
    <w:rsid w:val="004D147D"/>
    <w:rsid w:val="004D1D27"/>
    <w:rsid w:val="004D2EC3"/>
    <w:rsid w:val="004D2FF6"/>
    <w:rsid w:val="004D3FD6"/>
    <w:rsid w:val="004D405F"/>
    <w:rsid w:val="004D45B5"/>
    <w:rsid w:val="004D55CA"/>
    <w:rsid w:val="004D5A27"/>
    <w:rsid w:val="004D5C5B"/>
    <w:rsid w:val="004D5F0E"/>
    <w:rsid w:val="004D6626"/>
    <w:rsid w:val="004D6758"/>
    <w:rsid w:val="004D6762"/>
    <w:rsid w:val="004D7476"/>
    <w:rsid w:val="004D7B1A"/>
    <w:rsid w:val="004E0830"/>
    <w:rsid w:val="004E0CE3"/>
    <w:rsid w:val="004E169C"/>
    <w:rsid w:val="004E1BF0"/>
    <w:rsid w:val="004E1E6A"/>
    <w:rsid w:val="004E28E1"/>
    <w:rsid w:val="004E2B01"/>
    <w:rsid w:val="004E34C7"/>
    <w:rsid w:val="004E356A"/>
    <w:rsid w:val="004E3750"/>
    <w:rsid w:val="004E375D"/>
    <w:rsid w:val="004E3850"/>
    <w:rsid w:val="004E3FC1"/>
    <w:rsid w:val="004E400D"/>
    <w:rsid w:val="004E482D"/>
    <w:rsid w:val="004E56A1"/>
    <w:rsid w:val="004E56F3"/>
    <w:rsid w:val="004E58EA"/>
    <w:rsid w:val="004E5F65"/>
    <w:rsid w:val="004E6537"/>
    <w:rsid w:val="004E6C7A"/>
    <w:rsid w:val="004E7615"/>
    <w:rsid w:val="004E7CDF"/>
    <w:rsid w:val="004F0074"/>
    <w:rsid w:val="004F078C"/>
    <w:rsid w:val="004F1324"/>
    <w:rsid w:val="004F1C7D"/>
    <w:rsid w:val="004F1D24"/>
    <w:rsid w:val="004F21D2"/>
    <w:rsid w:val="004F2621"/>
    <w:rsid w:val="004F2641"/>
    <w:rsid w:val="004F27F3"/>
    <w:rsid w:val="004F296A"/>
    <w:rsid w:val="004F29B9"/>
    <w:rsid w:val="004F2B8E"/>
    <w:rsid w:val="004F2C85"/>
    <w:rsid w:val="004F32BF"/>
    <w:rsid w:val="004F3E6A"/>
    <w:rsid w:val="004F44F5"/>
    <w:rsid w:val="004F469D"/>
    <w:rsid w:val="004F5346"/>
    <w:rsid w:val="004F5C09"/>
    <w:rsid w:val="004F5E4E"/>
    <w:rsid w:val="004F63CC"/>
    <w:rsid w:val="004F6678"/>
    <w:rsid w:val="004F6B28"/>
    <w:rsid w:val="004F6C65"/>
    <w:rsid w:val="004F6D2E"/>
    <w:rsid w:val="004F6FF6"/>
    <w:rsid w:val="004F7F0F"/>
    <w:rsid w:val="004F7FBC"/>
    <w:rsid w:val="005001AE"/>
    <w:rsid w:val="005007E7"/>
    <w:rsid w:val="00500CB0"/>
    <w:rsid w:val="005012FC"/>
    <w:rsid w:val="00501EBE"/>
    <w:rsid w:val="00502181"/>
    <w:rsid w:val="0050261A"/>
    <w:rsid w:val="005027AE"/>
    <w:rsid w:val="00502CBF"/>
    <w:rsid w:val="005032F5"/>
    <w:rsid w:val="00503551"/>
    <w:rsid w:val="00503F38"/>
    <w:rsid w:val="005040B4"/>
    <w:rsid w:val="005043FC"/>
    <w:rsid w:val="00504728"/>
    <w:rsid w:val="00504A01"/>
    <w:rsid w:val="00504A55"/>
    <w:rsid w:val="005054AB"/>
    <w:rsid w:val="00505F08"/>
    <w:rsid w:val="0050633A"/>
    <w:rsid w:val="0050671D"/>
    <w:rsid w:val="0050672C"/>
    <w:rsid w:val="00506C4C"/>
    <w:rsid w:val="0050700E"/>
    <w:rsid w:val="005079D7"/>
    <w:rsid w:val="00507B2A"/>
    <w:rsid w:val="00507B85"/>
    <w:rsid w:val="00507EC1"/>
    <w:rsid w:val="005109BD"/>
    <w:rsid w:val="00510A22"/>
    <w:rsid w:val="00510D8A"/>
    <w:rsid w:val="00510E40"/>
    <w:rsid w:val="00511EBC"/>
    <w:rsid w:val="005125D5"/>
    <w:rsid w:val="00512D51"/>
    <w:rsid w:val="00512E95"/>
    <w:rsid w:val="00514674"/>
    <w:rsid w:val="0051477F"/>
    <w:rsid w:val="00514C46"/>
    <w:rsid w:val="00514F12"/>
    <w:rsid w:val="00515BCF"/>
    <w:rsid w:val="00516083"/>
    <w:rsid w:val="00516162"/>
    <w:rsid w:val="0051635A"/>
    <w:rsid w:val="0051646E"/>
    <w:rsid w:val="005165A7"/>
    <w:rsid w:val="005166C3"/>
    <w:rsid w:val="00516BA1"/>
    <w:rsid w:val="00516EA5"/>
    <w:rsid w:val="0051789D"/>
    <w:rsid w:val="005179DA"/>
    <w:rsid w:val="00517E2A"/>
    <w:rsid w:val="00520C1C"/>
    <w:rsid w:val="00521439"/>
    <w:rsid w:val="00521B4F"/>
    <w:rsid w:val="00522133"/>
    <w:rsid w:val="0052291D"/>
    <w:rsid w:val="0052292E"/>
    <w:rsid w:val="00523297"/>
    <w:rsid w:val="005232E0"/>
    <w:rsid w:val="0052373B"/>
    <w:rsid w:val="00523E00"/>
    <w:rsid w:val="0052439F"/>
    <w:rsid w:val="005243EB"/>
    <w:rsid w:val="00524D2C"/>
    <w:rsid w:val="00525192"/>
    <w:rsid w:val="00525789"/>
    <w:rsid w:val="005257B0"/>
    <w:rsid w:val="00525890"/>
    <w:rsid w:val="00526452"/>
    <w:rsid w:val="00526816"/>
    <w:rsid w:val="00526F09"/>
    <w:rsid w:val="00527F4F"/>
    <w:rsid w:val="00530512"/>
    <w:rsid w:val="00530799"/>
    <w:rsid w:val="0053109F"/>
    <w:rsid w:val="005311E8"/>
    <w:rsid w:val="005312C4"/>
    <w:rsid w:val="0053133A"/>
    <w:rsid w:val="00531744"/>
    <w:rsid w:val="00531822"/>
    <w:rsid w:val="005326D0"/>
    <w:rsid w:val="005327CB"/>
    <w:rsid w:val="00532800"/>
    <w:rsid w:val="005328EC"/>
    <w:rsid w:val="00532951"/>
    <w:rsid w:val="00532A80"/>
    <w:rsid w:val="00532FDA"/>
    <w:rsid w:val="00533142"/>
    <w:rsid w:val="005331F9"/>
    <w:rsid w:val="00533681"/>
    <w:rsid w:val="00533AAC"/>
    <w:rsid w:val="00533B74"/>
    <w:rsid w:val="00533CC8"/>
    <w:rsid w:val="00533EE8"/>
    <w:rsid w:val="0053417D"/>
    <w:rsid w:val="0053490C"/>
    <w:rsid w:val="00535585"/>
    <w:rsid w:val="00536A58"/>
    <w:rsid w:val="00536AB4"/>
    <w:rsid w:val="00536AC6"/>
    <w:rsid w:val="00537127"/>
    <w:rsid w:val="0053764B"/>
    <w:rsid w:val="00540415"/>
    <w:rsid w:val="0054069F"/>
    <w:rsid w:val="00541307"/>
    <w:rsid w:val="00541B60"/>
    <w:rsid w:val="00541DB8"/>
    <w:rsid w:val="00541F9A"/>
    <w:rsid w:val="00542247"/>
    <w:rsid w:val="00542599"/>
    <w:rsid w:val="00542D59"/>
    <w:rsid w:val="00542EB4"/>
    <w:rsid w:val="0054304E"/>
    <w:rsid w:val="00544706"/>
    <w:rsid w:val="005447AF"/>
    <w:rsid w:val="005448B9"/>
    <w:rsid w:val="00544AF7"/>
    <w:rsid w:val="00545136"/>
    <w:rsid w:val="005452C1"/>
    <w:rsid w:val="005454DD"/>
    <w:rsid w:val="005456B9"/>
    <w:rsid w:val="00545B42"/>
    <w:rsid w:val="00545DC2"/>
    <w:rsid w:val="0054612B"/>
    <w:rsid w:val="00546A19"/>
    <w:rsid w:val="00546E7B"/>
    <w:rsid w:val="00547753"/>
    <w:rsid w:val="0054784F"/>
    <w:rsid w:val="005479F5"/>
    <w:rsid w:val="00547D90"/>
    <w:rsid w:val="00547F76"/>
    <w:rsid w:val="005500F2"/>
    <w:rsid w:val="00550380"/>
    <w:rsid w:val="005506A7"/>
    <w:rsid w:val="005508EF"/>
    <w:rsid w:val="005510E3"/>
    <w:rsid w:val="0055173F"/>
    <w:rsid w:val="00551AE8"/>
    <w:rsid w:val="00551D57"/>
    <w:rsid w:val="0055219B"/>
    <w:rsid w:val="00552E11"/>
    <w:rsid w:val="00552FEB"/>
    <w:rsid w:val="0055326B"/>
    <w:rsid w:val="005532A3"/>
    <w:rsid w:val="00553395"/>
    <w:rsid w:val="00553567"/>
    <w:rsid w:val="005538EF"/>
    <w:rsid w:val="0055400F"/>
    <w:rsid w:val="005548DD"/>
    <w:rsid w:val="00555500"/>
    <w:rsid w:val="00555FC3"/>
    <w:rsid w:val="00556027"/>
    <w:rsid w:val="0055645E"/>
    <w:rsid w:val="00556506"/>
    <w:rsid w:val="0055659A"/>
    <w:rsid w:val="00556616"/>
    <w:rsid w:val="00556731"/>
    <w:rsid w:val="00556AD4"/>
    <w:rsid w:val="00557401"/>
    <w:rsid w:val="0055747C"/>
    <w:rsid w:val="005578D4"/>
    <w:rsid w:val="00557D41"/>
    <w:rsid w:val="00557F5B"/>
    <w:rsid w:val="00557FE2"/>
    <w:rsid w:val="0056047A"/>
    <w:rsid w:val="00560729"/>
    <w:rsid w:val="00560A6F"/>
    <w:rsid w:val="00560A86"/>
    <w:rsid w:val="00561AFD"/>
    <w:rsid w:val="00561BCC"/>
    <w:rsid w:val="00561C64"/>
    <w:rsid w:val="0056218D"/>
    <w:rsid w:val="00562EAD"/>
    <w:rsid w:val="00563222"/>
    <w:rsid w:val="00563A7C"/>
    <w:rsid w:val="00563AEB"/>
    <w:rsid w:val="0056437A"/>
    <w:rsid w:val="00564775"/>
    <w:rsid w:val="005649A9"/>
    <w:rsid w:val="00565225"/>
    <w:rsid w:val="00565469"/>
    <w:rsid w:val="00566933"/>
    <w:rsid w:val="00566C28"/>
    <w:rsid w:val="00566EBC"/>
    <w:rsid w:val="00567424"/>
    <w:rsid w:val="00567500"/>
    <w:rsid w:val="0056753D"/>
    <w:rsid w:val="00567811"/>
    <w:rsid w:val="00567A48"/>
    <w:rsid w:val="00567C8B"/>
    <w:rsid w:val="00567CDA"/>
    <w:rsid w:val="00570163"/>
    <w:rsid w:val="005701B3"/>
    <w:rsid w:val="005702BD"/>
    <w:rsid w:val="0057041C"/>
    <w:rsid w:val="005704B1"/>
    <w:rsid w:val="00571005"/>
    <w:rsid w:val="0057243F"/>
    <w:rsid w:val="00572749"/>
    <w:rsid w:val="005739F4"/>
    <w:rsid w:val="00573A7F"/>
    <w:rsid w:val="00573EE1"/>
    <w:rsid w:val="0057406C"/>
    <w:rsid w:val="00575051"/>
    <w:rsid w:val="005758E3"/>
    <w:rsid w:val="0057653F"/>
    <w:rsid w:val="00576D35"/>
    <w:rsid w:val="005777C8"/>
    <w:rsid w:val="00577AD5"/>
    <w:rsid w:val="00577F23"/>
    <w:rsid w:val="00580A72"/>
    <w:rsid w:val="0058107B"/>
    <w:rsid w:val="0058149F"/>
    <w:rsid w:val="0058161B"/>
    <w:rsid w:val="005817A5"/>
    <w:rsid w:val="00581DF3"/>
    <w:rsid w:val="00582853"/>
    <w:rsid w:val="00582893"/>
    <w:rsid w:val="00582C76"/>
    <w:rsid w:val="00583A87"/>
    <w:rsid w:val="0058403B"/>
    <w:rsid w:val="005842BA"/>
    <w:rsid w:val="005843E6"/>
    <w:rsid w:val="005845FA"/>
    <w:rsid w:val="00584AC0"/>
    <w:rsid w:val="0058559A"/>
    <w:rsid w:val="00585B90"/>
    <w:rsid w:val="00585C21"/>
    <w:rsid w:val="005874CD"/>
    <w:rsid w:val="00587597"/>
    <w:rsid w:val="00590D18"/>
    <w:rsid w:val="00590EDD"/>
    <w:rsid w:val="0059115A"/>
    <w:rsid w:val="00591988"/>
    <w:rsid w:val="00591CA1"/>
    <w:rsid w:val="005921C8"/>
    <w:rsid w:val="005922A3"/>
    <w:rsid w:val="0059239E"/>
    <w:rsid w:val="005924DB"/>
    <w:rsid w:val="005929E8"/>
    <w:rsid w:val="00592A2E"/>
    <w:rsid w:val="00592C64"/>
    <w:rsid w:val="00593155"/>
    <w:rsid w:val="0059353B"/>
    <w:rsid w:val="00593673"/>
    <w:rsid w:val="005938DB"/>
    <w:rsid w:val="00593921"/>
    <w:rsid w:val="00593E31"/>
    <w:rsid w:val="00593F5D"/>
    <w:rsid w:val="005949FB"/>
    <w:rsid w:val="00594C1A"/>
    <w:rsid w:val="00594DDF"/>
    <w:rsid w:val="00595106"/>
    <w:rsid w:val="00595692"/>
    <w:rsid w:val="00595B7B"/>
    <w:rsid w:val="00596020"/>
    <w:rsid w:val="0059632F"/>
    <w:rsid w:val="00596436"/>
    <w:rsid w:val="00596791"/>
    <w:rsid w:val="00596BD6"/>
    <w:rsid w:val="005973DA"/>
    <w:rsid w:val="005974CE"/>
    <w:rsid w:val="00597799"/>
    <w:rsid w:val="005977F9"/>
    <w:rsid w:val="00597BA8"/>
    <w:rsid w:val="00597CD1"/>
    <w:rsid w:val="005A01E7"/>
    <w:rsid w:val="005A02C8"/>
    <w:rsid w:val="005A09E5"/>
    <w:rsid w:val="005A1473"/>
    <w:rsid w:val="005A19FF"/>
    <w:rsid w:val="005A2074"/>
    <w:rsid w:val="005A24AE"/>
    <w:rsid w:val="005A2B7A"/>
    <w:rsid w:val="005A3394"/>
    <w:rsid w:val="005A403A"/>
    <w:rsid w:val="005A43BE"/>
    <w:rsid w:val="005A4624"/>
    <w:rsid w:val="005A5011"/>
    <w:rsid w:val="005A508D"/>
    <w:rsid w:val="005A5947"/>
    <w:rsid w:val="005A60BA"/>
    <w:rsid w:val="005A761B"/>
    <w:rsid w:val="005A7BE7"/>
    <w:rsid w:val="005B096F"/>
    <w:rsid w:val="005B0987"/>
    <w:rsid w:val="005B0FB5"/>
    <w:rsid w:val="005B1191"/>
    <w:rsid w:val="005B1205"/>
    <w:rsid w:val="005B1D3B"/>
    <w:rsid w:val="005B2022"/>
    <w:rsid w:val="005B2088"/>
    <w:rsid w:val="005B2225"/>
    <w:rsid w:val="005B2466"/>
    <w:rsid w:val="005B2BBB"/>
    <w:rsid w:val="005B2BF5"/>
    <w:rsid w:val="005B2FD3"/>
    <w:rsid w:val="005B362A"/>
    <w:rsid w:val="005B41B3"/>
    <w:rsid w:val="005B4289"/>
    <w:rsid w:val="005B5841"/>
    <w:rsid w:val="005B5926"/>
    <w:rsid w:val="005B5A74"/>
    <w:rsid w:val="005B5DBE"/>
    <w:rsid w:val="005B66DA"/>
    <w:rsid w:val="005B6927"/>
    <w:rsid w:val="005B698D"/>
    <w:rsid w:val="005B6B33"/>
    <w:rsid w:val="005B6B72"/>
    <w:rsid w:val="005B6BB8"/>
    <w:rsid w:val="005B6BFD"/>
    <w:rsid w:val="005B7331"/>
    <w:rsid w:val="005B75B6"/>
    <w:rsid w:val="005B7F6E"/>
    <w:rsid w:val="005C12AC"/>
    <w:rsid w:val="005C1313"/>
    <w:rsid w:val="005C1C90"/>
    <w:rsid w:val="005C1CEF"/>
    <w:rsid w:val="005C21B6"/>
    <w:rsid w:val="005C21FB"/>
    <w:rsid w:val="005C34AE"/>
    <w:rsid w:val="005C377E"/>
    <w:rsid w:val="005C3964"/>
    <w:rsid w:val="005C41AA"/>
    <w:rsid w:val="005C428A"/>
    <w:rsid w:val="005C4330"/>
    <w:rsid w:val="005C4787"/>
    <w:rsid w:val="005C48B4"/>
    <w:rsid w:val="005C5113"/>
    <w:rsid w:val="005C5226"/>
    <w:rsid w:val="005C54B8"/>
    <w:rsid w:val="005C557C"/>
    <w:rsid w:val="005C56B7"/>
    <w:rsid w:val="005C5CBF"/>
    <w:rsid w:val="005C5CDF"/>
    <w:rsid w:val="005C677E"/>
    <w:rsid w:val="005C6A79"/>
    <w:rsid w:val="005C6CD0"/>
    <w:rsid w:val="005C7072"/>
    <w:rsid w:val="005C7496"/>
    <w:rsid w:val="005C757A"/>
    <w:rsid w:val="005C785E"/>
    <w:rsid w:val="005C78D5"/>
    <w:rsid w:val="005C7EA0"/>
    <w:rsid w:val="005D00B6"/>
    <w:rsid w:val="005D09DC"/>
    <w:rsid w:val="005D101F"/>
    <w:rsid w:val="005D1247"/>
    <w:rsid w:val="005D1B99"/>
    <w:rsid w:val="005D1D60"/>
    <w:rsid w:val="005D205D"/>
    <w:rsid w:val="005D2F54"/>
    <w:rsid w:val="005D33D2"/>
    <w:rsid w:val="005D353D"/>
    <w:rsid w:val="005D380F"/>
    <w:rsid w:val="005D3875"/>
    <w:rsid w:val="005D387F"/>
    <w:rsid w:val="005D3FD5"/>
    <w:rsid w:val="005D51C3"/>
    <w:rsid w:val="005D593D"/>
    <w:rsid w:val="005D5A50"/>
    <w:rsid w:val="005D636B"/>
    <w:rsid w:val="005D63A5"/>
    <w:rsid w:val="005D647D"/>
    <w:rsid w:val="005D69A4"/>
    <w:rsid w:val="005D79B5"/>
    <w:rsid w:val="005D7BDA"/>
    <w:rsid w:val="005E052D"/>
    <w:rsid w:val="005E0A1F"/>
    <w:rsid w:val="005E0DEA"/>
    <w:rsid w:val="005E0FD7"/>
    <w:rsid w:val="005E1667"/>
    <w:rsid w:val="005E17B3"/>
    <w:rsid w:val="005E1BB5"/>
    <w:rsid w:val="005E1BD6"/>
    <w:rsid w:val="005E20D0"/>
    <w:rsid w:val="005E2A79"/>
    <w:rsid w:val="005E2D15"/>
    <w:rsid w:val="005E2D6F"/>
    <w:rsid w:val="005E2EDB"/>
    <w:rsid w:val="005E2FB1"/>
    <w:rsid w:val="005E3850"/>
    <w:rsid w:val="005E3EB4"/>
    <w:rsid w:val="005E40C8"/>
    <w:rsid w:val="005E43DF"/>
    <w:rsid w:val="005E48DE"/>
    <w:rsid w:val="005E4FED"/>
    <w:rsid w:val="005E5625"/>
    <w:rsid w:val="005E566F"/>
    <w:rsid w:val="005E56B1"/>
    <w:rsid w:val="005E5774"/>
    <w:rsid w:val="005E5C6E"/>
    <w:rsid w:val="005E64AF"/>
    <w:rsid w:val="005E6BE9"/>
    <w:rsid w:val="005E6D97"/>
    <w:rsid w:val="005E71A5"/>
    <w:rsid w:val="005E7519"/>
    <w:rsid w:val="005E777B"/>
    <w:rsid w:val="005E77F8"/>
    <w:rsid w:val="005F00D7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8C5"/>
    <w:rsid w:val="005F3D8C"/>
    <w:rsid w:val="005F3DBB"/>
    <w:rsid w:val="005F54B4"/>
    <w:rsid w:val="005F5576"/>
    <w:rsid w:val="005F5915"/>
    <w:rsid w:val="005F5A4E"/>
    <w:rsid w:val="005F5A6F"/>
    <w:rsid w:val="005F5C6D"/>
    <w:rsid w:val="005F5DE7"/>
    <w:rsid w:val="005F5E8E"/>
    <w:rsid w:val="005F60E6"/>
    <w:rsid w:val="005F61DD"/>
    <w:rsid w:val="005F764A"/>
    <w:rsid w:val="0060008E"/>
    <w:rsid w:val="006005C1"/>
    <w:rsid w:val="006011A0"/>
    <w:rsid w:val="00602094"/>
    <w:rsid w:val="0060246D"/>
    <w:rsid w:val="006024AB"/>
    <w:rsid w:val="00602A78"/>
    <w:rsid w:val="00602BCA"/>
    <w:rsid w:val="0060305F"/>
    <w:rsid w:val="006034C7"/>
    <w:rsid w:val="00603B40"/>
    <w:rsid w:val="00604464"/>
    <w:rsid w:val="00604603"/>
    <w:rsid w:val="00604617"/>
    <w:rsid w:val="00604730"/>
    <w:rsid w:val="006049CE"/>
    <w:rsid w:val="00604AE3"/>
    <w:rsid w:val="00604C43"/>
    <w:rsid w:val="00604D1B"/>
    <w:rsid w:val="006052A3"/>
    <w:rsid w:val="006053D8"/>
    <w:rsid w:val="006057CF"/>
    <w:rsid w:val="00605970"/>
    <w:rsid w:val="006059A0"/>
    <w:rsid w:val="00605A1A"/>
    <w:rsid w:val="00606054"/>
    <w:rsid w:val="0060611E"/>
    <w:rsid w:val="0060630A"/>
    <w:rsid w:val="00606311"/>
    <w:rsid w:val="006063E0"/>
    <w:rsid w:val="00606906"/>
    <w:rsid w:val="00606EE7"/>
    <w:rsid w:val="00606FAA"/>
    <w:rsid w:val="00607B3C"/>
    <w:rsid w:val="00607C10"/>
    <w:rsid w:val="00607F9D"/>
    <w:rsid w:val="006116E1"/>
    <w:rsid w:val="00611B65"/>
    <w:rsid w:val="00611BA6"/>
    <w:rsid w:val="00612D19"/>
    <w:rsid w:val="0061316C"/>
    <w:rsid w:val="00613225"/>
    <w:rsid w:val="0061330F"/>
    <w:rsid w:val="00613641"/>
    <w:rsid w:val="006140A6"/>
    <w:rsid w:val="00614139"/>
    <w:rsid w:val="00614483"/>
    <w:rsid w:val="0061464D"/>
    <w:rsid w:val="0061478C"/>
    <w:rsid w:val="00614A16"/>
    <w:rsid w:val="00615030"/>
    <w:rsid w:val="0061516E"/>
    <w:rsid w:val="006151BC"/>
    <w:rsid w:val="00615204"/>
    <w:rsid w:val="006154F0"/>
    <w:rsid w:val="00615758"/>
    <w:rsid w:val="00615E77"/>
    <w:rsid w:val="006162A3"/>
    <w:rsid w:val="006165D6"/>
    <w:rsid w:val="006165EF"/>
    <w:rsid w:val="00616C7D"/>
    <w:rsid w:val="0061735F"/>
    <w:rsid w:val="006205E1"/>
    <w:rsid w:val="006208EE"/>
    <w:rsid w:val="0062091D"/>
    <w:rsid w:val="00620C44"/>
    <w:rsid w:val="0062100E"/>
    <w:rsid w:val="006211A5"/>
    <w:rsid w:val="00621895"/>
    <w:rsid w:val="006219BC"/>
    <w:rsid w:val="00621DD8"/>
    <w:rsid w:val="00622789"/>
    <w:rsid w:val="00622C3A"/>
    <w:rsid w:val="006233C1"/>
    <w:rsid w:val="00623FAD"/>
    <w:rsid w:val="00624021"/>
    <w:rsid w:val="00624649"/>
    <w:rsid w:val="006249A7"/>
    <w:rsid w:val="006249D1"/>
    <w:rsid w:val="00624D4F"/>
    <w:rsid w:val="00625713"/>
    <w:rsid w:val="00625B22"/>
    <w:rsid w:val="00625C53"/>
    <w:rsid w:val="006260AF"/>
    <w:rsid w:val="00626266"/>
    <w:rsid w:val="00626315"/>
    <w:rsid w:val="00626415"/>
    <w:rsid w:val="006265B4"/>
    <w:rsid w:val="00626FCF"/>
    <w:rsid w:val="0062768B"/>
    <w:rsid w:val="00627A49"/>
    <w:rsid w:val="00627D60"/>
    <w:rsid w:val="00627E30"/>
    <w:rsid w:val="006303FC"/>
    <w:rsid w:val="006309D1"/>
    <w:rsid w:val="006314F3"/>
    <w:rsid w:val="00631716"/>
    <w:rsid w:val="0063179F"/>
    <w:rsid w:val="006317A4"/>
    <w:rsid w:val="00631DCA"/>
    <w:rsid w:val="00631F9F"/>
    <w:rsid w:val="00632259"/>
    <w:rsid w:val="00632765"/>
    <w:rsid w:val="00632DD8"/>
    <w:rsid w:val="00633727"/>
    <w:rsid w:val="006338DA"/>
    <w:rsid w:val="0063390C"/>
    <w:rsid w:val="00633A5E"/>
    <w:rsid w:val="00633B0E"/>
    <w:rsid w:val="00633F74"/>
    <w:rsid w:val="0063454A"/>
    <w:rsid w:val="00635243"/>
    <w:rsid w:val="00635AEB"/>
    <w:rsid w:val="00636EF8"/>
    <w:rsid w:val="00636FEF"/>
    <w:rsid w:val="0063715F"/>
    <w:rsid w:val="006377DB"/>
    <w:rsid w:val="006405A2"/>
    <w:rsid w:val="00640699"/>
    <w:rsid w:val="006408D1"/>
    <w:rsid w:val="0064096C"/>
    <w:rsid w:val="00640978"/>
    <w:rsid w:val="006417E0"/>
    <w:rsid w:val="006418D2"/>
    <w:rsid w:val="006419D4"/>
    <w:rsid w:val="00641E1E"/>
    <w:rsid w:val="00642453"/>
    <w:rsid w:val="006424A9"/>
    <w:rsid w:val="006429F7"/>
    <w:rsid w:val="006443B2"/>
    <w:rsid w:val="00644442"/>
    <w:rsid w:val="00644E58"/>
    <w:rsid w:val="00644FE8"/>
    <w:rsid w:val="00645210"/>
    <w:rsid w:val="00645431"/>
    <w:rsid w:val="006455E0"/>
    <w:rsid w:val="00645933"/>
    <w:rsid w:val="006459B3"/>
    <w:rsid w:val="00645D57"/>
    <w:rsid w:val="00646321"/>
    <w:rsid w:val="006463B7"/>
    <w:rsid w:val="00646761"/>
    <w:rsid w:val="00646924"/>
    <w:rsid w:val="00646970"/>
    <w:rsid w:val="00646FDD"/>
    <w:rsid w:val="00647111"/>
    <w:rsid w:val="00647C38"/>
    <w:rsid w:val="00647D39"/>
    <w:rsid w:val="00647DB1"/>
    <w:rsid w:val="006500A2"/>
    <w:rsid w:val="0065058D"/>
    <w:rsid w:val="00650C5E"/>
    <w:rsid w:val="00651147"/>
    <w:rsid w:val="0065131D"/>
    <w:rsid w:val="00651DC1"/>
    <w:rsid w:val="00651FD6"/>
    <w:rsid w:val="006522E7"/>
    <w:rsid w:val="0065234B"/>
    <w:rsid w:val="006524FD"/>
    <w:rsid w:val="0065252C"/>
    <w:rsid w:val="00652700"/>
    <w:rsid w:val="00652889"/>
    <w:rsid w:val="00653AC4"/>
    <w:rsid w:val="00653C52"/>
    <w:rsid w:val="006540C1"/>
    <w:rsid w:val="00654642"/>
    <w:rsid w:val="00654AF4"/>
    <w:rsid w:val="00654CB8"/>
    <w:rsid w:val="00655476"/>
    <w:rsid w:val="0065561D"/>
    <w:rsid w:val="00655F61"/>
    <w:rsid w:val="006562F3"/>
    <w:rsid w:val="006565D3"/>
    <w:rsid w:val="00656A8D"/>
    <w:rsid w:val="00656F87"/>
    <w:rsid w:val="00656FC3"/>
    <w:rsid w:val="0065735C"/>
    <w:rsid w:val="00657579"/>
    <w:rsid w:val="00657693"/>
    <w:rsid w:val="00657861"/>
    <w:rsid w:val="00657A17"/>
    <w:rsid w:val="00657B97"/>
    <w:rsid w:val="00660010"/>
    <w:rsid w:val="00660083"/>
    <w:rsid w:val="006604FE"/>
    <w:rsid w:val="00660680"/>
    <w:rsid w:val="00660BFB"/>
    <w:rsid w:val="00660C96"/>
    <w:rsid w:val="00660E23"/>
    <w:rsid w:val="00662A70"/>
    <w:rsid w:val="00662AF9"/>
    <w:rsid w:val="00662C14"/>
    <w:rsid w:val="00662C97"/>
    <w:rsid w:val="00662CBB"/>
    <w:rsid w:val="00662EFC"/>
    <w:rsid w:val="00662F3E"/>
    <w:rsid w:val="00662FB3"/>
    <w:rsid w:val="0066343C"/>
    <w:rsid w:val="0066398B"/>
    <w:rsid w:val="00663F53"/>
    <w:rsid w:val="0066486A"/>
    <w:rsid w:val="006650D2"/>
    <w:rsid w:val="0066527F"/>
    <w:rsid w:val="00665580"/>
    <w:rsid w:val="00666754"/>
    <w:rsid w:val="00666AEA"/>
    <w:rsid w:val="00667FB2"/>
    <w:rsid w:val="0067021C"/>
    <w:rsid w:val="006708EF"/>
    <w:rsid w:val="00670D2E"/>
    <w:rsid w:val="0067269F"/>
    <w:rsid w:val="006726CB"/>
    <w:rsid w:val="0067272F"/>
    <w:rsid w:val="00673BA4"/>
    <w:rsid w:val="00674C5D"/>
    <w:rsid w:val="00674DF4"/>
    <w:rsid w:val="00674ED8"/>
    <w:rsid w:val="00675793"/>
    <w:rsid w:val="0067590D"/>
    <w:rsid w:val="00675C5E"/>
    <w:rsid w:val="00676F0B"/>
    <w:rsid w:val="006773D1"/>
    <w:rsid w:val="006801BB"/>
    <w:rsid w:val="006802E3"/>
    <w:rsid w:val="00680A87"/>
    <w:rsid w:val="00680CC6"/>
    <w:rsid w:val="0068241B"/>
    <w:rsid w:val="00682805"/>
    <w:rsid w:val="0068287A"/>
    <w:rsid w:val="0068371A"/>
    <w:rsid w:val="00683889"/>
    <w:rsid w:val="00683CFF"/>
    <w:rsid w:val="00683F41"/>
    <w:rsid w:val="006842A2"/>
    <w:rsid w:val="006842DA"/>
    <w:rsid w:val="006848BB"/>
    <w:rsid w:val="00685075"/>
    <w:rsid w:val="00685339"/>
    <w:rsid w:val="00685597"/>
    <w:rsid w:val="00686338"/>
    <w:rsid w:val="006865CC"/>
    <w:rsid w:val="00686FB8"/>
    <w:rsid w:val="0068731C"/>
    <w:rsid w:val="006904AD"/>
    <w:rsid w:val="006905F1"/>
    <w:rsid w:val="006909BD"/>
    <w:rsid w:val="00690CF4"/>
    <w:rsid w:val="006912E6"/>
    <w:rsid w:val="006914E9"/>
    <w:rsid w:val="00691815"/>
    <w:rsid w:val="00691D87"/>
    <w:rsid w:val="00691E51"/>
    <w:rsid w:val="00691F70"/>
    <w:rsid w:val="006920CA"/>
    <w:rsid w:val="006927F0"/>
    <w:rsid w:val="00692C4E"/>
    <w:rsid w:val="006936DB"/>
    <w:rsid w:val="00693801"/>
    <w:rsid w:val="006944B8"/>
    <w:rsid w:val="00694706"/>
    <w:rsid w:val="00694ABF"/>
    <w:rsid w:val="00694DF8"/>
    <w:rsid w:val="006956E0"/>
    <w:rsid w:val="00695D95"/>
    <w:rsid w:val="00695DDA"/>
    <w:rsid w:val="00696136"/>
    <w:rsid w:val="00696243"/>
    <w:rsid w:val="00696252"/>
    <w:rsid w:val="006962E6"/>
    <w:rsid w:val="0069644C"/>
    <w:rsid w:val="0069657D"/>
    <w:rsid w:val="00696A8E"/>
    <w:rsid w:val="0069703E"/>
    <w:rsid w:val="006971FD"/>
    <w:rsid w:val="00697208"/>
    <w:rsid w:val="00697A32"/>
    <w:rsid w:val="00697CF0"/>
    <w:rsid w:val="00697E6A"/>
    <w:rsid w:val="006A06E3"/>
    <w:rsid w:val="006A0B03"/>
    <w:rsid w:val="006A0B52"/>
    <w:rsid w:val="006A0ECA"/>
    <w:rsid w:val="006A1014"/>
    <w:rsid w:val="006A11F4"/>
    <w:rsid w:val="006A14A8"/>
    <w:rsid w:val="006A182D"/>
    <w:rsid w:val="006A1ADF"/>
    <w:rsid w:val="006A23AC"/>
    <w:rsid w:val="006A2835"/>
    <w:rsid w:val="006A3A19"/>
    <w:rsid w:val="006A3AC7"/>
    <w:rsid w:val="006A3B6E"/>
    <w:rsid w:val="006A3B9E"/>
    <w:rsid w:val="006A3D6D"/>
    <w:rsid w:val="006A3D73"/>
    <w:rsid w:val="006A43EA"/>
    <w:rsid w:val="006A471A"/>
    <w:rsid w:val="006A5290"/>
    <w:rsid w:val="006A5320"/>
    <w:rsid w:val="006A5582"/>
    <w:rsid w:val="006A628B"/>
    <w:rsid w:val="006A704F"/>
    <w:rsid w:val="006A777A"/>
    <w:rsid w:val="006A77BF"/>
    <w:rsid w:val="006A7AE9"/>
    <w:rsid w:val="006A7C9D"/>
    <w:rsid w:val="006B0141"/>
    <w:rsid w:val="006B0264"/>
    <w:rsid w:val="006B0D9A"/>
    <w:rsid w:val="006B1E59"/>
    <w:rsid w:val="006B2306"/>
    <w:rsid w:val="006B2995"/>
    <w:rsid w:val="006B2F13"/>
    <w:rsid w:val="006B33EE"/>
    <w:rsid w:val="006B3EFD"/>
    <w:rsid w:val="006B40C8"/>
    <w:rsid w:val="006B423F"/>
    <w:rsid w:val="006B472A"/>
    <w:rsid w:val="006B51D0"/>
    <w:rsid w:val="006B549F"/>
    <w:rsid w:val="006B65CB"/>
    <w:rsid w:val="006B7223"/>
    <w:rsid w:val="006B765D"/>
    <w:rsid w:val="006C0499"/>
    <w:rsid w:val="006C0867"/>
    <w:rsid w:val="006C12F3"/>
    <w:rsid w:val="006C150F"/>
    <w:rsid w:val="006C1A57"/>
    <w:rsid w:val="006C215A"/>
    <w:rsid w:val="006C24C7"/>
    <w:rsid w:val="006C273C"/>
    <w:rsid w:val="006C374A"/>
    <w:rsid w:val="006C3A0F"/>
    <w:rsid w:val="006C479E"/>
    <w:rsid w:val="006C4EF5"/>
    <w:rsid w:val="006C57FE"/>
    <w:rsid w:val="006C59A3"/>
    <w:rsid w:val="006C5AB5"/>
    <w:rsid w:val="006C5AF4"/>
    <w:rsid w:val="006C621D"/>
    <w:rsid w:val="006C69B1"/>
    <w:rsid w:val="006C6E36"/>
    <w:rsid w:val="006C705E"/>
    <w:rsid w:val="006C7216"/>
    <w:rsid w:val="006C7266"/>
    <w:rsid w:val="006C7C27"/>
    <w:rsid w:val="006D045E"/>
    <w:rsid w:val="006D057A"/>
    <w:rsid w:val="006D0B6D"/>
    <w:rsid w:val="006D1549"/>
    <w:rsid w:val="006D1880"/>
    <w:rsid w:val="006D1A5F"/>
    <w:rsid w:val="006D1CEA"/>
    <w:rsid w:val="006D1D71"/>
    <w:rsid w:val="006D381C"/>
    <w:rsid w:val="006D39EA"/>
    <w:rsid w:val="006D3CE0"/>
    <w:rsid w:val="006D45FF"/>
    <w:rsid w:val="006D4801"/>
    <w:rsid w:val="006D487E"/>
    <w:rsid w:val="006D4A33"/>
    <w:rsid w:val="006D53DF"/>
    <w:rsid w:val="006D54F7"/>
    <w:rsid w:val="006D5604"/>
    <w:rsid w:val="006D5CDA"/>
    <w:rsid w:val="006D6350"/>
    <w:rsid w:val="006D6906"/>
    <w:rsid w:val="006D693E"/>
    <w:rsid w:val="006D6D04"/>
    <w:rsid w:val="006D7902"/>
    <w:rsid w:val="006D7C9D"/>
    <w:rsid w:val="006D7D85"/>
    <w:rsid w:val="006D7DA2"/>
    <w:rsid w:val="006E045E"/>
    <w:rsid w:val="006E09E9"/>
    <w:rsid w:val="006E09F9"/>
    <w:rsid w:val="006E0B21"/>
    <w:rsid w:val="006E171B"/>
    <w:rsid w:val="006E1971"/>
    <w:rsid w:val="006E2791"/>
    <w:rsid w:val="006E289D"/>
    <w:rsid w:val="006E29A6"/>
    <w:rsid w:val="006E2C6D"/>
    <w:rsid w:val="006E33D2"/>
    <w:rsid w:val="006E374B"/>
    <w:rsid w:val="006E3B3A"/>
    <w:rsid w:val="006E3B50"/>
    <w:rsid w:val="006E44D3"/>
    <w:rsid w:val="006E4705"/>
    <w:rsid w:val="006E470D"/>
    <w:rsid w:val="006E49DF"/>
    <w:rsid w:val="006E4E81"/>
    <w:rsid w:val="006E58CF"/>
    <w:rsid w:val="006E6241"/>
    <w:rsid w:val="006E645F"/>
    <w:rsid w:val="006E6EFF"/>
    <w:rsid w:val="006E6F3D"/>
    <w:rsid w:val="006E7C8E"/>
    <w:rsid w:val="006F020B"/>
    <w:rsid w:val="006F0C4E"/>
    <w:rsid w:val="006F117D"/>
    <w:rsid w:val="006F1195"/>
    <w:rsid w:val="006F13F3"/>
    <w:rsid w:val="006F1477"/>
    <w:rsid w:val="006F1C92"/>
    <w:rsid w:val="006F1DBD"/>
    <w:rsid w:val="006F1E00"/>
    <w:rsid w:val="006F1FE4"/>
    <w:rsid w:val="006F241D"/>
    <w:rsid w:val="006F2DA6"/>
    <w:rsid w:val="006F301F"/>
    <w:rsid w:val="006F35F3"/>
    <w:rsid w:val="006F3D30"/>
    <w:rsid w:val="006F4740"/>
    <w:rsid w:val="006F4C03"/>
    <w:rsid w:val="006F5847"/>
    <w:rsid w:val="006F5B1A"/>
    <w:rsid w:val="006F5F76"/>
    <w:rsid w:val="006F6410"/>
    <w:rsid w:val="006F6722"/>
    <w:rsid w:val="006F6790"/>
    <w:rsid w:val="006F7475"/>
    <w:rsid w:val="00700821"/>
    <w:rsid w:val="00700D24"/>
    <w:rsid w:val="007010A7"/>
    <w:rsid w:val="007011D1"/>
    <w:rsid w:val="007011D8"/>
    <w:rsid w:val="007017E1"/>
    <w:rsid w:val="00702723"/>
    <w:rsid w:val="0070303A"/>
    <w:rsid w:val="0070303F"/>
    <w:rsid w:val="0070328F"/>
    <w:rsid w:val="0070349A"/>
    <w:rsid w:val="00703F20"/>
    <w:rsid w:val="0070417B"/>
    <w:rsid w:val="00704346"/>
    <w:rsid w:val="00704464"/>
    <w:rsid w:val="007044D0"/>
    <w:rsid w:val="00704527"/>
    <w:rsid w:val="0070522E"/>
    <w:rsid w:val="00705BD7"/>
    <w:rsid w:val="007061EC"/>
    <w:rsid w:val="00706461"/>
    <w:rsid w:val="007068C5"/>
    <w:rsid w:val="00706995"/>
    <w:rsid w:val="00706C3A"/>
    <w:rsid w:val="00706C52"/>
    <w:rsid w:val="00706E1E"/>
    <w:rsid w:val="00706F7E"/>
    <w:rsid w:val="007071D4"/>
    <w:rsid w:val="0070720D"/>
    <w:rsid w:val="00707C37"/>
    <w:rsid w:val="00710164"/>
    <w:rsid w:val="00710167"/>
    <w:rsid w:val="00710595"/>
    <w:rsid w:val="00710870"/>
    <w:rsid w:val="007110B3"/>
    <w:rsid w:val="00711425"/>
    <w:rsid w:val="00711B39"/>
    <w:rsid w:val="00711F11"/>
    <w:rsid w:val="00712020"/>
    <w:rsid w:val="00712026"/>
    <w:rsid w:val="007121C0"/>
    <w:rsid w:val="00712588"/>
    <w:rsid w:val="00712638"/>
    <w:rsid w:val="0071276A"/>
    <w:rsid w:val="00712B22"/>
    <w:rsid w:val="00712D93"/>
    <w:rsid w:val="00712E8E"/>
    <w:rsid w:val="0071316A"/>
    <w:rsid w:val="007136B1"/>
    <w:rsid w:val="007139BF"/>
    <w:rsid w:val="00713C11"/>
    <w:rsid w:val="007140C1"/>
    <w:rsid w:val="0071438B"/>
    <w:rsid w:val="00714A38"/>
    <w:rsid w:val="00714B10"/>
    <w:rsid w:val="00714B64"/>
    <w:rsid w:val="00714BA7"/>
    <w:rsid w:val="00714F03"/>
    <w:rsid w:val="007153D0"/>
    <w:rsid w:val="00715C06"/>
    <w:rsid w:val="00716D4E"/>
    <w:rsid w:val="0071717E"/>
    <w:rsid w:val="00717312"/>
    <w:rsid w:val="007176D1"/>
    <w:rsid w:val="00720A2C"/>
    <w:rsid w:val="00720B85"/>
    <w:rsid w:val="00720C22"/>
    <w:rsid w:val="00720C6E"/>
    <w:rsid w:val="00720DC6"/>
    <w:rsid w:val="00720E58"/>
    <w:rsid w:val="00720E79"/>
    <w:rsid w:val="00721266"/>
    <w:rsid w:val="00722BE6"/>
    <w:rsid w:val="00722CD9"/>
    <w:rsid w:val="00722EF9"/>
    <w:rsid w:val="007232F1"/>
    <w:rsid w:val="0072349D"/>
    <w:rsid w:val="00723B22"/>
    <w:rsid w:val="00723F60"/>
    <w:rsid w:val="0072454A"/>
    <w:rsid w:val="007245B1"/>
    <w:rsid w:val="00724952"/>
    <w:rsid w:val="00724CD4"/>
    <w:rsid w:val="00725D1A"/>
    <w:rsid w:val="00725DF3"/>
    <w:rsid w:val="007263DF"/>
    <w:rsid w:val="0072686D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1569"/>
    <w:rsid w:val="0073253C"/>
    <w:rsid w:val="00732732"/>
    <w:rsid w:val="00733075"/>
    <w:rsid w:val="0073397C"/>
    <w:rsid w:val="00734051"/>
    <w:rsid w:val="00734519"/>
    <w:rsid w:val="00734533"/>
    <w:rsid w:val="0073458B"/>
    <w:rsid w:val="00734B84"/>
    <w:rsid w:val="00734D6E"/>
    <w:rsid w:val="00734E19"/>
    <w:rsid w:val="00735EBF"/>
    <w:rsid w:val="007365ED"/>
    <w:rsid w:val="00736927"/>
    <w:rsid w:val="00737A4B"/>
    <w:rsid w:val="00737A95"/>
    <w:rsid w:val="00740008"/>
    <w:rsid w:val="0074090D"/>
    <w:rsid w:val="0074106D"/>
    <w:rsid w:val="00741355"/>
    <w:rsid w:val="00741C56"/>
    <w:rsid w:val="00741C83"/>
    <w:rsid w:val="00741E9A"/>
    <w:rsid w:val="00742891"/>
    <w:rsid w:val="00742A70"/>
    <w:rsid w:val="00742B93"/>
    <w:rsid w:val="00742C3D"/>
    <w:rsid w:val="00742CD8"/>
    <w:rsid w:val="00742DAD"/>
    <w:rsid w:val="00743455"/>
    <w:rsid w:val="0074353B"/>
    <w:rsid w:val="007435B8"/>
    <w:rsid w:val="007444AE"/>
    <w:rsid w:val="007447C6"/>
    <w:rsid w:val="007449FE"/>
    <w:rsid w:val="00744CEC"/>
    <w:rsid w:val="00745A05"/>
    <w:rsid w:val="00745F8E"/>
    <w:rsid w:val="0074620D"/>
    <w:rsid w:val="00746564"/>
    <w:rsid w:val="00746721"/>
    <w:rsid w:val="00746FBC"/>
    <w:rsid w:val="00747741"/>
    <w:rsid w:val="00747812"/>
    <w:rsid w:val="00747B66"/>
    <w:rsid w:val="007505F4"/>
    <w:rsid w:val="00750979"/>
    <w:rsid w:val="00750E10"/>
    <w:rsid w:val="00751313"/>
    <w:rsid w:val="007514AA"/>
    <w:rsid w:val="00751760"/>
    <w:rsid w:val="007518C9"/>
    <w:rsid w:val="00751CD8"/>
    <w:rsid w:val="0075218A"/>
    <w:rsid w:val="00752238"/>
    <w:rsid w:val="007529E8"/>
    <w:rsid w:val="00752DE0"/>
    <w:rsid w:val="00752E14"/>
    <w:rsid w:val="007532FB"/>
    <w:rsid w:val="00753DA5"/>
    <w:rsid w:val="00754E53"/>
    <w:rsid w:val="0075502B"/>
    <w:rsid w:val="00755633"/>
    <w:rsid w:val="00755979"/>
    <w:rsid w:val="00755B6F"/>
    <w:rsid w:val="007561B3"/>
    <w:rsid w:val="00756A17"/>
    <w:rsid w:val="00756B41"/>
    <w:rsid w:val="00756E9E"/>
    <w:rsid w:val="007574DC"/>
    <w:rsid w:val="007576EC"/>
    <w:rsid w:val="00757957"/>
    <w:rsid w:val="007579DB"/>
    <w:rsid w:val="007606ED"/>
    <w:rsid w:val="00760978"/>
    <w:rsid w:val="00760D42"/>
    <w:rsid w:val="00761B5B"/>
    <w:rsid w:val="00761BBC"/>
    <w:rsid w:val="007623B0"/>
    <w:rsid w:val="00762A7D"/>
    <w:rsid w:val="00763B9E"/>
    <w:rsid w:val="00764008"/>
    <w:rsid w:val="00764588"/>
    <w:rsid w:val="007648FE"/>
    <w:rsid w:val="007649CF"/>
    <w:rsid w:val="00764B39"/>
    <w:rsid w:val="007664EA"/>
    <w:rsid w:val="00766578"/>
    <w:rsid w:val="007667C4"/>
    <w:rsid w:val="00767062"/>
    <w:rsid w:val="007670FC"/>
    <w:rsid w:val="0076718D"/>
    <w:rsid w:val="00767282"/>
    <w:rsid w:val="007678B9"/>
    <w:rsid w:val="00767DDD"/>
    <w:rsid w:val="00767F7F"/>
    <w:rsid w:val="007703EA"/>
    <w:rsid w:val="00770B5D"/>
    <w:rsid w:val="00770C49"/>
    <w:rsid w:val="0077103B"/>
    <w:rsid w:val="0077130E"/>
    <w:rsid w:val="007713D7"/>
    <w:rsid w:val="00771BF6"/>
    <w:rsid w:val="0077249A"/>
    <w:rsid w:val="0077262C"/>
    <w:rsid w:val="00772A29"/>
    <w:rsid w:val="00772EFA"/>
    <w:rsid w:val="00773B3E"/>
    <w:rsid w:val="00773E65"/>
    <w:rsid w:val="007741B0"/>
    <w:rsid w:val="007745D3"/>
    <w:rsid w:val="007746DC"/>
    <w:rsid w:val="0077558B"/>
    <w:rsid w:val="007756E4"/>
    <w:rsid w:val="00776874"/>
    <w:rsid w:val="0077707E"/>
    <w:rsid w:val="0077726C"/>
    <w:rsid w:val="00777AAB"/>
    <w:rsid w:val="00777B89"/>
    <w:rsid w:val="00780FF9"/>
    <w:rsid w:val="007810E9"/>
    <w:rsid w:val="00781949"/>
    <w:rsid w:val="00782827"/>
    <w:rsid w:val="0078285C"/>
    <w:rsid w:val="00782B30"/>
    <w:rsid w:val="00783A36"/>
    <w:rsid w:val="007845D4"/>
    <w:rsid w:val="00784DB1"/>
    <w:rsid w:val="00784DF0"/>
    <w:rsid w:val="00785A38"/>
    <w:rsid w:val="00785C2A"/>
    <w:rsid w:val="0078627A"/>
    <w:rsid w:val="0078668F"/>
    <w:rsid w:val="0078700E"/>
    <w:rsid w:val="00787339"/>
    <w:rsid w:val="00787B59"/>
    <w:rsid w:val="0079005A"/>
    <w:rsid w:val="007900A9"/>
    <w:rsid w:val="007910C3"/>
    <w:rsid w:val="007910DE"/>
    <w:rsid w:val="00791110"/>
    <w:rsid w:val="00791248"/>
    <w:rsid w:val="00791250"/>
    <w:rsid w:val="0079150D"/>
    <w:rsid w:val="0079189D"/>
    <w:rsid w:val="00791DE1"/>
    <w:rsid w:val="00792265"/>
    <w:rsid w:val="00793181"/>
    <w:rsid w:val="007936BD"/>
    <w:rsid w:val="007936C1"/>
    <w:rsid w:val="007936DE"/>
    <w:rsid w:val="007938C2"/>
    <w:rsid w:val="00793D45"/>
    <w:rsid w:val="00793DD8"/>
    <w:rsid w:val="00795E20"/>
    <w:rsid w:val="00796787"/>
    <w:rsid w:val="007975BD"/>
    <w:rsid w:val="00797B7E"/>
    <w:rsid w:val="007A02A6"/>
    <w:rsid w:val="007A05A2"/>
    <w:rsid w:val="007A08CF"/>
    <w:rsid w:val="007A0A07"/>
    <w:rsid w:val="007A10D6"/>
    <w:rsid w:val="007A12EE"/>
    <w:rsid w:val="007A138C"/>
    <w:rsid w:val="007A1834"/>
    <w:rsid w:val="007A1856"/>
    <w:rsid w:val="007A1CC6"/>
    <w:rsid w:val="007A1E52"/>
    <w:rsid w:val="007A2813"/>
    <w:rsid w:val="007A2A4D"/>
    <w:rsid w:val="007A2A82"/>
    <w:rsid w:val="007A31B2"/>
    <w:rsid w:val="007A35BB"/>
    <w:rsid w:val="007A3629"/>
    <w:rsid w:val="007A385C"/>
    <w:rsid w:val="007A38F5"/>
    <w:rsid w:val="007A3D24"/>
    <w:rsid w:val="007A4860"/>
    <w:rsid w:val="007A49CF"/>
    <w:rsid w:val="007A4CAF"/>
    <w:rsid w:val="007A4F7B"/>
    <w:rsid w:val="007A52AD"/>
    <w:rsid w:val="007A5C2D"/>
    <w:rsid w:val="007A61E4"/>
    <w:rsid w:val="007A6B15"/>
    <w:rsid w:val="007A704A"/>
    <w:rsid w:val="007A7242"/>
    <w:rsid w:val="007A7EF9"/>
    <w:rsid w:val="007B12B0"/>
    <w:rsid w:val="007B1392"/>
    <w:rsid w:val="007B1785"/>
    <w:rsid w:val="007B215A"/>
    <w:rsid w:val="007B22DC"/>
    <w:rsid w:val="007B2474"/>
    <w:rsid w:val="007B24F0"/>
    <w:rsid w:val="007B34DC"/>
    <w:rsid w:val="007B3A98"/>
    <w:rsid w:val="007B3E59"/>
    <w:rsid w:val="007B4008"/>
    <w:rsid w:val="007B49C4"/>
    <w:rsid w:val="007B4D74"/>
    <w:rsid w:val="007B4DC6"/>
    <w:rsid w:val="007B5132"/>
    <w:rsid w:val="007B68FA"/>
    <w:rsid w:val="007B69E8"/>
    <w:rsid w:val="007B6C17"/>
    <w:rsid w:val="007B743C"/>
    <w:rsid w:val="007C0165"/>
    <w:rsid w:val="007C048B"/>
    <w:rsid w:val="007C0508"/>
    <w:rsid w:val="007C057E"/>
    <w:rsid w:val="007C10E1"/>
    <w:rsid w:val="007C1541"/>
    <w:rsid w:val="007C19DF"/>
    <w:rsid w:val="007C25F8"/>
    <w:rsid w:val="007C4084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0F"/>
    <w:rsid w:val="007C58AB"/>
    <w:rsid w:val="007C5F6F"/>
    <w:rsid w:val="007C6148"/>
    <w:rsid w:val="007C6461"/>
    <w:rsid w:val="007C6900"/>
    <w:rsid w:val="007C69A9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D5B"/>
    <w:rsid w:val="007D1278"/>
    <w:rsid w:val="007D143D"/>
    <w:rsid w:val="007D14AD"/>
    <w:rsid w:val="007D25B9"/>
    <w:rsid w:val="007D2BE8"/>
    <w:rsid w:val="007D3066"/>
    <w:rsid w:val="007D31D1"/>
    <w:rsid w:val="007D421B"/>
    <w:rsid w:val="007D42FE"/>
    <w:rsid w:val="007D4490"/>
    <w:rsid w:val="007D4579"/>
    <w:rsid w:val="007D4CA5"/>
    <w:rsid w:val="007D4DA2"/>
    <w:rsid w:val="007D51EB"/>
    <w:rsid w:val="007D58BB"/>
    <w:rsid w:val="007D6777"/>
    <w:rsid w:val="007D6835"/>
    <w:rsid w:val="007D685D"/>
    <w:rsid w:val="007D6A93"/>
    <w:rsid w:val="007D7CDE"/>
    <w:rsid w:val="007D7DC7"/>
    <w:rsid w:val="007E01AF"/>
    <w:rsid w:val="007E0772"/>
    <w:rsid w:val="007E0D31"/>
    <w:rsid w:val="007E0E04"/>
    <w:rsid w:val="007E0EF9"/>
    <w:rsid w:val="007E21D9"/>
    <w:rsid w:val="007E2BDD"/>
    <w:rsid w:val="007E2BEF"/>
    <w:rsid w:val="007E364B"/>
    <w:rsid w:val="007E3890"/>
    <w:rsid w:val="007E45CA"/>
    <w:rsid w:val="007E48C0"/>
    <w:rsid w:val="007E5159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020E"/>
    <w:rsid w:val="007F02E4"/>
    <w:rsid w:val="007F0AE0"/>
    <w:rsid w:val="007F1160"/>
    <w:rsid w:val="007F21B0"/>
    <w:rsid w:val="007F2DE9"/>
    <w:rsid w:val="007F341B"/>
    <w:rsid w:val="007F3682"/>
    <w:rsid w:val="007F3697"/>
    <w:rsid w:val="007F3AA2"/>
    <w:rsid w:val="007F3B45"/>
    <w:rsid w:val="007F3D2E"/>
    <w:rsid w:val="007F3E3E"/>
    <w:rsid w:val="007F4A9E"/>
    <w:rsid w:val="007F4ABC"/>
    <w:rsid w:val="007F4BC7"/>
    <w:rsid w:val="007F4D45"/>
    <w:rsid w:val="007F510F"/>
    <w:rsid w:val="007F545B"/>
    <w:rsid w:val="007F59B2"/>
    <w:rsid w:val="007F60BF"/>
    <w:rsid w:val="007F6607"/>
    <w:rsid w:val="007F6D80"/>
    <w:rsid w:val="007F7865"/>
    <w:rsid w:val="007F7892"/>
    <w:rsid w:val="007F7FB3"/>
    <w:rsid w:val="007F7FD1"/>
    <w:rsid w:val="0080026A"/>
    <w:rsid w:val="00800340"/>
    <w:rsid w:val="00800419"/>
    <w:rsid w:val="00800953"/>
    <w:rsid w:val="00801255"/>
    <w:rsid w:val="0080197B"/>
    <w:rsid w:val="00801B18"/>
    <w:rsid w:val="00801C1F"/>
    <w:rsid w:val="008021D3"/>
    <w:rsid w:val="00802849"/>
    <w:rsid w:val="00802971"/>
    <w:rsid w:val="008038E3"/>
    <w:rsid w:val="008038F6"/>
    <w:rsid w:val="00804558"/>
    <w:rsid w:val="008047AE"/>
    <w:rsid w:val="00804B21"/>
    <w:rsid w:val="00805483"/>
    <w:rsid w:val="0080585D"/>
    <w:rsid w:val="00806011"/>
    <w:rsid w:val="00806273"/>
    <w:rsid w:val="0080661F"/>
    <w:rsid w:val="00806EFD"/>
    <w:rsid w:val="00807074"/>
    <w:rsid w:val="00807173"/>
    <w:rsid w:val="00807D32"/>
    <w:rsid w:val="00807E43"/>
    <w:rsid w:val="00807F69"/>
    <w:rsid w:val="00810368"/>
    <w:rsid w:val="008107E6"/>
    <w:rsid w:val="008108B5"/>
    <w:rsid w:val="00810BE7"/>
    <w:rsid w:val="00811336"/>
    <w:rsid w:val="0081165D"/>
    <w:rsid w:val="00811B28"/>
    <w:rsid w:val="00812862"/>
    <w:rsid w:val="00812A7A"/>
    <w:rsid w:val="0081362B"/>
    <w:rsid w:val="0081450B"/>
    <w:rsid w:val="0081467F"/>
    <w:rsid w:val="00815339"/>
    <w:rsid w:val="008154F1"/>
    <w:rsid w:val="0081591F"/>
    <w:rsid w:val="00815A99"/>
    <w:rsid w:val="00815E5B"/>
    <w:rsid w:val="008160D1"/>
    <w:rsid w:val="008162B3"/>
    <w:rsid w:val="0081640D"/>
    <w:rsid w:val="0081687A"/>
    <w:rsid w:val="008169A1"/>
    <w:rsid w:val="00816A9D"/>
    <w:rsid w:val="00817DD7"/>
    <w:rsid w:val="00820160"/>
    <w:rsid w:val="0082022B"/>
    <w:rsid w:val="00820AC2"/>
    <w:rsid w:val="00820E0E"/>
    <w:rsid w:val="00821237"/>
    <w:rsid w:val="008216DA"/>
    <w:rsid w:val="008217C3"/>
    <w:rsid w:val="00821868"/>
    <w:rsid w:val="008219B8"/>
    <w:rsid w:val="00821ADC"/>
    <w:rsid w:val="00821ECA"/>
    <w:rsid w:val="00822414"/>
    <w:rsid w:val="00822AC6"/>
    <w:rsid w:val="00822CB9"/>
    <w:rsid w:val="00822E2C"/>
    <w:rsid w:val="00823116"/>
    <w:rsid w:val="0082350E"/>
    <w:rsid w:val="00823658"/>
    <w:rsid w:val="008239BF"/>
    <w:rsid w:val="00823A2B"/>
    <w:rsid w:val="00823B36"/>
    <w:rsid w:val="00824878"/>
    <w:rsid w:val="00824886"/>
    <w:rsid w:val="0082488C"/>
    <w:rsid w:val="00824BA6"/>
    <w:rsid w:val="008251E7"/>
    <w:rsid w:val="00825417"/>
    <w:rsid w:val="00825F0C"/>
    <w:rsid w:val="008262BC"/>
    <w:rsid w:val="008263CC"/>
    <w:rsid w:val="008266A2"/>
    <w:rsid w:val="008267AE"/>
    <w:rsid w:val="00826CF5"/>
    <w:rsid w:val="00826EBE"/>
    <w:rsid w:val="008276DF"/>
    <w:rsid w:val="00830B33"/>
    <w:rsid w:val="0083118A"/>
    <w:rsid w:val="00831784"/>
    <w:rsid w:val="00832727"/>
    <w:rsid w:val="00832CCE"/>
    <w:rsid w:val="00832D4F"/>
    <w:rsid w:val="008337C1"/>
    <w:rsid w:val="00834F23"/>
    <w:rsid w:val="008353B6"/>
    <w:rsid w:val="00835845"/>
    <w:rsid w:val="008360CB"/>
    <w:rsid w:val="00836A67"/>
    <w:rsid w:val="00836CEB"/>
    <w:rsid w:val="00840EAF"/>
    <w:rsid w:val="008411A0"/>
    <w:rsid w:val="008416BF"/>
    <w:rsid w:val="008416FD"/>
    <w:rsid w:val="0084188F"/>
    <w:rsid w:val="00841B04"/>
    <w:rsid w:val="00842659"/>
    <w:rsid w:val="0084293A"/>
    <w:rsid w:val="0084354C"/>
    <w:rsid w:val="0084375D"/>
    <w:rsid w:val="0084416F"/>
    <w:rsid w:val="00844462"/>
    <w:rsid w:val="008449FE"/>
    <w:rsid w:val="00844D6B"/>
    <w:rsid w:val="00845515"/>
    <w:rsid w:val="00845520"/>
    <w:rsid w:val="0084559F"/>
    <w:rsid w:val="00845B67"/>
    <w:rsid w:val="00845FC4"/>
    <w:rsid w:val="008461B0"/>
    <w:rsid w:val="008467E9"/>
    <w:rsid w:val="00846C9F"/>
    <w:rsid w:val="00846D16"/>
    <w:rsid w:val="00846F4C"/>
    <w:rsid w:val="00847367"/>
    <w:rsid w:val="0084761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04"/>
    <w:rsid w:val="008528CF"/>
    <w:rsid w:val="00852993"/>
    <w:rsid w:val="00852F45"/>
    <w:rsid w:val="00852FFB"/>
    <w:rsid w:val="00853510"/>
    <w:rsid w:val="00853E52"/>
    <w:rsid w:val="00853E5B"/>
    <w:rsid w:val="00854123"/>
    <w:rsid w:val="008542D1"/>
    <w:rsid w:val="00854465"/>
    <w:rsid w:val="008544BD"/>
    <w:rsid w:val="00854946"/>
    <w:rsid w:val="00854B62"/>
    <w:rsid w:val="00854B77"/>
    <w:rsid w:val="00854CE3"/>
    <w:rsid w:val="00854E58"/>
    <w:rsid w:val="008558ED"/>
    <w:rsid w:val="00855C56"/>
    <w:rsid w:val="00855CFC"/>
    <w:rsid w:val="00855F74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160"/>
    <w:rsid w:val="008638FB"/>
    <w:rsid w:val="0086444C"/>
    <w:rsid w:val="008644B1"/>
    <w:rsid w:val="00864768"/>
    <w:rsid w:val="00864D72"/>
    <w:rsid w:val="008658AB"/>
    <w:rsid w:val="008658F2"/>
    <w:rsid w:val="00865B18"/>
    <w:rsid w:val="0086672E"/>
    <w:rsid w:val="00866CF2"/>
    <w:rsid w:val="00866F61"/>
    <w:rsid w:val="008675EC"/>
    <w:rsid w:val="008679CE"/>
    <w:rsid w:val="00867DA7"/>
    <w:rsid w:val="0087019B"/>
    <w:rsid w:val="008705A8"/>
    <w:rsid w:val="008718FC"/>
    <w:rsid w:val="00871CC2"/>
    <w:rsid w:val="00871F4F"/>
    <w:rsid w:val="0087200D"/>
    <w:rsid w:val="00872131"/>
    <w:rsid w:val="008723B8"/>
    <w:rsid w:val="008725F5"/>
    <w:rsid w:val="00872FD7"/>
    <w:rsid w:val="00873147"/>
    <w:rsid w:val="00873664"/>
    <w:rsid w:val="00873C1E"/>
    <w:rsid w:val="00873CD6"/>
    <w:rsid w:val="00873DE6"/>
    <w:rsid w:val="00873E66"/>
    <w:rsid w:val="00873FBF"/>
    <w:rsid w:val="00874178"/>
    <w:rsid w:val="00874272"/>
    <w:rsid w:val="008743DF"/>
    <w:rsid w:val="00874C66"/>
    <w:rsid w:val="00874E6B"/>
    <w:rsid w:val="00874F67"/>
    <w:rsid w:val="0087582D"/>
    <w:rsid w:val="00875F4F"/>
    <w:rsid w:val="008762D8"/>
    <w:rsid w:val="0087714D"/>
    <w:rsid w:val="008772D9"/>
    <w:rsid w:val="00877B29"/>
    <w:rsid w:val="0088078E"/>
    <w:rsid w:val="008808B9"/>
    <w:rsid w:val="00880961"/>
    <w:rsid w:val="00880B30"/>
    <w:rsid w:val="00880F1D"/>
    <w:rsid w:val="008811DA"/>
    <w:rsid w:val="00881521"/>
    <w:rsid w:val="0088172A"/>
    <w:rsid w:val="0088173A"/>
    <w:rsid w:val="00881F90"/>
    <w:rsid w:val="008844AB"/>
    <w:rsid w:val="008851AB"/>
    <w:rsid w:val="008851C4"/>
    <w:rsid w:val="00885696"/>
    <w:rsid w:val="0088570A"/>
    <w:rsid w:val="00885A90"/>
    <w:rsid w:val="00885E9D"/>
    <w:rsid w:val="0088636E"/>
    <w:rsid w:val="008864A7"/>
    <w:rsid w:val="0088666A"/>
    <w:rsid w:val="0088688A"/>
    <w:rsid w:val="00886A33"/>
    <w:rsid w:val="00886A9E"/>
    <w:rsid w:val="00886DC9"/>
    <w:rsid w:val="00886EC7"/>
    <w:rsid w:val="00887184"/>
    <w:rsid w:val="008879EA"/>
    <w:rsid w:val="00890139"/>
    <w:rsid w:val="0089160E"/>
    <w:rsid w:val="00891F54"/>
    <w:rsid w:val="008921B1"/>
    <w:rsid w:val="00892687"/>
    <w:rsid w:val="00892B8A"/>
    <w:rsid w:val="00892CB3"/>
    <w:rsid w:val="00893386"/>
    <w:rsid w:val="0089359A"/>
    <w:rsid w:val="0089363C"/>
    <w:rsid w:val="00893657"/>
    <w:rsid w:val="00893671"/>
    <w:rsid w:val="008941FB"/>
    <w:rsid w:val="00894565"/>
    <w:rsid w:val="00894897"/>
    <w:rsid w:val="008950D6"/>
    <w:rsid w:val="00895868"/>
    <w:rsid w:val="00895B46"/>
    <w:rsid w:val="00896474"/>
    <w:rsid w:val="00896DBC"/>
    <w:rsid w:val="0089739D"/>
    <w:rsid w:val="0089788F"/>
    <w:rsid w:val="00897B59"/>
    <w:rsid w:val="00897C6C"/>
    <w:rsid w:val="00897D1A"/>
    <w:rsid w:val="008A0511"/>
    <w:rsid w:val="008A06E3"/>
    <w:rsid w:val="008A0905"/>
    <w:rsid w:val="008A0B02"/>
    <w:rsid w:val="008A0E0D"/>
    <w:rsid w:val="008A11C4"/>
    <w:rsid w:val="008A155C"/>
    <w:rsid w:val="008A180E"/>
    <w:rsid w:val="008A197C"/>
    <w:rsid w:val="008A2545"/>
    <w:rsid w:val="008A2636"/>
    <w:rsid w:val="008A2EFB"/>
    <w:rsid w:val="008A35DB"/>
    <w:rsid w:val="008A39F6"/>
    <w:rsid w:val="008A3AF9"/>
    <w:rsid w:val="008A3BD4"/>
    <w:rsid w:val="008A3CC5"/>
    <w:rsid w:val="008A3FBE"/>
    <w:rsid w:val="008A4013"/>
    <w:rsid w:val="008A44E2"/>
    <w:rsid w:val="008A4C9C"/>
    <w:rsid w:val="008A5C0E"/>
    <w:rsid w:val="008A5C69"/>
    <w:rsid w:val="008A5DC2"/>
    <w:rsid w:val="008A6041"/>
    <w:rsid w:val="008A60F8"/>
    <w:rsid w:val="008A6630"/>
    <w:rsid w:val="008A69FE"/>
    <w:rsid w:val="008A6B3F"/>
    <w:rsid w:val="008A6EC7"/>
    <w:rsid w:val="008A6F36"/>
    <w:rsid w:val="008A71C1"/>
    <w:rsid w:val="008A7286"/>
    <w:rsid w:val="008A7374"/>
    <w:rsid w:val="008A743A"/>
    <w:rsid w:val="008A7B50"/>
    <w:rsid w:val="008B002B"/>
    <w:rsid w:val="008B00C9"/>
    <w:rsid w:val="008B0641"/>
    <w:rsid w:val="008B0EB7"/>
    <w:rsid w:val="008B1133"/>
    <w:rsid w:val="008B138E"/>
    <w:rsid w:val="008B1C78"/>
    <w:rsid w:val="008B1D81"/>
    <w:rsid w:val="008B1F87"/>
    <w:rsid w:val="008B28BD"/>
    <w:rsid w:val="008B2E96"/>
    <w:rsid w:val="008B2F53"/>
    <w:rsid w:val="008B3006"/>
    <w:rsid w:val="008B3139"/>
    <w:rsid w:val="008B36E9"/>
    <w:rsid w:val="008B3B50"/>
    <w:rsid w:val="008B3D47"/>
    <w:rsid w:val="008B430A"/>
    <w:rsid w:val="008B44CB"/>
    <w:rsid w:val="008B46D2"/>
    <w:rsid w:val="008B492E"/>
    <w:rsid w:val="008B5253"/>
    <w:rsid w:val="008B53D8"/>
    <w:rsid w:val="008B5D49"/>
    <w:rsid w:val="008B5D69"/>
    <w:rsid w:val="008B5E8A"/>
    <w:rsid w:val="008B63BE"/>
    <w:rsid w:val="008B640E"/>
    <w:rsid w:val="008B6505"/>
    <w:rsid w:val="008B65A6"/>
    <w:rsid w:val="008B665E"/>
    <w:rsid w:val="008B688D"/>
    <w:rsid w:val="008B6B1B"/>
    <w:rsid w:val="008B6C5B"/>
    <w:rsid w:val="008B6D48"/>
    <w:rsid w:val="008B70EE"/>
    <w:rsid w:val="008B715C"/>
    <w:rsid w:val="008B75B8"/>
    <w:rsid w:val="008B7B1F"/>
    <w:rsid w:val="008C03D3"/>
    <w:rsid w:val="008C0EAD"/>
    <w:rsid w:val="008C1442"/>
    <w:rsid w:val="008C14BD"/>
    <w:rsid w:val="008C1693"/>
    <w:rsid w:val="008C19D9"/>
    <w:rsid w:val="008C1A5E"/>
    <w:rsid w:val="008C1A81"/>
    <w:rsid w:val="008C268C"/>
    <w:rsid w:val="008C29FE"/>
    <w:rsid w:val="008C320C"/>
    <w:rsid w:val="008C32CA"/>
    <w:rsid w:val="008C3782"/>
    <w:rsid w:val="008C385A"/>
    <w:rsid w:val="008C3967"/>
    <w:rsid w:val="008C3E90"/>
    <w:rsid w:val="008C40D1"/>
    <w:rsid w:val="008C431E"/>
    <w:rsid w:val="008C50D0"/>
    <w:rsid w:val="008C54BD"/>
    <w:rsid w:val="008C54C4"/>
    <w:rsid w:val="008C5A02"/>
    <w:rsid w:val="008C5EF3"/>
    <w:rsid w:val="008C6056"/>
    <w:rsid w:val="008C625E"/>
    <w:rsid w:val="008C6628"/>
    <w:rsid w:val="008C69C9"/>
    <w:rsid w:val="008C6E38"/>
    <w:rsid w:val="008C6F75"/>
    <w:rsid w:val="008C7033"/>
    <w:rsid w:val="008C76D3"/>
    <w:rsid w:val="008C7B5F"/>
    <w:rsid w:val="008C7C18"/>
    <w:rsid w:val="008C7CC4"/>
    <w:rsid w:val="008D047D"/>
    <w:rsid w:val="008D0837"/>
    <w:rsid w:val="008D0B4C"/>
    <w:rsid w:val="008D0FB8"/>
    <w:rsid w:val="008D13E4"/>
    <w:rsid w:val="008D14C4"/>
    <w:rsid w:val="008D185C"/>
    <w:rsid w:val="008D1964"/>
    <w:rsid w:val="008D1E4D"/>
    <w:rsid w:val="008D221A"/>
    <w:rsid w:val="008D24D6"/>
    <w:rsid w:val="008D24E1"/>
    <w:rsid w:val="008D2FAD"/>
    <w:rsid w:val="008D3E6A"/>
    <w:rsid w:val="008D4141"/>
    <w:rsid w:val="008D4C3F"/>
    <w:rsid w:val="008D53E2"/>
    <w:rsid w:val="008D5908"/>
    <w:rsid w:val="008D5AF1"/>
    <w:rsid w:val="008D5D4E"/>
    <w:rsid w:val="008D5FD1"/>
    <w:rsid w:val="008D676F"/>
    <w:rsid w:val="008D68CA"/>
    <w:rsid w:val="008D6A6E"/>
    <w:rsid w:val="008D740B"/>
    <w:rsid w:val="008D781F"/>
    <w:rsid w:val="008D7942"/>
    <w:rsid w:val="008D7992"/>
    <w:rsid w:val="008D7DBE"/>
    <w:rsid w:val="008E02B7"/>
    <w:rsid w:val="008E20BE"/>
    <w:rsid w:val="008E241B"/>
    <w:rsid w:val="008E3096"/>
    <w:rsid w:val="008E330C"/>
    <w:rsid w:val="008E332F"/>
    <w:rsid w:val="008E4114"/>
    <w:rsid w:val="008E45EA"/>
    <w:rsid w:val="008E4A1A"/>
    <w:rsid w:val="008E5084"/>
    <w:rsid w:val="008E5E01"/>
    <w:rsid w:val="008E61D7"/>
    <w:rsid w:val="008E61ED"/>
    <w:rsid w:val="008E69A3"/>
    <w:rsid w:val="008E6B4F"/>
    <w:rsid w:val="008E6D90"/>
    <w:rsid w:val="008E7B3D"/>
    <w:rsid w:val="008E7CC9"/>
    <w:rsid w:val="008E7CE3"/>
    <w:rsid w:val="008E7DED"/>
    <w:rsid w:val="008F02A1"/>
    <w:rsid w:val="008F031A"/>
    <w:rsid w:val="008F0E69"/>
    <w:rsid w:val="008F12FF"/>
    <w:rsid w:val="008F1BEF"/>
    <w:rsid w:val="008F26CC"/>
    <w:rsid w:val="008F370C"/>
    <w:rsid w:val="008F3D3E"/>
    <w:rsid w:val="008F3F31"/>
    <w:rsid w:val="008F4655"/>
    <w:rsid w:val="008F4779"/>
    <w:rsid w:val="008F542B"/>
    <w:rsid w:val="008F5670"/>
    <w:rsid w:val="008F599F"/>
    <w:rsid w:val="008F6355"/>
    <w:rsid w:val="008F63DF"/>
    <w:rsid w:val="008F64E5"/>
    <w:rsid w:val="008F6508"/>
    <w:rsid w:val="008F654A"/>
    <w:rsid w:val="008F6764"/>
    <w:rsid w:val="008F677E"/>
    <w:rsid w:val="008F72E7"/>
    <w:rsid w:val="008F7C28"/>
    <w:rsid w:val="0090010C"/>
    <w:rsid w:val="0090034D"/>
    <w:rsid w:val="009005A7"/>
    <w:rsid w:val="00900EC7"/>
    <w:rsid w:val="00900FFC"/>
    <w:rsid w:val="009011F9"/>
    <w:rsid w:val="00901244"/>
    <w:rsid w:val="009018CF"/>
    <w:rsid w:val="00901979"/>
    <w:rsid w:val="00901B32"/>
    <w:rsid w:val="00901D19"/>
    <w:rsid w:val="00902357"/>
    <w:rsid w:val="0090242A"/>
    <w:rsid w:val="00902C85"/>
    <w:rsid w:val="009030F7"/>
    <w:rsid w:val="009034D9"/>
    <w:rsid w:val="009046C9"/>
    <w:rsid w:val="009046F1"/>
    <w:rsid w:val="00904883"/>
    <w:rsid w:val="00904B0A"/>
    <w:rsid w:val="00904F84"/>
    <w:rsid w:val="009055DD"/>
    <w:rsid w:val="00905C36"/>
    <w:rsid w:val="00905D2E"/>
    <w:rsid w:val="00905E80"/>
    <w:rsid w:val="0090616A"/>
    <w:rsid w:val="00906527"/>
    <w:rsid w:val="00906BD9"/>
    <w:rsid w:val="00906EA0"/>
    <w:rsid w:val="00907F4C"/>
    <w:rsid w:val="0091006A"/>
    <w:rsid w:val="00910B57"/>
    <w:rsid w:val="0091148A"/>
    <w:rsid w:val="00912347"/>
    <w:rsid w:val="0091243E"/>
    <w:rsid w:val="0091268D"/>
    <w:rsid w:val="009129C1"/>
    <w:rsid w:val="009138F9"/>
    <w:rsid w:val="00913AA2"/>
    <w:rsid w:val="00913B74"/>
    <w:rsid w:val="00913EBB"/>
    <w:rsid w:val="009141BB"/>
    <w:rsid w:val="00914B55"/>
    <w:rsid w:val="00914B8F"/>
    <w:rsid w:val="00914DC4"/>
    <w:rsid w:val="00914FC8"/>
    <w:rsid w:val="00915288"/>
    <w:rsid w:val="00915329"/>
    <w:rsid w:val="0091588C"/>
    <w:rsid w:val="0091597E"/>
    <w:rsid w:val="00915DB5"/>
    <w:rsid w:val="00915DF4"/>
    <w:rsid w:val="00915F1F"/>
    <w:rsid w:val="00916068"/>
    <w:rsid w:val="009164B1"/>
    <w:rsid w:val="009166CE"/>
    <w:rsid w:val="00916BF5"/>
    <w:rsid w:val="00916CCB"/>
    <w:rsid w:val="00917DB8"/>
    <w:rsid w:val="00917E84"/>
    <w:rsid w:val="00920B10"/>
    <w:rsid w:val="00920EC8"/>
    <w:rsid w:val="00921102"/>
    <w:rsid w:val="00921305"/>
    <w:rsid w:val="00921783"/>
    <w:rsid w:val="009217D9"/>
    <w:rsid w:val="00921AC8"/>
    <w:rsid w:val="0092206F"/>
    <w:rsid w:val="0092228D"/>
    <w:rsid w:val="00922482"/>
    <w:rsid w:val="0092284F"/>
    <w:rsid w:val="00922A2B"/>
    <w:rsid w:val="00923DC1"/>
    <w:rsid w:val="009248F9"/>
    <w:rsid w:val="00924A6C"/>
    <w:rsid w:val="00924ED4"/>
    <w:rsid w:val="00924F63"/>
    <w:rsid w:val="009255E4"/>
    <w:rsid w:val="0092615A"/>
    <w:rsid w:val="009267AA"/>
    <w:rsid w:val="009271AB"/>
    <w:rsid w:val="00927281"/>
    <w:rsid w:val="009273B8"/>
    <w:rsid w:val="009275AE"/>
    <w:rsid w:val="0092767A"/>
    <w:rsid w:val="00927A20"/>
    <w:rsid w:val="00930298"/>
    <w:rsid w:val="009302A6"/>
    <w:rsid w:val="009309E3"/>
    <w:rsid w:val="0093101B"/>
    <w:rsid w:val="00931290"/>
    <w:rsid w:val="00931325"/>
    <w:rsid w:val="009319DC"/>
    <w:rsid w:val="00931AAD"/>
    <w:rsid w:val="00931E6D"/>
    <w:rsid w:val="009327E0"/>
    <w:rsid w:val="00932D04"/>
    <w:rsid w:val="00932E9E"/>
    <w:rsid w:val="0093305C"/>
    <w:rsid w:val="0093348D"/>
    <w:rsid w:val="00933B8A"/>
    <w:rsid w:val="00934076"/>
    <w:rsid w:val="00934141"/>
    <w:rsid w:val="009341AA"/>
    <w:rsid w:val="0093429A"/>
    <w:rsid w:val="009352D3"/>
    <w:rsid w:val="00935563"/>
    <w:rsid w:val="009355BB"/>
    <w:rsid w:val="00935789"/>
    <w:rsid w:val="009359C5"/>
    <w:rsid w:val="00935CFA"/>
    <w:rsid w:val="009361E8"/>
    <w:rsid w:val="00936247"/>
    <w:rsid w:val="00936501"/>
    <w:rsid w:val="009366AD"/>
    <w:rsid w:val="009377A1"/>
    <w:rsid w:val="00940850"/>
    <w:rsid w:val="00940B1D"/>
    <w:rsid w:val="009415C3"/>
    <w:rsid w:val="009422EC"/>
    <w:rsid w:val="0094243B"/>
    <w:rsid w:val="009425EB"/>
    <w:rsid w:val="009428A4"/>
    <w:rsid w:val="00943157"/>
    <w:rsid w:val="0094368C"/>
    <w:rsid w:val="00943893"/>
    <w:rsid w:val="0094395A"/>
    <w:rsid w:val="00943F33"/>
    <w:rsid w:val="009440E7"/>
    <w:rsid w:val="00944312"/>
    <w:rsid w:val="009443DC"/>
    <w:rsid w:val="00944AE2"/>
    <w:rsid w:val="00944F85"/>
    <w:rsid w:val="0094526B"/>
    <w:rsid w:val="00945488"/>
    <w:rsid w:val="009456EB"/>
    <w:rsid w:val="00945E7E"/>
    <w:rsid w:val="00945E8F"/>
    <w:rsid w:val="009462EC"/>
    <w:rsid w:val="009463FD"/>
    <w:rsid w:val="009467FD"/>
    <w:rsid w:val="00946D2E"/>
    <w:rsid w:val="00946E64"/>
    <w:rsid w:val="00946E6B"/>
    <w:rsid w:val="009472F6"/>
    <w:rsid w:val="0094783F"/>
    <w:rsid w:val="00950365"/>
    <w:rsid w:val="009505A1"/>
    <w:rsid w:val="00950B18"/>
    <w:rsid w:val="00950C55"/>
    <w:rsid w:val="00950CB3"/>
    <w:rsid w:val="00952601"/>
    <w:rsid w:val="0095267E"/>
    <w:rsid w:val="00952BDF"/>
    <w:rsid w:val="00952EBB"/>
    <w:rsid w:val="00952F24"/>
    <w:rsid w:val="00953503"/>
    <w:rsid w:val="0095370E"/>
    <w:rsid w:val="00953B5D"/>
    <w:rsid w:val="00953D3D"/>
    <w:rsid w:val="00953F68"/>
    <w:rsid w:val="009542C8"/>
    <w:rsid w:val="009543D8"/>
    <w:rsid w:val="009545D6"/>
    <w:rsid w:val="00954F67"/>
    <w:rsid w:val="00954FC4"/>
    <w:rsid w:val="00955504"/>
    <w:rsid w:val="009555E8"/>
    <w:rsid w:val="00955AA9"/>
    <w:rsid w:val="00955AB2"/>
    <w:rsid w:val="00955B64"/>
    <w:rsid w:val="00955E60"/>
    <w:rsid w:val="00955EC8"/>
    <w:rsid w:val="0095617B"/>
    <w:rsid w:val="009565D5"/>
    <w:rsid w:val="0095699A"/>
    <w:rsid w:val="00956B34"/>
    <w:rsid w:val="0095702D"/>
    <w:rsid w:val="009571A6"/>
    <w:rsid w:val="0095752A"/>
    <w:rsid w:val="009577C1"/>
    <w:rsid w:val="00957E29"/>
    <w:rsid w:val="009602BA"/>
    <w:rsid w:val="009607B1"/>
    <w:rsid w:val="00960FA3"/>
    <w:rsid w:val="009615D7"/>
    <w:rsid w:val="00961CAF"/>
    <w:rsid w:val="009627CD"/>
    <w:rsid w:val="00962CB0"/>
    <w:rsid w:val="00962D17"/>
    <w:rsid w:val="00963D17"/>
    <w:rsid w:val="00963D45"/>
    <w:rsid w:val="009640B5"/>
    <w:rsid w:val="00964459"/>
    <w:rsid w:val="00964F7C"/>
    <w:rsid w:val="009655CC"/>
    <w:rsid w:val="009657D5"/>
    <w:rsid w:val="00965F9F"/>
    <w:rsid w:val="00966141"/>
    <w:rsid w:val="009662EC"/>
    <w:rsid w:val="00966302"/>
    <w:rsid w:val="00966611"/>
    <w:rsid w:val="00966886"/>
    <w:rsid w:val="009669CC"/>
    <w:rsid w:val="00967296"/>
    <w:rsid w:val="00967655"/>
    <w:rsid w:val="0097090D"/>
    <w:rsid w:val="00970C6B"/>
    <w:rsid w:val="00970E13"/>
    <w:rsid w:val="00970F12"/>
    <w:rsid w:val="009710BF"/>
    <w:rsid w:val="00971874"/>
    <w:rsid w:val="0097192F"/>
    <w:rsid w:val="00971F83"/>
    <w:rsid w:val="00972061"/>
    <w:rsid w:val="0097245C"/>
    <w:rsid w:val="009725FE"/>
    <w:rsid w:val="0097282B"/>
    <w:rsid w:val="00972DAC"/>
    <w:rsid w:val="00972DB7"/>
    <w:rsid w:val="00973A35"/>
    <w:rsid w:val="00974468"/>
    <w:rsid w:val="00974539"/>
    <w:rsid w:val="00974A1E"/>
    <w:rsid w:val="00975221"/>
    <w:rsid w:val="0097559A"/>
    <w:rsid w:val="00975D48"/>
    <w:rsid w:val="00975E31"/>
    <w:rsid w:val="00975E39"/>
    <w:rsid w:val="00976546"/>
    <w:rsid w:val="00976FCF"/>
    <w:rsid w:val="00977809"/>
    <w:rsid w:val="009802F9"/>
    <w:rsid w:val="0098031E"/>
    <w:rsid w:val="00980BAC"/>
    <w:rsid w:val="00980DF0"/>
    <w:rsid w:val="00980F3F"/>
    <w:rsid w:val="00981D1C"/>
    <w:rsid w:val="00982214"/>
    <w:rsid w:val="00982300"/>
    <w:rsid w:val="009823D4"/>
    <w:rsid w:val="00982474"/>
    <w:rsid w:val="00983285"/>
    <w:rsid w:val="0098397B"/>
    <w:rsid w:val="00984275"/>
    <w:rsid w:val="0098436A"/>
    <w:rsid w:val="00984672"/>
    <w:rsid w:val="00984F97"/>
    <w:rsid w:val="0098569D"/>
    <w:rsid w:val="00985A09"/>
    <w:rsid w:val="00986118"/>
    <w:rsid w:val="00986277"/>
    <w:rsid w:val="009866A3"/>
    <w:rsid w:val="0098693D"/>
    <w:rsid w:val="0099003F"/>
    <w:rsid w:val="0099016D"/>
    <w:rsid w:val="00990343"/>
    <w:rsid w:val="009905E1"/>
    <w:rsid w:val="0099064C"/>
    <w:rsid w:val="0099078A"/>
    <w:rsid w:val="0099096F"/>
    <w:rsid w:val="0099097F"/>
    <w:rsid w:val="00992097"/>
    <w:rsid w:val="0099282E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3A9"/>
    <w:rsid w:val="0099551B"/>
    <w:rsid w:val="009955E2"/>
    <w:rsid w:val="00995629"/>
    <w:rsid w:val="009959A5"/>
    <w:rsid w:val="00995B66"/>
    <w:rsid w:val="00995BEA"/>
    <w:rsid w:val="00995C16"/>
    <w:rsid w:val="00995E95"/>
    <w:rsid w:val="00995F3B"/>
    <w:rsid w:val="0099625A"/>
    <w:rsid w:val="00996321"/>
    <w:rsid w:val="009965BC"/>
    <w:rsid w:val="0099662E"/>
    <w:rsid w:val="009969D2"/>
    <w:rsid w:val="00996C11"/>
    <w:rsid w:val="00997131"/>
    <w:rsid w:val="00997258"/>
    <w:rsid w:val="009975B1"/>
    <w:rsid w:val="00997C19"/>
    <w:rsid w:val="009A0415"/>
    <w:rsid w:val="009A04CD"/>
    <w:rsid w:val="009A177E"/>
    <w:rsid w:val="009A1860"/>
    <w:rsid w:val="009A1AE9"/>
    <w:rsid w:val="009A22E6"/>
    <w:rsid w:val="009A2486"/>
    <w:rsid w:val="009A2690"/>
    <w:rsid w:val="009A277E"/>
    <w:rsid w:val="009A2C47"/>
    <w:rsid w:val="009A3307"/>
    <w:rsid w:val="009A3520"/>
    <w:rsid w:val="009A3547"/>
    <w:rsid w:val="009A39FF"/>
    <w:rsid w:val="009A3A86"/>
    <w:rsid w:val="009A3CB5"/>
    <w:rsid w:val="009A3EAF"/>
    <w:rsid w:val="009A3F33"/>
    <w:rsid w:val="009A40AF"/>
    <w:rsid w:val="009A5501"/>
    <w:rsid w:val="009A59CE"/>
    <w:rsid w:val="009A5AE0"/>
    <w:rsid w:val="009A6621"/>
    <w:rsid w:val="009A69B9"/>
    <w:rsid w:val="009A6AEA"/>
    <w:rsid w:val="009A6CC5"/>
    <w:rsid w:val="009A7F4C"/>
    <w:rsid w:val="009B1F3A"/>
    <w:rsid w:val="009B2766"/>
    <w:rsid w:val="009B2A53"/>
    <w:rsid w:val="009B32F0"/>
    <w:rsid w:val="009B3EB4"/>
    <w:rsid w:val="009B3F21"/>
    <w:rsid w:val="009B42BE"/>
    <w:rsid w:val="009B5973"/>
    <w:rsid w:val="009B5B48"/>
    <w:rsid w:val="009B62E6"/>
    <w:rsid w:val="009B668C"/>
    <w:rsid w:val="009B6773"/>
    <w:rsid w:val="009B67C4"/>
    <w:rsid w:val="009B6A3F"/>
    <w:rsid w:val="009B6C5A"/>
    <w:rsid w:val="009B71E1"/>
    <w:rsid w:val="009C0448"/>
    <w:rsid w:val="009C0615"/>
    <w:rsid w:val="009C0CF8"/>
    <w:rsid w:val="009C125A"/>
    <w:rsid w:val="009C1EB2"/>
    <w:rsid w:val="009C2675"/>
    <w:rsid w:val="009C2839"/>
    <w:rsid w:val="009C2A3D"/>
    <w:rsid w:val="009C2DC4"/>
    <w:rsid w:val="009C3042"/>
    <w:rsid w:val="009C3605"/>
    <w:rsid w:val="009C386A"/>
    <w:rsid w:val="009C389F"/>
    <w:rsid w:val="009C3E9C"/>
    <w:rsid w:val="009C3F25"/>
    <w:rsid w:val="009C4A32"/>
    <w:rsid w:val="009C4EA8"/>
    <w:rsid w:val="009C5099"/>
    <w:rsid w:val="009C52AE"/>
    <w:rsid w:val="009C63AB"/>
    <w:rsid w:val="009C69D0"/>
    <w:rsid w:val="009C69F4"/>
    <w:rsid w:val="009C6E3A"/>
    <w:rsid w:val="009C7163"/>
    <w:rsid w:val="009C77A3"/>
    <w:rsid w:val="009C7C10"/>
    <w:rsid w:val="009D1082"/>
    <w:rsid w:val="009D1E2B"/>
    <w:rsid w:val="009D1FA5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DF7"/>
    <w:rsid w:val="009D3EDD"/>
    <w:rsid w:val="009D48BA"/>
    <w:rsid w:val="009D4B7E"/>
    <w:rsid w:val="009D4D48"/>
    <w:rsid w:val="009D4DC6"/>
    <w:rsid w:val="009D4EF0"/>
    <w:rsid w:val="009D5106"/>
    <w:rsid w:val="009D5535"/>
    <w:rsid w:val="009D66B9"/>
    <w:rsid w:val="009D6B77"/>
    <w:rsid w:val="009D6B9F"/>
    <w:rsid w:val="009D6CE1"/>
    <w:rsid w:val="009D7FF1"/>
    <w:rsid w:val="009E14B2"/>
    <w:rsid w:val="009E1D15"/>
    <w:rsid w:val="009E1DFA"/>
    <w:rsid w:val="009E23ED"/>
    <w:rsid w:val="009E26BC"/>
    <w:rsid w:val="009E322C"/>
    <w:rsid w:val="009E3352"/>
    <w:rsid w:val="009E3479"/>
    <w:rsid w:val="009E3630"/>
    <w:rsid w:val="009E387D"/>
    <w:rsid w:val="009E453D"/>
    <w:rsid w:val="009E5013"/>
    <w:rsid w:val="009E56B0"/>
    <w:rsid w:val="009E5917"/>
    <w:rsid w:val="009E5E37"/>
    <w:rsid w:val="009E6223"/>
    <w:rsid w:val="009E703E"/>
    <w:rsid w:val="009E725F"/>
    <w:rsid w:val="009E7698"/>
    <w:rsid w:val="009E79CF"/>
    <w:rsid w:val="009E7F2E"/>
    <w:rsid w:val="009F0031"/>
    <w:rsid w:val="009F009C"/>
    <w:rsid w:val="009F0345"/>
    <w:rsid w:val="009F04F2"/>
    <w:rsid w:val="009F07F3"/>
    <w:rsid w:val="009F0A8F"/>
    <w:rsid w:val="009F1AAD"/>
    <w:rsid w:val="009F1B41"/>
    <w:rsid w:val="009F231C"/>
    <w:rsid w:val="009F2512"/>
    <w:rsid w:val="009F2C7D"/>
    <w:rsid w:val="009F40CE"/>
    <w:rsid w:val="009F4CDA"/>
    <w:rsid w:val="009F4CEB"/>
    <w:rsid w:val="009F5176"/>
    <w:rsid w:val="009F5913"/>
    <w:rsid w:val="009F59BF"/>
    <w:rsid w:val="009F5F68"/>
    <w:rsid w:val="009F61AD"/>
    <w:rsid w:val="009F776E"/>
    <w:rsid w:val="00A00F42"/>
    <w:rsid w:val="00A01279"/>
    <w:rsid w:val="00A01519"/>
    <w:rsid w:val="00A0195A"/>
    <w:rsid w:val="00A01990"/>
    <w:rsid w:val="00A021DB"/>
    <w:rsid w:val="00A02D3C"/>
    <w:rsid w:val="00A032EA"/>
    <w:rsid w:val="00A038C3"/>
    <w:rsid w:val="00A0408F"/>
    <w:rsid w:val="00A04E68"/>
    <w:rsid w:val="00A050D4"/>
    <w:rsid w:val="00A05450"/>
    <w:rsid w:val="00A05975"/>
    <w:rsid w:val="00A05E3D"/>
    <w:rsid w:val="00A05EAA"/>
    <w:rsid w:val="00A0608D"/>
    <w:rsid w:val="00A060BE"/>
    <w:rsid w:val="00A0695E"/>
    <w:rsid w:val="00A06EBF"/>
    <w:rsid w:val="00A06F4E"/>
    <w:rsid w:val="00A07D26"/>
    <w:rsid w:val="00A1036E"/>
    <w:rsid w:val="00A104A1"/>
    <w:rsid w:val="00A10D80"/>
    <w:rsid w:val="00A10FC7"/>
    <w:rsid w:val="00A11313"/>
    <w:rsid w:val="00A11671"/>
    <w:rsid w:val="00A1187C"/>
    <w:rsid w:val="00A12CCC"/>
    <w:rsid w:val="00A12D1A"/>
    <w:rsid w:val="00A12E07"/>
    <w:rsid w:val="00A12F3D"/>
    <w:rsid w:val="00A13A4E"/>
    <w:rsid w:val="00A15174"/>
    <w:rsid w:val="00A15566"/>
    <w:rsid w:val="00A15B2D"/>
    <w:rsid w:val="00A163CD"/>
    <w:rsid w:val="00A1657E"/>
    <w:rsid w:val="00A16778"/>
    <w:rsid w:val="00A16B57"/>
    <w:rsid w:val="00A176A9"/>
    <w:rsid w:val="00A20224"/>
    <w:rsid w:val="00A2079D"/>
    <w:rsid w:val="00A2081A"/>
    <w:rsid w:val="00A2094A"/>
    <w:rsid w:val="00A21424"/>
    <w:rsid w:val="00A21997"/>
    <w:rsid w:val="00A2365B"/>
    <w:rsid w:val="00A23A98"/>
    <w:rsid w:val="00A24217"/>
    <w:rsid w:val="00A242B6"/>
    <w:rsid w:val="00A244E9"/>
    <w:rsid w:val="00A24530"/>
    <w:rsid w:val="00A24622"/>
    <w:rsid w:val="00A246A3"/>
    <w:rsid w:val="00A24EFF"/>
    <w:rsid w:val="00A24F39"/>
    <w:rsid w:val="00A24FF0"/>
    <w:rsid w:val="00A259A8"/>
    <w:rsid w:val="00A25ABB"/>
    <w:rsid w:val="00A25E2A"/>
    <w:rsid w:val="00A25E39"/>
    <w:rsid w:val="00A260A4"/>
    <w:rsid w:val="00A267F3"/>
    <w:rsid w:val="00A26827"/>
    <w:rsid w:val="00A26A75"/>
    <w:rsid w:val="00A26D47"/>
    <w:rsid w:val="00A26DA7"/>
    <w:rsid w:val="00A26F41"/>
    <w:rsid w:val="00A26F88"/>
    <w:rsid w:val="00A275D1"/>
    <w:rsid w:val="00A27A17"/>
    <w:rsid w:val="00A27B57"/>
    <w:rsid w:val="00A27BF2"/>
    <w:rsid w:val="00A300D5"/>
    <w:rsid w:val="00A313B3"/>
    <w:rsid w:val="00A318AC"/>
    <w:rsid w:val="00A31D00"/>
    <w:rsid w:val="00A32051"/>
    <w:rsid w:val="00A32AE0"/>
    <w:rsid w:val="00A32B77"/>
    <w:rsid w:val="00A32BB4"/>
    <w:rsid w:val="00A33A9B"/>
    <w:rsid w:val="00A33CCF"/>
    <w:rsid w:val="00A34035"/>
    <w:rsid w:val="00A356DB"/>
    <w:rsid w:val="00A35C84"/>
    <w:rsid w:val="00A35D65"/>
    <w:rsid w:val="00A36964"/>
    <w:rsid w:val="00A36CF6"/>
    <w:rsid w:val="00A36EC5"/>
    <w:rsid w:val="00A37EDA"/>
    <w:rsid w:val="00A4035D"/>
    <w:rsid w:val="00A413A3"/>
    <w:rsid w:val="00A415F7"/>
    <w:rsid w:val="00A41C88"/>
    <w:rsid w:val="00A41CE4"/>
    <w:rsid w:val="00A4254C"/>
    <w:rsid w:val="00A43270"/>
    <w:rsid w:val="00A44A75"/>
    <w:rsid w:val="00A45066"/>
    <w:rsid w:val="00A4539E"/>
    <w:rsid w:val="00A459C7"/>
    <w:rsid w:val="00A46080"/>
    <w:rsid w:val="00A461CB"/>
    <w:rsid w:val="00A4663F"/>
    <w:rsid w:val="00A46C6C"/>
    <w:rsid w:val="00A46EB1"/>
    <w:rsid w:val="00A46EE8"/>
    <w:rsid w:val="00A46F37"/>
    <w:rsid w:val="00A47A54"/>
    <w:rsid w:val="00A47C59"/>
    <w:rsid w:val="00A50001"/>
    <w:rsid w:val="00A50FEC"/>
    <w:rsid w:val="00A51326"/>
    <w:rsid w:val="00A5171D"/>
    <w:rsid w:val="00A51FC3"/>
    <w:rsid w:val="00A52204"/>
    <w:rsid w:val="00A532FC"/>
    <w:rsid w:val="00A53624"/>
    <w:rsid w:val="00A5406C"/>
    <w:rsid w:val="00A5493C"/>
    <w:rsid w:val="00A5497F"/>
    <w:rsid w:val="00A54D73"/>
    <w:rsid w:val="00A54F72"/>
    <w:rsid w:val="00A55649"/>
    <w:rsid w:val="00A565B6"/>
    <w:rsid w:val="00A567E2"/>
    <w:rsid w:val="00A56806"/>
    <w:rsid w:val="00A57F15"/>
    <w:rsid w:val="00A57F40"/>
    <w:rsid w:val="00A60066"/>
    <w:rsid w:val="00A60179"/>
    <w:rsid w:val="00A60EE6"/>
    <w:rsid w:val="00A61782"/>
    <w:rsid w:val="00A61F3A"/>
    <w:rsid w:val="00A61FDA"/>
    <w:rsid w:val="00A62B8D"/>
    <w:rsid w:val="00A62B94"/>
    <w:rsid w:val="00A632EE"/>
    <w:rsid w:val="00A63850"/>
    <w:rsid w:val="00A63C29"/>
    <w:rsid w:val="00A6418A"/>
    <w:rsid w:val="00A64787"/>
    <w:rsid w:val="00A648E9"/>
    <w:rsid w:val="00A6567C"/>
    <w:rsid w:val="00A6654A"/>
    <w:rsid w:val="00A66C0D"/>
    <w:rsid w:val="00A6764D"/>
    <w:rsid w:val="00A67934"/>
    <w:rsid w:val="00A67A03"/>
    <w:rsid w:val="00A67D4A"/>
    <w:rsid w:val="00A67DE5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BC8"/>
    <w:rsid w:val="00A72C04"/>
    <w:rsid w:val="00A72FE2"/>
    <w:rsid w:val="00A73341"/>
    <w:rsid w:val="00A74269"/>
    <w:rsid w:val="00A748ED"/>
    <w:rsid w:val="00A75386"/>
    <w:rsid w:val="00A7593A"/>
    <w:rsid w:val="00A7597F"/>
    <w:rsid w:val="00A75B45"/>
    <w:rsid w:val="00A75D3F"/>
    <w:rsid w:val="00A760C0"/>
    <w:rsid w:val="00A768C8"/>
    <w:rsid w:val="00A76C21"/>
    <w:rsid w:val="00A77727"/>
    <w:rsid w:val="00A77A46"/>
    <w:rsid w:val="00A80BCE"/>
    <w:rsid w:val="00A81C5F"/>
    <w:rsid w:val="00A8226A"/>
    <w:rsid w:val="00A82941"/>
    <w:rsid w:val="00A82D0D"/>
    <w:rsid w:val="00A834D6"/>
    <w:rsid w:val="00A83D00"/>
    <w:rsid w:val="00A83DBC"/>
    <w:rsid w:val="00A83F5E"/>
    <w:rsid w:val="00A8461E"/>
    <w:rsid w:val="00A84746"/>
    <w:rsid w:val="00A847AE"/>
    <w:rsid w:val="00A84D2C"/>
    <w:rsid w:val="00A85084"/>
    <w:rsid w:val="00A855FE"/>
    <w:rsid w:val="00A85836"/>
    <w:rsid w:val="00A85E79"/>
    <w:rsid w:val="00A85F29"/>
    <w:rsid w:val="00A8613B"/>
    <w:rsid w:val="00A86203"/>
    <w:rsid w:val="00A86287"/>
    <w:rsid w:val="00A86D62"/>
    <w:rsid w:val="00A87982"/>
    <w:rsid w:val="00A87C2F"/>
    <w:rsid w:val="00A87CB5"/>
    <w:rsid w:val="00A904F2"/>
    <w:rsid w:val="00A90A9D"/>
    <w:rsid w:val="00A911A0"/>
    <w:rsid w:val="00A91363"/>
    <w:rsid w:val="00A91450"/>
    <w:rsid w:val="00A91B63"/>
    <w:rsid w:val="00A920B1"/>
    <w:rsid w:val="00A92564"/>
    <w:rsid w:val="00A92DB9"/>
    <w:rsid w:val="00A92F52"/>
    <w:rsid w:val="00A93738"/>
    <w:rsid w:val="00A94084"/>
    <w:rsid w:val="00A9446E"/>
    <w:rsid w:val="00A94758"/>
    <w:rsid w:val="00A94AA0"/>
    <w:rsid w:val="00A950D8"/>
    <w:rsid w:val="00A96852"/>
    <w:rsid w:val="00A96C21"/>
    <w:rsid w:val="00A976E4"/>
    <w:rsid w:val="00A9791D"/>
    <w:rsid w:val="00A97D4A"/>
    <w:rsid w:val="00A97DB8"/>
    <w:rsid w:val="00AA0209"/>
    <w:rsid w:val="00AA03A6"/>
    <w:rsid w:val="00AA0881"/>
    <w:rsid w:val="00AA0AE2"/>
    <w:rsid w:val="00AA1128"/>
    <w:rsid w:val="00AA1A7C"/>
    <w:rsid w:val="00AA1ADA"/>
    <w:rsid w:val="00AA1D69"/>
    <w:rsid w:val="00AA20B3"/>
    <w:rsid w:val="00AA2A27"/>
    <w:rsid w:val="00AA2A7D"/>
    <w:rsid w:val="00AA2A95"/>
    <w:rsid w:val="00AA2ECC"/>
    <w:rsid w:val="00AA3A3E"/>
    <w:rsid w:val="00AA3B94"/>
    <w:rsid w:val="00AA3C94"/>
    <w:rsid w:val="00AA41D4"/>
    <w:rsid w:val="00AA4203"/>
    <w:rsid w:val="00AA43D2"/>
    <w:rsid w:val="00AA4514"/>
    <w:rsid w:val="00AA4775"/>
    <w:rsid w:val="00AA488F"/>
    <w:rsid w:val="00AA4CBF"/>
    <w:rsid w:val="00AA4CD3"/>
    <w:rsid w:val="00AA5515"/>
    <w:rsid w:val="00AA567F"/>
    <w:rsid w:val="00AA583C"/>
    <w:rsid w:val="00AA6136"/>
    <w:rsid w:val="00AA65CF"/>
    <w:rsid w:val="00AA6A88"/>
    <w:rsid w:val="00AA74F1"/>
    <w:rsid w:val="00AA78C6"/>
    <w:rsid w:val="00AA7A1D"/>
    <w:rsid w:val="00AA7A8A"/>
    <w:rsid w:val="00AB02DD"/>
    <w:rsid w:val="00AB045C"/>
    <w:rsid w:val="00AB05BB"/>
    <w:rsid w:val="00AB0655"/>
    <w:rsid w:val="00AB08F0"/>
    <w:rsid w:val="00AB090C"/>
    <w:rsid w:val="00AB0F9A"/>
    <w:rsid w:val="00AB1160"/>
    <w:rsid w:val="00AB1411"/>
    <w:rsid w:val="00AB142E"/>
    <w:rsid w:val="00AB1A48"/>
    <w:rsid w:val="00AB1C10"/>
    <w:rsid w:val="00AB212D"/>
    <w:rsid w:val="00AB221D"/>
    <w:rsid w:val="00AB253F"/>
    <w:rsid w:val="00AB274B"/>
    <w:rsid w:val="00AB32C1"/>
    <w:rsid w:val="00AB3552"/>
    <w:rsid w:val="00AB39CB"/>
    <w:rsid w:val="00AB3A98"/>
    <w:rsid w:val="00AB481B"/>
    <w:rsid w:val="00AB49C3"/>
    <w:rsid w:val="00AB5232"/>
    <w:rsid w:val="00AB541D"/>
    <w:rsid w:val="00AB55F8"/>
    <w:rsid w:val="00AB5DF2"/>
    <w:rsid w:val="00AB639E"/>
    <w:rsid w:val="00AB65C6"/>
    <w:rsid w:val="00AB6C4D"/>
    <w:rsid w:val="00AB7212"/>
    <w:rsid w:val="00AB7866"/>
    <w:rsid w:val="00AC0768"/>
    <w:rsid w:val="00AC1D3B"/>
    <w:rsid w:val="00AC226A"/>
    <w:rsid w:val="00AC246C"/>
    <w:rsid w:val="00AC2FB2"/>
    <w:rsid w:val="00AC32FB"/>
    <w:rsid w:val="00AC38CA"/>
    <w:rsid w:val="00AC3ADE"/>
    <w:rsid w:val="00AC3F58"/>
    <w:rsid w:val="00AC4C92"/>
    <w:rsid w:val="00AC4E28"/>
    <w:rsid w:val="00AC4E71"/>
    <w:rsid w:val="00AC4F7E"/>
    <w:rsid w:val="00AC55E9"/>
    <w:rsid w:val="00AC5700"/>
    <w:rsid w:val="00AC59C9"/>
    <w:rsid w:val="00AC5A64"/>
    <w:rsid w:val="00AC613C"/>
    <w:rsid w:val="00AC617D"/>
    <w:rsid w:val="00AC63F7"/>
    <w:rsid w:val="00AC6D62"/>
    <w:rsid w:val="00AC7042"/>
    <w:rsid w:val="00AC752F"/>
    <w:rsid w:val="00AC7B8D"/>
    <w:rsid w:val="00AC7E49"/>
    <w:rsid w:val="00AD00D5"/>
    <w:rsid w:val="00AD099F"/>
    <w:rsid w:val="00AD09D5"/>
    <w:rsid w:val="00AD1166"/>
    <w:rsid w:val="00AD169B"/>
    <w:rsid w:val="00AD1C10"/>
    <w:rsid w:val="00AD27BA"/>
    <w:rsid w:val="00AD2E7B"/>
    <w:rsid w:val="00AD2F8F"/>
    <w:rsid w:val="00AD3685"/>
    <w:rsid w:val="00AD3966"/>
    <w:rsid w:val="00AD3F4F"/>
    <w:rsid w:val="00AD403C"/>
    <w:rsid w:val="00AD4153"/>
    <w:rsid w:val="00AD4838"/>
    <w:rsid w:val="00AD48C9"/>
    <w:rsid w:val="00AD49E5"/>
    <w:rsid w:val="00AD5420"/>
    <w:rsid w:val="00AD54E6"/>
    <w:rsid w:val="00AD56CF"/>
    <w:rsid w:val="00AD5DDB"/>
    <w:rsid w:val="00AD5E3E"/>
    <w:rsid w:val="00AD60B8"/>
    <w:rsid w:val="00AD60EF"/>
    <w:rsid w:val="00AD612C"/>
    <w:rsid w:val="00AD64FB"/>
    <w:rsid w:val="00AD734C"/>
    <w:rsid w:val="00AD7922"/>
    <w:rsid w:val="00AE0413"/>
    <w:rsid w:val="00AE046A"/>
    <w:rsid w:val="00AE05BF"/>
    <w:rsid w:val="00AE0D8D"/>
    <w:rsid w:val="00AE124E"/>
    <w:rsid w:val="00AE23C8"/>
    <w:rsid w:val="00AE265A"/>
    <w:rsid w:val="00AE2878"/>
    <w:rsid w:val="00AE308D"/>
    <w:rsid w:val="00AE36D1"/>
    <w:rsid w:val="00AE3DDB"/>
    <w:rsid w:val="00AE4A64"/>
    <w:rsid w:val="00AE54BD"/>
    <w:rsid w:val="00AE5771"/>
    <w:rsid w:val="00AE59FC"/>
    <w:rsid w:val="00AE68A4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1882"/>
    <w:rsid w:val="00AF23D9"/>
    <w:rsid w:val="00AF290E"/>
    <w:rsid w:val="00AF29FA"/>
    <w:rsid w:val="00AF37D5"/>
    <w:rsid w:val="00AF381B"/>
    <w:rsid w:val="00AF3F63"/>
    <w:rsid w:val="00AF4345"/>
    <w:rsid w:val="00AF463B"/>
    <w:rsid w:val="00AF4B42"/>
    <w:rsid w:val="00AF4CC5"/>
    <w:rsid w:val="00AF5020"/>
    <w:rsid w:val="00AF5319"/>
    <w:rsid w:val="00AF5994"/>
    <w:rsid w:val="00AF608B"/>
    <w:rsid w:val="00AF61CE"/>
    <w:rsid w:val="00AF6A59"/>
    <w:rsid w:val="00AF7BDD"/>
    <w:rsid w:val="00B006FB"/>
    <w:rsid w:val="00B00725"/>
    <w:rsid w:val="00B00999"/>
    <w:rsid w:val="00B00F8C"/>
    <w:rsid w:val="00B00FEC"/>
    <w:rsid w:val="00B01277"/>
    <w:rsid w:val="00B0144E"/>
    <w:rsid w:val="00B017B2"/>
    <w:rsid w:val="00B02145"/>
    <w:rsid w:val="00B02F0C"/>
    <w:rsid w:val="00B0307C"/>
    <w:rsid w:val="00B03776"/>
    <w:rsid w:val="00B03AB6"/>
    <w:rsid w:val="00B03ED8"/>
    <w:rsid w:val="00B0401D"/>
    <w:rsid w:val="00B042D2"/>
    <w:rsid w:val="00B04E8D"/>
    <w:rsid w:val="00B04F50"/>
    <w:rsid w:val="00B05084"/>
    <w:rsid w:val="00B0542F"/>
    <w:rsid w:val="00B05A05"/>
    <w:rsid w:val="00B05DFC"/>
    <w:rsid w:val="00B06495"/>
    <w:rsid w:val="00B064F1"/>
    <w:rsid w:val="00B06DA3"/>
    <w:rsid w:val="00B0719F"/>
    <w:rsid w:val="00B074FC"/>
    <w:rsid w:val="00B07C65"/>
    <w:rsid w:val="00B105DF"/>
    <w:rsid w:val="00B109DF"/>
    <w:rsid w:val="00B118E1"/>
    <w:rsid w:val="00B11A39"/>
    <w:rsid w:val="00B11A5F"/>
    <w:rsid w:val="00B11A9A"/>
    <w:rsid w:val="00B11BDA"/>
    <w:rsid w:val="00B120CF"/>
    <w:rsid w:val="00B1210E"/>
    <w:rsid w:val="00B1243E"/>
    <w:rsid w:val="00B129BD"/>
    <w:rsid w:val="00B12BDA"/>
    <w:rsid w:val="00B13C47"/>
    <w:rsid w:val="00B13D2B"/>
    <w:rsid w:val="00B13F2E"/>
    <w:rsid w:val="00B14011"/>
    <w:rsid w:val="00B14793"/>
    <w:rsid w:val="00B15075"/>
    <w:rsid w:val="00B15774"/>
    <w:rsid w:val="00B15BA8"/>
    <w:rsid w:val="00B15DB9"/>
    <w:rsid w:val="00B15E45"/>
    <w:rsid w:val="00B160DD"/>
    <w:rsid w:val="00B16431"/>
    <w:rsid w:val="00B16ACC"/>
    <w:rsid w:val="00B17366"/>
    <w:rsid w:val="00B176FD"/>
    <w:rsid w:val="00B1780E"/>
    <w:rsid w:val="00B200D3"/>
    <w:rsid w:val="00B2060E"/>
    <w:rsid w:val="00B20DCF"/>
    <w:rsid w:val="00B20F8A"/>
    <w:rsid w:val="00B215EB"/>
    <w:rsid w:val="00B2173E"/>
    <w:rsid w:val="00B22522"/>
    <w:rsid w:val="00B2288A"/>
    <w:rsid w:val="00B230A6"/>
    <w:rsid w:val="00B23496"/>
    <w:rsid w:val="00B243F8"/>
    <w:rsid w:val="00B24D66"/>
    <w:rsid w:val="00B256EA"/>
    <w:rsid w:val="00B258AF"/>
    <w:rsid w:val="00B264B0"/>
    <w:rsid w:val="00B26CBE"/>
    <w:rsid w:val="00B26CDB"/>
    <w:rsid w:val="00B26D2E"/>
    <w:rsid w:val="00B26ECF"/>
    <w:rsid w:val="00B27444"/>
    <w:rsid w:val="00B27734"/>
    <w:rsid w:val="00B27771"/>
    <w:rsid w:val="00B27787"/>
    <w:rsid w:val="00B278D7"/>
    <w:rsid w:val="00B3091E"/>
    <w:rsid w:val="00B30FC3"/>
    <w:rsid w:val="00B31602"/>
    <w:rsid w:val="00B319FE"/>
    <w:rsid w:val="00B3232C"/>
    <w:rsid w:val="00B331B8"/>
    <w:rsid w:val="00B33786"/>
    <w:rsid w:val="00B337A4"/>
    <w:rsid w:val="00B34212"/>
    <w:rsid w:val="00B34725"/>
    <w:rsid w:val="00B355F0"/>
    <w:rsid w:val="00B3564D"/>
    <w:rsid w:val="00B3578C"/>
    <w:rsid w:val="00B3605B"/>
    <w:rsid w:val="00B36D9E"/>
    <w:rsid w:val="00B37271"/>
    <w:rsid w:val="00B37311"/>
    <w:rsid w:val="00B373EA"/>
    <w:rsid w:val="00B373FB"/>
    <w:rsid w:val="00B37975"/>
    <w:rsid w:val="00B4106F"/>
    <w:rsid w:val="00B41BE7"/>
    <w:rsid w:val="00B41D70"/>
    <w:rsid w:val="00B4240C"/>
    <w:rsid w:val="00B424F7"/>
    <w:rsid w:val="00B42568"/>
    <w:rsid w:val="00B4316E"/>
    <w:rsid w:val="00B4339F"/>
    <w:rsid w:val="00B4381B"/>
    <w:rsid w:val="00B4383C"/>
    <w:rsid w:val="00B4403D"/>
    <w:rsid w:val="00B4423D"/>
    <w:rsid w:val="00B45847"/>
    <w:rsid w:val="00B460A1"/>
    <w:rsid w:val="00B46275"/>
    <w:rsid w:val="00B464C7"/>
    <w:rsid w:val="00B4658A"/>
    <w:rsid w:val="00B46988"/>
    <w:rsid w:val="00B4733F"/>
    <w:rsid w:val="00B4758E"/>
    <w:rsid w:val="00B47BC5"/>
    <w:rsid w:val="00B47CBB"/>
    <w:rsid w:val="00B503D0"/>
    <w:rsid w:val="00B5083E"/>
    <w:rsid w:val="00B50ADB"/>
    <w:rsid w:val="00B5124A"/>
    <w:rsid w:val="00B51519"/>
    <w:rsid w:val="00B51604"/>
    <w:rsid w:val="00B51F64"/>
    <w:rsid w:val="00B52BB7"/>
    <w:rsid w:val="00B53B4E"/>
    <w:rsid w:val="00B53C5F"/>
    <w:rsid w:val="00B542E2"/>
    <w:rsid w:val="00B54465"/>
    <w:rsid w:val="00B54BD8"/>
    <w:rsid w:val="00B55933"/>
    <w:rsid w:val="00B5596C"/>
    <w:rsid w:val="00B55CC5"/>
    <w:rsid w:val="00B55ECD"/>
    <w:rsid w:val="00B565A9"/>
    <w:rsid w:val="00B569B2"/>
    <w:rsid w:val="00B56FBD"/>
    <w:rsid w:val="00B5715A"/>
    <w:rsid w:val="00B57327"/>
    <w:rsid w:val="00B574F7"/>
    <w:rsid w:val="00B6002D"/>
    <w:rsid w:val="00B6010B"/>
    <w:rsid w:val="00B60C6F"/>
    <w:rsid w:val="00B61262"/>
    <w:rsid w:val="00B61C8A"/>
    <w:rsid w:val="00B6210A"/>
    <w:rsid w:val="00B6220A"/>
    <w:rsid w:val="00B629F3"/>
    <w:rsid w:val="00B640CF"/>
    <w:rsid w:val="00B65828"/>
    <w:rsid w:val="00B65E01"/>
    <w:rsid w:val="00B664C4"/>
    <w:rsid w:val="00B665BB"/>
    <w:rsid w:val="00B66785"/>
    <w:rsid w:val="00B66800"/>
    <w:rsid w:val="00B668CA"/>
    <w:rsid w:val="00B66AB0"/>
    <w:rsid w:val="00B66C90"/>
    <w:rsid w:val="00B677D7"/>
    <w:rsid w:val="00B7095E"/>
    <w:rsid w:val="00B70C27"/>
    <w:rsid w:val="00B70ED8"/>
    <w:rsid w:val="00B710E0"/>
    <w:rsid w:val="00B7162D"/>
    <w:rsid w:val="00B71E56"/>
    <w:rsid w:val="00B71F7B"/>
    <w:rsid w:val="00B7224F"/>
    <w:rsid w:val="00B727DF"/>
    <w:rsid w:val="00B72CF9"/>
    <w:rsid w:val="00B72EE9"/>
    <w:rsid w:val="00B7329E"/>
    <w:rsid w:val="00B73637"/>
    <w:rsid w:val="00B73D34"/>
    <w:rsid w:val="00B740E5"/>
    <w:rsid w:val="00B742C1"/>
    <w:rsid w:val="00B74720"/>
    <w:rsid w:val="00B747A2"/>
    <w:rsid w:val="00B74AEA"/>
    <w:rsid w:val="00B74C99"/>
    <w:rsid w:val="00B75032"/>
    <w:rsid w:val="00B750D5"/>
    <w:rsid w:val="00B7591C"/>
    <w:rsid w:val="00B75D1D"/>
    <w:rsid w:val="00B75E98"/>
    <w:rsid w:val="00B76816"/>
    <w:rsid w:val="00B76A3F"/>
    <w:rsid w:val="00B76A7D"/>
    <w:rsid w:val="00B76CE1"/>
    <w:rsid w:val="00B776D5"/>
    <w:rsid w:val="00B77B7E"/>
    <w:rsid w:val="00B806E1"/>
    <w:rsid w:val="00B80744"/>
    <w:rsid w:val="00B80979"/>
    <w:rsid w:val="00B80AFC"/>
    <w:rsid w:val="00B818AA"/>
    <w:rsid w:val="00B81B66"/>
    <w:rsid w:val="00B81BC2"/>
    <w:rsid w:val="00B81C75"/>
    <w:rsid w:val="00B81D8F"/>
    <w:rsid w:val="00B81EEF"/>
    <w:rsid w:val="00B81F26"/>
    <w:rsid w:val="00B82C22"/>
    <w:rsid w:val="00B82C39"/>
    <w:rsid w:val="00B833BC"/>
    <w:rsid w:val="00B83CDE"/>
    <w:rsid w:val="00B840BB"/>
    <w:rsid w:val="00B84B4E"/>
    <w:rsid w:val="00B84C9F"/>
    <w:rsid w:val="00B84CFE"/>
    <w:rsid w:val="00B8525F"/>
    <w:rsid w:val="00B856E9"/>
    <w:rsid w:val="00B85774"/>
    <w:rsid w:val="00B857F7"/>
    <w:rsid w:val="00B86429"/>
    <w:rsid w:val="00B8648F"/>
    <w:rsid w:val="00B866C7"/>
    <w:rsid w:val="00B86EFB"/>
    <w:rsid w:val="00B874A9"/>
    <w:rsid w:val="00B87563"/>
    <w:rsid w:val="00B87589"/>
    <w:rsid w:val="00B877D2"/>
    <w:rsid w:val="00B87D32"/>
    <w:rsid w:val="00B87EBC"/>
    <w:rsid w:val="00B87FF0"/>
    <w:rsid w:val="00B905D7"/>
    <w:rsid w:val="00B90825"/>
    <w:rsid w:val="00B9084F"/>
    <w:rsid w:val="00B90862"/>
    <w:rsid w:val="00B90DD5"/>
    <w:rsid w:val="00B912EC"/>
    <w:rsid w:val="00B916C0"/>
    <w:rsid w:val="00B917AC"/>
    <w:rsid w:val="00B91F77"/>
    <w:rsid w:val="00B9257F"/>
    <w:rsid w:val="00B926AC"/>
    <w:rsid w:val="00B92E6B"/>
    <w:rsid w:val="00B92FC6"/>
    <w:rsid w:val="00B93043"/>
    <w:rsid w:val="00B93431"/>
    <w:rsid w:val="00B93500"/>
    <w:rsid w:val="00B93D97"/>
    <w:rsid w:val="00B942F9"/>
    <w:rsid w:val="00B94392"/>
    <w:rsid w:val="00B9439B"/>
    <w:rsid w:val="00B94AE4"/>
    <w:rsid w:val="00B9516F"/>
    <w:rsid w:val="00B95523"/>
    <w:rsid w:val="00B955F5"/>
    <w:rsid w:val="00B95663"/>
    <w:rsid w:val="00B95A36"/>
    <w:rsid w:val="00B95CCC"/>
    <w:rsid w:val="00B95F44"/>
    <w:rsid w:val="00B96D3C"/>
    <w:rsid w:val="00B97577"/>
    <w:rsid w:val="00BA05A1"/>
    <w:rsid w:val="00BA0FE9"/>
    <w:rsid w:val="00BA139F"/>
    <w:rsid w:val="00BA1A0B"/>
    <w:rsid w:val="00BA1E85"/>
    <w:rsid w:val="00BA1EA6"/>
    <w:rsid w:val="00BA25F7"/>
    <w:rsid w:val="00BA28B4"/>
    <w:rsid w:val="00BA359B"/>
    <w:rsid w:val="00BA3A5D"/>
    <w:rsid w:val="00BA3A93"/>
    <w:rsid w:val="00BA4D05"/>
    <w:rsid w:val="00BA5165"/>
    <w:rsid w:val="00BA5599"/>
    <w:rsid w:val="00BA592B"/>
    <w:rsid w:val="00BA5A40"/>
    <w:rsid w:val="00BA5A84"/>
    <w:rsid w:val="00BA5FD5"/>
    <w:rsid w:val="00BA620D"/>
    <w:rsid w:val="00BA62AB"/>
    <w:rsid w:val="00BA67A7"/>
    <w:rsid w:val="00BA7E0B"/>
    <w:rsid w:val="00BB0DE3"/>
    <w:rsid w:val="00BB0EA0"/>
    <w:rsid w:val="00BB10CD"/>
    <w:rsid w:val="00BB10F0"/>
    <w:rsid w:val="00BB122E"/>
    <w:rsid w:val="00BB25BB"/>
    <w:rsid w:val="00BB26EC"/>
    <w:rsid w:val="00BB2CEC"/>
    <w:rsid w:val="00BB2E33"/>
    <w:rsid w:val="00BB2E86"/>
    <w:rsid w:val="00BB4A6F"/>
    <w:rsid w:val="00BB4D81"/>
    <w:rsid w:val="00BB4EBC"/>
    <w:rsid w:val="00BB4FCA"/>
    <w:rsid w:val="00BB515D"/>
    <w:rsid w:val="00BB56B1"/>
    <w:rsid w:val="00BB5759"/>
    <w:rsid w:val="00BB5A30"/>
    <w:rsid w:val="00BB5B98"/>
    <w:rsid w:val="00BB6EB7"/>
    <w:rsid w:val="00BB7B5D"/>
    <w:rsid w:val="00BB7BAC"/>
    <w:rsid w:val="00BC08D8"/>
    <w:rsid w:val="00BC08FC"/>
    <w:rsid w:val="00BC202D"/>
    <w:rsid w:val="00BC213B"/>
    <w:rsid w:val="00BC2964"/>
    <w:rsid w:val="00BC3112"/>
    <w:rsid w:val="00BC3776"/>
    <w:rsid w:val="00BC37B6"/>
    <w:rsid w:val="00BC3D8E"/>
    <w:rsid w:val="00BC3E7F"/>
    <w:rsid w:val="00BC41B5"/>
    <w:rsid w:val="00BC4C63"/>
    <w:rsid w:val="00BC54D1"/>
    <w:rsid w:val="00BC5912"/>
    <w:rsid w:val="00BC6050"/>
    <w:rsid w:val="00BC6308"/>
    <w:rsid w:val="00BC63FE"/>
    <w:rsid w:val="00BC666D"/>
    <w:rsid w:val="00BC67A4"/>
    <w:rsid w:val="00BC6B4D"/>
    <w:rsid w:val="00BC6C4F"/>
    <w:rsid w:val="00BC76AA"/>
    <w:rsid w:val="00BC7771"/>
    <w:rsid w:val="00BD06D7"/>
    <w:rsid w:val="00BD1290"/>
    <w:rsid w:val="00BD1CFB"/>
    <w:rsid w:val="00BD2157"/>
    <w:rsid w:val="00BD255F"/>
    <w:rsid w:val="00BD2B8F"/>
    <w:rsid w:val="00BD2C17"/>
    <w:rsid w:val="00BD2C45"/>
    <w:rsid w:val="00BD2FEE"/>
    <w:rsid w:val="00BD35B9"/>
    <w:rsid w:val="00BD36EC"/>
    <w:rsid w:val="00BD4A52"/>
    <w:rsid w:val="00BD51CA"/>
    <w:rsid w:val="00BD5CD2"/>
    <w:rsid w:val="00BD69E7"/>
    <w:rsid w:val="00BD7288"/>
    <w:rsid w:val="00BD77DE"/>
    <w:rsid w:val="00BD79C2"/>
    <w:rsid w:val="00BD7C97"/>
    <w:rsid w:val="00BE1F2E"/>
    <w:rsid w:val="00BE1FA7"/>
    <w:rsid w:val="00BE2AD7"/>
    <w:rsid w:val="00BE2BAA"/>
    <w:rsid w:val="00BE3E83"/>
    <w:rsid w:val="00BE49CC"/>
    <w:rsid w:val="00BE4C40"/>
    <w:rsid w:val="00BE4F8D"/>
    <w:rsid w:val="00BE54E8"/>
    <w:rsid w:val="00BE590A"/>
    <w:rsid w:val="00BE5B5B"/>
    <w:rsid w:val="00BE5EF0"/>
    <w:rsid w:val="00BE5EF9"/>
    <w:rsid w:val="00BE706D"/>
    <w:rsid w:val="00BE770F"/>
    <w:rsid w:val="00BE778C"/>
    <w:rsid w:val="00BF01D4"/>
    <w:rsid w:val="00BF077D"/>
    <w:rsid w:val="00BF188B"/>
    <w:rsid w:val="00BF20FB"/>
    <w:rsid w:val="00BF2997"/>
    <w:rsid w:val="00BF2EC8"/>
    <w:rsid w:val="00BF30FC"/>
    <w:rsid w:val="00BF4406"/>
    <w:rsid w:val="00BF4C22"/>
    <w:rsid w:val="00BF4CD1"/>
    <w:rsid w:val="00BF4DD7"/>
    <w:rsid w:val="00BF51E4"/>
    <w:rsid w:val="00BF5375"/>
    <w:rsid w:val="00BF6043"/>
    <w:rsid w:val="00BF65D6"/>
    <w:rsid w:val="00BF6D44"/>
    <w:rsid w:val="00BF76ED"/>
    <w:rsid w:val="00C00156"/>
    <w:rsid w:val="00C003C3"/>
    <w:rsid w:val="00C00560"/>
    <w:rsid w:val="00C006F6"/>
    <w:rsid w:val="00C00838"/>
    <w:rsid w:val="00C008C6"/>
    <w:rsid w:val="00C00BE6"/>
    <w:rsid w:val="00C00F80"/>
    <w:rsid w:val="00C01250"/>
    <w:rsid w:val="00C01398"/>
    <w:rsid w:val="00C01619"/>
    <w:rsid w:val="00C023CC"/>
    <w:rsid w:val="00C029F5"/>
    <w:rsid w:val="00C02A19"/>
    <w:rsid w:val="00C02B03"/>
    <w:rsid w:val="00C03041"/>
    <w:rsid w:val="00C036CD"/>
    <w:rsid w:val="00C0379B"/>
    <w:rsid w:val="00C03815"/>
    <w:rsid w:val="00C03A73"/>
    <w:rsid w:val="00C041F4"/>
    <w:rsid w:val="00C049FA"/>
    <w:rsid w:val="00C04C59"/>
    <w:rsid w:val="00C0524E"/>
    <w:rsid w:val="00C05428"/>
    <w:rsid w:val="00C058A3"/>
    <w:rsid w:val="00C05DE7"/>
    <w:rsid w:val="00C05E05"/>
    <w:rsid w:val="00C06C3E"/>
    <w:rsid w:val="00C06FB3"/>
    <w:rsid w:val="00C0711F"/>
    <w:rsid w:val="00C07351"/>
    <w:rsid w:val="00C077E1"/>
    <w:rsid w:val="00C07E8E"/>
    <w:rsid w:val="00C10336"/>
    <w:rsid w:val="00C1077D"/>
    <w:rsid w:val="00C107BE"/>
    <w:rsid w:val="00C10BD0"/>
    <w:rsid w:val="00C10C03"/>
    <w:rsid w:val="00C112F7"/>
    <w:rsid w:val="00C1145F"/>
    <w:rsid w:val="00C1161D"/>
    <w:rsid w:val="00C12B5F"/>
    <w:rsid w:val="00C12C28"/>
    <w:rsid w:val="00C12CC4"/>
    <w:rsid w:val="00C12CE6"/>
    <w:rsid w:val="00C12D9C"/>
    <w:rsid w:val="00C13208"/>
    <w:rsid w:val="00C133F5"/>
    <w:rsid w:val="00C1360E"/>
    <w:rsid w:val="00C13819"/>
    <w:rsid w:val="00C1397A"/>
    <w:rsid w:val="00C139C8"/>
    <w:rsid w:val="00C13CCA"/>
    <w:rsid w:val="00C1427D"/>
    <w:rsid w:val="00C142EA"/>
    <w:rsid w:val="00C14AD2"/>
    <w:rsid w:val="00C14CA5"/>
    <w:rsid w:val="00C15BE1"/>
    <w:rsid w:val="00C15EDA"/>
    <w:rsid w:val="00C160D9"/>
    <w:rsid w:val="00C1670F"/>
    <w:rsid w:val="00C16B32"/>
    <w:rsid w:val="00C16BB2"/>
    <w:rsid w:val="00C16FF1"/>
    <w:rsid w:val="00C17089"/>
    <w:rsid w:val="00C1715B"/>
    <w:rsid w:val="00C1757F"/>
    <w:rsid w:val="00C17B74"/>
    <w:rsid w:val="00C17BCC"/>
    <w:rsid w:val="00C202A5"/>
    <w:rsid w:val="00C20358"/>
    <w:rsid w:val="00C2071F"/>
    <w:rsid w:val="00C209E6"/>
    <w:rsid w:val="00C20A09"/>
    <w:rsid w:val="00C20AEB"/>
    <w:rsid w:val="00C20F22"/>
    <w:rsid w:val="00C21130"/>
    <w:rsid w:val="00C21FF8"/>
    <w:rsid w:val="00C220F2"/>
    <w:rsid w:val="00C223A0"/>
    <w:rsid w:val="00C23A45"/>
    <w:rsid w:val="00C23BBD"/>
    <w:rsid w:val="00C2455C"/>
    <w:rsid w:val="00C24638"/>
    <w:rsid w:val="00C2527C"/>
    <w:rsid w:val="00C256A9"/>
    <w:rsid w:val="00C25E71"/>
    <w:rsid w:val="00C25F09"/>
    <w:rsid w:val="00C26175"/>
    <w:rsid w:val="00C2627D"/>
    <w:rsid w:val="00C263EF"/>
    <w:rsid w:val="00C26495"/>
    <w:rsid w:val="00C26697"/>
    <w:rsid w:val="00C26B72"/>
    <w:rsid w:val="00C26BC1"/>
    <w:rsid w:val="00C273ED"/>
    <w:rsid w:val="00C27447"/>
    <w:rsid w:val="00C27891"/>
    <w:rsid w:val="00C27A93"/>
    <w:rsid w:val="00C27D45"/>
    <w:rsid w:val="00C300D3"/>
    <w:rsid w:val="00C300F5"/>
    <w:rsid w:val="00C30AED"/>
    <w:rsid w:val="00C30F34"/>
    <w:rsid w:val="00C31073"/>
    <w:rsid w:val="00C314B5"/>
    <w:rsid w:val="00C31AC3"/>
    <w:rsid w:val="00C32570"/>
    <w:rsid w:val="00C32C1E"/>
    <w:rsid w:val="00C32D53"/>
    <w:rsid w:val="00C32F69"/>
    <w:rsid w:val="00C3312E"/>
    <w:rsid w:val="00C33CD5"/>
    <w:rsid w:val="00C340CF"/>
    <w:rsid w:val="00C34101"/>
    <w:rsid w:val="00C34162"/>
    <w:rsid w:val="00C348FE"/>
    <w:rsid w:val="00C34FBC"/>
    <w:rsid w:val="00C35087"/>
    <w:rsid w:val="00C3523B"/>
    <w:rsid w:val="00C35947"/>
    <w:rsid w:val="00C36001"/>
    <w:rsid w:val="00C36FFE"/>
    <w:rsid w:val="00C375DD"/>
    <w:rsid w:val="00C37BF4"/>
    <w:rsid w:val="00C40578"/>
    <w:rsid w:val="00C40885"/>
    <w:rsid w:val="00C40A83"/>
    <w:rsid w:val="00C40D37"/>
    <w:rsid w:val="00C4124B"/>
    <w:rsid w:val="00C412E1"/>
    <w:rsid w:val="00C416FD"/>
    <w:rsid w:val="00C41E73"/>
    <w:rsid w:val="00C41FA0"/>
    <w:rsid w:val="00C4271F"/>
    <w:rsid w:val="00C42A6C"/>
    <w:rsid w:val="00C42B60"/>
    <w:rsid w:val="00C43D2A"/>
    <w:rsid w:val="00C43E4A"/>
    <w:rsid w:val="00C43FD4"/>
    <w:rsid w:val="00C4445E"/>
    <w:rsid w:val="00C44846"/>
    <w:rsid w:val="00C44CAD"/>
    <w:rsid w:val="00C4530D"/>
    <w:rsid w:val="00C45960"/>
    <w:rsid w:val="00C45A51"/>
    <w:rsid w:val="00C45BA9"/>
    <w:rsid w:val="00C45D39"/>
    <w:rsid w:val="00C465E9"/>
    <w:rsid w:val="00C469E3"/>
    <w:rsid w:val="00C47155"/>
    <w:rsid w:val="00C47987"/>
    <w:rsid w:val="00C47CD2"/>
    <w:rsid w:val="00C47D56"/>
    <w:rsid w:val="00C47DF8"/>
    <w:rsid w:val="00C510DE"/>
    <w:rsid w:val="00C5143C"/>
    <w:rsid w:val="00C51AA8"/>
    <w:rsid w:val="00C51DD1"/>
    <w:rsid w:val="00C5228D"/>
    <w:rsid w:val="00C52A8F"/>
    <w:rsid w:val="00C536E4"/>
    <w:rsid w:val="00C538AE"/>
    <w:rsid w:val="00C53A7E"/>
    <w:rsid w:val="00C53C32"/>
    <w:rsid w:val="00C53E7A"/>
    <w:rsid w:val="00C54492"/>
    <w:rsid w:val="00C544B6"/>
    <w:rsid w:val="00C54601"/>
    <w:rsid w:val="00C54E26"/>
    <w:rsid w:val="00C551EF"/>
    <w:rsid w:val="00C5671C"/>
    <w:rsid w:val="00C56A2E"/>
    <w:rsid w:val="00C56A84"/>
    <w:rsid w:val="00C56F78"/>
    <w:rsid w:val="00C575E8"/>
    <w:rsid w:val="00C5777E"/>
    <w:rsid w:val="00C57EB0"/>
    <w:rsid w:val="00C6055D"/>
    <w:rsid w:val="00C60619"/>
    <w:rsid w:val="00C60984"/>
    <w:rsid w:val="00C60C56"/>
    <w:rsid w:val="00C60E33"/>
    <w:rsid w:val="00C6111A"/>
    <w:rsid w:val="00C61402"/>
    <w:rsid w:val="00C61801"/>
    <w:rsid w:val="00C61879"/>
    <w:rsid w:val="00C618DF"/>
    <w:rsid w:val="00C633E2"/>
    <w:rsid w:val="00C63F99"/>
    <w:rsid w:val="00C65030"/>
    <w:rsid w:val="00C6509D"/>
    <w:rsid w:val="00C6515A"/>
    <w:rsid w:val="00C652A1"/>
    <w:rsid w:val="00C655E4"/>
    <w:rsid w:val="00C65738"/>
    <w:rsid w:val="00C6590A"/>
    <w:rsid w:val="00C65FFB"/>
    <w:rsid w:val="00C6650D"/>
    <w:rsid w:val="00C66663"/>
    <w:rsid w:val="00C668D8"/>
    <w:rsid w:val="00C66BCD"/>
    <w:rsid w:val="00C66E74"/>
    <w:rsid w:val="00C67029"/>
    <w:rsid w:val="00C70501"/>
    <w:rsid w:val="00C705E5"/>
    <w:rsid w:val="00C70B38"/>
    <w:rsid w:val="00C70B43"/>
    <w:rsid w:val="00C70B6D"/>
    <w:rsid w:val="00C71A56"/>
    <w:rsid w:val="00C72408"/>
    <w:rsid w:val="00C729DF"/>
    <w:rsid w:val="00C730CC"/>
    <w:rsid w:val="00C73EE2"/>
    <w:rsid w:val="00C74485"/>
    <w:rsid w:val="00C7532A"/>
    <w:rsid w:val="00C75721"/>
    <w:rsid w:val="00C759D9"/>
    <w:rsid w:val="00C760A6"/>
    <w:rsid w:val="00C762B7"/>
    <w:rsid w:val="00C76825"/>
    <w:rsid w:val="00C77C4B"/>
    <w:rsid w:val="00C77D50"/>
    <w:rsid w:val="00C8032E"/>
    <w:rsid w:val="00C80472"/>
    <w:rsid w:val="00C80CF3"/>
    <w:rsid w:val="00C80DC6"/>
    <w:rsid w:val="00C815E4"/>
    <w:rsid w:val="00C8177D"/>
    <w:rsid w:val="00C81928"/>
    <w:rsid w:val="00C822BD"/>
    <w:rsid w:val="00C8290C"/>
    <w:rsid w:val="00C82A8C"/>
    <w:rsid w:val="00C82DA6"/>
    <w:rsid w:val="00C83B87"/>
    <w:rsid w:val="00C83BAE"/>
    <w:rsid w:val="00C83FA7"/>
    <w:rsid w:val="00C8512B"/>
    <w:rsid w:val="00C858C8"/>
    <w:rsid w:val="00C85A79"/>
    <w:rsid w:val="00C85AC8"/>
    <w:rsid w:val="00C86242"/>
    <w:rsid w:val="00C86D64"/>
    <w:rsid w:val="00C86DA1"/>
    <w:rsid w:val="00C87CDD"/>
    <w:rsid w:val="00C909EE"/>
    <w:rsid w:val="00C90AD2"/>
    <w:rsid w:val="00C90E27"/>
    <w:rsid w:val="00C910ED"/>
    <w:rsid w:val="00C914C9"/>
    <w:rsid w:val="00C9156F"/>
    <w:rsid w:val="00C91E57"/>
    <w:rsid w:val="00C922E8"/>
    <w:rsid w:val="00C92C86"/>
    <w:rsid w:val="00C93188"/>
    <w:rsid w:val="00C93329"/>
    <w:rsid w:val="00C939E3"/>
    <w:rsid w:val="00C94397"/>
    <w:rsid w:val="00C943B6"/>
    <w:rsid w:val="00C94EF3"/>
    <w:rsid w:val="00C952A9"/>
    <w:rsid w:val="00C9534F"/>
    <w:rsid w:val="00C9590C"/>
    <w:rsid w:val="00C95E7D"/>
    <w:rsid w:val="00C95E98"/>
    <w:rsid w:val="00C95F67"/>
    <w:rsid w:val="00C9600C"/>
    <w:rsid w:val="00C961C0"/>
    <w:rsid w:val="00C963A9"/>
    <w:rsid w:val="00C965E4"/>
    <w:rsid w:val="00C9739A"/>
    <w:rsid w:val="00C9794D"/>
    <w:rsid w:val="00CA05E2"/>
    <w:rsid w:val="00CA0890"/>
    <w:rsid w:val="00CA08AF"/>
    <w:rsid w:val="00CA0A28"/>
    <w:rsid w:val="00CA0B7E"/>
    <w:rsid w:val="00CA13BF"/>
    <w:rsid w:val="00CA13F7"/>
    <w:rsid w:val="00CA1463"/>
    <w:rsid w:val="00CA14DE"/>
    <w:rsid w:val="00CA26EC"/>
    <w:rsid w:val="00CA2A57"/>
    <w:rsid w:val="00CA2C4B"/>
    <w:rsid w:val="00CA30A9"/>
    <w:rsid w:val="00CA35EC"/>
    <w:rsid w:val="00CA3D36"/>
    <w:rsid w:val="00CA3EC4"/>
    <w:rsid w:val="00CA3FC8"/>
    <w:rsid w:val="00CA4249"/>
    <w:rsid w:val="00CA4EF3"/>
    <w:rsid w:val="00CA575F"/>
    <w:rsid w:val="00CA6F7C"/>
    <w:rsid w:val="00CB0652"/>
    <w:rsid w:val="00CB0A8A"/>
    <w:rsid w:val="00CB138C"/>
    <w:rsid w:val="00CB19BE"/>
    <w:rsid w:val="00CB1BD3"/>
    <w:rsid w:val="00CB21EF"/>
    <w:rsid w:val="00CB258A"/>
    <w:rsid w:val="00CB26B1"/>
    <w:rsid w:val="00CB2714"/>
    <w:rsid w:val="00CB2824"/>
    <w:rsid w:val="00CB2C75"/>
    <w:rsid w:val="00CB2CAF"/>
    <w:rsid w:val="00CB2F95"/>
    <w:rsid w:val="00CB30E7"/>
    <w:rsid w:val="00CB3270"/>
    <w:rsid w:val="00CB4759"/>
    <w:rsid w:val="00CB4DA4"/>
    <w:rsid w:val="00CB4DCE"/>
    <w:rsid w:val="00CB54FD"/>
    <w:rsid w:val="00CB557A"/>
    <w:rsid w:val="00CB5B72"/>
    <w:rsid w:val="00CB6108"/>
    <w:rsid w:val="00CB644A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2B9C"/>
    <w:rsid w:val="00CC326E"/>
    <w:rsid w:val="00CC38EE"/>
    <w:rsid w:val="00CC3D11"/>
    <w:rsid w:val="00CC4AB9"/>
    <w:rsid w:val="00CC566D"/>
    <w:rsid w:val="00CC6A6C"/>
    <w:rsid w:val="00CC6AA6"/>
    <w:rsid w:val="00CC6ACF"/>
    <w:rsid w:val="00CC722F"/>
    <w:rsid w:val="00CC726E"/>
    <w:rsid w:val="00CC7476"/>
    <w:rsid w:val="00CC75EE"/>
    <w:rsid w:val="00CC7F3D"/>
    <w:rsid w:val="00CD0BAE"/>
    <w:rsid w:val="00CD1017"/>
    <w:rsid w:val="00CD129C"/>
    <w:rsid w:val="00CD12BA"/>
    <w:rsid w:val="00CD181E"/>
    <w:rsid w:val="00CD2700"/>
    <w:rsid w:val="00CD28DC"/>
    <w:rsid w:val="00CD2C45"/>
    <w:rsid w:val="00CD385F"/>
    <w:rsid w:val="00CD387C"/>
    <w:rsid w:val="00CD41C8"/>
    <w:rsid w:val="00CD474C"/>
    <w:rsid w:val="00CD5589"/>
    <w:rsid w:val="00CD5CCC"/>
    <w:rsid w:val="00CD6980"/>
    <w:rsid w:val="00CD6B16"/>
    <w:rsid w:val="00CD6B5E"/>
    <w:rsid w:val="00CD7422"/>
    <w:rsid w:val="00CD76D7"/>
    <w:rsid w:val="00CD7FE7"/>
    <w:rsid w:val="00CE0950"/>
    <w:rsid w:val="00CE0D32"/>
    <w:rsid w:val="00CE0FC5"/>
    <w:rsid w:val="00CE10C7"/>
    <w:rsid w:val="00CE11D8"/>
    <w:rsid w:val="00CE1648"/>
    <w:rsid w:val="00CE1921"/>
    <w:rsid w:val="00CE1A90"/>
    <w:rsid w:val="00CE1C5C"/>
    <w:rsid w:val="00CE1CA9"/>
    <w:rsid w:val="00CE1E07"/>
    <w:rsid w:val="00CE2567"/>
    <w:rsid w:val="00CE281C"/>
    <w:rsid w:val="00CE2A65"/>
    <w:rsid w:val="00CE3037"/>
    <w:rsid w:val="00CE32AD"/>
    <w:rsid w:val="00CE3361"/>
    <w:rsid w:val="00CE3463"/>
    <w:rsid w:val="00CE357D"/>
    <w:rsid w:val="00CE38C2"/>
    <w:rsid w:val="00CE3F49"/>
    <w:rsid w:val="00CE49B0"/>
    <w:rsid w:val="00CE4EA8"/>
    <w:rsid w:val="00CE4F42"/>
    <w:rsid w:val="00CE5261"/>
    <w:rsid w:val="00CE584B"/>
    <w:rsid w:val="00CE5A0A"/>
    <w:rsid w:val="00CE6C5C"/>
    <w:rsid w:val="00CE72F6"/>
    <w:rsid w:val="00CE78B1"/>
    <w:rsid w:val="00CE7F61"/>
    <w:rsid w:val="00CE7FF2"/>
    <w:rsid w:val="00CF0E8B"/>
    <w:rsid w:val="00CF1090"/>
    <w:rsid w:val="00CF1154"/>
    <w:rsid w:val="00CF12DA"/>
    <w:rsid w:val="00CF1AB9"/>
    <w:rsid w:val="00CF1B03"/>
    <w:rsid w:val="00CF1B1E"/>
    <w:rsid w:val="00CF1E58"/>
    <w:rsid w:val="00CF1F79"/>
    <w:rsid w:val="00CF200C"/>
    <w:rsid w:val="00CF2B1C"/>
    <w:rsid w:val="00CF2B8E"/>
    <w:rsid w:val="00CF2DE5"/>
    <w:rsid w:val="00CF36FF"/>
    <w:rsid w:val="00CF39B2"/>
    <w:rsid w:val="00CF3C22"/>
    <w:rsid w:val="00CF3D0E"/>
    <w:rsid w:val="00CF3E3D"/>
    <w:rsid w:val="00CF4060"/>
    <w:rsid w:val="00CF4639"/>
    <w:rsid w:val="00CF52EB"/>
    <w:rsid w:val="00CF53DE"/>
    <w:rsid w:val="00CF585D"/>
    <w:rsid w:val="00CF5BDC"/>
    <w:rsid w:val="00CF5CA8"/>
    <w:rsid w:val="00CF72BD"/>
    <w:rsid w:val="00CF7506"/>
    <w:rsid w:val="00CF767E"/>
    <w:rsid w:val="00CF777D"/>
    <w:rsid w:val="00CF78C0"/>
    <w:rsid w:val="00D009C4"/>
    <w:rsid w:val="00D0115F"/>
    <w:rsid w:val="00D015A8"/>
    <w:rsid w:val="00D024F9"/>
    <w:rsid w:val="00D0269B"/>
    <w:rsid w:val="00D027F9"/>
    <w:rsid w:val="00D032AA"/>
    <w:rsid w:val="00D03A3E"/>
    <w:rsid w:val="00D03B1A"/>
    <w:rsid w:val="00D03E33"/>
    <w:rsid w:val="00D03E97"/>
    <w:rsid w:val="00D040BB"/>
    <w:rsid w:val="00D04920"/>
    <w:rsid w:val="00D050C7"/>
    <w:rsid w:val="00D0518B"/>
    <w:rsid w:val="00D054D1"/>
    <w:rsid w:val="00D056E9"/>
    <w:rsid w:val="00D05CB6"/>
    <w:rsid w:val="00D06071"/>
    <w:rsid w:val="00D06325"/>
    <w:rsid w:val="00D069E9"/>
    <w:rsid w:val="00D070DA"/>
    <w:rsid w:val="00D075FF"/>
    <w:rsid w:val="00D0765B"/>
    <w:rsid w:val="00D07684"/>
    <w:rsid w:val="00D076A6"/>
    <w:rsid w:val="00D07F59"/>
    <w:rsid w:val="00D104B2"/>
    <w:rsid w:val="00D10986"/>
    <w:rsid w:val="00D114BB"/>
    <w:rsid w:val="00D118DA"/>
    <w:rsid w:val="00D11BB2"/>
    <w:rsid w:val="00D12EDB"/>
    <w:rsid w:val="00D12F1F"/>
    <w:rsid w:val="00D12F24"/>
    <w:rsid w:val="00D13207"/>
    <w:rsid w:val="00D13358"/>
    <w:rsid w:val="00D1342C"/>
    <w:rsid w:val="00D142FA"/>
    <w:rsid w:val="00D14873"/>
    <w:rsid w:val="00D14C06"/>
    <w:rsid w:val="00D14DAF"/>
    <w:rsid w:val="00D14DE6"/>
    <w:rsid w:val="00D1564A"/>
    <w:rsid w:val="00D156E5"/>
    <w:rsid w:val="00D15792"/>
    <w:rsid w:val="00D15AF0"/>
    <w:rsid w:val="00D16747"/>
    <w:rsid w:val="00D172BA"/>
    <w:rsid w:val="00D175C7"/>
    <w:rsid w:val="00D17997"/>
    <w:rsid w:val="00D17E09"/>
    <w:rsid w:val="00D20886"/>
    <w:rsid w:val="00D2167E"/>
    <w:rsid w:val="00D223F2"/>
    <w:rsid w:val="00D22C5A"/>
    <w:rsid w:val="00D22E00"/>
    <w:rsid w:val="00D23853"/>
    <w:rsid w:val="00D23A1E"/>
    <w:rsid w:val="00D23FD3"/>
    <w:rsid w:val="00D24137"/>
    <w:rsid w:val="00D24426"/>
    <w:rsid w:val="00D251E6"/>
    <w:rsid w:val="00D259B0"/>
    <w:rsid w:val="00D25B90"/>
    <w:rsid w:val="00D26097"/>
    <w:rsid w:val="00D261C5"/>
    <w:rsid w:val="00D262A0"/>
    <w:rsid w:val="00D26391"/>
    <w:rsid w:val="00D2699D"/>
    <w:rsid w:val="00D27747"/>
    <w:rsid w:val="00D27BF7"/>
    <w:rsid w:val="00D30729"/>
    <w:rsid w:val="00D30EAF"/>
    <w:rsid w:val="00D31009"/>
    <w:rsid w:val="00D314F6"/>
    <w:rsid w:val="00D318F8"/>
    <w:rsid w:val="00D31A4F"/>
    <w:rsid w:val="00D31C7E"/>
    <w:rsid w:val="00D31D6C"/>
    <w:rsid w:val="00D31D99"/>
    <w:rsid w:val="00D31F73"/>
    <w:rsid w:val="00D32CDD"/>
    <w:rsid w:val="00D32E0D"/>
    <w:rsid w:val="00D32FB2"/>
    <w:rsid w:val="00D3326D"/>
    <w:rsid w:val="00D33977"/>
    <w:rsid w:val="00D33C97"/>
    <w:rsid w:val="00D34097"/>
    <w:rsid w:val="00D3544C"/>
    <w:rsid w:val="00D36239"/>
    <w:rsid w:val="00D3719F"/>
    <w:rsid w:val="00D371C8"/>
    <w:rsid w:val="00D37406"/>
    <w:rsid w:val="00D3788C"/>
    <w:rsid w:val="00D402A8"/>
    <w:rsid w:val="00D40548"/>
    <w:rsid w:val="00D4061B"/>
    <w:rsid w:val="00D40F9D"/>
    <w:rsid w:val="00D41319"/>
    <w:rsid w:val="00D41CCC"/>
    <w:rsid w:val="00D431DA"/>
    <w:rsid w:val="00D43450"/>
    <w:rsid w:val="00D435CD"/>
    <w:rsid w:val="00D4393E"/>
    <w:rsid w:val="00D43D75"/>
    <w:rsid w:val="00D43F48"/>
    <w:rsid w:val="00D43F90"/>
    <w:rsid w:val="00D44156"/>
    <w:rsid w:val="00D44198"/>
    <w:rsid w:val="00D441A2"/>
    <w:rsid w:val="00D445B3"/>
    <w:rsid w:val="00D453B5"/>
    <w:rsid w:val="00D45977"/>
    <w:rsid w:val="00D46378"/>
    <w:rsid w:val="00D4654D"/>
    <w:rsid w:val="00D46DBF"/>
    <w:rsid w:val="00D46EF0"/>
    <w:rsid w:val="00D46F26"/>
    <w:rsid w:val="00D47591"/>
    <w:rsid w:val="00D50F4A"/>
    <w:rsid w:val="00D51089"/>
    <w:rsid w:val="00D51233"/>
    <w:rsid w:val="00D51B52"/>
    <w:rsid w:val="00D5226B"/>
    <w:rsid w:val="00D5228C"/>
    <w:rsid w:val="00D52DEA"/>
    <w:rsid w:val="00D52E06"/>
    <w:rsid w:val="00D53650"/>
    <w:rsid w:val="00D553C7"/>
    <w:rsid w:val="00D55ED8"/>
    <w:rsid w:val="00D55F39"/>
    <w:rsid w:val="00D5648F"/>
    <w:rsid w:val="00D5651D"/>
    <w:rsid w:val="00D57B21"/>
    <w:rsid w:val="00D57B9A"/>
    <w:rsid w:val="00D6000D"/>
    <w:rsid w:val="00D60190"/>
    <w:rsid w:val="00D602D3"/>
    <w:rsid w:val="00D605A5"/>
    <w:rsid w:val="00D606A0"/>
    <w:rsid w:val="00D6075A"/>
    <w:rsid w:val="00D60A2F"/>
    <w:rsid w:val="00D60DAB"/>
    <w:rsid w:val="00D61817"/>
    <w:rsid w:val="00D61922"/>
    <w:rsid w:val="00D61A8A"/>
    <w:rsid w:val="00D62369"/>
    <w:rsid w:val="00D623AA"/>
    <w:rsid w:val="00D62A24"/>
    <w:rsid w:val="00D62FAC"/>
    <w:rsid w:val="00D635B0"/>
    <w:rsid w:val="00D637A9"/>
    <w:rsid w:val="00D63BE1"/>
    <w:rsid w:val="00D64E11"/>
    <w:rsid w:val="00D65280"/>
    <w:rsid w:val="00D652F6"/>
    <w:rsid w:val="00D6616F"/>
    <w:rsid w:val="00D6699B"/>
    <w:rsid w:val="00D66C4B"/>
    <w:rsid w:val="00D66F78"/>
    <w:rsid w:val="00D673CB"/>
    <w:rsid w:val="00D679DA"/>
    <w:rsid w:val="00D67F3F"/>
    <w:rsid w:val="00D7009E"/>
    <w:rsid w:val="00D70C63"/>
    <w:rsid w:val="00D710C5"/>
    <w:rsid w:val="00D71509"/>
    <w:rsid w:val="00D71606"/>
    <w:rsid w:val="00D71649"/>
    <w:rsid w:val="00D71705"/>
    <w:rsid w:val="00D71888"/>
    <w:rsid w:val="00D71B45"/>
    <w:rsid w:val="00D722C1"/>
    <w:rsid w:val="00D7231E"/>
    <w:rsid w:val="00D72437"/>
    <w:rsid w:val="00D726A5"/>
    <w:rsid w:val="00D727AC"/>
    <w:rsid w:val="00D72AC2"/>
    <w:rsid w:val="00D72CAE"/>
    <w:rsid w:val="00D73123"/>
    <w:rsid w:val="00D73274"/>
    <w:rsid w:val="00D7372D"/>
    <w:rsid w:val="00D73BE5"/>
    <w:rsid w:val="00D74660"/>
    <w:rsid w:val="00D74797"/>
    <w:rsid w:val="00D74968"/>
    <w:rsid w:val="00D749D2"/>
    <w:rsid w:val="00D74D9B"/>
    <w:rsid w:val="00D74DC3"/>
    <w:rsid w:val="00D750A2"/>
    <w:rsid w:val="00D75650"/>
    <w:rsid w:val="00D756E8"/>
    <w:rsid w:val="00D757A3"/>
    <w:rsid w:val="00D75E77"/>
    <w:rsid w:val="00D76189"/>
    <w:rsid w:val="00D76619"/>
    <w:rsid w:val="00D768AE"/>
    <w:rsid w:val="00D77752"/>
    <w:rsid w:val="00D801EB"/>
    <w:rsid w:val="00D80747"/>
    <w:rsid w:val="00D8099F"/>
    <w:rsid w:val="00D809FF"/>
    <w:rsid w:val="00D80E48"/>
    <w:rsid w:val="00D810F2"/>
    <w:rsid w:val="00D81285"/>
    <w:rsid w:val="00D8153D"/>
    <w:rsid w:val="00D81B9A"/>
    <w:rsid w:val="00D822C6"/>
    <w:rsid w:val="00D82890"/>
    <w:rsid w:val="00D83E47"/>
    <w:rsid w:val="00D83FE5"/>
    <w:rsid w:val="00D843D6"/>
    <w:rsid w:val="00D850DC"/>
    <w:rsid w:val="00D85237"/>
    <w:rsid w:val="00D85475"/>
    <w:rsid w:val="00D85A2F"/>
    <w:rsid w:val="00D85A5B"/>
    <w:rsid w:val="00D86605"/>
    <w:rsid w:val="00D8677B"/>
    <w:rsid w:val="00D87BDC"/>
    <w:rsid w:val="00D87F4E"/>
    <w:rsid w:val="00D907ED"/>
    <w:rsid w:val="00D9096B"/>
    <w:rsid w:val="00D90D1C"/>
    <w:rsid w:val="00D90D5C"/>
    <w:rsid w:val="00D90ED4"/>
    <w:rsid w:val="00D90FF0"/>
    <w:rsid w:val="00D91838"/>
    <w:rsid w:val="00D920E8"/>
    <w:rsid w:val="00D925EA"/>
    <w:rsid w:val="00D92722"/>
    <w:rsid w:val="00D92BF2"/>
    <w:rsid w:val="00D93295"/>
    <w:rsid w:val="00D9335B"/>
    <w:rsid w:val="00D93DAF"/>
    <w:rsid w:val="00D941AE"/>
    <w:rsid w:val="00D94833"/>
    <w:rsid w:val="00D94E5E"/>
    <w:rsid w:val="00D94F2C"/>
    <w:rsid w:val="00D96138"/>
    <w:rsid w:val="00D965AB"/>
    <w:rsid w:val="00D96631"/>
    <w:rsid w:val="00D96B07"/>
    <w:rsid w:val="00D96BB5"/>
    <w:rsid w:val="00D96BD2"/>
    <w:rsid w:val="00D96E59"/>
    <w:rsid w:val="00D974EC"/>
    <w:rsid w:val="00D97594"/>
    <w:rsid w:val="00D976A0"/>
    <w:rsid w:val="00DA002B"/>
    <w:rsid w:val="00DA0351"/>
    <w:rsid w:val="00DA035D"/>
    <w:rsid w:val="00DA0417"/>
    <w:rsid w:val="00DA059A"/>
    <w:rsid w:val="00DA0676"/>
    <w:rsid w:val="00DA06B3"/>
    <w:rsid w:val="00DA08F0"/>
    <w:rsid w:val="00DA0F27"/>
    <w:rsid w:val="00DA1470"/>
    <w:rsid w:val="00DA156A"/>
    <w:rsid w:val="00DA1DA8"/>
    <w:rsid w:val="00DA22C1"/>
    <w:rsid w:val="00DA24B0"/>
    <w:rsid w:val="00DA2582"/>
    <w:rsid w:val="00DA2694"/>
    <w:rsid w:val="00DA277D"/>
    <w:rsid w:val="00DA31A1"/>
    <w:rsid w:val="00DA3CF1"/>
    <w:rsid w:val="00DA43BF"/>
    <w:rsid w:val="00DA4844"/>
    <w:rsid w:val="00DA4B0E"/>
    <w:rsid w:val="00DA4C73"/>
    <w:rsid w:val="00DA50E4"/>
    <w:rsid w:val="00DA5BEB"/>
    <w:rsid w:val="00DA6177"/>
    <w:rsid w:val="00DA62C4"/>
    <w:rsid w:val="00DA6BFD"/>
    <w:rsid w:val="00DA6ED5"/>
    <w:rsid w:val="00DA7645"/>
    <w:rsid w:val="00DA76E4"/>
    <w:rsid w:val="00DA7E15"/>
    <w:rsid w:val="00DA7FC8"/>
    <w:rsid w:val="00DB02FF"/>
    <w:rsid w:val="00DB0F5D"/>
    <w:rsid w:val="00DB10BD"/>
    <w:rsid w:val="00DB1433"/>
    <w:rsid w:val="00DB197C"/>
    <w:rsid w:val="00DB1AAF"/>
    <w:rsid w:val="00DB26B5"/>
    <w:rsid w:val="00DB33A9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977"/>
    <w:rsid w:val="00DB5ABE"/>
    <w:rsid w:val="00DB6292"/>
    <w:rsid w:val="00DB67E7"/>
    <w:rsid w:val="00DB68BB"/>
    <w:rsid w:val="00DB7BD7"/>
    <w:rsid w:val="00DB7F10"/>
    <w:rsid w:val="00DC1524"/>
    <w:rsid w:val="00DC1889"/>
    <w:rsid w:val="00DC1CA3"/>
    <w:rsid w:val="00DC239F"/>
    <w:rsid w:val="00DC2A33"/>
    <w:rsid w:val="00DC2AE5"/>
    <w:rsid w:val="00DC3214"/>
    <w:rsid w:val="00DC3579"/>
    <w:rsid w:val="00DC3E0F"/>
    <w:rsid w:val="00DC43AE"/>
    <w:rsid w:val="00DC466F"/>
    <w:rsid w:val="00DC4841"/>
    <w:rsid w:val="00DC48FE"/>
    <w:rsid w:val="00DC4A35"/>
    <w:rsid w:val="00DC51EE"/>
    <w:rsid w:val="00DC5533"/>
    <w:rsid w:val="00DC5770"/>
    <w:rsid w:val="00DC58B9"/>
    <w:rsid w:val="00DC59D7"/>
    <w:rsid w:val="00DC608C"/>
    <w:rsid w:val="00DC6E13"/>
    <w:rsid w:val="00DC6E1B"/>
    <w:rsid w:val="00DC7BC4"/>
    <w:rsid w:val="00DC7EBE"/>
    <w:rsid w:val="00DD0260"/>
    <w:rsid w:val="00DD02F5"/>
    <w:rsid w:val="00DD0487"/>
    <w:rsid w:val="00DD12EF"/>
    <w:rsid w:val="00DD141A"/>
    <w:rsid w:val="00DD158F"/>
    <w:rsid w:val="00DD16FB"/>
    <w:rsid w:val="00DD228A"/>
    <w:rsid w:val="00DD235A"/>
    <w:rsid w:val="00DD2381"/>
    <w:rsid w:val="00DD2B1D"/>
    <w:rsid w:val="00DD3790"/>
    <w:rsid w:val="00DD3821"/>
    <w:rsid w:val="00DD38B1"/>
    <w:rsid w:val="00DD391B"/>
    <w:rsid w:val="00DD3B9C"/>
    <w:rsid w:val="00DD45D3"/>
    <w:rsid w:val="00DD48F3"/>
    <w:rsid w:val="00DD4E0C"/>
    <w:rsid w:val="00DD4FB4"/>
    <w:rsid w:val="00DD5A2A"/>
    <w:rsid w:val="00DD5DD6"/>
    <w:rsid w:val="00DD662B"/>
    <w:rsid w:val="00DD68EF"/>
    <w:rsid w:val="00DD6C92"/>
    <w:rsid w:val="00DD6E37"/>
    <w:rsid w:val="00DE01AB"/>
    <w:rsid w:val="00DE0B7A"/>
    <w:rsid w:val="00DE0B85"/>
    <w:rsid w:val="00DE12BD"/>
    <w:rsid w:val="00DE1532"/>
    <w:rsid w:val="00DE179B"/>
    <w:rsid w:val="00DE292D"/>
    <w:rsid w:val="00DE2AA3"/>
    <w:rsid w:val="00DE30D1"/>
    <w:rsid w:val="00DE3129"/>
    <w:rsid w:val="00DE319E"/>
    <w:rsid w:val="00DE3B74"/>
    <w:rsid w:val="00DE3F20"/>
    <w:rsid w:val="00DE40F7"/>
    <w:rsid w:val="00DE47DF"/>
    <w:rsid w:val="00DE4D21"/>
    <w:rsid w:val="00DE5097"/>
    <w:rsid w:val="00DE5A18"/>
    <w:rsid w:val="00DE5EA6"/>
    <w:rsid w:val="00DE5F41"/>
    <w:rsid w:val="00DE60BF"/>
    <w:rsid w:val="00DE61FB"/>
    <w:rsid w:val="00DE6B6A"/>
    <w:rsid w:val="00DE730F"/>
    <w:rsid w:val="00DE731D"/>
    <w:rsid w:val="00DE7A1D"/>
    <w:rsid w:val="00DF0080"/>
    <w:rsid w:val="00DF0A8D"/>
    <w:rsid w:val="00DF0CC6"/>
    <w:rsid w:val="00DF0E97"/>
    <w:rsid w:val="00DF11F0"/>
    <w:rsid w:val="00DF1956"/>
    <w:rsid w:val="00DF1AD2"/>
    <w:rsid w:val="00DF1D62"/>
    <w:rsid w:val="00DF2170"/>
    <w:rsid w:val="00DF2FC2"/>
    <w:rsid w:val="00DF3063"/>
    <w:rsid w:val="00DF3508"/>
    <w:rsid w:val="00DF3D62"/>
    <w:rsid w:val="00DF499C"/>
    <w:rsid w:val="00DF572E"/>
    <w:rsid w:val="00DF5915"/>
    <w:rsid w:val="00DF596A"/>
    <w:rsid w:val="00DF5B76"/>
    <w:rsid w:val="00DF6DA6"/>
    <w:rsid w:val="00DF6F29"/>
    <w:rsid w:val="00DF708D"/>
    <w:rsid w:val="00DF738E"/>
    <w:rsid w:val="00DF764F"/>
    <w:rsid w:val="00DF7B4C"/>
    <w:rsid w:val="00DF7EB8"/>
    <w:rsid w:val="00DF7F5A"/>
    <w:rsid w:val="00E0031E"/>
    <w:rsid w:val="00E00FD5"/>
    <w:rsid w:val="00E01166"/>
    <w:rsid w:val="00E01956"/>
    <w:rsid w:val="00E02047"/>
    <w:rsid w:val="00E023E5"/>
    <w:rsid w:val="00E02837"/>
    <w:rsid w:val="00E02857"/>
    <w:rsid w:val="00E037FF"/>
    <w:rsid w:val="00E0408C"/>
    <w:rsid w:val="00E0443C"/>
    <w:rsid w:val="00E04B4F"/>
    <w:rsid w:val="00E062AA"/>
    <w:rsid w:val="00E06F06"/>
    <w:rsid w:val="00E06FD6"/>
    <w:rsid w:val="00E074C1"/>
    <w:rsid w:val="00E07B79"/>
    <w:rsid w:val="00E07CDC"/>
    <w:rsid w:val="00E1006A"/>
    <w:rsid w:val="00E101AD"/>
    <w:rsid w:val="00E105A5"/>
    <w:rsid w:val="00E105B9"/>
    <w:rsid w:val="00E1079E"/>
    <w:rsid w:val="00E10F6A"/>
    <w:rsid w:val="00E112FA"/>
    <w:rsid w:val="00E12CED"/>
    <w:rsid w:val="00E12EFE"/>
    <w:rsid w:val="00E13D2C"/>
    <w:rsid w:val="00E13EE3"/>
    <w:rsid w:val="00E148CD"/>
    <w:rsid w:val="00E14E22"/>
    <w:rsid w:val="00E14FF5"/>
    <w:rsid w:val="00E15713"/>
    <w:rsid w:val="00E164F7"/>
    <w:rsid w:val="00E16682"/>
    <w:rsid w:val="00E1678A"/>
    <w:rsid w:val="00E16D3F"/>
    <w:rsid w:val="00E16F8A"/>
    <w:rsid w:val="00E17549"/>
    <w:rsid w:val="00E176EB"/>
    <w:rsid w:val="00E17BAE"/>
    <w:rsid w:val="00E17E85"/>
    <w:rsid w:val="00E17E99"/>
    <w:rsid w:val="00E2002A"/>
    <w:rsid w:val="00E20483"/>
    <w:rsid w:val="00E2055A"/>
    <w:rsid w:val="00E20DFC"/>
    <w:rsid w:val="00E21504"/>
    <w:rsid w:val="00E21E68"/>
    <w:rsid w:val="00E21F2D"/>
    <w:rsid w:val="00E22399"/>
    <w:rsid w:val="00E22A26"/>
    <w:rsid w:val="00E22B58"/>
    <w:rsid w:val="00E22DD9"/>
    <w:rsid w:val="00E2336E"/>
    <w:rsid w:val="00E23655"/>
    <w:rsid w:val="00E23AB9"/>
    <w:rsid w:val="00E23AC4"/>
    <w:rsid w:val="00E23DB8"/>
    <w:rsid w:val="00E23ED2"/>
    <w:rsid w:val="00E244DC"/>
    <w:rsid w:val="00E24E56"/>
    <w:rsid w:val="00E2518F"/>
    <w:rsid w:val="00E256F7"/>
    <w:rsid w:val="00E25995"/>
    <w:rsid w:val="00E25CFC"/>
    <w:rsid w:val="00E25D57"/>
    <w:rsid w:val="00E26257"/>
    <w:rsid w:val="00E264AD"/>
    <w:rsid w:val="00E269E2"/>
    <w:rsid w:val="00E27074"/>
    <w:rsid w:val="00E27704"/>
    <w:rsid w:val="00E27C17"/>
    <w:rsid w:val="00E27E1C"/>
    <w:rsid w:val="00E300F2"/>
    <w:rsid w:val="00E30E89"/>
    <w:rsid w:val="00E31966"/>
    <w:rsid w:val="00E3203D"/>
    <w:rsid w:val="00E32AE4"/>
    <w:rsid w:val="00E32D6A"/>
    <w:rsid w:val="00E33396"/>
    <w:rsid w:val="00E335C5"/>
    <w:rsid w:val="00E33ADE"/>
    <w:rsid w:val="00E33D24"/>
    <w:rsid w:val="00E33E8E"/>
    <w:rsid w:val="00E34258"/>
    <w:rsid w:val="00E34706"/>
    <w:rsid w:val="00E34ED4"/>
    <w:rsid w:val="00E35580"/>
    <w:rsid w:val="00E3613C"/>
    <w:rsid w:val="00E36DD5"/>
    <w:rsid w:val="00E3751A"/>
    <w:rsid w:val="00E377A6"/>
    <w:rsid w:val="00E4005E"/>
    <w:rsid w:val="00E40239"/>
    <w:rsid w:val="00E40546"/>
    <w:rsid w:val="00E4055C"/>
    <w:rsid w:val="00E40A1E"/>
    <w:rsid w:val="00E40CF5"/>
    <w:rsid w:val="00E41CF2"/>
    <w:rsid w:val="00E41D23"/>
    <w:rsid w:val="00E4229C"/>
    <w:rsid w:val="00E4297F"/>
    <w:rsid w:val="00E433E8"/>
    <w:rsid w:val="00E438F7"/>
    <w:rsid w:val="00E43E29"/>
    <w:rsid w:val="00E43EE5"/>
    <w:rsid w:val="00E44932"/>
    <w:rsid w:val="00E44ACD"/>
    <w:rsid w:val="00E44C01"/>
    <w:rsid w:val="00E44CB9"/>
    <w:rsid w:val="00E44FF6"/>
    <w:rsid w:val="00E45343"/>
    <w:rsid w:val="00E45B97"/>
    <w:rsid w:val="00E466D1"/>
    <w:rsid w:val="00E46852"/>
    <w:rsid w:val="00E46AB1"/>
    <w:rsid w:val="00E479FF"/>
    <w:rsid w:val="00E5057C"/>
    <w:rsid w:val="00E51392"/>
    <w:rsid w:val="00E515B1"/>
    <w:rsid w:val="00E51662"/>
    <w:rsid w:val="00E5269A"/>
    <w:rsid w:val="00E52756"/>
    <w:rsid w:val="00E52ADF"/>
    <w:rsid w:val="00E52B4F"/>
    <w:rsid w:val="00E52EA2"/>
    <w:rsid w:val="00E53174"/>
    <w:rsid w:val="00E532E2"/>
    <w:rsid w:val="00E535D1"/>
    <w:rsid w:val="00E536FC"/>
    <w:rsid w:val="00E539F2"/>
    <w:rsid w:val="00E53AA6"/>
    <w:rsid w:val="00E53C6C"/>
    <w:rsid w:val="00E53CB2"/>
    <w:rsid w:val="00E53D6A"/>
    <w:rsid w:val="00E54438"/>
    <w:rsid w:val="00E54584"/>
    <w:rsid w:val="00E54898"/>
    <w:rsid w:val="00E55489"/>
    <w:rsid w:val="00E55558"/>
    <w:rsid w:val="00E55A91"/>
    <w:rsid w:val="00E55BB8"/>
    <w:rsid w:val="00E56344"/>
    <w:rsid w:val="00E57E87"/>
    <w:rsid w:val="00E6088A"/>
    <w:rsid w:val="00E60943"/>
    <w:rsid w:val="00E60DE1"/>
    <w:rsid w:val="00E61076"/>
    <w:rsid w:val="00E61812"/>
    <w:rsid w:val="00E62A7B"/>
    <w:rsid w:val="00E62CF0"/>
    <w:rsid w:val="00E62E5D"/>
    <w:rsid w:val="00E63BFC"/>
    <w:rsid w:val="00E649C8"/>
    <w:rsid w:val="00E64B5E"/>
    <w:rsid w:val="00E65073"/>
    <w:rsid w:val="00E65277"/>
    <w:rsid w:val="00E65E8C"/>
    <w:rsid w:val="00E65EC7"/>
    <w:rsid w:val="00E6670E"/>
    <w:rsid w:val="00E66800"/>
    <w:rsid w:val="00E66D78"/>
    <w:rsid w:val="00E673C1"/>
    <w:rsid w:val="00E67C5C"/>
    <w:rsid w:val="00E67D33"/>
    <w:rsid w:val="00E67E55"/>
    <w:rsid w:val="00E70504"/>
    <w:rsid w:val="00E70DA4"/>
    <w:rsid w:val="00E71198"/>
    <w:rsid w:val="00E71622"/>
    <w:rsid w:val="00E716B3"/>
    <w:rsid w:val="00E71C3F"/>
    <w:rsid w:val="00E71E4F"/>
    <w:rsid w:val="00E7219F"/>
    <w:rsid w:val="00E72486"/>
    <w:rsid w:val="00E724EF"/>
    <w:rsid w:val="00E7264E"/>
    <w:rsid w:val="00E72651"/>
    <w:rsid w:val="00E73569"/>
    <w:rsid w:val="00E73957"/>
    <w:rsid w:val="00E73A8E"/>
    <w:rsid w:val="00E73A92"/>
    <w:rsid w:val="00E73C90"/>
    <w:rsid w:val="00E73D3A"/>
    <w:rsid w:val="00E7412C"/>
    <w:rsid w:val="00E743A1"/>
    <w:rsid w:val="00E7490E"/>
    <w:rsid w:val="00E74BC5"/>
    <w:rsid w:val="00E74F05"/>
    <w:rsid w:val="00E7518B"/>
    <w:rsid w:val="00E7527C"/>
    <w:rsid w:val="00E75299"/>
    <w:rsid w:val="00E7593F"/>
    <w:rsid w:val="00E75F63"/>
    <w:rsid w:val="00E76497"/>
    <w:rsid w:val="00E76C33"/>
    <w:rsid w:val="00E8011B"/>
    <w:rsid w:val="00E801FE"/>
    <w:rsid w:val="00E80768"/>
    <w:rsid w:val="00E80E1E"/>
    <w:rsid w:val="00E81A03"/>
    <w:rsid w:val="00E82135"/>
    <w:rsid w:val="00E82862"/>
    <w:rsid w:val="00E82CA0"/>
    <w:rsid w:val="00E82E17"/>
    <w:rsid w:val="00E844F7"/>
    <w:rsid w:val="00E84AD4"/>
    <w:rsid w:val="00E84CD1"/>
    <w:rsid w:val="00E8534F"/>
    <w:rsid w:val="00E854EA"/>
    <w:rsid w:val="00E8571F"/>
    <w:rsid w:val="00E85EC9"/>
    <w:rsid w:val="00E85F95"/>
    <w:rsid w:val="00E86BAE"/>
    <w:rsid w:val="00E8752E"/>
    <w:rsid w:val="00E876A3"/>
    <w:rsid w:val="00E87DC5"/>
    <w:rsid w:val="00E90057"/>
    <w:rsid w:val="00E903A5"/>
    <w:rsid w:val="00E90809"/>
    <w:rsid w:val="00E90A19"/>
    <w:rsid w:val="00E90DC9"/>
    <w:rsid w:val="00E91085"/>
    <w:rsid w:val="00E911C6"/>
    <w:rsid w:val="00E91460"/>
    <w:rsid w:val="00E915F1"/>
    <w:rsid w:val="00E91C42"/>
    <w:rsid w:val="00E91C93"/>
    <w:rsid w:val="00E92341"/>
    <w:rsid w:val="00E92B3B"/>
    <w:rsid w:val="00E92BB4"/>
    <w:rsid w:val="00E93635"/>
    <w:rsid w:val="00E936EA"/>
    <w:rsid w:val="00E942C2"/>
    <w:rsid w:val="00E945B4"/>
    <w:rsid w:val="00E94862"/>
    <w:rsid w:val="00E94F06"/>
    <w:rsid w:val="00E95243"/>
    <w:rsid w:val="00E953CF"/>
    <w:rsid w:val="00E956CB"/>
    <w:rsid w:val="00E960B8"/>
    <w:rsid w:val="00E96923"/>
    <w:rsid w:val="00E96AEE"/>
    <w:rsid w:val="00E96D1C"/>
    <w:rsid w:val="00E977CB"/>
    <w:rsid w:val="00E977CE"/>
    <w:rsid w:val="00E97990"/>
    <w:rsid w:val="00E97D2F"/>
    <w:rsid w:val="00E97EA7"/>
    <w:rsid w:val="00E97FB1"/>
    <w:rsid w:val="00EA07C6"/>
    <w:rsid w:val="00EA1265"/>
    <w:rsid w:val="00EA1514"/>
    <w:rsid w:val="00EA1643"/>
    <w:rsid w:val="00EA16E1"/>
    <w:rsid w:val="00EA1767"/>
    <w:rsid w:val="00EA1F8E"/>
    <w:rsid w:val="00EA2360"/>
    <w:rsid w:val="00EA272B"/>
    <w:rsid w:val="00EA2F5D"/>
    <w:rsid w:val="00EA301E"/>
    <w:rsid w:val="00EA3BA1"/>
    <w:rsid w:val="00EA449C"/>
    <w:rsid w:val="00EA4609"/>
    <w:rsid w:val="00EA4F1E"/>
    <w:rsid w:val="00EA4F7D"/>
    <w:rsid w:val="00EA5B06"/>
    <w:rsid w:val="00EA5F9C"/>
    <w:rsid w:val="00EA633B"/>
    <w:rsid w:val="00EA659C"/>
    <w:rsid w:val="00EA7206"/>
    <w:rsid w:val="00EB09EE"/>
    <w:rsid w:val="00EB0A68"/>
    <w:rsid w:val="00EB0E6A"/>
    <w:rsid w:val="00EB0FE6"/>
    <w:rsid w:val="00EB14C8"/>
    <w:rsid w:val="00EB16EB"/>
    <w:rsid w:val="00EB182C"/>
    <w:rsid w:val="00EB19D9"/>
    <w:rsid w:val="00EB2287"/>
    <w:rsid w:val="00EB269D"/>
    <w:rsid w:val="00EB30E8"/>
    <w:rsid w:val="00EB33E3"/>
    <w:rsid w:val="00EB344E"/>
    <w:rsid w:val="00EB36F8"/>
    <w:rsid w:val="00EB43E5"/>
    <w:rsid w:val="00EB45D7"/>
    <w:rsid w:val="00EB4668"/>
    <w:rsid w:val="00EB47B3"/>
    <w:rsid w:val="00EB4926"/>
    <w:rsid w:val="00EB49BA"/>
    <w:rsid w:val="00EB4B58"/>
    <w:rsid w:val="00EB4DF2"/>
    <w:rsid w:val="00EB4E5F"/>
    <w:rsid w:val="00EB4EF6"/>
    <w:rsid w:val="00EB5181"/>
    <w:rsid w:val="00EB5197"/>
    <w:rsid w:val="00EB5629"/>
    <w:rsid w:val="00EB5734"/>
    <w:rsid w:val="00EB5FF4"/>
    <w:rsid w:val="00EB6ABB"/>
    <w:rsid w:val="00EB74DE"/>
    <w:rsid w:val="00EB75EB"/>
    <w:rsid w:val="00EB7605"/>
    <w:rsid w:val="00EB76CB"/>
    <w:rsid w:val="00EC089D"/>
    <w:rsid w:val="00EC0DD3"/>
    <w:rsid w:val="00EC101A"/>
    <w:rsid w:val="00EC10C0"/>
    <w:rsid w:val="00EC1394"/>
    <w:rsid w:val="00EC1CB7"/>
    <w:rsid w:val="00EC20D7"/>
    <w:rsid w:val="00EC226A"/>
    <w:rsid w:val="00EC229B"/>
    <w:rsid w:val="00EC28DD"/>
    <w:rsid w:val="00EC2EE6"/>
    <w:rsid w:val="00EC3012"/>
    <w:rsid w:val="00EC3713"/>
    <w:rsid w:val="00EC37A0"/>
    <w:rsid w:val="00EC3FA5"/>
    <w:rsid w:val="00EC552D"/>
    <w:rsid w:val="00EC5B93"/>
    <w:rsid w:val="00EC6414"/>
    <w:rsid w:val="00EC6459"/>
    <w:rsid w:val="00EC774B"/>
    <w:rsid w:val="00ED0A53"/>
    <w:rsid w:val="00ED13EB"/>
    <w:rsid w:val="00ED1462"/>
    <w:rsid w:val="00ED14A1"/>
    <w:rsid w:val="00ED17FA"/>
    <w:rsid w:val="00ED1856"/>
    <w:rsid w:val="00ED1BCA"/>
    <w:rsid w:val="00ED2324"/>
    <w:rsid w:val="00ED24B6"/>
    <w:rsid w:val="00ED25D2"/>
    <w:rsid w:val="00ED2BE5"/>
    <w:rsid w:val="00ED33DE"/>
    <w:rsid w:val="00ED35C0"/>
    <w:rsid w:val="00ED3F38"/>
    <w:rsid w:val="00ED4124"/>
    <w:rsid w:val="00ED5030"/>
    <w:rsid w:val="00ED547D"/>
    <w:rsid w:val="00ED596C"/>
    <w:rsid w:val="00ED5ACF"/>
    <w:rsid w:val="00ED7925"/>
    <w:rsid w:val="00ED7D26"/>
    <w:rsid w:val="00EE0174"/>
    <w:rsid w:val="00EE01D1"/>
    <w:rsid w:val="00EE083C"/>
    <w:rsid w:val="00EE0D6A"/>
    <w:rsid w:val="00EE1216"/>
    <w:rsid w:val="00EE12E9"/>
    <w:rsid w:val="00EE13A7"/>
    <w:rsid w:val="00EE165B"/>
    <w:rsid w:val="00EE234A"/>
    <w:rsid w:val="00EE2B55"/>
    <w:rsid w:val="00EE3117"/>
    <w:rsid w:val="00EE3341"/>
    <w:rsid w:val="00EE3445"/>
    <w:rsid w:val="00EE34D8"/>
    <w:rsid w:val="00EE3BAE"/>
    <w:rsid w:val="00EE3C1B"/>
    <w:rsid w:val="00EE4436"/>
    <w:rsid w:val="00EE4BBE"/>
    <w:rsid w:val="00EE507B"/>
    <w:rsid w:val="00EE546C"/>
    <w:rsid w:val="00EE563D"/>
    <w:rsid w:val="00EE574E"/>
    <w:rsid w:val="00EE5DFC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CD3"/>
    <w:rsid w:val="00EF1D2F"/>
    <w:rsid w:val="00EF20C3"/>
    <w:rsid w:val="00EF231B"/>
    <w:rsid w:val="00EF2449"/>
    <w:rsid w:val="00EF2467"/>
    <w:rsid w:val="00EF256C"/>
    <w:rsid w:val="00EF3195"/>
    <w:rsid w:val="00EF3393"/>
    <w:rsid w:val="00EF33F2"/>
    <w:rsid w:val="00EF3763"/>
    <w:rsid w:val="00EF3C6A"/>
    <w:rsid w:val="00EF3F1A"/>
    <w:rsid w:val="00EF4355"/>
    <w:rsid w:val="00EF463E"/>
    <w:rsid w:val="00EF4C2A"/>
    <w:rsid w:val="00EF541D"/>
    <w:rsid w:val="00EF54F2"/>
    <w:rsid w:val="00EF571F"/>
    <w:rsid w:val="00EF579C"/>
    <w:rsid w:val="00EF57BB"/>
    <w:rsid w:val="00EF585C"/>
    <w:rsid w:val="00EF5B95"/>
    <w:rsid w:val="00EF60B7"/>
    <w:rsid w:val="00EF613D"/>
    <w:rsid w:val="00EF7D56"/>
    <w:rsid w:val="00F00922"/>
    <w:rsid w:val="00F0102C"/>
    <w:rsid w:val="00F0106B"/>
    <w:rsid w:val="00F01196"/>
    <w:rsid w:val="00F0137B"/>
    <w:rsid w:val="00F0139C"/>
    <w:rsid w:val="00F01A26"/>
    <w:rsid w:val="00F020E1"/>
    <w:rsid w:val="00F0221D"/>
    <w:rsid w:val="00F024A1"/>
    <w:rsid w:val="00F027B1"/>
    <w:rsid w:val="00F02DE5"/>
    <w:rsid w:val="00F0324F"/>
    <w:rsid w:val="00F03AA2"/>
    <w:rsid w:val="00F043F9"/>
    <w:rsid w:val="00F046B7"/>
    <w:rsid w:val="00F04E02"/>
    <w:rsid w:val="00F05558"/>
    <w:rsid w:val="00F0595E"/>
    <w:rsid w:val="00F05A7B"/>
    <w:rsid w:val="00F06454"/>
    <w:rsid w:val="00F066AF"/>
    <w:rsid w:val="00F0681F"/>
    <w:rsid w:val="00F06CB2"/>
    <w:rsid w:val="00F06E72"/>
    <w:rsid w:val="00F07328"/>
    <w:rsid w:val="00F07B7A"/>
    <w:rsid w:val="00F07C8A"/>
    <w:rsid w:val="00F07D8B"/>
    <w:rsid w:val="00F104D0"/>
    <w:rsid w:val="00F10544"/>
    <w:rsid w:val="00F10840"/>
    <w:rsid w:val="00F10938"/>
    <w:rsid w:val="00F116E1"/>
    <w:rsid w:val="00F11981"/>
    <w:rsid w:val="00F11E4F"/>
    <w:rsid w:val="00F121B1"/>
    <w:rsid w:val="00F1272B"/>
    <w:rsid w:val="00F12C7E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0E8"/>
    <w:rsid w:val="00F156BC"/>
    <w:rsid w:val="00F15737"/>
    <w:rsid w:val="00F15D2C"/>
    <w:rsid w:val="00F16582"/>
    <w:rsid w:val="00F16B9D"/>
    <w:rsid w:val="00F16CE1"/>
    <w:rsid w:val="00F16F0B"/>
    <w:rsid w:val="00F17125"/>
    <w:rsid w:val="00F179EF"/>
    <w:rsid w:val="00F17E02"/>
    <w:rsid w:val="00F17E22"/>
    <w:rsid w:val="00F20017"/>
    <w:rsid w:val="00F20776"/>
    <w:rsid w:val="00F21051"/>
    <w:rsid w:val="00F2106E"/>
    <w:rsid w:val="00F21514"/>
    <w:rsid w:val="00F21A24"/>
    <w:rsid w:val="00F21A60"/>
    <w:rsid w:val="00F21AE7"/>
    <w:rsid w:val="00F21B8E"/>
    <w:rsid w:val="00F21CAF"/>
    <w:rsid w:val="00F223BD"/>
    <w:rsid w:val="00F223EA"/>
    <w:rsid w:val="00F225EC"/>
    <w:rsid w:val="00F22EE2"/>
    <w:rsid w:val="00F23114"/>
    <w:rsid w:val="00F232DA"/>
    <w:rsid w:val="00F23613"/>
    <w:rsid w:val="00F24874"/>
    <w:rsid w:val="00F24980"/>
    <w:rsid w:val="00F24B20"/>
    <w:rsid w:val="00F24E07"/>
    <w:rsid w:val="00F24EF6"/>
    <w:rsid w:val="00F25470"/>
    <w:rsid w:val="00F255CF"/>
    <w:rsid w:val="00F25C36"/>
    <w:rsid w:val="00F26145"/>
    <w:rsid w:val="00F26345"/>
    <w:rsid w:val="00F2634C"/>
    <w:rsid w:val="00F264A6"/>
    <w:rsid w:val="00F26D6D"/>
    <w:rsid w:val="00F27920"/>
    <w:rsid w:val="00F30616"/>
    <w:rsid w:val="00F3182F"/>
    <w:rsid w:val="00F319F9"/>
    <w:rsid w:val="00F32AF9"/>
    <w:rsid w:val="00F33B96"/>
    <w:rsid w:val="00F346B1"/>
    <w:rsid w:val="00F3484E"/>
    <w:rsid w:val="00F348C7"/>
    <w:rsid w:val="00F34E84"/>
    <w:rsid w:val="00F34FB3"/>
    <w:rsid w:val="00F35350"/>
    <w:rsid w:val="00F3594C"/>
    <w:rsid w:val="00F361F9"/>
    <w:rsid w:val="00F36323"/>
    <w:rsid w:val="00F363CA"/>
    <w:rsid w:val="00F36F16"/>
    <w:rsid w:val="00F37507"/>
    <w:rsid w:val="00F40042"/>
    <w:rsid w:val="00F4117E"/>
    <w:rsid w:val="00F415F2"/>
    <w:rsid w:val="00F42037"/>
    <w:rsid w:val="00F423F6"/>
    <w:rsid w:val="00F42415"/>
    <w:rsid w:val="00F424D3"/>
    <w:rsid w:val="00F4284C"/>
    <w:rsid w:val="00F43696"/>
    <w:rsid w:val="00F43C13"/>
    <w:rsid w:val="00F443B0"/>
    <w:rsid w:val="00F444E7"/>
    <w:rsid w:val="00F444FE"/>
    <w:rsid w:val="00F447EA"/>
    <w:rsid w:val="00F44943"/>
    <w:rsid w:val="00F453DF"/>
    <w:rsid w:val="00F463A2"/>
    <w:rsid w:val="00F46462"/>
    <w:rsid w:val="00F4733D"/>
    <w:rsid w:val="00F4737E"/>
    <w:rsid w:val="00F47D5F"/>
    <w:rsid w:val="00F47E5F"/>
    <w:rsid w:val="00F50623"/>
    <w:rsid w:val="00F511EE"/>
    <w:rsid w:val="00F51D28"/>
    <w:rsid w:val="00F51DF3"/>
    <w:rsid w:val="00F51E4D"/>
    <w:rsid w:val="00F52953"/>
    <w:rsid w:val="00F533F9"/>
    <w:rsid w:val="00F534EB"/>
    <w:rsid w:val="00F53662"/>
    <w:rsid w:val="00F53867"/>
    <w:rsid w:val="00F539AC"/>
    <w:rsid w:val="00F53D92"/>
    <w:rsid w:val="00F53D94"/>
    <w:rsid w:val="00F5420D"/>
    <w:rsid w:val="00F54768"/>
    <w:rsid w:val="00F54ADC"/>
    <w:rsid w:val="00F553E8"/>
    <w:rsid w:val="00F55630"/>
    <w:rsid w:val="00F55AA3"/>
    <w:rsid w:val="00F55DFC"/>
    <w:rsid w:val="00F561EA"/>
    <w:rsid w:val="00F56C88"/>
    <w:rsid w:val="00F5757F"/>
    <w:rsid w:val="00F57BDA"/>
    <w:rsid w:val="00F57F43"/>
    <w:rsid w:val="00F60058"/>
    <w:rsid w:val="00F600E8"/>
    <w:rsid w:val="00F6066A"/>
    <w:rsid w:val="00F60688"/>
    <w:rsid w:val="00F6071E"/>
    <w:rsid w:val="00F60D88"/>
    <w:rsid w:val="00F60DC0"/>
    <w:rsid w:val="00F61248"/>
    <w:rsid w:val="00F61281"/>
    <w:rsid w:val="00F613C3"/>
    <w:rsid w:val="00F626F5"/>
    <w:rsid w:val="00F629DE"/>
    <w:rsid w:val="00F62A63"/>
    <w:rsid w:val="00F63499"/>
    <w:rsid w:val="00F638B4"/>
    <w:rsid w:val="00F6394E"/>
    <w:rsid w:val="00F640F5"/>
    <w:rsid w:val="00F64176"/>
    <w:rsid w:val="00F643C2"/>
    <w:rsid w:val="00F649A9"/>
    <w:rsid w:val="00F64A0B"/>
    <w:rsid w:val="00F6557B"/>
    <w:rsid w:val="00F65639"/>
    <w:rsid w:val="00F65704"/>
    <w:rsid w:val="00F666B5"/>
    <w:rsid w:val="00F66B92"/>
    <w:rsid w:val="00F6708D"/>
    <w:rsid w:val="00F67275"/>
    <w:rsid w:val="00F67C19"/>
    <w:rsid w:val="00F67E59"/>
    <w:rsid w:val="00F67EF9"/>
    <w:rsid w:val="00F67FD0"/>
    <w:rsid w:val="00F7005D"/>
    <w:rsid w:val="00F70B36"/>
    <w:rsid w:val="00F713E2"/>
    <w:rsid w:val="00F7187B"/>
    <w:rsid w:val="00F718A4"/>
    <w:rsid w:val="00F721CA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4846"/>
    <w:rsid w:val="00F7523E"/>
    <w:rsid w:val="00F752BC"/>
    <w:rsid w:val="00F759D7"/>
    <w:rsid w:val="00F7609A"/>
    <w:rsid w:val="00F76924"/>
    <w:rsid w:val="00F76CFB"/>
    <w:rsid w:val="00F76FD6"/>
    <w:rsid w:val="00F77293"/>
    <w:rsid w:val="00F774E4"/>
    <w:rsid w:val="00F77C33"/>
    <w:rsid w:val="00F77D71"/>
    <w:rsid w:val="00F808F0"/>
    <w:rsid w:val="00F80927"/>
    <w:rsid w:val="00F80C35"/>
    <w:rsid w:val="00F819E1"/>
    <w:rsid w:val="00F822A0"/>
    <w:rsid w:val="00F82B48"/>
    <w:rsid w:val="00F83A8B"/>
    <w:rsid w:val="00F83B2E"/>
    <w:rsid w:val="00F84099"/>
    <w:rsid w:val="00F8412E"/>
    <w:rsid w:val="00F843F7"/>
    <w:rsid w:val="00F84763"/>
    <w:rsid w:val="00F8476D"/>
    <w:rsid w:val="00F85501"/>
    <w:rsid w:val="00F85511"/>
    <w:rsid w:val="00F856DE"/>
    <w:rsid w:val="00F85851"/>
    <w:rsid w:val="00F862E4"/>
    <w:rsid w:val="00F86396"/>
    <w:rsid w:val="00F86429"/>
    <w:rsid w:val="00F86769"/>
    <w:rsid w:val="00F8676D"/>
    <w:rsid w:val="00F86C16"/>
    <w:rsid w:val="00F875DA"/>
    <w:rsid w:val="00F8763D"/>
    <w:rsid w:val="00F87905"/>
    <w:rsid w:val="00F8798B"/>
    <w:rsid w:val="00F87A60"/>
    <w:rsid w:val="00F9034D"/>
    <w:rsid w:val="00F90624"/>
    <w:rsid w:val="00F907AF"/>
    <w:rsid w:val="00F90E09"/>
    <w:rsid w:val="00F91CBC"/>
    <w:rsid w:val="00F91E36"/>
    <w:rsid w:val="00F922ED"/>
    <w:rsid w:val="00F92A03"/>
    <w:rsid w:val="00F93A0A"/>
    <w:rsid w:val="00F94A71"/>
    <w:rsid w:val="00F94CCA"/>
    <w:rsid w:val="00F9535C"/>
    <w:rsid w:val="00F9576D"/>
    <w:rsid w:val="00F95780"/>
    <w:rsid w:val="00F95EFB"/>
    <w:rsid w:val="00F9624E"/>
    <w:rsid w:val="00F96923"/>
    <w:rsid w:val="00F96E26"/>
    <w:rsid w:val="00F970DB"/>
    <w:rsid w:val="00F97380"/>
    <w:rsid w:val="00F9766C"/>
    <w:rsid w:val="00F97978"/>
    <w:rsid w:val="00F97A08"/>
    <w:rsid w:val="00FA008C"/>
    <w:rsid w:val="00FA01A5"/>
    <w:rsid w:val="00FA0431"/>
    <w:rsid w:val="00FA0577"/>
    <w:rsid w:val="00FA086C"/>
    <w:rsid w:val="00FA0870"/>
    <w:rsid w:val="00FA0FFB"/>
    <w:rsid w:val="00FA1441"/>
    <w:rsid w:val="00FA14D6"/>
    <w:rsid w:val="00FA203F"/>
    <w:rsid w:val="00FA38A1"/>
    <w:rsid w:val="00FA3C01"/>
    <w:rsid w:val="00FA3D13"/>
    <w:rsid w:val="00FA3F41"/>
    <w:rsid w:val="00FA455A"/>
    <w:rsid w:val="00FA4A3B"/>
    <w:rsid w:val="00FA4ADD"/>
    <w:rsid w:val="00FA5783"/>
    <w:rsid w:val="00FA613A"/>
    <w:rsid w:val="00FA62C1"/>
    <w:rsid w:val="00FA6360"/>
    <w:rsid w:val="00FA6B17"/>
    <w:rsid w:val="00FA742C"/>
    <w:rsid w:val="00FA7860"/>
    <w:rsid w:val="00FB0060"/>
    <w:rsid w:val="00FB012F"/>
    <w:rsid w:val="00FB0A08"/>
    <w:rsid w:val="00FB0AD3"/>
    <w:rsid w:val="00FB0D58"/>
    <w:rsid w:val="00FB185F"/>
    <w:rsid w:val="00FB21EE"/>
    <w:rsid w:val="00FB2506"/>
    <w:rsid w:val="00FB2AE7"/>
    <w:rsid w:val="00FB306B"/>
    <w:rsid w:val="00FB3784"/>
    <w:rsid w:val="00FB414E"/>
    <w:rsid w:val="00FB50C2"/>
    <w:rsid w:val="00FB514B"/>
    <w:rsid w:val="00FB529D"/>
    <w:rsid w:val="00FB56C5"/>
    <w:rsid w:val="00FB5794"/>
    <w:rsid w:val="00FB57EF"/>
    <w:rsid w:val="00FB59E5"/>
    <w:rsid w:val="00FB59FA"/>
    <w:rsid w:val="00FB5D9B"/>
    <w:rsid w:val="00FB5FB0"/>
    <w:rsid w:val="00FB618E"/>
    <w:rsid w:val="00FB6B86"/>
    <w:rsid w:val="00FB6F0E"/>
    <w:rsid w:val="00FC0304"/>
    <w:rsid w:val="00FC06BF"/>
    <w:rsid w:val="00FC0AE4"/>
    <w:rsid w:val="00FC0E21"/>
    <w:rsid w:val="00FC1694"/>
    <w:rsid w:val="00FC1CF2"/>
    <w:rsid w:val="00FC2124"/>
    <w:rsid w:val="00FC2576"/>
    <w:rsid w:val="00FC25D1"/>
    <w:rsid w:val="00FC2A8A"/>
    <w:rsid w:val="00FC2E45"/>
    <w:rsid w:val="00FC351E"/>
    <w:rsid w:val="00FC35DE"/>
    <w:rsid w:val="00FC3933"/>
    <w:rsid w:val="00FC3952"/>
    <w:rsid w:val="00FC4398"/>
    <w:rsid w:val="00FC44BC"/>
    <w:rsid w:val="00FC4B62"/>
    <w:rsid w:val="00FC4BA2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982"/>
    <w:rsid w:val="00FC6E6C"/>
    <w:rsid w:val="00FC6E74"/>
    <w:rsid w:val="00FC7186"/>
    <w:rsid w:val="00FC742F"/>
    <w:rsid w:val="00FC780B"/>
    <w:rsid w:val="00FC7C89"/>
    <w:rsid w:val="00FD0917"/>
    <w:rsid w:val="00FD0F61"/>
    <w:rsid w:val="00FD1280"/>
    <w:rsid w:val="00FD143C"/>
    <w:rsid w:val="00FD1946"/>
    <w:rsid w:val="00FD1EDC"/>
    <w:rsid w:val="00FD2965"/>
    <w:rsid w:val="00FD2A64"/>
    <w:rsid w:val="00FD2CC3"/>
    <w:rsid w:val="00FD2FD6"/>
    <w:rsid w:val="00FD3D61"/>
    <w:rsid w:val="00FD436D"/>
    <w:rsid w:val="00FD491D"/>
    <w:rsid w:val="00FD49DB"/>
    <w:rsid w:val="00FD5062"/>
    <w:rsid w:val="00FD5094"/>
    <w:rsid w:val="00FD5F99"/>
    <w:rsid w:val="00FD7309"/>
    <w:rsid w:val="00FD764D"/>
    <w:rsid w:val="00FD7B35"/>
    <w:rsid w:val="00FD7C6C"/>
    <w:rsid w:val="00FD7CDC"/>
    <w:rsid w:val="00FD7F20"/>
    <w:rsid w:val="00FE01A6"/>
    <w:rsid w:val="00FE02F8"/>
    <w:rsid w:val="00FE0BA6"/>
    <w:rsid w:val="00FE0F46"/>
    <w:rsid w:val="00FE11A9"/>
    <w:rsid w:val="00FE1445"/>
    <w:rsid w:val="00FE153E"/>
    <w:rsid w:val="00FE18EF"/>
    <w:rsid w:val="00FE1C38"/>
    <w:rsid w:val="00FE1CE2"/>
    <w:rsid w:val="00FE1DFC"/>
    <w:rsid w:val="00FE235B"/>
    <w:rsid w:val="00FE27FE"/>
    <w:rsid w:val="00FE2852"/>
    <w:rsid w:val="00FE2F5F"/>
    <w:rsid w:val="00FE393B"/>
    <w:rsid w:val="00FE3AAD"/>
    <w:rsid w:val="00FE4608"/>
    <w:rsid w:val="00FE4826"/>
    <w:rsid w:val="00FE4E72"/>
    <w:rsid w:val="00FE5DD2"/>
    <w:rsid w:val="00FE66DF"/>
    <w:rsid w:val="00FE6845"/>
    <w:rsid w:val="00FE6951"/>
    <w:rsid w:val="00FE6AD1"/>
    <w:rsid w:val="00FE78FD"/>
    <w:rsid w:val="00FE7BA2"/>
    <w:rsid w:val="00FE7D77"/>
    <w:rsid w:val="00FF0586"/>
    <w:rsid w:val="00FF09BD"/>
    <w:rsid w:val="00FF1744"/>
    <w:rsid w:val="00FF1879"/>
    <w:rsid w:val="00FF188F"/>
    <w:rsid w:val="00FF2265"/>
    <w:rsid w:val="00FF2CC4"/>
    <w:rsid w:val="00FF3496"/>
    <w:rsid w:val="00FF3CA1"/>
    <w:rsid w:val="00FF4177"/>
    <w:rsid w:val="00FF438F"/>
    <w:rsid w:val="00FF4675"/>
    <w:rsid w:val="00FF48C8"/>
    <w:rsid w:val="00FF7932"/>
    <w:rsid w:val="01955A0A"/>
    <w:rsid w:val="0C260A89"/>
    <w:rsid w:val="10E6CFD7"/>
    <w:rsid w:val="179B1CE0"/>
    <w:rsid w:val="1B88BFE8"/>
    <w:rsid w:val="20C5A064"/>
    <w:rsid w:val="2BBC78FF"/>
    <w:rsid w:val="2FB78C2B"/>
    <w:rsid w:val="32A41DBF"/>
    <w:rsid w:val="340A03B9"/>
    <w:rsid w:val="37C1AC95"/>
    <w:rsid w:val="3BBA1E7B"/>
    <w:rsid w:val="43E8E6B8"/>
    <w:rsid w:val="465BB420"/>
    <w:rsid w:val="4B60E822"/>
    <w:rsid w:val="4DF0F994"/>
    <w:rsid w:val="521781D8"/>
    <w:rsid w:val="521F392A"/>
    <w:rsid w:val="55647ADF"/>
    <w:rsid w:val="5C56A143"/>
    <w:rsid w:val="6267C786"/>
    <w:rsid w:val="62B488B9"/>
    <w:rsid w:val="650DBF8E"/>
    <w:rsid w:val="683F770C"/>
    <w:rsid w:val="6E93D23F"/>
    <w:rsid w:val="7021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AB699"/>
  <w15:docId w15:val="{C7E1A018-88A9-4797-AF76-4B2413B3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link w:val="Textoindependiente"/>
    <w:rsid w:val="003915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050B"/>
    <w:rPr>
      <w:color w:val="808080"/>
      <w:shd w:val="clear" w:color="auto" w:fill="E6E6E6"/>
    </w:rPr>
  </w:style>
  <w:style w:type="paragraph" w:customStyle="1" w:styleId="parr2">
    <w:name w:val="parr2"/>
    <w:basedOn w:val="Normal"/>
    <w:rsid w:val="0010647A"/>
    <w:pPr>
      <w:spacing w:before="600"/>
      <w:ind w:left="567" w:right="15"/>
    </w:pPr>
    <w:rPr>
      <w:rFonts w:cs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4E375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E3750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E3750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4E3750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3594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A6567C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73CB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png"/><Relationship Id="rId18" Type="http://schemas.openxmlformats.org/officeDocument/2006/relationships/hyperlink" Target="http://www.inegi.org.mx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hyperlink" Target="https://www.inegi.org.mx/programas/inpp/2019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Precios-Inflaci&#243;n%20INPP%20-%20mensual\3-%20Cuadros%20y%20gr&#225;ficas\INPP_Gr&#225;ficas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0.153.2.159\412_SUB_AES\1.-COMUNICADOS%20Y%20NOTAS\Precios-Inflaci&#243;n%20INPP%20-%20mensual\3-%20Cuadros%20y%20gr&#225;ficas\INPP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378571428571437E-2"/>
          <c:y val="3.985104166666667E-2"/>
          <c:w val="0.90638333333333332"/>
          <c:h val="0.8140497813406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con petroleo'!$U$76:$Z$76</c:f>
              <c:strCache>
                <c:ptCount val="6"/>
                <c:pt idx="0">
                  <c:v>Total</c:v>
                </c:pt>
              </c:strCache>
            </c:strRef>
          </c:tx>
          <c:spPr>
            <a:solidFill>
              <a:srgbClr val="10253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wrap="square" lIns="38100" tIns="19050" rIns="38100" bIns="18000" anchor="b" anchorCtr="0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numRef>
              <c:f>'Datos con petroleo'!$AB$77:$AD$77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'Datos con petroleo'!$AB$87:$AD$87</c:f>
              <c:numCache>
                <c:formatCode>0.00</c:formatCode>
                <c:ptCount val="3"/>
                <c:pt idx="0">
                  <c:v>8.3927521269227583</c:v>
                </c:pt>
                <c:pt idx="1">
                  <c:v>7.0680461223890489</c:v>
                </c:pt>
                <c:pt idx="2">
                  <c:v>1.3481987080972431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82-4740-A9FD-3F009993F2ED}"/>
            </c:ext>
          </c:extLst>
        </c:ser>
        <c:ser>
          <c:idx val="1"/>
          <c:order val="1"/>
          <c:tx>
            <c:strRef>
              <c:f>'Datos con petroleo'!$AE$76:$AJ$76</c:f>
              <c:strCache>
                <c:ptCount val="6"/>
                <c:pt idx="0">
                  <c:v>Actividades primarias </c:v>
                </c:pt>
              </c:strCache>
            </c:strRef>
          </c:tx>
          <c:spPr>
            <a:solidFill>
              <a:srgbClr val="C6D9F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petroleo'!$AB$77:$AD$77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'Datos con petroleo'!$AL$87:$AN$87</c:f>
              <c:numCache>
                <c:formatCode>0.00</c:formatCode>
                <c:ptCount val="3"/>
                <c:pt idx="0">
                  <c:v>10.584898812457482</c:v>
                </c:pt>
                <c:pt idx="1">
                  <c:v>14.28596085959262</c:v>
                </c:pt>
                <c:pt idx="2">
                  <c:v>0.78215516446915956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82-4740-A9FD-3F009993F2ED}"/>
            </c:ext>
          </c:extLst>
        </c:ser>
        <c:ser>
          <c:idx val="2"/>
          <c:order val="2"/>
          <c:tx>
            <c:strRef>
              <c:f>'Datos con petroleo'!$AO$76:$AT$76</c:f>
              <c:strCache>
                <c:ptCount val="6"/>
                <c:pt idx="0">
                  <c:v>Actividades secundarias</c:v>
                </c:pt>
              </c:strCache>
            </c:strRef>
          </c:tx>
          <c:spPr>
            <a:solidFill>
              <a:srgbClr val="558ED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petroleo'!$AB$77:$AD$77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'Datos con petroleo'!$AV$87:$AX$87</c:f>
              <c:numCache>
                <c:formatCode>0.00</c:formatCode>
                <c:ptCount val="3"/>
                <c:pt idx="0">
                  <c:v>11.195824490013422</c:v>
                </c:pt>
                <c:pt idx="1">
                  <c:v>7.1951030500230502</c:v>
                </c:pt>
                <c:pt idx="2">
                  <c:v>-0.57140492567448575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B82-4740-A9FD-3F009993F2ED}"/>
            </c:ext>
          </c:extLst>
        </c:ser>
        <c:ser>
          <c:idx val="3"/>
          <c:order val="3"/>
          <c:tx>
            <c:strRef>
              <c:f>'Datos con petroleo'!$AY$76:$BD$76</c:f>
              <c:strCache>
                <c:ptCount val="6"/>
                <c:pt idx="0">
                  <c:v>Actividades terciarias</c:v>
                </c:pt>
              </c:strCache>
            </c:strRef>
          </c:tx>
          <c:spPr>
            <a:solidFill>
              <a:srgbClr val="24559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petroleo'!$AB$77:$AD$77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'Datos con petroleo'!$BF$87:$BH$87</c:f>
              <c:numCache>
                <c:formatCode>0.00</c:formatCode>
                <c:ptCount val="3"/>
                <c:pt idx="0">
                  <c:v>2.8744206907249605</c:v>
                </c:pt>
                <c:pt idx="1">
                  <c:v>5.6106494668952678</c:v>
                </c:pt>
                <c:pt idx="2">
                  <c:v>5.3408759131139192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B82-4740-A9FD-3F009993F2E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6"/>
        <c:axId val="282849768"/>
        <c:axId val="282850944"/>
      </c:barChart>
      <c:catAx>
        <c:axId val="2828497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anchor="t" anchorCtr="1"/>
          <a:lstStyle/>
          <a:p>
            <a:pPr>
              <a:defRPr sz="800" b="1"/>
            </a:pPr>
            <a:endParaRPr lang="es-MX"/>
          </a:p>
        </c:txPr>
        <c:crossAx val="282850944"/>
        <c:crosses val="autoZero"/>
        <c:auto val="1"/>
        <c:lblAlgn val="ctr"/>
        <c:lblOffset val="100"/>
        <c:tickLblSkip val="1"/>
        <c:noMultiLvlLbl val="0"/>
      </c:catAx>
      <c:valAx>
        <c:axId val="282850944"/>
        <c:scaling>
          <c:orientation val="minMax"/>
          <c:max val="16"/>
          <c:min val="-3"/>
        </c:scaling>
        <c:delete val="0"/>
        <c:axPos val="l"/>
        <c:majorGridlines>
          <c:spPr>
            <a:ln>
              <a:noFill/>
            </a:ln>
          </c:spPr>
        </c:majorGridlines>
        <c:numFmt formatCode="0.0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</c:spPr>
        <c:txPr>
          <a:bodyPr/>
          <a:lstStyle/>
          <a:p>
            <a:pPr>
              <a:defRPr sz="700" b="1"/>
            </a:pPr>
            <a:endParaRPr lang="es-MX"/>
          </a:p>
        </c:txPr>
        <c:crossAx val="282849768"/>
        <c:crossesAt val="1"/>
        <c:crossBetween val="between"/>
        <c:majorUnit val="3"/>
      </c:valAx>
      <c:spPr>
        <a:noFill/>
        <a:ln w="6350">
          <a:solidFill>
            <a:srgbClr val="8EB4E3"/>
          </a:solidFill>
        </a:ln>
      </c:spPr>
    </c:plotArea>
    <c:legend>
      <c:legendPos val="b"/>
      <c:layout>
        <c:manualLayout>
          <c:xMode val="edge"/>
          <c:yMode val="edge"/>
          <c:x val="5.1540476190476178E-2"/>
          <c:y val="0.93010416666666662"/>
          <c:w val="0.89187936507936505"/>
          <c:h val="6.56857075169319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ysClr val="windowText" lastClr="000000"/>
      </a:solidFill>
    </a:ln>
    <a:effectLst>
      <a:outerShdw dist="12700" dir="2700000" algn="tl" rotWithShape="0">
        <a:srgbClr val="000000"/>
      </a:outerShdw>
    </a:effectLst>
  </c:spPr>
  <c:txPr>
    <a:bodyPr/>
    <a:lstStyle/>
    <a:p>
      <a:pPr>
        <a:defRPr sz="11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769642857142851E-2"/>
          <c:y val="4.8506944444444443E-2"/>
          <c:w val="0.8828732142857143"/>
          <c:h val="0.79411423611111132"/>
        </c:manualLayout>
      </c:layout>
      <c:lineChart>
        <c:grouping val="standard"/>
        <c:varyColors val="0"/>
        <c:ser>
          <c:idx val="0"/>
          <c:order val="0"/>
          <c:tx>
            <c:strRef>
              <c:f>'Datos con petroleo'!$O$5</c:f>
              <c:strCache>
                <c:ptCount val="1"/>
                <c:pt idx="0">
                  <c:v>Producción total</c:v>
                </c:pt>
              </c:strCache>
            </c:strRef>
          </c:tx>
          <c:spPr>
            <a:ln w="25400">
              <a:solidFill>
                <a:srgbClr val="009E00"/>
              </a:solidFill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4.2986153756104919E-3"/>
                  <c:y val="-8.935228190191851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F42-4F7A-8C54-42AED3F6DD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rgbClr val="009E00"/>
                    </a:solidFill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con petroleo'!$A$111:$B$147</c:f>
              <c:multiLvlStrCache>
                <c:ptCount val="37"/>
                <c:lvl>
                  <c:pt idx="0">
                    <c:v>O</c:v>
                  </c:pt>
                  <c:pt idx="1">
                    <c:v>N</c:v>
                  </c:pt>
                  <c:pt idx="2">
                    <c:v>D</c:v>
                  </c:pt>
                  <c:pt idx="3">
                    <c:v>E</c:v>
                  </c:pt>
                  <c:pt idx="4">
                    <c:v>F</c:v>
                  </c:pt>
                  <c:pt idx="5">
                    <c:v>M</c:v>
                  </c:pt>
                  <c:pt idx="6">
                    <c:v>A</c:v>
                  </c:pt>
                  <c:pt idx="7">
                    <c:v>M</c:v>
                  </c:pt>
                  <c:pt idx="8">
                    <c:v>J</c:v>
                  </c:pt>
                  <c:pt idx="9">
                    <c:v>J</c:v>
                  </c:pt>
                  <c:pt idx="10">
                    <c:v>A</c:v>
                  </c:pt>
                  <c:pt idx="11">
                    <c:v>S</c:v>
                  </c:pt>
                  <c:pt idx="12">
                    <c:v>O</c:v>
                  </c:pt>
                  <c:pt idx="13">
                    <c:v>N</c:v>
                  </c:pt>
                  <c:pt idx="14">
                    <c:v>D</c:v>
                  </c:pt>
                  <c:pt idx="15">
                    <c:v>E</c:v>
                  </c:pt>
                  <c:pt idx="16">
                    <c:v>F</c:v>
                  </c:pt>
                  <c:pt idx="17">
                    <c:v>M</c:v>
                  </c:pt>
                  <c:pt idx="18">
                    <c:v>A</c:v>
                  </c:pt>
                  <c:pt idx="19">
                    <c:v>M</c:v>
                  </c:pt>
                  <c:pt idx="20">
                    <c:v>J</c:v>
                  </c:pt>
                  <c:pt idx="21">
                    <c:v>J</c:v>
                  </c:pt>
                  <c:pt idx="22">
                    <c:v>A</c:v>
                  </c:pt>
                  <c:pt idx="23">
                    <c:v>S</c:v>
                  </c:pt>
                  <c:pt idx="24">
                    <c:v>O</c:v>
                  </c:pt>
                  <c:pt idx="25">
                    <c:v>N</c:v>
                  </c:pt>
                  <c:pt idx="26">
                    <c:v>D</c:v>
                  </c:pt>
                  <c:pt idx="27">
                    <c:v>E</c:v>
                  </c:pt>
                  <c:pt idx="28">
                    <c:v>F</c:v>
                  </c:pt>
                  <c:pt idx="29">
                    <c:v>M</c:v>
                  </c:pt>
                  <c:pt idx="30">
                    <c:v>A</c:v>
                  </c:pt>
                  <c:pt idx="31">
                    <c:v>M</c:v>
                  </c:pt>
                  <c:pt idx="32">
                    <c:v>J</c:v>
                  </c:pt>
                  <c:pt idx="33">
                    <c:v>J</c:v>
                  </c:pt>
                  <c:pt idx="34">
                    <c:v>A</c:v>
                  </c:pt>
                  <c:pt idx="35">
                    <c:v>S</c:v>
                  </c:pt>
                  <c:pt idx="36">
                    <c:v>O</c:v>
                  </c:pt>
                </c:lvl>
                <c:lvl>
                  <c:pt idx="3">
                    <c:v>2021</c:v>
                  </c:pt>
                  <c:pt idx="15">
                    <c:v>2022</c:v>
                  </c:pt>
                  <c:pt idx="27">
                    <c:v>2023</c:v>
                  </c:pt>
                </c:lvl>
              </c:multiLvlStrCache>
            </c:multiLvlStrRef>
          </c:cat>
          <c:val>
            <c:numRef>
              <c:f>'Datos con petroleo'!$O$111:$O$147</c:f>
              <c:numCache>
                <c:formatCode>0.00</c:formatCode>
                <c:ptCount val="37"/>
                <c:pt idx="0">
                  <c:v>4.3968740713261845</c:v>
                </c:pt>
                <c:pt idx="1">
                  <c:v>3.9265796861376989</c:v>
                </c:pt>
                <c:pt idx="2">
                  <c:v>3.6750663491156299</c:v>
                </c:pt>
                <c:pt idx="3">
                  <c:v>5.2938917840430033</c:v>
                </c:pt>
                <c:pt idx="4">
                  <c:v>6.7401886129237809</c:v>
                </c:pt>
                <c:pt idx="5">
                  <c:v>6.2328786585531315</c:v>
                </c:pt>
                <c:pt idx="6">
                  <c:v>5.0239136345975322</c:v>
                </c:pt>
                <c:pt idx="7">
                  <c:v>6.1014072631390581</c:v>
                </c:pt>
                <c:pt idx="8">
                  <c:v>7.1031619094746423</c:v>
                </c:pt>
                <c:pt idx="9">
                  <c:v>6.4342035852366308</c:v>
                </c:pt>
                <c:pt idx="10">
                  <c:v>6.296746748681481</c:v>
                </c:pt>
                <c:pt idx="11">
                  <c:v>7.1603316137748063</c:v>
                </c:pt>
                <c:pt idx="12">
                  <c:v>8.3927521269227654</c:v>
                </c:pt>
                <c:pt idx="13">
                  <c:v>9.8685218563569386</c:v>
                </c:pt>
                <c:pt idx="14">
                  <c:v>10.320220673632718</c:v>
                </c:pt>
                <c:pt idx="15">
                  <c:v>9.8208453918782403</c:v>
                </c:pt>
                <c:pt idx="16">
                  <c:v>9.8926272758072198</c:v>
                </c:pt>
                <c:pt idx="17">
                  <c:v>10.169838225977013</c:v>
                </c:pt>
                <c:pt idx="18">
                  <c:v>10.496869844917601</c:v>
                </c:pt>
                <c:pt idx="19">
                  <c:v>10.470013716750826</c:v>
                </c:pt>
                <c:pt idx="20">
                  <c:v>10.346181706892455</c:v>
                </c:pt>
                <c:pt idx="21">
                  <c:v>10.010284611551246</c:v>
                </c:pt>
                <c:pt idx="22">
                  <c:v>9.3649935773406625</c:v>
                </c:pt>
                <c:pt idx="23">
                  <c:v>8.6764978393778271</c:v>
                </c:pt>
                <c:pt idx="24">
                  <c:v>7.0680461223890489</c:v>
                </c:pt>
                <c:pt idx="25">
                  <c:v>5.6933273506301507</c:v>
                </c:pt>
                <c:pt idx="26">
                  <c:v>5.0478849842847229</c:v>
                </c:pt>
                <c:pt idx="27">
                  <c:v>4.8071989322595154</c:v>
                </c:pt>
                <c:pt idx="28">
                  <c:v>3.354377944646636</c:v>
                </c:pt>
                <c:pt idx="29">
                  <c:v>1.8131847874833795</c:v>
                </c:pt>
                <c:pt idx="30">
                  <c:v>1.2826096835698353</c:v>
                </c:pt>
                <c:pt idx="31">
                  <c:v>0.14598913512138267</c:v>
                </c:pt>
                <c:pt idx="32">
                  <c:v>-0.84070867157974849</c:v>
                </c:pt>
                <c:pt idx="33">
                  <c:v>-0.6923613384576921</c:v>
                </c:pt>
                <c:pt idx="34">
                  <c:v>-1.9048898252549407E-3</c:v>
                </c:pt>
                <c:pt idx="35">
                  <c:v>0.60748957017224825</c:v>
                </c:pt>
                <c:pt idx="36">
                  <c:v>1.3481987080972369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F42-4F7A-8C54-42AED3F6DD9F}"/>
            </c:ext>
          </c:extLst>
        </c:ser>
        <c:ser>
          <c:idx val="2"/>
          <c:order val="1"/>
          <c:tx>
            <c:strRef>
              <c:f>'Datos con petroleo'!$Q$5</c:f>
              <c:strCache>
                <c:ptCount val="1"/>
                <c:pt idx="0">
                  <c:v>Bienes intermedios</c:v>
                </c:pt>
              </c:strCache>
            </c:strRef>
          </c:tx>
          <c:spPr>
            <a:ln w="15875">
              <a:solidFill>
                <a:srgbClr val="002060"/>
              </a:solidFill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1.374973856606014E-3"/>
                  <c:y val="-2.283182402173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F42-4F7A-8C54-42AED3F6DD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rgbClr val="002060"/>
                    </a:solidFill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con petroleo'!$A$111:$B$147</c:f>
              <c:multiLvlStrCache>
                <c:ptCount val="37"/>
                <c:lvl>
                  <c:pt idx="0">
                    <c:v>O</c:v>
                  </c:pt>
                  <c:pt idx="1">
                    <c:v>N</c:v>
                  </c:pt>
                  <c:pt idx="2">
                    <c:v>D</c:v>
                  </c:pt>
                  <c:pt idx="3">
                    <c:v>E</c:v>
                  </c:pt>
                  <c:pt idx="4">
                    <c:v>F</c:v>
                  </c:pt>
                  <c:pt idx="5">
                    <c:v>M</c:v>
                  </c:pt>
                  <c:pt idx="6">
                    <c:v>A</c:v>
                  </c:pt>
                  <c:pt idx="7">
                    <c:v>M</c:v>
                  </c:pt>
                  <c:pt idx="8">
                    <c:v>J</c:v>
                  </c:pt>
                  <c:pt idx="9">
                    <c:v>J</c:v>
                  </c:pt>
                  <c:pt idx="10">
                    <c:v>A</c:v>
                  </c:pt>
                  <c:pt idx="11">
                    <c:v>S</c:v>
                  </c:pt>
                  <c:pt idx="12">
                    <c:v>O</c:v>
                  </c:pt>
                  <c:pt idx="13">
                    <c:v>N</c:v>
                  </c:pt>
                  <c:pt idx="14">
                    <c:v>D</c:v>
                  </c:pt>
                  <c:pt idx="15">
                    <c:v>E</c:v>
                  </c:pt>
                  <c:pt idx="16">
                    <c:v>F</c:v>
                  </c:pt>
                  <c:pt idx="17">
                    <c:v>M</c:v>
                  </c:pt>
                  <c:pt idx="18">
                    <c:v>A</c:v>
                  </c:pt>
                  <c:pt idx="19">
                    <c:v>M</c:v>
                  </c:pt>
                  <c:pt idx="20">
                    <c:v>J</c:v>
                  </c:pt>
                  <c:pt idx="21">
                    <c:v>J</c:v>
                  </c:pt>
                  <c:pt idx="22">
                    <c:v>A</c:v>
                  </c:pt>
                  <c:pt idx="23">
                    <c:v>S</c:v>
                  </c:pt>
                  <c:pt idx="24">
                    <c:v>O</c:v>
                  </c:pt>
                  <c:pt idx="25">
                    <c:v>N</c:v>
                  </c:pt>
                  <c:pt idx="26">
                    <c:v>D</c:v>
                  </c:pt>
                  <c:pt idx="27">
                    <c:v>E</c:v>
                  </c:pt>
                  <c:pt idx="28">
                    <c:v>F</c:v>
                  </c:pt>
                  <c:pt idx="29">
                    <c:v>M</c:v>
                  </c:pt>
                  <c:pt idx="30">
                    <c:v>A</c:v>
                  </c:pt>
                  <c:pt idx="31">
                    <c:v>M</c:v>
                  </c:pt>
                  <c:pt idx="32">
                    <c:v>J</c:v>
                  </c:pt>
                  <c:pt idx="33">
                    <c:v>J</c:v>
                  </c:pt>
                  <c:pt idx="34">
                    <c:v>A</c:v>
                  </c:pt>
                  <c:pt idx="35">
                    <c:v>S</c:v>
                  </c:pt>
                  <c:pt idx="36">
                    <c:v>O</c:v>
                  </c:pt>
                </c:lvl>
                <c:lvl>
                  <c:pt idx="3">
                    <c:v>2021</c:v>
                  </c:pt>
                  <c:pt idx="15">
                    <c:v>2022</c:v>
                  </c:pt>
                  <c:pt idx="27">
                    <c:v>2023</c:v>
                  </c:pt>
                </c:lvl>
              </c:multiLvlStrCache>
            </c:multiLvlStrRef>
          </c:cat>
          <c:val>
            <c:numRef>
              <c:f>'Datos con petroleo'!$Q$111:$Q$147</c:f>
              <c:numCache>
                <c:formatCode>0.00</c:formatCode>
                <c:ptCount val="37"/>
                <c:pt idx="0">
                  <c:v>3.4358446923026476</c:v>
                </c:pt>
                <c:pt idx="1">
                  <c:v>3.3089497647284194</c:v>
                </c:pt>
                <c:pt idx="2">
                  <c:v>3.5807513613956621</c:v>
                </c:pt>
                <c:pt idx="3">
                  <c:v>5.9452453748823464</c:v>
                </c:pt>
                <c:pt idx="4">
                  <c:v>8.4758405675906978</c:v>
                </c:pt>
                <c:pt idx="5">
                  <c:v>9.0751555512761151</c:v>
                </c:pt>
                <c:pt idx="6">
                  <c:v>9.0202320153879292</c:v>
                </c:pt>
                <c:pt idx="7">
                  <c:v>10.601225141378423</c:v>
                </c:pt>
                <c:pt idx="8">
                  <c:v>10.64200814880143</c:v>
                </c:pt>
                <c:pt idx="9">
                  <c:v>9.5729868680987771</c:v>
                </c:pt>
                <c:pt idx="10">
                  <c:v>8.9942567784973004</c:v>
                </c:pt>
                <c:pt idx="11">
                  <c:v>10.169744069235431</c:v>
                </c:pt>
                <c:pt idx="12">
                  <c:v>12.291623103248583</c:v>
                </c:pt>
                <c:pt idx="13">
                  <c:v>13.890648898633895</c:v>
                </c:pt>
                <c:pt idx="14">
                  <c:v>13.249137979621395</c:v>
                </c:pt>
                <c:pt idx="15">
                  <c:v>12.625190970947031</c:v>
                </c:pt>
                <c:pt idx="16">
                  <c:v>12.743861572586423</c:v>
                </c:pt>
                <c:pt idx="17">
                  <c:v>13.062951659840195</c:v>
                </c:pt>
                <c:pt idx="18">
                  <c:v>13.017667370956755</c:v>
                </c:pt>
                <c:pt idx="19">
                  <c:v>13.057888539695405</c:v>
                </c:pt>
                <c:pt idx="20">
                  <c:v>13.285907899588656</c:v>
                </c:pt>
                <c:pt idx="21">
                  <c:v>11.876339628089516</c:v>
                </c:pt>
                <c:pt idx="22">
                  <c:v>11.027464481081161</c:v>
                </c:pt>
                <c:pt idx="23">
                  <c:v>9.8368890452535709</c:v>
                </c:pt>
                <c:pt idx="24">
                  <c:v>6.6946027222138049</c:v>
                </c:pt>
                <c:pt idx="25">
                  <c:v>4.893120377227822</c:v>
                </c:pt>
                <c:pt idx="26">
                  <c:v>4.2995568304533771</c:v>
                </c:pt>
                <c:pt idx="27">
                  <c:v>3.5732361524583256</c:v>
                </c:pt>
                <c:pt idx="28">
                  <c:v>1.0855150283572534</c:v>
                </c:pt>
                <c:pt idx="29">
                  <c:v>-1.1837391135208986</c:v>
                </c:pt>
                <c:pt idx="30">
                  <c:v>-1.3756559014348468</c:v>
                </c:pt>
                <c:pt idx="31">
                  <c:v>-3.0769479004424505</c:v>
                </c:pt>
                <c:pt idx="32">
                  <c:v>-4.5526605262431801</c:v>
                </c:pt>
                <c:pt idx="33">
                  <c:v>-3.5452534622643195</c:v>
                </c:pt>
                <c:pt idx="34">
                  <c:v>-2.443052996531403</c:v>
                </c:pt>
                <c:pt idx="35">
                  <c:v>-1.7905287277476867</c:v>
                </c:pt>
                <c:pt idx="36">
                  <c:v>-1.0755007626814139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F42-4F7A-8C54-42AED3F6DD9F}"/>
            </c:ext>
          </c:extLst>
        </c:ser>
        <c:ser>
          <c:idx val="1"/>
          <c:order val="2"/>
          <c:tx>
            <c:strRef>
              <c:f>'Datos con petroleo'!$P$5</c:f>
              <c:strCache>
                <c:ptCount val="1"/>
                <c:pt idx="0">
                  <c:v>Bienes finales</c:v>
                </c:pt>
              </c:strCache>
            </c:strRef>
          </c:tx>
          <c:spPr>
            <a:ln w="15875">
              <a:solidFill>
                <a:srgbClr val="FF0000"/>
              </a:solidFill>
              <a:prstDash val="sysDash"/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1.778771605924397E-3"/>
                  <c:y val="-2.23604684475080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F42-4F7A-8C54-42AED3F6DD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rgbClr val="FF0000"/>
                    </a:solidFill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con petroleo'!$A$111:$B$147</c:f>
              <c:multiLvlStrCache>
                <c:ptCount val="37"/>
                <c:lvl>
                  <c:pt idx="0">
                    <c:v>O</c:v>
                  </c:pt>
                  <c:pt idx="1">
                    <c:v>N</c:v>
                  </c:pt>
                  <c:pt idx="2">
                    <c:v>D</c:v>
                  </c:pt>
                  <c:pt idx="3">
                    <c:v>E</c:v>
                  </c:pt>
                  <c:pt idx="4">
                    <c:v>F</c:v>
                  </c:pt>
                  <c:pt idx="5">
                    <c:v>M</c:v>
                  </c:pt>
                  <c:pt idx="6">
                    <c:v>A</c:v>
                  </c:pt>
                  <c:pt idx="7">
                    <c:v>M</c:v>
                  </c:pt>
                  <c:pt idx="8">
                    <c:v>J</c:v>
                  </c:pt>
                  <c:pt idx="9">
                    <c:v>J</c:v>
                  </c:pt>
                  <c:pt idx="10">
                    <c:v>A</c:v>
                  </c:pt>
                  <c:pt idx="11">
                    <c:v>S</c:v>
                  </c:pt>
                  <c:pt idx="12">
                    <c:v>O</c:v>
                  </c:pt>
                  <c:pt idx="13">
                    <c:v>N</c:v>
                  </c:pt>
                  <c:pt idx="14">
                    <c:v>D</c:v>
                  </c:pt>
                  <c:pt idx="15">
                    <c:v>E</c:v>
                  </c:pt>
                  <c:pt idx="16">
                    <c:v>F</c:v>
                  </c:pt>
                  <c:pt idx="17">
                    <c:v>M</c:v>
                  </c:pt>
                  <c:pt idx="18">
                    <c:v>A</c:v>
                  </c:pt>
                  <c:pt idx="19">
                    <c:v>M</c:v>
                  </c:pt>
                  <c:pt idx="20">
                    <c:v>J</c:v>
                  </c:pt>
                  <c:pt idx="21">
                    <c:v>J</c:v>
                  </c:pt>
                  <c:pt idx="22">
                    <c:v>A</c:v>
                  </c:pt>
                  <c:pt idx="23">
                    <c:v>S</c:v>
                  </c:pt>
                  <c:pt idx="24">
                    <c:v>O</c:v>
                  </c:pt>
                  <c:pt idx="25">
                    <c:v>N</c:v>
                  </c:pt>
                  <c:pt idx="26">
                    <c:v>D</c:v>
                  </c:pt>
                  <c:pt idx="27">
                    <c:v>E</c:v>
                  </c:pt>
                  <c:pt idx="28">
                    <c:v>F</c:v>
                  </c:pt>
                  <c:pt idx="29">
                    <c:v>M</c:v>
                  </c:pt>
                  <c:pt idx="30">
                    <c:v>A</c:v>
                  </c:pt>
                  <c:pt idx="31">
                    <c:v>M</c:v>
                  </c:pt>
                  <c:pt idx="32">
                    <c:v>J</c:v>
                  </c:pt>
                  <c:pt idx="33">
                    <c:v>J</c:v>
                  </c:pt>
                  <c:pt idx="34">
                    <c:v>A</c:v>
                  </c:pt>
                  <c:pt idx="35">
                    <c:v>S</c:v>
                  </c:pt>
                  <c:pt idx="36">
                    <c:v>O</c:v>
                  </c:pt>
                </c:lvl>
                <c:lvl>
                  <c:pt idx="3">
                    <c:v>2021</c:v>
                  </c:pt>
                  <c:pt idx="15">
                    <c:v>2022</c:v>
                  </c:pt>
                  <c:pt idx="27">
                    <c:v>2023</c:v>
                  </c:pt>
                </c:lvl>
              </c:multiLvlStrCache>
            </c:multiLvlStrRef>
          </c:cat>
          <c:val>
            <c:numRef>
              <c:f>'Datos con petroleo'!$P$111:$P$147</c:f>
              <c:numCache>
                <c:formatCode>0.00</c:formatCode>
                <c:ptCount val="37"/>
                <c:pt idx="0">
                  <c:v>4.768939158529828</c:v>
                </c:pt>
                <c:pt idx="1">
                  <c:v>4.1651577549955521</c:v>
                </c:pt>
                <c:pt idx="2">
                  <c:v>3.7115210699921297</c:v>
                </c:pt>
                <c:pt idx="3">
                  <c:v>5.0427317633134683</c:v>
                </c:pt>
                <c:pt idx="4">
                  <c:v>6.0741211429249597</c:v>
                </c:pt>
                <c:pt idx="5">
                  <c:v>5.1550670585595704</c:v>
                </c:pt>
                <c:pt idx="6">
                  <c:v>3.5236238432547751</c:v>
                </c:pt>
                <c:pt idx="7">
                  <c:v>4.413657209111177</c:v>
                </c:pt>
                <c:pt idx="8">
                  <c:v>5.7600118861901972</c:v>
                </c:pt>
                <c:pt idx="9">
                  <c:v>5.2348987891708498</c:v>
                </c:pt>
                <c:pt idx="10">
                  <c:v>5.2594250291663425</c:v>
                </c:pt>
                <c:pt idx="11">
                  <c:v>6.0078245069180136</c:v>
                </c:pt>
                <c:pt idx="12">
                  <c:v>6.9025003860017753</c:v>
                </c:pt>
                <c:pt idx="13">
                  <c:v>8.3276254365198366</c:v>
                </c:pt>
                <c:pt idx="14">
                  <c:v>9.1895601530862514</c:v>
                </c:pt>
                <c:pt idx="15">
                  <c:v>8.7302072225240224</c:v>
                </c:pt>
                <c:pt idx="16">
                  <c:v>8.7736736953095917</c:v>
                </c:pt>
                <c:pt idx="17">
                  <c:v>9.0318505277924501</c:v>
                </c:pt>
                <c:pt idx="18">
                  <c:v>9.5002703254383203</c:v>
                </c:pt>
                <c:pt idx="19">
                  <c:v>9.4418575395007309</c:v>
                </c:pt>
                <c:pt idx="20">
                  <c:v>9.1789199113476716</c:v>
                </c:pt>
                <c:pt idx="21">
                  <c:v>9.2678872906388765</c:v>
                </c:pt>
                <c:pt idx="22">
                  <c:v>8.7030102108382135</c:v>
                </c:pt>
                <c:pt idx="23">
                  <c:v>8.214658689210097</c:v>
                </c:pt>
                <c:pt idx="24">
                  <c:v>7.2179818249720418</c:v>
                </c:pt>
                <c:pt idx="25">
                  <c:v>6.0156336826595158</c:v>
                </c:pt>
                <c:pt idx="26">
                  <c:v>5.3475051163422771</c:v>
                </c:pt>
                <c:pt idx="27">
                  <c:v>5.304290672595191</c:v>
                </c:pt>
                <c:pt idx="28">
                  <c:v>4.277281947969902</c:v>
                </c:pt>
                <c:pt idx="29">
                  <c:v>3.0355887715161955</c:v>
                </c:pt>
                <c:pt idx="30">
                  <c:v>2.3673161429131007</c:v>
                </c:pt>
                <c:pt idx="31">
                  <c:v>1.4687613365900187</c:v>
                </c:pt>
                <c:pt idx="32">
                  <c:v>0.6886199622578637</c:v>
                </c:pt>
                <c:pt idx="33">
                  <c:v>0.46973733340933688</c:v>
                </c:pt>
                <c:pt idx="34">
                  <c:v>0.9909276544723733</c:v>
                </c:pt>
                <c:pt idx="35">
                  <c:v>1.5762155317555759</c:v>
                </c:pt>
                <c:pt idx="36">
                  <c:v>2.3165520616880597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F42-4F7A-8C54-42AED3F6DD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96494152"/>
        <c:axId val="283015448"/>
      </c:lineChart>
      <c:valAx>
        <c:axId val="283015448"/>
        <c:scaling>
          <c:orientation val="minMax"/>
          <c:max val="15"/>
          <c:min val="-6"/>
        </c:scaling>
        <c:delete val="0"/>
        <c:axPos val="l"/>
        <c:numFmt formatCode="0.00" sourceLinked="1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txPr>
          <a:bodyPr/>
          <a:lstStyle/>
          <a:p>
            <a:pPr>
              <a:defRPr b="1"/>
            </a:pPr>
            <a:endParaRPr lang="es-MX"/>
          </a:p>
        </c:txPr>
        <c:crossAx val="596494152"/>
        <c:crossesAt val="1"/>
        <c:crossBetween val="midCat"/>
        <c:majorUnit val="3"/>
      </c:valAx>
      <c:catAx>
        <c:axId val="5964941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 anchor="ctr" anchorCtr="0"/>
          <a:lstStyle/>
          <a:p>
            <a:pPr>
              <a:defRPr sz="700" b="1"/>
            </a:pPr>
            <a:endParaRPr lang="es-MX"/>
          </a:p>
        </c:txPr>
        <c:crossAx val="283015448"/>
        <c:crossesAt val="0"/>
        <c:auto val="1"/>
        <c:lblAlgn val="ctr"/>
        <c:lblOffset val="100"/>
        <c:tickLblSkip val="1"/>
        <c:tickMarkSkip val="1"/>
        <c:noMultiLvlLbl val="1"/>
      </c:catAx>
      <c:spPr>
        <a:noFill/>
        <a:ln w="3175">
          <a:noFill/>
        </a:ln>
      </c:spPr>
    </c:plotArea>
    <c:legend>
      <c:legendPos val="b"/>
      <c:layout>
        <c:manualLayout>
          <c:xMode val="edge"/>
          <c:yMode val="edge"/>
          <c:x val="6.7183730158730165E-2"/>
          <c:y val="0.93491266277289053"/>
          <c:w val="0.87920221746994454"/>
          <c:h val="6.318868965387804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  <a:scene3d>
      <a:camera prst="orthographicFront"/>
      <a:lightRig rig="threePt" dir="t"/>
    </a:scene3d>
    <a:sp3d>
      <a:bevelT w="0" h="0"/>
    </a:sp3d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0.05273</cdr:x>
      <cdr:y>0.90552</cdr:y>
    </cdr:from>
    <cdr:to>
      <cdr:x>0.10346</cdr:x>
      <cdr:y>0.94148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265766" y="2651028"/>
          <a:ext cx="255671" cy="1052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31EFF-6EAC-4FAC-A8B5-93F16AF0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3</TotalTime>
  <Pages>11</Pages>
  <Words>3468</Words>
  <Characters>19078</Characters>
  <Application>Microsoft Office Word</Application>
  <DocSecurity>0</DocSecurity>
  <Lines>158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COMUNICADO DE PRENSA. INDICE NACIONAL DE PRECIOS PRODUCTOR</vt:lpstr>
      <vt:lpstr>COMUNICADO DE PRENSA. INDICE NACIONAL DE PRECIOS PRODUCTOR</vt:lpstr>
    </vt:vector>
  </TitlesOfParts>
  <Company>INEGI</Company>
  <LinksUpToDate>false</LinksUpToDate>
  <CharactersWithSpaces>22501</CharactersWithSpaces>
  <SharedDoc>false</SharedDoc>
  <HLinks>
    <vt:vector size="6" baseType="variant">
      <vt:variant>
        <vt:i4>458824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https://www.inegi.org.mx/programas/inpp/2019/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INDICE NACIONAL DE PRECIOS PRODUCTOR</dc:title>
  <dc:subject/>
  <dc:creator>INEGI</dc:creator>
  <cp:keywords>PRECIOS PRODUCTOR INTERMEDIOS FINALES</cp:keywords>
  <cp:lastModifiedBy>MORONES RUIZ FABIOLA CRISTINA</cp:lastModifiedBy>
  <cp:revision>3</cp:revision>
  <cp:lastPrinted>2023-03-07T19:46:00Z</cp:lastPrinted>
  <dcterms:created xsi:type="dcterms:W3CDTF">2023-11-08T17:54:00Z</dcterms:created>
  <dcterms:modified xsi:type="dcterms:W3CDTF">2023-11-08T17:57:00Z</dcterms:modified>
  <cp:category>INDICES DE PRECIOS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0d9103ab0cbd2e4007388f1cc62a805d89cddacd164b0d18512076ede3e131b4</vt:lpwstr>
  </property>
</Properties>
</file>