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5482" w14:textId="51B3092C" w:rsidR="00A90446" w:rsidRDefault="00A90446" w:rsidP="008E2964">
      <w:pPr>
        <w:spacing w:before="240"/>
        <w:jc w:val="center"/>
        <w:rPr>
          <w:b/>
          <w:bCs/>
          <w:smallCaps/>
          <w:sz w:val="28"/>
          <w:szCs w:val="28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0B85B1" wp14:editId="075CFB8A">
                <wp:simplePos x="0" y="0"/>
                <wp:positionH relativeFrom="margin">
                  <wp:posOffset>3209925</wp:posOffset>
                </wp:positionH>
                <wp:positionV relativeFrom="paragraph">
                  <wp:posOffset>93345</wp:posOffset>
                </wp:positionV>
                <wp:extent cx="3269615" cy="283845"/>
                <wp:effectExtent l="0" t="0" r="6985" b="19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7F38" w14:textId="26AD8A34" w:rsidR="00A90446" w:rsidRPr="00794C57" w:rsidRDefault="00A90446" w:rsidP="00A90446">
                            <w:pPr>
                              <w:jc w:val="right"/>
                            </w:pPr>
                            <w:bookmarkStart w:id="0" w:name="_Hlk130313056"/>
                            <w:bookmarkStart w:id="1" w:name="_Hlk130313057"/>
                            <w:bookmarkStart w:id="2" w:name="_Hlk130313845"/>
                            <w:bookmarkStart w:id="3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19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B85B1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52.75pt;margin-top:7.35pt;width:257.45pt;height:2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" stroked="f">
                <v:textbox>
                  <w:txbxContent>
                    <w:p w14:paraId="3F817F38" w14:textId="26AD8A34" w:rsidR="00A90446" w:rsidRPr="00794C57" w:rsidRDefault="00A90446" w:rsidP="00A90446">
                      <w:pPr>
                        <w:jc w:val="right"/>
                      </w:pPr>
                      <w:bookmarkStart w:id="4" w:name="_Hlk130313056"/>
                      <w:bookmarkStart w:id="5" w:name="_Hlk130313057"/>
                      <w:bookmarkStart w:id="6" w:name="_Hlk130313845"/>
                      <w:bookmarkStart w:id="7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</w:t>
                      </w:r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19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8" w:name="_GoBack"/>
      <w:bookmarkEnd w:id="8"/>
    </w:p>
    <w:p w14:paraId="74D34939" w14:textId="77777777" w:rsidR="00A90446" w:rsidRDefault="00A90446" w:rsidP="008E2964">
      <w:pPr>
        <w:spacing w:before="240"/>
        <w:jc w:val="center"/>
        <w:rPr>
          <w:b/>
          <w:bCs/>
          <w:smallCaps/>
          <w:sz w:val="28"/>
          <w:szCs w:val="28"/>
          <w:lang w:val="es-MX"/>
        </w:rPr>
      </w:pPr>
    </w:p>
    <w:p w14:paraId="503DA98F" w14:textId="6A9BC4A1" w:rsidR="005C2BF1" w:rsidRPr="00A90446" w:rsidRDefault="00FF5EF2" w:rsidP="008E2964">
      <w:pPr>
        <w:spacing w:before="240"/>
        <w:jc w:val="center"/>
        <w:rPr>
          <w:rFonts w:ascii="Arial Negrita" w:hAnsi="Arial Negrita"/>
          <w:b/>
          <w:bCs/>
          <w:caps/>
          <w:szCs w:val="28"/>
          <w:lang w:val="es-MX"/>
        </w:rPr>
      </w:pPr>
      <w:r w:rsidRPr="00A90446">
        <w:rPr>
          <w:rFonts w:ascii="Arial Negrita" w:hAnsi="Arial Negrita"/>
          <w:b/>
          <w:bCs/>
          <w:caps/>
          <w:szCs w:val="28"/>
          <w:lang w:val="es-MX"/>
        </w:rPr>
        <w:t xml:space="preserve">INDICADOR OPORTUNO DE LA ACTIVIDAD ECONÓMICA </w:t>
      </w:r>
    </w:p>
    <w:p w14:paraId="689EB301" w14:textId="0D71C842" w:rsidR="0082401B" w:rsidRPr="00A90446" w:rsidRDefault="003C3B47" w:rsidP="0082401B">
      <w:pPr>
        <w:jc w:val="center"/>
        <w:rPr>
          <w:rFonts w:ascii="Arial Negrita" w:hAnsi="Arial Negrita"/>
          <w:b/>
          <w:caps/>
          <w:sz w:val="22"/>
          <w:szCs w:val="26"/>
          <w:lang w:val="es-MX"/>
        </w:rPr>
      </w:pPr>
      <w:r w:rsidRPr="00A90446">
        <w:rPr>
          <w:rFonts w:ascii="Arial Negrita" w:hAnsi="Arial Negrita"/>
          <w:b/>
          <w:caps/>
          <w:sz w:val="22"/>
          <w:szCs w:val="26"/>
          <w:lang w:val="es-MX"/>
        </w:rPr>
        <w:t>abril</w:t>
      </w:r>
      <w:r w:rsidR="00811E33" w:rsidRPr="00A90446">
        <w:rPr>
          <w:rFonts w:ascii="Arial Negrita" w:hAnsi="Arial Negrita"/>
          <w:b/>
          <w:caps/>
          <w:sz w:val="22"/>
          <w:szCs w:val="26"/>
          <w:lang w:val="es-MX"/>
        </w:rPr>
        <w:t xml:space="preserve"> de </w:t>
      </w:r>
      <w:r w:rsidR="00594AE4" w:rsidRPr="00A90446">
        <w:rPr>
          <w:rFonts w:ascii="Arial Negrita" w:hAnsi="Arial Negrita"/>
          <w:b/>
          <w:caps/>
          <w:sz w:val="22"/>
          <w:szCs w:val="26"/>
          <w:lang w:val="es-MX"/>
        </w:rPr>
        <w:t>2023</w:t>
      </w:r>
    </w:p>
    <w:p w14:paraId="1BF1BFEB" w14:textId="2F548215" w:rsidR="002A526B" w:rsidRPr="00A90446" w:rsidRDefault="002A526B" w:rsidP="00A90446">
      <w:pPr>
        <w:pStyle w:val="bullet"/>
        <w:keepLines w:val="0"/>
        <w:spacing w:before="360" w:after="0"/>
        <w:ind w:left="0" w:right="51" w:firstLine="0"/>
        <w:rPr>
          <w:b w:val="0"/>
          <w:color w:val="auto"/>
          <w:spacing w:val="0"/>
          <w:szCs w:val="22"/>
        </w:rPr>
      </w:pPr>
      <w:r w:rsidRPr="00A90446">
        <w:rPr>
          <w:b w:val="0"/>
          <w:color w:val="auto"/>
          <w:spacing w:val="0"/>
          <w:szCs w:val="22"/>
        </w:rPr>
        <w:t xml:space="preserve">En </w:t>
      </w:r>
      <w:r w:rsidR="003C3B47" w:rsidRPr="00A90446">
        <w:rPr>
          <w:b w:val="0"/>
          <w:color w:val="auto"/>
          <w:spacing w:val="0"/>
          <w:szCs w:val="22"/>
        </w:rPr>
        <w:t>abril</w:t>
      </w:r>
      <w:r w:rsidRPr="00A90446">
        <w:rPr>
          <w:b w:val="0"/>
          <w:color w:val="auto"/>
          <w:spacing w:val="0"/>
          <w:szCs w:val="22"/>
        </w:rPr>
        <w:t xml:space="preserve"> de 202</w:t>
      </w:r>
      <w:r w:rsidR="00594AE4" w:rsidRPr="00A90446">
        <w:rPr>
          <w:b w:val="0"/>
          <w:color w:val="auto"/>
          <w:spacing w:val="0"/>
          <w:szCs w:val="22"/>
        </w:rPr>
        <w:t>3</w:t>
      </w:r>
      <w:r w:rsidRPr="00A90446">
        <w:rPr>
          <w:b w:val="0"/>
          <w:color w:val="auto"/>
          <w:spacing w:val="0"/>
          <w:szCs w:val="22"/>
        </w:rPr>
        <w:t xml:space="preserve"> y a tasa anual, el Indicador Oportuno de la Actividad Económica (IOAE) anticipa un aumento de</w:t>
      </w:r>
      <w:r w:rsidR="00416B47" w:rsidRPr="00A90446">
        <w:rPr>
          <w:b w:val="0"/>
          <w:color w:val="auto"/>
          <w:spacing w:val="0"/>
          <w:szCs w:val="22"/>
        </w:rPr>
        <w:t xml:space="preserve"> </w:t>
      </w:r>
      <w:r w:rsidR="003C3B47" w:rsidRPr="00A90446">
        <w:rPr>
          <w:b w:val="0"/>
          <w:color w:val="auto"/>
          <w:spacing w:val="0"/>
          <w:szCs w:val="22"/>
        </w:rPr>
        <w:t>2.6</w:t>
      </w:r>
      <w:r w:rsidR="00F40EEA" w:rsidRPr="00A90446">
        <w:rPr>
          <w:b w:val="0"/>
          <w:color w:val="auto"/>
          <w:spacing w:val="0"/>
          <w:szCs w:val="22"/>
        </w:rPr>
        <w:t> </w:t>
      </w:r>
      <w:r w:rsidR="00416B47" w:rsidRPr="00A90446">
        <w:rPr>
          <w:b w:val="0"/>
          <w:color w:val="auto"/>
          <w:spacing w:val="0"/>
          <w:szCs w:val="22"/>
        </w:rPr>
        <w:t xml:space="preserve">% del </w:t>
      </w:r>
      <w:r w:rsidRPr="00A90446">
        <w:rPr>
          <w:b w:val="0"/>
          <w:color w:val="auto"/>
          <w:spacing w:val="0"/>
          <w:szCs w:val="22"/>
        </w:rPr>
        <w:t>Indicador Global de la Actividad Económica (IGAE)</w:t>
      </w:r>
      <w:r w:rsidR="00416B47" w:rsidRPr="00A90446">
        <w:rPr>
          <w:b w:val="0"/>
          <w:color w:val="auto"/>
          <w:spacing w:val="0"/>
          <w:szCs w:val="22"/>
        </w:rPr>
        <w:t>.</w:t>
      </w:r>
    </w:p>
    <w:p w14:paraId="2ABA5975" w14:textId="30D3434A" w:rsidR="007D240D" w:rsidRPr="00A90446" w:rsidRDefault="007D240D" w:rsidP="00A90446">
      <w:pPr>
        <w:pStyle w:val="bullet"/>
        <w:keepLines w:val="0"/>
        <w:spacing w:before="360" w:after="0"/>
        <w:ind w:left="0" w:right="51" w:firstLine="0"/>
        <w:rPr>
          <w:b w:val="0"/>
          <w:color w:val="auto"/>
          <w:spacing w:val="0"/>
          <w:szCs w:val="22"/>
        </w:rPr>
      </w:pPr>
      <w:r w:rsidRPr="00A90446">
        <w:rPr>
          <w:b w:val="0"/>
          <w:color w:val="auto"/>
          <w:spacing w:val="0"/>
          <w:szCs w:val="22"/>
        </w:rPr>
        <w:t xml:space="preserve">La variación anual esperada </w:t>
      </w:r>
      <w:r w:rsidR="00C820FC" w:rsidRPr="00A90446">
        <w:rPr>
          <w:b w:val="0"/>
          <w:color w:val="auto"/>
          <w:spacing w:val="0"/>
          <w:szCs w:val="22"/>
        </w:rPr>
        <w:t>en</w:t>
      </w:r>
      <w:r w:rsidRPr="00A90446">
        <w:rPr>
          <w:b w:val="0"/>
          <w:color w:val="auto"/>
          <w:spacing w:val="0"/>
          <w:szCs w:val="22"/>
        </w:rPr>
        <w:t xml:space="preserve"> las </w:t>
      </w:r>
      <w:r w:rsidR="007D1A71" w:rsidRPr="00A90446">
        <w:rPr>
          <w:b w:val="0"/>
          <w:color w:val="auto"/>
          <w:spacing w:val="0"/>
          <w:szCs w:val="22"/>
        </w:rPr>
        <w:t>a</w:t>
      </w:r>
      <w:r w:rsidRPr="00A90446">
        <w:rPr>
          <w:b w:val="0"/>
          <w:color w:val="auto"/>
          <w:spacing w:val="0"/>
          <w:szCs w:val="22"/>
        </w:rPr>
        <w:t xml:space="preserve">ctividades </w:t>
      </w:r>
      <w:r w:rsidR="007D1A71" w:rsidRPr="00A90446">
        <w:rPr>
          <w:b w:val="0"/>
          <w:color w:val="auto"/>
          <w:spacing w:val="0"/>
          <w:szCs w:val="22"/>
        </w:rPr>
        <w:t>s</w:t>
      </w:r>
      <w:r w:rsidRPr="00A90446">
        <w:rPr>
          <w:b w:val="0"/>
          <w:color w:val="auto"/>
          <w:spacing w:val="0"/>
          <w:szCs w:val="22"/>
        </w:rPr>
        <w:t>ecundarias</w:t>
      </w:r>
      <w:r w:rsidR="00416B47" w:rsidRPr="00A90446">
        <w:rPr>
          <w:b w:val="0"/>
          <w:color w:val="auto"/>
          <w:spacing w:val="0"/>
          <w:szCs w:val="22"/>
        </w:rPr>
        <w:t xml:space="preserve"> </w:t>
      </w:r>
      <w:r w:rsidRPr="00A90446">
        <w:rPr>
          <w:b w:val="0"/>
          <w:color w:val="auto"/>
          <w:spacing w:val="0"/>
          <w:szCs w:val="22"/>
        </w:rPr>
        <w:t>es</w:t>
      </w:r>
      <w:r w:rsidR="00280A02" w:rsidRPr="00A90446">
        <w:rPr>
          <w:b w:val="0"/>
          <w:color w:val="auto"/>
          <w:spacing w:val="0"/>
          <w:szCs w:val="22"/>
        </w:rPr>
        <w:t xml:space="preserve"> </w:t>
      </w:r>
      <w:r w:rsidR="00FC3BE7" w:rsidRPr="00A90446">
        <w:rPr>
          <w:b w:val="0"/>
          <w:color w:val="auto"/>
          <w:spacing w:val="0"/>
          <w:szCs w:val="22"/>
        </w:rPr>
        <w:t xml:space="preserve">de </w:t>
      </w:r>
      <w:r w:rsidRPr="00A90446">
        <w:rPr>
          <w:b w:val="0"/>
          <w:color w:val="auto"/>
          <w:spacing w:val="0"/>
          <w:szCs w:val="22"/>
        </w:rPr>
        <w:t xml:space="preserve">un incremento de </w:t>
      </w:r>
      <w:r w:rsidR="003C3B47" w:rsidRPr="00A90446">
        <w:rPr>
          <w:b w:val="0"/>
          <w:color w:val="auto"/>
          <w:spacing w:val="0"/>
          <w:szCs w:val="22"/>
        </w:rPr>
        <w:t>1.7</w:t>
      </w:r>
      <w:r w:rsidR="00C52734" w:rsidRPr="00A90446">
        <w:rPr>
          <w:b w:val="0"/>
          <w:color w:val="auto"/>
          <w:spacing w:val="0"/>
          <w:szCs w:val="22"/>
        </w:rPr>
        <w:t> </w:t>
      </w:r>
      <w:r w:rsidRPr="00A90446">
        <w:rPr>
          <w:b w:val="0"/>
          <w:color w:val="auto"/>
          <w:spacing w:val="0"/>
          <w:szCs w:val="22"/>
        </w:rPr>
        <w:t>% y</w:t>
      </w:r>
      <w:r w:rsidR="00C40590" w:rsidRPr="00A90446">
        <w:rPr>
          <w:b w:val="0"/>
          <w:color w:val="auto"/>
          <w:spacing w:val="0"/>
          <w:szCs w:val="22"/>
        </w:rPr>
        <w:t xml:space="preserve"> en las terciar</w:t>
      </w:r>
      <w:r w:rsidR="00C017AA" w:rsidRPr="00A90446">
        <w:rPr>
          <w:b w:val="0"/>
          <w:color w:val="auto"/>
          <w:spacing w:val="0"/>
          <w:szCs w:val="22"/>
        </w:rPr>
        <w:t>ias,</w:t>
      </w:r>
      <w:r w:rsidRPr="00A90446">
        <w:rPr>
          <w:b w:val="0"/>
          <w:color w:val="auto"/>
          <w:spacing w:val="0"/>
          <w:szCs w:val="22"/>
        </w:rPr>
        <w:t xml:space="preserve"> </w:t>
      </w:r>
      <w:r w:rsidR="005B30BC" w:rsidRPr="00A90446">
        <w:rPr>
          <w:b w:val="0"/>
          <w:color w:val="auto"/>
          <w:spacing w:val="0"/>
          <w:szCs w:val="22"/>
        </w:rPr>
        <w:t xml:space="preserve">de </w:t>
      </w:r>
      <w:r w:rsidR="0097361C" w:rsidRPr="00A90446">
        <w:rPr>
          <w:b w:val="0"/>
          <w:color w:val="auto"/>
          <w:spacing w:val="0"/>
          <w:szCs w:val="22"/>
        </w:rPr>
        <w:t>2</w:t>
      </w:r>
      <w:r w:rsidR="003C3B47" w:rsidRPr="00A90446">
        <w:rPr>
          <w:b w:val="0"/>
          <w:color w:val="auto"/>
          <w:spacing w:val="0"/>
          <w:szCs w:val="22"/>
        </w:rPr>
        <w:t>.8 </w:t>
      </w:r>
      <w:r w:rsidR="005B30BC" w:rsidRPr="00A90446">
        <w:rPr>
          <w:b w:val="0"/>
          <w:color w:val="auto"/>
          <w:spacing w:val="0"/>
          <w:szCs w:val="22"/>
        </w:rPr>
        <w:t>%</w:t>
      </w:r>
      <w:r w:rsidR="004F72BC" w:rsidRPr="00A90446">
        <w:rPr>
          <w:b w:val="0"/>
          <w:color w:val="auto"/>
          <w:spacing w:val="0"/>
          <w:szCs w:val="22"/>
        </w:rPr>
        <w:t>,</w:t>
      </w:r>
      <w:r w:rsidR="00416B47" w:rsidRPr="00A90446">
        <w:rPr>
          <w:b w:val="0"/>
          <w:color w:val="auto"/>
          <w:spacing w:val="0"/>
          <w:szCs w:val="22"/>
        </w:rPr>
        <w:t xml:space="preserve"> </w:t>
      </w:r>
      <w:r w:rsidR="00917703" w:rsidRPr="00A90446">
        <w:rPr>
          <w:b w:val="0"/>
          <w:color w:val="auto"/>
          <w:spacing w:val="0"/>
          <w:szCs w:val="22"/>
        </w:rPr>
        <w:t xml:space="preserve">para </w:t>
      </w:r>
      <w:r w:rsidR="003C3B47" w:rsidRPr="00A90446">
        <w:rPr>
          <w:b w:val="0"/>
          <w:color w:val="auto"/>
          <w:spacing w:val="0"/>
          <w:szCs w:val="22"/>
        </w:rPr>
        <w:t>abril</w:t>
      </w:r>
      <w:r w:rsidR="00416B47" w:rsidRPr="00A90446">
        <w:rPr>
          <w:b w:val="0"/>
          <w:color w:val="auto"/>
          <w:spacing w:val="0"/>
          <w:szCs w:val="22"/>
        </w:rPr>
        <w:t xml:space="preserve"> de 202</w:t>
      </w:r>
      <w:r w:rsidR="00594AE4" w:rsidRPr="00A90446">
        <w:rPr>
          <w:b w:val="0"/>
          <w:color w:val="auto"/>
          <w:spacing w:val="0"/>
          <w:szCs w:val="22"/>
        </w:rPr>
        <w:t>3</w:t>
      </w:r>
      <w:r w:rsidR="00416B47" w:rsidRPr="00A90446">
        <w:rPr>
          <w:b w:val="0"/>
          <w:color w:val="auto"/>
          <w:spacing w:val="0"/>
          <w:szCs w:val="22"/>
        </w:rPr>
        <w:t>.</w:t>
      </w:r>
    </w:p>
    <w:p w14:paraId="2860179B" w14:textId="4767F038" w:rsidR="00343D33" w:rsidRDefault="00594AE4" w:rsidP="00594AE4">
      <w:pPr>
        <w:spacing w:before="480"/>
        <w:rPr>
          <w:lang w:val="es-MX"/>
        </w:rPr>
      </w:pPr>
      <w:r w:rsidRPr="00343D33">
        <w:rPr>
          <w:lang w:val="es-MX"/>
        </w:rPr>
        <w:t xml:space="preserve">Para </w:t>
      </w:r>
      <w:r w:rsidR="003C3B47">
        <w:rPr>
          <w:lang w:val="es-MX"/>
        </w:rPr>
        <w:t>abril</w:t>
      </w:r>
      <w:r w:rsidRPr="00594AE4">
        <w:rPr>
          <w:lang w:val="es-MX"/>
        </w:rPr>
        <w:t xml:space="preserve"> de 2023,</w:t>
      </w:r>
      <w:r w:rsidRPr="00343D33">
        <w:rPr>
          <w:lang w:val="es-MX"/>
        </w:rPr>
        <w:t xml:space="preserve"> el IOAE estima una variación</w:t>
      </w:r>
      <w:r>
        <w:rPr>
          <w:lang w:val="es-MX"/>
        </w:rPr>
        <w:t xml:space="preserve"> </w:t>
      </w:r>
      <w:r w:rsidRPr="00A84E37">
        <w:rPr>
          <w:lang w:val="es-MX"/>
        </w:rPr>
        <w:t xml:space="preserve">de </w:t>
      </w:r>
      <w:r w:rsidR="003C3B47">
        <w:rPr>
          <w:lang w:val="es-MX"/>
        </w:rPr>
        <w:t>2.6 </w:t>
      </w:r>
      <w:r w:rsidRPr="00A84E37">
        <w:rPr>
          <w:lang w:val="es-MX"/>
        </w:rPr>
        <w:t>% a tasa anual del IGAE.</w:t>
      </w:r>
      <w:r w:rsidR="00A90446">
        <w:rPr>
          <w:lang w:val="es-MX"/>
        </w:rPr>
        <w:t xml:space="preserve"> </w:t>
      </w:r>
      <w:r w:rsidRPr="00A84E37">
        <w:rPr>
          <w:lang w:val="es-MX"/>
        </w:rPr>
        <w:t>Las estimaciones realizadas presentan sus respectivos intervalos de confianza a 95</w:t>
      </w:r>
      <w:r w:rsidR="004A6C9D">
        <w:rPr>
          <w:lang w:val="es-MX"/>
        </w:rPr>
        <w:t> </w:t>
      </w:r>
      <w:r w:rsidRPr="00A84E37">
        <w:rPr>
          <w:lang w:val="es-MX"/>
        </w:rPr>
        <w:t xml:space="preserve">% para los meses de </w:t>
      </w:r>
      <w:r w:rsidR="00A023C5" w:rsidRPr="00A84E37">
        <w:rPr>
          <w:lang w:val="es-MX"/>
        </w:rPr>
        <w:t>marzo</w:t>
      </w:r>
      <w:r w:rsidR="003C3B47">
        <w:rPr>
          <w:lang w:val="es-MX"/>
        </w:rPr>
        <w:t xml:space="preserve"> y abril</w:t>
      </w:r>
      <w:r w:rsidR="00A023C5" w:rsidRPr="00A84E37">
        <w:rPr>
          <w:lang w:val="es-MX"/>
        </w:rPr>
        <w:t xml:space="preserve"> </w:t>
      </w:r>
      <w:r w:rsidRPr="00A84E37">
        <w:rPr>
          <w:lang w:val="es-MX"/>
        </w:rPr>
        <w:t xml:space="preserve">de 2023. En el mes de referencia, para los grandes sectores de actividad del IGAE, se calcula un incremento anual de </w:t>
      </w:r>
      <w:r w:rsidR="003C3B47">
        <w:rPr>
          <w:lang w:val="es-MX"/>
        </w:rPr>
        <w:t>1.7 </w:t>
      </w:r>
      <w:r w:rsidRPr="00A84E37">
        <w:rPr>
          <w:lang w:val="es-MX"/>
        </w:rPr>
        <w:t xml:space="preserve">% en las actividades secundarias y de </w:t>
      </w:r>
      <w:r w:rsidR="0097361C" w:rsidRPr="00A84E37">
        <w:rPr>
          <w:lang w:val="es-MX"/>
        </w:rPr>
        <w:t>2</w:t>
      </w:r>
      <w:r w:rsidR="003C3B47">
        <w:rPr>
          <w:lang w:val="es-MX"/>
        </w:rPr>
        <w:t>.8 </w:t>
      </w:r>
      <w:r w:rsidRPr="00A84E37">
        <w:rPr>
          <w:lang w:val="es-MX"/>
        </w:rPr>
        <w:t>% en las terciarias. Las estimaciones se refieren a cifras desestacionalizadas.</w:t>
      </w:r>
    </w:p>
    <w:p w14:paraId="2B7D9A91" w14:textId="77777777" w:rsidR="00A90446" w:rsidRDefault="00A90446" w:rsidP="00970261">
      <w:pPr>
        <w:pStyle w:val="Titcuadrograf"/>
        <w:ind w:left="0"/>
        <w:rPr>
          <w:sz w:val="22"/>
          <w:szCs w:val="22"/>
        </w:rPr>
      </w:pPr>
    </w:p>
    <w:p w14:paraId="2CDBD563" w14:textId="77777777" w:rsidR="00A90446" w:rsidRDefault="00A90446" w:rsidP="00970261">
      <w:pPr>
        <w:pStyle w:val="Titcuadrograf"/>
        <w:ind w:left="0"/>
        <w:rPr>
          <w:sz w:val="22"/>
          <w:szCs w:val="22"/>
        </w:rPr>
      </w:pPr>
    </w:p>
    <w:p w14:paraId="41591E20" w14:textId="0B6E9877" w:rsidR="00970261" w:rsidRPr="00E15E72" w:rsidRDefault="00970261" w:rsidP="00970261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2E581E0" w14:textId="7FC3465E" w:rsidR="00970261" w:rsidRPr="001622CD" w:rsidRDefault="00177AEC" w:rsidP="00970261">
      <w:pPr>
        <w:pStyle w:val="Titcuadrograf"/>
        <w:ind w:left="0"/>
        <w:rPr>
          <w:bCs/>
          <w:sz w:val="22"/>
          <w:szCs w:val="22"/>
        </w:rPr>
      </w:pPr>
      <w:r w:rsidRPr="00177AEC">
        <w:rPr>
          <w:bCs/>
          <w:sz w:val="20"/>
          <w:szCs w:val="20"/>
        </w:rPr>
        <w:t>m</w:t>
      </w:r>
      <w:r w:rsidR="00970261" w:rsidRPr="00177AEC">
        <w:rPr>
          <w:bCs/>
          <w:sz w:val="20"/>
          <w:szCs w:val="20"/>
        </w:rPr>
        <w:t>odelos estimados con series desestacionalizadas</w:t>
      </w:r>
    </w:p>
    <w:p w14:paraId="4FA4AFE6" w14:textId="77777777" w:rsidR="007962D0" w:rsidRPr="00F14FF8" w:rsidRDefault="00970261" w:rsidP="007962D0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7962D0" w:rsidRPr="0020223F" w14:paraId="16C70E6D" w14:textId="77777777" w:rsidTr="003C3B47">
        <w:trPr>
          <w:trHeight w:val="393"/>
          <w:jc w:val="center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FCDDF2" w14:textId="6EBB9D0C" w:rsidR="007962D0" w:rsidRPr="00862F95" w:rsidRDefault="004F72BC" w:rsidP="00081519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Periodo</w:t>
            </w:r>
            <w:r w:rsidR="007962D0" w:rsidRPr="00862F95">
              <w:rPr>
                <w:color w:val="000000"/>
                <w:sz w:val="16"/>
                <w:szCs w:val="16"/>
                <w:lang w:eastAsia="es-MX"/>
              </w:rPr>
              <w:t xml:space="preserve"> de referencia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DB937D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B5DE9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428A823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7962D0" w:rsidRPr="0020223F" w14:paraId="28960919" w14:textId="77777777" w:rsidTr="003C3B47">
        <w:trPr>
          <w:trHeight w:val="411"/>
          <w:jc w:val="center"/>
        </w:trPr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D81188D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8D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65FD61" w14:textId="77777777" w:rsidR="007962D0" w:rsidRPr="00C36079" w:rsidRDefault="007962D0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EB545C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B64D3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BBC8AFF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2D40EF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2210B08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8B115A4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EFE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526268" w14:textId="77777777" w:rsidR="007962D0" w:rsidRPr="00862F95" w:rsidRDefault="007962D0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3C3B47" w:rsidRPr="0020223F" w14:paraId="1FC8FAFC" w14:textId="77777777" w:rsidTr="003C3B47">
        <w:trPr>
          <w:trHeight w:val="393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B57" w14:textId="12B77169" w:rsidR="003C3B47" w:rsidRPr="003C3B47" w:rsidRDefault="003C3B47" w:rsidP="003C3B47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Marzo de 2023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987B" w14:textId="1F7B4E00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24A" w14:textId="46E4BA43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3.2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3EEC" w14:textId="27E7B492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4.3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9CCDD" w14:textId="77777777" w:rsidR="003C3B47" w:rsidRPr="003C3B47" w:rsidRDefault="003C3B47" w:rsidP="003C3B47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7B1" w14:textId="4CB48C61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1.5*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94DFD" w14:textId="77777777" w:rsidR="003C3B47" w:rsidRPr="003C3B47" w:rsidRDefault="003C3B47" w:rsidP="003C3B47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B0D5" w14:textId="7E233050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9D7FD" w14:textId="7CACDCBD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3.9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4FBB16" w14:textId="42E8C5CB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5.1</w:t>
            </w:r>
          </w:p>
        </w:tc>
      </w:tr>
      <w:tr w:rsidR="003C3B47" w:rsidRPr="0020223F" w14:paraId="264A7EAE" w14:textId="77777777" w:rsidTr="003C3B47">
        <w:trPr>
          <w:trHeight w:val="411"/>
          <w:jc w:val="center"/>
        </w:trPr>
        <w:tc>
          <w:tcPr>
            <w:tcW w:w="12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14DAA" w14:textId="40C64743" w:rsidR="003C3B47" w:rsidRPr="003C3B47" w:rsidRDefault="003C3B47" w:rsidP="003C3B47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Abril de 2023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74D5" w14:textId="1040FEC8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1.7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CE" w14:textId="10B04821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2.6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54B" w14:textId="073158EC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3.5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7F7A" w14:textId="5ADB21DF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-0.6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BC2" w14:textId="1960AD20" w:rsidR="003C3B47" w:rsidRPr="003C3B47" w:rsidRDefault="003C3B47" w:rsidP="003C3B47">
            <w:pPr>
              <w:widowControl w:val="0"/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1.7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368" w14:textId="67DE3B03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4.0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FE621" w14:textId="115A7175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1.7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68AA" w14:textId="26D291AF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2.8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  <w:vAlign w:val="center"/>
          </w:tcPr>
          <w:p w14:paraId="12281216" w14:textId="62BB489D" w:rsidR="003C3B47" w:rsidRPr="003C3B47" w:rsidRDefault="003C3B47" w:rsidP="003C3B47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4.0</w:t>
            </w:r>
          </w:p>
        </w:tc>
      </w:tr>
    </w:tbl>
    <w:p w14:paraId="46917988" w14:textId="77777777" w:rsidR="00F40EEA" w:rsidRPr="00D5238C" w:rsidRDefault="00F40EEA" w:rsidP="00A90446">
      <w:pPr>
        <w:pStyle w:val="pie"/>
        <w:spacing w:after="0"/>
        <w:ind w:left="993" w:right="476" w:hanging="567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6D455660" w14:textId="54538D9B" w:rsidR="00970261" w:rsidRDefault="00970261" w:rsidP="00A90446">
      <w:pPr>
        <w:pStyle w:val="pie"/>
        <w:spacing w:after="0"/>
        <w:ind w:left="993" w:right="476" w:hanging="567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</w:t>
      </w:r>
      <w:r w:rsidR="00AB6BAA">
        <w:rPr>
          <w:lang w:val="es-MX"/>
        </w:rPr>
        <w:t xml:space="preserve"> —en </w:t>
      </w:r>
      <w:r>
        <w:rPr>
          <w:lang w:val="es-MX"/>
        </w:rPr>
        <w:t>este caso</w:t>
      </w:r>
      <w:r w:rsidR="00C01745">
        <w:rPr>
          <w:lang w:val="es-MX"/>
        </w:rPr>
        <w:t>,</w:t>
      </w:r>
      <w:r>
        <w:rPr>
          <w:lang w:val="es-MX"/>
        </w:rPr>
        <w:t xml:space="preserve"> el I</w:t>
      </w:r>
      <w:r w:rsidR="007D1A71">
        <w:rPr>
          <w:lang w:val="es-MX"/>
        </w:rPr>
        <w:t xml:space="preserve">ndicador </w:t>
      </w:r>
      <w:r>
        <w:rPr>
          <w:lang w:val="es-MX"/>
        </w:rPr>
        <w:t>G</w:t>
      </w:r>
      <w:r w:rsidR="007D1A71">
        <w:rPr>
          <w:lang w:val="es-MX"/>
        </w:rPr>
        <w:t xml:space="preserve">lobal de la </w:t>
      </w:r>
      <w:r>
        <w:rPr>
          <w:lang w:val="es-MX"/>
        </w:rPr>
        <w:t>A</w:t>
      </w:r>
      <w:r w:rsidR="007D1A71">
        <w:rPr>
          <w:lang w:val="es-MX"/>
        </w:rPr>
        <w:t xml:space="preserve">ctividad </w:t>
      </w:r>
      <w:r>
        <w:rPr>
          <w:lang w:val="es-MX"/>
        </w:rPr>
        <w:t>E</w:t>
      </w:r>
      <w:r w:rsidR="007D1A71">
        <w:rPr>
          <w:lang w:val="es-MX"/>
        </w:rPr>
        <w:t>conómica (IGAE)</w:t>
      </w:r>
      <w:r w:rsidR="00AB6BAA">
        <w:rPr>
          <w:lang w:val="es-MX"/>
        </w:rPr>
        <w:t xml:space="preserve">— y </w:t>
      </w:r>
      <w:r>
        <w:rPr>
          <w:lang w:val="es-MX"/>
        </w:rPr>
        <w:t>otras variables más oportunas que e</w:t>
      </w:r>
      <w:r w:rsidR="00AB6BAA">
        <w:rPr>
          <w:lang w:val="es-MX"/>
        </w:rPr>
        <w:t>st</w:t>
      </w:r>
      <w:r>
        <w:rPr>
          <w:lang w:val="es-MX"/>
        </w:rPr>
        <w:t>a.</w:t>
      </w:r>
    </w:p>
    <w:p w14:paraId="180F9970" w14:textId="0DBEC807" w:rsidR="00970261" w:rsidRPr="00D5238C" w:rsidRDefault="00970261" w:rsidP="00A90446">
      <w:pPr>
        <w:pStyle w:val="pie"/>
        <w:spacing w:after="0"/>
        <w:ind w:left="993" w:right="476" w:hanging="567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 w:rsidR="005736E5">
        <w:rPr>
          <w:lang w:val="es-MX"/>
        </w:rPr>
        <w:t xml:space="preserve"> </w:t>
      </w:r>
      <w:r w:rsidR="005736E5" w:rsidRPr="005736E5">
        <w:rPr>
          <w:lang w:val="es-MX"/>
        </w:rPr>
        <w:t>según el Indicador Mensual de la Actividad Industrial</w:t>
      </w:r>
      <w:r w:rsidR="00E6119A">
        <w:rPr>
          <w:lang w:val="es-MX"/>
        </w:rPr>
        <w:t>.</w:t>
      </w:r>
    </w:p>
    <w:p w14:paraId="65E67899" w14:textId="3760B023" w:rsidR="00970261" w:rsidRDefault="00970261" w:rsidP="00A90446">
      <w:pPr>
        <w:pStyle w:val="pie"/>
        <w:ind w:left="851" w:right="476" w:hanging="425"/>
        <w:rPr>
          <w:lang w:val="es-MX"/>
        </w:rPr>
      </w:pPr>
      <w:r w:rsidRPr="00D5238C">
        <w:rPr>
          <w:lang w:val="es-MX"/>
        </w:rPr>
        <w:t>Fuente: INEGI</w:t>
      </w:r>
    </w:p>
    <w:p w14:paraId="2890E060" w14:textId="77777777" w:rsidR="00A90446" w:rsidRDefault="00A90446" w:rsidP="00A90446">
      <w:pPr>
        <w:spacing w:before="720"/>
        <w:rPr>
          <w:lang w:val="es-MX"/>
        </w:rPr>
      </w:pPr>
    </w:p>
    <w:p w14:paraId="2EFDBB8D" w14:textId="77777777" w:rsidR="00A90446" w:rsidRPr="00AD7286" w:rsidRDefault="00A90446" w:rsidP="00A90446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5710DB26" w14:textId="77777777" w:rsidR="00A90446" w:rsidRDefault="00A90446" w:rsidP="00A9044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3CB43339" w14:textId="77777777" w:rsidR="00A90446" w:rsidRPr="00653B38" w:rsidRDefault="00A90446" w:rsidP="00A9044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81DD331" w14:textId="77777777" w:rsidR="00A90446" w:rsidRPr="00E42BFD" w:rsidRDefault="00A90446" w:rsidP="00A9044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5B3BF590" w14:textId="77777777" w:rsidR="00A90446" w:rsidRPr="000C3230" w:rsidRDefault="00A90446" w:rsidP="00A9044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256304A" w14:textId="77777777" w:rsidR="00A90446" w:rsidRDefault="00A90446" w:rsidP="00A90446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A90446" w:rsidSect="00A90446">
          <w:headerReference w:type="default" r:id="rId9"/>
          <w:footerReference w:type="default" r:id="rId10"/>
          <w:pgSz w:w="12242" w:h="15842" w:code="1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434A6370" wp14:editId="17D58513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55EE505" wp14:editId="5484D6B8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72E2BE3" wp14:editId="11564B2E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68EE187" wp14:editId="226ECC44">
            <wp:extent cx="365760" cy="365760"/>
            <wp:effectExtent l="0" t="0" r="0" b="0"/>
            <wp:docPr id="1975371287" name="Imagen 1975371287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F9F067A" wp14:editId="62C82B85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0E0F" w14:textId="77777777" w:rsidR="009504C3" w:rsidRDefault="009504C3" w:rsidP="00A90446">
      <w:pPr>
        <w:pStyle w:val="Profesin"/>
        <w:outlineLvl w:val="0"/>
        <w:rPr>
          <w:sz w:val="24"/>
          <w:szCs w:val="24"/>
          <w:lang w:val="es-MX"/>
        </w:rPr>
      </w:pPr>
    </w:p>
    <w:p w14:paraId="3869207D" w14:textId="161D2E83" w:rsidR="00A90446" w:rsidRDefault="00A90446" w:rsidP="00A90446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22A06E05" w14:textId="77777777" w:rsidR="00A90446" w:rsidRDefault="00A90446" w:rsidP="00A90446">
      <w:pPr>
        <w:pStyle w:val="Profesin"/>
        <w:outlineLvl w:val="0"/>
        <w:rPr>
          <w:sz w:val="24"/>
          <w:szCs w:val="24"/>
          <w:lang w:val="es-MX"/>
        </w:rPr>
      </w:pPr>
    </w:p>
    <w:p w14:paraId="4311BC64" w14:textId="0739EAF9" w:rsidR="00A90446" w:rsidRDefault="00A90446" w:rsidP="00A90446">
      <w:pPr>
        <w:rPr>
          <w:lang w:val="es-MX"/>
        </w:rPr>
      </w:pPr>
      <w:r w:rsidRPr="00A90446">
        <w:rPr>
          <w:lang w:val="es-MX"/>
        </w:rPr>
        <w:t>El Indicador Oportuno de la Actividad Económica (IOAE) perm</w:t>
      </w:r>
      <w:r w:rsidRPr="0B50D185">
        <w:rPr>
          <w:lang w:val="es-MX"/>
        </w:rPr>
        <w:t xml:space="preserve">ite contar con estimaciones </w:t>
      </w:r>
      <w:r>
        <w:t xml:space="preserve">econométricas oportunas sobre la evolución del </w:t>
      </w:r>
      <w:r w:rsidRPr="0B50D185">
        <w:rPr>
          <w:lang w:val="es-MX"/>
        </w:rPr>
        <w:t>Indicador Global de la Actividad Económica (IGAE)</w:t>
      </w:r>
      <w:r>
        <w:t xml:space="preserve">. Así, </w:t>
      </w:r>
      <w:r w:rsidRPr="0B50D185">
        <w:rPr>
          <w:lang w:val="es-MX"/>
        </w:rPr>
        <w:t>mientras que el IGAE y sus actividades económicas se dan a conocer aproximadamente ocho semanas después de terminado el mes de referencia, el IOAE presenta sus estimaciones apenas tres semanas después del cierre del mes</w:t>
      </w:r>
      <w:r>
        <w:rPr>
          <w:lang w:val="es-MX"/>
        </w:rPr>
        <w:t xml:space="preserve">. Con esto, se adelanta </w:t>
      </w:r>
      <w:r w:rsidRPr="0B50D185">
        <w:rPr>
          <w:lang w:val="es-MX"/>
        </w:rPr>
        <w:t>cinco semanas a la publicación de los datos oficiales.</w:t>
      </w:r>
    </w:p>
    <w:p w14:paraId="1C38E685" w14:textId="77777777" w:rsidR="00A90446" w:rsidRDefault="00A90446" w:rsidP="00A90446">
      <w:pPr>
        <w:rPr>
          <w:lang w:val="es-MX"/>
        </w:rPr>
      </w:pPr>
    </w:p>
    <w:p w14:paraId="1A751AAD" w14:textId="3AC196A6" w:rsidR="00A90446" w:rsidRDefault="00A90446" w:rsidP="00A90446">
      <w:pPr>
        <w:rPr>
          <w:lang w:val="es-MX"/>
        </w:rPr>
      </w:pPr>
      <w:r w:rsidRPr="00343D33">
        <w:rPr>
          <w:lang w:val="es-MX"/>
        </w:rPr>
        <w:t xml:space="preserve">Para </w:t>
      </w:r>
      <w:r>
        <w:rPr>
          <w:lang w:val="es-MX"/>
        </w:rPr>
        <w:t>abril</w:t>
      </w:r>
      <w:r w:rsidRPr="00594AE4">
        <w:rPr>
          <w:lang w:val="es-MX"/>
        </w:rPr>
        <w:t xml:space="preserve"> de 2023,</w:t>
      </w:r>
      <w:r w:rsidRPr="00343D33">
        <w:rPr>
          <w:lang w:val="es-MX"/>
        </w:rPr>
        <w:t xml:space="preserve"> el IOAE estima una variación</w:t>
      </w:r>
      <w:r>
        <w:rPr>
          <w:lang w:val="es-MX"/>
        </w:rPr>
        <w:t xml:space="preserve"> </w:t>
      </w:r>
      <w:r w:rsidRPr="00A84E37">
        <w:rPr>
          <w:lang w:val="es-MX"/>
        </w:rPr>
        <w:t xml:space="preserve">de </w:t>
      </w:r>
      <w:r>
        <w:rPr>
          <w:lang w:val="es-MX"/>
        </w:rPr>
        <w:t>2.6 </w:t>
      </w:r>
      <w:r w:rsidRPr="00A84E37">
        <w:rPr>
          <w:lang w:val="es-MX"/>
        </w:rPr>
        <w:t>% a tasa anual del IGAE.</w:t>
      </w:r>
      <w:r>
        <w:rPr>
          <w:lang w:val="es-MX"/>
        </w:rPr>
        <w:t xml:space="preserve"> </w:t>
      </w:r>
      <w:r w:rsidRPr="00A84E37">
        <w:rPr>
          <w:lang w:val="es-MX"/>
        </w:rPr>
        <w:t>Las estimaciones realizadas presentan sus respectivos intervalos de confianza a 95</w:t>
      </w:r>
      <w:r>
        <w:rPr>
          <w:lang w:val="es-MX"/>
        </w:rPr>
        <w:t> </w:t>
      </w:r>
      <w:r w:rsidRPr="00A84E37">
        <w:rPr>
          <w:lang w:val="es-MX"/>
        </w:rPr>
        <w:t>% para los meses de marzo</w:t>
      </w:r>
      <w:r>
        <w:rPr>
          <w:lang w:val="es-MX"/>
        </w:rPr>
        <w:t xml:space="preserve"> y abril</w:t>
      </w:r>
      <w:r w:rsidRPr="00A84E37">
        <w:rPr>
          <w:lang w:val="es-MX"/>
        </w:rPr>
        <w:t xml:space="preserve"> de 2023. En el mes de referencia, para los grandes sectores de actividad del IGAE, se calcula un incremento anual de </w:t>
      </w:r>
      <w:r>
        <w:rPr>
          <w:lang w:val="es-MX"/>
        </w:rPr>
        <w:t>1.7 </w:t>
      </w:r>
      <w:r w:rsidRPr="00A84E37">
        <w:rPr>
          <w:lang w:val="es-MX"/>
        </w:rPr>
        <w:t>% en las actividades secundarias y de 2</w:t>
      </w:r>
      <w:r>
        <w:rPr>
          <w:lang w:val="es-MX"/>
        </w:rPr>
        <w:t>.8 </w:t>
      </w:r>
      <w:r w:rsidRPr="00A84E37">
        <w:rPr>
          <w:lang w:val="es-MX"/>
        </w:rPr>
        <w:t>% en las terciarias. Las estimaciones se refieren a cifras desestacionalizadas.</w:t>
      </w:r>
    </w:p>
    <w:p w14:paraId="22EBDBEC" w14:textId="77777777" w:rsidR="00A90446" w:rsidRDefault="00A90446" w:rsidP="00A90446">
      <w:pPr>
        <w:jc w:val="center"/>
        <w:rPr>
          <w:bCs/>
          <w:sz w:val="20"/>
          <w:szCs w:val="20"/>
        </w:rPr>
      </w:pPr>
    </w:p>
    <w:p w14:paraId="198D2A3A" w14:textId="7977797E" w:rsidR="00A90446" w:rsidRPr="00B17F8A" w:rsidRDefault="00A90446" w:rsidP="00A90446">
      <w:pPr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224C278C" w14:textId="77777777" w:rsidR="00A90446" w:rsidRPr="00E15E72" w:rsidRDefault="00A90446" w:rsidP="00A90446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5E95E5B2" w14:textId="77777777" w:rsidR="00A90446" w:rsidRPr="001622CD" w:rsidRDefault="00A90446" w:rsidP="00A90446">
      <w:pPr>
        <w:pStyle w:val="Titcuadrograf"/>
        <w:ind w:left="0"/>
        <w:rPr>
          <w:bCs/>
          <w:sz w:val="22"/>
          <w:szCs w:val="22"/>
        </w:rPr>
      </w:pPr>
      <w:r w:rsidRPr="00177AEC">
        <w:rPr>
          <w:bCs/>
          <w:sz w:val="20"/>
          <w:szCs w:val="20"/>
        </w:rPr>
        <w:t>modelos estimados con series desestacionalizadas</w:t>
      </w:r>
    </w:p>
    <w:p w14:paraId="3799D493" w14:textId="77777777" w:rsidR="00A90446" w:rsidRPr="00F14FF8" w:rsidRDefault="00A90446" w:rsidP="00A90446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A90446" w:rsidRPr="0020223F" w14:paraId="6F18FB20" w14:textId="77777777" w:rsidTr="007C1F11">
        <w:trPr>
          <w:trHeight w:val="393"/>
          <w:jc w:val="center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37CEF5C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Periodo</w:t>
            </w:r>
            <w:r w:rsidRPr="00862F95">
              <w:rPr>
                <w:color w:val="000000"/>
                <w:sz w:val="16"/>
                <w:szCs w:val="16"/>
                <w:lang w:eastAsia="es-MX"/>
              </w:rPr>
              <w:t xml:space="preserve"> de referencia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F75BBD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727CB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20E7130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A90446" w:rsidRPr="0020223F" w14:paraId="0707C6B3" w14:textId="77777777" w:rsidTr="007C1F11">
        <w:trPr>
          <w:trHeight w:val="411"/>
          <w:jc w:val="center"/>
        </w:trPr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2C66FFC6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6F203B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0342DFB" w14:textId="77777777" w:rsidR="00A90446" w:rsidRPr="00C36079" w:rsidRDefault="00A90446" w:rsidP="007C1F11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EB545C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CD4D904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C963869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9FED256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FD7FDF0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C35D213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7C926B4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DE8E59" w14:textId="77777777" w:rsidR="00A90446" w:rsidRPr="00862F95" w:rsidRDefault="00A90446" w:rsidP="007C1F11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A90446" w:rsidRPr="0020223F" w14:paraId="7B066D3A" w14:textId="77777777" w:rsidTr="007C1F11">
        <w:trPr>
          <w:trHeight w:val="393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76C0" w14:textId="77777777" w:rsidR="00A90446" w:rsidRPr="003C3B47" w:rsidRDefault="00A90446" w:rsidP="007C1F11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Marzo de 2023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86A8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ABE2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3.2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034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4.3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CA9015" w14:textId="77777777" w:rsidR="00A90446" w:rsidRPr="003C3B47" w:rsidRDefault="00A90446" w:rsidP="007C1F11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63A0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1.5*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28BD7B" w14:textId="77777777" w:rsidR="00A90446" w:rsidRPr="003C3B47" w:rsidRDefault="00A90446" w:rsidP="007C1F11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F9CEAE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7ACF7E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3.9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076DCEE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5.1</w:t>
            </w:r>
          </w:p>
        </w:tc>
      </w:tr>
      <w:tr w:rsidR="00A90446" w:rsidRPr="0020223F" w14:paraId="7A08A22A" w14:textId="77777777" w:rsidTr="007C1F11">
        <w:trPr>
          <w:trHeight w:val="411"/>
          <w:jc w:val="center"/>
        </w:trPr>
        <w:tc>
          <w:tcPr>
            <w:tcW w:w="12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9930F2" w14:textId="77777777" w:rsidR="00A90446" w:rsidRPr="003C3B47" w:rsidRDefault="00A90446" w:rsidP="007C1F11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Abril de 2023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9CE3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1.7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9CA9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2.6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E452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3.5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1154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-0.6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A0F3" w14:textId="77777777" w:rsidR="00A90446" w:rsidRPr="003C3B47" w:rsidRDefault="00A90446" w:rsidP="007C1F11">
            <w:pPr>
              <w:widowControl w:val="0"/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1.7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7786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4.0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E233A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1.7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7A2FDA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2.8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  <w:vAlign w:val="center"/>
          </w:tcPr>
          <w:p w14:paraId="628A987B" w14:textId="77777777" w:rsidR="00A90446" w:rsidRPr="003C3B47" w:rsidRDefault="00A90446" w:rsidP="007C1F11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4.0</w:t>
            </w:r>
          </w:p>
        </w:tc>
      </w:tr>
    </w:tbl>
    <w:p w14:paraId="38420C49" w14:textId="77777777" w:rsidR="00A90446" w:rsidRPr="00D5238C" w:rsidRDefault="00A90446" w:rsidP="00A90446">
      <w:pPr>
        <w:pStyle w:val="pie"/>
        <w:spacing w:after="0"/>
        <w:ind w:left="993" w:right="476" w:hanging="567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8DE1D11" w14:textId="77777777" w:rsidR="00A90446" w:rsidRDefault="00A90446" w:rsidP="00A90446">
      <w:pPr>
        <w:pStyle w:val="pie"/>
        <w:spacing w:after="0"/>
        <w:ind w:left="993" w:right="476" w:hanging="567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 —en este caso, el Indicador Global de la Actividad Económica (IGAE)— y otras variables más oportunas que esta.</w:t>
      </w:r>
    </w:p>
    <w:p w14:paraId="5C0DF921" w14:textId="77777777" w:rsidR="00A90446" w:rsidRPr="00D5238C" w:rsidRDefault="00A90446" w:rsidP="00A90446">
      <w:pPr>
        <w:pStyle w:val="pie"/>
        <w:spacing w:after="0"/>
        <w:ind w:left="993" w:right="476" w:hanging="567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>
        <w:rPr>
          <w:lang w:val="es-MX"/>
        </w:rPr>
        <w:t xml:space="preserve"> </w:t>
      </w:r>
      <w:r w:rsidRPr="005736E5">
        <w:rPr>
          <w:lang w:val="es-MX"/>
        </w:rPr>
        <w:t>según el Indicador Mensual de la Actividad Industrial</w:t>
      </w:r>
      <w:r>
        <w:rPr>
          <w:lang w:val="es-MX"/>
        </w:rPr>
        <w:t>.</w:t>
      </w:r>
    </w:p>
    <w:p w14:paraId="1F1B4CAB" w14:textId="77777777" w:rsidR="00A90446" w:rsidRDefault="00A90446" w:rsidP="00A90446">
      <w:pPr>
        <w:pStyle w:val="pie"/>
        <w:ind w:left="851" w:right="476" w:hanging="425"/>
        <w:rPr>
          <w:lang w:val="es-MX"/>
        </w:rPr>
      </w:pPr>
      <w:r w:rsidRPr="00D5238C">
        <w:rPr>
          <w:lang w:val="es-MX"/>
        </w:rPr>
        <w:t>Fuente: INEGI</w:t>
      </w:r>
    </w:p>
    <w:p w14:paraId="1D070CCF" w14:textId="7B956B0E" w:rsidR="00594AE4" w:rsidRDefault="00594AE4" w:rsidP="0097361C">
      <w:pPr>
        <w:keepLines/>
        <w:spacing w:before="360"/>
        <w:rPr>
          <w:lang w:val="es-MX"/>
        </w:rPr>
      </w:pPr>
      <w:r>
        <w:rPr>
          <w:lang w:val="es-MX"/>
        </w:rPr>
        <w:t xml:space="preserve">Para el </w:t>
      </w:r>
      <w:r w:rsidR="00280A02">
        <w:rPr>
          <w:lang w:val="es-MX"/>
        </w:rPr>
        <w:t xml:space="preserve">mismo </w:t>
      </w:r>
      <w:r>
        <w:rPr>
          <w:lang w:val="es-MX"/>
        </w:rPr>
        <w:t>mes de referencia</w:t>
      </w:r>
      <w:r w:rsidRPr="00343D33">
        <w:rPr>
          <w:lang w:val="es-MX"/>
        </w:rPr>
        <w:t xml:space="preserve">, el IOAE estima que el IGAE </w:t>
      </w:r>
      <w:r w:rsidRPr="00594AE4">
        <w:rPr>
          <w:lang w:val="es-MX"/>
        </w:rPr>
        <w:t>aumentó</w:t>
      </w:r>
      <w:r w:rsidRPr="00343D33">
        <w:rPr>
          <w:lang w:val="es-MX"/>
        </w:rPr>
        <w:t xml:space="preserve"> </w:t>
      </w:r>
      <w:r w:rsidR="003C3B47">
        <w:rPr>
          <w:lang w:val="es-MX"/>
        </w:rPr>
        <w:t>0.4 </w:t>
      </w:r>
      <w:r w:rsidRPr="00A84E37">
        <w:rPr>
          <w:lang w:val="es-MX"/>
        </w:rPr>
        <w:t>%</w:t>
      </w:r>
      <w:r w:rsidRPr="00343D33">
        <w:rPr>
          <w:lang w:val="es-MX"/>
        </w:rPr>
        <w:t xml:space="preserve"> </w:t>
      </w:r>
      <w:r w:rsidR="00280A02">
        <w:rPr>
          <w:lang w:val="es-MX"/>
        </w:rPr>
        <w:t xml:space="preserve">con </w:t>
      </w:r>
      <w:r w:rsidRPr="00343D33">
        <w:rPr>
          <w:lang w:val="es-MX"/>
        </w:rPr>
        <w:t xml:space="preserve">respecto a </w:t>
      </w:r>
      <w:r w:rsidR="003C3B47">
        <w:rPr>
          <w:lang w:val="es-MX"/>
        </w:rPr>
        <w:t>marzo</w:t>
      </w:r>
      <w:r w:rsidRPr="00343D33">
        <w:rPr>
          <w:lang w:val="es-MX"/>
        </w:rPr>
        <w:t xml:space="preserve"> de</w:t>
      </w:r>
      <w:r>
        <w:rPr>
          <w:lang w:val="es-MX"/>
        </w:rPr>
        <w:t xml:space="preserve"> </w:t>
      </w:r>
      <w:r w:rsidRPr="00594AE4">
        <w:rPr>
          <w:lang w:val="es-MX"/>
        </w:rPr>
        <w:t>202</w:t>
      </w:r>
      <w:r w:rsidR="005736E5">
        <w:rPr>
          <w:lang w:val="es-MX"/>
        </w:rPr>
        <w:t>3</w:t>
      </w:r>
      <w:r w:rsidRPr="00343D33">
        <w:rPr>
          <w:lang w:val="es-MX"/>
        </w:rPr>
        <w:t xml:space="preserve">. Al considerar los principales </w:t>
      </w:r>
      <w:r>
        <w:rPr>
          <w:lang w:val="es-MX"/>
        </w:rPr>
        <w:t>g</w:t>
      </w:r>
      <w:r w:rsidRPr="00343D33">
        <w:rPr>
          <w:lang w:val="es-MX"/>
        </w:rPr>
        <w:t xml:space="preserve">randes </w:t>
      </w:r>
      <w:r>
        <w:rPr>
          <w:lang w:val="es-MX"/>
        </w:rPr>
        <w:t>s</w:t>
      </w:r>
      <w:r w:rsidRPr="00343D33">
        <w:rPr>
          <w:lang w:val="es-MX"/>
        </w:rPr>
        <w:t xml:space="preserve">ectores de </w:t>
      </w:r>
      <w:r>
        <w:rPr>
          <w:lang w:val="es-MX"/>
        </w:rPr>
        <w:t>a</w:t>
      </w:r>
      <w:r w:rsidRPr="00343D33">
        <w:rPr>
          <w:lang w:val="es-MX"/>
        </w:rPr>
        <w:t xml:space="preserve">ctividad del IGAE, se calcula </w:t>
      </w:r>
      <w:r w:rsidR="003C3B47">
        <w:rPr>
          <w:lang w:val="es-MX"/>
        </w:rPr>
        <w:t xml:space="preserve">una </w:t>
      </w:r>
      <w:r w:rsidR="004653CD">
        <w:rPr>
          <w:lang w:val="es-MX"/>
        </w:rPr>
        <w:t>variación</w:t>
      </w:r>
      <w:r w:rsidR="003C3B47">
        <w:rPr>
          <w:lang w:val="es-MX"/>
        </w:rPr>
        <w:t xml:space="preserve"> de 0.5 %</w:t>
      </w:r>
      <w:r w:rsidR="004653CD">
        <w:rPr>
          <w:lang w:val="es-MX"/>
        </w:rPr>
        <w:t xml:space="preserve"> </w:t>
      </w:r>
      <w:r w:rsidR="007C0EE1">
        <w:rPr>
          <w:lang w:val="es-MX"/>
        </w:rPr>
        <w:t xml:space="preserve">para </w:t>
      </w:r>
      <w:r w:rsidR="007C0EE1" w:rsidRPr="00343D33">
        <w:rPr>
          <w:lang w:val="es-MX"/>
        </w:rPr>
        <w:t xml:space="preserve">las </w:t>
      </w:r>
      <w:r w:rsidR="007C0EE1">
        <w:rPr>
          <w:lang w:val="es-MX"/>
        </w:rPr>
        <w:t>a</w:t>
      </w:r>
      <w:r w:rsidR="007C0EE1" w:rsidRPr="00343D33">
        <w:rPr>
          <w:lang w:val="es-MX"/>
        </w:rPr>
        <w:t xml:space="preserve">ctividades </w:t>
      </w:r>
      <w:r w:rsidR="007C0EE1">
        <w:rPr>
          <w:lang w:val="es-MX"/>
        </w:rPr>
        <w:t>s</w:t>
      </w:r>
      <w:r w:rsidR="007C0EE1" w:rsidRPr="00343D33">
        <w:rPr>
          <w:lang w:val="es-MX"/>
        </w:rPr>
        <w:t>ecundarias</w:t>
      </w:r>
      <w:r w:rsidR="007C0EE1">
        <w:rPr>
          <w:lang w:val="es-MX"/>
        </w:rPr>
        <w:t xml:space="preserve"> y </w:t>
      </w:r>
      <w:r w:rsidR="0097361C">
        <w:rPr>
          <w:lang w:val="es-MX"/>
        </w:rPr>
        <w:t xml:space="preserve">de </w:t>
      </w:r>
      <w:r w:rsidR="007C0EE1">
        <w:rPr>
          <w:lang w:val="es-MX"/>
        </w:rPr>
        <w:t>0.</w:t>
      </w:r>
      <w:r w:rsidR="003C3B47">
        <w:rPr>
          <w:lang w:val="es-MX"/>
        </w:rPr>
        <w:t>4 </w:t>
      </w:r>
      <w:r w:rsidR="0097361C">
        <w:rPr>
          <w:lang w:val="es-MX"/>
        </w:rPr>
        <w:t xml:space="preserve">% </w:t>
      </w:r>
      <w:r w:rsidR="007C0EE1">
        <w:rPr>
          <w:lang w:val="es-MX"/>
        </w:rPr>
        <w:t>para las</w:t>
      </w:r>
      <w:r w:rsidR="0097361C">
        <w:rPr>
          <w:lang w:val="es-MX"/>
        </w:rPr>
        <w:t xml:space="preserve"> terciarias</w:t>
      </w:r>
      <w:r w:rsidRPr="00343D33">
        <w:rPr>
          <w:lang w:val="es-MX"/>
        </w:rPr>
        <w:t>.</w:t>
      </w:r>
    </w:p>
    <w:p w14:paraId="4A42D264" w14:textId="77777777" w:rsidR="005856AF" w:rsidRPr="00B17F8A" w:rsidRDefault="005856AF" w:rsidP="0097361C">
      <w:pPr>
        <w:pStyle w:val="Titcuadrograf"/>
        <w:spacing w:before="360"/>
        <w:ind w:left="0"/>
        <w:rPr>
          <w:b w:val="0"/>
          <w:bCs/>
          <w:smallCaps w:val="0"/>
          <w:sz w:val="20"/>
          <w:szCs w:val="20"/>
        </w:rPr>
      </w:pPr>
      <w:r w:rsidRPr="00B17F8A">
        <w:rPr>
          <w:b w:val="0"/>
          <w:bCs/>
          <w:smallCaps w:val="0"/>
          <w:sz w:val="20"/>
          <w:szCs w:val="20"/>
        </w:rPr>
        <w:t xml:space="preserve">Cuadro </w:t>
      </w:r>
      <w:r>
        <w:rPr>
          <w:b w:val="0"/>
          <w:bCs/>
          <w:smallCaps w:val="0"/>
          <w:sz w:val="20"/>
          <w:szCs w:val="20"/>
        </w:rPr>
        <w:t>2</w:t>
      </w:r>
    </w:p>
    <w:p w14:paraId="008E2ABC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</w:p>
    <w:p w14:paraId="690A310E" w14:textId="1405F829" w:rsidR="005856AF" w:rsidRPr="00177AEC" w:rsidRDefault="00177AEC" w:rsidP="005856AF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5856AF" w:rsidRPr="00177AEC">
        <w:rPr>
          <w:sz w:val="20"/>
          <w:szCs w:val="20"/>
        </w:rPr>
        <w:t>odelos estimados con series desestacionalizadas</w:t>
      </w:r>
    </w:p>
    <w:p w14:paraId="4708E038" w14:textId="77777777" w:rsidR="005856AF" w:rsidRPr="00D4075F" w:rsidRDefault="005856AF" w:rsidP="00585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5856AF" w:rsidRPr="0020223F" w14:paraId="07C90B8D" w14:textId="77777777" w:rsidTr="003C3B47">
        <w:trPr>
          <w:trHeight w:val="402"/>
          <w:jc w:val="center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8EAC7F" w14:textId="4904FD35" w:rsidR="005856AF" w:rsidRPr="00862F95" w:rsidRDefault="004F72BC" w:rsidP="00081519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Periodo</w:t>
            </w:r>
            <w:r w:rsidR="005856AF" w:rsidRPr="00862F95">
              <w:rPr>
                <w:color w:val="000000"/>
                <w:sz w:val="16"/>
                <w:szCs w:val="16"/>
                <w:lang w:eastAsia="es-MX"/>
              </w:rPr>
              <w:t xml:space="preserve"> de referencia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E7C4A0C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3173E4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37E13E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20223F" w14:paraId="0CE50756" w14:textId="77777777" w:rsidTr="003C3B47">
        <w:trPr>
          <w:trHeight w:val="402"/>
          <w:jc w:val="center"/>
        </w:trPr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46CCD5CC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32C814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632805B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A72FBC5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831B72B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64CB72D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81C08ED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8F1BD5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2B628B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</w:t>
            </w:r>
            <w:r w:rsidRPr="00862F95">
              <w:rPr>
                <w:color w:val="000000"/>
                <w:sz w:val="16"/>
                <w:szCs w:val="16"/>
                <w:lang w:eastAsia="es-MX"/>
              </w:rPr>
              <w:t>t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702FC3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3C3B47" w:rsidRPr="0020223F" w14:paraId="287F8116" w14:textId="77777777" w:rsidTr="003C3B47">
        <w:trPr>
          <w:trHeight w:val="402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A42" w14:textId="07A2B3D3" w:rsidR="003C3B47" w:rsidRPr="003C3B47" w:rsidRDefault="003C3B47" w:rsidP="003C3B47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Marzo de 2023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12C6" w14:textId="377C8153" w:rsidR="003C3B47" w:rsidRPr="003C3B47" w:rsidRDefault="003C3B47" w:rsidP="003C3B47">
            <w:pPr>
              <w:ind w:right="-43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-1.2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605E1" w14:textId="7047C3A8" w:rsidR="003C3B47" w:rsidRPr="003C3B47" w:rsidRDefault="003C3B47" w:rsidP="003C3B47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-0.1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DC5B4F" w14:textId="41B231D3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0.9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7C5FB" w14:textId="77777777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317AF" w14:textId="45AB6A44" w:rsidR="003C3B47" w:rsidRPr="003C3B47" w:rsidRDefault="003C3B47" w:rsidP="003C3B47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-0.9*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064D3" w14:textId="77777777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8BABD" w14:textId="33D1CDCF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-1.0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08E18" w14:textId="02316012" w:rsidR="003C3B47" w:rsidRPr="003C3B47" w:rsidRDefault="003C3B47" w:rsidP="003C3B47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0.2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7819B7" w14:textId="04D2A01D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1.3</w:t>
            </w:r>
          </w:p>
        </w:tc>
      </w:tr>
      <w:tr w:rsidR="003C3B47" w:rsidRPr="0020223F" w14:paraId="5734D3D9" w14:textId="77777777" w:rsidTr="003C3B47">
        <w:trPr>
          <w:trHeight w:val="402"/>
          <w:jc w:val="center"/>
        </w:trPr>
        <w:tc>
          <w:tcPr>
            <w:tcW w:w="12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7E948" w14:textId="23C24707" w:rsidR="003C3B47" w:rsidRPr="003C3B47" w:rsidRDefault="003C3B47" w:rsidP="003C3B47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Abril de 2023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D4326" w14:textId="7804C802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-0.5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FA66" w14:textId="6012CA1C" w:rsidR="003C3B47" w:rsidRPr="003C3B47" w:rsidRDefault="003C3B47" w:rsidP="003C3B47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0.4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DC9E" w14:textId="7BC3DC71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1.3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370C4" w14:textId="4D1AA706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-1.8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E11A" w14:textId="48C49BFF" w:rsidR="003C3B47" w:rsidRPr="003C3B47" w:rsidRDefault="003C3B47" w:rsidP="003C3B47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0.5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6A61" w14:textId="020058A8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2.8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6CD19" w14:textId="113D71F7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-0.7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72B52" w14:textId="147CD9F6" w:rsidR="003C3B47" w:rsidRPr="003C3B47" w:rsidRDefault="003C3B47" w:rsidP="003C3B47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0.4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  <w:vAlign w:val="center"/>
          </w:tcPr>
          <w:p w14:paraId="6055D0B7" w14:textId="006265CD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1.6</w:t>
            </w:r>
          </w:p>
        </w:tc>
      </w:tr>
    </w:tbl>
    <w:p w14:paraId="53D962DB" w14:textId="77777777" w:rsidR="00F40EEA" w:rsidRPr="00D5238C" w:rsidRDefault="00F40EEA" w:rsidP="00A90446">
      <w:pPr>
        <w:pStyle w:val="pie"/>
        <w:spacing w:after="0"/>
        <w:ind w:left="1134" w:right="55" w:hanging="567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20AFFDBB" w14:textId="749ACEC3" w:rsidR="005856AF" w:rsidRPr="00776938" w:rsidRDefault="005856AF" w:rsidP="00A90446">
      <w:pPr>
        <w:pStyle w:val="pie"/>
        <w:spacing w:after="0"/>
        <w:ind w:left="1134" w:right="55" w:hanging="567"/>
        <w:rPr>
          <w:b/>
          <w:smallCaps/>
          <w:lang w:val="es-MX"/>
        </w:rPr>
      </w:pPr>
      <w:r w:rsidRPr="00776938">
        <w:rPr>
          <w:lang w:val="es-MX"/>
        </w:rPr>
        <w:t>*</w:t>
      </w:r>
      <w:r w:rsidRPr="00776938">
        <w:rPr>
          <w:b/>
          <w:smallCaps/>
          <w:lang w:val="es-MX"/>
        </w:rPr>
        <w:tab/>
      </w:r>
      <w:r w:rsidRPr="00776938">
        <w:rPr>
          <w:lang w:val="es-MX"/>
        </w:rPr>
        <w:t xml:space="preserve">Se considera como valor observado </w:t>
      </w:r>
      <w:r w:rsidR="005736E5" w:rsidRPr="005736E5">
        <w:rPr>
          <w:lang w:val="es-MX"/>
        </w:rPr>
        <w:t>según el Indicador Mensual de la Actividad Industrial.</w:t>
      </w:r>
    </w:p>
    <w:p w14:paraId="40493459" w14:textId="13520FC0" w:rsidR="00970261" w:rsidRPr="009B66EB" w:rsidRDefault="00970261" w:rsidP="00A90446">
      <w:pPr>
        <w:pStyle w:val="pie"/>
        <w:spacing w:after="0"/>
        <w:ind w:left="993" w:right="55" w:hanging="426"/>
        <w:rPr>
          <w:lang w:val="es-MX"/>
        </w:rPr>
      </w:pPr>
      <w:r w:rsidRPr="00D5238C">
        <w:rPr>
          <w:lang w:val="es-MX"/>
        </w:rPr>
        <w:t>Fuente: INEGI</w:t>
      </w:r>
    </w:p>
    <w:p w14:paraId="2D365600" w14:textId="77777777" w:rsidR="009504C3" w:rsidRDefault="009504C3" w:rsidP="009504C3">
      <w:pPr>
        <w:rPr>
          <w:lang w:val="es-MX"/>
        </w:rPr>
      </w:pPr>
    </w:p>
    <w:p w14:paraId="1ABC1A11" w14:textId="7CBE57AC" w:rsidR="00594AE4" w:rsidRDefault="00594AE4" w:rsidP="009504C3">
      <w:pPr>
        <w:rPr>
          <w:lang w:val="es-MX"/>
        </w:rPr>
      </w:pPr>
      <w:r w:rsidRPr="00594AE4">
        <w:rPr>
          <w:lang w:val="es-MX"/>
        </w:rPr>
        <w:t xml:space="preserve">Para </w:t>
      </w:r>
      <w:r w:rsidR="00173A79">
        <w:rPr>
          <w:lang w:val="es-MX"/>
        </w:rPr>
        <w:t xml:space="preserve">el </w:t>
      </w:r>
      <w:r w:rsidR="003C3B47">
        <w:rPr>
          <w:lang w:val="es-MX"/>
        </w:rPr>
        <w:t>cuarto</w:t>
      </w:r>
      <w:r w:rsidR="00173A79">
        <w:rPr>
          <w:lang w:val="es-MX"/>
        </w:rPr>
        <w:t xml:space="preserve"> mes</w:t>
      </w:r>
      <w:r w:rsidRPr="00594AE4">
        <w:rPr>
          <w:lang w:val="es-MX"/>
        </w:rPr>
        <w:t xml:space="preserve"> de 2023, el valor del IOAE (base 2013=100) </w:t>
      </w:r>
      <w:r w:rsidRPr="00A84E37">
        <w:rPr>
          <w:lang w:val="es-MX"/>
        </w:rPr>
        <w:t>es de 1</w:t>
      </w:r>
      <w:r w:rsidR="0097361C" w:rsidRPr="00A84E37">
        <w:rPr>
          <w:lang w:val="es-MX"/>
        </w:rPr>
        <w:t>14.</w:t>
      </w:r>
      <w:r w:rsidR="003C3B47">
        <w:rPr>
          <w:lang w:val="es-MX"/>
        </w:rPr>
        <w:t>5</w:t>
      </w:r>
      <w:r w:rsidRPr="00A84E37">
        <w:rPr>
          <w:lang w:val="es-MX"/>
        </w:rPr>
        <w:t xml:space="preserve"> para la actividad económica</w:t>
      </w:r>
      <w:r w:rsidR="002C3650">
        <w:rPr>
          <w:lang w:val="es-MX"/>
        </w:rPr>
        <w:t xml:space="preserve"> en su conjunto</w:t>
      </w:r>
      <w:r w:rsidRPr="00A84E37">
        <w:rPr>
          <w:lang w:val="es-MX"/>
        </w:rPr>
        <w:t>, de 10</w:t>
      </w:r>
      <w:r w:rsidR="00173A79" w:rsidRPr="00A84E37">
        <w:rPr>
          <w:lang w:val="es-MX"/>
        </w:rPr>
        <w:t>2</w:t>
      </w:r>
      <w:r w:rsidR="003C3B47">
        <w:rPr>
          <w:lang w:val="es-MX"/>
        </w:rPr>
        <w:t>.5</w:t>
      </w:r>
      <w:r w:rsidRPr="00A84E37">
        <w:rPr>
          <w:lang w:val="es-MX"/>
        </w:rPr>
        <w:t xml:space="preserve"> en las actividades secundarias y de 1</w:t>
      </w:r>
      <w:r w:rsidR="0097361C" w:rsidRPr="00A84E37">
        <w:rPr>
          <w:lang w:val="es-MX"/>
        </w:rPr>
        <w:t>20.</w:t>
      </w:r>
      <w:r w:rsidR="003C3B47">
        <w:rPr>
          <w:lang w:val="es-MX"/>
        </w:rPr>
        <w:t>4</w:t>
      </w:r>
      <w:r w:rsidRPr="00A84E37">
        <w:rPr>
          <w:lang w:val="es-MX"/>
        </w:rPr>
        <w:t xml:space="preserve"> en</w:t>
      </w:r>
      <w:r w:rsidRPr="00594AE4">
        <w:rPr>
          <w:lang w:val="es-MX"/>
        </w:rPr>
        <w:t xml:space="preserve"> las terciarias.</w:t>
      </w:r>
    </w:p>
    <w:p w14:paraId="525D7122" w14:textId="77777777" w:rsidR="005856AF" w:rsidRDefault="005856AF" w:rsidP="005856AF">
      <w:pPr>
        <w:spacing w:before="36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65CA15F8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  <w:r w:rsidRPr="00674B83" w:rsidDel="00057B47">
        <w:rPr>
          <w:sz w:val="22"/>
          <w:szCs w:val="22"/>
        </w:rPr>
        <w:t xml:space="preserve"> </w:t>
      </w:r>
    </w:p>
    <w:p w14:paraId="14B9A529" w14:textId="22A69D79" w:rsidR="005856AF" w:rsidRPr="00177AEC" w:rsidRDefault="00177AEC" w:rsidP="005856AF">
      <w:pPr>
        <w:pStyle w:val="Titcuadrograf"/>
        <w:ind w:left="0"/>
        <w:rPr>
          <w:bCs/>
          <w:sz w:val="20"/>
          <w:szCs w:val="20"/>
        </w:rPr>
      </w:pPr>
      <w:r w:rsidRPr="00177AEC">
        <w:rPr>
          <w:bCs/>
          <w:sz w:val="20"/>
          <w:szCs w:val="20"/>
        </w:rPr>
        <w:t>m</w:t>
      </w:r>
      <w:r w:rsidR="005856AF" w:rsidRPr="00177AEC">
        <w:rPr>
          <w:bCs/>
          <w:sz w:val="20"/>
          <w:szCs w:val="20"/>
        </w:rPr>
        <w:t>odelos estimados con series desestacionalizadas</w:t>
      </w:r>
    </w:p>
    <w:p w14:paraId="3101D61C" w14:textId="77777777" w:rsidR="005856AF" w:rsidRPr="00673FED" w:rsidRDefault="005856AF" w:rsidP="005856AF">
      <w:pPr>
        <w:pStyle w:val="Titcuadrograf"/>
        <w:ind w:left="0"/>
        <w:rPr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912"/>
        <w:gridCol w:w="912"/>
        <w:gridCol w:w="912"/>
        <w:gridCol w:w="911"/>
        <w:gridCol w:w="911"/>
        <w:gridCol w:w="911"/>
        <w:gridCol w:w="911"/>
        <w:gridCol w:w="911"/>
        <w:gridCol w:w="911"/>
      </w:tblGrid>
      <w:tr w:rsidR="005856AF" w:rsidRPr="00BA0721" w14:paraId="1D6553CB" w14:textId="77777777" w:rsidTr="003C3B47">
        <w:trPr>
          <w:trHeight w:val="393"/>
          <w:jc w:val="center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FBD33" w14:textId="357C67BE" w:rsidR="005856AF" w:rsidRPr="00862F95" w:rsidRDefault="004F72BC" w:rsidP="00081519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Periodo </w:t>
            </w:r>
            <w:r w:rsidR="005856AF" w:rsidRPr="00862F95">
              <w:rPr>
                <w:color w:val="000000"/>
                <w:sz w:val="16"/>
                <w:szCs w:val="16"/>
                <w:lang w:eastAsia="es-MX"/>
              </w:rPr>
              <w:t>de referencia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58A1CE0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2A4ED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7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4FDF324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BA0721" w14:paraId="78CDBF2F" w14:textId="77777777" w:rsidTr="003C3B47">
        <w:trPr>
          <w:trHeight w:val="411"/>
          <w:jc w:val="center"/>
        </w:trPr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534C5090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BB7888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0BD98B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A55EB2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02EAB28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68F280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2BF198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2E00692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768EB46" w14:textId="77777777" w:rsidR="005856AF" w:rsidRPr="00C36079" w:rsidRDefault="005856AF" w:rsidP="00081519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16CD46" w14:textId="77777777" w:rsidR="005856AF" w:rsidRPr="00862F95" w:rsidRDefault="005856AF" w:rsidP="00081519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3C3B47" w:rsidRPr="00BA0721" w14:paraId="3A1BA918" w14:textId="77777777" w:rsidTr="003C3B47">
        <w:trPr>
          <w:trHeight w:val="393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63A" w14:textId="17474A58" w:rsidR="003C3B47" w:rsidRPr="003C3B47" w:rsidRDefault="003C3B47" w:rsidP="003C3B47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Marzo de 2023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B521" w14:textId="6BDDA08C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112.8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58675" w14:textId="2E902BCE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114.0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41DAF" w14:textId="0BE77269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115.2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37AB1" w14:textId="77777777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6DA60" w14:textId="734E3500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102.0*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47B4E" w14:textId="77777777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B1E6E" w14:textId="2A53DC4C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118.6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B1331" w14:textId="5501952A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119.9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11BFF3D" w14:textId="5E2C2E75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121.3</w:t>
            </w:r>
          </w:p>
        </w:tc>
      </w:tr>
      <w:tr w:rsidR="003C3B47" w:rsidRPr="00BA0721" w14:paraId="5F36DA18" w14:textId="77777777" w:rsidTr="003C3B47">
        <w:trPr>
          <w:trHeight w:val="411"/>
          <w:jc w:val="center"/>
        </w:trPr>
        <w:tc>
          <w:tcPr>
            <w:tcW w:w="12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2C0B4" w14:textId="5AF09BA3" w:rsidR="003C3B47" w:rsidRPr="003C3B47" w:rsidRDefault="003C3B47" w:rsidP="003C3B47">
            <w:pPr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Abril de 2023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7A212" w14:textId="2EDE245D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113.5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13680" w14:textId="12E2C0C5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114.5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B8E" w14:textId="3C950AC9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115.5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04989" w14:textId="691AC5F0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100.1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1FA63" w14:textId="029E11AE" w:rsidR="003C3B47" w:rsidRPr="003C3B47" w:rsidRDefault="003C3B47" w:rsidP="003C3B47">
            <w:pPr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102.5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F9E47" w14:textId="2926FA2A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104.8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DC5D" w14:textId="63F9D7ED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119.1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DBC11" w14:textId="0721AD98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120.4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noWrap/>
            <w:vAlign w:val="center"/>
          </w:tcPr>
          <w:p w14:paraId="0974C1AE" w14:textId="4436DD7E" w:rsidR="003C3B47" w:rsidRPr="003C3B47" w:rsidRDefault="003C3B47" w:rsidP="003C3B4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C3B47">
              <w:rPr>
                <w:sz w:val="16"/>
                <w:szCs w:val="16"/>
              </w:rPr>
              <w:t>121.8</w:t>
            </w:r>
          </w:p>
        </w:tc>
      </w:tr>
    </w:tbl>
    <w:p w14:paraId="5F9D2488" w14:textId="77777777" w:rsidR="001622CD" w:rsidRPr="00D5238C" w:rsidRDefault="001622CD" w:rsidP="00A90446">
      <w:pPr>
        <w:pStyle w:val="pie"/>
        <w:spacing w:after="0"/>
        <w:ind w:left="993" w:right="55" w:hanging="567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659B929" w14:textId="1311C80D" w:rsidR="005856AF" w:rsidRPr="00D5238C" w:rsidRDefault="005856AF" w:rsidP="00A90446">
      <w:pPr>
        <w:pStyle w:val="pie"/>
        <w:spacing w:after="0"/>
        <w:ind w:left="993" w:right="55" w:hanging="567"/>
        <w:rPr>
          <w:lang w:val="es-MX"/>
        </w:rPr>
      </w:pPr>
      <w:r w:rsidRPr="003C00D4">
        <w:rPr>
          <w:lang w:val="es-MX"/>
        </w:rPr>
        <w:t>*</w:t>
      </w:r>
      <w:r>
        <w:rPr>
          <w:lang w:val="es-MX"/>
        </w:rPr>
        <w:tab/>
      </w:r>
      <w:r w:rsidRPr="003C00D4">
        <w:rPr>
          <w:lang w:val="es-MX"/>
        </w:rPr>
        <w:t xml:space="preserve">Se considera como valor observado </w:t>
      </w:r>
      <w:r w:rsidR="00173A79" w:rsidRPr="00173A79">
        <w:rPr>
          <w:lang w:val="es-MX"/>
        </w:rPr>
        <w:t>según el Indicador Mensual de la Actividad Industrial.</w:t>
      </w:r>
    </w:p>
    <w:p w14:paraId="3A747815" w14:textId="4E32F4D8" w:rsidR="00970261" w:rsidRPr="00D5238C" w:rsidRDefault="00970261" w:rsidP="00A90446">
      <w:pPr>
        <w:pStyle w:val="pie"/>
        <w:spacing w:after="0"/>
        <w:ind w:left="851" w:right="55" w:hanging="425"/>
        <w:rPr>
          <w:lang w:val="es-MX"/>
        </w:rPr>
      </w:pPr>
      <w:r w:rsidRPr="00D5238C">
        <w:rPr>
          <w:lang w:val="es-MX"/>
        </w:rPr>
        <w:t>Fuente: INEGI</w:t>
      </w:r>
    </w:p>
    <w:p w14:paraId="764C3300" w14:textId="50AE6E54" w:rsidR="00BF7224" w:rsidRDefault="00BF7224" w:rsidP="00DD2D89">
      <w:pPr>
        <w:spacing w:before="240"/>
        <w:rPr>
          <w:rFonts w:ascii="Times New Roman" w:hAnsi="Times New Roman" w:cs="Times New Roman"/>
          <w:lang w:val="es-MX" w:eastAsia="es-MX"/>
        </w:rPr>
      </w:pPr>
      <w:r w:rsidRPr="00BF7224">
        <w:rPr>
          <w:lang w:val="es-MX"/>
        </w:rPr>
        <w:t>Las gráficas 1, 2 y 3 muestran los resultados del IOAE</w:t>
      </w:r>
      <w:r w:rsidR="002F6AC7">
        <w:rPr>
          <w:lang w:val="es-MX"/>
        </w:rPr>
        <w:t xml:space="preserve"> y de</w:t>
      </w:r>
      <w:r w:rsidRPr="00BF7224">
        <w:rPr>
          <w:lang w:val="es-MX"/>
        </w:rPr>
        <w:t xml:space="preserve">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s</w:t>
      </w:r>
      <w:r w:rsidRPr="00BF7224">
        <w:rPr>
          <w:lang w:val="es-MX"/>
        </w:rPr>
        <w:t>ecundarias</w:t>
      </w:r>
      <w:r w:rsidR="002F6AC7">
        <w:rPr>
          <w:lang w:val="es-MX"/>
        </w:rPr>
        <w:t xml:space="preserve"> y</w:t>
      </w:r>
      <w:r w:rsidRPr="00BF7224">
        <w:rPr>
          <w:lang w:val="es-MX"/>
        </w:rPr>
        <w:t xml:space="preserve"> </w:t>
      </w:r>
      <w:r w:rsidR="00C3335C">
        <w:rPr>
          <w:lang w:val="es-MX"/>
        </w:rPr>
        <w:t>t</w:t>
      </w:r>
      <w:r w:rsidRPr="00BF7224">
        <w:rPr>
          <w:lang w:val="es-MX"/>
        </w:rPr>
        <w:t>erciarias, respectivamente. En cada caso, la línea azul representa la variación porcentual anual de la serie de interés</w:t>
      </w:r>
      <w:r w:rsidR="0007593B">
        <w:rPr>
          <w:lang w:val="es-MX"/>
        </w:rPr>
        <w:t xml:space="preserve"> y</w:t>
      </w:r>
      <w:r w:rsidRPr="00BF7224">
        <w:rPr>
          <w:lang w:val="es-MX"/>
        </w:rPr>
        <w:t xml:space="preserve"> la línea negra </w:t>
      </w:r>
      <w:r w:rsidRPr="00A84E37">
        <w:rPr>
          <w:lang w:val="es-MX"/>
        </w:rPr>
        <w:t>punteada se refiere al ajuste del modelo de estimación</w:t>
      </w:r>
      <w:r w:rsidR="009C16FA">
        <w:rPr>
          <w:lang w:val="es-MX"/>
        </w:rPr>
        <w:t>. La</w:t>
      </w:r>
      <w:r w:rsidRPr="00A84E37">
        <w:rPr>
          <w:lang w:val="es-MX"/>
        </w:rPr>
        <w:t xml:space="preserve"> línea roja muestra los </w:t>
      </w:r>
      <w:proofErr w:type="spellStart"/>
      <w:r w:rsidRPr="00A84E37">
        <w:rPr>
          <w:i/>
          <w:iCs/>
          <w:lang w:val="es-MX"/>
        </w:rPr>
        <w:t>nowcasts</w:t>
      </w:r>
      <w:proofErr w:type="spellEnd"/>
      <w:r w:rsidRPr="00A84E37">
        <w:rPr>
          <w:rStyle w:val="Refdenotaalpie"/>
          <w:lang w:val="es-MX"/>
        </w:rPr>
        <w:footnoteReference w:id="2"/>
      </w:r>
      <w:r w:rsidRPr="00A84E37">
        <w:rPr>
          <w:lang w:val="es-MX"/>
        </w:rPr>
        <w:t xml:space="preserve"> de </w:t>
      </w:r>
      <w:r w:rsidR="00AC50E0" w:rsidRPr="00A84E37">
        <w:rPr>
          <w:lang w:val="es-MX"/>
        </w:rPr>
        <w:t xml:space="preserve">marzo </w:t>
      </w:r>
      <w:r w:rsidR="003C3B47">
        <w:rPr>
          <w:lang w:val="es-MX"/>
        </w:rPr>
        <w:t xml:space="preserve">y abril </w:t>
      </w:r>
      <w:r w:rsidR="00D40F50" w:rsidRPr="00A84E37">
        <w:rPr>
          <w:lang w:val="es-MX"/>
        </w:rPr>
        <w:t>de 2023</w:t>
      </w:r>
      <w:r w:rsidRPr="00A84E37">
        <w:rPr>
          <w:lang w:val="es-MX"/>
        </w:rPr>
        <w:t>.</w:t>
      </w:r>
      <w:r w:rsidRPr="00A84E37">
        <w:rPr>
          <w:rStyle w:val="Refdenotaalpie"/>
          <w:lang w:val="es-MX"/>
        </w:rPr>
        <w:footnoteReference w:id="3"/>
      </w:r>
      <w:r w:rsidRPr="00A84E37">
        <w:rPr>
          <w:lang w:val="es-MX"/>
        </w:rPr>
        <w:t xml:space="preserve"> Las líneas verdes punteadas representan los intervalos de confianza a 95 por</w:t>
      </w:r>
      <w:r w:rsidRPr="00BF7224">
        <w:rPr>
          <w:lang w:val="es-MX"/>
        </w:rPr>
        <w:t xml:space="preserve"> ciento.</w:t>
      </w:r>
      <w:r>
        <w:rPr>
          <w:rFonts w:ascii="Times New Roman" w:hAnsi="Times New Roman" w:cs="Times New Roman"/>
          <w:lang w:val="es-MX" w:eastAsia="es-MX"/>
        </w:rPr>
        <w:t xml:space="preserve"> </w:t>
      </w:r>
    </w:p>
    <w:p w14:paraId="1355C9B6" w14:textId="77777777" w:rsidR="00970261" w:rsidRPr="004C6A26" w:rsidRDefault="00970261" w:rsidP="00C104CE">
      <w:pPr>
        <w:pStyle w:val="Titcuadrograf"/>
        <w:keepNext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>Gráfica 1</w:t>
      </w:r>
    </w:p>
    <w:p w14:paraId="5D280735" w14:textId="7F6754D5" w:rsidR="00970261" w:rsidRDefault="00970261" w:rsidP="00C104CE">
      <w:pPr>
        <w:pStyle w:val="Titcuadrograf"/>
        <w:keepNext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F32E1A">
        <w:rPr>
          <w:i/>
          <w:sz w:val="22"/>
          <w:szCs w:val="22"/>
        </w:rPr>
        <w:t>n</w:t>
      </w:r>
      <w:r w:rsidR="00F32E1A" w:rsidRPr="0075037F">
        <w:rPr>
          <w:i/>
          <w:sz w:val="22"/>
          <w:szCs w:val="22"/>
        </w:rPr>
        <w:t>owcast</w:t>
      </w:r>
      <w:proofErr w:type="spellEnd"/>
      <w:r w:rsidR="00F32E1A" w:rsidRPr="00E15E72"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del IGAE</w:t>
      </w:r>
    </w:p>
    <w:p w14:paraId="63A97004" w14:textId="64E80021" w:rsidR="00970261" w:rsidRPr="00177AEC" w:rsidRDefault="00177AEC" w:rsidP="00C104CE">
      <w:pPr>
        <w:pStyle w:val="Titcuadrograf"/>
        <w:keepNext/>
        <w:ind w:left="0"/>
        <w:rPr>
          <w:b w:val="0"/>
          <w:smallCaps w:val="0"/>
          <w:sz w:val="20"/>
          <w:szCs w:val="20"/>
        </w:rPr>
      </w:pPr>
      <w:r w:rsidRPr="00177AEC">
        <w:rPr>
          <w:bCs/>
          <w:sz w:val="20"/>
          <w:szCs w:val="20"/>
        </w:rPr>
        <w:t>m</w:t>
      </w:r>
      <w:r w:rsidR="00970261" w:rsidRPr="00177AEC">
        <w:rPr>
          <w:bCs/>
          <w:sz w:val="20"/>
          <w:szCs w:val="20"/>
        </w:rPr>
        <w:t>odelos estimados con series desestacionalizadas</w:t>
      </w:r>
    </w:p>
    <w:p w14:paraId="5597FA88" w14:textId="0AE22D5A" w:rsidR="00BF7224" w:rsidRDefault="00BF7224" w:rsidP="00C104CE">
      <w:pPr>
        <w:keepNext/>
        <w:jc w:val="center"/>
        <w:rPr>
          <w:sz w:val="18"/>
          <w:szCs w:val="18"/>
        </w:rPr>
      </w:pPr>
      <w:r>
        <w:rPr>
          <w:sz w:val="18"/>
          <w:szCs w:val="18"/>
        </w:rPr>
        <w:t>(Variación porcentual</w:t>
      </w:r>
      <w:r w:rsidR="00797B87">
        <w:rPr>
          <w:sz w:val="18"/>
          <w:szCs w:val="18"/>
        </w:rPr>
        <w:t xml:space="preserve"> real</w:t>
      </w:r>
      <w:r>
        <w:rPr>
          <w:sz w:val="18"/>
          <w:szCs w:val="18"/>
        </w:rPr>
        <w:t xml:space="preserve"> respecto al mismo mes del año anterior.</w:t>
      </w:r>
      <w:r w:rsidR="00D40F50">
        <w:rPr>
          <w:sz w:val="18"/>
          <w:szCs w:val="18"/>
        </w:rPr>
        <w:t xml:space="preserve"> </w:t>
      </w:r>
      <w:r w:rsidR="003C3B47">
        <w:rPr>
          <w:sz w:val="18"/>
          <w:szCs w:val="18"/>
        </w:rPr>
        <w:t>M</w:t>
      </w:r>
      <w:r w:rsidR="00AC50E0">
        <w:rPr>
          <w:sz w:val="18"/>
          <w:szCs w:val="18"/>
        </w:rPr>
        <w:t>arzo</w:t>
      </w:r>
      <w:r w:rsidR="003C3B47">
        <w:rPr>
          <w:sz w:val="18"/>
          <w:szCs w:val="18"/>
        </w:rPr>
        <w:t xml:space="preserve"> y abril</w:t>
      </w:r>
      <w:r w:rsidR="00D40F50">
        <w:rPr>
          <w:sz w:val="18"/>
          <w:szCs w:val="18"/>
        </w:rPr>
        <w:t xml:space="preserve"> de 2023</w:t>
      </w:r>
      <w:r>
        <w:rPr>
          <w:sz w:val="18"/>
          <w:szCs w:val="18"/>
        </w:rPr>
        <w:t>)</w:t>
      </w:r>
    </w:p>
    <w:p w14:paraId="0C4BE1DB" w14:textId="7944F67A" w:rsidR="003732C8" w:rsidRDefault="003732C8" w:rsidP="00C104CE">
      <w:pPr>
        <w:keepNext/>
        <w:tabs>
          <w:tab w:val="left" w:pos="6540"/>
        </w:tabs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5B09A75" wp14:editId="2DA68786">
            <wp:extent cx="4680000" cy="2520000"/>
            <wp:effectExtent l="0" t="0" r="6350" b="13970"/>
            <wp:docPr id="18623972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773B4E-9BBE-48B0-883B-3610D007E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B67DA3" w14:textId="1E5DD984" w:rsidR="00CA2517" w:rsidRPr="00D5238C" w:rsidRDefault="00CA2517" w:rsidP="00A90446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778E291" w14:textId="77777777" w:rsidR="00A90446" w:rsidRDefault="00A90446">
      <w:pPr>
        <w:jc w:val="left"/>
        <w:rPr>
          <w:sz w:val="20"/>
          <w:szCs w:val="20"/>
          <w:lang w:val="es-MX"/>
        </w:rPr>
      </w:pPr>
      <w:r>
        <w:rPr>
          <w:b/>
          <w:smallCaps/>
          <w:sz w:val="20"/>
          <w:szCs w:val="20"/>
        </w:rPr>
        <w:br w:type="page"/>
      </w:r>
    </w:p>
    <w:p w14:paraId="0E69642F" w14:textId="77777777" w:rsidR="009504C3" w:rsidRDefault="009504C3" w:rsidP="009504C3">
      <w:pPr>
        <w:pStyle w:val="Titcuadrograf"/>
        <w:ind w:left="0"/>
        <w:rPr>
          <w:b w:val="0"/>
          <w:smallCaps w:val="0"/>
          <w:sz w:val="20"/>
          <w:szCs w:val="20"/>
        </w:rPr>
      </w:pPr>
    </w:p>
    <w:p w14:paraId="131CF42B" w14:textId="7FAC41E8" w:rsidR="00970261" w:rsidRPr="004C6A26" w:rsidRDefault="00970261" w:rsidP="009504C3">
      <w:pPr>
        <w:pStyle w:val="Titcuadrograf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2</w:t>
      </w:r>
    </w:p>
    <w:p w14:paraId="58CFBE4E" w14:textId="5A2D31B5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4E727A">
        <w:rPr>
          <w:i/>
          <w:sz w:val="22"/>
          <w:szCs w:val="22"/>
        </w:rPr>
        <w:t>n</w:t>
      </w:r>
      <w:r w:rsidR="004E727A" w:rsidRPr="0075037F">
        <w:rPr>
          <w:i/>
          <w:sz w:val="22"/>
          <w:szCs w:val="22"/>
        </w:rPr>
        <w:t>owcast</w:t>
      </w:r>
      <w:proofErr w:type="spellEnd"/>
      <w:r w:rsidR="004E727A" w:rsidRPr="00E15E72">
        <w:rPr>
          <w:iCs/>
          <w:sz w:val="22"/>
          <w:szCs w:val="22"/>
        </w:rPr>
        <w:t xml:space="preserve"> </w:t>
      </w:r>
      <w:r w:rsidRPr="00E15E72">
        <w:rPr>
          <w:sz w:val="22"/>
          <w:szCs w:val="22"/>
        </w:rPr>
        <w:t xml:space="preserve">de las actividades secundarias </w:t>
      </w:r>
    </w:p>
    <w:p w14:paraId="34C4A861" w14:textId="29EA62B7" w:rsidR="00970261" w:rsidRPr="00177AEC" w:rsidRDefault="00177AEC" w:rsidP="00970261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970261" w:rsidRPr="00177AEC">
        <w:rPr>
          <w:sz w:val="20"/>
          <w:szCs w:val="20"/>
        </w:rPr>
        <w:t>odelos estimados con series desestacionalizadas</w:t>
      </w:r>
    </w:p>
    <w:p w14:paraId="2CC9A691" w14:textId="2FCF84EB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</w:t>
      </w:r>
      <w:r w:rsidR="00797B87">
        <w:rPr>
          <w:sz w:val="18"/>
          <w:szCs w:val="18"/>
        </w:rPr>
        <w:t xml:space="preserve">real </w:t>
      </w:r>
      <w:r>
        <w:rPr>
          <w:sz w:val="18"/>
          <w:szCs w:val="18"/>
        </w:rPr>
        <w:t xml:space="preserve">respecto al mismo mes del año anterior. </w:t>
      </w:r>
      <w:r w:rsidR="0004538A">
        <w:rPr>
          <w:sz w:val="18"/>
          <w:szCs w:val="18"/>
        </w:rPr>
        <w:t>Abril</w:t>
      </w:r>
      <w:r>
        <w:rPr>
          <w:sz w:val="18"/>
          <w:szCs w:val="18"/>
        </w:rPr>
        <w:t xml:space="preserve"> de 202</w:t>
      </w:r>
      <w:r w:rsidR="00D40F50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574E877B" w14:textId="4372016E" w:rsidR="0004538A" w:rsidRDefault="0004538A" w:rsidP="00BF7224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07ADC071" wp14:editId="777DF9FD">
            <wp:extent cx="4680000" cy="2520000"/>
            <wp:effectExtent l="0" t="0" r="6350" b="13970"/>
            <wp:docPr id="15159999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F2EECE-A8FA-42B7-B0C4-CD3917B2FB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11AA54" w14:textId="77777777" w:rsidR="00CA2517" w:rsidRPr="00D5238C" w:rsidRDefault="00CA2517" w:rsidP="00A90446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7BDFDAB1" w14:textId="77777777" w:rsidR="00970261" w:rsidRPr="004C6A26" w:rsidRDefault="00970261" w:rsidP="00C104CE">
      <w:pPr>
        <w:pStyle w:val="Titcuadrograf"/>
        <w:keepNext/>
        <w:keepLines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55D5C551" w14:textId="22470E7F" w:rsidR="00970261" w:rsidRDefault="00970261" w:rsidP="00C104CE">
      <w:pPr>
        <w:keepNext/>
        <w:keepLines/>
        <w:jc w:val="center"/>
        <w:rPr>
          <w:b/>
          <w:bCs/>
          <w:sz w:val="22"/>
          <w:szCs w:val="22"/>
        </w:rPr>
      </w:pPr>
      <w:r w:rsidRPr="00E15E72">
        <w:rPr>
          <w:rStyle w:val="TitcuadrografCar"/>
          <w:color w:val="auto"/>
          <w:sz w:val="22"/>
          <w:szCs w:val="22"/>
        </w:rPr>
        <w:t xml:space="preserve">IOAE: </w:t>
      </w:r>
      <w:proofErr w:type="spellStart"/>
      <w:r w:rsidR="00186283">
        <w:rPr>
          <w:rStyle w:val="TitcuadrografCar"/>
          <w:i/>
          <w:iCs/>
          <w:color w:val="auto"/>
          <w:sz w:val="22"/>
          <w:szCs w:val="22"/>
        </w:rPr>
        <w:t>n</w:t>
      </w:r>
      <w:r w:rsidR="00186283" w:rsidRPr="0075037F">
        <w:rPr>
          <w:rStyle w:val="TitcuadrografCar"/>
          <w:i/>
          <w:iCs/>
          <w:color w:val="auto"/>
          <w:sz w:val="22"/>
          <w:szCs w:val="22"/>
        </w:rPr>
        <w:t>owcast</w:t>
      </w:r>
      <w:proofErr w:type="spellEnd"/>
      <w:r w:rsidR="00186283" w:rsidRPr="00E15E72">
        <w:rPr>
          <w:rStyle w:val="TitcuadrografCar"/>
          <w:color w:val="auto"/>
          <w:sz w:val="22"/>
          <w:szCs w:val="22"/>
        </w:rPr>
        <w:t xml:space="preserve"> </w:t>
      </w:r>
      <w:r w:rsidRPr="00E15E72">
        <w:rPr>
          <w:rStyle w:val="TitcuadrografCar"/>
          <w:color w:val="auto"/>
          <w:sz w:val="22"/>
          <w:szCs w:val="22"/>
        </w:rPr>
        <w:t>de las actividades terciarias</w:t>
      </w:r>
      <w:r w:rsidRPr="00E15E72">
        <w:rPr>
          <w:b/>
          <w:bCs/>
          <w:sz w:val="22"/>
          <w:szCs w:val="22"/>
        </w:rPr>
        <w:t xml:space="preserve"> </w:t>
      </w:r>
    </w:p>
    <w:p w14:paraId="04FF8893" w14:textId="029111B6" w:rsidR="00970261" w:rsidRPr="00177AEC" w:rsidRDefault="00177AEC" w:rsidP="00C104CE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177AEC">
        <w:rPr>
          <w:bCs/>
          <w:sz w:val="20"/>
          <w:szCs w:val="20"/>
        </w:rPr>
        <w:t>m</w:t>
      </w:r>
      <w:r w:rsidR="00970261" w:rsidRPr="00177AEC">
        <w:rPr>
          <w:bCs/>
          <w:sz w:val="20"/>
          <w:szCs w:val="20"/>
        </w:rPr>
        <w:t>odelos estimados con series desestacionalizadas</w:t>
      </w:r>
    </w:p>
    <w:p w14:paraId="2BB14DCD" w14:textId="0CBADDB9" w:rsidR="00C01316" w:rsidRDefault="00C01316" w:rsidP="00C104CE">
      <w:pPr>
        <w:keepNext/>
        <w:keepLines/>
        <w:jc w:val="center"/>
        <w:rPr>
          <w:sz w:val="18"/>
          <w:szCs w:val="18"/>
        </w:rPr>
      </w:pPr>
      <w:r w:rsidRPr="00C01316">
        <w:rPr>
          <w:sz w:val="18"/>
          <w:szCs w:val="18"/>
        </w:rPr>
        <w:t xml:space="preserve">(Variación porcentual </w:t>
      </w:r>
      <w:r w:rsidR="00797B87">
        <w:rPr>
          <w:sz w:val="18"/>
          <w:szCs w:val="18"/>
        </w:rPr>
        <w:t xml:space="preserve">real </w:t>
      </w:r>
      <w:r w:rsidRPr="00C01316">
        <w:rPr>
          <w:sz w:val="18"/>
          <w:szCs w:val="18"/>
        </w:rPr>
        <w:t xml:space="preserve">respecto al mismo mes del año anterior. </w:t>
      </w:r>
      <w:r w:rsidR="0004538A">
        <w:rPr>
          <w:sz w:val="18"/>
          <w:szCs w:val="18"/>
        </w:rPr>
        <w:t>M</w:t>
      </w:r>
      <w:r w:rsidR="00E74737">
        <w:rPr>
          <w:sz w:val="18"/>
          <w:szCs w:val="18"/>
        </w:rPr>
        <w:t>arzo</w:t>
      </w:r>
      <w:r w:rsidR="0004538A">
        <w:rPr>
          <w:sz w:val="18"/>
          <w:szCs w:val="18"/>
        </w:rPr>
        <w:t xml:space="preserve"> y abril</w:t>
      </w:r>
      <w:r w:rsidRPr="00C01316">
        <w:rPr>
          <w:sz w:val="18"/>
          <w:szCs w:val="18"/>
        </w:rPr>
        <w:t xml:space="preserve"> de 202</w:t>
      </w:r>
      <w:r w:rsidR="00D40F50">
        <w:rPr>
          <w:sz w:val="18"/>
          <w:szCs w:val="18"/>
        </w:rPr>
        <w:t>3</w:t>
      </w:r>
      <w:r w:rsidRPr="00C01316">
        <w:rPr>
          <w:sz w:val="18"/>
          <w:szCs w:val="18"/>
        </w:rPr>
        <w:t>)</w:t>
      </w:r>
    </w:p>
    <w:p w14:paraId="539778FF" w14:textId="4B8252FD" w:rsidR="0004538A" w:rsidRDefault="0004538A" w:rsidP="00C104CE">
      <w:pPr>
        <w:pStyle w:val="Titcuadrograf"/>
        <w:keepNext/>
        <w:keepLines/>
        <w:ind w:left="0"/>
        <w:rPr>
          <w:sz w:val="22"/>
          <w:szCs w:val="22"/>
        </w:rPr>
      </w:pPr>
      <w:r>
        <w:rPr>
          <w:noProof/>
        </w:rPr>
        <w:drawing>
          <wp:inline distT="0" distB="0" distL="0" distR="0" wp14:anchorId="61B69398" wp14:editId="63EE5BFA">
            <wp:extent cx="4680000" cy="2520000"/>
            <wp:effectExtent l="0" t="0" r="6350" b="13970"/>
            <wp:docPr id="11478191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27A845-A492-4E86-85F1-A8D9B6471A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3379DB4" w14:textId="77777777" w:rsidR="00CA2517" w:rsidRPr="00D5238C" w:rsidRDefault="00CA2517" w:rsidP="00A90446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0DB45385" w14:textId="61320A67" w:rsidR="00970261" w:rsidRPr="00EA35DD" w:rsidRDefault="358C8EA8" w:rsidP="00970261">
      <w:pPr>
        <w:spacing w:before="240"/>
        <w:rPr>
          <w:spacing w:val="-2"/>
          <w:sz w:val="20"/>
          <w:szCs w:val="20"/>
          <w:lang w:val="es-MX"/>
        </w:rPr>
      </w:pPr>
      <w:r w:rsidRPr="00EA35DD">
        <w:rPr>
          <w:spacing w:val="-2"/>
          <w:lang w:val="es-MX"/>
        </w:rPr>
        <w:t>Las gráficas 4 y 5 muestran las estimaciones para el IGAE, por medio del IOAE, de la variación porcentual real con relación al mes anterior y del índice (base 2013=100), respectivamente. En cada caso, la línea azul representa el valor observado</w:t>
      </w:r>
      <w:r w:rsidR="00AF6EA3">
        <w:rPr>
          <w:spacing w:val="-2"/>
          <w:lang w:val="es-MX"/>
        </w:rPr>
        <w:t xml:space="preserve"> y</w:t>
      </w:r>
      <w:r w:rsidRPr="00EA35DD">
        <w:rPr>
          <w:spacing w:val="-2"/>
          <w:lang w:val="es-MX"/>
        </w:rPr>
        <w:t xml:space="preserve"> la línea negra punteada muestra el ajuste del modelo de estimación</w:t>
      </w:r>
      <w:r w:rsidR="00AF6EA3">
        <w:rPr>
          <w:spacing w:val="-2"/>
          <w:lang w:val="es-MX"/>
        </w:rPr>
        <w:t>. La</w:t>
      </w:r>
      <w:r w:rsidR="005D0E82">
        <w:rPr>
          <w:spacing w:val="-2"/>
          <w:lang w:val="es-MX"/>
        </w:rPr>
        <w:t xml:space="preserve"> línea</w:t>
      </w:r>
      <w:r w:rsidR="00AF6EA3">
        <w:rPr>
          <w:spacing w:val="-2"/>
          <w:lang w:val="es-MX"/>
        </w:rPr>
        <w:t xml:space="preserve"> roja son </w:t>
      </w:r>
      <w:r w:rsidRPr="00EA35DD">
        <w:rPr>
          <w:spacing w:val="-2"/>
          <w:lang w:val="es-MX"/>
        </w:rPr>
        <w:t xml:space="preserve">los </w:t>
      </w:r>
      <w:proofErr w:type="spellStart"/>
      <w:r w:rsidRPr="277D78A8">
        <w:rPr>
          <w:i/>
          <w:iCs/>
          <w:spacing w:val="-2"/>
          <w:lang w:val="es-MX"/>
        </w:rPr>
        <w:t>nowcasts</w:t>
      </w:r>
      <w:proofErr w:type="spellEnd"/>
      <w:r w:rsidRPr="00EA35DD">
        <w:rPr>
          <w:spacing w:val="-2"/>
          <w:lang w:val="es-MX"/>
        </w:rPr>
        <w:t xml:space="preserve"> de</w:t>
      </w:r>
      <w:r w:rsidR="004D1CE9">
        <w:rPr>
          <w:lang w:val="es-MX"/>
        </w:rPr>
        <w:t xml:space="preserve"> </w:t>
      </w:r>
      <w:r w:rsidR="00482EC9">
        <w:rPr>
          <w:lang w:val="es-MX"/>
        </w:rPr>
        <w:t>marzo</w:t>
      </w:r>
      <w:r w:rsidR="0004538A">
        <w:rPr>
          <w:lang w:val="es-MX"/>
        </w:rPr>
        <w:t xml:space="preserve"> y abril</w:t>
      </w:r>
      <w:r w:rsidR="004D1CE9">
        <w:rPr>
          <w:lang w:val="es-MX"/>
        </w:rPr>
        <w:t xml:space="preserve"> </w:t>
      </w:r>
      <w:r w:rsidR="57E5C8E3">
        <w:rPr>
          <w:lang w:val="es-MX"/>
        </w:rPr>
        <w:t>de 2023</w:t>
      </w:r>
      <w:r w:rsidR="005D0E82">
        <w:rPr>
          <w:lang w:val="es-MX"/>
        </w:rPr>
        <w:t xml:space="preserve"> y las </w:t>
      </w:r>
      <w:r w:rsidRPr="00EA35DD">
        <w:rPr>
          <w:spacing w:val="-2"/>
          <w:lang w:val="es-MX"/>
        </w:rPr>
        <w:t>verdes punteadas representan los intervalos de confianza a 95 por ciento.</w:t>
      </w:r>
    </w:p>
    <w:p w14:paraId="2702FE68" w14:textId="77777777" w:rsidR="00A90446" w:rsidRDefault="00A90446">
      <w:pPr>
        <w:jc w:val="left"/>
        <w:rPr>
          <w:sz w:val="20"/>
          <w:szCs w:val="20"/>
          <w:lang w:val="es-MX"/>
        </w:rPr>
      </w:pPr>
      <w:r>
        <w:rPr>
          <w:b/>
          <w:smallCaps/>
          <w:sz w:val="20"/>
          <w:szCs w:val="20"/>
        </w:rPr>
        <w:br w:type="page"/>
      </w:r>
    </w:p>
    <w:p w14:paraId="44FC6C8A" w14:textId="77777777" w:rsidR="009504C3" w:rsidRDefault="009504C3" w:rsidP="009504C3">
      <w:pPr>
        <w:pStyle w:val="Titcuadrograf"/>
        <w:ind w:left="0"/>
        <w:rPr>
          <w:b w:val="0"/>
          <w:smallCaps w:val="0"/>
          <w:sz w:val="20"/>
          <w:szCs w:val="20"/>
        </w:rPr>
      </w:pPr>
    </w:p>
    <w:p w14:paraId="59F4E02B" w14:textId="707EA13C" w:rsidR="00970261" w:rsidRPr="004C6A26" w:rsidRDefault="00970261" w:rsidP="009504C3">
      <w:pPr>
        <w:pStyle w:val="Titcuadrograf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4</w:t>
      </w:r>
    </w:p>
    <w:p w14:paraId="2248BD12" w14:textId="5E441EBE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0B1A0E">
        <w:rPr>
          <w:i/>
          <w:sz w:val="22"/>
          <w:szCs w:val="22"/>
        </w:rPr>
        <w:t>n</w:t>
      </w:r>
      <w:r w:rsidR="000B1A0E" w:rsidRPr="0075037F">
        <w:rPr>
          <w:i/>
          <w:sz w:val="22"/>
          <w:szCs w:val="22"/>
        </w:rPr>
        <w:t>owcast</w:t>
      </w:r>
      <w:proofErr w:type="spellEnd"/>
      <w:r w:rsidR="000B1A0E" w:rsidRPr="00E15E72"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del IGAE</w:t>
      </w:r>
    </w:p>
    <w:p w14:paraId="5B8A2125" w14:textId="30FECA54" w:rsidR="00970261" w:rsidRPr="00177AEC" w:rsidRDefault="00177AEC" w:rsidP="00970261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970261" w:rsidRPr="00177AEC">
        <w:rPr>
          <w:sz w:val="20"/>
          <w:szCs w:val="20"/>
        </w:rPr>
        <w:t>odelos estimados con series desestacionalizadas</w:t>
      </w:r>
    </w:p>
    <w:p w14:paraId="13512600" w14:textId="14C9E2FE" w:rsidR="00E72CC1" w:rsidRDefault="002C3968" w:rsidP="00E72CC1">
      <w:pPr>
        <w:jc w:val="center"/>
        <w:rPr>
          <w:sz w:val="18"/>
          <w:szCs w:val="18"/>
        </w:rPr>
      </w:pPr>
      <w:r w:rsidRPr="002C3968">
        <w:rPr>
          <w:sz w:val="18"/>
          <w:szCs w:val="18"/>
        </w:rPr>
        <w:t xml:space="preserve">(Variación porcentual real respecto al mes anterior. </w:t>
      </w:r>
      <w:r w:rsidR="0004538A">
        <w:rPr>
          <w:sz w:val="18"/>
          <w:szCs w:val="18"/>
        </w:rPr>
        <w:t>M</w:t>
      </w:r>
      <w:r w:rsidR="00E74737">
        <w:rPr>
          <w:sz w:val="18"/>
          <w:szCs w:val="18"/>
        </w:rPr>
        <w:t>arzo</w:t>
      </w:r>
      <w:r w:rsidR="0004538A">
        <w:rPr>
          <w:sz w:val="18"/>
          <w:szCs w:val="18"/>
        </w:rPr>
        <w:t xml:space="preserve"> y abril</w:t>
      </w:r>
      <w:r w:rsidRPr="002C3968">
        <w:rPr>
          <w:sz w:val="18"/>
          <w:szCs w:val="18"/>
        </w:rPr>
        <w:t xml:space="preserve"> de 2023)</w:t>
      </w:r>
    </w:p>
    <w:p w14:paraId="2D42E8E2" w14:textId="164E737F" w:rsidR="0004538A" w:rsidRDefault="0004538A" w:rsidP="277D78A8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5AB19B56" wp14:editId="17D65AE4">
            <wp:extent cx="4680000" cy="2520000"/>
            <wp:effectExtent l="0" t="0" r="6350" b="13970"/>
            <wp:docPr id="9535132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0BD23C-B843-48B7-B68D-16300C856A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DC0A651" w14:textId="77777777" w:rsidR="00CA2517" w:rsidRPr="00D5238C" w:rsidRDefault="00CA2517" w:rsidP="00A90446">
      <w:pPr>
        <w:pStyle w:val="pie"/>
        <w:spacing w:after="0"/>
        <w:ind w:left="851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A0A77C0" w14:textId="493DCBC6" w:rsidR="00970261" w:rsidRPr="004C6A26" w:rsidRDefault="00970261" w:rsidP="007A5DCF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5</w:t>
      </w:r>
    </w:p>
    <w:p w14:paraId="6EA0C442" w14:textId="443C92D2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="00EE0582">
        <w:rPr>
          <w:i/>
          <w:sz w:val="22"/>
          <w:szCs w:val="22"/>
        </w:rPr>
        <w:t>n</w:t>
      </w:r>
      <w:r w:rsidR="00EE0582" w:rsidRPr="0075037F">
        <w:rPr>
          <w:i/>
          <w:sz w:val="22"/>
          <w:szCs w:val="22"/>
        </w:rPr>
        <w:t>owcast</w:t>
      </w:r>
      <w:proofErr w:type="spellEnd"/>
      <w:r w:rsidR="00EE0582" w:rsidRPr="00E15E72"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del IGAE</w:t>
      </w:r>
    </w:p>
    <w:p w14:paraId="28960B11" w14:textId="03465D50" w:rsidR="00970261" w:rsidRPr="00177AEC" w:rsidRDefault="00177AEC" w:rsidP="00970261">
      <w:pPr>
        <w:pStyle w:val="Titcuadrograf"/>
        <w:ind w:left="0"/>
        <w:rPr>
          <w:sz w:val="20"/>
          <w:szCs w:val="20"/>
        </w:rPr>
      </w:pPr>
      <w:r w:rsidRPr="00177AEC">
        <w:rPr>
          <w:sz w:val="20"/>
          <w:szCs w:val="20"/>
        </w:rPr>
        <w:t>m</w:t>
      </w:r>
      <w:r w:rsidR="00970261" w:rsidRPr="00177AEC">
        <w:rPr>
          <w:sz w:val="20"/>
          <w:szCs w:val="20"/>
        </w:rPr>
        <w:t>odelos estimados con series desestacionalizadas</w:t>
      </w:r>
    </w:p>
    <w:p w14:paraId="7D3EF52A" w14:textId="098445EA" w:rsidR="00E72CC1" w:rsidRDefault="002C3968" w:rsidP="00E72CC1">
      <w:pPr>
        <w:jc w:val="center"/>
        <w:rPr>
          <w:sz w:val="18"/>
          <w:szCs w:val="18"/>
        </w:rPr>
      </w:pPr>
      <w:r w:rsidRPr="002C3968">
        <w:rPr>
          <w:sz w:val="18"/>
          <w:szCs w:val="18"/>
        </w:rPr>
        <w:t xml:space="preserve">(Índice base 2013 = 100. </w:t>
      </w:r>
      <w:r w:rsidR="0004538A">
        <w:rPr>
          <w:sz w:val="18"/>
          <w:szCs w:val="18"/>
        </w:rPr>
        <w:t>M</w:t>
      </w:r>
      <w:r w:rsidR="00E74737">
        <w:rPr>
          <w:sz w:val="18"/>
          <w:szCs w:val="18"/>
        </w:rPr>
        <w:t>arzo</w:t>
      </w:r>
      <w:r w:rsidR="0004538A">
        <w:rPr>
          <w:sz w:val="18"/>
          <w:szCs w:val="18"/>
        </w:rPr>
        <w:t xml:space="preserve"> y abril</w:t>
      </w:r>
      <w:r w:rsidRPr="002C3968">
        <w:rPr>
          <w:sz w:val="18"/>
          <w:szCs w:val="18"/>
        </w:rPr>
        <w:t xml:space="preserve"> de 2023)</w:t>
      </w:r>
    </w:p>
    <w:p w14:paraId="6752E5D8" w14:textId="21201BBE" w:rsidR="0004538A" w:rsidRDefault="004A6C9D" w:rsidP="277D78A8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67D508AF" wp14:editId="6EB965A1">
            <wp:extent cx="4680000" cy="2520000"/>
            <wp:effectExtent l="0" t="0" r="6350" b="13970"/>
            <wp:docPr id="14439137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526532-A1AC-4B00-B651-9CAA9E306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511057C" w14:textId="77777777" w:rsidR="00CA2517" w:rsidRPr="00CA2517" w:rsidRDefault="00CA2517" w:rsidP="00A90446">
      <w:pPr>
        <w:pStyle w:val="Titcuadrograf"/>
        <w:ind w:left="1560" w:right="1077" w:hanging="170"/>
        <w:jc w:val="both"/>
        <w:rPr>
          <w:b w:val="0"/>
          <w:smallCaps w:val="0"/>
          <w:sz w:val="16"/>
        </w:rPr>
      </w:pPr>
      <w:r w:rsidRPr="00CA2517">
        <w:rPr>
          <w:b w:val="0"/>
          <w:smallCaps w:val="0"/>
          <w:sz w:val="16"/>
        </w:rPr>
        <w:t>Fuente: INEGI</w:t>
      </w:r>
    </w:p>
    <w:p w14:paraId="6D7A2BCD" w14:textId="5E2520DA" w:rsidR="00265514" w:rsidRPr="007C0EE1" w:rsidRDefault="00265514" w:rsidP="00265514">
      <w:pPr>
        <w:pStyle w:val="Subttulo"/>
        <w:spacing w:before="240"/>
        <w:ind w:right="-518"/>
        <w:jc w:val="both"/>
        <w:rPr>
          <w:bCs w:val="0"/>
          <w:smallCaps/>
          <w:spacing w:val="10"/>
        </w:rPr>
      </w:pPr>
      <w:r w:rsidRPr="007C0EE1">
        <w:rPr>
          <w:bCs w:val="0"/>
          <w:smallCaps/>
          <w:spacing w:val="10"/>
        </w:rPr>
        <w:t>Nota metodológica</w:t>
      </w:r>
    </w:p>
    <w:p w14:paraId="02EF4E17" w14:textId="766494F5" w:rsidR="00265514" w:rsidRPr="00D50FDA" w:rsidRDefault="00265514" w:rsidP="009504C3">
      <w:pPr>
        <w:spacing w:before="240"/>
      </w:pPr>
      <w:r w:rsidRPr="00D50FDA">
        <w:t>El I</w:t>
      </w:r>
      <w:r w:rsidR="000830EE">
        <w:t xml:space="preserve">OAE </w:t>
      </w:r>
      <w:r w:rsidRPr="00D50FDA">
        <w:t xml:space="preserve">se construye a partir de un modelo de </w:t>
      </w:r>
      <w:proofErr w:type="spellStart"/>
      <w:r w:rsidRPr="00D50FDA">
        <w:rPr>
          <w:i/>
        </w:rPr>
        <w:t>nowcasting</w:t>
      </w:r>
      <w:proofErr w:type="spellEnd"/>
      <w:r w:rsidRPr="00D50FDA">
        <w:t>. E</w:t>
      </w:r>
      <w:r w:rsidR="00D61EEC">
        <w:t>ste</w:t>
      </w:r>
      <w:r w:rsidRPr="00D50FDA">
        <w:t xml:space="preserve"> modelo econométrico parte de los logros previos del I</w:t>
      </w:r>
      <w:r w:rsidR="00E72E97">
        <w:t xml:space="preserve">nstituto </w:t>
      </w:r>
      <w:r w:rsidRPr="00D50FDA">
        <w:t>N</w:t>
      </w:r>
      <w:r w:rsidR="00E72E97">
        <w:t xml:space="preserve">acional de </w:t>
      </w:r>
      <w:r w:rsidRPr="00D50FDA">
        <w:t>E</w:t>
      </w:r>
      <w:r w:rsidR="00E72E97">
        <w:t xml:space="preserve">stadística y </w:t>
      </w:r>
      <w:r w:rsidRPr="00D50FDA">
        <w:t>G</w:t>
      </w:r>
      <w:r w:rsidR="00E72E97">
        <w:t>eografía (INEG</w:t>
      </w:r>
      <w:r w:rsidRPr="00D50FDA">
        <w:t>I</w:t>
      </w:r>
      <w:r w:rsidR="00E72E97">
        <w:t>)</w:t>
      </w:r>
      <w:r w:rsidRPr="00D50FDA">
        <w:t xml:space="preserve"> y los lleva un paso</w:t>
      </w:r>
      <w:r w:rsidR="00D61EEC">
        <w:t xml:space="preserve"> adelante </w:t>
      </w:r>
      <w:r w:rsidRPr="00D50FDA">
        <w:t xml:space="preserve">para ofrecer estimaciones más oportunas de la evolución de un conjunto de indicadores macroeconómicos de interés. Los modelos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se ubican en </w:t>
      </w:r>
      <w:r w:rsidR="009504C3" w:rsidRPr="00D50FDA">
        <w:t>un</w:t>
      </w:r>
      <w:r w:rsidR="009504C3">
        <w:t xml:space="preserve"> </w:t>
      </w:r>
      <w:r w:rsidR="009504C3" w:rsidRPr="00D50FDA">
        <w:t>lugar</w:t>
      </w:r>
      <w:r w:rsidRPr="00D50FDA">
        <w:t xml:space="preserve"> </w:t>
      </w:r>
      <w:r w:rsidR="009504C3">
        <w:t xml:space="preserve">   </w:t>
      </w:r>
      <w:r w:rsidRPr="00D50FDA">
        <w:lastRenderedPageBreak/>
        <w:t>intermedio entre los modelos de ajuste</w:t>
      </w:r>
      <w:r w:rsidR="00A23F19">
        <w:t xml:space="preserve"> —que</w:t>
      </w:r>
      <w:r w:rsidRPr="00D50FDA">
        <w:t xml:space="preserve"> suponen la disponibilidad contemporánea de la variable a estimar y de todas sus covariables</w:t>
      </w:r>
      <w:r w:rsidR="00A23F19">
        <w:t>— y</w:t>
      </w:r>
      <w:r w:rsidRPr="00D50FDA">
        <w:t xml:space="preserve"> los modelos de pronóstico</w:t>
      </w:r>
      <w:r w:rsidR="00A23F19">
        <w:t xml:space="preserve"> —que </w:t>
      </w:r>
      <w:r w:rsidRPr="00D50FDA">
        <w:t>hacen uso del pasado de las covariables y de la variable a estimar para predecir su futuro</w:t>
      </w:r>
      <w:r w:rsidR="00A23F19">
        <w:t>—</w:t>
      </w:r>
      <w:r w:rsidRPr="00D50FDA">
        <w:t>.</w:t>
      </w:r>
    </w:p>
    <w:p w14:paraId="31936A26" w14:textId="1FA480EF" w:rsidR="00265514" w:rsidRPr="00D50FDA" w:rsidRDefault="00E72E97" w:rsidP="008013A8">
      <w:pPr>
        <w:spacing w:before="240"/>
        <w:rPr>
          <w:sz w:val="23"/>
          <w:szCs w:val="23"/>
        </w:rPr>
      </w:pPr>
      <w:r>
        <w:t xml:space="preserve">Con </w:t>
      </w:r>
      <w:r w:rsidR="00265514" w:rsidRPr="00D50FDA">
        <w:t xml:space="preserve">el </w:t>
      </w:r>
      <w:proofErr w:type="spellStart"/>
      <w:r w:rsidR="00265514" w:rsidRPr="00D50FDA">
        <w:rPr>
          <w:i/>
        </w:rPr>
        <w:t>nowcasting</w:t>
      </w:r>
      <w:proofErr w:type="spellEnd"/>
      <w:r w:rsidR="00D61EEC">
        <w:rPr>
          <w:iCs/>
        </w:rPr>
        <w:t>,</w:t>
      </w:r>
      <w:r w:rsidR="00265514" w:rsidRPr="00D50FDA">
        <w:t xml:space="preserve"> se </w:t>
      </w:r>
      <w:r w:rsidR="00F2369D">
        <w:t>estima</w:t>
      </w:r>
      <w:r w:rsidR="00265514" w:rsidRPr="00D50FDA">
        <w:t xml:space="preserve"> el valor de la variable de interés</w:t>
      </w:r>
      <w:r w:rsidR="00A23F19">
        <w:t xml:space="preserve"> (</w:t>
      </w:r>
      <w:r w:rsidR="00265514" w:rsidRPr="00D50FDA">
        <w:t>por ejemplo, el IGAE</w:t>
      </w:r>
      <w:r w:rsidR="00A23F19">
        <w:t>)</w:t>
      </w:r>
      <w:r w:rsidR="00265514" w:rsidRPr="00D50FDA">
        <w:t xml:space="preserve"> a partir de la construcción de modelos econométricos subyacentes </w:t>
      </w:r>
      <w:r w:rsidR="00D632ED">
        <w:t>que sintetizan</w:t>
      </w:r>
      <w:r w:rsidR="00265514" w:rsidRPr="00D50FDA">
        <w:t xml:space="preserve"> el comportamiento de las covariables relevantes</w:t>
      </w:r>
      <w:r w:rsidR="00C71F36">
        <w:t xml:space="preserve"> </w:t>
      </w:r>
      <w:r w:rsidR="003410E2">
        <w:t>en el mismo periodo</w:t>
      </w:r>
      <w:r w:rsidR="00B0091F">
        <w:t>.</w:t>
      </w:r>
      <w:r w:rsidR="00265514" w:rsidRPr="00D50FDA">
        <w:t xml:space="preserve"> </w:t>
      </w:r>
      <w:r w:rsidR="00B0091F">
        <w:t>De esta forma</w:t>
      </w:r>
      <w:r w:rsidR="00111B2D">
        <w:t>,</w:t>
      </w:r>
      <w:r w:rsidR="00B0091F">
        <w:t xml:space="preserve"> se </w:t>
      </w:r>
      <w:r w:rsidR="00265514" w:rsidRPr="00D50FDA">
        <w:t>obtien</w:t>
      </w:r>
      <w:r w:rsidR="00B0091F">
        <w:t>en</w:t>
      </w:r>
      <w:r w:rsidR="00265514" w:rsidRPr="00D50FDA">
        <w:t xml:space="preserve"> estimaciones precisas que ayud</w:t>
      </w:r>
      <w:r w:rsidR="00ED0055">
        <w:t>a</w:t>
      </w:r>
      <w:r w:rsidR="00265514" w:rsidRPr="00D50FDA">
        <w:t xml:space="preserve">n a adelantar las señales económicas que, tiempo después, </w:t>
      </w:r>
      <w:r w:rsidR="00265514">
        <w:t>refleja</w:t>
      </w:r>
      <w:r w:rsidR="00A71AFE">
        <w:t>rá</w:t>
      </w:r>
      <w:r w:rsidR="00265514">
        <w:t xml:space="preserve">n </w:t>
      </w:r>
      <w:r w:rsidR="00265514" w:rsidRPr="00D50FDA">
        <w:t>las cifras de los indicadores oficiales que se producen por los métodos tradicionales de las encuestas, los registros administrativos o las Cuentas Nacionales. Estas estimaciones se hacen a partir de un subconjunto de covariables relevantes</w:t>
      </w:r>
      <w:r w:rsidR="005C68E7">
        <w:t xml:space="preserve"> contemporáneas a la variable de interés</w:t>
      </w:r>
      <w:r w:rsidR="008736D2">
        <w:t>.</w:t>
      </w:r>
      <w:r w:rsidR="00265514" w:rsidRPr="00D50FDA">
        <w:t xml:space="preserve"> </w:t>
      </w:r>
      <w:r w:rsidR="008736D2">
        <w:t>E</w:t>
      </w:r>
      <w:r w:rsidR="00265514" w:rsidRPr="00D50FDA">
        <w:t xml:space="preserve">n ningún momento se incurre en la estimación de pronósticos (que implicaría estimar la variable dependiente con referencia a periodos para los </w:t>
      </w:r>
      <w:r w:rsidR="00111B2D">
        <w:t xml:space="preserve">que no se cuenta con </w:t>
      </w:r>
      <w:r w:rsidR="00265514" w:rsidRPr="00D50FDA">
        <w:t>correlatos contemporáneos).</w:t>
      </w:r>
    </w:p>
    <w:p w14:paraId="7F5C0A92" w14:textId="5D140735" w:rsidR="00265514" w:rsidRPr="00D50FDA" w:rsidRDefault="0018651C" w:rsidP="00C104CE">
      <w:pPr>
        <w:keepLines/>
        <w:spacing w:before="240"/>
      </w:pPr>
      <w:r>
        <w:t xml:space="preserve">Nótese </w:t>
      </w:r>
      <w:r w:rsidR="00265514" w:rsidRPr="00D50FDA">
        <w:t xml:space="preserve">que los resultados del </w:t>
      </w:r>
      <w:proofErr w:type="spellStart"/>
      <w:r w:rsidR="00265514" w:rsidRPr="00D50FDA">
        <w:rPr>
          <w:i/>
          <w:iCs/>
        </w:rPr>
        <w:t>nowcasting</w:t>
      </w:r>
      <w:proofErr w:type="spellEnd"/>
      <w:r w:rsidR="00265514" w:rsidRPr="00D50FDA">
        <w:t xml:space="preserve"> no sustituyen de ninguna manera la información de las series oficiales que provienen de las </w:t>
      </w:r>
      <w:r w:rsidR="00C02269">
        <w:t>C</w:t>
      </w:r>
      <w:r w:rsidR="00265514" w:rsidRPr="00D50FDA">
        <w:t xml:space="preserve">uentas </w:t>
      </w:r>
      <w:r w:rsidR="00C02269">
        <w:t>N</w:t>
      </w:r>
      <w:r w:rsidR="00265514" w:rsidRPr="00D50FDA">
        <w:t xml:space="preserve">acionales o de las </w:t>
      </w:r>
      <w:r w:rsidR="00265514">
        <w:t>e</w:t>
      </w:r>
      <w:r w:rsidR="00265514" w:rsidRPr="00D50FDA">
        <w:t xml:space="preserve">ncuestas en </w:t>
      </w:r>
      <w:r w:rsidR="00265514">
        <w:t>e</w:t>
      </w:r>
      <w:r w:rsidR="00265514" w:rsidRPr="00D50FDA">
        <w:t xml:space="preserve">stablecimientos o en </w:t>
      </w:r>
      <w:r w:rsidR="00265514">
        <w:t>h</w:t>
      </w:r>
      <w:r w:rsidR="00265514" w:rsidRPr="00D50FDA">
        <w:t>ogares del INEGI</w:t>
      </w:r>
      <w:r w:rsidR="00265514">
        <w:t>.</w:t>
      </w:r>
      <w:r w:rsidR="003E2375">
        <w:t xml:space="preserve"> E</w:t>
      </w:r>
      <w:r w:rsidR="00265514">
        <w:t>n cambio,</w:t>
      </w:r>
      <w:r w:rsidR="00265514" w:rsidRPr="00D50FDA">
        <w:t xml:space="preserve"> </w:t>
      </w:r>
      <w:r w:rsidR="003E2375">
        <w:t xml:space="preserve">sí son </w:t>
      </w:r>
      <w:r w:rsidR="00265514" w:rsidRPr="00D50FDA">
        <w:t xml:space="preserve">un trabajo complementario que </w:t>
      </w:r>
      <w:r w:rsidR="00265514">
        <w:t>usa</w:t>
      </w:r>
      <w:r w:rsidR="00265514" w:rsidRPr="00D50FDA">
        <w:t xml:space="preserve"> los resultados de </w:t>
      </w:r>
      <w:r w:rsidR="00265514">
        <w:t xml:space="preserve">las series oficiales </w:t>
      </w:r>
      <w:r w:rsidR="00265514" w:rsidRPr="00D50FDA">
        <w:t xml:space="preserve">para ofrecer cifras cercanas a </w:t>
      </w:r>
      <w:r w:rsidR="00265514">
        <w:t xml:space="preserve">estas </w:t>
      </w:r>
      <w:r w:rsidR="00265514" w:rsidRPr="00D50FDA">
        <w:t xml:space="preserve">y más oportunas con base en la información relevante y disponible al momento de realizar dichas estimaciones. </w:t>
      </w:r>
    </w:p>
    <w:p w14:paraId="090E80EC" w14:textId="6C75AC49" w:rsidR="00265514" w:rsidRPr="00D50FDA" w:rsidRDefault="00265514" w:rsidP="008013A8">
      <w:pPr>
        <w:spacing w:before="240"/>
        <w:rPr>
          <w:lang w:val="es-MX"/>
        </w:rPr>
      </w:pPr>
      <w:r w:rsidRPr="00D50FDA">
        <w:rPr>
          <w:lang w:val="es-MX"/>
        </w:rPr>
        <w:t xml:space="preserve">Los resultados del IOAE se presentan la tercera semana de cada mes y hacen referencia a la tasa de crecimiento anual de los indicadores en cuestión para el mes inmediato anterior y para el mes antepasado. </w:t>
      </w:r>
      <w:r w:rsidR="00C81302">
        <w:rPr>
          <w:lang w:val="es-MX"/>
        </w:rPr>
        <w:t>L</w:t>
      </w:r>
      <w:r w:rsidRPr="00D50FDA">
        <w:rPr>
          <w:lang w:val="es-MX"/>
        </w:rPr>
        <w:t xml:space="preserve">os resultados oficiales del IGAE y sus actividades económicas se dan a conocer aproximadamente </w:t>
      </w:r>
      <w:r w:rsidR="00F421B7">
        <w:rPr>
          <w:lang w:val="es-MX"/>
        </w:rPr>
        <w:t>ocho</w:t>
      </w:r>
      <w:r w:rsidRPr="00D50FDA">
        <w:rPr>
          <w:lang w:val="es-MX"/>
        </w:rPr>
        <w:t xml:space="preserve"> semanas después de</w:t>
      </w:r>
      <w:r w:rsidR="00D61EEC">
        <w:rPr>
          <w:lang w:val="es-MX"/>
        </w:rPr>
        <w:t xml:space="preserve"> terminado </w:t>
      </w:r>
      <w:r w:rsidRPr="00D50FDA">
        <w:rPr>
          <w:lang w:val="es-MX"/>
        </w:rPr>
        <w:t>el mes de referencia</w:t>
      </w:r>
      <w:r w:rsidR="0022542C">
        <w:rPr>
          <w:lang w:val="es-MX"/>
        </w:rPr>
        <w:t>.</w:t>
      </w:r>
      <w:r w:rsidRPr="00D50FDA">
        <w:rPr>
          <w:lang w:val="es-MX"/>
        </w:rPr>
        <w:t xml:space="preserve"> </w:t>
      </w:r>
      <w:r w:rsidR="0022542C">
        <w:rPr>
          <w:lang w:val="es-MX"/>
        </w:rPr>
        <w:t>E</w:t>
      </w:r>
      <w:r w:rsidRPr="00D50FDA">
        <w:rPr>
          <w:lang w:val="es-MX"/>
        </w:rPr>
        <w:t xml:space="preserve">l IOAE está disponible una semana antes de que se reporten las cifras del IGAE del mes antepasado y </w:t>
      </w:r>
      <w:r w:rsidR="00F421B7">
        <w:rPr>
          <w:lang w:val="es-MX"/>
        </w:rPr>
        <w:t>cinco</w:t>
      </w:r>
      <w:r w:rsidRPr="00D50FDA">
        <w:rPr>
          <w:lang w:val="es-MX"/>
        </w:rPr>
        <w:t xml:space="preserve"> semanas </w:t>
      </w:r>
      <w:r w:rsidR="00711CB9">
        <w:rPr>
          <w:lang w:val="es-MX"/>
        </w:rPr>
        <w:t>antes</w:t>
      </w:r>
      <w:r w:rsidRPr="00D50FDA">
        <w:rPr>
          <w:lang w:val="es-MX"/>
        </w:rPr>
        <w:t xml:space="preserve"> </w:t>
      </w:r>
      <w:r w:rsidR="00711CB9">
        <w:rPr>
          <w:lang w:val="es-MX"/>
        </w:rPr>
        <w:t>de</w:t>
      </w:r>
      <w:r w:rsidRPr="00D50FDA">
        <w:rPr>
          <w:lang w:val="es-MX"/>
        </w:rPr>
        <w:t xml:space="preserve"> la publicación de las cifras oficiales del mes inmediato anterior.</w:t>
      </w:r>
    </w:p>
    <w:p w14:paraId="6FD98BF1" w14:textId="190AC834" w:rsidR="00265514" w:rsidRPr="00D50FDA" w:rsidRDefault="00D34CFF" w:rsidP="008013A8">
      <w:pPr>
        <w:spacing w:before="240"/>
      </w:pPr>
      <w:r>
        <w:t>Para</w:t>
      </w:r>
      <w:r w:rsidR="00265514" w:rsidRPr="00D50FDA">
        <w:t xml:space="preserve"> lograr el mejor ajuste del modelo en el margen </w:t>
      </w:r>
      <w:r w:rsidR="00BE7D6D">
        <w:t>(</w:t>
      </w:r>
      <w:r w:rsidR="00265514" w:rsidRPr="00D50FDA">
        <w:t>hacia el final de la serie</w:t>
      </w:r>
      <w:r w:rsidR="00BE7D6D">
        <w:t>)</w:t>
      </w:r>
      <w:r w:rsidR="00D61EEC">
        <w:t>,</w:t>
      </w:r>
      <w:r w:rsidR="00265514" w:rsidRPr="00D50FDA">
        <w:t xml:space="preserve"> se incorpora</w:t>
      </w:r>
      <w:r w:rsidR="00C776D2">
        <w:t>n</w:t>
      </w:r>
      <w:r w:rsidR="00265514" w:rsidRPr="00D50FDA">
        <w:t xml:space="preserve"> variables de alta frecuencia y oportunidad</w:t>
      </w:r>
      <w:r w:rsidR="00265514">
        <w:t>. A</w:t>
      </w:r>
      <w:r w:rsidR="00265514" w:rsidRPr="00D50FDA">
        <w:t>lgunas de e</w:t>
      </w:r>
      <w:r w:rsidR="00C776D2">
        <w:t>st</w:t>
      </w:r>
      <w:r w:rsidR="00265514" w:rsidRPr="00D50FDA">
        <w:t>as prov</w:t>
      </w:r>
      <w:r w:rsidR="00265514">
        <w:t>i</w:t>
      </w:r>
      <w:r w:rsidR="00265514" w:rsidRPr="00D50FDA">
        <w:t>enen de fuentes no tradicionales</w:t>
      </w:r>
      <w:r w:rsidR="00BE684F">
        <w:t>,</w:t>
      </w:r>
      <w:r w:rsidR="00265514" w:rsidRPr="00D50FDA">
        <w:t xml:space="preserve"> como reportes de búsquedas en </w:t>
      </w:r>
      <w:r w:rsidR="008A06E3">
        <w:t>i</w:t>
      </w:r>
      <w:r w:rsidR="00265514" w:rsidRPr="00D50FDA">
        <w:t xml:space="preserve">nternet </w:t>
      </w:r>
      <w:r w:rsidR="00EE4F1D">
        <w:t>(</w:t>
      </w:r>
      <w:r w:rsidR="00265514" w:rsidRPr="00D50FDA">
        <w:t xml:space="preserve">Google </w:t>
      </w:r>
      <w:proofErr w:type="spellStart"/>
      <w:r w:rsidR="00265514" w:rsidRPr="00D50FDA">
        <w:t>Trends</w:t>
      </w:r>
      <w:proofErr w:type="spellEnd"/>
      <w:r w:rsidR="00EE4F1D">
        <w:t>)</w:t>
      </w:r>
      <w:r w:rsidR="00265514" w:rsidRPr="00D50FDA">
        <w:t xml:space="preserve"> o de movilidad física de la población </w:t>
      </w:r>
      <w:r w:rsidR="008F1E07">
        <w:t>(</w:t>
      </w:r>
      <w:r w:rsidR="00265514" w:rsidRPr="00D50FDA">
        <w:t>geolocalización en redes sociales</w:t>
      </w:r>
      <w:r w:rsidR="00D61EEC">
        <w:t>,</w:t>
      </w:r>
      <w:r w:rsidR="00265514" w:rsidRPr="00D50FDA">
        <w:t xml:space="preserve"> como Twitter</w:t>
      </w:r>
      <w:r w:rsidR="008F1E07">
        <w:t>)</w:t>
      </w:r>
      <w:r w:rsidR="00265514" w:rsidRPr="00D50FDA">
        <w:t>.</w:t>
      </w:r>
      <w:r w:rsidR="00052AC3">
        <w:t xml:space="preserve"> </w:t>
      </w:r>
      <w:r w:rsidR="00265514" w:rsidRPr="00D50FDA">
        <w:t xml:space="preserve">La incorporación de este tipo de fuentes </w:t>
      </w:r>
      <w:r w:rsidR="00641398">
        <w:t>mejora</w:t>
      </w:r>
      <w:r w:rsidR="00265514" w:rsidRPr="00D50FDA">
        <w:t xml:space="preserve"> la precisión de los resultados del modelo de </w:t>
      </w:r>
      <w:proofErr w:type="spellStart"/>
      <w:r w:rsidR="00265514" w:rsidRPr="00D552B5">
        <w:rPr>
          <w:i/>
          <w:iCs/>
        </w:rPr>
        <w:t>nowcasting</w:t>
      </w:r>
      <w:proofErr w:type="spellEnd"/>
      <w:r w:rsidR="00AE7CDB">
        <w:rPr>
          <w:i/>
          <w:iCs/>
        </w:rPr>
        <w:t>,</w:t>
      </w:r>
      <w:r w:rsidR="00265514" w:rsidRPr="00D50FDA">
        <w:t xml:space="preserve"> a pesar de posibles cambios abruptos en la actividad económica. </w:t>
      </w:r>
    </w:p>
    <w:p w14:paraId="07DA8587" w14:textId="104D7058" w:rsidR="00265514" w:rsidRPr="00D50FDA" w:rsidRDefault="5F2C785F" w:rsidP="008013A8">
      <w:pPr>
        <w:spacing w:before="240"/>
        <w:rPr>
          <w:sz w:val="23"/>
          <w:szCs w:val="23"/>
        </w:rPr>
      </w:pPr>
      <w:r w:rsidRPr="00D50FDA">
        <w:t xml:space="preserve">El modelo de </w:t>
      </w:r>
      <w:proofErr w:type="spellStart"/>
      <w:r w:rsidRPr="277D78A8">
        <w:rPr>
          <w:i/>
          <w:iCs/>
        </w:rPr>
        <w:t>nowcasting</w:t>
      </w:r>
      <w:proofErr w:type="spellEnd"/>
      <w:r w:rsidR="00D04C40">
        <w:t>,</w:t>
      </w:r>
      <w:r w:rsidRPr="00D50FDA">
        <w:t xml:space="preserve"> que subyace al IOAE</w:t>
      </w:r>
      <w:r w:rsidR="00D04C40">
        <w:t>,</w:t>
      </w:r>
      <w:r w:rsidRPr="00D50FDA">
        <w:t xml:space="preserve"> se centra en construir un factor dinámico, oportuno y econométricamente válido a partir de la metodología de </w:t>
      </w:r>
      <w:proofErr w:type="spellStart"/>
      <w:r w:rsidRPr="00D50FDA">
        <w:t>Doz</w:t>
      </w:r>
      <w:proofErr w:type="spellEnd"/>
      <w:r w:rsidRPr="00D50FDA">
        <w:t xml:space="preserve"> </w:t>
      </w:r>
      <w:r w:rsidRPr="00913336">
        <w:rPr>
          <w:i/>
          <w:iCs/>
        </w:rPr>
        <w:t>et al.</w:t>
      </w:r>
      <w:r w:rsidRPr="00D50FDA">
        <w:t xml:space="preserve"> (2011).</w:t>
      </w:r>
      <w:r w:rsidR="00265514" w:rsidRPr="277D78A8">
        <w:rPr>
          <w:rStyle w:val="Refdenotaalpie"/>
        </w:rPr>
        <w:footnoteReference w:id="4"/>
      </w:r>
      <w:r w:rsidRPr="00D50FDA">
        <w:t xml:space="preserve"> La estimación de un factor permite mantener </w:t>
      </w:r>
      <w:r>
        <w:t>su</w:t>
      </w:r>
      <w:r w:rsidRPr="00D50FDA">
        <w:t xml:space="preserve"> sentido estructural, de tal manera que las contribuciones o cargas asociadas de cada variable en el factor </w:t>
      </w:r>
      <w:r w:rsidR="6F0734C8">
        <w:t>se puedan interpretar</w:t>
      </w:r>
      <w:r w:rsidRPr="00D50FDA">
        <w:t xml:space="preserve"> desde una perspectiva económica. </w:t>
      </w:r>
      <w:r w:rsidR="759FA49E">
        <w:t xml:space="preserve">Desde </w:t>
      </w:r>
      <w:r w:rsidRPr="00D50FDA">
        <w:t>el punto de vista estadístico</w:t>
      </w:r>
      <w:r>
        <w:t>,</w:t>
      </w:r>
      <w:r w:rsidRPr="00D50FDA">
        <w:t xml:space="preserve"> el modelo satisface </w:t>
      </w:r>
      <w:r w:rsidR="34CFAA38">
        <w:t xml:space="preserve">los </w:t>
      </w:r>
      <w:r w:rsidRPr="00D50FDA">
        <w:t>supuestos que garantizan la estimación consistente del factor</w:t>
      </w:r>
      <w:r w:rsidRPr="00D50FDA">
        <w:rPr>
          <w:sz w:val="23"/>
          <w:szCs w:val="23"/>
        </w:rPr>
        <w:t>.</w:t>
      </w:r>
      <w:r w:rsidR="00265514" w:rsidRPr="277D78A8">
        <w:rPr>
          <w:rStyle w:val="Refdenotaalpie"/>
          <w:sz w:val="23"/>
          <w:szCs w:val="23"/>
        </w:rPr>
        <w:footnoteReference w:id="5"/>
      </w:r>
    </w:p>
    <w:p w14:paraId="1DABCEC9" w14:textId="77777777" w:rsidR="009504C3" w:rsidRDefault="009504C3" w:rsidP="009504C3">
      <w:pPr>
        <w:spacing w:after="60"/>
      </w:pPr>
    </w:p>
    <w:p w14:paraId="48582C43" w14:textId="77777777" w:rsidR="009504C3" w:rsidRDefault="009504C3" w:rsidP="009504C3">
      <w:pPr>
        <w:spacing w:after="60"/>
      </w:pPr>
    </w:p>
    <w:p w14:paraId="654151F3" w14:textId="55B2D312" w:rsidR="00265514" w:rsidRDefault="00265514" w:rsidP="009504C3">
      <w:pPr>
        <w:spacing w:after="60"/>
      </w:pPr>
      <w:r>
        <w:t>El IOAE:</w:t>
      </w:r>
    </w:p>
    <w:p w14:paraId="15F1C32D" w14:textId="0563A735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los dos meses posteriores al cierre del último dato publicado oficialmente para el IGAE, así como las actividades económicas secundarias y terciarias.</w:t>
      </w:r>
    </w:p>
    <w:p w14:paraId="76D95E66" w14:textId="68CA7F49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441625">
        <w:t>o</w:t>
      </w:r>
      <w:r>
        <w:t>n</w:t>
      </w:r>
      <w:r w:rsidR="00441625">
        <w:t>a</w:t>
      </w:r>
      <w:r>
        <w:t xml:space="preserve"> variables explicativas económicas y financieras con el criterio de oportunidad y alta correlación respecto a la variable a estimar.</w:t>
      </w:r>
    </w:p>
    <w:p w14:paraId="0C077315" w14:textId="30D3BBDD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Incorpora fuentes no tradicionales de información y de alta frecuencia</w:t>
      </w:r>
      <w:r w:rsidR="00D61EEC">
        <w:t>,</w:t>
      </w:r>
      <w:r>
        <w:t xml:space="preserve"> como Google </w:t>
      </w:r>
      <w:proofErr w:type="spellStart"/>
      <w:r>
        <w:t>Trends</w:t>
      </w:r>
      <w:proofErr w:type="spellEnd"/>
      <w:r>
        <w:t xml:space="preserve"> y </w:t>
      </w:r>
      <w:r w:rsidR="008370C7">
        <w:t xml:space="preserve">algún </w:t>
      </w:r>
      <w:r>
        <w:t>indicador de movilidad.</w:t>
      </w:r>
      <w:r>
        <w:rPr>
          <w:rStyle w:val="Refdenotaalpie"/>
          <w:sz w:val="23"/>
          <w:szCs w:val="23"/>
        </w:rPr>
        <w:footnoteReference w:id="6"/>
      </w:r>
    </w:p>
    <w:p w14:paraId="14D6A235" w14:textId="6364B10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8370C7">
        <w:t>o</w:t>
      </w:r>
      <w:r>
        <w:t>n</w:t>
      </w:r>
      <w:r w:rsidR="008370C7">
        <w:t>a</w:t>
      </w:r>
      <w:r>
        <w:t xml:space="preserve"> tópicos relevantes de Google </w:t>
      </w:r>
      <w:proofErr w:type="spellStart"/>
      <w:r>
        <w:t>Trends</w:t>
      </w:r>
      <w:proofErr w:type="spellEnd"/>
      <w:r>
        <w:t xml:space="preserve"> </w:t>
      </w:r>
      <w:r w:rsidR="000B38D1">
        <w:t>mediante</w:t>
      </w:r>
      <w:r>
        <w:t xml:space="preserve"> </w:t>
      </w:r>
      <w:r w:rsidRPr="00134741">
        <w:t>Mínimos Cuadrados Parciales</w:t>
      </w:r>
      <w:r>
        <w:t xml:space="preserve"> </w:t>
      </w:r>
      <w:r w:rsidRPr="00B456F7">
        <w:t>o regresión con validación cruzada</w:t>
      </w:r>
      <w:r>
        <w:t xml:space="preserve"> para series de tiempo</w:t>
      </w:r>
      <w:r w:rsidRPr="00B456F7">
        <w:t>.</w:t>
      </w:r>
    </w:p>
    <w:p w14:paraId="091979DD" w14:textId="4E558D90" w:rsidR="00265514" w:rsidRPr="00D50FDA" w:rsidRDefault="5F2C785F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4E61CD80">
        <w:t>o</w:t>
      </w:r>
      <w:r>
        <w:t>n</w:t>
      </w:r>
      <w:r w:rsidR="4E61CD80">
        <w:t>a</w:t>
      </w:r>
      <w:r>
        <w:t xml:space="preserve"> modelos considerando errores fuera de muestra</w:t>
      </w:r>
      <w:r w:rsidR="00913336">
        <w:t>,</w:t>
      </w:r>
      <w:r>
        <w:t xml:space="preserve"> uno y dos pasos adelante.</w:t>
      </w:r>
    </w:p>
    <w:p w14:paraId="3164C603" w14:textId="28E7997B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Transforma variables que maximi</w:t>
      </w:r>
      <w:r w:rsidR="0009583F">
        <w:t>zan</w:t>
      </w:r>
      <w:r>
        <w:t xml:space="preserve"> la correlación con la variable a estimar.</w:t>
      </w:r>
    </w:p>
    <w:p w14:paraId="020D39CF" w14:textId="5FAB549E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Valida</w:t>
      </w:r>
      <w:r w:rsidR="00E379E3">
        <w:t xml:space="preserve"> </w:t>
      </w:r>
      <w:r>
        <w:t>estadística</w:t>
      </w:r>
      <w:r w:rsidR="00E379E3">
        <w:t>mente</w:t>
      </w:r>
      <w:r>
        <w:t xml:space="preserve"> el número de factores.</w:t>
      </w:r>
    </w:p>
    <w:p w14:paraId="506F7012" w14:textId="2757D741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Prueba </w:t>
      </w:r>
      <w:r w:rsidR="005B66C4">
        <w:t xml:space="preserve">la </w:t>
      </w:r>
      <w:r>
        <w:t xml:space="preserve">estacionariedad </w:t>
      </w:r>
      <w:r w:rsidR="005B66C4">
        <w:t xml:space="preserve">de </w:t>
      </w:r>
      <w:r>
        <w:t>los errores idiosincráticos que validan la estimación consistente de los factores y de las cargas asociadas.</w:t>
      </w:r>
    </w:p>
    <w:p w14:paraId="5E2B5362" w14:textId="4F408F2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Combina </w:t>
      </w:r>
      <w:proofErr w:type="spellStart"/>
      <w:r w:rsidRPr="0083559B">
        <w:rPr>
          <w:i/>
          <w:iCs/>
        </w:rPr>
        <w:t>nowcasts</w:t>
      </w:r>
      <w:proofErr w:type="spellEnd"/>
      <w:r>
        <w:t xml:space="preserve"> para modelos con error de estimación en datos de prueba estadísticamente igual (Prueba </w:t>
      </w:r>
      <w:bookmarkStart w:id="9" w:name="_Hlk56534249"/>
      <w:proofErr w:type="spellStart"/>
      <w:r>
        <w:t>Diebold</w:t>
      </w:r>
      <w:proofErr w:type="spellEnd"/>
      <w:r>
        <w:t>-Mariano</w:t>
      </w:r>
      <w:bookmarkEnd w:id="9"/>
      <w:r>
        <w:t>).</w:t>
      </w:r>
      <w:r>
        <w:rPr>
          <w:rStyle w:val="Refdenotaalpie"/>
        </w:rPr>
        <w:footnoteReference w:id="7"/>
      </w:r>
    </w:p>
    <w:p w14:paraId="3F2AB636" w14:textId="4B8ACA9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intervalos de confianza a 95</w:t>
      </w:r>
      <w:r w:rsidR="004A6C9D">
        <w:t> </w:t>
      </w:r>
      <w:r>
        <w:t xml:space="preserve">%: factores, cargas de variables y </w:t>
      </w:r>
      <w:proofErr w:type="spellStart"/>
      <w:r w:rsidRPr="0083559B">
        <w:rPr>
          <w:i/>
          <w:iCs/>
        </w:rPr>
        <w:t>nowcasts</w:t>
      </w:r>
      <w:proofErr w:type="spellEnd"/>
      <w:r>
        <w:t>.</w:t>
      </w:r>
      <w:r>
        <w:rPr>
          <w:rStyle w:val="Refdenotaalpie"/>
          <w:sz w:val="23"/>
          <w:szCs w:val="23"/>
        </w:rPr>
        <w:footnoteReference w:id="8"/>
      </w:r>
    </w:p>
    <w:p w14:paraId="649D06C3" w14:textId="67D0D37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</w:t>
      </w:r>
      <w:r w:rsidR="00827F44">
        <w:t xml:space="preserve"> </w:t>
      </w:r>
      <w:r>
        <w:t xml:space="preserve">los pesos de las variables </w:t>
      </w:r>
      <w:r w:rsidR="00997AF0">
        <w:t xml:space="preserve">con el método Monte Carlo </w:t>
      </w:r>
      <w:r>
        <w:t>una vez suavizado el factor mediante el filtro de Kalman.</w:t>
      </w:r>
    </w:p>
    <w:p w14:paraId="77195C2D" w14:textId="36D81812" w:rsidR="00265514" w:rsidRDefault="00265514" w:rsidP="00536C4E">
      <w:pPr>
        <w:keepLines/>
        <w:spacing w:before="240"/>
      </w:pPr>
      <w:r>
        <w:t>Las variables utilizadas en el IOAE</w:t>
      </w:r>
      <w:r w:rsidRPr="0B50D185">
        <w:rPr>
          <w:i/>
          <w:iCs/>
        </w:rPr>
        <w:t xml:space="preserve"> </w:t>
      </w:r>
      <w:r>
        <w:t>se seleccionan con el criterio de oportunidad y correlación</w:t>
      </w:r>
      <w:r w:rsidR="00602DF4">
        <w:t xml:space="preserve">: </w:t>
      </w:r>
      <w:r>
        <w:t>se actualizan antes que la variable a estimar y se correlaciona con esta última. También se busca que modelos previos en la literatura</w:t>
      </w:r>
      <w:r w:rsidR="0B50D185">
        <w:t xml:space="preserve"> hayan utilizado o considerado </w:t>
      </w:r>
      <w:r>
        <w:t xml:space="preserve">estas variables para el caso de México. </w:t>
      </w:r>
    </w:p>
    <w:p w14:paraId="22F2156C" w14:textId="100BBC6E" w:rsidR="00265514" w:rsidRDefault="00265514" w:rsidP="00D559C2">
      <w:pPr>
        <w:spacing w:before="240"/>
      </w:pPr>
      <w:r>
        <w:t>Todas las variables son de libre acceso y se introducen desestacionalizadas</w:t>
      </w:r>
      <w:r w:rsidR="0B50D185">
        <w:t xml:space="preserve"> </w:t>
      </w:r>
      <w:r>
        <w:t xml:space="preserve">al modelo. Se pueden obtener directamente de la fuente o desestacionalizándolas con el paquete </w:t>
      </w:r>
      <w:r w:rsidR="00E05F33">
        <w:br/>
      </w:r>
      <w:r>
        <w:t xml:space="preserve">X-13ARIMA-SEATS. Las variables utilizadas se describen en la </w:t>
      </w:r>
      <w:r w:rsidR="00A65B40">
        <w:t>t</w:t>
      </w:r>
      <w:r>
        <w:t>abla 1.</w:t>
      </w:r>
      <w:r>
        <w:rPr>
          <w:rStyle w:val="Refdenotaalpie"/>
        </w:rPr>
        <w:footnoteReference w:id="9"/>
      </w:r>
    </w:p>
    <w:p w14:paraId="309A4F64" w14:textId="77777777" w:rsidR="009504C3" w:rsidRDefault="009504C3">
      <w:pPr>
        <w:jc w:val="left"/>
        <w:rPr>
          <w:rFonts w:eastAsiaTheme="minorHAnsi"/>
          <w:sz w:val="20"/>
          <w:szCs w:val="20"/>
          <w:lang w:val="es-MX" w:eastAsia="en-US"/>
        </w:rPr>
      </w:pPr>
      <w:r>
        <w:rPr>
          <w:sz w:val="20"/>
          <w:szCs w:val="20"/>
        </w:rPr>
        <w:br w:type="page"/>
      </w:r>
    </w:p>
    <w:p w14:paraId="5C12B88F" w14:textId="439E7EA2" w:rsidR="00D559C2" w:rsidRPr="00C54799" w:rsidRDefault="00D559C2" w:rsidP="009504C3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lastRenderedPageBreak/>
        <w:t>Tabla 1</w:t>
      </w:r>
    </w:p>
    <w:p w14:paraId="6735028C" w14:textId="553F24A8" w:rsidR="00D559C2" w:rsidRDefault="00D559C2" w:rsidP="00D559C2">
      <w:pPr>
        <w:jc w:val="center"/>
      </w:pPr>
      <w:r w:rsidRPr="00E15E72">
        <w:rPr>
          <w:rStyle w:val="Textoennegrita"/>
          <w:bCs w:val="0"/>
          <w:sz w:val="22"/>
          <w:szCs w:val="22"/>
        </w:rPr>
        <w:t>Variables utilizadas en el IOAE</w:t>
      </w:r>
    </w:p>
    <w:tbl>
      <w:tblPr>
        <w:tblW w:w="9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80"/>
        <w:gridCol w:w="2960"/>
      </w:tblGrid>
      <w:tr w:rsidR="00265514" w:rsidRPr="009D6717" w14:paraId="1A3F71D0" w14:textId="77777777" w:rsidTr="00676105">
        <w:trPr>
          <w:trHeight w:val="300"/>
          <w:tblHeader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3BC"/>
            <w:vAlign w:val="center"/>
            <w:hideMark/>
          </w:tcPr>
          <w:p w14:paraId="1D66D8F6" w14:textId="77777777" w:rsidR="00265514" w:rsidRPr="009D6717" w:rsidRDefault="00265514" w:rsidP="00081519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Variable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3BC"/>
            <w:vAlign w:val="center"/>
            <w:hideMark/>
          </w:tcPr>
          <w:p w14:paraId="0D9E094C" w14:textId="77777777" w:rsidR="00265514" w:rsidRPr="009D6717" w:rsidRDefault="00265514" w:rsidP="00081519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3BC"/>
            <w:vAlign w:val="center"/>
            <w:hideMark/>
          </w:tcPr>
          <w:p w14:paraId="02D7575E" w14:textId="77777777" w:rsidR="00265514" w:rsidRPr="009D6717" w:rsidRDefault="00265514" w:rsidP="00081519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Fuente</w:t>
            </w:r>
          </w:p>
        </w:tc>
      </w:tr>
      <w:tr w:rsidR="00265514" w:rsidRPr="009D6717" w14:paraId="4096E2B3" w14:textId="77777777" w:rsidTr="00676105">
        <w:trPr>
          <w:trHeight w:val="288"/>
        </w:trPr>
        <w:tc>
          <w:tcPr>
            <w:tcW w:w="28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FE090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AD924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totales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D0CEB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</w:tr>
      <w:tr w:rsidR="00265514" w:rsidRPr="009D6717" w14:paraId="223078E3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83CAE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BMV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C3D57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99ED4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B0519DF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9A6A0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Combustibles-SENER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E1F538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Demanda de combustibles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89300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Energía</w:t>
            </w:r>
          </w:p>
        </w:tc>
      </w:tr>
      <w:tr w:rsidR="00265514" w:rsidRPr="009D6717" w14:paraId="3818EC28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BE4DD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Confianza-comercio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BDE69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comercial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42DCA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6CE0E4CF" w14:textId="77777777" w:rsidTr="002C4B19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28989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Confianza-construcción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71CAF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construcción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83585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7E41E7C8" w14:textId="77777777" w:rsidTr="002C4B19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C5E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Confianza-manufacturas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B7C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 las manufacturas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9E0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B42A61A" w14:textId="77777777" w:rsidTr="002C4B19">
        <w:trPr>
          <w:trHeight w:val="408"/>
        </w:trPr>
        <w:tc>
          <w:tcPr>
            <w:tcW w:w="2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12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Confianza-servicios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A0F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servicios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57D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062A3D6" w14:textId="77777777" w:rsidTr="002C4B19">
        <w:trPr>
          <w:trHeight w:val="288"/>
        </w:trPr>
        <w:tc>
          <w:tcPr>
            <w:tcW w:w="2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D744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Desempleo Estados Unidos</w:t>
            </w:r>
          </w:p>
        </w:tc>
        <w:tc>
          <w:tcPr>
            <w:tcW w:w="33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86F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desempleo abierto, U3</w:t>
            </w:r>
          </w:p>
        </w:tc>
        <w:tc>
          <w:tcPr>
            <w:tcW w:w="2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506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4D3AD02" w14:textId="77777777" w:rsidTr="002C4B19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53F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Desocupación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546E0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desocupación en áreas urbanas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0E8365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24098231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A0EE1C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construcción EUA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DB6D7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construcción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03E233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493E8038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D4461A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manufacturas EUA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92250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manufacturas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A3E96B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5FEA1341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C9AFB8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servicios EUA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671BB5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servicios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9EBDF4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D422D02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F187BF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totales EUA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F169C7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73C465" w14:textId="77777777" w:rsidR="00265514" w:rsidRPr="00431CCB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225D1B77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C58928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Empleo de manufacturas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2B9EC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Personal ocupado (serie de tenencia)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77B4B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3278B0D4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F35A2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D76828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 totales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C3B16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127C84B8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247FA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41B37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Tópicos relevantes de 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8F6E0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</w:t>
            </w:r>
          </w:p>
        </w:tc>
      </w:tr>
      <w:tr w:rsidR="00265514" w:rsidRPr="009D6717" w14:paraId="17175AFC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FC449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DFFBB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 totales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C98C4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C06AE8C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60A2B3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IMSS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27F91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Asegurados permanentes y eventuales del Seguro Social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8C2F7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Instituto Mexicano del Seguro Social</w:t>
            </w:r>
          </w:p>
        </w:tc>
      </w:tr>
      <w:tr w:rsidR="00265514" w:rsidRPr="009D6717" w14:paraId="743EF5D0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62E60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INPC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20A5F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Nacional de Precios al Consumidor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8AD5F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F98A87E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69164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M4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88D3C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Agregado monetario M4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302F6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B63C0FC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84A44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Movilidad Twitter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9FA5C3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movilidad de Twitter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A725D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Elaboración propia con datos de Twitter</w:t>
            </w:r>
          </w:p>
        </w:tc>
      </w:tr>
      <w:tr w:rsidR="00265514" w:rsidRPr="009D6717" w14:paraId="2A49DD73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EF648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EF848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 en corredores y agrupamientos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BB0209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Turismo</w:t>
            </w:r>
          </w:p>
        </w:tc>
      </w:tr>
      <w:tr w:rsidR="00265514" w:rsidRPr="009D6717" w14:paraId="4D455270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C157D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Pedidos manufactureros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54F0B7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Indicador de pedidos manufactureros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A342C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D10DDF" w:rsidRPr="009D6717" w14:paraId="2863C887" w14:textId="77777777" w:rsidTr="00676105">
        <w:trPr>
          <w:trHeight w:val="288"/>
        </w:trPr>
        <w:tc>
          <w:tcPr>
            <w:tcW w:w="28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C0E82" w14:textId="60D12373" w:rsidR="00D10DDF" w:rsidRPr="00D10DDF" w:rsidRDefault="00D10DDF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D10DDF">
              <w:rPr>
                <w:color w:val="000000"/>
                <w:sz w:val="16"/>
                <w:szCs w:val="16"/>
                <w:lang w:val="es-MX" w:eastAsia="es-MX"/>
              </w:rPr>
              <w:t>PIBO</w:t>
            </w:r>
          </w:p>
        </w:tc>
        <w:tc>
          <w:tcPr>
            <w:tcW w:w="33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55BC8" w14:textId="5249DAB4" w:rsidR="00D10DDF" w:rsidRPr="00D10DDF" w:rsidRDefault="00D10DDF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D10DDF">
              <w:rPr>
                <w:color w:val="000000"/>
                <w:sz w:val="16"/>
                <w:szCs w:val="16"/>
                <w:lang w:val="es-MX" w:eastAsia="es-MX"/>
              </w:rPr>
              <w:t>Estimación del PIB oportuno, mensualizada</w:t>
            </w:r>
          </w:p>
        </w:tc>
        <w:tc>
          <w:tcPr>
            <w:tcW w:w="29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ED73A" w14:textId="765802C1" w:rsidR="00D10DDF" w:rsidRPr="00D10DDF" w:rsidRDefault="00D10DDF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D10DDF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C1B476F" w14:textId="77777777" w:rsidTr="00C104CE">
        <w:trPr>
          <w:trHeight w:val="288"/>
        </w:trPr>
        <w:tc>
          <w:tcPr>
            <w:tcW w:w="28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868A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del petróleo</w:t>
            </w:r>
          </w:p>
        </w:tc>
        <w:tc>
          <w:tcPr>
            <w:tcW w:w="33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52CF7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 la mezcla mexicana de petróleo</w:t>
            </w:r>
          </w:p>
        </w:tc>
        <w:tc>
          <w:tcPr>
            <w:tcW w:w="29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ECEBB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6C234C" w14:textId="77777777" w:rsidTr="00C104CE">
        <w:trPr>
          <w:trHeight w:val="288"/>
        </w:trPr>
        <w:tc>
          <w:tcPr>
            <w:tcW w:w="28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904E8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</w:t>
            </w:r>
          </w:p>
        </w:tc>
        <w:tc>
          <w:tcPr>
            <w:tcW w:w="33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209B41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 automotores</w:t>
            </w:r>
          </w:p>
        </w:tc>
        <w:tc>
          <w:tcPr>
            <w:tcW w:w="29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F0F823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7BC2C64" w14:textId="77777777" w:rsidTr="00C104CE">
        <w:trPr>
          <w:trHeight w:val="288"/>
        </w:trPr>
        <w:tc>
          <w:tcPr>
            <w:tcW w:w="28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92C02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</w:t>
            </w:r>
          </w:p>
        </w:tc>
        <w:tc>
          <w:tcPr>
            <w:tcW w:w="33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E24BB7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</w:t>
            </w:r>
          </w:p>
        </w:tc>
        <w:tc>
          <w:tcPr>
            <w:tcW w:w="29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7FAA7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40D112E2" w14:textId="77777777" w:rsidTr="00676105">
        <w:trPr>
          <w:trHeight w:val="408"/>
        </w:trPr>
        <w:tc>
          <w:tcPr>
            <w:tcW w:w="284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FFCDE5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industrial-EUA</w:t>
            </w:r>
          </w:p>
        </w:tc>
        <w:tc>
          <w:tcPr>
            <w:tcW w:w="338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8AB4A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 de los Estados Unidos</w:t>
            </w:r>
          </w:p>
        </w:tc>
        <w:tc>
          <w:tcPr>
            <w:tcW w:w="296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41BBD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7D240D" w:rsidRPr="009D6717" w14:paraId="58790993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E9DD3CE" w14:textId="2D83B5CA" w:rsidR="007D240D" w:rsidRPr="007D240D" w:rsidRDefault="007D240D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Producción manufacturera-EUA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7D3812C" w14:textId="30E1CD91" w:rsidR="007D240D" w:rsidRPr="007D240D" w:rsidRDefault="007D240D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Índice de producción manufacturera de los Estados Unidos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80F27DC" w14:textId="6197FC94" w:rsidR="007D240D" w:rsidRPr="007D240D" w:rsidRDefault="007D240D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</w:p>
        </w:tc>
      </w:tr>
      <w:tr w:rsidR="00265514" w:rsidRPr="009D6717" w14:paraId="2ACA2F51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CE3CC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Remesas 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FE3526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Remesas familiares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49B5A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27B597B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860EF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 500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F9F494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Poor’s</w:t>
            </w:r>
            <w:proofErr w:type="spellEnd"/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287E2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Yahoo! Financiero</w:t>
            </w:r>
          </w:p>
        </w:tc>
      </w:tr>
      <w:tr w:rsidR="00265514" w:rsidRPr="009D6717" w14:paraId="2AEA034B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24A4F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SPEI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D8828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151C43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EA032A8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8D1CA0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Tarjetas bancarias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9011C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Transacciones realizadas con tarjetas bancarias 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0799B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E55EDB" w14:textId="77777777" w:rsidTr="00676105">
        <w:trPr>
          <w:trHeight w:val="40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C42D92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TIIE 28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15325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Tasa de interés interbancaria de equilibrio a 28 días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3A5BE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65B8523" w14:textId="77777777" w:rsidTr="00676105">
        <w:trPr>
          <w:trHeight w:val="288"/>
        </w:trPr>
        <w:tc>
          <w:tcPr>
            <w:tcW w:w="2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749D2C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BE81DF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 nominal promedio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88F63E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9DC4846" w14:textId="77777777" w:rsidTr="00676105">
        <w:trPr>
          <w:trHeight w:val="420"/>
        </w:trPr>
        <w:tc>
          <w:tcPr>
            <w:tcW w:w="2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0F56AD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al por menor</w:t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7CDEDA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7E06EB" w14:textId="77777777" w:rsidR="00265514" w:rsidRPr="009D6717" w:rsidRDefault="00265514" w:rsidP="004F72BC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</w:tbl>
    <w:p w14:paraId="42CD9CA4" w14:textId="77777777" w:rsidR="00265514" w:rsidRPr="007D52F0" w:rsidRDefault="00265514" w:rsidP="00265514">
      <w:pPr>
        <w:ind w:left="-567"/>
        <w:rPr>
          <w:b/>
          <w:sz w:val="6"/>
          <w:szCs w:val="6"/>
          <w:lang w:eastAsia="en-US"/>
        </w:rPr>
      </w:pPr>
    </w:p>
    <w:p w14:paraId="23D0FBF2" w14:textId="77777777" w:rsidR="009504C3" w:rsidRDefault="009504C3" w:rsidP="00265514">
      <w:pPr>
        <w:spacing w:before="240" w:after="120"/>
        <w:rPr>
          <w:spacing w:val="-2"/>
        </w:rPr>
      </w:pPr>
    </w:p>
    <w:p w14:paraId="64FF190A" w14:textId="0536D689" w:rsidR="00265514" w:rsidRPr="00817967" w:rsidRDefault="00265514" w:rsidP="00265514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INEGI genera la información que contiene este documento y </w:t>
      </w:r>
      <w:r w:rsidR="00813669" w:rsidRPr="00817967">
        <w:rPr>
          <w:spacing w:val="-2"/>
        </w:rPr>
        <w:t>la</w:t>
      </w:r>
      <w:r w:rsidRPr="00817967">
        <w:rPr>
          <w:spacing w:val="-2"/>
        </w:rPr>
        <w:t xml:space="preserve">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29709031" w14:textId="77777777" w:rsidR="00265514" w:rsidRDefault="00265514" w:rsidP="00265514">
      <w:pPr>
        <w:spacing w:before="240"/>
      </w:pPr>
      <w:r w:rsidRPr="00547906">
        <w:t>La</w:t>
      </w:r>
      <w:r>
        <w:t> </w:t>
      </w:r>
      <w:r w:rsidRPr="00547906">
        <w:t>síntesis</w:t>
      </w:r>
      <w:r>
        <w:t> </w:t>
      </w:r>
      <w:r w:rsidRPr="00547906">
        <w:t>metodológica</w:t>
      </w:r>
      <w:r>
        <w:t> </w:t>
      </w:r>
      <w:r w:rsidRPr="00547906">
        <w:t>puede</w:t>
      </w:r>
      <w:r>
        <w:t> </w:t>
      </w:r>
      <w:r w:rsidRPr="00547906">
        <w:t>consultarse</w:t>
      </w:r>
      <w:r>
        <w:t> </w:t>
      </w:r>
      <w:r w:rsidRPr="00547906">
        <w:t>en</w:t>
      </w:r>
      <w:r>
        <w:t>: </w:t>
      </w:r>
      <w:hyperlink r:id="rId26" w:anchor="Documentacion" w:history="1">
        <w:r>
          <w:rPr>
            <w:rStyle w:val="Hipervnculo"/>
          </w:rPr>
          <w:t>https://www.inegi.org.mx/investigacion/ioae/#Documentacion</w:t>
        </w:r>
      </w:hyperlink>
      <w:r>
        <w:t>.</w:t>
      </w:r>
    </w:p>
    <w:p w14:paraId="0068BBFD" w14:textId="6FD3A666" w:rsidR="00593F5A" w:rsidRPr="001F1169" w:rsidRDefault="00265514" w:rsidP="00265514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IOAE pueden consultarse en: </w:t>
      </w:r>
      <w:hyperlink r:id="rId27" w:history="1">
        <w:r w:rsidRPr="002B3B21">
          <w:rPr>
            <w:rStyle w:val="Hipervnculo"/>
            <w:spacing w:val="-2"/>
          </w:rPr>
          <w:t>https://www.inegi.org.mx/investigacion/ioae/</w:t>
        </w:r>
      </w:hyperlink>
      <w:r w:rsidRPr="002B3B21">
        <w:rPr>
          <w:rFonts w:cs="Arial"/>
          <w:color w:val="auto"/>
          <w:spacing w:val="-2"/>
        </w:rPr>
        <w:t>,</w:t>
      </w:r>
      <w:r w:rsidR="009504C3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en 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8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A90446">
      <w:headerReference w:type="default" r:id="rId29"/>
      <w:type w:val="continuous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EAB8D" w14:textId="77777777" w:rsidR="0072722D" w:rsidRDefault="0072722D">
      <w:r>
        <w:separator/>
      </w:r>
    </w:p>
    <w:p w14:paraId="12283770" w14:textId="77777777" w:rsidR="0072722D" w:rsidRDefault="0072722D"/>
  </w:endnote>
  <w:endnote w:type="continuationSeparator" w:id="0">
    <w:p w14:paraId="5053D872" w14:textId="77777777" w:rsidR="0072722D" w:rsidRDefault="0072722D">
      <w:r>
        <w:continuationSeparator/>
      </w:r>
    </w:p>
    <w:p w14:paraId="3BA3774A" w14:textId="77777777" w:rsidR="0072722D" w:rsidRDefault="0072722D"/>
  </w:endnote>
  <w:endnote w:type="continuationNotice" w:id="1">
    <w:p w14:paraId="49B72083" w14:textId="77777777" w:rsidR="0072722D" w:rsidRDefault="00727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77777777" w:rsidR="00C54799" w:rsidRPr="00A90446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A90446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84648" w14:textId="77777777" w:rsidR="0072722D" w:rsidRDefault="0072722D">
      <w:r>
        <w:separator/>
      </w:r>
    </w:p>
  </w:footnote>
  <w:footnote w:type="continuationSeparator" w:id="0">
    <w:p w14:paraId="024A719F" w14:textId="77777777" w:rsidR="0072722D" w:rsidRDefault="0072722D">
      <w:r>
        <w:continuationSeparator/>
      </w:r>
    </w:p>
    <w:p w14:paraId="7CF58FBD" w14:textId="77777777" w:rsidR="0072722D" w:rsidRDefault="0072722D"/>
  </w:footnote>
  <w:footnote w:type="continuationNotice" w:id="1">
    <w:p w14:paraId="33193F68" w14:textId="77777777" w:rsidR="0072722D" w:rsidRDefault="0072722D"/>
  </w:footnote>
  <w:footnote w:id="2">
    <w:p w14:paraId="644D7FB5" w14:textId="01D3E588" w:rsidR="00BF7224" w:rsidRDefault="00BF7224" w:rsidP="00BF7224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sz w:val="16"/>
          <w:szCs w:val="16"/>
        </w:rPr>
        <w:t>Estimación oportuna que aprovecha la asociación estadística entre la variable que se desea estimar —en este caso</w:t>
      </w:r>
      <w:r w:rsidR="00C01745">
        <w:rPr>
          <w:sz w:val="16"/>
          <w:szCs w:val="16"/>
        </w:rPr>
        <w:t>,</w:t>
      </w:r>
      <w:r>
        <w:rPr>
          <w:sz w:val="16"/>
          <w:szCs w:val="16"/>
        </w:rPr>
        <w:t xml:space="preserve"> el IGAE— y otras variables más oportunas que esta.</w:t>
      </w:r>
    </w:p>
  </w:footnote>
  <w:footnote w:id="3">
    <w:p w14:paraId="0C293493" w14:textId="50DA6506" w:rsidR="00BF7224" w:rsidRDefault="00BF7224" w:rsidP="00BF7224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rStyle w:val="Refdenotaalpie"/>
          <w:sz w:val="18"/>
          <w:szCs w:val="18"/>
        </w:rPr>
        <w:footnoteRef/>
      </w:r>
      <w:r>
        <w:rPr>
          <w:sz w:val="22"/>
          <w:szCs w:val="22"/>
          <w:lang w:val="es-MX"/>
        </w:rPr>
        <w:tab/>
      </w:r>
      <w:r>
        <w:rPr>
          <w:sz w:val="16"/>
          <w:szCs w:val="16"/>
          <w:lang w:val="es-MX"/>
        </w:rPr>
        <w:t xml:space="preserve">Para las actividades secundarias, la estimación se presenta únicamente para el mes </w:t>
      </w:r>
      <w:r w:rsidRPr="00BF7224">
        <w:rPr>
          <w:sz w:val="16"/>
          <w:szCs w:val="16"/>
          <w:lang w:val="es-MX"/>
        </w:rPr>
        <w:t xml:space="preserve">de </w:t>
      </w:r>
      <w:r w:rsidR="003732C8">
        <w:rPr>
          <w:sz w:val="16"/>
          <w:szCs w:val="16"/>
          <w:lang w:val="es-MX"/>
        </w:rPr>
        <w:t>abril</w:t>
      </w:r>
      <w:r w:rsidR="00187E39" w:rsidRPr="006D5048">
        <w:rPr>
          <w:sz w:val="16"/>
          <w:szCs w:val="16"/>
          <w:lang w:val="es-MX"/>
        </w:rPr>
        <w:t xml:space="preserve"> </w:t>
      </w:r>
      <w:r w:rsidRPr="006D5048">
        <w:rPr>
          <w:sz w:val="16"/>
          <w:szCs w:val="16"/>
          <w:lang w:val="es-MX"/>
        </w:rPr>
        <w:t>de 202</w:t>
      </w:r>
      <w:r w:rsidR="00D40F50">
        <w:rPr>
          <w:sz w:val="16"/>
          <w:szCs w:val="16"/>
          <w:lang w:val="es-MX"/>
        </w:rPr>
        <w:t>3</w:t>
      </w:r>
      <w:r>
        <w:rPr>
          <w:sz w:val="16"/>
          <w:szCs w:val="16"/>
          <w:lang w:val="es-MX"/>
        </w:rPr>
        <w:t>.</w:t>
      </w:r>
    </w:p>
  </w:footnote>
  <w:footnote w:id="4">
    <w:p w14:paraId="61F730B7" w14:textId="68938A01" w:rsidR="00265514" w:rsidRPr="001103C8" w:rsidRDefault="00265514" w:rsidP="00265514">
      <w:pPr>
        <w:pStyle w:val="pie"/>
        <w:spacing w:after="0"/>
        <w:rPr>
          <w:rStyle w:val="pieCar"/>
        </w:rPr>
      </w:pPr>
      <w:r w:rsidRPr="00D50FDA">
        <w:rPr>
          <w:rStyle w:val="Refdenotaalpie"/>
          <w:sz w:val="18"/>
          <w:szCs w:val="18"/>
        </w:rPr>
        <w:footnoteRef/>
      </w:r>
      <w:r w:rsidRPr="001460DD">
        <w:tab/>
      </w:r>
      <w:r w:rsidRPr="001460DD">
        <w:rPr>
          <w:rStyle w:val="pieCar"/>
        </w:rPr>
        <w:t xml:space="preserve">Doz, C., Giannone, D., y Reichlin, L. (2011). </w:t>
      </w:r>
      <w:r w:rsidR="00997AF0">
        <w:rPr>
          <w:rStyle w:val="pieCar"/>
        </w:rPr>
        <w:t>«</w:t>
      </w:r>
      <w:r w:rsidRPr="004C6A26">
        <w:rPr>
          <w:rStyle w:val="pieCar"/>
        </w:rPr>
        <w:t>A two-step estimator for large approximate dynamic factor models based on Kalman filtering</w:t>
      </w:r>
      <w:r w:rsidR="003D59BD">
        <w:rPr>
          <w:rStyle w:val="pieCar"/>
        </w:rPr>
        <w:t>»</w:t>
      </w:r>
      <w:r w:rsidR="00F52571">
        <w:rPr>
          <w:rStyle w:val="pieCar"/>
        </w:rPr>
        <w:t>,</w:t>
      </w:r>
      <w:r w:rsidRPr="004C6A26">
        <w:rPr>
          <w:rStyle w:val="pieCar"/>
        </w:rPr>
        <w:t xml:space="preserve"> </w:t>
      </w:r>
      <w:r w:rsidRPr="001103C8">
        <w:rPr>
          <w:rStyle w:val="pieCar"/>
          <w:i/>
          <w:iCs/>
        </w:rPr>
        <w:t>Journal of Econometrics</w:t>
      </w:r>
      <w:r w:rsidRPr="001103C8">
        <w:rPr>
          <w:rStyle w:val="pieCar"/>
        </w:rPr>
        <w:t>, 164(1):188-205.</w:t>
      </w:r>
    </w:p>
  </w:footnote>
  <w:footnote w:id="5">
    <w:p w14:paraId="6314C3BB" w14:textId="30FA9001" w:rsidR="00265514" w:rsidRPr="00262755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5D42BA">
        <w:rPr>
          <w:lang w:val="es-MX"/>
        </w:rPr>
        <w:tab/>
      </w:r>
      <w:r w:rsidRPr="004C6A26">
        <w:rPr>
          <w:lang w:val="es-MX"/>
        </w:rPr>
        <w:t>Estos supuestos son la estaciona</w:t>
      </w:r>
      <w:r w:rsidR="003E4959">
        <w:rPr>
          <w:lang w:val="es-MX"/>
        </w:rPr>
        <w:t>lidad</w:t>
      </w:r>
      <w:r w:rsidRPr="004C6A26">
        <w:rPr>
          <w:lang w:val="es-MX"/>
        </w:rPr>
        <w:t xml:space="preserve"> en el componente idiosincrático del modelo de factores dinámicos y la no presencia de </w:t>
      </w:r>
      <w:r w:rsidRPr="00262755">
        <w:rPr>
          <w:lang w:val="es-MX"/>
        </w:rPr>
        <w:t>autocorrelación serial en el modelo de</w:t>
      </w:r>
      <w:r w:rsidRPr="00262755">
        <w:rPr>
          <w:i/>
          <w:iCs/>
          <w:lang w:val="es-MX"/>
        </w:rPr>
        <w:t xml:space="preserve"> nowcasting</w:t>
      </w:r>
      <w:r w:rsidRPr="00262755">
        <w:rPr>
          <w:lang w:val="es-MX"/>
        </w:rPr>
        <w:t>.</w:t>
      </w:r>
      <w:r>
        <w:rPr>
          <w:lang w:val="es-MX"/>
        </w:rPr>
        <w:t xml:space="preserve"> </w:t>
      </w:r>
    </w:p>
  </w:footnote>
  <w:footnote w:id="6">
    <w:p w14:paraId="2EA5C250" w14:textId="510432C8" w:rsidR="00265514" w:rsidRPr="00262755" w:rsidRDefault="00265514" w:rsidP="00265514">
      <w:pPr>
        <w:pStyle w:val="pie"/>
        <w:spacing w:after="0"/>
        <w:rPr>
          <w:sz w:val="20"/>
          <w:szCs w:val="20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262755">
        <w:rPr>
          <w:lang w:val="es-MX"/>
        </w:rPr>
        <w:tab/>
        <w:t xml:space="preserve">Conforme se identifiquen y se tengan disponibles otras fuentes no tradicionales de información de alta oportunidad y frecuencia, se podrán incorporar en </w:t>
      </w:r>
      <w:r w:rsidR="003D59BD">
        <w:rPr>
          <w:lang w:val="es-MX"/>
        </w:rPr>
        <w:t xml:space="preserve">el </w:t>
      </w:r>
      <w:r w:rsidRPr="00262755">
        <w:rPr>
          <w:lang w:val="es-MX"/>
        </w:rPr>
        <w:t>modelo toda vez que ayuden a lograr estimaciones más oportunas o precisas.</w:t>
      </w:r>
    </w:p>
  </w:footnote>
  <w:footnote w:id="7">
    <w:p w14:paraId="281C47B0" w14:textId="075D7D78" w:rsidR="00265514" w:rsidRPr="00362E82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DE6C81">
        <w:rPr>
          <w:lang w:val="es-MX"/>
        </w:rPr>
        <w:t xml:space="preserve">Los </w:t>
      </w:r>
      <w:r w:rsidRPr="00DE6C81">
        <w:rPr>
          <w:i/>
          <w:iCs/>
          <w:lang w:val="es-MX"/>
        </w:rPr>
        <w:t>nowcasts</w:t>
      </w:r>
      <w:r w:rsidRPr="00DE6C81">
        <w:rPr>
          <w:lang w:val="es-MX"/>
        </w:rPr>
        <w:t xml:space="preserve"> son sujetos a revisiones según el error de estimación en periodos de validación cruzada para series de tiempo.</w:t>
      </w:r>
      <w:r w:rsidR="00F30A82">
        <w:rPr>
          <w:lang w:val="es-MX"/>
        </w:rPr>
        <w:t xml:space="preserve">         </w:t>
      </w:r>
      <w:r w:rsidRPr="00DE6C81">
        <w:rPr>
          <w:lang w:val="es-MX"/>
        </w:rPr>
        <w:t xml:space="preserve"> </w:t>
      </w:r>
      <w:r w:rsidRPr="00362E82">
        <w:rPr>
          <w:lang w:val="es-MX"/>
        </w:rPr>
        <w:t xml:space="preserve">Se pueden utilizar métodos de reconciliación de cifras cuando el error de estimación sea menor respecto a métodos directos de estimación y modelos de </w:t>
      </w:r>
      <w:r w:rsidRPr="00362E82">
        <w:rPr>
          <w:i/>
          <w:iCs/>
          <w:lang w:val="es-MX"/>
        </w:rPr>
        <w:t>nowcasting</w:t>
      </w:r>
      <w:r w:rsidRPr="00362E82">
        <w:rPr>
          <w:lang w:val="es-MX"/>
        </w:rPr>
        <w:t xml:space="preserve"> con diferentes especificaciones: niveles, variaciones porcentuales mensuales o anuales</w:t>
      </w:r>
      <w:r>
        <w:rPr>
          <w:lang w:val="es-MX"/>
        </w:rPr>
        <w:t>.</w:t>
      </w:r>
      <w:r w:rsidR="00415E44">
        <w:rPr>
          <w:lang w:val="es-MX"/>
        </w:rPr>
        <w:t xml:space="preserve">        </w:t>
      </w:r>
      <w:r>
        <w:rPr>
          <w:lang w:val="es-MX"/>
        </w:rPr>
        <w:t xml:space="preserve"> </w:t>
      </w:r>
      <w:r w:rsidR="002E7498">
        <w:rPr>
          <w:lang w:val="es-MX"/>
        </w:rPr>
        <w:t xml:space="preserve">Lo anterior, </w:t>
      </w:r>
      <w:r w:rsidRPr="00362E82">
        <w:rPr>
          <w:lang w:val="es-MX"/>
        </w:rPr>
        <w:t xml:space="preserve">para la realización de los </w:t>
      </w:r>
      <w:r w:rsidRPr="00362E82">
        <w:rPr>
          <w:i/>
          <w:iCs/>
          <w:lang w:val="es-MX"/>
        </w:rPr>
        <w:t xml:space="preserve">nowcasts </w:t>
      </w:r>
      <w:r w:rsidRPr="00362E82">
        <w:rPr>
          <w:lang w:val="es-MX"/>
        </w:rPr>
        <w:t xml:space="preserve">y modelos de </w:t>
      </w:r>
      <w:r w:rsidRPr="003E4959">
        <w:rPr>
          <w:lang w:val="es-MX"/>
        </w:rPr>
        <w:t>explicación</w:t>
      </w:r>
      <w:r w:rsidRPr="00362E82">
        <w:rPr>
          <w:lang w:val="es-MX"/>
        </w:rPr>
        <w:t>.</w:t>
      </w:r>
      <w:r w:rsidR="00E72CC1" w:rsidRPr="00E72CC1">
        <w:rPr>
          <w:lang w:val="es-MX"/>
        </w:rPr>
        <w:t xml:space="preserve"> </w:t>
      </w:r>
      <w:r w:rsidR="003E4959">
        <w:rPr>
          <w:lang w:val="es-MX"/>
        </w:rPr>
        <w:t xml:space="preserve">Además, </w:t>
      </w:r>
      <w:r w:rsidR="00E72CC1" w:rsidRPr="007C4F97">
        <w:rPr>
          <w:lang w:val="es-MX"/>
        </w:rPr>
        <w:t xml:space="preserve">según análisis en tiempo </w:t>
      </w:r>
      <w:r w:rsidR="007829E4">
        <w:rPr>
          <w:lang w:val="es-MX"/>
        </w:rPr>
        <w:t>«</w:t>
      </w:r>
      <w:r w:rsidR="00E72CC1" w:rsidRPr="00333686">
        <w:rPr>
          <w:lang w:val="es-MX"/>
        </w:rPr>
        <w:t>pseudo-rea</w:t>
      </w:r>
      <w:r w:rsidR="0080175F">
        <w:rPr>
          <w:lang w:val="es-MX"/>
        </w:rPr>
        <w:t>l</w:t>
      </w:r>
      <w:r w:rsidR="007829E4" w:rsidRPr="00333686">
        <w:rPr>
          <w:lang w:val="es-MX"/>
        </w:rPr>
        <w:t>»</w:t>
      </w:r>
      <w:r w:rsidR="00E72CC1" w:rsidRPr="007C4F97">
        <w:rPr>
          <w:lang w:val="es-MX"/>
        </w:rPr>
        <w:t xml:space="preserve">, se pueden utilizar </w:t>
      </w:r>
      <w:r w:rsidR="00E72CC1" w:rsidRPr="007C4F97">
        <w:rPr>
          <w:i/>
          <w:iCs/>
          <w:lang w:val="es-MX"/>
        </w:rPr>
        <w:t>nowcasts</w:t>
      </w:r>
      <w:r w:rsidR="00E72CC1" w:rsidRPr="007C4F97">
        <w:rPr>
          <w:lang w:val="es-MX"/>
        </w:rPr>
        <w:t xml:space="preserve"> provenientes </w:t>
      </w:r>
      <w:r w:rsidR="003E4959">
        <w:rPr>
          <w:lang w:val="es-MX"/>
        </w:rPr>
        <w:t>solo</w:t>
      </w:r>
      <w:r w:rsidR="00E72CC1" w:rsidRPr="007C4F97">
        <w:rPr>
          <w:lang w:val="es-MX"/>
        </w:rPr>
        <w:t xml:space="preserve"> de modelos con menor error de estimación.</w:t>
      </w:r>
    </w:p>
  </w:footnote>
  <w:footnote w:id="8">
    <w:p w14:paraId="5FF6EF7F" w14:textId="2472CE78" w:rsidR="00265514" w:rsidRPr="00E208B3" w:rsidRDefault="00265514" w:rsidP="00265514">
      <w:pPr>
        <w:pStyle w:val="pie"/>
        <w:spacing w:after="0"/>
        <w:rPr>
          <w:i/>
          <w:iCs/>
          <w:lang w:val="es-MX"/>
        </w:rPr>
      </w:pPr>
      <w:r w:rsidRPr="00D50FDA">
        <w:rPr>
          <w:rStyle w:val="Refdenotaalpie"/>
          <w:sz w:val="18"/>
          <w:szCs w:val="18"/>
          <w:lang w:val="es-MX"/>
        </w:rPr>
        <w:footnoteRef/>
      </w:r>
      <w:r w:rsidRPr="00262755">
        <w:rPr>
          <w:lang w:val="es-MX"/>
        </w:rPr>
        <w:tab/>
        <w:t>Los intervalos de confianza no son necesariamente simétricos</w:t>
      </w:r>
      <w:r w:rsidR="003E4959">
        <w:rPr>
          <w:lang w:val="es-MX"/>
        </w:rPr>
        <w:t xml:space="preserve">: </w:t>
      </w:r>
      <w:r w:rsidRPr="00262755">
        <w:rPr>
          <w:lang w:val="es-MX"/>
        </w:rPr>
        <w:t>su estimación considera la mediana de los intervalos inferior y superior a 95</w:t>
      </w:r>
      <w:r w:rsidR="004A6C9D">
        <w:rPr>
          <w:lang w:val="es-MX"/>
        </w:rPr>
        <w:t> </w:t>
      </w:r>
      <w:r w:rsidRPr="00262755">
        <w:rPr>
          <w:lang w:val="es-MX"/>
        </w:rPr>
        <w:t xml:space="preserve">% para los modelos que, en datos de prueba, otorgan </w:t>
      </w:r>
      <w:r w:rsidRPr="00262755">
        <w:rPr>
          <w:i/>
          <w:iCs/>
          <w:lang w:val="es-MX"/>
        </w:rPr>
        <w:t>nowcasts</w:t>
      </w:r>
      <w:r w:rsidRPr="00262755">
        <w:rPr>
          <w:lang w:val="es-MX"/>
        </w:rPr>
        <w:t xml:space="preserve"> con errores estadísticamente iguales según la prueba de Diebold-Mariano</w:t>
      </w:r>
      <w:r w:rsidRPr="007C4F97">
        <w:rPr>
          <w:lang w:val="es-MX"/>
        </w:rPr>
        <w:t>.</w:t>
      </w:r>
      <w:r w:rsidR="007C4F97" w:rsidRPr="007C4F97">
        <w:rPr>
          <w:lang w:val="es-MX"/>
        </w:rPr>
        <w:t xml:space="preserve"> En caso de utilizarse el método indirecto de estimación, la amplitud del intervalo </w:t>
      </w:r>
      <w:r w:rsidR="007C4F97" w:rsidRPr="003E4959">
        <w:rPr>
          <w:lang w:val="es-MX"/>
        </w:rPr>
        <w:t>del</w:t>
      </w:r>
      <w:r w:rsidR="007C4F97" w:rsidRPr="00E208B3">
        <w:rPr>
          <w:i/>
          <w:iCs/>
          <w:lang w:val="es-MX"/>
        </w:rPr>
        <w:t xml:space="preserve"> nowcast</w:t>
      </w:r>
      <w:r w:rsidR="007C4F97" w:rsidRPr="007C4F97">
        <w:rPr>
          <w:lang w:val="es-MX"/>
        </w:rPr>
        <w:t xml:space="preserve"> del IOAE dos meses hacia adelante considera la del método directo.</w:t>
      </w:r>
    </w:p>
  </w:footnote>
  <w:footnote w:id="9">
    <w:p w14:paraId="1F4EBCB2" w14:textId="6E0D0B75" w:rsidR="00265514" w:rsidRPr="005D42BA" w:rsidRDefault="00265514" w:rsidP="00EB14F7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="0B50D185" w:rsidRPr="00362E82">
        <w:t>El número de variables</w:t>
      </w:r>
      <w:r w:rsidR="0008633E">
        <w:t xml:space="preserve"> —y</w:t>
      </w:r>
      <w:r w:rsidR="003E4959">
        <w:t>,</w:t>
      </w:r>
      <w:r w:rsidR="0008633E">
        <w:t xml:space="preserve"> </w:t>
      </w:r>
      <w:r w:rsidR="0B50D185" w:rsidRPr="00362E82">
        <w:t>por lo tanto</w:t>
      </w:r>
      <w:r w:rsidR="000776A1">
        <w:t>,</w:t>
      </w:r>
      <w:r w:rsidR="0B50D185" w:rsidRPr="00362E82">
        <w:t xml:space="preserve"> las series de tiempo efectivamente consideradas en la estimación del modelo</w:t>
      </w:r>
      <w:r w:rsidR="0008633E">
        <w:t xml:space="preserve">— puede </w:t>
      </w:r>
      <w:r w:rsidR="0B50D185" w:rsidRPr="00EB14F7">
        <w:t xml:space="preserve">modificarse </w:t>
      </w:r>
      <w:r w:rsidR="0B50D185" w:rsidRPr="00362E82">
        <w:t xml:space="preserve">conforme disminuya el error de estimación en el periodo de validación cruzada, fase en la cual se seleccionan los modelos de </w:t>
      </w:r>
      <w:r w:rsidR="0B50D185" w:rsidRPr="0B50D185">
        <w:rPr>
          <w:i/>
          <w:iCs/>
        </w:rPr>
        <w:t>nowcasting</w:t>
      </w:r>
      <w:r w:rsidR="0B50D185" w:rsidRPr="00431CCB">
        <w:t>. Lo anterior incluye la forma funcional del modelo, es decir, la especificación de la variable a estimar</w:t>
      </w:r>
      <w:r w:rsidR="0B50D1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6B55" w14:textId="37E528BB" w:rsidR="00A90446" w:rsidRPr="00306ECD" w:rsidRDefault="00A90446" w:rsidP="00A90446">
    <w:pPr>
      <w:pStyle w:val="Encabezado"/>
      <w:framePr w:w="5023" w:hSpace="141" w:wrap="auto" w:vAnchor="text" w:hAnchor="page" w:x="6175" w:y="13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269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06048C4" w14:textId="077D5E35" w:rsidR="00A90446" w:rsidRPr="00306ECD" w:rsidRDefault="00A90446" w:rsidP="00A90446">
    <w:pPr>
      <w:pStyle w:val="Encabezado"/>
      <w:framePr w:w="5023" w:hSpace="141" w:wrap="auto" w:vAnchor="text" w:hAnchor="page" w:x="6175" w:y="13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  18 DE 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08D4331D" w14:textId="3F10CAFA" w:rsidR="00A90446" w:rsidRDefault="00A90446" w:rsidP="00A90446">
    <w:pPr>
      <w:pStyle w:val="Encabezado"/>
      <w:framePr w:w="5023" w:hSpace="141" w:wrap="auto" w:vAnchor="text" w:hAnchor="page" w:x="6175" w:y="139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9504C3">
      <w:rPr>
        <w:b/>
        <w:color w:val="002060"/>
      </w:rPr>
      <w:t>9</w:t>
    </w:r>
  </w:p>
  <w:p w14:paraId="32191F33" w14:textId="114A9ED3" w:rsidR="009A7196" w:rsidRDefault="00C54799" w:rsidP="008E2964">
    <w:pPr>
      <w:pStyle w:val="Encabezado"/>
    </w:pPr>
    <w:r>
      <w:rPr>
        <w:noProof/>
        <w:lang w:val="es-MX" w:eastAsia="es-MX"/>
      </w:rPr>
      <w:drawing>
        <wp:inline distT="0" distB="0" distL="0" distR="0" wp14:anchorId="238B9524" wp14:editId="4C26C8F5">
          <wp:extent cx="828000" cy="812062"/>
          <wp:effectExtent l="0" t="0" r="0" b="7620"/>
          <wp:docPr id="5" name="Imagen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1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B65B8" w14:textId="6855E991" w:rsidR="00A90446" w:rsidRDefault="00A90446" w:rsidP="008E2964">
    <w:pPr>
      <w:pStyle w:val="Encabezado"/>
    </w:pPr>
    <w:r>
      <w:t xml:space="preserve">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0D0A366A" wp14:editId="5BD62991">
          <wp:extent cx="828000" cy="812062"/>
          <wp:effectExtent l="0" t="0" r="0" b="7620"/>
          <wp:docPr id="1961805766" name="Imagen 1961805766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1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A6C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590"/>
    <w:rsid w:val="00016B4E"/>
    <w:rsid w:val="00016D3A"/>
    <w:rsid w:val="00016EE2"/>
    <w:rsid w:val="0001718D"/>
    <w:rsid w:val="000176AC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AC7"/>
    <w:rsid w:val="00024FC6"/>
    <w:rsid w:val="00025B42"/>
    <w:rsid w:val="000260EE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9E6"/>
    <w:rsid w:val="00044C5E"/>
    <w:rsid w:val="0004538A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AC3"/>
    <w:rsid w:val="00052F04"/>
    <w:rsid w:val="00052F1E"/>
    <w:rsid w:val="000536D2"/>
    <w:rsid w:val="00053A2C"/>
    <w:rsid w:val="00053B2C"/>
    <w:rsid w:val="00053EB7"/>
    <w:rsid w:val="00053F58"/>
    <w:rsid w:val="00054A4F"/>
    <w:rsid w:val="00055047"/>
    <w:rsid w:val="00055B54"/>
    <w:rsid w:val="00056942"/>
    <w:rsid w:val="00056F51"/>
    <w:rsid w:val="000573F5"/>
    <w:rsid w:val="00057B47"/>
    <w:rsid w:val="00057DFD"/>
    <w:rsid w:val="00057F37"/>
    <w:rsid w:val="000602B0"/>
    <w:rsid w:val="0006056C"/>
    <w:rsid w:val="00061109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93B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FB7"/>
    <w:rsid w:val="000814ED"/>
    <w:rsid w:val="00081519"/>
    <w:rsid w:val="0008175A"/>
    <w:rsid w:val="0008177F"/>
    <w:rsid w:val="0008195B"/>
    <w:rsid w:val="00081F71"/>
    <w:rsid w:val="000826F7"/>
    <w:rsid w:val="00082C9B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CEB"/>
    <w:rsid w:val="00086295"/>
    <w:rsid w:val="0008633E"/>
    <w:rsid w:val="0008756B"/>
    <w:rsid w:val="0008798D"/>
    <w:rsid w:val="00087BC9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8BA"/>
    <w:rsid w:val="000A7F53"/>
    <w:rsid w:val="000B003A"/>
    <w:rsid w:val="000B0710"/>
    <w:rsid w:val="000B1A0E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AC6"/>
    <w:rsid w:val="000B5FA3"/>
    <w:rsid w:val="000B6AF6"/>
    <w:rsid w:val="000B7BDB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6F9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3B9"/>
    <w:rsid w:val="000E6D5D"/>
    <w:rsid w:val="000F0023"/>
    <w:rsid w:val="000F05D5"/>
    <w:rsid w:val="000F1DEB"/>
    <w:rsid w:val="000F30E6"/>
    <w:rsid w:val="000F3491"/>
    <w:rsid w:val="000F3DE6"/>
    <w:rsid w:val="000F44E7"/>
    <w:rsid w:val="000F4716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0BC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5234"/>
    <w:rsid w:val="0010575D"/>
    <w:rsid w:val="00105E2B"/>
    <w:rsid w:val="0010619C"/>
    <w:rsid w:val="0010664D"/>
    <w:rsid w:val="00106CDE"/>
    <w:rsid w:val="001103C8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7DD"/>
    <w:rsid w:val="00146902"/>
    <w:rsid w:val="00146DFA"/>
    <w:rsid w:val="0015018D"/>
    <w:rsid w:val="00150228"/>
    <w:rsid w:val="001502C3"/>
    <w:rsid w:val="001504E8"/>
    <w:rsid w:val="00150536"/>
    <w:rsid w:val="001533B2"/>
    <w:rsid w:val="001534CA"/>
    <w:rsid w:val="0015369A"/>
    <w:rsid w:val="0015386A"/>
    <w:rsid w:val="001540F9"/>
    <w:rsid w:val="0015461C"/>
    <w:rsid w:val="00154E90"/>
    <w:rsid w:val="001557A9"/>
    <w:rsid w:val="00155878"/>
    <w:rsid w:val="0015599D"/>
    <w:rsid w:val="00155A36"/>
    <w:rsid w:val="00156B20"/>
    <w:rsid w:val="0015755C"/>
    <w:rsid w:val="001577D4"/>
    <w:rsid w:val="001600AB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2CD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38A8"/>
    <w:rsid w:val="00173A79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779E9"/>
    <w:rsid w:val="00177AE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8D5"/>
    <w:rsid w:val="00184537"/>
    <w:rsid w:val="001845FA"/>
    <w:rsid w:val="00184EBD"/>
    <w:rsid w:val="0018522B"/>
    <w:rsid w:val="001854A8"/>
    <w:rsid w:val="00185D40"/>
    <w:rsid w:val="00186283"/>
    <w:rsid w:val="0018651C"/>
    <w:rsid w:val="00186625"/>
    <w:rsid w:val="00186980"/>
    <w:rsid w:val="00186C17"/>
    <w:rsid w:val="001876B4"/>
    <w:rsid w:val="00187E39"/>
    <w:rsid w:val="00187E87"/>
    <w:rsid w:val="00190180"/>
    <w:rsid w:val="00190A43"/>
    <w:rsid w:val="00190D0B"/>
    <w:rsid w:val="001912FB"/>
    <w:rsid w:val="00191608"/>
    <w:rsid w:val="00191651"/>
    <w:rsid w:val="00191664"/>
    <w:rsid w:val="00192065"/>
    <w:rsid w:val="0019269E"/>
    <w:rsid w:val="00192AB8"/>
    <w:rsid w:val="00193141"/>
    <w:rsid w:val="001941AA"/>
    <w:rsid w:val="00194F73"/>
    <w:rsid w:val="0019538D"/>
    <w:rsid w:val="00195EC2"/>
    <w:rsid w:val="00195F99"/>
    <w:rsid w:val="001966BD"/>
    <w:rsid w:val="00196A70"/>
    <w:rsid w:val="00196CB1"/>
    <w:rsid w:val="00197853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2E"/>
    <w:rsid w:val="001B2C6A"/>
    <w:rsid w:val="001B2F19"/>
    <w:rsid w:val="001B35ED"/>
    <w:rsid w:val="001B369D"/>
    <w:rsid w:val="001B3824"/>
    <w:rsid w:val="001B3BE4"/>
    <w:rsid w:val="001B3E39"/>
    <w:rsid w:val="001B450E"/>
    <w:rsid w:val="001B46DB"/>
    <w:rsid w:val="001B4F75"/>
    <w:rsid w:val="001B544C"/>
    <w:rsid w:val="001B567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929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48E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3B32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9E0"/>
    <w:rsid w:val="001E0A09"/>
    <w:rsid w:val="001E0B64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2E96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3C1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1AFE"/>
    <w:rsid w:val="0023262B"/>
    <w:rsid w:val="00232A4E"/>
    <w:rsid w:val="00233541"/>
    <w:rsid w:val="00233A1D"/>
    <w:rsid w:val="00233A7D"/>
    <w:rsid w:val="00233EDD"/>
    <w:rsid w:val="0023482B"/>
    <w:rsid w:val="0023482C"/>
    <w:rsid w:val="00234AA4"/>
    <w:rsid w:val="00234C7F"/>
    <w:rsid w:val="00234E62"/>
    <w:rsid w:val="00234F8F"/>
    <w:rsid w:val="00235337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ACF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1C40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A2"/>
    <w:rsid w:val="00267A38"/>
    <w:rsid w:val="00267F5F"/>
    <w:rsid w:val="00270261"/>
    <w:rsid w:val="00270419"/>
    <w:rsid w:val="00270965"/>
    <w:rsid w:val="00271E5D"/>
    <w:rsid w:val="00272082"/>
    <w:rsid w:val="002730E7"/>
    <w:rsid w:val="0027349D"/>
    <w:rsid w:val="00273516"/>
    <w:rsid w:val="00273985"/>
    <w:rsid w:val="00273B82"/>
    <w:rsid w:val="00273E7A"/>
    <w:rsid w:val="00274372"/>
    <w:rsid w:val="0027475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A02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53F"/>
    <w:rsid w:val="002B7DCC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33CE"/>
    <w:rsid w:val="002C3650"/>
    <w:rsid w:val="002C3968"/>
    <w:rsid w:val="002C414C"/>
    <w:rsid w:val="002C41CB"/>
    <w:rsid w:val="002C45C6"/>
    <w:rsid w:val="002C4B19"/>
    <w:rsid w:val="002C5C58"/>
    <w:rsid w:val="002C6A1A"/>
    <w:rsid w:val="002C6B67"/>
    <w:rsid w:val="002C73EE"/>
    <w:rsid w:val="002C7660"/>
    <w:rsid w:val="002C7718"/>
    <w:rsid w:val="002C77DB"/>
    <w:rsid w:val="002C77F7"/>
    <w:rsid w:val="002C7886"/>
    <w:rsid w:val="002C7CD4"/>
    <w:rsid w:val="002D0321"/>
    <w:rsid w:val="002D0E7A"/>
    <w:rsid w:val="002D155B"/>
    <w:rsid w:val="002D1AD3"/>
    <w:rsid w:val="002D26FE"/>
    <w:rsid w:val="002D40A5"/>
    <w:rsid w:val="002D473F"/>
    <w:rsid w:val="002D48E1"/>
    <w:rsid w:val="002D5A82"/>
    <w:rsid w:val="002D61C8"/>
    <w:rsid w:val="002D629E"/>
    <w:rsid w:val="002D6E9A"/>
    <w:rsid w:val="002D720A"/>
    <w:rsid w:val="002D726B"/>
    <w:rsid w:val="002D75DB"/>
    <w:rsid w:val="002E0067"/>
    <w:rsid w:val="002E02D0"/>
    <w:rsid w:val="002E0489"/>
    <w:rsid w:val="002E04C0"/>
    <w:rsid w:val="002E0544"/>
    <w:rsid w:val="002E09BE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498"/>
    <w:rsid w:val="002E77BC"/>
    <w:rsid w:val="002E79BC"/>
    <w:rsid w:val="002E7B9F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8A5"/>
    <w:rsid w:val="002F3C64"/>
    <w:rsid w:val="002F3E2E"/>
    <w:rsid w:val="002F4431"/>
    <w:rsid w:val="002F47E7"/>
    <w:rsid w:val="002F510D"/>
    <w:rsid w:val="002F5F61"/>
    <w:rsid w:val="002F6AC7"/>
    <w:rsid w:val="00300081"/>
    <w:rsid w:val="003000C0"/>
    <w:rsid w:val="0030023E"/>
    <w:rsid w:val="00300317"/>
    <w:rsid w:val="0030059B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686"/>
    <w:rsid w:val="003338EB"/>
    <w:rsid w:val="00334446"/>
    <w:rsid w:val="0033444C"/>
    <w:rsid w:val="00334725"/>
    <w:rsid w:val="00334A38"/>
    <w:rsid w:val="00334AF1"/>
    <w:rsid w:val="00334B64"/>
    <w:rsid w:val="003353D5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940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1BE"/>
    <w:rsid w:val="00353A4B"/>
    <w:rsid w:val="00354223"/>
    <w:rsid w:val="003547B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CA6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2C8"/>
    <w:rsid w:val="0037334A"/>
    <w:rsid w:val="003734B3"/>
    <w:rsid w:val="0037352E"/>
    <w:rsid w:val="003736AF"/>
    <w:rsid w:val="0037443B"/>
    <w:rsid w:val="00374D3E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6F6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4D6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686"/>
    <w:rsid w:val="003B1C5D"/>
    <w:rsid w:val="003B1EAD"/>
    <w:rsid w:val="003B1F1C"/>
    <w:rsid w:val="003B23A8"/>
    <w:rsid w:val="003B3822"/>
    <w:rsid w:val="003B3BAD"/>
    <w:rsid w:val="003B3F02"/>
    <w:rsid w:val="003B3F64"/>
    <w:rsid w:val="003B435D"/>
    <w:rsid w:val="003B4644"/>
    <w:rsid w:val="003B4B26"/>
    <w:rsid w:val="003B4E29"/>
    <w:rsid w:val="003B5306"/>
    <w:rsid w:val="003B5757"/>
    <w:rsid w:val="003B5DAC"/>
    <w:rsid w:val="003B6179"/>
    <w:rsid w:val="003B6302"/>
    <w:rsid w:val="003B69D0"/>
    <w:rsid w:val="003B6BAD"/>
    <w:rsid w:val="003B7B4D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B47"/>
    <w:rsid w:val="003C3F73"/>
    <w:rsid w:val="003C3FE2"/>
    <w:rsid w:val="003C40A2"/>
    <w:rsid w:val="003C48FA"/>
    <w:rsid w:val="003C5519"/>
    <w:rsid w:val="003C5A97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E1F"/>
    <w:rsid w:val="003D1182"/>
    <w:rsid w:val="003D1AE0"/>
    <w:rsid w:val="003D1CB6"/>
    <w:rsid w:val="003D22DA"/>
    <w:rsid w:val="003D3779"/>
    <w:rsid w:val="003D3B16"/>
    <w:rsid w:val="003D425A"/>
    <w:rsid w:val="003D47AF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59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2770"/>
    <w:rsid w:val="003F2BFE"/>
    <w:rsid w:val="003F2C80"/>
    <w:rsid w:val="003F3112"/>
    <w:rsid w:val="003F3A44"/>
    <w:rsid w:val="003F3DC1"/>
    <w:rsid w:val="003F5F0A"/>
    <w:rsid w:val="003F697A"/>
    <w:rsid w:val="003F6DF4"/>
    <w:rsid w:val="003F7022"/>
    <w:rsid w:val="003F7263"/>
    <w:rsid w:val="003F7B82"/>
    <w:rsid w:val="003F7D77"/>
    <w:rsid w:val="003F7EC8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D4D"/>
    <w:rsid w:val="0040558F"/>
    <w:rsid w:val="00405945"/>
    <w:rsid w:val="00405A4F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CA"/>
    <w:rsid w:val="004119D9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5E44"/>
    <w:rsid w:val="00416787"/>
    <w:rsid w:val="00416B47"/>
    <w:rsid w:val="00416D2E"/>
    <w:rsid w:val="00417E72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8A5"/>
    <w:rsid w:val="00426B99"/>
    <w:rsid w:val="0042729D"/>
    <w:rsid w:val="004300E1"/>
    <w:rsid w:val="00430294"/>
    <w:rsid w:val="00430667"/>
    <w:rsid w:val="004309CF"/>
    <w:rsid w:val="00430B44"/>
    <w:rsid w:val="00430F27"/>
    <w:rsid w:val="0043104B"/>
    <w:rsid w:val="00431577"/>
    <w:rsid w:val="0043181D"/>
    <w:rsid w:val="00431CCB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05A0"/>
    <w:rsid w:val="00440831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FE9"/>
    <w:rsid w:val="00451A7B"/>
    <w:rsid w:val="004522A6"/>
    <w:rsid w:val="004529D7"/>
    <w:rsid w:val="00452A11"/>
    <w:rsid w:val="00453BF4"/>
    <w:rsid w:val="00453D19"/>
    <w:rsid w:val="00454571"/>
    <w:rsid w:val="004551E8"/>
    <w:rsid w:val="00455AFA"/>
    <w:rsid w:val="004561D0"/>
    <w:rsid w:val="00456308"/>
    <w:rsid w:val="004566BE"/>
    <w:rsid w:val="0045682E"/>
    <w:rsid w:val="004568B4"/>
    <w:rsid w:val="00456A0C"/>
    <w:rsid w:val="00456B4E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397"/>
    <w:rsid w:val="0046443B"/>
    <w:rsid w:val="00464BC7"/>
    <w:rsid w:val="004651B8"/>
    <w:rsid w:val="004653CD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0766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0063"/>
    <w:rsid w:val="00481188"/>
    <w:rsid w:val="00481688"/>
    <w:rsid w:val="004820E0"/>
    <w:rsid w:val="004822CA"/>
    <w:rsid w:val="004822D2"/>
    <w:rsid w:val="00482E54"/>
    <w:rsid w:val="00482EC9"/>
    <w:rsid w:val="004831A1"/>
    <w:rsid w:val="0048388E"/>
    <w:rsid w:val="00483F95"/>
    <w:rsid w:val="004842A2"/>
    <w:rsid w:val="00484D20"/>
    <w:rsid w:val="004850C1"/>
    <w:rsid w:val="004851F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323"/>
    <w:rsid w:val="00495C51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6C9D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72E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432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BCF"/>
    <w:rsid w:val="004C4829"/>
    <w:rsid w:val="004C49F8"/>
    <w:rsid w:val="004C4CA7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CE9"/>
    <w:rsid w:val="004D1D27"/>
    <w:rsid w:val="004D21B6"/>
    <w:rsid w:val="004D2EC3"/>
    <w:rsid w:val="004D2FF6"/>
    <w:rsid w:val="004D3FD6"/>
    <w:rsid w:val="004D405F"/>
    <w:rsid w:val="004D4F21"/>
    <w:rsid w:val="004D5278"/>
    <w:rsid w:val="004D55CA"/>
    <w:rsid w:val="004D59E8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BF0"/>
    <w:rsid w:val="004E1E6A"/>
    <w:rsid w:val="004E20EB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27A"/>
    <w:rsid w:val="004E7615"/>
    <w:rsid w:val="004E7CDF"/>
    <w:rsid w:val="004F078C"/>
    <w:rsid w:val="004F1324"/>
    <w:rsid w:val="004F19F6"/>
    <w:rsid w:val="004F1C7D"/>
    <w:rsid w:val="004F1D24"/>
    <w:rsid w:val="004F21D2"/>
    <w:rsid w:val="004F22F9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2BC"/>
    <w:rsid w:val="004F77E0"/>
    <w:rsid w:val="004F792C"/>
    <w:rsid w:val="004F7F0F"/>
    <w:rsid w:val="004F7FBC"/>
    <w:rsid w:val="005001AE"/>
    <w:rsid w:val="00500292"/>
    <w:rsid w:val="005007E7"/>
    <w:rsid w:val="00501141"/>
    <w:rsid w:val="005012FC"/>
    <w:rsid w:val="00501938"/>
    <w:rsid w:val="005019C2"/>
    <w:rsid w:val="00501C30"/>
    <w:rsid w:val="00501EBE"/>
    <w:rsid w:val="005020EB"/>
    <w:rsid w:val="00503551"/>
    <w:rsid w:val="00503821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07E"/>
    <w:rsid w:val="005179DA"/>
    <w:rsid w:val="00517E2A"/>
    <w:rsid w:val="00517EA1"/>
    <w:rsid w:val="00520C1C"/>
    <w:rsid w:val="0052117B"/>
    <w:rsid w:val="00521439"/>
    <w:rsid w:val="005217DF"/>
    <w:rsid w:val="00522133"/>
    <w:rsid w:val="0052236B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21A"/>
    <w:rsid w:val="00535585"/>
    <w:rsid w:val="0053608F"/>
    <w:rsid w:val="0053680E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01E"/>
    <w:rsid w:val="0054612B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775"/>
    <w:rsid w:val="0056557E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1F2F"/>
    <w:rsid w:val="00572749"/>
    <w:rsid w:val="005736E5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1E76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ACC"/>
    <w:rsid w:val="00593F5A"/>
    <w:rsid w:val="005949FB"/>
    <w:rsid w:val="00594AE4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B34"/>
    <w:rsid w:val="005B0FB5"/>
    <w:rsid w:val="005B1039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30BC"/>
    <w:rsid w:val="005B41B3"/>
    <w:rsid w:val="005B4289"/>
    <w:rsid w:val="005B42F0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77F"/>
    <w:rsid w:val="005C18A6"/>
    <w:rsid w:val="005C1C90"/>
    <w:rsid w:val="005C1CEF"/>
    <w:rsid w:val="005C1F6E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CDF"/>
    <w:rsid w:val="005C66EB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0E82"/>
    <w:rsid w:val="005D101F"/>
    <w:rsid w:val="005D1247"/>
    <w:rsid w:val="005D19D4"/>
    <w:rsid w:val="005D1A10"/>
    <w:rsid w:val="005D1D60"/>
    <w:rsid w:val="005D205D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562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A7C"/>
    <w:rsid w:val="005E0DEA"/>
    <w:rsid w:val="005E0E81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2533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2DF4"/>
    <w:rsid w:val="0060305F"/>
    <w:rsid w:val="006034C7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A37"/>
    <w:rsid w:val="00615E77"/>
    <w:rsid w:val="006162A3"/>
    <w:rsid w:val="006167A8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A6"/>
    <w:rsid w:val="00622F8E"/>
    <w:rsid w:val="006233C1"/>
    <w:rsid w:val="0062359C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6624"/>
    <w:rsid w:val="00646970"/>
    <w:rsid w:val="00646FDD"/>
    <w:rsid w:val="0064739A"/>
    <w:rsid w:val="00647C38"/>
    <w:rsid w:val="00647D39"/>
    <w:rsid w:val="006500A2"/>
    <w:rsid w:val="0065058D"/>
    <w:rsid w:val="00650709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2C53"/>
    <w:rsid w:val="00653572"/>
    <w:rsid w:val="00653AC4"/>
    <w:rsid w:val="00653C52"/>
    <w:rsid w:val="006540C1"/>
    <w:rsid w:val="00654642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105"/>
    <w:rsid w:val="00676F0B"/>
    <w:rsid w:val="006771F8"/>
    <w:rsid w:val="006773D1"/>
    <w:rsid w:val="006801BB"/>
    <w:rsid w:val="006802E3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103"/>
    <w:rsid w:val="00685339"/>
    <w:rsid w:val="00685597"/>
    <w:rsid w:val="00686338"/>
    <w:rsid w:val="006869CB"/>
    <w:rsid w:val="00686F56"/>
    <w:rsid w:val="00687318"/>
    <w:rsid w:val="0068731C"/>
    <w:rsid w:val="006874E7"/>
    <w:rsid w:val="006904AD"/>
    <w:rsid w:val="006905F1"/>
    <w:rsid w:val="006912E6"/>
    <w:rsid w:val="006914E9"/>
    <w:rsid w:val="006915F9"/>
    <w:rsid w:val="00691815"/>
    <w:rsid w:val="00691CDA"/>
    <w:rsid w:val="00691E51"/>
    <w:rsid w:val="006920CA"/>
    <w:rsid w:val="006927F0"/>
    <w:rsid w:val="00692C4E"/>
    <w:rsid w:val="0069335F"/>
    <w:rsid w:val="006936DB"/>
    <w:rsid w:val="00693801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27A9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048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790"/>
    <w:rsid w:val="006F6813"/>
    <w:rsid w:val="006F76AB"/>
    <w:rsid w:val="006F7C26"/>
    <w:rsid w:val="00700408"/>
    <w:rsid w:val="00700821"/>
    <w:rsid w:val="007010A7"/>
    <w:rsid w:val="007011D1"/>
    <w:rsid w:val="007011D8"/>
    <w:rsid w:val="00701CC8"/>
    <w:rsid w:val="00702723"/>
    <w:rsid w:val="0070303A"/>
    <w:rsid w:val="00703050"/>
    <w:rsid w:val="0070328F"/>
    <w:rsid w:val="007037D6"/>
    <w:rsid w:val="00704310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8B2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B22"/>
    <w:rsid w:val="00712D93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2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08C"/>
    <w:rsid w:val="00732121"/>
    <w:rsid w:val="00732732"/>
    <w:rsid w:val="0073397C"/>
    <w:rsid w:val="00734051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BB8"/>
    <w:rsid w:val="00741C56"/>
    <w:rsid w:val="00741C83"/>
    <w:rsid w:val="00741E9A"/>
    <w:rsid w:val="0074263B"/>
    <w:rsid w:val="00742891"/>
    <w:rsid w:val="00742C3D"/>
    <w:rsid w:val="00742DAD"/>
    <w:rsid w:val="00743455"/>
    <w:rsid w:val="007435B8"/>
    <w:rsid w:val="00743B39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32D"/>
    <w:rsid w:val="00754D81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62B"/>
    <w:rsid w:val="00777AAB"/>
    <w:rsid w:val="00780747"/>
    <w:rsid w:val="00780FF9"/>
    <w:rsid w:val="0078285C"/>
    <w:rsid w:val="007829E4"/>
    <w:rsid w:val="00782B30"/>
    <w:rsid w:val="007832F5"/>
    <w:rsid w:val="00783952"/>
    <w:rsid w:val="00783A36"/>
    <w:rsid w:val="007845D4"/>
    <w:rsid w:val="00784DF0"/>
    <w:rsid w:val="00785A38"/>
    <w:rsid w:val="00785C2A"/>
    <w:rsid w:val="0078668F"/>
    <w:rsid w:val="007866F2"/>
    <w:rsid w:val="00786706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97B87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BDA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0EE1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40D9"/>
    <w:rsid w:val="007D421B"/>
    <w:rsid w:val="007D4490"/>
    <w:rsid w:val="007D4579"/>
    <w:rsid w:val="007D51EB"/>
    <w:rsid w:val="007D52F0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38"/>
    <w:rsid w:val="007F015E"/>
    <w:rsid w:val="007F075B"/>
    <w:rsid w:val="007F081A"/>
    <w:rsid w:val="007F1160"/>
    <w:rsid w:val="007F1F3B"/>
    <w:rsid w:val="007F21B0"/>
    <w:rsid w:val="007F2C3A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FB3"/>
    <w:rsid w:val="00800235"/>
    <w:rsid w:val="0080026A"/>
    <w:rsid w:val="00800340"/>
    <w:rsid w:val="00800821"/>
    <w:rsid w:val="00800953"/>
    <w:rsid w:val="00801255"/>
    <w:rsid w:val="008013A8"/>
    <w:rsid w:val="0080175F"/>
    <w:rsid w:val="0080197B"/>
    <w:rsid w:val="00801AE1"/>
    <w:rsid w:val="00801C1F"/>
    <w:rsid w:val="008021D3"/>
    <w:rsid w:val="00802849"/>
    <w:rsid w:val="00802971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1E33"/>
    <w:rsid w:val="00812156"/>
    <w:rsid w:val="00812862"/>
    <w:rsid w:val="00812A7A"/>
    <w:rsid w:val="0081362B"/>
    <w:rsid w:val="00813669"/>
    <w:rsid w:val="008136E0"/>
    <w:rsid w:val="00813A49"/>
    <w:rsid w:val="00813B1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2AC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E39"/>
    <w:rsid w:val="00834F23"/>
    <w:rsid w:val="008353B6"/>
    <w:rsid w:val="0083559B"/>
    <w:rsid w:val="00836A67"/>
    <w:rsid w:val="00836CEB"/>
    <w:rsid w:val="008370C7"/>
    <w:rsid w:val="0083797B"/>
    <w:rsid w:val="00840C4A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574"/>
    <w:rsid w:val="00860D51"/>
    <w:rsid w:val="008611C1"/>
    <w:rsid w:val="00861233"/>
    <w:rsid w:val="0086151A"/>
    <w:rsid w:val="0086173C"/>
    <w:rsid w:val="008618D2"/>
    <w:rsid w:val="00861DA4"/>
    <w:rsid w:val="008622B0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5EAE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72E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31F"/>
    <w:rsid w:val="008808B9"/>
    <w:rsid w:val="00880B30"/>
    <w:rsid w:val="00880F1D"/>
    <w:rsid w:val="0088172A"/>
    <w:rsid w:val="00881F90"/>
    <w:rsid w:val="00882798"/>
    <w:rsid w:val="00882988"/>
    <w:rsid w:val="00882B00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48B9"/>
    <w:rsid w:val="008950D6"/>
    <w:rsid w:val="00895B46"/>
    <w:rsid w:val="00896474"/>
    <w:rsid w:val="00896C1A"/>
    <w:rsid w:val="00896DBC"/>
    <w:rsid w:val="00897B59"/>
    <w:rsid w:val="00897C6C"/>
    <w:rsid w:val="00897D1A"/>
    <w:rsid w:val="008A06E3"/>
    <w:rsid w:val="008A0905"/>
    <w:rsid w:val="008A0B02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680"/>
    <w:rsid w:val="008B3B50"/>
    <w:rsid w:val="008B3D47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2F1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6056"/>
    <w:rsid w:val="008C65B5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653"/>
    <w:rsid w:val="008D1964"/>
    <w:rsid w:val="008D2169"/>
    <w:rsid w:val="008D221A"/>
    <w:rsid w:val="008D24D6"/>
    <w:rsid w:val="008D24E1"/>
    <w:rsid w:val="008D3E6A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3EEA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7D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24A"/>
    <w:rsid w:val="0091148A"/>
    <w:rsid w:val="00911985"/>
    <w:rsid w:val="00912347"/>
    <w:rsid w:val="0091268D"/>
    <w:rsid w:val="009129C1"/>
    <w:rsid w:val="00913336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5E34"/>
    <w:rsid w:val="00916068"/>
    <w:rsid w:val="00916194"/>
    <w:rsid w:val="00916A97"/>
    <w:rsid w:val="00916BF5"/>
    <w:rsid w:val="00916CCB"/>
    <w:rsid w:val="00916FF2"/>
    <w:rsid w:val="00917175"/>
    <w:rsid w:val="00917703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A20"/>
    <w:rsid w:val="00927AE3"/>
    <w:rsid w:val="00927B80"/>
    <w:rsid w:val="00930298"/>
    <w:rsid w:val="009302A6"/>
    <w:rsid w:val="009309E9"/>
    <w:rsid w:val="00930AF7"/>
    <w:rsid w:val="00931325"/>
    <w:rsid w:val="009319DC"/>
    <w:rsid w:val="00931AAD"/>
    <w:rsid w:val="00931E6D"/>
    <w:rsid w:val="00932605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249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50327"/>
    <w:rsid w:val="009504C3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1ED8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61C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4D2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09DA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DE5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6C51"/>
    <w:rsid w:val="00997258"/>
    <w:rsid w:val="00997AF0"/>
    <w:rsid w:val="00997C19"/>
    <w:rsid w:val="009A0415"/>
    <w:rsid w:val="009A04CD"/>
    <w:rsid w:val="009A0A3A"/>
    <w:rsid w:val="009A0B14"/>
    <w:rsid w:val="009A0DFE"/>
    <w:rsid w:val="009A177E"/>
    <w:rsid w:val="009A1AE9"/>
    <w:rsid w:val="009A22E6"/>
    <w:rsid w:val="009A2441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5E6"/>
    <w:rsid w:val="009A5928"/>
    <w:rsid w:val="009A5AE0"/>
    <w:rsid w:val="009A6621"/>
    <w:rsid w:val="009A6AEA"/>
    <w:rsid w:val="009A6CC5"/>
    <w:rsid w:val="009A6F64"/>
    <w:rsid w:val="009A7196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6F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5DA"/>
    <w:rsid w:val="009D372A"/>
    <w:rsid w:val="009D3A26"/>
    <w:rsid w:val="009D3BAC"/>
    <w:rsid w:val="009D3EDD"/>
    <w:rsid w:val="009D4498"/>
    <w:rsid w:val="009D48BA"/>
    <w:rsid w:val="009D4B7E"/>
    <w:rsid w:val="009D4D48"/>
    <w:rsid w:val="009D4DC6"/>
    <w:rsid w:val="009D5106"/>
    <w:rsid w:val="009D5423"/>
    <w:rsid w:val="009D5D71"/>
    <w:rsid w:val="009D66B9"/>
    <w:rsid w:val="009D6B77"/>
    <w:rsid w:val="009D6CE1"/>
    <w:rsid w:val="009E051C"/>
    <w:rsid w:val="009E0F8C"/>
    <w:rsid w:val="009E14B2"/>
    <w:rsid w:val="009E155E"/>
    <w:rsid w:val="009E1C49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4E34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3C5"/>
    <w:rsid w:val="00A02D3C"/>
    <w:rsid w:val="00A03287"/>
    <w:rsid w:val="00A032EA"/>
    <w:rsid w:val="00A0408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838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20224"/>
    <w:rsid w:val="00A207CF"/>
    <w:rsid w:val="00A20BF9"/>
    <w:rsid w:val="00A21424"/>
    <w:rsid w:val="00A21997"/>
    <w:rsid w:val="00A23A98"/>
    <w:rsid w:val="00A23F19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5D65"/>
    <w:rsid w:val="00A36CF6"/>
    <w:rsid w:val="00A36EC5"/>
    <w:rsid w:val="00A37EDA"/>
    <w:rsid w:val="00A4035D"/>
    <w:rsid w:val="00A403FC"/>
    <w:rsid w:val="00A413A3"/>
    <w:rsid w:val="00A41DB1"/>
    <w:rsid w:val="00A43214"/>
    <w:rsid w:val="00A43270"/>
    <w:rsid w:val="00A436CD"/>
    <w:rsid w:val="00A439BB"/>
    <w:rsid w:val="00A44299"/>
    <w:rsid w:val="00A445B0"/>
    <w:rsid w:val="00A445C5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787"/>
    <w:rsid w:val="00A648E9"/>
    <w:rsid w:val="00A64ED1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8ED"/>
    <w:rsid w:val="00A74BF9"/>
    <w:rsid w:val="00A752D3"/>
    <w:rsid w:val="00A75386"/>
    <w:rsid w:val="00A7593A"/>
    <w:rsid w:val="00A7597F"/>
    <w:rsid w:val="00A75B02"/>
    <w:rsid w:val="00A75D3F"/>
    <w:rsid w:val="00A76023"/>
    <w:rsid w:val="00A7664B"/>
    <w:rsid w:val="00A768C8"/>
    <w:rsid w:val="00A76C21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746"/>
    <w:rsid w:val="00A847AE"/>
    <w:rsid w:val="00A84B98"/>
    <w:rsid w:val="00A84D2C"/>
    <w:rsid w:val="00A84D86"/>
    <w:rsid w:val="00A84E37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46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F33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2BF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C1D3B"/>
    <w:rsid w:val="00AC2035"/>
    <w:rsid w:val="00AC226A"/>
    <w:rsid w:val="00AC246C"/>
    <w:rsid w:val="00AC2553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0E0"/>
    <w:rsid w:val="00AC56D6"/>
    <w:rsid w:val="00AC5700"/>
    <w:rsid w:val="00AC5A64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655B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38C"/>
    <w:rsid w:val="00AE5771"/>
    <w:rsid w:val="00AE58F3"/>
    <w:rsid w:val="00AE59FC"/>
    <w:rsid w:val="00AE6AAF"/>
    <w:rsid w:val="00AE6B87"/>
    <w:rsid w:val="00AE6E97"/>
    <w:rsid w:val="00AE6F35"/>
    <w:rsid w:val="00AE758E"/>
    <w:rsid w:val="00AE75E3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5319"/>
    <w:rsid w:val="00AF5E57"/>
    <w:rsid w:val="00AF608B"/>
    <w:rsid w:val="00AF6358"/>
    <w:rsid w:val="00AF6A59"/>
    <w:rsid w:val="00AF6EA3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B7E"/>
    <w:rsid w:val="00B15DB9"/>
    <w:rsid w:val="00B1780E"/>
    <w:rsid w:val="00B17A7C"/>
    <w:rsid w:val="00B17F8A"/>
    <w:rsid w:val="00B200D3"/>
    <w:rsid w:val="00B2060E"/>
    <w:rsid w:val="00B20DCF"/>
    <w:rsid w:val="00B20DF0"/>
    <w:rsid w:val="00B20F8A"/>
    <w:rsid w:val="00B215EB"/>
    <w:rsid w:val="00B21852"/>
    <w:rsid w:val="00B22522"/>
    <w:rsid w:val="00B2288A"/>
    <w:rsid w:val="00B24028"/>
    <w:rsid w:val="00B24781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B34"/>
    <w:rsid w:val="00B56DCE"/>
    <w:rsid w:val="00B56FBD"/>
    <w:rsid w:val="00B5715A"/>
    <w:rsid w:val="00B57327"/>
    <w:rsid w:val="00B57469"/>
    <w:rsid w:val="00B57575"/>
    <w:rsid w:val="00B57850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67C44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8CB"/>
    <w:rsid w:val="00B80979"/>
    <w:rsid w:val="00B810F0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4DB1"/>
    <w:rsid w:val="00B9502A"/>
    <w:rsid w:val="00B955F5"/>
    <w:rsid w:val="00B95663"/>
    <w:rsid w:val="00B95A36"/>
    <w:rsid w:val="00B95CCC"/>
    <w:rsid w:val="00B95F44"/>
    <w:rsid w:val="00B96765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6589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56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EC"/>
    <w:rsid w:val="00BD4A52"/>
    <w:rsid w:val="00BD51CA"/>
    <w:rsid w:val="00BD5CD2"/>
    <w:rsid w:val="00BD77DE"/>
    <w:rsid w:val="00BD79C2"/>
    <w:rsid w:val="00BE0B84"/>
    <w:rsid w:val="00BE1038"/>
    <w:rsid w:val="00BE1F2E"/>
    <w:rsid w:val="00BE1FA7"/>
    <w:rsid w:val="00BE222B"/>
    <w:rsid w:val="00BE2AD7"/>
    <w:rsid w:val="00BE2BAA"/>
    <w:rsid w:val="00BE2C5A"/>
    <w:rsid w:val="00BE35FC"/>
    <w:rsid w:val="00BE4F8D"/>
    <w:rsid w:val="00BE590A"/>
    <w:rsid w:val="00BE644A"/>
    <w:rsid w:val="00BE684F"/>
    <w:rsid w:val="00BE751D"/>
    <w:rsid w:val="00BE770F"/>
    <w:rsid w:val="00BE778C"/>
    <w:rsid w:val="00BE7D6D"/>
    <w:rsid w:val="00BF01C8"/>
    <w:rsid w:val="00BF01D4"/>
    <w:rsid w:val="00BF025E"/>
    <w:rsid w:val="00BF0536"/>
    <w:rsid w:val="00BF0CF9"/>
    <w:rsid w:val="00BF0E2E"/>
    <w:rsid w:val="00BF1001"/>
    <w:rsid w:val="00BF20FB"/>
    <w:rsid w:val="00BF26EB"/>
    <w:rsid w:val="00BF28FB"/>
    <w:rsid w:val="00BF2997"/>
    <w:rsid w:val="00BF3583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079"/>
    <w:rsid w:val="00C01250"/>
    <w:rsid w:val="00C01316"/>
    <w:rsid w:val="00C01619"/>
    <w:rsid w:val="00C01745"/>
    <w:rsid w:val="00C017AA"/>
    <w:rsid w:val="00C02098"/>
    <w:rsid w:val="00C02269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4CE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472D"/>
    <w:rsid w:val="00C25DE4"/>
    <w:rsid w:val="00C26495"/>
    <w:rsid w:val="00C2695B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BC"/>
    <w:rsid w:val="00C35087"/>
    <w:rsid w:val="00C3523B"/>
    <w:rsid w:val="00C35947"/>
    <w:rsid w:val="00C36079"/>
    <w:rsid w:val="00C36B3D"/>
    <w:rsid w:val="00C36FFE"/>
    <w:rsid w:val="00C37913"/>
    <w:rsid w:val="00C40590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015A"/>
    <w:rsid w:val="00C510DE"/>
    <w:rsid w:val="00C52734"/>
    <w:rsid w:val="00C529C6"/>
    <w:rsid w:val="00C52D66"/>
    <w:rsid w:val="00C536E4"/>
    <w:rsid w:val="00C538AE"/>
    <w:rsid w:val="00C53C32"/>
    <w:rsid w:val="00C53E7A"/>
    <w:rsid w:val="00C5418B"/>
    <w:rsid w:val="00C54481"/>
    <w:rsid w:val="00C54492"/>
    <w:rsid w:val="00C544B6"/>
    <w:rsid w:val="00C54601"/>
    <w:rsid w:val="00C54799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88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A56"/>
    <w:rsid w:val="00C71F36"/>
    <w:rsid w:val="00C724BD"/>
    <w:rsid w:val="00C730CC"/>
    <w:rsid w:val="00C73350"/>
    <w:rsid w:val="00C7368A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25C"/>
    <w:rsid w:val="00C81302"/>
    <w:rsid w:val="00C815E4"/>
    <w:rsid w:val="00C817F9"/>
    <w:rsid w:val="00C81C15"/>
    <w:rsid w:val="00C820FC"/>
    <w:rsid w:val="00C82276"/>
    <w:rsid w:val="00C82720"/>
    <w:rsid w:val="00C8290C"/>
    <w:rsid w:val="00C833A2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D36"/>
    <w:rsid w:val="00CA3EC4"/>
    <w:rsid w:val="00CA40AF"/>
    <w:rsid w:val="00CA4249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0DF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15A8"/>
    <w:rsid w:val="00D024F9"/>
    <w:rsid w:val="00D027F9"/>
    <w:rsid w:val="00D032AA"/>
    <w:rsid w:val="00D03835"/>
    <w:rsid w:val="00D03A3E"/>
    <w:rsid w:val="00D03B1A"/>
    <w:rsid w:val="00D03D48"/>
    <w:rsid w:val="00D03E97"/>
    <w:rsid w:val="00D040BB"/>
    <w:rsid w:val="00D04C40"/>
    <w:rsid w:val="00D05695"/>
    <w:rsid w:val="00D056E9"/>
    <w:rsid w:val="00D0572A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DDF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747"/>
    <w:rsid w:val="00D16B4A"/>
    <w:rsid w:val="00D16C61"/>
    <w:rsid w:val="00D170C7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D50"/>
    <w:rsid w:val="00D27747"/>
    <w:rsid w:val="00D27BF7"/>
    <w:rsid w:val="00D305C4"/>
    <w:rsid w:val="00D30729"/>
    <w:rsid w:val="00D30EAF"/>
    <w:rsid w:val="00D314F6"/>
    <w:rsid w:val="00D31A4F"/>
    <w:rsid w:val="00D31D6C"/>
    <w:rsid w:val="00D31D99"/>
    <w:rsid w:val="00D32237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40D"/>
    <w:rsid w:val="00D4061B"/>
    <w:rsid w:val="00D4075F"/>
    <w:rsid w:val="00D40F50"/>
    <w:rsid w:val="00D420B2"/>
    <w:rsid w:val="00D42AB0"/>
    <w:rsid w:val="00D431DA"/>
    <w:rsid w:val="00D43450"/>
    <w:rsid w:val="00D43D75"/>
    <w:rsid w:val="00D43F48"/>
    <w:rsid w:val="00D43F90"/>
    <w:rsid w:val="00D43FC8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9BB"/>
    <w:rsid w:val="00D46DBF"/>
    <w:rsid w:val="00D46F26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A96"/>
    <w:rsid w:val="00D60DAB"/>
    <w:rsid w:val="00D61A8A"/>
    <w:rsid w:val="00D61DB9"/>
    <w:rsid w:val="00D61EEC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AC"/>
    <w:rsid w:val="00D7290B"/>
    <w:rsid w:val="00D72AC2"/>
    <w:rsid w:val="00D72CAE"/>
    <w:rsid w:val="00D733B8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0F20"/>
    <w:rsid w:val="00D810F2"/>
    <w:rsid w:val="00D81285"/>
    <w:rsid w:val="00D81B9A"/>
    <w:rsid w:val="00D822C6"/>
    <w:rsid w:val="00D82890"/>
    <w:rsid w:val="00D83449"/>
    <w:rsid w:val="00D835FA"/>
    <w:rsid w:val="00D83C19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4C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1D8B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BFF"/>
    <w:rsid w:val="00DB7F10"/>
    <w:rsid w:val="00DC01AB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3EA2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5A5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17E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D2C"/>
    <w:rsid w:val="00E13DAD"/>
    <w:rsid w:val="00E13EE3"/>
    <w:rsid w:val="00E148CD"/>
    <w:rsid w:val="00E14E22"/>
    <w:rsid w:val="00E14FF5"/>
    <w:rsid w:val="00E151E5"/>
    <w:rsid w:val="00E15608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0D8"/>
    <w:rsid w:val="00E2055A"/>
    <w:rsid w:val="00E208B3"/>
    <w:rsid w:val="00E20ACE"/>
    <w:rsid w:val="00E2117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28C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450D"/>
    <w:rsid w:val="00E64E92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737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474"/>
    <w:rsid w:val="00EA0942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5DD"/>
    <w:rsid w:val="00EA3BA1"/>
    <w:rsid w:val="00EA449C"/>
    <w:rsid w:val="00EA4BF4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3554"/>
    <w:rsid w:val="00EB41F5"/>
    <w:rsid w:val="00EB457D"/>
    <w:rsid w:val="00EB45D7"/>
    <w:rsid w:val="00EB47B3"/>
    <w:rsid w:val="00EB4926"/>
    <w:rsid w:val="00EB4B58"/>
    <w:rsid w:val="00EB4E5F"/>
    <w:rsid w:val="00EB5197"/>
    <w:rsid w:val="00EB545C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9EC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D2"/>
    <w:rsid w:val="00ED2D45"/>
    <w:rsid w:val="00ED2EB1"/>
    <w:rsid w:val="00ED35C0"/>
    <w:rsid w:val="00ED3F38"/>
    <w:rsid w:val="00ED4124"/>
    <w:rsid w:val="00ED42EC"/>
    <w:rsid w:val="00ED4623"/>
    <w:rsid w:val="00ED48F8"/>
    <w:rsid w:val="00ED49E2"/>
    <w:rsid w:val="00ED5030"/>
    <w:rsid w:val="00ED547D"/>
    <w:rsid w:val="00ED596C"/>
    <w:rsid w:val="00ED5ACF"/>
    <w:rsid w:val="00ED76B2"/>
    <w:rsid w:val="00EE0174"/>
    <w:rsid w:val="00EE01D1"/>
    <w:rsid w:val="00EE0582"/>
    <w:rsid w:val="00EE083C"/>
    <w:rsid w:val="00EE0CFF"/>
    <w:rsid w:val="00EE0D6A"/>
    <w:rsid w:val="00EE12E9"/>
    <w:rsid w:val="00EE13A7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138D"/>
    <w:rsid w:val="00EF1821"/>
    <w:rsid w:val="00EF1D2F"/>
    <w:rsid w:val="00EF1EA9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04"/>
    <w:rsid w:val="00F020E1"/>
    <w:rsid w:val="00F0221D"/>
    <w:rsid w:val="00F02DE5"/>
    <w:rsid w:val="00F0324F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4D0"/>
    <w:rsid w:val="00F10840"/>
    <w:rsid w:val="00F1089C"/>
    <w:rsid w:val="00F108B8"/>
    <w:rsid w:val="00F111FB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10C"/>
    <w:rsid w:val="00F232DA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A82"/>
    <w:rsid w:val="00F30C57"/>
    <w:rsid w:val="00F319F9"/>
    <w:rsid w:val="00F32AF9"/>
    <w:rsid w:val="00F32E1A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44C"/>
    <w:rsid w:val="00F37507"/>
    <w:rsid w:val="00F37763"/>
    <w:rsid w:val="00F40042"/>
    <w:rsid w:val="00F40EEA"/>
    <w:rsid w:val="00F415F2"/>
    <w:rsid w:val="00F42037"/>
    <w:rsid w:val="00F421B7"/>
    <w:rsid w:val="00F423F6"/>
    <w:rsid w:val="00F42415"/>
    <w:rsid w:val="00F424D3"/>
    <w:rsid w:val="00F4284C"/>
    <w:rsid w:val="00F43AB8"/>
    <w:rsid w:val="00F43E4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2571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FA9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87"/>
    <w:rsid w:val="00F819E1"/>
    <w:rsid w:val="00F822A0"/>
    <w:rsid w:val="00F827FE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207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075"/>
    <w:rsid w:val="00FB3784"/>
    <w:rsid w:val="00FB3916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F0E"/>
    <w:rsid w:val="00FB7F29"/>
    <w:rsid w:val="00FC0690"/>
    <w:rsid w:val="00FC06BF"/>
    <w:rsid w:val="00FC0AE4"/>
    <w:rsid w:val="00FC0E21"/>
    <w:rsid w:val="00FC0E79"/>
    <w:rsid w:val="00FC1694"/>
    <w:rsid w:val="00FC1CF2"/>
    <w:rsid w:val="00FC2124"/>
    <w:rsid w:val="00FC2576"/>
    <w:rsid w:val="00FC2A8A"/>
    <w:rsid w:val="00FC2E45"/>
    <w:rsid w:val="00FC351E"/>
    <w:rsid w:val="00FC35DE"/>
    <w:rsid w:val="00FC3BE7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6B3"/>
    <w:rsid w:val="00FD0BFB"/>
    <w:rsid w:val="00FD0F61"/>
    <w:rsid w:val="00FD1280"/>
    <w:rsid w:val="00FD143C"/>
    <w:rsid w:val="00FD15D0"/>
    <w:rsid w:val="00FD1946"/>
    <w:rsid w:val="00FD2557"/>
    <w:rsid w:val="00FD2965"/>
    <w:rsid w:val="00FD2A64"/>
    <w:rsid w:val="00FD2AD2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F5F"/>
    <w:rsid w:val="00FE393B"/>
    <w:rsid w:val="00FE3E04"/>
    <w:rsid w:val="00FE3FC5"/>
    <w:rsid w:val="00FE4037"/>
    <w:rsid w:val="00FE4608"/>
    <w:rsid w:val="00FE465A"/>
    <w:rsid w:val="00FE4826"/>
    <w:rsid w:val="00FE559F"/>
    <w:rsid w:val="00FE5DD2"/>
    <w:rsid w:val="00FE5F15"/>
    <w:rsid w:val="00FE66DF"/>
    <w:rsid w:val="00FE6845"/>
    <w:rsid w:val="00FE6AD1"/>
    <w:rsid w:val="00FE6CC7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5EF2"/>
    <w:rsid w:val="00FF6024"/>
    <w:rsid w:val="00FF7692"/>
    <w:rsid w:val="00FF7932"/>
    <w:rsid w:val="0295C4AC"/>
    <w:rsid w:val="07500D72"/>
    <w:rsid w:val="0B50D185"/>
    <w:rsid w:val="12A04065"/>
    <w:rsid w:val="149DF535"/>
    <w:rsid w:val="14D88A39"/>
    <w:rsid w:val="15D24E61"/>
    <w:rsid w:val="1F7930A7"/>
    <w:rsid w:val="21573570"/>
    <w:rsid w:val="2208C3FB"/>
    <w:rsid w:val="22F305D1"/>
    <w:rsid w:val="240C0B91"/>
    <w:rsid w:val="2656ACD2"/>
    <w:rsid w:val="277D78A8"/>
    <w:rsid w:val="29018DF1"/>
    <w:rsid w:val="2B121FAC"/>
    <w:rsid w:val="2FB9F413"/>
    <w:rsid w:val="346D7F3E"/>
    <w:rsid w:val="34A18884"/>
    <w:rsid w:val="34CFAA38"/>
    <w:rsid w:val="358C8EA8"/>
    <w:rsid w:val="3D9EAE6D"/>
    <w:rsid w:val="3DD7A90E"/>
    <w:rsid w:val="3F3A7ECE"/>
    <w:rsid w:val="40EF778C"/>
    <w:rsid w:val="42F67DC8"/>
    <w:rsid w:val="4B018FAD"/>
    <w:rsid w:val="4DA8B7C7"/>
    <w:rsid w:val="4E61CD80"/>
    <w:rsid w:val="50753EB5"/>
    <w:rsid w:val="53BC9C86"/>
    <w:rsid w:val="5763A203"/>
    <w:rsid w:val="57E5C8E3"/>
    <w:rsid w:val="5A9B42C5"/>
    <w:rsid w:val="5DD2E387"/>
    <w:rsid w:val="5F2C785F"/>
    <w:rsid w:val="639A179D"/>
    <w:rsid w:val="6F0734C8"/>
    <w:rsid w:val="7327AE4F"/>
    <w:rsid w:val="73C79511"/>
    <w:rsid w:val="7532E36B"/>
    <w:rsid w:val="759FA49E"/>
    <w:rsid w:val="786A842D"/>
    <w:rsid w:val="799EDD59"/>
    <w:rsid w:val="7E7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9C9A1B2C-DF0D-46B5-9774-9A44BA53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inegi.org.mx/investigacion/ioae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investigacion/ioae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4-23\Fuente\Graficos_Nowcasts_IGAE_0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4-23\Fuente\Graficos_Nowcasts_IGAE_0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4-23\Fuente\Graficos_Nowcasts_IGAE_0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4-23\Fuente\Graficos_Nowcasts_IGAE_0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AE\2023\04-23\Fuente\Graficos_Nowcasts_IGAE_0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366452991452998E-2"/>
          <c:y val="4.3650793650793648E-2"/>
          <c:w val="0.9185950854700855"/>
          <c:h val="0.72244206349206352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IGAE!$D$2:$D$41</c:f>
              <c:numCache>
                <c:formatCode>General</c:formatCode>
                <c:ptCount val="40"/>
                <c:pt idx="0">
                  <c:v>-1.27354158953352E-2</c:v>
                </c:pt>
                <c:pt idx="1">
                  <c:v>-1.20421969135813</c:v>
                </c:pt>
                <c:pt idx="2">
                  <c:v>-2.4743457756606801</c:v>
                </c:pt>
                <c:pt idx="3">
                  <c:v>-19.719209063586899</c:v>
                </c:pt>
                <c:pt idx="4">
                  <c:v>-21.917491278900101</c:v>
                </c:pt>
                <c:pt idx="5">
                  <c:v>-14.4365247823433</c:v>
                </c:pt>
                <c:pt idx="6">
                  <c:v>-9.71181267459548</c:v>
                </c:pt>
                <c:pt idx="7">
                  <c:v>-8.1388368317500301</c:v>
                </c:pt>
                <c:pt idx="8">
                  <c:v>-5.9837934193092899</c:v>
                </c:pt>
                <c:pt idx="9">
                  <c:v>-4.4213752624146103</c:v>
                </c:pt>
                <c:pt idx="10">
                  <c:v>-3.3217010409570098</c:v>
                </c:pt>
                <c:pt idx="11">
                  <c:v>-3.0821862058340299</c:v>
                </c:pt>
                <c:pt idx="12">
                  <c:v>-4.60120454800487</c:v>
                </c:pt>
                <c:pt idx="13">
                  <c:v>-4.29683534599772</c:v>
                </c:pt>
                <c:pt idx="14">
                  <c:v>0.293105116107029</c:v>
                </c:pt>
                <c:pt idx="15">
                  <c:v>21.347099984944698</c:v>
                </c:pt>
                <c:pt idx="16">
                  <c:v>24.737072704497599</c:v>
                </c:pt>
                <c:pt idx="17">
                  <c:v>13.1174920041625</c:v>
                </c:pt>
                <c:pt idx="18">
                  <c:v>7.0353690133331996</c:v>
                </c:pt>
                <c:pt idx="19">
                  <c:v>3.4281940675367402</c:v>
                </c:pt>
                <c:pt idx="20">
                  <c:v>0.959408930187308</c:v>
                </c:pt>
                <c:pt idx="21">
                  <c:v>0.13588342413983401</c:v>
                </c:pt>
                <c:pt idx="22">
                  <c:v>0.30455297134135201</c:v>
                </c:pt>
                <c:pt idx="23">
                  <c:v>1.2054988867599801</c:v>
                </c:pt>
                <c:pt idx="24">
                  <c:v>1.7184508530759599</c:v>
                </c:pt>
                <c:pt idx="25">
                  <c:v>2.8032455791761102</c:v>
                </c:pt>
                <c:pt idx="26">
                  <c:v>0.57441696535653397</c:v>
                </c:pt>
                <c:pt idx="27">
                  <c:v>1.7974425885096299</c:v>
                </c:pt>
                <c:pt idx="28">
                  <c:v>1.9787437098012901</c:v>
                </c:pt>
                <c:pt idx="29">
                  <c:v>2.1545444673334102</c:v>
                </c:pt>
                <c:pt idx="30">
                  <c:v>2.9363278099152401</c:v>
                </c:pt>
                <c:pt idx="31">
                  <c:v>4.6947163545477899</c:v>
                </c:pt>
                <c:pt idx="32">
                  <c:v>5.1559784613851303</c:v>
                </c:pt>
                <c:pt idx="33">
                  <c:v>4.8476019186928196</c:v>
                </c:pt>
                <c:pt idx="34">
                  <c:v>3.5964129784629799</c:v>
                </c:pt>
                <c:pt idx="35">
                  <c:v>3.1267125625373402</c:v>
                </c:pt>
                <c:pt idx="36">
                  <c:v>3.6561975400551501</c:v>
                </c:pt>
                <c:pt idx="37">
                  <c:v>3.8530616933991402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BB-4CCA-9524-F25025E7EF6B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IGAE!$E$2:$E$41</c:f>
              <c:numCache>
                <c:formatCode>General</c:formatCode>
                <c:ptCount val="40"/>
                <c:pt idx="0">
                  <c:v>-0.48557233870487398</c:v>
                </c:pt>
                <c:pt idx="1">
                  <c:v>-1.20222405857242</c:v>
                </c:pt>
                <c:pt idx="2">
                  <c:v>-4.4958837541241996</c:v>
                </c:pt>
                <c:pt idx="3">
                  <c:v>-19.486718381222101</c:v>
                </c:pt>
                <c:pt idx="4">
                  <c:v>-20.984124736934</c:v>
                </c:pt>
                <c:pt idx="5">
                  <c:v>-14.628253341576499</c:v>
                </c:pt>
                <c:pt idx="6">
                  <c:v>-10.3473743025273</c:v>
                </c:pt>
                <c:pt idx="7">
                  <c:v>-7.5466950558836903</c:v>
                </c:pt>
                <c:pt idx="8">
                  <c:v>-5.8524148066836199</c:v>
                </c:pt>
                <c:pt idx="9">
                  <c:v>-4.9015072649253</c:v>
                </c:pt>
                <c:pt idx="10">
                  <c:v>-3.8320481027422399</c:v>
                </c:pt>
                <c:pt idx="11">
                  <c:v>-2.7466939805029802</c:v>
                </c:pt>
                <c:pt idx="12">
                  <c:v>-3.79557302216547</c:v>
                </c:pt>
                <c:pt idx="13">
                  <c:v>-4.2584287853818896</c:v>
                </c:pt>
                <c:pt idx="14">
                  <c:v>2.1051360525970702</c:v>
                </c:pt>
                <c:pt idx="15">
                  <c:v>22.305247842614399</c:v>
                </c:pt>
                <c:pt idx="16">
                  <c:v>25.227218050317301</c:v>
                </c:pt>
                <c:pt idx="17">
                  <c:v>12.535030184637201</c:v>
                </c:pt>
                <c:pt idx="18">
                  <c:v>7.7164512804788803</c:v>
                </c:pt>
                <c:pt idx="19">
                  <c:v>4.4076621088910004</c:v>
                </c:pt>
                <c:pt idx="20">
                  <c:v>1.5437449632932601</c:v>
                </c:pt>
                <c:pt idx="21">
                  <c:v>1.0097080160760199</c:v>
                </c:pt>
                <c:pt idx="22">
                  <c:v>0.28691056943491799</c:v>
                </c:pt>
                <c:pt idx="23">
                  <c:v>1.4420953469534501</c:v>
                </c:pt>
                <c:pt idx="24">
                  <c:v>1.0562506172342101</c:v>
                </c:pt>
                <c:pt idx="25">
                  <c:v>2.4989945534084699</c:v>
                </c:pt>
                <c:pt idx="26">
                  <c:v>1.9313245140128199</c:v>
                </c:pt>
                <c:pt idx="27">
                  <c:v>2.1212531034333901</c:v>
                </c:pt>
                <c:pt idx="28">
                  <c:v>1.8099246219302501</c:v>
                </c:pt>
                <c:pt idx="29">
                  <c:v>1.96404119703258</c:v>
                </c:pt>
                <c:pt idx="30">
                  <c:v>2.43449574538253</c:v>
                </c:pt>
                <c:pt idx="31">
                  <c:v>3.68404286117948</c:v>
                </c:pt>
                <c:pt idx="32">
                  <c:v>4.7443506977575298</c:v>
                </c:pt>
                <c:pt idx="33">
                  <c:v>4.8256411929493703</c:v>
                </c:pt>
                <c:pt idx="34">
                  <c:v>4.4824608401008303</c:v>
                </c:pt>
                <c:pt idx="35">
                  <c:v>3.3799629008729899</c:v>
                </c:pt>
                <c:pt idx="36">
                  <c:v>5.0345361117101</c:v>
                </c:pt>
                <c:pt idx="37">
                  <c:v>3.8202198880454099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BB-4CCA-9524-F25025E7EF6B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IGAE!$F$2:$F$41</c:f>
              <c:numCache>
                <c:formatCode>General</c:formatCode>
                <c:ptCount val="40"/>
                <c:pt idx="37" formatCode="_-* #,##0.0_-;\-* #,##0.0_-;_-* &quot;-&quot;??_-;_-@_-">
                  <c:v>3.8530616933991402</c:v>
                </c:pt>
                <c:pt idx="38" formatCode="_-* #,##0.0_-;\-* #,##0.0_-;_-* &quot;-&quot;??_-;_-@_-">
                  <c:v>3.2318461668379102</c:v>
                </c:pt>
                <c:pt idx="39" formatCode="_-* #,##0.0_-;\-* #,##0.0_-;_-* &quot;-&quot;??_-;_-@_-">
                  <c:v>2.6068580014843401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BB-4CCA-9524-F25025E7EF6B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71BB-4CCA-9524-F25025E7EF6B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71BB-4CCA-9524-F25025E7EF6B}"/>
              </c:ext>
            </c:extLst>
          </c:dPt>
          <c:cat>
            <c:multiLvlStrRef>
              <c:f>IGAE!$B$2:$C$41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IGAE!$G$2:$G$41</c:f>
              <c:numCache>
                <c:formatCode>General</c:formatCode>
                <c:ptCount val="40"/>
                <c:pt idx="37" formatCode="_-* #,##0.0_-;\-* #,##0.0_-;_-* &quot;-&quot;??_-;_-@_-">
                  <c:v>3.8530616933991402</c:v>
                </c:pt>
                <c:pt idx="38" formatCode="_-* #,##0.0_-;\-* #,##0.0_-;_-* &quot;-&quot;??_-;_-@_-">
                  <c:v>2.1725650516082302</c:v>
                </c:pt>
                <c:pt idx="39" formatCode="_-* #,##0.0_-;\-* #,##0.0_-;_-* &quot;-&quot;??_-;_-@_-">
                  <c:v>1.6950708151783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1BB-4CCA-9524-F25025E7EF6B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1BB-4CCA-9524-F25025E7EF6B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BB-4CCA-9524-F25025E7EF6B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BB-4CCA-9524-F25025E7EF6B}"/>
              </c:ext>
            </c:extLst>
          </c:dPt>
          <c:cat>
            <c:multiLvlStrRef>
              <c:f>IGAE!$B$2:$C$41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IGAE!$H$2:$H$41</c:f>
              <c:numCache>
                <c:formatCode>General</c:formatCode>
                <c:ptCount val="40"/>
                <c:pt idx="37" formatCode="_-* #,##0.0_-;\-* #,##0.0_-;_-* &quot;-&quot;??_-;_-@_-">
                  <c:v>3.8530616933991402</c:v>
                </c:pt>
                <c:pt idx="38" formatCode="_-* #,##0.0_-;\-* #,##0.0_-;_-* &quot;-&quot;??_-;_-@_-">
                  <c:v>4.29205782887587</c:v>
                </c:pt>
                <c:pt idx="39" formatCode="_-* #,##0.0_-;\-* #,##0.0_-;_-* &quot;-&quot;??_-;_-@_-">
                  <c:v>3.5186451877904101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1BB-4CCA-9524-F25025E7E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5.0222222222222196E-3"/>
          <c:y val="0.92426526346498106"/>
          <c:w val="0.98933653846153824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29487179487185E-2"/>
          <c:y val="4.3650793650793648E-2"/>
          <c:w val="0.91174658119658125"/>
          <c:h val="0.72628373015873016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'GA2'!$D$2:$D$41</c:f>
              <c:numCache>
                <c:formatCode>General</c:formatCode>
                <c:ptCount val="40"/>
                <c:pt idx="0">
                  <c:v>-1.0567530897586199</c:v>
                </c:pt>
                <c:pt idx="1">
                  <c:v>-2.30384825087501</c:v>
                </c:pt>
                <c:pt idx="2">
                  <c:v>-4.0627313284021103</c:v>
                </c:pt>
                <c:pt idx="3">
                  <c:v>-28.414264583430398</c:v>
                </c:pt>
                <c:pt idx="4">
                  <c:v>-28.668183349603702</c:v>
                </c:pt>
                <c:pt idx="5">
                  <c:v>-16.089560477746002</c:v>
                </c:pt>
                <c:pt idx="6">
                  <c:v>-10.9431813621215</c:v>
                </c:pt>
                <c:pt idx="7">
                  <c:v>-8.0496456983149294</c:v>
                </c:pt>
                <c:pt idx="8">
                  <c:v>-5.6898119628752397</c:v>
                </c:pt>
                <c:pt idx="9">
                  <c:v>-2.8134459538926699</c:v>
                </c:pt>
                <c:pt idx="10">
                  <c:v>-3.2602796628528701</c:v>
                </c:pt>
                <c:pt idx="11">
                  <c:v>-3.4556060753258002</c:v>
                </c:pt>
                <c:pt idx="12">
                  <c:v>-5.60547999159333</c:v>
                </c:pt>
                <c:pt idx="13">
                  <c:v>-4.6088126351684302</c:v>
                </c:pt>
                <c:pt idx="14">
                  <c:v>5.9088187838483498E-2</c:v>
                </c:pt>
                <c:pt idx="15">
                  <c:v>32.9537408291554</c:v>
                </c:pt>
                <c:pt idx="16">
                  <c:v>34.6931221722148</c:v>
                </c:pt>
                <c:pt idx="17">
                  <c:v>12.4597877058552</c:v>
                </c:pt>
                <c:pt idx="18">
                  <c:v>7.1341510739188898</c:v>
                </c:pt>
                <c:pt idx="19">
                  <c:v>4.0259612436059102</c:v>
                </c:pt>
                <c:pt idx="20">
                  <c:v>0.37715891969366999</c:v>
                </c:pt>
                <c:pt idx="21">
                  <c:v>0.83796599145932804</c:v>
                </c:pt>
                <c:pt idx="22">
                  <c:v>0.39783083773174599</c:v>
                </c:pt>
                <c:pt idx="23">
                  <c:v>1.8046302027316401</c:v>
                </c:pt>
                <c:pt idx="24">
                  <c:v>3.8691467644662798</c:v>
                </c:pt>
                <c:pt idx="25">
                  <c:v>2.36247232415423</c:v>
                </c:pt>
                <c:pt idx="26">
                  <c:v>2.4295232997907901</c:v>
                </c:pt>
                <c:pt idx="27">
                  <c:v>2.80421727161055</c:v>
                </c:pt>
                <c:pt idx="28">
                  <c:v>3.3371345970809299</c:v>
                </c:pt>
                <c:pt idx="29">
                  <c:v>3.8435631656618798</c:v>
                </c:pt>
                <c:pt idx="30">
                  <c:v>3.68098435171706</c:v>
                </c:pt>
                <c:pt idx="31">
                  <c:v>3.0180686974957198</c:v>
                </c:pt>
                <c:pt idx="32">
                  <c:v>4.2334662695305703</c:v>
                </c:pt>
                <c:pt idx="33">
                  <c:v>3.3416465936445801</c:v>
                </c:pt>
                <c:pt idx="34">
                  <c:v>3.1701464509656301</c:v>
                </c:pt>
                <c:pt idx="35">
                  <c:v>2.9842474562414201</c:v>
                </c:pt>
                <c:pt idx="36">
                  <c:v>2.2903252173504902</c:v>
                </c:pt>
                <c:pt idx="37">
                  <c:v>3.2014953978363798</c:v>
                </c:pt>
                <c:pt idx="38">
                  <c:v>1.4750499898312299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39-4A52-856A-15101E868CC6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'GA2'!$E$2:$E$41</c:f>
              <c:numCache>
                <c:formatCode>General</c:formatCode>
                <c:ptCount val="40"/>
                <c:pt idx="0">
                  <c:v>-0.80387308035625404</c:v>
                </c:pt>
                <c:pt idx="1">
                  <c:v>-2.2436866015031001</c:v>
                </c:pt>
                <c:pt idx="2">
                  <c:v>-8.4025112868991894</c:v>
                </c:pt>
                <c:pt idx="3">
                  <c:v>-30.154002946490799</c:v>
                </c:pt>
                <c:pt idx="4">
                  <c:v>-28.071218738792599</c:v>
                </c:pt>
                <c:pt idx="5">
                  <c:v>-19.8204499953438</c:v>
                </c:pt>
                <c:pt idx="6">
                  <c:v>-12.244248461110701</c:v>
                </c:pt>
                <c:pt idx="7">
                  <c:v>-7.5428666083000104</c:v>
                </c:pt>
                <c:pt idx="8">
                  <c:v>-6.5577460779418901</c:v>
                </c:pt>
                <c:pt idx="9">
                  <c:v>-3.2154504164943498</c:v>
                </c:pt>
                <c:pt idx="10">
                  <c:v>-0.798861252396321</c:v>
                </c:pt>
                <c:pt idx="11">
                  <c:v>-3.4941461440013701</c:v>
                </c:pt>
                <c:pt idx="12">
                  <c:v>-3.6585409417548802</c:v>
                </c:pt>
                <c:pt idx="13">
                  <c:v>-3.95707979882798</c:v>
                </c:pt>
                <c:pt idx="14">
                  <c:v>3.4907722289869101</c:v>
                </c:pt>
                <c:pt idx="15">
                  <c:v>31.365092956372301</c:v>
                </c:pt>
                <c:pt idx="16">
                  <c:v>33.579714594776</c:v>
                </c:pt>
                <c:pt idx="17">
                  <c:v>18.390019600949302</c:v>
                </c:pt>
                <c:pt idx="18">
                  <c:v>8.5486911804913408</c:v>
                </c:pt>
                <c:pt idx="19">
                  <c:v>3.0413381230234502</c:v>
                </c:pt>
                <c:pt idx="20">
                  <c:v>2.6036029152006499</c:v>
                </c:pt>
                <c:pt idx="21">
                  <c:v>-3.80710440042661E-2</c:v>
                </c:pt>
                <c:pt idx="22">
                  <c:v>-0.333645721375122</c:v>
                </c:pt>
                <c:pt idx="23">
                  <c:v>1.64506997722439</c:v>
                </c:pt>
                <c:pt idx="24">
                  <c:v>0.91545813642627605</c:v>
                </c:pt>
                <c:pt idx="25">
                  <c:v>4.1230948160736203</c:v>
                </c:pt>
                <c:pt idx="26">
                  <c:v>3.9451796676558701</c:v>
                </c:pt>
                <c:pt idx="27">
                  <c:v>3.7966633112550201</c:v>
                </c:pt>
                <c:pt idx="28">
                  <c:v>3.3685676902515902</c:v>
                </c:pt>
                <c:pt idx="29">
                  <c:v>5.4465166169465897</c:v>
                </c:pt>
                <c:pt idx="30">
                  <c:v>2.61337379177853</c:v>
                </c:pt>
                <c:pt idx="31">
                  <c:v>4.7045193495301199</c:v>
                </c:pt>
                <c:pt idx="32">
                  <c:v>4.54500453748396</c:v>
                </c:pt>
                <c:pt idx="33">
                  <c:v>3.0302275280258</c:v>
                </c:pt>
                <c:pt idx="34">
                  <c:v>1.9470542281285901</c:v>
                </c:pt>
                <c:pt idx="35">
                  <c:v>3.4498249554890199</c:v>
                </c:pt>
                <c:pt idx="36">
                  <c:v>3.1910931429939402</c:v>
                </c:pt>
                <c:pt idx="37">
                  <c:v>3.0064266701787599</c:v>
                </c:pt>
                <c:pt idx="38">
                  <c:v>2.62197414609233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39-4A52-856A-15101E868CC6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'GA2'!$F$2:$F$41</c:f>
              <c:numCache>
                <c:formatCode>General</c:formatCode>
                <c:ptCount val="40"/>
                <c:pt idx="38" formatCode="_-* #,##0.0_-;\-* #,##0.0_-;_-* &quot;-&quot;??_-;_-@_-">
                  <c:v>1.4750499898312299</c:v>
                </c:pt>
                <c:pt idx="39" formatCode="_-* #,##0.0_-;\-* #,##0.0_-;_-* &quot;-&quot;??_-;_-@_-">
                  <c:v>1.6722577185982199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39-4A52-856A-15101E868CC6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'GA2'!$G$2:$G$41</c:f>
              <c:numCache>
                <c:formatCode>General</c:formatCode>
                <c:ptCount val="40"/>
                <c:pt idx="38" formatCode="_-* #,##0.0_-;\-* #,##0.0_-;_-* &quot;-&quot;??_-;_-@_-">
                  <c:v>1.4750499898312299</c:v>
                </c:pt>
                <c:pt idx="39" formatCode="_-* #,##0.0_-;\-* #,##0.0_-;_-* &quot;-&quot;??_-;_-@_-">
                  <c:v>-0.64889753325803701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939-4A52-856A-15101E868CC6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939-4A52-856A-15101E868CC6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939-4A52-856A-15101E868CC6}"/>
              </c:ext>
            </c:extLst>
          </c:dPt>
          <c:cat>
            <c:multiLvlStrRef>
              <c:f>'GA2'!$B$2:$C$41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'GA2'!$H$2:$H$41</c:f>
              <c:numCache>
                <c:formatCode>General</c:formatCode>
                <c:ptCount val="40"/>
                <c:pt idx="38" formatCode="_-* #,##0.0_-;\-* #,##0.0_-;_-* &quot;-&quot;??_-;_-@_-">
                  <c:v>1.4750499898312299</c:v>
                </c:pt>
                <c:pt idx="39" formatCode="_-* #,##0.0_-;\-* #,##0.0_-;_-* &quot;-&quot;??_-;_-@_-">
                  <c:v>3.9934129704545001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939-4A52-856A-15101E868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3.9747863247863282E-3"/>
          <c:y val="0.93303524559430073"/>
          <c:w val="0.99205021367521362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489927872546253E-2"/>
          <c:y val="4.3650793650793648E-2"/>
          <c:w val="0.91828869758309761"/>
          <c:h val="0.73132461264922521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'GA3'!$D$2:$D$41</c:f>
              <c:numCache>
                <c:formatCode>General</c:formatCode>
                <c:ptCount val="40"/>
                <c:pt idx="0">
                  <c:v>0.29572789857481002</c:v>
                </c:pt>
                <c:pt idx="1">
                  <c:v>-8.8070042785233199E-2</c:v>
                </c:pt>
                <c:pt idx="2">
                  <c:v>-2.05094333893642</c:v>
                </c:pt>
                <c:pt idx="3">
                  <c:v>-16.6425619742515</c:v>
                </c:pt>
                <c:pt idx="4">
                  <c:v>-19.754199684156799</c:v>
                </c:pt>
                <c:pt idx="5">
                  <c:v>-14.0959902596636</c:v>
                </c:pt>
                <c:pt idx="6">
                  <c:v>-10.0070471373771</c:v>
                </c:pt>
                <c:pt idx="7">
                  <c:v>-8.7339758518528807</c:v>
                </c:pt>
                <c:pt idx="8">
                  <c:v>-6.4256454655687296</c:v>
                </c:pt>
                <c:pt idx="9">
                  <c:v>-5.39887478193788</c:v>
                </c:pt>
                <c:pt idx="10">
                  <c:v>-3.8950429457967202</c:v>
                </c:pt>
                <c:pt idx="11">
                  <c:v>-2.8847472308638902</c:v>
                </c:pt>
                <c:pt idx="12">
                  <c:v>-4.3976427499784698</c:v>
                </c:pt>
                <c:pt idx="13">
                  <c:v>-4.9165500215248601</c:v>
                </c:pt>
                <c:pt idx="14">
                  <c:v>0.74413884744566905</c:v>
                </c:pt>
                <c:pt idx="15">
                  <c:v>17.9614643806819</c:v>
                </c:pt>
                <c:pt idx="16">
                  <c:v>21.827782179579899</c:v>
                </c:pt>
                <c:pt idx="17">
                  <c:v>13.5935818552434</c:v>
                </c:pt>
                <c:pt idx="18">
                  <c:v>7.6088192714644798</c:v>
                </c:pt>
                <c:pt idx="19">
                  <c:v>3.1770609564702901</c:v>
                </c:pt>
                <c:pt idx="20">
                  <c:v>1.4656917249342001</c:v>
                </c:pt>
                <c:pt idx="21">
                  <c:v>1.9619732436666499E-3</c:v>
                </c:pt>
                <c:pt idx="22">
                  <c:v>0.15247626004051501</c:v>
                </c:pt>
                <c:pt idx="23">
                  <c:v>0.55181578839031398</c:v>
                </c:pt>
                <c:pt idx="24">
                  <c:v>0.94733762347696904</c:v>
                </c:pt>
                <c:pt idx="25">
                  <c:v>3.0398379342486201</c:v>
                </c:pt>
                <c:pt idx="26">
                  <c:v>-0.44903059938819501</c:v>
                </c:pt>
                <c:pt idx="27">
                  <c:v>1.33495083585214</c:v>
                </c:pt>
                <c:pt idx="28">
                  <c:v>1.28443064309513</c:v>
                </c:pt>
                <c:pt idx="29">
                  <c:v>1.5802292465815699</c:v>
                </c:pt>
                <c:pt idx="30">
                  <c:v>2.63346413152586</c:v>
                </c:pt>
                <c:pt idx="31">
                  <c:v>5.60401511640704</c:v>
                </c:pt>
                <c:pt idx="32">
                  <c:v>5.51503463352915</c:v>
                </c:pt>
                <c:pt idx="33">
                  <c:v>5.5534472881915198</c:v>
                </c:pt>
                <c:pt idx="34">
                  <c:v>3.4361185305013202</c:v>
                </c:pt>
                <c:pt idx="35">
                  <c:v>2.9280174484421999</c:v>
                </c:pt>
                <c:pt idx="36">
                  <c:v>4.6569897596896697</c:v>
                </c:pt>
                <c:pt idx="37">
                  <c:v>3.7853956684384298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10-4540-BA4F-7BC4E8DA6884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'GA3'!$E$2:$E$41</c:f>
              <c:numCache>
                <c:formatCode>General</c:formatCode>
                <c:ptCount val="40"/>
                <c:pt idx="0">
                  <c:v>0.513875898672563</c:v>
                </c:pt>
                <c:pt idx="1">
                  <c:v>-0.22512915076038101</c:v>
                </c:pt>
                <c:pt idx="2">
                  <c:v>-3.9161278322219402</c:v>
                </c:pt>
                <c:pt idx="3">
                  <c:v>-16.752736100795701</c:v>
                </c:pt>
                <c:pt idx="4">
                  <c:v>-18.592488739770602</c:v>
                </c:pt>
                <c:pt idx="5">
                  <c:v>-13.551367571088401</c:v>
                </c:pt>
                <c:pt idx="6">
                  <c:v>-10.1685335022843</c:v>
                </c:pt>
                <c:pt idx="7">
                  <c:v>-8.0272007199781701</c:v>
                </c:pt>
                <c:pt idx="8">
                  <c:v>-6.5653219646309502</c:v>
                </c:pt>
                <c:pt idx="9">
                  <c:v>-5.1101138385541702</c:v>
                </c:pt>
                <c:pt idx="10">
                  <c:v>-4.7491766589674498</c:v>
                </c:pt>
                <c:pt idx="11">
                  <c:v>-3.6681921951093002</c:v>
                </c:pt>
                <c:pt idx="12">
                  <c:v>-4.0244371222605402</c:v>
                </c:pt>
                <c:pt idx="13">
                  <c:v>-4.2136123917230099</c:v>
                </c:pt>
                <c:pt idx="14">
                  <c:v>1.9302374327865</c:v>
                </c:pt>
                <c:pt idx="15">
                  <c:v>18.6955950986288</c:v>
                </c:pt>
                <c:pt idx="16">
                  <c:v>21.959902456269202</c:v>
                </c:pt>
                <c:pt idx="17">
                  <c:v>13.306935772802801</c:v>
                </c:pt>
                <c:pt idx="18">
                  <c:v>8.9291197879893094</c:v>
                </c:pt>
                <c:pt idx="19">
                  <c:v>4.98829838227533</c:v>
                </c:pt>
                <c:pt idx="20">
                  <c:v>2.12418554096626</c:v>
                </c:pt>
                <c:pt idx="21">
                  <c:v>1.76027521563905</c:v>
                </c:pt>
                <c:pt idx="22">
                  <c:v>0.29823968461793798</c:v>
                </c:pt>
                <c:pt idx="23">
                  <c:v>0.85711693499543795</c:v>
                </c:pt>
                <c:pt idx="24">
                  <c:v>2.0897823691389501E-2</c:v>
                </c:pt>
                <c:pt idx="25">
                  <c:v>1.8531990200124999</c:v>
                </c:pt>
                <c:pt idx="26">
                  <c:v>1.4770970933396299</c:v>
                </c:pt>
                <c:pt idx="27">
                  <c:v>-3.92712578020806E-2</c:v>
                </c:pt>
                <c:pt idx="28">
                  <c:v>1.9972548289835199</c:v>
                </c:pt>
                <c:pt idx="29">
                  <c:v>1.1630909320004399</c:v>
                </c:pt>
                <c:pt idx="30">
                  <c:v>2.3614229586555702</c:v>
                </c:pt>
                <c:pt idx="31">
                  <c:v>4.0131891841857499</c:v>
                </c:pt>
                <c:pt idx="32">
                  <c:v>4.9189486846219799</c:v>
                </c:pt>
                <c:pt idx="33">
                  <c:v>5.9132368173697802</c:v>
                </c:pt>
                <c:pt idx="34">
                  <c:v>3.8276295741372302</c:v>
                </c:pt>
                <c:pt idx="35">
                  <c:v>3.5014621233982299</c:v>
                </c:pt>
                <c:pt idx="36">
                  <c:v>5.0159897429645897</c:v>
                </c:pt>
                <c:pt idx="37">
                  <c:v>3.9781274353971301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10-4540-BA4F-7BC4E8DA6884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'GA3'!$F$2:$F$41</c:f>
              <c:numCache>
                <c:formatCode>General</c:formatCode>
                <c:ptCount val="40"/>
                <c:pt idx="37" formatCode="_-* #,##0.0_-;\-* #,##0.0_-;_-* &quot;-&quot;??_-;_-@_-">
                  <c:v>3.7853956684384298</c:v>
                </c:pt>
                <c:pt idx="38" formatCode="_-* #,##0.0_-;\-* #,##0.0_-;_-* &quot;-&quot;??_-;_-@_-">
                  <c:v>3.87106059810485</c:v>
                </c:pt>
                <c:pt idx="39" formatCode="_-* #,##0.0_-;\-* #,##0.0_-;_-* &quot;-&quot;??_-;_-@_-">
                  <c:v>2.8283104201323401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10-4540-BA4F-7BC4E8DA6884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'GA3'!$G$2:$G$41</c:f>
              <c:numCache>
                <c:formatCode>General</c:formatCode>
                <c:ptCount val="40"/>
                <c:pt idx="37" formatCode="_-* #,##0.0_-;\-* #,##0.0_-;_-* &quot;-&quot;??_-;_-@_-">
                  <c:v>3.7853956684384298</c:v>
                </c:pt>
                <c:pt idx="38" formatCode="_-* #,##0.0_-;\-* #,##0.0_-;_-* &quot;-&quot;??_-;_-@_-">
                  <c:v>2.6838718079833801</c:v>
                </c:pt>
                <c:pt idx="39" formatCode="_-* #,##0.0_-;\-* #,##0.0_-;_-* &quot;-&quot;??_-;_-@_-">
                  <c:v>1.6572733042383301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10-4540-BA4F-7BC4E8DA6884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'GA3'!$H$2:$H$41</c:f>
              <c:numCache>
                <c:formatCode>General</c:formatCode>
                <c:ptCount val="40"/>
                <c:pt idx="37" formatCode="_-* #,##0.0_-;\-* #,##0.0_-;_-* &quot;-&quot;??_-;_-@_-">
                  <c:v>3.7853956684384298</c:v>
                </c:pt>
                <c:pt idx="38" formatCode="_-* #,##0.0_-;\-* #,##0.0_-;_-* &quot;-&quot;??_-;_-@_-">
                  <c:v>5.0582493882262698</c:v>
                </c:pt>
                <c:pt idx="39" formatCode="_-* #,##0.0_-;\-* #,##0.0_-;_-* &quot;-&quot;??_-;_-@_-">
                  <c:v>3.9993475360263302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C10-4540-BA4F-7BC4E8DA6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-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3.3346153846153812E-3"/>
          <c:y val="0.93303524559430073"/>
          <c:w val="0.99476388888888867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53932405732319E-2"/>
          <c:y val="4.3650793650793648E-2"/>
          <c:w val="0.9182984668925106"/>
          <c:h val="0.7243288830327661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IGAE_vm!$D$2:$D$41</c:f>
              <c:numCache>
                <c:formatCode>General</c:formatCode>
                <c:ptCount val="40"/>
                <c:pt idx="0">
                  <c:v>1.19063320341385</c:v>
                </c:pt>
                <c:pt idx="1">
                  <c:v>-1.4163241398073401</c:v>
                </c:pt>
                <c:pt idx="2">
                  <c:v>-2.0099539603332799</c:v>
                </c:pt>
                <c:pt idx="3">
                  <c:v>-17.4859777808066</c:v>
                </c:pt>
                <c:pt idx="4">
                  <c:v>-2.8526950995458402</c:v>
                </c:pt>
                <c:pt idx="5">
                  <c:v>9.7596878865375807</c:v>
                </c:pt>
                <c:pt idx="6">
                  <c:v>5.5801120359118697</c:v>
                </c:pt>
                <c:pt idx="7">
                  <c:v>2.0084649839901898</c:v>
                </c:pt>
                <c:pt idx="8">
                  <c:v>2.7909027436454199</c:v>
                </c:pt>
                <c:pt idx="9">
                  <c:v>1.1530811489909401</c:v>
                </c:pt>
                <c:pt idx="10">
                  <c:v>0.66144727004271398</c:v>
                </c:pt>
                <c:pt idx="11">
                  <c:v>-3.2311305051209202E-2</c:v>
                </c:pt>
                <c:pt idx="12">
                  <c:v>-0.39535415922225098</c:v>
                </c:pt>
                <c:pt idx="13">
                  <c:v>-1.1017935987210301</c:v>
                </c:pt>
                <c:pt idx="14">
                  <c:v>2.6896657317325898</c:v>
                </c:pt>
                <c:pt idx="15">
                  <c:v>-0.16425064513879301</c:v>
                </c:pt>
                <c:pt idx="16">
                  <c:v>-0.13877187079550901</c:v>
                </c:pt>
                <c:pt idx="17">
                  <c:v>-0.46471070956025101</c:v>
                </c:pt>
                <c:pt idx="18">
                  <c:v>-9.6739664126914704E-2</c:v>
                </c:pt>
                <c:pt idx="19">
                  <c:v>-1.42929939745991</c:v>
                </c:pt>
                <c:pt idx="20">
                  <c:v>0.33732946765323402</c:v>
                </c:pt>
                <c:pt idx="21">
                  <c:v>0.3279758594078</c:v>
                </c:pt>
                <c:pt idx="22">
                  <c:v>0.831002080477376</c:v>
                </c:pt>
                <c:pt idx="23">
                  <c:v>0.86560886044004803</c:v>
                </c:pt>
                <c:pt idx="24">
                  <c:v>0.10948401163051399</c:v>
                </c:pt>
                <c:pt idx="25">
                  <c:v>-4.7075877156089498E-2</c:v>
                </c:pt>
                <c:pt idx="26">
                  <c:v>0.46329958894210699</c:v>
                </c:pt>
                <c:pt idx="27">
                  <c:v>1.0497924808555901</c:v>
                </c:pt>
                <c:pt idx="28">
                  <c:v>3.9080854901854402E-2</c:v>
                </c:pt>
                <c:pt idx="29">
                  <c:v>-0.29312221354746298</c:v>
                </c:pt>
                <c:pt idx="30">
                  <c:v>0.66781471969864004</c:v>
                </c:pt>
                <c:pt idx="31">
                  <c:v>0.25451422270319302</c:v>
                </c:pt>
                <c:pt idx="32">
                  <c:v>0.77939387735992205</c:v>
                </c:pt>
                <c:pt idx="33">
                  <c:v>3.37577390162664E-2</c:v>
                </c:pt>
                <c:pt idx="34">
                  <c:v>-0.37225514550303301</c:v>
                </c:pt>
                <c:pt idx="35">
                  <c:v>0.40828975959250602</c:v>
                </c:pt>
                <c:pt idx="36">
                  <c:v>0.62347758879485604</c:v>
                </c:pt>
                <c:pt idx="37">
                  <c:v>0.142755008489658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B3-4B09-991A-2BCB10A3C229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IGAE_vm!$E$2:$E$41</c:f>
              <c:numCache>
                <c:formatCode>General</c:formatCode>
                <c:ptCount val="40"/>
                <c:pt idx="0">
                  <c:v>0.56589418884216502</c:v>
                </c:pt>
                <c:pt idx="1">
                  <c:v>-0.62534554907225404</c:v>
                </c:pt>
                <c:pt idx="2">
                  <c:v>-3.4484478144433801</c:v>
                </c:pt>
                <c:pt idx="3">
                  <c:v>-17.870562073889499</c:v>
                </c:pt>
                <c:pt idx="4">
                  <c:v>-1.3783246096038999</c:v>
                </c:pt>
                <c:pt idx="5">
                  <c:v>10.241434169709001</c:v>
                </c:pt>
                <c:pt idx="6">
                  <c:v>4.8634012153389099</c:v>
                </c:pt>
                <c:pt idx="7">
                  <c:v>1.53766276953732</c:v>
                </c:pt>
                <c:pt idx="8">
                  <c:v>1.6811504022484001</c:v>
                </c:pt>
                <c:pt idx="9">
                  <c:v>0.41448320648463899</c:v>
                </c:pt>
                <c:pt idx="10">
                  <c:v>0.30047142333666699</c:v>
                </c:pt>
                <c:pt idx="11">
                  <c:v>0.47700237989777999</c:v>
                </c:pt>
                <c:pt idx="12">
                  <c:v>-0.23886131375342501</c:v>
                </c:pt>
                <c:pt idx="13">
                  <c:v>-0.46967489382526201</c:v>
                </c:pt>
                <c:pt idx="14">
                  <c:v>2.87399412653029</c:v>
                </c:pt>
                <c:pt idx="15">
                  <c:v>0.26664043884244998</c:v>
                </c:pt>
                <c:pt idx="16">
                  <c:v>0.38215237001670799</c:v>
                </c:pt>
                <c:pt idx="17">
                  <c:v>0.36231129568537501</c:v>
                </c:pt>
                <c:pt idx="18">
                  <c:v>0.36797671490246597</c:v>
                </c:pt>
                <c:pt idx="19">
                  <c:v>-0.447195921344611</c:v>
                </c:pt>
                <c:pt idx="20">
                  <c:v>0.219820304039721</c:v>
                </c:pt>
                <c:pt idx="21">
                  <c:v>0.86607228604283903</c:v>
                </c:pt>
                <c:pt idx="22">
                  <c:v>0.77425976098764004</c:v>
                </c:pt>
                <c:pt idx="23">
                  <c:v>0.73842416895777196</c:v>
                </c:pt>
                <c:pt idx="24">
                  <c:v>-0.48579358105828702</c:v>
                </c:pt>
                <c:pt idx="25">
                  <c:v>0.71520666749733197</c:v>
                </c:pt>
                <c:pt idx="26">
                  <c:v>0.97742558692057302</c:v>
                </c:pt>
                <c:pt idx="27">
                  <c:v>0.94150960137812301</c:v>
                </c:pt>
                <c:pt idx="28">
                  <c:v>-0.16707567076816399</c:v>
                </c:pt>
                <c:pt idx="29">
                  <c:v>-9.2976224358305298E-2</c:v>
                </c:pt>
                <c:pt idx="30">
                  <c:v>0.25860575926829699</c:v>
                </c:pt>
                <c:pt idx="31">
                  <c:v>-0.160699082401941</c:v>
                </c:pt>
                <c:pt idx="32">
                  <c:v>0.12598578523039899</c:v>
                </c:pt>
                <c:pt idx="33">
                  <c:v>-4.4718816572378001E-2</c:v>
                </c:pt>
                <c:pt idx="34">
                  <c:v>-0.38250270789347901</c:v>
                </c:pt>
                <c:pt idx="35">
                  <c:v>-0.13559400259833501</c:v>
                </c:pt>
                <c:pt idx="36">
                  <c:v>0.91993371323311801</c:v>
                </c:pt>
                <c:pt idx="37">
                  <c:v>0.37155994102760098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B3-4B09-991A-2BCB10A3C229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IGAE_vm!$F$2:$F$41</c:f>
              <c:numCache>
                <c:formatCode>General</c:formatCode>
                <c:ptCount val="40"/>
                <c:pt idx="37">
                  <c:v>0.142755008489658</c:v>
                </c:pt>
                <c:pt idx="38" formatCode="0.0">
                  <c:v>-0.137639473773916</c:v>
                </c:pt>
                <c:pt idx="39" formatCode="0.0">
                  <c:v>0.43801494555992798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B3-4B09-991A-2BCB10A3C229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F6B3-4B09-991A-2BCB10A3C229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F6B3-4B09-991A-2BCB10A3C229}"/>
              </c:ext>
            </c:extLst>
          </c:dPt>
          <c:cat>
            <c:multiLvlStrRef>
              <c:f>IGAE_vm!$B$2:$C$41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IGAE_vm!$G$2:$G$41</c:f>
              <c:numCache>
                <c:formatCode>General</c:formatCode>
                <c:ptCount val="40"/>
                <c:pt idx="37">
                  <c:v>0.142755008489658</c:v>
                </c:pt>
                <c:pt idx="38" formatCode="0.0">
                  <c:v>-1.1623456720601599</c:v>
                </c:pt>
                <c:pt idx="39" formatCode="0.0">
                  <c:v>-0.45449942267120502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6B3-4B09-991A-2BCB10A3C229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6B3-4B09-991A-2BCB10A3C229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6B3-4B09-991A-2BCB10A3C229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F6B3-4B09-991A-2BCB10A3C229}"/>
              </c:ext>
            </c:extLst>
          </c:dPt>
          <c:cat>
            <c:multiLvlStrRef>
              <c:f>IGAE_vm!$B$2:$C$41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IGAE_vm!$H$2:$H$41</c:f>
              <c:numCache>
                <c:formatCode>General</c:formatCode>
                <c:ptCount val="40"/>
                <c:pt idx="37">
                  <c:v>0.142755008489658</c:v>
                </c:pt>
                <c:pt idx="38" formatCode="0.0">
                  <c:v>0.88796689828916398</c:v>
                </c:pt>
                <c:pt idx="39" formatCode="0.0">
                  <c:v>1.3305293137910801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6B3-4B09-991A-2BCB10A3C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5.0222222222222196E-3"/>
          <c:y val="0.93223791254550636"/>
          <c:w val="0.99476388888888867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237320911548197E-2"/>
          <c:y val="4.3650793650793648E-2"/>
          <c:w val="0.89438754687550082"/>
          <c:h val="0.7328414719329438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IGAE_lev!$D$2:$D$41</c:f>
              <c:numCache>
                <c:formatCode>General</c:formatCode>
                <c:ptCount val="40"/>
                <c:pt idx="0">
                  <c:v>113.3183397</c:v>
                </c:pt>
                <c:pt idx="1">
                  <c:v>111.71338470000001</c:v>
                </c:pt>
                <c:pt idx="2">
                  <c:v>109.46799710000001</c:v>
                </c:pt>
                <c:pt idx="3">
                  <c:v>90.326447450000003</c:v>
                </c:pt>
                <c:pt idx="4">
                  <c:v>87.74970931</c:v>
                </c:pt>
                <c:pt idx="5">
                  <c:v>96.313807060000002</c:v>
                </c:pt>
                <c:pt idx="6">
                  <c:v>101.68822539999999</c:v>
                </c:pt>
                <c:pt idx="7">
                  <c:v>103.7305978</c:v>
                </c:pt>
                <c:pt idx="8">
                  <c:v>106.62561789999999</c:v>
                </c:pt>
                <c:pt idx="9">
                  <c:v>107.8550978</c:v>
                </c:pt>
                <c:pt idx="10">
                  <c:v>108.5685024</c:v>
                </c:pt>
                <c:pt idx="11">
                  <c:v>108.5334225</c:v>
                </c:pt>
                <c:pt idx="12">
                  <c:v>108.1043311</c:v>
                </c:pt>
                <c:pt idx="13">
                  <c:v>106.9132445</c:v>
                </c:pt>
                <c:pt idx="14">
                  <c:v>109.78885339999999</c:v>
                </c:pt>
                <c:pt idx="15">
                  <c:v>109.6085245</c:v>
                </c:pt>
                <c:pt idx="16">
                  <c:v>109.4564187</c:v>
                </c:pt>
                <c:pt idx="17">
                  <c:v>108.94776299999999</c:v>
                </c:pt>
                <c:pt idx="18">
                  <c:v>108.84236730000001</c:v>
                </c:pt>
                <c:pt idx="19">
                  <c:v>107.28668399999999</c:v>
                </c:pt>
                <c:pt idx="20">
                  <c:v>107.6485936</c:v>
                </c:pt>
                <c:pt idx="21">
                  <c:v>108.001655</c:v>
                </c:pt>
                <c:pt idx="22">
                  <c:v>108.899151</c:v>
                </c:pt>
                <c:pt idx="23">
                  <c:v>109.8417917</c:v>
                </c:pt>
                <c:pt idx="24">
                  <c:v>109.96205089999999</c:v>
                </c:pt>
                <c:pt idx="25">
                  <c:v>109.9102853</c:v>
                </c:pt>
                <c:pt idx="26">
                  <c:v>110.4194992</c:v>
                </c:pt>
                <c:pt idx="27">
                  <c:v>111.5786748</c:v>
                </c:pt>
                <c:pt idx="28">
                  <c:v>111.6222807</c:v>
                </c:pt>
                <c:pt idx="29">
                  <c:v>111.295091</c:v>
                </c:pt>
                <c:pt idx="30">
                  <c:v>112.038336</c:v>
                </c:pt>
                <c:pt idx="31">
                  <c:v>112.32348949999999</c:v>
                </c:pt>
                <c:pt idx="32">
                  <c:v>113.19893190000001</c:v>
                </c:pt>
                <c:pt idx="33">
                  <c:v>113.23714529999999</c:v>
                </c:pt>
                <c:pt idx="34">
                  <c:v>112.8156142</c:v>
                </c:pt>
                <c:pt idx="35">
                  <c:v>113.2762288</c:v>
                </c:pt>
                <c:pt idx="36">
                  <c:v>113.9824807</c:v>
                </c:pt>
                <c:pt idx="37">
                  <c:v>114.1451964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48-4B44-A639-00BF557BB220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IGAE_lev!$E$2:$E$41</c:f>
              <c:numCache>
                <c:formatCode>General</c:formatCode>
                <c:ptCount val="40"/>
                <c:pt idx="0">
                  <c:v>112.607971179421</c:v>
                </c:pt>
                <c:pt idx="1">
                  <c:v>110.620149201378</c:v>
                </c:pt>
                <c:pt idx="2">
                  <c:v>105.47138166985501</c:v>
                </c:pt>
                <c:pt idx="3">
                  <c:v>94.617394412809006</c:v>
                </c:pt>
                <c:pt idx="4">
                  <c:v>88.869348575459597</c:v>
                </c:pt>
                <c:pt idx="5">
                  <c:v>96.135711920835107</c:v>
                </c:pt>
                <c:pt idx="6">
                  <c:v>101.609385919236</c:v>
                </c:pt>
                <c:pt idx="7">
                  <c:v>105.30999142325599</c:v>
                </c:pt>
                <c:pt idx="8">
                  <c:v>106.026030455982</c:v>
                </c:pt>
                <c:pt idx="9">
                  <c:v>108.13746531386001</c:v>
                </c:pt>
                <c:pt idx="10">
                  <c:v>109.25859547899</c:v>
                </c:pt>
                <c:pt idx="11">
                  <c:v>109.151504493842</c:v>
                </c:pt>
                <c:pt idx="12">
                  <c:v>108.70353265636</c:v>
                </c:pt>
                <c:pt idx="13">
                  <c:v>108.3449540278</c:v>
                </c:pt>
                <c:pt idx="14">
                  <c:v>110.599350355266</c:v>
                </c:pt>
                <c:pt idx="15">
                  <c:v>111.507620806932</c:v>
                </c:pt>
                <c:pt idx="16">
                  <c:v>110.880909203459</c:v>
                </c:pt>
                <c:pt idx="17">
                  <c:v>109.082573683672</c:v>
                </c:pt>
                <c:pt idx="18">
                  <c:v>108.588631207405</c:v>
                </c:pt>
                <c:pt idx="19">
                  <c:v>107.60991817448</c:v>
                </c:pt>
                <c:pt idx="20">
                  <c:v>107.45652098775901</c:v>
                </c:pt>
                <c:pt idx="21">
                  <c:v>108.12528877197499</c:v>
                </c:pt>
                <c:pt idx="22">
                  <c:v>109.528242415644</c:v>
                </c:pt>
                <c:pt idx="23">
                  <c:v>109.44889052160001</c:v>
                </c:pt>
                <c:pt idx="24">
                  <c:v>109.539653315629</c:v>
                </c:pt>
                <c:pt idx="25">
                  <c:v>111.271325317212</c:v>
                </c:pt>
                <c:pt idx="26">
                  <c:v>111.295856546877</c:v>
                </c:pt>
                <c:pt idx="27">
                  <c:v>111.02703503346</c:v>
                </c:pt>
                <c:pt idx="28">
                  <c:v>111.710202177379</c:v>
                </c:pt>
                <c:pt idx="29">
                  <c:v>111.490688306731</c:v>
                </c:pt>
                <c:pt idx="30">
                  <c:v>111.609113518718</c:v>
                </c:pt>
                <c:pt idx="31">
                  <c:v>111.753073239942</c:v>
                </c:pt>
                <c:pt idx="32">
                  <c:v>112.190626628121</c:v>
                </c:pt>
                <c:pt idx="33">
                  <c:v>113.086452135386</c:v>
                </c:pt>
                <c:pt idx="34">
                  <c:v>113.039663040007</c:v>
                </c:pt>
                <c:pt idx="35">
                  <c:v>113.534023834449</c:v>
                </c:pt>
                <c:pt idx="36">
                  <c:v>114.834904501561</c:v>
                </c:pt>
                <c:pt idx="37">
                  <c:v>114.593426381149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48-4B44-A639-00BF557BB220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IGAE_lev!$F$2:$F$41</c:f>
              <c:numCache>
                <c:formatCode>General</c:formatCode>
                <c:ptCount val="40"/>
                <c:pt idx="37" formatCode="_-* #,##0.0_-;\-* #,##0.0_-;_-* &quot;-&quot;??_-;_-@_-">
                  <c:v>114.1451964</c:v>
                </c:pt>
                <c:pt idx="38" formatCode="0.0">
                  <c:v>113.98808755233701</c:v>
                </c:pt>
                <c:pt idx="39" formatCode="0.0">
                  <c:v>114.48737241197399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48-4B44-A639-00BF557BB220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2B48-4B44-A639-00BF557BB220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2B48-4B44-A639-00BF557BB220}"/>
              </c:ext>
            </c:extLst>
          </c:dPt>
          <c:cat>
            <c:multiLvlStrRef>
              <c:f>IGAE_lev!$B$2:$C$41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IGAE_lev!$G$2:$G$41</c:f>
              <c:numCache>
                <c:formatCode>General</c:formatCode>
                <c:ptCount val="40"/>
                <c:pt idx="37" formatCode="_-* #,##0.0_-;\-* #,##0.0_-;_-* &quot;-&quot;??_-;_-@_-">
                  <c:v>114.1451964</c:v>
                </c:pt>
                <c:pt idx="38" formatCode="0.0">
                  <c:v>112.81843464978</c:v>
                </c:pt>
                <c:pt idx="39" formatCode="0.0">
                  <c:v>113.470012352498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B48-4B44-A639-00BF557BB220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B48-4B44-A639-00BF557BB220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B48-4B44-A639-00BF557BB220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B48-4B44-A639-00BF557BB220}"/>
              </c:ext>
            </c:extLst>
          </c:dPt>
          <c:cat>
            <c:multiLvlStrRef>
              <c:f>IGAE_lev!$B$2:$C$41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IGAE_lev!$H$2:$H$41</c:f>
              <c:numCache>
                <c:formatCode>General</c:formatCode>
                <c:ptCount val="40"/>
                <c:pt idx="37" formatCode="_-* #,##0.0_-;\-* #,##0.0_-;_-* &quot;-&quot;??_-;_-@_-">
                  <c:v>114.1451964</c:v>
                </c:pt>
                <c:pt idx="38" formatCode="0.0">
                  <c:v>115.15876796001901</c:v>
                </c:pt>
                <c:pt idx="39" formatCode="0.0">
                  <c:v>115.50473247145101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B48-4B44-A639-00BF557BB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75000"/>
                <a:alpha val="6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7.735897435897433E-3"/>
          <c:y val="0.93223791254550636"/>
          <c:w val="0.98933653846153824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0C4F-5A90-4AD8-AFFF-608CE447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2428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Prensa.Indicador Oportuno de Actividad Económica</vt:lpstr>
    </vt:vector>
  </TitlesOfParts>
  <Company>INEGI</Company>
  <LinksUpToDate>false</LinksUpToDate>
  <CharactersWithSpaces>15755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983134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https://www.inegi.org.mx/investigacion/ioae/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https://www.inegi.org.mx/investigacion/ioae/</vt:lpwstr>
      </vt:variant>
      <vt:variant>
        <vt:lpwstr>Documentacion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Prensa.Indicador Oportuno de Actividad Económica</dc:title>
  <dc:subject/>
  <dc:creator>INEGI</dc:creator>
  <cp:keywords>Actividad Económica</cp:keywords>
  <cp:lastModifiedBy>GUILLEN MEDINA MOISES</cp:lastModifiedBy>
  <cp:revision>6</cp:revision>
  <cp:lastPrinted>2022-09-19T15:50:00Z</cp:lastPrinted>
  <dcterms:created xsi:type="dcterms:W3CDTF">2023-05-17T16:40:00Z</dcterms:created>
  <dcterms:modified xsi:type="dcterms:W3CDTF">2023-05-17T19:47:00Z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dac4f1c85a11ce01d4a18befff8af70ec75dcfaa1615781f5e7c6b3eedb9f40b</vt:lpwstr>
  </property>
</Properties>
</file>