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7C5C60" w14:textId="77777777" w:rsidR="003434B2" w:rsidRPr="00FC3C74" w:rsidRDefault="003434B2" w:rsidP="003434B2">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61312" behindDoc="0" locked="0" layoutInCell="1" allowOverlap="1" wp14:anchorId="11D49FE6" wp14:editId="2506E651">
                <wp:simplePos x="0" y="0"/>
                <wp:positionH relativeFrom="column">
                  <wp:posOffset>3084479</wp:posOffset>
                </wp:positionH>
                <wp:positionV relativeFrom="paragraph">
                  <wp:posOffset>433</wp:posOffset>
                </wp:positionV>
                <wp:extent cx="3336290" cy="266700"/>
                <wp:effectExtent l="0" t="0" r="0" b="635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6280EF75" w14:textId="77777777" w:rsidR="003434B2" w:rsidRPr="003D4E37" w:rsidRDefault="003434B2" w:rsidP="003434B2">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febrero</w:t>
                            </w:r>
                            <w:proofErr w:type="spellEnd"/>
                          </w:p>
                          <w:p w14:paraId="076F5963" w14:textId="77777777" w:rsidR="003434B2" w:rsidRPr="003D4E37" w:rsidRDefault="003434B2" w:rsidP="003434B2">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D49FE6" id="_x0000_t202" coordsize="21600,21600" o:spt="202" path="m,l,21600r21600,l21600,xe">
                <v:stroke joinstyle="miter"/>
                <v:path gradientshapeok="t" o:connecttype="rect"/>
              </v:shapetype>
              <v:shape id="Cuadro de texto 217" o:spid="_x0000_s1026" type="#_x0000_t202" style="position:absolute;left:0;text-align:left;margin-left:242.85pt;margin-top:.05pt;width:262.7pt;height:21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" stroked="f">
                <v:textbox>
                  <w:txbxContent>
                    <w:p w14:paraId="6280EF75" w14:textId="77777777" w:rsidR="003434B2" w:rsidRPr="003D4E37" w:rsidRDefault="003434B2" w:rsidP="003434B2">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febrero</w:t>
                      </w:r>
                      <w:proofErr w:type="spellEnd"/>
                    </w:p>
                    <w:p w14:paraId="076F5963" w14:textId="77777777" w:rsidR="003434B2" w:rsidRPr="003D4E37" w:rsidRDefault="003434B2" w:rsidP="003434B2">
                      <w:pPr>
                        <w:jc w:val="right"/>
                      </w:pPr>
                    </w:p>
                  </w:txbxContent>
                </v:textbox>
                <w10:wrap type="square"/>
              </v:shape>
            </w:pict>
          </mc:Fallback>
        </mc:AlternateContent>
      </w:r>
      <w:bookmarkStart w:id="0" w:name="_Hlk61875621"/>
    </w:p>
    <w:p w14:paraId="26F0B7DA" w14:textId="77777777" w:rsidR="003434B2" w:rsidRDefault="003434B2" w:rsidP="003434B2">
      <w:pPr>
        <w:jc w:val="center"/>
        <w:rPr>
          <w:b/>
          <w:bCs/>
          <w:caps/>
          <w:sz w:val="28"/>
          <w:szCs w:val="28"/>
          <w:lang w:val="es-MX"/>
        </w:rPr>
      </w:pPr>
    </w:p>
    <w:p w14:paraId="7BC9EC1A" w14:textId="77777777" w:rsidR="003434B2" w:rsidRDefault="003434B2" w:rsidP="003434B2">
      <w:pPr>
        <w:pStyle w:val="Subttulo"/>
        <w:rPr>
          <w:spacing w:val="20"/>
        </w:rPr>
      </w:pPr>
    </w:p>
    <w:p w14:paraId="0C738D58" w14:textId="5775E35A" w:rsidR="003434B2" w:rsidRPr="00241B9C" w:rsidRDefault="003434B2" w:rsidP="003434B2">
      <w:pPr>
        <w:pStyle w:val="Subttulo"/>
        <w:rPr>
          <w:spacing w:val="20"/>
        </w:rPr>
      </w:pPr>
      <w:bookmarkStart w:id="1" w:name="_GoBack"/>
      <w:bookmarkEnd w:id="1"/>
      <w:r w:rsidRPr="00241B9C">
        <w:rPr>
          <w:spacing w:val="20"/>
        </w:rPr>
        <w:t>INDICADOR DE PEDIDOS MANUFACTUREROS</w:t>
      </w:r>
    </w:p>
    <w:p w14:paraId="48023206" w14:textId="77777777" w:rsidR="003434B2" w:rsidRPr="00241B9C" w:rsidRDefault="003434B2" w:rsidP="003434B2">
      <w:pPr>
        <w:spacing w:before="40"/>
        <w:contextualSpacing/>
        <w:jc w:val="center"/>
        <w:rPr>
          <w:b/>
          <w:bCs/>
          <w:kern w:val="28"/>
        </w:rPr>
      </w:pPr>
      <w:r w:rsidRPr="00241B9C">
        <w:rPr>
          <w:b/>
          <w:bCs/>
          <w:kern w:val="28"/>
        </w:rPr>
        <w:t>DICIEMBRE DE 2022</w:t>
      </w:r>
    </w:p>
    <w:p w14:paraId="1745EDD8" w14:textId="77777777" w:rsidR="003434B2" w:rsidRPr="009F0422" w:rsidRDefault="003434B2" w:rsidP="003434B2">
      <w:pPr>
        <w:spacing w:before="240"/>
        <w:ind w:right="49"/>
        <w:rPr>
          <w:snapToGrid w:val="0"/>
          <w:color w:val="000000" w:themeColor="text1"/>
          <w:spacing w:val="4"/>
          <w:bdr w:val="none" w:sz="0" w:space="0" w:color="auto" w:frame="1"/>
          <w:lang w:val="es-MX"/>
        </w:rPr>
      </w:pPr>
      <w:r w:rsidRPr="009F0422">
        <w:rPr>
          <w:snapToGrid w:val="0"/>
          <w:color w:val="000000" w:themeColor="text1"/>
          <w:spacing w:val="4"/>
          <w:bdr w:val="none" w:sz="0" w:space="0" w:color="auto" w:frame="1"/>
          <w:lang w:val="es-MX"/>
        </w:rPr>
        <w:t xml:space="preserve">El Instituto Nacional de Estadística y Geografía (INEGI) y el Banco de México dan a conocer el Indicador de Pedidos Manufactureros (IPM) de diciembre de 2022. El IPM incorpora variables similares a las del </w:t>
      </w:r>
      <w:proofErr w:type="spellStart"/>
      <w:r w:rsidRPr="009F0422">
        <w:rPr>
          <w:snapToGrid w:val="0"/>
          <w:color w:val="000000" w:themeColor="text1"/>
          <w:spacing w:val="4"/>
          <w:bdr w:val="none" w:sz="0" w:space="0" w:color="auto" w:frame="1"/>
          <w:lang w:val="es-MX"/>
        </w:rPr>
        <w:t>Purchasing</w:t>
      </w:r>
      <w:proofErr w:type="spellEnd"/>
      <w:r w:rsidRPr="009F0422">
        <w:rPr>
          <w:snapToGrid w:val="0"/>
          <w:color w:val="000000" w:themeColor="text1"/>
          <w:spacing w:val="4"/>
          <w:bdr w:val="none" w:sz="0" w:space="0" w:color="auto" w:frame="1"/>
          <w:lang w:val="es-MX"/>
        </w:rPr>
        <w:t xml:space="preserve"> Managers </w:t>
      </w:r>
      <w:proofErr w:type="spellStart"/>
      <w:r w:rsidRPr="009F0422">
        <w:rPr>
          <w:snapToGrid w:val="0"/>
          <w:color w:val="000000" w:themeColor="text1"/>
          <w:spacing w:val="4"/>
          <w:bdr w:val="none" w:sz="0" w:space="0" w:color="auto" w:frame="1"/>
          <w:lang w:val="es-MX"/>
        </w:rPr>
        <w:t>Index</w:t>
      </w:r>
      <w:proofErr w:type="spellEnd"/>
      <w:r w:rsidRPr="009F0422">
        <w:rPr>
          <w:snapToGrid w:val="0"/>
          <w:color w:val="000000" w:themeColor="text1"/>
          <w:spacing w:val="4"/>
          <w:bdr w:val="none" w:sz="0" w:space="0" w:color="auto" w:frame="1"/>
          <w:lang w:val="es-MX"/>
        </w:rPr>
        <w:t xml:space="preserve"> (PMI) que elabora el </w:t>
      </w:r>
      <w:proofErr w:type="spellStart"/>
      <w:r w:rsidRPr="009F0422">
        <w:rPr>
          <w:snapToGrid w:val="0"/>
          <w:color w:val="000000" w:themeColor="text1"/>
          <w:spacing w:val="4"/>
          <w:bdr w:val="none" w:sz="0" w:space="0" w:color="auto" w:frame="1"/>
          <w:lang w:val="es-MX"/>
        </w:rPr>
        <w:t>Institute</w:t>
      </w:r>
      <w:proofErr w:type="spellEnd"/>
      <w:r w:rsidRPr="009F0422">
        <w:rPr>
          <w:snapToGrid w:val="0"/>
          <w:color w:val="000000" w:themeColor="text1"/>
          <w:spacing w:val="4"/>
          <w:bdr w:val="none" w:sz="0" w:space="0" w:color="auto" w:frame="1"/>
          <w:lang w:val="es-MX"/>
        </w:rPr>
        <w:t xml:space="preserve"> </w:t>
      </w:r>
      <w:proofErr w:type="spellStart"/>
      <w:r w:rsidRPr="009F0422">
        <w:rPr>
          <w:snapToGrid w:val="0"/>
          <w:color w:val="000000" w:themeColor="text1"/>
          <w:spacing w:val="4"/>
          <w:bdr w:val="none" w:sz="0" w:space="0" w:color="auto" w:frame="1"/>
          <w:lang w:val="es-MX"/>
        </w:rPr>
        <w:t>for</w:t>
      </w:r>
      <w:proofErr w:type="spellEnd"/>
      <w:r w:rsidRPr="009F0422">
        <w:rPr>
          <w:snapToGrid w:val="0"/>
          <w:color w:val="000000" w:themeColor="text1"/>
          <w:spacing w:val="4"/>
          <w:bdr w:val="none" w:sz="0" w:space="0" w:color="auto" w:frame="1"/>
          <w:lang w:val="es-MX"/>
        </w:rPr>
        <w:t xml:space="preserve"> </w:t>
      </w:r>
      <w:proofErr w:type="spellStart"/>
      <w:r w:rsidRPr="009F0422">
        <w:rPr>
          <w:snapToGrid w:val="0"/>
          <w:color w:val="000000" w:themeColor="text1"/>
          <w:spacing w:val="4"/>
          <w:bdr w:val="none" w:sz="0" w:space="0" w:color="auto" w:frame="1"/>
          <w:lang w:val="es-MX"/>
        </w:rPr>
        <w:t>Supply</w:t>
      </w:r>
      <w:proofErr w:type="spellEnd"/>
      <w:r w:rsidRPr="009F0422">
        <w:rPr>
          <w:snapToGrid w:val="0"/>
          <w:color w:val="000000" w:themeColor="text1"/>
          <w:spacing w:val="4"/>
          <w:bdr w:val="none" w:sz="0" w:space="0" w:color="auto" w:frame="1"/>
          <w:lang w:val="es-MX"/>
        </w:rPr>
        <w:t xml:space="preserve"> Management (ISM) en Estados Unidos de América.</w:t>
      </w:r>
    </w:p>
    <w:p w14:paraId="70C22CE4" w14:textId="77777777" w:rsidR="003434B2" w:rsidRPr="009F0422" w:rsidRDefault="003434B2" w:rsidP="003434B2">
      <w:pPr>
        <w:spacing w:before="240"/>
        <w:ind w:right="49"/>
        <w:rPr>
          <w:snapToGrid w:val="0"/>
          <w:color w:val="000000" w:themeColor="text1"/>
          <w:spacing w:val="4"/>
          <w:bdr w:val="none" w:sz="0" w:space="0" w:color="auto" w:frame="1"/>
          <w:lang w:val="es-MX"/>
        </w:rPr>
      </w:pPr>
      <w:r w:rsidRPr="009F0422">
        <w:rPr>
          <w:snapToGrid w:val="0"/>
          <w:color w:val="000000" w:themeColor="text1"/>
          <w:spacing w:val="4"/>
          <w:bdr w:val="none" w:sz="0" w:space="0" w:color="auto" w:frame="1"/>
          <w:lang w:val="es-MX"/>
        </w:rPr>
        <w:t>El IPM se construye con los resultados de la Encuesta Mensual de Opinión Empresarial (EMOE), mismos que permiten conocer, casi inmediatamente después de terminado el mes de referencia, las expectativas y la percepción de las y los directivos empresariales sobre el comportamiento del sector manufacturero en México.</w:t>
      </w:r>
    </w:p>
    <w:p w14:paraId="64411439" w14:textId="77777777" w:rsidR="003434B2" w:rsidRPr="009F0422" w:rsidRDefault="003434B2" w:rsidP="003434B2">
      <w:pPr>
        <w:spacing w:before="240"/>
        <w:ind w:right="49"/>
        <w:rPr>
          <w:snapToGrid w:val="0"/>
          <w:color w:val="000000" w:themeColor="text1"/>
          <w:spacing w:val="4"/>
          <w:bdr w:val="none" w:sz="0" w:space="0" w:color="auto" w:frame="1"/>
          <w:lang w:val="es-MX"/>
        </w:rPr>
      </w:pPr>
      <w:r w:rsidRPr="009F0422">
        <w:rPr>
          <w:snapToGrid w:val="0"/>
          <w:color w:val="000000" w:themeColor="text1"/>
          <w:spacing w:val="4"/>
          <w:bdr w:val="none" w:sz="0" w:space="0" w:color="auto" w:frame="1"/>
          <w:lang w:val="es-MX"/>
        </w:rPr>
        <w:t>En el mes de referencia, el IPM presentó una disminución mensual con cifras desestacionalizadas de 0.56 puntos, al ubicarse en 51.9 puntos y permaneció por vigésimo noveno mes consecutivo por arriba del umbral de los 50 puntos. A su interior, se observaron caídas mensuales con datos ajustados por estacionalidad en los componentes correspondientes a los pedidos esperados y al personal ocupado. Los componentes relativos a la producción esperada, a la oportunidad en la entrega de insumos por parte de proveedores y a los inventarios de insumos aumentaron.</w:t>
      </w:r>
    </w:p>
    <w:p w14:paraId="2FB1B00A" w14:textId="77777777" w:rsidR="003434B2" w:rsidRDefault="003434B2" w:rsidP="003434B2">
      <w:pPr>
        <w:widowControl w:val="0"/>
        <w:jc w:val="center"/>
        <w:outlineLvl w:val="0"/>
        <w:rPr>
          <w:b/>
          <w:bCs/>
          <w:smallCaps/>
          <w:kern w:val="32"/>
          <w:sz w:val="22"/>
        </w:rPr>
      </w:pPr>
    </w:p>
    <w:p w14:paraId="4EBB4799" w14:textId="77777777" w:rsidR="003434B2" w:rsidRDefault="003434B2" w:rsidP="003434B2">
      <w:pPr>
        <w:widowControl w:val="0"/>
        <w:jc w:val="center"/>
        <w:outlineLvl w:val="0"/>
        <w:rPr>
          <w:b/>
          <w:bCs/>
          <w:smallCaps/>
          <w:kern w:val="32"/>
          <w:sz w:val="22"/>
        </w:rPr>
      </w:pPr>
    </w:p>
    <w:p w14:paraId="01B69BDE" w14:textId="77777777" w:rsidR="003434B2" w:rsidRPr="00C46F19" w:rsidRDefault="003434B2" w:rsidP="003434B2">
      <w:pPr>
        <w:widowControl w:val="0"/>
        <w:jc w:val="center"/>
        <w:outlineLvl w:val="0"/>
        <w:rPr>
          <w:b/>
          <w:bCs/>
          <w:smallCaps/>
          <w:kern w:val="32"/>
          <w:sz w:val="22"/>
        </w:rPr>
      </w:pPr>
      <w:r w:rsidRPr="00C46F19">
        <w:rPr>
          <w:b/>
          <w:bCs/>
          <w:smallCaps/>
          <w:kern w:val="32"/>
          <w:sz w:val="22"/>
        </w:rPr>
        <w:t xml:space="preserve">Indicador de Pedidos Manufactureros </w:t>
      </w:r>
    </w:p>
    <w:p w14:paraId="55863A9C" w14:textId="77777777" w:rsidR="003434B2" w:rsidRPr="005B0949" w:rsidRDefault="003434B2" w:rsidP="003434B2">
      <w:pPr>
        <w:widowControl w:val="0"/>
        <w:spacing w:after="10"/>
        <w:jc w:val="center"/>
        <w:outlineLvl w:val="0"/>
        <w:rPr>
          <w:b/>
          <w:bCs/>
          <w:smallCaps/>
          <w:kern w:val="32"/>
        </w:rPr>
      </w:pPr>
      <w:r>
        <w:rPr>
          <w:noProof/>
        </w:rPr>
        <w:drawing>
          <wp:inline distT="0" distB="0" distL="0" distR="0" wp14:anchorId="14BE67E7" wp14:editId="67A4BE6A">
            <wp:extent cx="4320000" cy="2520000"/>
            <wp:effectExtent l="0" t="0" r="4445" b="13970"/>
            <wp:docPr id="2" name="Gráfico 2">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19835DE6" w14:textId="77777777" w:rsidR="003434B2" w:rsidRPr="005B0949" w:rsidRDefault="003434B2" w:rsidP="003434B2">
      <w:pPr>
        <w:widowControl w:val="0"/>
        <w:spacing w:before="20"/>
        <w:ind w:left="1701"/>
        <w:jc w:val="left"/>
        <w:outlineLvl w:val="0"/>
        <w:rPr>
          <w:b/>
          <w:bCs/>
          <w:smallCaps/>
          <w:kern w:val="32"/>
          <w:sz w:val="14"/>
          <w:szCs w:val="16"/>
        </w:rPr>
      </w:pPr>
      <w:r w:rsidRPr="005B0949">
        <w:rPr>
          <w:sz w:val="14"/>
          <w:szCs w:val="16"/>
        </w:rPr>
        <w:t>Fuente: INEGI y Banco de México</w:t>
      </w:r>
    </w:p>
    <w:p w14:paraId="5FB60842" w14:textId="77777777" w:rsidR="003434B2" w:rsidRDefault="003434B2" w:rsidP="003434B2">
      <w:pPr>
        <w:ind w:left="1701"/>
        <w:jc w:val="left"/>
        <w:rPr>
          <w:spacing w:val="4"/>
          <w:lang w:val="es-ES"/>
        </w:rPr>
      </w:pPr>
      <w:r>
        <w:rPr>
          <w:spacing w:val="4"/>
          <w:lang w:val="es-ES"/>
        </w:rPr>
        <w:br w:type="page"/>
      </w:r>
    </w:p>
    <w:p w14:paraId="6567C5A8" w14:textId="77777777" w:rsidR="003434B2" w:rsidRPr="009F0422" w:rsidRDefault="003434B2" w:rsidP="003434B2">
      <w:pPr>
        <w:spacing w:before="240"/>
        <w:ind w:right="49"/>
        <w:rPr>
          <w:snapToGrid w:val="0"/>
          <w:color w:val="000000" w:themeColor="text1"/>
          <w:spacing w:val="4"/>
          <w:bdr w:val="none" w:sz="0" w:space="0" w:color="auto" w:frame="1"/>
          <w:lang w:val="es-MX"/>
        </w:rPr>
      </w:pPr>
      <w:r w:rsidRPr="009F0422">
        <w:rPr>
          <w:snapToGrid w:val="0"/>
          <w:color w:val="000000" w:themeColor="text1"/>
          <w:spacing w:val="4"/>
          <w:bdr w:val="none" w:sz="0" w:space="0" w:color="auto" w:frame="1"/>
          <w:lang w:val="es-MX"/>
        </w:rPr>
        <w:lastRenderedPageBreak/>
        <w:t>Con cifras originales, en diciembre de 2022, el IPM mostró un descenso anual de 0.8 puntos y se situó en 50.4 puntos. Respecto de sus componentes, dos de los cinco agregados que lo conforman registraron reducciones anuales; los tres restantes avanzaron.</w:t>
      </w:r>
    </w:p>
    <w:bookmarkEnd w:id="0"/>
    <w:p w14:paraId="5916BDA2" w14:textId="77777777" w:rsidR="003434B2" w:rsidRDefault="003434B2" w:rsidP="003434B2">
      <w:pPr>
        <w:keepNext/>
        <w:keepLines/>
        <w:jc w:val="center"/>
        <w:outlineLvl w:val="0"/>
        <w:rPr>
          <w:b/>
          <w:smallCaps/>
          <w:sz w:val="22"/>
        </w:rPr>
      </w:pPr>
    </w:p>
    <w:p w14:paraId="5875D681" w14:textId="77777777" w:rsidR="003434B2" w:rsidRPr="00C46F19" w:rsidRDefault="003434B2" w:rsidP="003434B2">
      <w:pPr>
        <w:jc w:val="center"/>
        <w:outlineLvl w:val="0"/>
        <w:rPr>
          <w:b/>
          <w:smallCaps/>
          <w:sz w:val="22"/>
        </w:rPr>
      </w:pPr>
      <w:r w:rsidRPr="00C46F19">
        <w:rPr>
          <w:b/>
          <w:smallCaps/>
          <w:sz w:val="22"/>
        </w:rPr>
        <w:t>Indicador de Pedidos Manufactureros por grupos de subsectores de actividad</w:t>
      </w:r>
    </w:p>
    <w:p w14:paraId="3BB2E6DC" w14:textId="77777777" w:rsidR="003434B2" w:rsidRPr="00C46F19" w:rsidRDefault="003434B2" w:rsidP="003434B2">
      <w:pPr>
        <w:jc w:val="center"/>
        <w:outlineLvl w:val="0"/>
        <w:rPr>
          <w:sz w:val="22"/>
        </w:rPr>
      </w:pPr>
      <w:r>
        <w:rPr>
          <w:b/>
          <w:smallCaps/>
          <w:sz w:val="22"/>
        </w:rPr>
        <w:t>c</w:t>
      </w:r>
      <w:r w:rsidRPr="00C46F19">
        <w:rPr>
          <w:b/>
          <w:smallCaps/>
          <w:sz w:val="22"/>
        </w:rPr>
        <w:t>ifras originales</w:t>
      </w:r>
    </w:p>
    <w:tbl>
      <w:tblPr>
        <w:tblW w:w="5080" w:type="pct"/>
        <w:jc w:val="center"/>
        <w:tblCellMar>
          <w:left w:w="70" w:type="dxa"/>
          <w:right w:w="70" w:type="dxa"/>
        </w:tblCellMar>
        <w:tblLook w:val="0000" w:firstRow="0" w:lastRow="0" w:firstColumn="0" w:lastColumn="0" w:noHBand="0" w:noVBand="0"/>
      </w:tblPr>
      <w:tblGrid>
        <w:gridCol w:w="6807"/>
        <w:gridCol w:w="1022"/>
        <w:gridCol w:w="1022"/>
        <w:gridCol w:w="1264"/>
      </w:tblGrid>
      <w:tr w:rsidR="003434B2" w:rsidRPr="005B0949" w14:paraId="26225ADF" w14:textId="77777777" w:rsidTr="00452604">
        <w:trPr>
          <w:cantSplit/>
          <w:trHeight w:val="300"/>
          <w:jc w:val="center"/>
        </w:trPr>
        <w:tc>
          <w:tcPr>
            <w:tcW w:w="3364" w:type="pct"/>
            <w:vMerge w:val="restart"/>
            <w:tcBorders>
              <w:top w:val="single" w:sz="6" w:space="0" w:color="404040"/>
              <w:left w:val="single" w:sz="6" w:space="0" w:color="404040"/>
              <w:right w:val="single" w:sz="6" w:space="0" w:color="404040"/>
            </w:tcBorders>
            <w:shd w:val="clear" w:color="auto" w:fill="CCCCFF"/>
            <w:vAlign w:val="center"/>
          </w:tcPr>
          <w:p w14:paraId="594F5126" w14:textId="77777777" w:rsidR="003434B2" w:rsidRPr="005B0949" w:rsidRDefault="003434B2" w:rsidP="00452604">
            <w:pPr>
              <w:spacing w:before="60" w:after="60" w:line="240" w:lineRule="atLeast"/>
              <w:rPr>
                <w:sz w:val="18"/>
                <w:szCs w:val="18"/>
              </w:rPr>
            </w:pPr>
            <w:r w:rsidRPr="005B0949">
              <w:rPr>
                <w:sz w:val="18"/>
                <w:szCs w:val="18"/>
              </w:rPr>
              <w:t>Grupos</w:t>
            </w:r>
          </w:p>
        </w:tc>
        <w:tc>
          <w:tcPr>
            <w:tcW w:w="1010" w:type="pct"/>
            <w:gridSpan w:val="2"/>
            <w:tcBorders>
              <w:top w:val="single" w:sz="6" w:space="0" w:color="404040"/>
              <w:left w:val="single" w:sz="6" w:space="0" w:color="404040"/>
              <w:bottom w:val="single" w:sz="6" w:space="0" w:color="404040"/>
              <w:right w:val="single" w:sz="6" w:space="0" w:color="404040"/>
            </w:tcBorders>
            <w:shd w:val="clear" w:color="auto" w:fill="CCCCFF"/>
            <w:vAlign w:val="center"/>
          </w:tcPr>
          <w:p w14:paraId="52E906BB" w14:textId="77777777" w:rsidR="003434B2" w:rsidRPr="005B0949" w:rsidRDefault="003434B2" w:rsidP="00452604">
            <w:pPr>
              <w:spacing w:before="40" w:after="40" w:line="240" w:lineRule="exact"/>
              <w:jc w:val="center"/>
              <w:rPr>
                <w:sz w:val="18"/>
                <w:szCs w:val="18"/>
              </w:rPr>
            </w:pPr>
            <w:r>
              <w:rPr>
                <w:sz w:val="18"/>
                <w:szCs w:val="18"/>
              </w:rPr>
              <w:t>Diciembre</w:t>
            </w:r>
          </w:p>
        </w:tc>
        <w:tc>
          <w:tcPr>
            <w:tcW w:w="625" w:type="pct"/>
            <w:vMerge w:val="restart"/>
            <w:tcBorders>
              <w:top w:val="single" w:sz="6" w:space="0" w:color="404040"/>
              <w:left w:val="single" w:sz="6" w:space="0" w:color="404040"/>
              <w:right w:val="single" w:sz="6" w:space="0" w:color="404040"/>
            </w:tcBorders>
            <w:shd w:val="clear" w:color="auto" w:fill="CCCCFF"/>
            <w:vAlign w:val="center"/>
          </w:tcPr>
          <w:p w14:paraId="50B40B4D" w14:textId="77777777" w:rsidR="003434B2" w:rsidRPr="005B0949" w:rsidRDefault="003434B2" w:rsidP="00452604">
            <w:pPr>
              <w:spacing w:before="60" w:after="60" w:line="240" w:lineRule="exact"/>
              <w:jc w:val="center"/>
              <w:rPr>
                <w:sz w:val="18"/>
                <w:szCs w:val="18"/>
              </w:rPr>
            </w:pPr>
            <w:r w:rsidRPr="005B0949">
              <w:rPr>
                <w:sz w:val="18"/>
                <w:szCs w:val="18"/>
              </w:rPr>
              <w:t>Diferencia en puntos</w:t>
            </w:r>
            <w:r w:rsidRPr="005B0949">
              <w:rPr>
                <w:sz w:val="18"/>
                <w:szCs w:val="18"/>
                <w:vertAlign w:val="superscript"/>
              </w:rPr>
              <w:t>1/</w:t>
            </w:r>
          </w:p>
        </w:tc>
      </w:tr>
      <w:tr w:rsidR="003434B2" w:rsidRPr="005B0949" w14:paraId="6ACA7B7B" w14:textId="77777777" w:rsidTr="00452604">
        <w:trPr>
          <w:cantSplit/>
          <w:trHeight w:val="300"/>
          <w:jc w:val="center"/>
        </w:trPr>
        <w:tc>
          <w:tcPr>
            <w:tcW w:w="3364" w:type="pct"/>
            <w:vMerge/>
            <w:tcBorders>
              <w:left w:val="single" w:sz="6" w:space="0" w:color="404040"/>
              <w:bottom w:val="single" w:sz="6" w:space="0" w:color="404040"/>
              <w:right w:val="single" w:sz="6" w:space="0" w:color="404040"/>
            </w:tcBorders>
            <w:shd w:val="pct10" w:color="auto" w:fill="auto"/>
            <w:vAlign w:val="center"/>
          </w:tcPr>
          <w:p w14:paraId="0F04E4F2" w14:textId="77777777" w:rsidR="003434B2" w:rsidRPr="005B0949" w:rsidRDefault="003434B2" w:rsidP="00452604">
            <w:pPr>
              <w:spacing w:before="60" w:after="60" w:line="240" w:lineRule="atLeast"/>
              <w:jc w:val="center"/>
              <w:rPr>
                <w:sz w:val="18"/>
                <w:szCs w:val="18"/>
              </w:rPr>
            </w:pPr>
          </w:p>
        </w:tc>
        <w:tc>
          <w:tcPr>
            <w:tcW w:w="505" w:type="pct"/>
            <w:tcBorders>
              <w:top w:val="single" w:sz="6" w:space="0" w:color="404040"/>
              <w:left w:val="single" w:sz="6" w:space="0" w:color="404040"/>
              <w:bottom w:val="single" w:sz="6" w:space="0" w:color="404040"/>
              <w:right w:val="single" w:sz="6" w:space="0" w:color="404040"/>
            </w:tcBorders>
            <w:shd w:val="clear" w:color="auto" w:fill="CCCCFF"/>
            <w:vAlign w:val="center"/>
          </w:tcPr>
          <w:p w14:paraId="49CFD9C7" w14:textId="77777777" w:rsidR="003434B2" w:rsidRPr="005B0949" w:rsidRDefault="003434B2" w:rsidP="00452604">
            <w:pPr>
              <w:spacing w:line="240" w:lineRule="exact"/>
              <w:jc w:val="center"/>
              <w:rPr>
                <w:sz w:val="18"/>
                <w:szCs w:val="18"/>
              </w:rPr>
            </w:pPr>
            <w:r>
              <w:rPr>
                <w:sz w:val="18"/>
                <w:szCs w:val="18"/>
              </w:rPr>
              <w:t>2021</w:t>
            </w:r>
          </w:p>
        </w:tc>
        <w:tc>
          <w:tcPr>
            <w:tcW w:w="505" w:type="pct"/>
            <w:tcBorders>
              <w:top w:val="single" w:sz="6" w:space="0" w:color="404040"/>
              <w:left w:val="single" w:sz="6" w:space="0" w:color="404040"/>
              <w:bottom w:val="single" w:sz="6" w:space="0" w:color="404040"/>
              <w:right w:val="single" w:sz="6" w:space="0" w:color="404040"/>
            </w:tcBorders>
            <w:shd w:val="clear" w:color="auto" w:fill="CCCCFF"/>
            <w:vAlign w:val="center"/>
          </w:tcPr>
          <w:p w14:paraId="45E2742B" w14:textId="77777777" w:rsidR="003434B2" w:rsidRPr="005B0949" w:rsidRDefault="003434B2" w:rsidP="00452604">
            <w:pPr>
              <w:spacing w:line="240" w:lineRule="exact"/>
              <w:jc w:val="center"/>
              <w:rPr>
                <w:sz w:val="18"/>
                <w:szCs w:val="18"/>
              </w:rPr>
            </w:pPr>
            <w:r>
              <w:rPr>
                <w:sz w:val="18"/>
                <w:szCs w:val="18"/>
              </w:rPr>
              <w:t>2022</w:t>
            </w:r>
            <w:r w:rsidRPr="005B0949">
              <w:rPr>
                <w:sz w:val="18"/>
                <w:szCs w:val="18"/>
                <w:vertAlign w:val="superscript"/>
              </w:rPr>
              <w:t>p/</w:t>
            </w:r>
          </w:p>
        </w:tc>
        <w:tc>
          <w:tcPr>
            <w:tcW w:w="625" w:type="pct"/>
            <w:vMerge/>
            <w:tcBorders>
              <w:left w:val="single" w:sz="6" w:space="0" w:color="404040"/>
              <w:bottom w:val="single" w:sz="6" w:space="0" w:color="404040"/>
              <w:right w:val="single" w:sz="6" w:space="0" w:color="404040"/>
            </w:tcBorders>
            <w:shd w:val="pct10" w:color="auto" w:fill="auto"/>
            <w:vAlign w:val="center"/>
          </w:tcPr>
          <w:p w14:paraId="1B8F7D66" w14:textId="77777777" w:rsidR="003434B2" w:rsidRPr="005B0949" w:rsidRDefault="003434B2" w:rsidP="00452604">
            <w:pPr>
              <w:spacing w:line="240" w:lineRule="atLeast"/>
              <w:ind w:left="-64" w:right="-45"/>
              <w:jc w:val="center"/>
              <w:rPr>
                <w:sz w:val="18"/>
                <w:szCs w:val="18"/>
              </w:rPr>
            </w:pPr>
          </w:p>
        </w:tc>
      </w:tr>
      <w:tr w:rsidR="003434B2" w:rsidRPr="005B0949" w14:paraId="36592198" w14:textId="77777777" w:rsidTr="00452604">
        <w:trPr>
          <w:cantSplit/>
          <w:trHeight w:val="20"/>
          <w:jc w:val="center"/>
        </w:trPr>
        <w:tc>
          <w:tcPr>
            <w:tcW w:w="3364" w:type="pct"/>
            <w:tcBorders>
              <w:top w:val="single" w:sz="6" w:space="0" w:color="404040"/>
              <w:left w:val="single" w:sz="6" w:space="0" w:color="404040"/>
              <w:right w:val="single" w:sz="6" w:space="0" w:color="404040"/>
            </w:tcBorders>
            <w:vAlign w:val="center"/>
          </w:tcPr>
          <w:p w14:paraId="74F01E2F" w14:textId="77777777" w:rsidR="003434B2" w:rsidRPr="005B0949" w:rsidRDefault="003434B2" w:rsidP="00452604">
            <w:pPr>
              <w:tabs>
                <w:tab w:val="left" w:pos="339"/>
              </w:tabs>
              <w:spacing w:before="20" w:after="20" w:line="240" w:lineRule="exact"/>
              <w:ind w:left="323" w:hanging="306"/>
              <w:rPr>
                <w:b/>
                <w:sz w:val="18"/>
                <w:szCs w:val="18"/>
              </w:rPr>
            </w:pPr>
            <w:r w:rsidRPr="005B0949">
              <w:rPr>
                <w:b/>
                <w:sz w:val="18"/>
                <w:szCs w:val="18"/>
              </w:rPr>
              <w:t>Indicador de Pedidos Manufactureros</w:t>
            </w:r>
          </w:p>
        </w:tc>
        <w:tc>
          <w:tcPr>
            <w:tcW w:w="505" w:type="pct"/>
            <w:tcBorders>
              <w:top w:val="single" w:sz="6" w:space="0" w:color="404040"/>
            </w:tcBorders>
            <w:vAlign w:val="center"/>
          </w:tcPr>
          <w:p w14:paraId="3AC2DEB2" w14:textId="77777777" w:rsidR="003434B2" w:rsidRPr="00A17322" w:rsidRDefault="003434B2" w:rsidP="00452604">
            <w:pPr>
              <w:tabs>
                <w:tab w:val="decimal" w:pos="414"/>
              </w:tabs>
              <w:jc w:val="left"/>
              <w:rPr>
                <w:b/>
                <w:bCs/>
                <w:sz w:val="18"/>
                <w:szCs w:val="18"/>
              </w:rPr>
            </w:pPr>
            <w:r>
              <w:rPr>
                <w:b/>
                <w:bCs/>
                <w:sz w:val="18"/>
                <w:szCs w:val="18"/>
              </w:rPr>
              <w:t>51.1</w:t>
            </w:r>
          </w:p>
        </w:tc>
        <w:tc>
          <w:tcPr>
            <w:tcW w:w="505" w:type="pct"/>
            <w:tcBorders>
              <w:top w:val="single" w:sz="6" w:space="0" w:color="404040"/>
              <w:right w:val="single" w:sz="6" w:space="0" w:color="404040"/>
            </w:tcBorders>
            <w:vAlign w:val="center"/>
          </w:tcPr>
          <w:p w14:paraId="60E6229C" w14:textId="77777777" w:rsidR="003434B2" w:rsidRPr="00A17322" w:rsidRDefault="003434B2" w:rsidP="00452604">
            <w:pPr>
              <w:tabs>
                <w:tab w:val="decimal" w:pos="370"/>
              </w:tabs>
              <w:jc w:val="left"/>
              <w:rPr>
                <w:b/>
                <w:bCs/>
                <w:sz w:val="18"/>
                <w:szCs w:val="18"/>
              </w:rPr>
            </w:pPr>
            <w:r>
              <w:rPr>
                <w:b/>
                <w:bCs/>
                <w:sz w:val="18"/>
                <w:szCs w:val="18"/>
              </w:rPr>
              <w:t>50.4</w:t>
            </w:r>
          </w:p>
        </w:tc>
        <w:tc>
          <w:tcPr>
            <w:tcW w:w="625" w:type="pct"/>
            <w:tcBorders>
              <w:top w:val="single" w:sz="6" w:space="0" w:color="404040"/>
              <w:right w:val="single" w:sz="6" w:space="0" w:color="404040"/>
            </w:tcBorders>
            <w:vAlign w:val="center"/>
          </w:tcPr>
          <w:p w14:paraId="77CAB39A" w14:textId="77777777" w:rsidR="003434B2" w:rsidRPr="00A17322" w:rsidRDefault="003434B2" w:rsidP="00452604">
            <w:pPr>
              <w:tabs>
                <w:tab w:val="decimal" w:pos="483"/>
              </w:tabs>
              <w:jc w:val="left"/>
              <w:rPr>
                <w:b/>
                <w:bCs/>
                <w:sz w:val="18"/>
                <w:szCs w:val="18"/>
              </w:rPr>
            </w:pPr>
            <w:r>
              <w:rPr>
                <w:b/>
                <w:bCs/>
                <w:color w:val="000000"/>
                <w:sz w:val="18"/>
                <w:szCs w:val="18"/>
              </w:rPr>
              <w:t>-0.8</w:t>
            </w:r>
          </w:p>
        </w:tc>
      </w:tr>
      <w:tr w:rsidR="003434B2" w:rsidRPr="005B0949" w14:paraId="10995083" w14:textId="77777777" w:rsidTr="00452604">
        <w:trPr>
          <w:cantSplit/>
          <w:trHeight w:val="20"/>
          <w:jc w:val="center"/>
        </w:trPr>
        <w:tc>
          <w:tcPr>
            <w:tcW w:w="3364" w:type="pct"/>
            <w:tcBorders>
              <w:left w:val="single" w:sz="6" w:space="0" w:color="404040"/>
              <w:right w:val="single" w:sz="6" w:space="0" w:color="404040"/>
            </w:tcBorders>
            <w:vAlign w:val="bottom"/>
          </w:tcPr>
          <w:p w14:paraId="146A876F" w14:textId="77777777" w:rsidR="003434B2" w:rsidRPr="005B0949" w:rsidRDefault="003434B2" w:rsidP="00452604">
            <w:pPr>
              <w:widowControl w:val="0"/>
              <w:spacing w:before="20" w:after="20"/>
              <w:ind w:left="130"/>
              <w:rPr>
                <w:sz w:val="18"/>
                <w:szCs w:val="18"/>
              </w:rPr>
            </w:pPr>
            <w:r w:rsidRPr="005B0949">
              <w:rPr>
                <w:sz w:val="18"/>
                <w:szCs w:val="18"/>
              </w:rPr>
              <w:t>Alimentos, bebidas y tabaco</w:t>
            </w:r>
          </w:p>
        </w:tc>
        <w:tc>
          <w:tcPr>
            <w:tcW w:w="505" w:type="pct"/>
            <w:vAlign w:val="center"/>
          </w:tcPr>
          <w:p w14:paraId="55DA5E2D" w14:textId="77777777" w:rsidR="003434B2" w:rsidRPr="00A17322" w:rsidRDefault="003434B2" w:rsidP="00452604">
            <w:pPr>
              <w:tabs>
                <w:tab w:val="decimal" w:pos="414"/>
              </w:tabs>
              <w:jc w:val="left"/>
              <w:rPr>
                <w:sz w:val="18"/>
                <w:szCs w:val="18"/>
              </w:rPr>
            </w:pPr>
            <w:r>
              <w:rPr>
                <w:sz w:val="18"/>
                <w:szCs w:val="18"/>
              </w:rPr>
              <w:t>53.4</w:t>
            </w:r>
          </w:p>
        </w:tc>
        <w:tc>
          <w:tcPr>
            <w:tcW w:w="505" w:type="pct"/>
            <w:tcBorders>
              <w:right w:val="single" w:sz="6" w:space="0" w:color="404040"/>
            </w:tcBorders>
            <w:vAlign w:val="center"/>
          </w:tcPr>
          <w:p w14:paraId="355BCEAC" w14:textId="77777777" w:rsidR="003434B2" w:rsidRPr="00A17322" w:rsidRDefault="003434B2" w:rsidP="00452604">
            <w:pPr>
              <w:tabs>
                <w:tab w:val="decimal" w:pos="370"/>
              </w:tabs>
              <w:jc w:val="left"/>
              <w:rPr>
                <w:sz w:val="18"/>
                <w:szCs w:val="18"/>
              </w:rPr>
            </w:pPr>
            <w:r>
              <w:rPr>
                <w:sz w:val="18"/>
                <w:szCs w:val="18"/>
              </w:rPr>
              <w:t>52.6</w:t>
            </w:r>
          </w:p>
        </w:tc>
        <w:tc>
          <w:tcPr>
            <w:tcW w:w="625" w:type="pct"/>
            <w:tcBorders>
              <w:right w:val="single" w:sz="6" w:space="0" w:color="404040"/>
            </w:tcBorders>
            <w:vAlign w:val="center"/>
          </w:tcPr>
          <w:p w14:paraId="1E146CA9" w14:textId="77777777" w:rsidR="003434B2" w:rsidRPr="00A17322" w:rsidRDefault="003434B2" w:rsidP="00452604">
            <w:pPr>
              <w:tabs>
                <w:tab w:val="decimal" w:pos="483"/>
              </w:tabs>
              <w:jc w:val="left"/>
              <w:rPr>
                <w:sz w:val="18"/>
                <w:szCs w:val="18"/>
              </w:rPr>
            </w:pPr>
            <w:r>
              <w:rPr>
                <w:color w:val="000000"/>
                <w:sz w:val="18"/>
                <w:szCs w:val="18"/>
              </w:rPr>
              <w:t>-0.8</w:t>
            </w:r>
          </w:p>
        </w:tc>
      </w:tr>
      <w:tr w:rsidR="003434B2" w:rsidRPr="005B0949" w14:paraId="53A0326D" w14:textId="77777777" w:rsidTr="00452604">
        <w:trPr>
          <w:cantSplit/>
          <w:trHeight w:val="20"/>
          <w:jc w:val="center"/>
        </w:trPr>
        <w:tc>
          <w:tcPr>
            <w:tcW w:w="3364" w:type="pct"/>
            <w:tcBorders>
              <w:left w:val="single" w:sz="6" w:space="0" w:color="404040"/>
              <w:right w:val="single" w:sz="6" w:space="0" w:color="404040"/>
            </w:tcBorders>
            <w:vAlign w:val="bottom"/>
          </w:tcPr>
          <w:p w14:paraId="64B25F25" w14:textId="77777777" w:rsidR="003434B2" w:rsidRPr="005B0949" w:rsidRDefault="003434B2" w:rsidP="00452604">
            <w:pPr>
              <w:widowControl w:val="0"/>
              <w:spacing w:before="20" w:after="20"/>
              <w:ind w:left="133" w:right="-87"/>
              <w:rPr>
                <w:sz w:val="18"/>
                <w:szCs w:val="18"/>
              </w:rPr>
            </w:pPr>
            <w:r w:rsidRPr="005B0949">
              <w:rPr>
                <w:sz w:val="18"/>
                <w:szCs w:val="18"/>
              </w:rPr>
              <w:t>Derivados del petróleo y del carbón, industria química, del plástico y del hule</w:t>
            </w:r>
          </w:p>
        </w:tc>
        <w:tc>
          <w:tcPr>
            <w:tcW w:w="505" w:type="pct"/>
            <w:vAlign w:val="center"/>
          </w:tcPr>
          <w:p w14:paraId="29F8F911" w14:textId="77777777" w:rsidR="003434B2" w:rsidRPr="00A17322" w:rsidRDefault="003434B2" w:rsidP="00452604">
            <w:pPr>
              <w:tabs>
                <w:tab w:val="decimal" w:pos="414"/>
              </w:tabs>
              <w:jc w:val="left"/>
              <w:rPr>
                <w:sz w:val="18"/>
                <w:szCs w:val="18"/>
              </w:rPr>
            </w:pPr>
            <w:r>
              <w:rPr>
                <w:sz w:val="18"/>
                <w:szCs w:val="18"/>
              </w:rPr>
              <w:t>51.5</w:t>
            </w:r>
          </w:p>
        </w:tc>
        <w:tc>
          <w:tcPr>
            <w:tcW w:w="505" w:type="pct"/>
            <w:tcBorders>
              <w:right w:val="single" w:sz="6" w:space="0" w:color="404040"/>
            </w:tcBorders>
            <w:vAlign w:val="center"/>
          </w:tcPr>
          <w:p w14:paraId="4F77C6DC" w14:textId="77777777" w:rsidR="003434B2" w:rsidRPr="00A17322" w:rsidRDefault="003434B2" w:rsidP="00452604">
            <w:pPr>
              <w:tabs>
                <w:tab w:val="decimal" w:pos="370"/>
              </w:tabs>
              <w:jc w:val="left"/>
              <w:rPr>
                <w:sz w:val="18"/>
                <w:szCs w:val="18"/>
              </w:rPr>
            </w:pPr>
            <w:r>
              <w:rPr>
                <w:sz w:val="18"/>
                <w:szCs w:val="18"/>
              </w:rPr>
              <w:t>51.5</w:t>
            </w:r>
          </w:p>
        </w:tc>
        <w:tc>
          <w:tcPr>
            <w:tcW w:w="625" w:type="pct"/>
            <w:tcBorders>
              <w:right w:val="single" w:sz="6" w:space="0" w:color="404040"/>
            </w:tcBorders>
            <w:vAlign w:val="center"/>
          </w:tcPr>
          <w:p w14:paraId="4114BCEA" w14:textId="77777777" w:rsidR="003434B2" w:rsidRPr="00A17322" w:rsidRDefault="003434B2" w:rsidP="00452604">
            <w:pPr>
              <w:tabs>
                <w:tab w:val="decimal" w:pos="483"/>
              </w:tabs>
              <w:jc w:val="left"/>
              <w:rPr>
                <w:sz w:val="18"/>
                <w:szCs w:val="18"/>
              </w:rPr>
            </w:pPr>
            <w:r>
              <w:rPr>
                <w:color w:val="000000"/>
                <w:sz w:val="18"/>
                <w:szCs w:val="18"/>
              </w:rPr>
              <w:t>0.0</w:t>
            </w:r>
          </w:p>
        </w:tc>
      </w:tr>
      <w:tr w:rsidR="003434B2" w:rsidRPr="005B0949" w14:paraId="21E2AC6C" w14:textId="77777777" w:rsidTr="00452604">
        <w:trPr>
          <w:cantSplit/>
          <w:trHeight w:val="20"/>
          <w:jc w:val="center"/>
        </w:trPr>
        <w:tc>
          <w:tcPr>
            <w:tcW w:w="3364" w:type="pct"/>
            <w:tcBorders>
              <w:left w:val="single" w:sz="6" w:space="0" w:color="404040"/>
              <w:right w:val="single" w:sz="6" w:space="0" w:color="404040"/>
            </w:tcBorders>
            <w:vAlign w:val="bottom"/>
          </w:tcPr>
          <w:p w14:paraId="43BB5C22" w14:textId="77777777" w:rsidR="003434B2" w:rsidRPr="005B0949" w:rsidRDefault="003434B2" w:rsidP="00452604">
            <w:pPr>
              <w:widowControl w:val="0"/>
              <w:spacing w:before="20" w:after="20"/>
              <w:ind w:left="133"/>
              <w:rPr>
                <w:sz w:val="18"/>
                <w:szCs w:val="18"/>
              </w:rPr>
            </w:pPr>
            <w:r w:rsidRPr="005B0949">
              <w:rPr>
                <w:sz w:val="18"/>
                <w:szCs w:val="18"/>
              </w:rPr>
              <w:t>Minerales no metálicos y metálicas básicas</w:t>
            </w:r>
          </w:p>
        </w:tc>
        <w:tc>
          <w:tcPr>
            <w:tcW w:w="505" w:type="pct"/>
            <w:vAlign w:val="center"/>
          </w:tcPr>
          <w:p w14:paraId="05CA6AB5" w14:textId="77777777" w:rsidR="003434B2" w:rsidRPr="00A17322" w:rsidRDefault="003434B2" w:rsidP="00452604">
            <w:pPr>
              <w:tabs>
                <w:tab w:val="decimal" w:pos="414"/>
              </w:tabs>
              <w:jc w:val="left"/>
              <w:rPr>
                <w:sz w:val="18"/>
                <w:szCs w:val="18"/>
              </w:rPr>
            </w:pPr>
            <w:r>
              <w:rPr>
                <w:sz w:val="18"/>
                <w:szCs w:val="18"/>
              </w:rPr>
              <w:t>53.0</w:t>
            </w:r>
          </w:p>
        </w:tc>
        <w:tc>
          <w:tcPr>
            <w:tcW w:w="505" w:type="pct"/>
            <w:tcBorders>
              <w:right w:val="single" w:sz="6" w:space="0" w:color="404040"/>
            </w:tcBorders>
            <w:vAlign w:val="center"/>
          </w:tcPr>
          <w:p w14:paraId="416C59E0" w14:textId="77777777" w:rsidR="003434B2" w:rsidRPr="00A17322" w:rsidRDefault="003434B2" w:rsidP="00452604">
            <w:pPr>
              <w:tabs>
                <w:tab w:val="decimal" w:pos="370"/>
              </w:tabs>
              <w:jc w:val="left"/>
              <w:rPr>
                <w:sz w:val="18"/>
                <w:szCs w:val="18"/>
              </w:rPr>
            </w:pPr>
            <w:r>
              <w:rPr>
                <w:sz w:val="18"/>
                <w:szCs w:val="18"/>
              </w:rPr>
              <w:t>51.3</w:t>
            </w:r>
          </w:p>
        </w:tc>
        <w:tc>
          <w:tcPr>
            <w:tcW w:w="625" w:type="pct"/>
            <w:tcBorders>
              <w:right w:val="single" w:sz="6" w:space="0" w:color="404040"/>
            </w:tcBorders>
            <w:vAlign w:val="center"/>
          </w:tcPr>
          <w:p w14:paraId="74C0C216" w14:textId="77777777" w:rsidR="003434B2" w:rsidRPr="00A17322" w:rsidRDefault="003434B2" w:rsidP="00452604">
            <w:pPr>
              <w:tabs>
                <w:tab w:val="decimal" w:pos="483"/>
              </w:tabs>
              <w:jc w:val="left"/>
              <w:rPr>
                <w:sz w:val="18"/>
                <w:szCs w:val="18"/>
              </w:rPr>
            </w:pPr>
            <w:r>
              <w:rPr>
                <w:color w:val="000000"/>
                <w:sz w:val="18"/>
                <w:szCs w:val="18"/>
              </w:rPr>
              <w:t>-1.7</w:t>
            </w:r>
          </w:p>
        </w:tc>
      </w:tr>
      <w:tr w:rsidR="003434B2" w:rsidRPr="005B0949" w14:paraId="6B0D18D8" w14:textId="77777777" w:rsidTr="00452604">
        <w:trPr>
          <w:cantSplit/>
          <w:trHeight w:val="20"/>
          <w:jc w:val="center"/>
        </w:trPr>
        <w:tc>
          <w:tcPr>
            <w:tcW w:w="3364" w:type="pct"/>
            <w:tcBorders>
              <w:left w:val="single" w:sz="6" w:space="0" w:color="404040"/>
              <w:right w:val="single" w:sz="6" w:space="0" w:color="404040"/>
            </w:tcBorders>
            <w:vAlign w:val="bottom"/>
          </w:tcPr>
          <w:p w14:paraId="0FFD6A67" w14:textId="77777777" w:rsidR="003434B2" w:rsidRPr="005B0949" w:rsidRDefault="003434B2" w:rsidP="00452604">
            <w:pPr>
              <w:widowControl w:val="0"/>
              <w:spacing w:before="20" w:after="20"/>
              <w:ind w:left="133"/>
              <w:rPr>
                <w:sz w:val="18"/>
                <w:szCs w:val="18"/>
              </w:rPr>
            </w:pPr>
            <w:r w:rsidRPr="005B0949">
              <w:rPr>
                <w:sz w:val="18"/>
                <w:szCs w:val="18"/>
              </w:rPr>
              <w:t>Equipo de computación, accesorios electrónicos y aparatos eléctricos</w:t>
            </w:r>
          </w:p>
        </w:tc>
        <w:tc>
          <w:tcPr>
            <w:tcW w:w="505" w:type="pct"/>
            <w:vAlign w:val="center"/>
          </w:tcPr>
          <w:p w14:paraId="07E7A99E" w14:textId="77777777" w:rsidR="003434B2" w:rsidRPr="00A17322" w:rsidRDefault="003434B2" w:rsidP="00452604">
            <w:pPr>
              <w:tabs>
                <w:tab w:val="decimal" w:pos="414"/>
              </w:tabs>
              <w:jc w:val="left"/>
              <w:rPr>
                <w:sz w:val="18"/>
                <w:szCs w:val="18"/>
              </w:rPr>
            </w:pPr>
            <w:r>
              <w:rPr>
                <w:sz w:val="18"/>
                <w:szCs w:val="18"/>
              </w:rPr>
              <w:t>47.2</w:t>
            </w:r>
          </w:p>
        </w:tc>
        <w:tc>
          <w:tcPr>
            <w:tcW w:w="505" w:type="pct"/>
            <w:tcBorders>
              <w:right w:val="single" w:sz="6" w:space="0" w:color="404040"/>
            </w:tcBorders>
            <w:vAlign w:val="center"/>
          </w:tcPr>
          <w:p w14:paraId="5D62CEB7" w14:textId="77777777" w:rsidR="003434B2" w:rsidRPr="00A17322" w:rsidRDefault="003434B2" w:rsidP="00452604">
            <w:pPr>
              <w:tabs>
                <w:tab w:val="decimal" w:pos="370"/>
              </w:tabs>
              <w:jc w:val="left"/>
              <w:rPr>
                <w:sz w:val="18"/>
                <w:szCs w:val="18"/>
              </w:rPr>
            </w:pPr>
            <w:r>
              <w:rPr>
                <w:sz w:val="18"/>
                <w:szCs w:val="18"/>
              </w:rPr>
              <w:t>47.6</w:t>
            </w:r>
          </w:p>
        </w:tc>
        <w:tc>
          <w:tcPr>
            <w:tcW w:w="625" w:type="pct"/>
            <w:tcBorders>
              <w:right w:val="single" w:sz="6" w:space="0" w:color="404040"/>
            </w:tcBorders>
            <w:vAlign w:val="center"/>
          </w:tcPr>
          <w:p w14:paraId="32A124CA" w14:textId="77777777" w:rsidR="003434B2" w:rsidRPr="00A17322" w:rsidRDefault="003434B2" w:rsidP="00452604">
            <w:pPr>
              <w:tabs>
                <w:tab w:val="decimal" w:pos="483"/>
              </w:tabs>
              <w:jc w:val="left"/>
              <w:rPr>
                <w:sz w:val="18"/>
                <w:szCs w:val="18"/>
              </w:rPr>
            </w:pPr>
            <w:r>
              <w:rPr>
                <w:color w:val="000000"/>
                <w:sz w:val="18"/>
                <w:szCs w:val="18"/>
              </w:rPr>
              <w:t>0.4</w:t>
            </w:r>
          </w:p>
        </w:tc>
      </w:tr>
      <w:tr w:rsidR="003434B2" w:rsidRPr="005B0949" w14:paraId="5C334800" w14:textId="77777777" w:rsidTr="00452604">
        <w:trPr>
          <w:cantSplit/>
          <w:trHeight w:val="20"/>
          <w:jc w:val="center"/>
        </w:trPr>
        <w:tc>
          <w:tcPr>
            <w:tcW w:w="3364" w:type="pct"/>
            <w:tcBorders>
              <w:left w:val="single" w:sz="6" w:space="0" w:color="404040"/>
              <w:right w:val="single" w:sz="6" w:space="0" w:color="404040"/>
            </w:tcBorders>
            <w:vAlign w:val="bottom"/>
          </w:tcPr>
          <w:p w14:paraId="707F10E6" w14:textId="77777777" w:rsidR="003434B2" w:rsidRPr="005B0949" w:rsidRDefault="003434B2" w:rsidP="00452604">
            <w:pPr>
              <w:widowControl w:val="0"/>
              <w:spacing w:before="20" w:after="20"/>
              <w:ind w:left="133"/>
              <w:rPr>
                <w:sz w:val="18"/>
                <w:szCs w:val="18"/>
              </w:rPr>
            </w:pPr>
            <w:r w:rsidRPr="005B0949">
              <w:rPr>
                <w:sz w:val="18"/>
                <w:szCs w:val="18"/>
              </w:rPr>
              <w:t>Equipo de transporte</w:t>
            </w:r>
          </w:p>
        </w:tc>
        <w:tc>
          <w:tcPr>
            <w:tcW w:w="505" w:type="pct"/>
            <w:vAlign w:val="center"/>
          </w:tcPr>
          <w:p w14:paraId="55B84043" w14:textId="77777777" w:rsidR="003434B2" w:rsidRPr="00A17322" w:rsidRDefault="003434B2" w:rsidP="00452604">
            <w:pPr>
              <w:tabs>
                <w:tab w:val="decimal" w:pos="414"/>
              </w:tabs>
              <w:jc w:val="left"/>
              <w:rPr>
                <w:sz w:val="18"/>
                <w:szCs w:val="18"/>
              </w:rPr>
            </w:pPr>
            <w:r>
              <w:rPr>
                <w:sz w:val="18"/>
                <w:szCs w:val="18"/>
              </w:rPr>
              <w:t>49.0</w:t>
            </w:r>
          </w:p>
        </w:tc>
        <w:tc>
          <w:tcPr>
            <w:tcW w:w="505" w:type="pct"/>
            <w:tcBorders>
              <w:right w:val="single" w:sz="6" w:space="0" w:color="404040"/>
            </w:tcBorders>
            <w:vAlign w:val="center"/>
          </w:tcPr>
          <w:p w14:paraId="18863C29" w14:textId="77777777" w:rsidR="003434B2" w:rsidRPr="00A17322" w:rsidRDefault="003434B2" w:rsidP="00452604">
            <w:pPr>
              <w:tabs>
                <w:tab w:val="decimal" w:pos="370"/>
              </w:tabs>
              <w:jc w:val="left"/>
              <w:rPr>
                <w:sz w:val="18"/>
                <w:szCs w:val="18"/>
              </w:rPr>
            </w:pPr>
            <w:r>
              <w:rPr>
                <w:sz w:val="18"/>
                <w:szCs w:val="18"/>
              </w:rPr>
              <w:t>48.3</w:t>
            </w:r>
          </w:p>
        </w:tc>
        <w:tc>
          <w:tcPr>
            <w:tcW w:w="625" w:type="pct"/>
            <w:tcBorders>
              <w:right w:val="single" w:sz="6" w:space="0" w:color="404040"/>
            </w:tcBorders>
            <w:vAlign w:val="center"/>
          </w:tcPr>
          <w:p w14:paraId="70BEA0FF" w14:textId="77777777" w:rsidR="003434B2" w:rsidRPr="00A17322" w:rsidRDefault="003434B2" w:rsidP="00452604">
            <w:pPr>
              <w:tabs>
                <w:tab w:val="decimal" w:pos="483"/>
              </w:tabs>
              <w:jc w:val="left"/>
              <w:rPr>
                <w:sz w:val="18"/>
                <w:szCs w:val="18"/>
              </w:rPr>
            </w:pPr>
            <w:r>
              <w:rPr>
                <w:color w:val="000000"/>
                <w:sz w:val="18"/>
                <w:szCs w:val="18"/>
              </w:rPr>
              <w:t>-0.8</w:t>
            </w:r>
          </w:p>
        </w:tc>
      </w:tr>
      <w:tr w:rsidR="003434B2" w:rsidRPr="005B0949" w14:paraId="115455F2" w14:textId="77777777" w:rsidTr="00452604">
        <w:trPr>
          <w:cantSplit/>
          <w:trHeight w:val="20"/>
          <w:jc w:val="center"/>
        </w:trPr>
        <w:tc>
          <w:tcPr>
            <w:tcW w:w="3364" w:type="pct"/>
            <w:tcBorders>
              <w:left w:val="single" w:sz="6" w:space="0" w:color="404040"/>
              <w:right w:val="single" w:sz="6" w:space="0" w:color="404040"/>
            </w:tcBorders>
            <w:vAlign w:val="bottom"/>
          </w:tcPr>
          <w:p w14:paraId="365E2176" w14:textId="77777777" w:rsidR="003434B2" w:rsidRPr="005B0949" w:rsidRDefault="003434B2" w:rsidP="00452604">
            <w:pPr>
              <w:widowControl w:val="0"/>
              <w:spacing w:before="20" w:after="20"/>
              <w:ind w:left="133"/>
              <w:rPr>
                <w:sz w:val="18"/>
                <w:szCs w:val="18"/>
              </w:rPr>
            </w:pPr>
            <w:r w:rsidRPr="005B0949">
              <w:rPr>
                <w:sz w:val="18"/>
                <w:szCs w:val="18"/>
              </w:rPr>
              <w:t>Productos metálicos, maquinaria, equipo y muebles</w:t>
            </w:r>
          </w:p>
        </w:tc>
        <w:tc>
          <w:tcPr>
            <w:tcW w:w="505" w:type="pct"/>
            <w:vAlign w:val="center"/>
          </w:tcPr>
          <w:p w14:paraId="54367033" w14:textId="77777777" w:rsidR="003434B2" w:rsidRPr="00A17322" w:rsidRDefault="003434B2" w:rsidP="00452604">
            <w:pPr>
              <w:tabs>
                <w:tab w:val="decimal" w:pos="414"/>
              </w:tabs>
              <w:jc w:val="left"/>
              <w:rPr>
                <w:sz w:val="18"/>
                <w:szCs w:val="18"/>
              </w:rPr>
            </w:pPr>
            <w:r>
              <w:rPr>
                <w:sz w:val="18"/>
                <w:szCs w:val="18"/>
              </w:rPr>
              <w:t>49.5</w:t>
            </w:r>
          </w:p>
        </w:tc>
        <w:tc>
          <w:tcPr>
            <w:tcW w:w="505" w:type="pct"/>
            <w:tcBorders>
              <w:right w:val="single" w:sz="6" w:space="0" w:color="404040"/>
            </w:tcBorders>
            <w:vAlign w:val="center"/>
          </w:tcPr>
          <w:p w14:paraId="477B478B" w14:textId="77777777" w:rsidR="003434B2" w:rsidRPr="00A17322" w:rsidRDefault="003434B2" w:rsidP="00452604">
            <w:pPr>
              <w:tabs>
                <w:tab w:val="decimal" w:pos="370"/>
              </w:tabs>
              <w:jc w:val="left"/>
              <w:rPr>
                <w:sz w:val="18"/>
                <w:szCs w:val="18"/>
              </w:rPr>
            </w:pPr>
            <w:r>
              <w:rPr>
                <w:sz w:val="18"/>
                <w:szCs w:val="18"/>
              </w:rPr>
              <w:t>51.1</w:t>
            </w:r>
          </w:p>
        </w:tc>
        <w:tc>
          <w:tcPr>
            <w:tcW w:w="625" w:type="pct"/>
            <w:tcBorders>
              <w:right w:val="single" w:sz="6" w:space="0" w:color="404040"/>
            </w:tcBorders>
            <w:vAlign w:val="center"/>
          </w:tcPr>
          <w:p w14:paraId="5F74725D" w14:textId="77777777" w:rsidR="003434B2" w:rsidRPr="00A17322" w:rsidRDefault="003434B2" w:rsidP="00452604">
            <w:pPr>
              <w:tabs>
                <w:tab w:val="decimal" w:pos="483"/>
              </w:tabs>
              <w:jc w:val="left"/>
              <w:rPr>
                <w:sz w:val="18"/>
                <w:szCs w:val="18"/>
              </w:rPr>
            </w:pPr>
            <w:r>
              <w:rPr>
                <w:color w:val="000000"/>
                <w:sz w:val="18"/>
                <w:szCs w:val="18"/>
              </w:rPr>
              <w:t>1.6</w:t>
            </w:r>
          </w:p>
        </w:tc>
      </w:tr>
      <w:tr w:rsidR="003434B2" w:rsidRPr="005B0949" w14:paraId="6A335D2B" w14:textId="77777777" w:rsidTr="00452604">
        <w:trPr>
          <w:cantSplit/>
          <w:trHeight w:val="20"/>
          <w:jc w:val="center"/>
        </w:trPr>
        <w:tc>
          <w:tcPr>
            <w:tcW w:w="3364" w:type="pct"/>
            <w:tcBorders>
              <w:left w:val="single" w:sz="6" w:space="0" w:color="404040"/>
              <w:bottom w:val="single" w:sz="6" w:space="0" w:color="404040"/>
              <w:right w:val="single" w:sz="6" w:space="0" w:color="404040"/>
            </w:tcBorders>
            <w:vAlign w:val="bottom"/>
          </w:tcPr>
          <w:p w14:paraId="6B71D790" w14:textId="77777777" w:rsidR="003434B2" w:rsidRPr="005B0949" w:rsidRDefault="003434B2" w:rsidP="00452604">
            <w:pPr>
              <w:widowControl w:val="0"/>
              <w:spacing w:before="20" w:after="20"/>
              <w:ind w:left="133"/>
              <w:rPr>
                <w:sz w:val="18"/>
                <w:szCs w:val="18"/>
              </w:rPr>
            </w:pPr>
            <w:r w:rsidRPr="005B0949">
              <w:rPr>
                <w:sz w:val="18"/>
                <w:szCs w:val="18"/>
              </w:rPr>
              <w:t>Textiles, prendas de vestir, cuero y piel, madera, papel y otras</w:t>
            </w:r>
          </w:p>
        </w:tc>
        <w:tc>
          <w:tcPr>
            <w:tcW w:w="505" w:type="pct"/>
            <w:tcBorders>
              <w:bottom w:val="single" w:sz="6" w:space="0" w:color="404040"/>
            </w:tcBorders>
            <w:vAlign w:val="center"/>
          </w:tcPr>
          <w:p w14:paraId="0967A76D" w14:textId="77777777" w:rsidR="003434B2" w:rsidRPr="00A17322" w:rsidRDefault="003434B2" w:rsidP="00452604">
            <w:pPr>
              <w:tabs>
                <w:tab w:val="decimal" w:pos="414"/>
              </w:tabs>
              <w:jc w:val="left"/>
              <w:rPr>
                <w:sz w:val="18"/>
                <w:szCs w:val="18"/>
              </w:rPr>
            </w:pPr>
            <w:r>
              <w:rPr>
                <w:sz w:val="18"/>
                <w:szCs w:val="18"/>
              </w:rPr>
              <w:t>50.7</w:t>
            </w:r>
          </w:p>
        </w:tc>
        <w:tc>
          <w:tcPr>
            <w:tcW w:w="505" w:type="pct"/>
            <w:tcBorders>
              <w:bottom w:val="single" w:sz="6" w:space="0" w:color="404040"/>
              <w:right w:val="single" w:sz="6" w:space="0" w:color="404040"/>
            </w:tcBorders>
            <w:vAlign w:val="center"/>
          </w:tcPr>
          <w:p w14:paraId="688EBAAA" w14:textId="77777777" w:rsidR="003434B2" w:rsidRPr="00A17322" w:rsidRDefault="003434B2" w:rsidP="00452604">
            <w:pPr>
              <w:tabs>
                <w:tab w:val="decimal" w:pos="370"/>
              </w:tabs>
              <w:jc w:val="left"/>
              <w:rPr>
                <w:sz w:val="18"/>
                <w:szCs w:val="18"/>
              </w:rPr>
            </w:pPr>
            <w:r>
              <w:rPr>
                <w:sz w:val="18"/>
                <w:szCs w:val="18"/>
              </w:rPr>
              <w:t>45.0</w:t>
            </w:r>
          </w:p>
        </w:tc>
        <w:tc>
          <w:tcPr>
            <w:tcW w:w="625" w:type="pct"/>
            <w:tcBorders>
              <w:bottom w:val="single" w:sz="6" w:space="0" w:color="404040"/>
              <w:right w:val="single" w:sz="6" w:space="0" w:color="404040"/>
            </w:tcBorders>
            <w:vAlign w:val="center"/>
          </w:tcPr>
          <w:p w14:paraId="469C0332" w14:textId="77777777" w:rsidR="003434B2" w:rsidRPr="00A17322" w:rsidRDefault="003434B2" w:rsidP="00452604">
            <w:pPr>
              <w:tabs>
                <w:tab w:val="decimal" w:pos="483"/>
              </w:tabs>
              <w:jc w:val="left"/>
              <w:rPr>
                <w:sz w:val="18"/>
                <w:szCs w:val="18"/>
              </w:rPr>
            </w:pPr>
            <w:r>
              <w:rPr>
                <w:color w:val="000000"/>
                <w:sz w:val="18"/>
                <w:szCs w:val="18"/>
              </w:rPr>
              <w:t>-5.8</w:t>
            </w:r>
          </w:p>
        </w:tc>
      </w:tr>
    </w:tbl>
    <w:p w14:paraId="4F8A29D0" w14:textId="77777777" w:rsidR="003434B2" w:rsidRPr="005B0949" w:rsidRDefault="003434B2" w:rsidP="003434B2">
      <w:pPr>
        <w:widowControl w:val="0"/>
        <w:tabs>
          <w:tab w:val="left" w:pos="686"/>
        </w:tabs>
        <w:spacing w:before="20"/>
        <w:ind w:left="168" w:right="713"/>
        <w:outlineLvl w:val="0"/>
        <w:rPr>
          <w:sz w:val="14"/>
          <w:szCs w:val="14"/>
        </w:rPr>
      </w:pPr>
      <w:r w:rsidRPr="005B0949">
        <w:rPr>
          <w:sz w:val="14"/>
          <w:szCs w:val="14"/>
        </w:rPr>
        <w:t>Nota:</w:t>
      </w:r>
      <w:r w:rsidRPr="005B0949">
        <w:rPr>
          <w:sz w:val="14"/>
          <w:szCs w:val="14"/>
        </w:rPr>
        <w:tab/>
        <w:t xml:space="preserve">Los indicadores se generan con los datos referentes al mes de la entrevista. </w:t>
      </w:r>
    </w:p>
    <w:p w14:paraId="0272FFAF" w14:textId="77777777" w:rsidR="003434B2" w:rsidRPr="005B0949" w:rsidRDefault="003434B2" w:rsidP="003434B2">
      <w:pPr>
        <w:widowControl w:val="0"/>
        <w:tabs>
          <w:tab w:val="left" w:pos="686"/>
        </w:tabs>
        <w:ind w:left="168"/>
        <w:rPr>
          <w:sz w:val="14"/>
          <w:szCs w:val="14"/>
        </w:rPr>
      </w:pPr>
      <w:r w:rsidRPr="005B0949">
        <w:rPr>
          <w:sz w:val="14"/>
          <w:szCs w:val="14"/>
        </w:rPr>
        <w:t>1/</w:t>
      </w:r>
      <w:r w:rsidRPr="005B0949">
        <w:rPr>
          <w:sz w:val="14"/>
          <w:szCs w:val="14"/>
        </w:rPr>
        <w:tab/>
        <w:t>Las diferencias en puntos se obtienen de los respectivos indicadores considerando todos sus decimales.</w:t>
      </w:r>
    </w:p>
    <w:p w14:paraId="10C79E5D" w14:textId="77777777" w:rsidR="003434B2" w:rsidRPr="005B0949" w:rsidRDefault="003434B2" w:rsidP="003434B2">
      <w:pPr>
        <w:widowControl w:val="0"/>
        <w:tabs>
          <w:tab w:val="left" w:pos="686"/>
        </w:tabs>
        <w:ind w:left="168"/>
        <w:outlineLvl w:val="0"/>
        <w:rPr>
          <w:sz w:val="14"/>
          <w:szCs w:val="14"/>
        </w:rPr>
      </w:pPr>
      <w:r w:rsidRPr="005B0949">
        <w:rPr>
          <w:sz w:val="14"/>
          <w:szCs w:val="14"/>
        </w:rPr>
        <w:t>p/</w:t>
      </w:r>
      <w:r w:rsidRPr="005B0949">
        <w:rPr>
          <w:sz w:val="14"/>
          <w:szCs w:val="14"/>
        </w:rPr>
        <w:tab/>
        <w:t>Dato preliminar</w:t>
      </w:r>
    </w:p>
    <w:p w14:paraId="55131BB2" w14:textId="77777777" w:rsidR="003434B2" w:rsidRPr="005B0949" w:rsidRDefault="003434B2" w:rsidP="003434B2">
      <w:pPr>
        <w:widowControl w:val="0"/>
        <w:tabs>
          <w:tab w:val="left" w:pos="686"/>
        </w:tabs>
        <w:ind w:left="168"/>
        <w:outlineLvl w:val="0"/>
        <w:rPr>
          <w:b/>
          <w:bCs/>
          <w:smallCaps/>
          <w:kern w:val="32"/>
          <w:sz w:val="14"/>
          <w:szCs w:val="16"/>
        </w:rPr>
      </w:pPr>
      <w:r w:rsidRPr="005B0949">
        <w:rPr>
          <w:sz w:val="14"/>
          <w:szCs w:val="16"/>
        </w:rPr>
        <w:t>Fuente:</w:t>
      </w:r>
      <w:r w:rsidRPr="005B0949">
        <w:rPr>
          <w:sz w:val="14"/>
          <w:szCs w:val="16"/>
        </w:rPr>
        <w:tab/>
        <w:t>INEGI y Banco de México</w:t>
      </w:r>
    </w:p>
    <w:p w14:paraId="591A5833" w14:textId="77777777" w:rsidR="003434B2" w:rsidRDefault="003434B2" w:rsidP="003434B2">
      <w:pPr>
        <w:ind w:left="-284" w:right="-547"/>
        <w:jc w:val="center"/>
        <w:rPr>
          <w:b/>
          <w:color w:val="000000"/>
        </w:rPr>
      </w:pPr>
    </w:p>
    <w:p w14:paraId="62B682E1" w14:textId="77777777" w:rsidR="003434B2" w:rsidRPr="009F0422" w:rsidRDefault="003434B2" w:rsidP="000A0938">
      <w:pPr>
        <w:spacing w:before="240"/>
        <w:ind w:right="49"/>
        <w:rPr>
          <w:snapToGrid w:val="0"/>
          <w:color w:val="000000" w:themeColor="text1"/>
          <w:spacing w:val="4"/>
          <w:bdr w:val="none" w:sz="0" w:space="0" w:color="auto" w:frame="1"/>
        </w:rPr>
      </w:pPr>
      <w:r w:rsidRPr="009F0422">
        <w:rPr>
          <w:snapToGrid w:val="0"/>
          <w:color w:val="000000" w:themeColor="text1"/>
          <w:spacing w:val="4"/>
          <w:bdr w:val="none" w:sz="0" w:space="0" w:color="auto" w:frame="1"/>
          <w:lang w:val="es-MX"/>
        </w:rPr>
        <w:t>Por grupos de subsectores de actividad económica, en el mes que se reporta y con datos sin desestacionalizar, cuatro de los siete rubros que integran el IPM presentaron retrocesos anuales, dos crecieron y el restante se mantuvo sin cambio.</w:t>
      </w:r>
    </w:p>
    <w:p w14:paraId="0EC7D03A" w14:textId="77777777" w:rsidR="003434B2" w:rsidRPr="009F0422" w:rsidRDefault="003434B2" w:rsidP="000A0938">
      <w:pPr>
        <w:widowControl w:val="0"/>
        <w:tabs>
          <w:tab w:val="left" w:pos="9432"/>
        </w:tabs>
        <w:spacing w:before="720"/>
        <w:ind w:right="49"/>
        <w:rPr>
          <w:rFonts w:ascii="Arial Negrita" w:hAnsi="Arial Negrita"/>
          <w:b/>
          <w:i/>
          <w:smallCaps/>
        </w:rPr>
      </w:pPr>
      <w:r w:rsidRPr="009F0422">
        <w:rPr>
          <w:rFonts w:ascii="Arial Negrita" w:hAnsi="Arial Negrita"/>
          <w:b/>
          <w:i/>
          <w:smallCaps/>
        </w:rPr>
        <w:t>Nota al usuario</w:t>
      </w:r>
    </w:p>
    <w:p w14:paraId="228BF66C" w14:textId="77777777" w:rsidR="003434B2" w:rsidRPr="00B5651D" w:rsidRDefault="003434B2" w:rsidP="000A0938">
      <w:pPr>
        <w:spacing w:before="240"/>
        <w:ind w:right="49"/>
      </w:pPr>
      <w:r w:rsidRPr="00304F2D">
        <w:rPr>
          <w:spacing w:val="-2"/>
        </w:rPr>
        <w:t xml:space="preserve">La tasa de no respuesta de la EMOE, correspondiente a </w:t>
      </w:r>
      <w:r>
        <w:rPr>
          <w:spacing w:val="-2"/>
        </w:rPr>
        <w:t>diciembre</w:t>
      </w:r>
      <w:r w:rsidRPr="00304F2D">
        <w:rPr>
          <w:spacing w:val="-2"/>
        </w:rPr>
        <w:t xml:space="preserve"> de 2022, registró porcentajes apropiados conforme al diseño estadístico de la encuesta. Esto permitió generar estadísticas con niveles altos de precisión en todos los grupos de subsectores de actividad de la industria manufacturera.</w:t>
      </w:r>
    </w:p>
    <w:p w14:paraId="6E794D4C" w14:textId="77777777" w:rsidR="003434B2" w:rsidRPr="007C62E9" w:rsidRDefault="003434B2" w:rsidP="003434B2">
      <w:pPr>
        <w:widowControl w:val="0"/>
        <w:tabs>
          <w:tab w:val="left" w:pos="9432"/>
        </w:tabs>
        <w:spacing w:before="120"/>
        <w:ind w:right="49"/>
        <w:rPr>
          <w:b/>
          <w:i/>
          <w:smallCaps/>
        </w:rPr>
      </w:pPr>
    </w:p>
    <w:p w14:paraId="3E974210" w14:textId="77777777" w:rsidR="003434B2" w:rsidRPr="00D41077" w:rsidRDefault="003434B2" w:rsidP="003434B2">
      <w:pPr>
        <w:pStyle w:val="NormalWeb"/>
        <w:spacing w:before="360" w:beforeAutospacing="0" w:after="0" w:afterAutospacing="0"/>
        <w:ind w:left="-426" w:right="-518"/>
        <w:contextualSpacing/>
        <w:jc w:val="center"/>
        <w:rPr>
          <w:rFonts w:ascii="Arial" w:hAnsi="Arial" w:cs="Arial"/>
          <w:sz w:val="22"/>
          <w:szCs w:val="22"/>
        </w:rPr>
      </w:pPr>
      <w:r w:rsidRPr="00D41077">
        <w:rPr>
          <w:rFonts w:ascii="Arial" w:hAnsi="Arial" w:cs="Arial"/>
          <w:sz w:val="22"/>
          <w:szCs w:val="22"/>
        </w:rPr>
        <w:t xml:space="preserve">Para consultas de medios y periodistas, escribir a: </w:t>
      </w:r>
      <w:hyperlink r:id="rId9" w:history="1">
        <w:r w:rsidRPr="00D41077">
          <w:rPr>
            <w:rStyle w:val="Hipervnculo"/>
            <w:rFonts w:ascii="Arial" w:hAnsi="Arial" w:cs="Arial"/>
            <w:sz w:val="22"/>
            <w:szCs w:val="22"/>
          </w:rPr>
          <w:t>comunicacionsocial@inegi.org.mx</w:t>
        </w:r>
      </w:hyperlink>
      <w:r w:rsidRPr="00D41077">
        <w:rPr>
          <w:rFonts w:ascii="Arial" w:hAnsi="Arial" w:cs="Arial"/>
          <w:sz w:val="22"/>
          <w:szCs w:val="22"/>
        </w:rPr>
        <w:t xml:space="preserve"> </w:t>
      </w:r>
    </w:p>
    <w:p w14:paraId="4BCE378E" w14:textId="77777777" w:rsidR="003434B2" w:rsidRPr="00D41077" w:rsidRDefault="003434B2" w:rsidP="003434B2">
      <w:pPr>
        <w:pStyle w:val="NormalWeb"/>
        <w:spacing w:before="0" w:beforeAutospacing="0" w:after="0" w:afterAutospacing="0"/>
        <w:ind w:left="-426" w:right="-518"/>
        <w:contextualSpacing/>
        <w:jc w:val="center"/>
        <w:rPr>
          <w:rFonts w:ascii="Arial" w:hAnsi="Arial" w:cs="Arial"/>
          <w:sz w:val="22"/>
          <w:szCs w:val="22"/>
        </w:rPr>
      </w:pPr>
      <w:r w:rsidRPr="00D41077">
        <w:rPr>
          <w:rFonts w:ascii="Arial" w:hAnsi="Arial" w:cs="Arial"/>
          <w:sz w:val="22"/>
          <w:szCs w:val="22"/>
        </w:rPr>
        <w:t xml:space="preserve">o llamar al teléfono (55) 52-78-10-00, </w:t>
      </w:r>
      <w:proofErr w:type="spellStart"/>
      <w:r w:rsidRPr="00D41077">
        <w:rPr>
          <w:rFonts w:ascii="Arial" w:hAnsi="Arial" w:cs="Arial"/>
          <w:sz w:val="22"/>
          <w:szCs w:val="22"/>
        </w:rPr>
        <w:t>exts</w:t>
      </w:r>
      <w:proofErr w:type="spellEnd"/>
      <w:r w:rsidRPr="00D41077">
        <w:rPr>
          <w:rFonts w:ascii="Arial" w:hAnsi="Arial" w:cs="Arial"/>
          <w:sz w:val="22"/>
          <w:szCs w:val="22"/>
        </w:rPr>
        <w:t>. 1134, 1260 y 1241.</w:t>
      </w:r>
    </w:p>
    <w:p w14:paraId="413610F6" w14:textId="77777777" w:rsidR="003434B2" w:rsidRPr="00D41077" w:rsidRDefault="003434B2" w:rsidP="003434B2">
      <w:pPr>
        <w:ind w:left="-426" w:right="-518"/>
        <w:contextualSpacing/>
        <w:jc w:val="center"/>
        <w:rPr>
          <w:sz w:val="22"/>
          <w:szCs w:val="22"/>
        </w:rPr>
      </w:pPr>
    </w:p>
    <w:p w14:paraId="5235870E" w14:textId="77777777" w:rsidR="003434B2" w:rsidRPr="00D41077" w:rsidRDefault="003434B2" w:rsidP="003434B2">
      <w:pPr>
        <w:ind w:left="-426" w:right="-518"/>
        <w:contextualSpacing/>
        <w:jc w:val="center"/>
        <w:rPr>
          <w:sz w:val="22"/>
          <w:szCs w:val="22"/>
        </w:rPr>
      </w:pPr>
      <w:r w:rsidRPr="00D41077">
        <w:rPr>
          <w:sz w:val="22"/>
          <w:szCs w:val="22"/>
        </w:rPr>
        <w:t xml:space="preserve">Dirección de Atención a Medios / Dirección General Adjunta de Comunicación </w:t>
      </w:r>
    </w:p>
    <w:p w14:paraId="6A8B0E2F" w14:textId="77777777" w:rsidR="003434B2" w:rsidRPr="00372EAE" w:rsidRDefault="003434B2" w:rsidP="003434B2">
      <w:pPr>
        <w:ind w:left="-426" w:right="-518"/>
        <w:contextualSpacing/>
        <w:jc w:val="center"/>
      </w:pPr>
    </w:p>
    <w:p w14:paraId="73AC02B4" w14:textId="77777777" w:rsidR="003434B2" w:rsidRDefault="003434B2" w:rsidP="003434B2">
      <w:pPr>
        <w:ind w:left="-425" w:right="-516"/>
        <w:contextualSpacing/>
        <w:jc w:val="center"/>
      </w:pPr>
      <w:r w:rsidRPr="00FF1218">
        <w:rPr>
          <w:noProof/>
          <w:lang w:val="es-MX" w:eastAsia="es-MX"/>
        </w:rPr>
        <w:drawing>
          <wp:inline distT="0" distB="0" distL="0" distR="0" wp14:anchorId="3629DCDF" wp14:editId="7F0B3438">
            <wp:extent cx="274320" cy="365760"/>
            <wp:effectExtent l="0" t="0" r="0" b="0"/>
            <wp:docPr id="4" name="Imagen 4"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BDF470C" wp14:editId="6FB57731">
            <wp:extent cx="365760" cy="365760"/>
            <wp:effectExtent l="0" t="0" r="0" b="0"/>
            <wp:docPr id="31" name="Imagen 31"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FAA78EE" wp14:editId="69EE0C1D">
            <wp:extent cx="365760" cy="365760"/>
            <wp:effectExtent l="0" t="0" r="0" b="0"/>
            <wp:docPr id="16" name="Imagen 16"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C53A394" wp14:editId="5FB745F2">
            <wp:extent cx="365760" cy="365760"/>
            <wp:effectExtent l="0" t="0" r="0" b="0"/>
            <wp:docPr id="192" name="Imagen 192"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15034562" wp14:editId="39898CBB">
            <wp:extent cx="2286000" cy="274320"/>
            <wp:effectExtent l="0" t="0" r="0" b="0"/>
            <wp:docPr id="193" name="Imagen 193">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28F0A73B" w14:textId="77777777" w:rsidR="003434B2" w:rsidRDefault="003434B2" w:rsidP="003434B2">
      <w:pPr>
        <w:ind w:left="-567"/>
        <w:jc w:val="center"/>
        <w:rPr>
          <w:noProof/>
          <w:lang w:eastAsia="es-MX"/>
        </w:rPr>
        <w:sectPr w:rsidR="003434B2" w:rsidSect="00754472">
          <w:headerReference w:type="default" r:id="rId20"/>
          <w:footerReference w:type="default" r:id="rId21"/>
          <w:pgSz w:w="12240" w:h="15840"/>
          <w:pgMar w:top="1418" w:right="1134" w:bottom="1276" w:left="1134" w:header="709" w:footer="709" w:gutter="0"/>
          <w:cols w:space="708"/>
          <w:docGrid w:linePitch="360"/>
        </w:sectPr>
      </w:pPr>
    </w:p>
    <w:p w14:paraId="334C5561" w14:textId="77777777" w:rsidR="003434B2" w:rsidRPr="002A470D" w:rsidRDefault="003434B2" w:rsidP="006F2003">
      <w:pPr>
        <w:pStyle w:val="Profesin"/>
        <w:spacing w:before="100" w:beforeAutospacing="1"/>
        <w:outlineLvl w:val="0"/>
        <w:rPr>
          <w:sz w:val="24"/>
          <w:szCs w:val="24"/>
          <w:lang w:val="es-MX"/>
        </w:rPr>
      </w:pPr>
      <w:r w:rsidRPr="002A470D">
        <w:rPr>
          <w:sz w:val="24"/>
          <w:szCs w:val="24"/>
          <w:lang w:val="es-MX"/>
        </w:rPr>
        <w:lastRenderedPageBreak/>
        <w:t>ANEXO</w:t>
      </w:r>
    </w:p>
    <w:p w14:paraId="12744701" w14:textId="77777777" w:rsidR="003434B2" w:rsidRPr="002A470D" w:rsidRDefault="003434B2" w:rsidP="003434B2">
      <w:pPr>
        <w:pStyle w:val="Profesin"/>
        <w:spacing w:before="240"/>
        <w:outlineLvl w:val="0"/>
        <w:rPr>
          <w:sz w:val="24"/>
          <w:szCs w:val="24"/>
          <w:lang w:val="es-MX"/>
        </w:rPr>
      </w:pPr>
      <w:r w:rsidRPr="002A470D">
        <w:rPr>
          <w:sz w:val="24"/>
          <w:szCs w:val="24"/>
          <w:lang w:val="es-MX"/>
        </w:rPr>
        <w:t>Nota técnica</w:t>
      </w:r>
    </w:p>
    <w:p w14:paraId="5D5D0D96" w14:textId="742A2A78" w:rsidR="000A7D02" w:rsidRPr="00E8398E" w:rsidRDefault="00751877" w:rsidP="006F2003">
      <w:pPr>
        <w:pStyle w:val="p0"/>
        <w:keepNext/>
        <w:spacing w:before="360"/>
        <w:rPr>
          <w:rFonts w:ascii="Arial" w:hAnsi="Arial"/>
          <w:snapToGrid/>
          <w:color w:val="auto"/>
          <w:lang w:val="es-MX"/>
        </w:rPr>
      </w:pPr>
      <w:r w:rsidRPr="00751877">
        <w:rPr>
          <w:rFonts w:ascii="Arial" w:hAnsi="Arial"/>
          <w:snapToGrid/>
          <w:color w:val="auto"/>
          <w:lang w:val="es-MX"/>
        </w:rPr>
        <w:t xml:space="preserve">El Instituto Nacional de Estadística y Geografía (INEGI) y el Banco de México informan los resultados del Indicador de Pedidos Manufactureros (IPM) del décimo segundo mes de 2022. El IPM se elabora considerando las expectativas de los directivos empresariales de dicho sector que capta la Encuesta Mensual de Opinión Empresarial (EMOE) para las siguientes variables: </w:t>
      </w:r>
      <w:r w:rsidR="00357387" w:rsidRPr="00751877">
        <w:rPr>
          <w:rFonts w:ascii="Arial" w:hAnsi="Arial"/>
          <w:snapToGrid/>
          <w:color w:val="auto"/>
          <w:lang w:val="es-MX"/>
        </w:rPr>
        <w:t>pedidos, producción, personal ocupado, oportunidad en la entrega de insumos por parte de</w:t>
      </w:r>
      <w:r w:rsidR="00357387">
        <w:rPr>
          <w:rFonts w:ascii="Arial" w:hAnsi="Arial"/>
          <w:snapToGrid/>
          <w:color w:val="auto"/>
          <w:lang w:val="es-MX"/>
        </w:rPr>
        <w:t xml:space="preserve"> </w:t>
      </w:r>
      <w:r w:rsidR="00357387" w:rsidRPr="00751877">
        <w:rPr>
          <w:rFonts w:ascii="Arial" w:hAnsi="Arial"/>
          <w:snapToGrid/>
          <w:color w:val="auto"/>
          <w:lang w:val="es-MX"/>
        </w:rPr>
        <w:t>proveedores e inventarios de insumos.</w:t>
      </w:r>
    </w:p>
    <w:p w14:paraId="655860B4" w14:textId="7A57FDF6" w:rsidR="00E379BD" w:rsidRPr="00C719E2" w:rsidRDefault="00E379BD" w:rsidP="00ED5D88">
      <w:pPr>
        <w:pStyle w:val="Textoindependiente"/>
        <w:keepNext/>
        <w:keepLines/>
        <w:widowControl w:val="0"/>
        <w:spacing w:before="360"/>
        <w:rPr>
          <w:b/>
          <w:smallCaps/>
          <w:color w:val="auto"/>
          <w:szCs w:val="22"/>
        </w:rPr>
      </w:pPr>
      <w:r w:rsidRPr="00C719E2">
        <w:rPr>
          <w:b/>
          <w:smallCaps/>
          <w:color w:val="auto"/>
          <w:szCs w:val="22"/>
        </w:rPr>
        <w:t>Cifras desestacionalizadas</w:t>
      </w:r>
    </w:p>
    <w:p w14:paraId="55DF2C0D" w14:textId="6FAF4784" w:rsidR="0007670F" w:rsidRPr="001D5D5D" w:rsidRDefault="0007670F" w:rsidP="00ED5D88">
      <w:pPr>
        <w:keepNext/>
        <w:keepLines/>
        <w:widowControl w:val="0"/>
        <w:spacing w:before="480"/>
        <w:ind w:left="284"/>
        <w:rPr>
          <w:b/>
        </w:rPr>
      </w:pPr>
      <w:r w:rsidRPr="001D5D5D">
        <w:rPr>
          <w:b/>
        </w:rPr>
        <w:t>Indicador de Pedidos Manufactureros por componentes</w:t>
      </w:r>
    </w:p>
    <w:p w14:paraId="6DA9D286" w14:textId="71429533" w:rsidR="001C61B8" w:rsidRPr="00E8398E" w:rsidRDefault="00751877" w:rsidP="00E01C56">
      <w:pPr>
        <w:spacing w:before="480"/>
        <w:rPr>
          <w:lang w:val="es-MX"/>
        </w:rPr>
      </w:pPr>
      <w:r w:rsidRPr="00751877">
        <w:rPr>
          <w:lang w:val="es-MX"/>
        </w:rPr>
        <w:t>En diciembre de 2022, el IPM presentó una caída mensual de 0.56 puntos</w:t>
      </w:r>
      <w:r w:rsidR="00357387">
        <w:rPr>
          <w:lang w:val="es-MX"/>
        </w:rPr>
        <w:t xml:space="preserve"> y se</w:t>
      </w:r>
      <w:r w:rsidRPr="00751877">
        <w:rPr>
          <w:lang w:val="es-MX"/>
        </w:rPr>
        <w:t xml:space="preserve"> ubic</w:t>
      </w:r>
      <w:r w:rsidR="00357387">
        <w:rPr>
          <w:lang w:val="es-MX"/>
        </w:rPr>
        <w:t>ó</w:t>
      </w:r>
      <w:r w:rsidRPr="00751877">
        <w:rPr>
          <w:lang w:val="es-MX"/>
        </w:rPr>
        <w:t xml:space="preserve"> en 51.9 puntos. De este modo, hiló </w:t>
      </w:r>
      <w:r w:rsidR="00AA53CA">
        <w:rPr>
          <w:lang w:val="es-MX"/>
        </w:rPr>
        <w:t>29</w:t>
      </w:r>
      <w:r w:rsidRPr="00751877">
        <w:rPr>
          <w:lang w:val="es-MX"/>
        </w:rPr>
        <w:t xml:space="preserve"> meses consecutivos sobre el umbral de 50 puntos.</w:t>
      </w:r>
    </w:p>
    <w:p w14:paraId="464F5240" w14:textId="36536F9C" w:rsidR="007F632F" w:rsidRPr="007F632F" w:rsidRDefault="007F632F" w:rsidP="007F632F">
      <w:pPr>
        <w:widowControl w:val="0"/>
        <w:spacing w:before="360"/>
        <w:jc w:val="center"/>
        <w:outlineLvl w:val="0"/>
        <w:rPr>
          <w:bCs/>
          <w:kern w:val="32"/>
          <w:sz w:val="20"/>
        </w:rPr>
      </w:pPr>
      <w:r w:rsidRPr="007F632F">
        <w:rPr>
          <w:bCs/>
          <w:kern w:val="32"/>
          <w:sz w:val="20"/>
        </w:rPr>
        <w:t>Gráfica 1</w:t>
      </w:r>
    </w:p>
    <w:p w14:paraId="073A5979" w14:textId="457F78EF" w:rsidR="0007670F" w:rsidRPr="00C46F19" w:rsidRDefault="0007670F" w:rsidP="007F632F">
      <w:pPr>
        <w:widowControl w:val="0"/>
        <w:jc w:val="center"/>
        <w:outlineLvl w:val="0"/>
        <w:rPr>
          <w:b/>
          <w:bCs/>
          <w:smallCaps/>
          <w:kern w:val="32"/>
          <w:sz w:val="22"/>
        </w:rPr>
      </w:pPr>
      <w:r w:rsidRPr="00C46F19">
        <w:rPr>
          <w:b/>
          <w:bCs/>
          <w:smallCaps/>
          <w:kern w:val="32"/>
          <w:sz w:val="22"/>
        </w:rPr>
        <w:t xml:space="preserve">Indicador de Pedidos Manufactureros </w:t>
      </w:r>
    </w:p>
    <w:p w14:paraId="0372A59D" w14:textId="67ABB40D" w:rsidR="00537DFB" w:rsidRPr="005B0949" w:rsidRDefault="004E3D98" w:rsidP="0019515D">
      <w:pPr>
        <w:widowControl w:val="0"/>
        <w:spacing w:after="10"/>
        <w:jc w:val="center"/>
        <w:outlineLvl w:val="0"/>
        <w:rPr>
          <w:b/>
          <w:bCs/>
          <w:smallCaps/>
          <w:kern w:val="32"/>
        </w:rPr>
      </w:pPr>
      <w:r>
        <w:rPr>
          <w:noProof/>
        </w:rPr>
        <w:drawing>
          <wp:inline distT="0" distB="0" distL="0" distR="0" wp14:anchorId="41275161" wp14:editId="79AAFA95">
            <wp:extent cx="4320000" cy="2520000"/>
            <wp:effectExtent l="0" t="0" r="4445" b="13970"/>
            <wp:docPr id="3" name="Gráfico 3">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31794A3B" w14:textId="2096A97A" w:rsidR="00AB6F59" w:rsidRPr="005B0949" w:rsidRDefault="00AB6F59" w:rsidP="0019515D">
      <w:pPr>
        <w:widowControl w:val="0"/>
        <w:spacing w:before="20"/>
        <w:ind w:left="1418"/>
        <w:jc w:val="left"/>
        <w:outlineLvl w:val="0"/>
        <w:rPr>
          <w:b/>
          <w:bCs/>
          <w:smallCaps/>
          <w:kern w:val="32"/>
          <w:sz w:val="14"/>
          <w:szCs w:val="16"/>
        </w:rPr>
      </w:pPr>
      <w:r w:rsidRPr="005B0949">
        <w:rPr>
          <w:sz w:val="14"/>
          <w:szCs w:val="16"/>
        </w:rPr>
        <w:t>Fuente: INEGI y Banco de México</w:t>
      </w:r>
    </w:p>
    <w:p w14:paraId="7FA834D8" w14:textId="77777777" w:rsidR="00AF3DBB" w:rsidRDefault="00AF3DBB">
      <w:pPr>
        <w:jc w:val="left"/>
        <w:rPr>
          <w:spacing w:val="4"/>
          <w:lang w:val="es-ES"/>
        </w:rPr>
      </w:pPr>
      <w:r>
        <w:rPr>
          <w:spacing w:val="4"/>
          <w:lang w:val="es-ES"/>
        </w:rPr>
        <w:br w:type="page"/>
      </w:r>
    </w:p>
    <w:p w14:paraId="2D8519F1" w14:textId="2262ADAE" w:rsidR="00CF4BCC" w:rsidRPr="00CA5647" w:rsidRDefault="00751877" w:rsidP="00AF3DBB">
      <w:pPr>
        <w:widowControl w:val="0"/>
        <w:tabs>
          <w:tab w:val="left" w:pos="708"/>
          <w:tab w:val="center" w:pos="3348"/>
        </w:tabs>
        <w:spacing w:before="240"/>
      </w:pPr>
      <w:r w:rsidRPr="00751877">
        <w:rPr>
          <w:spacing w:val="4"/>
        </w:rPr>
        <w:lastRenderedPageBreak/>
        <w:t xml:space="preserve">En términos desestacionalizados, en diciembre de 2022 el componente del IPM correspondiente al volumen esperado de pedidos </w:t>
      </w:r>
      <w:r w:rsidR="00AA53CA">
        <w:rPr>
          <w:spacing w:val="4"/>
        </w:rPr>
        <w:t>registró</w:t>
      </w:r>
      <w:r w:rsidRPr="00751877">
        <w:rPr>
          <w:spacing w:val="4"/>
        </w:rPr>
        <w:t xml:space="preserve"> un</w:t>
      </w:r>
      <w:r w:rsidR="00AA53CA">
        <w:rPr>
          <w:spacing w:val="4"/>
        </w:rPr>
        <w:t xml:space="preserve">a disminución </w:t>
      </w:r>
      <w:r w:rsidRPr="00751877">
        <w:rPr>
          <w:spacing w:val="4"/>
        </w:rPr>
        <w:t>mensual de 3.89 puntos</w:t>
      </w:r>
      <w:r w:rsidR="00AA53CA">
        <w:rPr>
          <w:spacing w:val="4"/>
        </w:rPr>
        <w:t>;</w:t>
      </w:r>
      <w:r w:rsidRPr="00751877">
        <w:rPr>
          <w:spacing w:val="4"/>
        </w:rPr>
        <w:t xml:space="preserve"> el del volumen esperado de la producción incrementó 0.09 puntos</w:t>
      </w:r>
      <w:r w:rsidR="00AA53CA">
        <w:rPr>
          <w:spacing w:val="4"/>
        </w:rPr>
        <w:t xml:space="preserve">; </w:t>
      </w:r>
      <w:r w:rsidRPr="00751877">
        <w:rPr>
          <w:spacing w:val="4"/>
        </w:rPr>
        <w:t>el del nivel esperado del personal ocupado descendió 0.24 puntos</w:t>
      </w:r>
      <w:r w:rsidR="00AA53CA">
        <w:rPr>
          <w:spacing w:val="4"/>
        </w:rPr>
        <w:t>;</w:t>
      </w:r>
      <w:r w:rsidRPr="00751877">
        <w:rPr>
          <w:spacing w:val="4"/>
        </w:rPr>
        <w:t xml:space="preserve"> el de la oportunidad en la entrega de insumos por parte de proveedores aumentó 0.24 puntos y el de inventarios de insumos</w:t>
      </w:r>
      <w:r w:rsidR="00AA53CA">
        <w:rPr>
          <w:spacing w:val="4"/>
        </w:rPr>
        <w:t>,</w:t>
      </w:r>
      <w:r w:rsidRPr="00751877">
        <w:rPr>
          <w:spacing w:val="4"/>
        </w:rPr>
        <w:t xml:space="preserve"> 1.24 puntos.</w:t>
      </w:r>
    </w:p>
    <w:p w14:paraId="2F1E7A81" w14:textId="6948B825" w:rsidR="007F632F" w:rsidRPr="007F632F" w:rsidRDefault="007F632F" w:rsidP="00AF3DBB">
      <w:pPr>
        <w:spacing w:before="360"/>
        <w:jc w:val="center"/>
        <w:outlineLvl w:val="0"/>
        <w:rPr>
          <w:sz w:val="20"/>
        </w:rPr>
      </w:pPr>
      <w:r w:rsidRPr="00D25DCD">
        <w:rPr>
          <w:sz w:val="20"/>
        </w:rPr>
        <w:t>Cuadro 1</w:t>
      </w:r>
    </w:p>
    <w:p w14:paraId="3F954A38" w14:textId="257FB3B9" w:rsidR="0007670F" w:rsidRPr="00C46F19" w:rsidRDefault="0007670F" w:rsidP="00AF3DBB">
      <w:pPr>
        <w:jc w:val="center"/>
        <w:outlineLvl w:val="0"/>
        <w:rPr>
          <w:b/>
          <w:smallCaps/>
          <w:sz w:val="22"/>
        </w:rPr>
      </w:pPr>
      <w:r w:rsidRPr="00C46F19">
        <w:rPr>
          <w:b/>
          <w:smallCaps/>
          <w:sz w:val="22"/>
        </w:rPr>
        <w:t>Indicador de Pedidos Manufactureros y sus componentes</w:t>
      </w:r>
    </w:p>
    <w:p w14:paraId="5D4D2AE5" w14:textId="67CDFE1B" w:rsidR="0007670F" w:rsidRPr="00C46F19" w:rsidRDefault="007F632F" w:rsidP="00AF3DBB">
      <w:pPr>
        <w:jc w:val="center"/>
        <w:outlineLvl w:val="0"/>
        <w:rPr>
          <w:sz w:val="22"/>
        </w:rPr>
      </w:pPr>
      <w:r>
        <w:rPr>
          <w:b/>
          <w:smallCaps/>
          <w:sz w:val="22"/>
        </w:rPr>
        <w:t>c</w:t>
      </w:r>
      <w:r w:rsidR="0007670F" w:rsidRPr="00C46F19">
        <w:rPr>
          <w:b/>
          <w:smallCaps/>
          <w:sz w:val="22"/>
        </w:rPr>
        <w:t>ifras desestacionalizadas</w:t>
      </w:r>
    </w:p>
    <w:tbl>
      <w:tblPr>
        <w:tblW w:w="9711" w:type="dxa"/>
        <w:jc w:val="center"/>
        <w:tblLayout w:type="fixed"/>
        <w:tblCellMar>
          <w:left w:w="70" w:type="dxa"/>
          <w:right w:w="70" w:type="dxa"/>
        </w:tblCellMar>
        <w:tblLook w:val="0000" w:firstRow="0" w:lastRow="0" w:firstColumn="0" w:lastColumn="0" w:noHBand="0" w:noVBand="0"/>
      </w:tblPr>
      <w:tblGrid>
        <w:gridCol w:w="5129"/>
        <w:gridCol w:w="972"/>
        <w:gridCol w:w="972"/>
        <w:gridCol w:w="972"/>
        <w:gridCol w:w="458"/>
        <w:gridCol w:w="1208"/>
      </w:tblGrid>
      <w:tr w:rsidR="005B0949" w:rsidRPr="005B0949" w14:paraId="5F8972AA" w14:textId="77777777" w:rsidTr="00EA3893">
        <w:trPr>
          <w:cantSplit/>
          <w:trHeight w:val="635"/>
          <w:jc w:val="center"/>
        </w:trPr>
        <w:tc>
          <w:tcPr>
            <w:tcW w:w="5129" w:type="dxa"/>
            <w:tcBorders>
              <w:top w:val="single" w:sz="6" w:space="0" w:color="404040"/>
              <w:left w:val="single" w:sz="6" w:space="0" w:color="404040"/>
              <w:right w:val="single" w:sz="6" w:space="0" w:color="404040"/>
            </w:tcBorders>
            <w:shd w:val="clear" w:color="auto" w:fill="CCCCFF"/>
            <w:vAlign w:val="center"/>
          </w:tcPr>
          <w:p w14:paraId="74738A40" w14:textId="77777777" w:rsidR="00FB2B2D" w:rsidRPr="005B0949" w:rsidRDefault="00FB2B2D" w:rsidP="00AF3DBB">
            <w:pPr>
              <w:spacing w:before="60" w:after="60" w:line="240" w:lineRule="atLeast"/>
              <w:jc w:val="center"/>
              <w:rPr>
                <w:sz w:val="18"/>
                <w:szCs w:val="18"/>
              </w:rPr>
            </w:pPr>
            <w:r w:rsidRPr="005B0949">
              <w:rPr>
                <w:sz w:val="18"/>
                <w:szCs w:val="18"/>
              </w:rPr>
              <w:t>Indicadores</w:t>
            </w:r>
          </w:p>
        </w:tc>
        <w:tc>
          <w:tcPr>
            <w:tcW w:w="972"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F8BAB25" w14:textId="520813C2" w:rsidR="00FB2B2D" w:rsidRPr="005B0949" w:rsidRDefault="004E3D98" w:rsidP="00AF3DBB">
            <w:pPr>
              <w:spacing w:line="240" w:lineRule="atLeast"/>
              <w:ind w:left="-55" w:right="-54"/>
              <w:jc w:val="center"/>
              <w:rPr>
                <w:sz w:val="18"/>
                <w:szCs w:val="18"/>
              </w:rPr>
            </w:pPr>
            <w:r>
              <w:rPr>
                <w:sz w:val="18"/>
                <w:szCs w:val="18"/>
              </w:rPr>
              <w:t>Noviem</w:t>
            </w:r>
            <w:r w:rsidR="00F65C5A">
              <w:rPr>
                <w:sz w:val="18"/>
                <w:szCs w:val="18"/>
              </w:rPr>
              <w:t>bre</w:t>
            </w:r>
            <w:r w:rsidR="00FB2B2D" w:rsidRPr="005B0949">
              <w:rPr>
                <w:sz w:val="18"/>
                <w:szCs w:val="18"/>
              </w:rPr>
              <w:br/>
              <w:t xml:space="preserve">de </w:t>
            </w:r>
            <w:r w:rsidR="0086235D">
              <w:rPr>
                <w:sz w:val="18"/>
                <w:szCs w:val="18"/>
              </w:rPr>
              <w:t>20</w:t>
            </w:r>
            <w:r w:rsidR="00C074F1">
              <w:rPr>
                <w:sz w:val="18"/>
                <w:szCs w:val="18"/>
              </w:rPr>
              <w:t>2</w:t>
            </w:r>
            <w:r w:rsidR="00CF100F">
              <w:rPr>
                <w:sz w:val="18"/>
                <w:szCs w:val="18"/>
              </w:rPr>
              <w:t>2</w:t>
            </w:r>
          </w:p>
        </w:tc>
        <w:tc>
          <w:tcPr>
            <w:tcW w:w="972" w:type="dxa"/>
            <w:tcBorders>
              <w:top w:val="single" w:sz="6" w:space="0" w:color="404040"/>
              <w:left w:val="single" w:sz="6" w:space="0" w:color="404040"/>
              <w:right w:val="single" w:sz="6" w:space="0" w:color="404040"/>
            </w:tcBorders>
            <w:shd w:val="clear" w:color="auto" w:fill="CCCCFF"/>
            <w:vAlign w:val="center"/>
          </w:tcPr>
          <w:p w14:paraId="7C316183" w14:textId="45B11C12" w:rsidR="00FB2B2D" w:rsidRPr="005B0949" w:rsidRDefault="004E3D98" w:rsidP="00AF3DBB">
            <w:pPr>
              <w:spacing w:line="240" w:lineRule="atLeast"/>
              <w:ind w:left="-70" w:right="-57"/>
              <w:jc w:val="center"/>
              <w:rPr>
                <w:sz w:val="18"/>
                <w:szCs w:val="18"/>
              </w:rPr>
            </w:pPr>
            <w:r>
              <w:rPr>
                <w:sz w:val="18"/>
                <w:szCs w:val="18"/>
              </w:rPr>
              <w:t>Dic</w:t>
            </w:r>
            <w:r w:rsidR="00362A98">
              <w:rPr>
                <w:sz w:val="18"/>
                <w:szCs w:val="18"/>
              </w:rPr>
              <w:t>iem</w:t>
            </w:r>
            <w:r w:rsidR="00CF6562">
              <w:rPr>
                <w:sz w:val="18"/>
                <w:szCs w:val="18"/>
              </w:rPr>
              <w:t>bre</w:t>
            </w:r>
            <w:r w:rsidR="00A90459">
              <w:rPr>
                <w:sz w:val="18"/>
                <w:szCs w:val="18"/>
              </w:rPr>
              <w:t xml:space="preserve"> </w:t>
            </w:r>
            <w:r w:rsidR="00C643D2">
              <w:rPr>
                <w:sz w:val="18"/>
                <w:szCs w:val="18"/>
              </w:rPr>
              <w:br/>
            </w:r>
            <w:r w:rsidR="00FB2B2D" w:rsidRPr="005B0949">
              <w:rPr>
                <w:sz w:val="18"/>
                <w:szCs w:val="18"/>
              </w:rPr>
              <w:t xml:space="preserve">de </w:t>
            </w:r>
            <w:r w:rsidR="007F632F">
              <w:rPr>
                <w:sz w:val="18"/>
                <w:szCs w:val="18"/>
              </w:rPr>
              <w:t>2022</w:t>
            </w:r>
          </w:p>
        </w:tc>
        <w:tc>
          <w:tcPr>
            <w:tcW w:w="972" w:type="dxa"/>
            <w:tcBorders>
              <w:top w:val="single" w:sz="6" w:space="0" w:color="404040"/>
              <w:left w:val="single" w:sz="6" w:space="0" w:color="404040"/>
              <w:right w:val="single" w:sz="6" w:space="0" w:color="404040"/>
            </w:tcBorders>
            <w:shd w:val="clear" w:color="auto" w:fill="CCCCFF"/>
            <w:vAlign w:val="center"/>
          </w:tcPr>
          <w:p w14:paraId="0D76CBD7" w14:textId="77777777" w:rsidR="00FB2B2D" w:rsidRPr="005B0949" w:rsidRDefault="00FB2B2D" w:rsidP="00AF3DBB">
            <w:pPr>
              <w:spacing w:before="60" w:after="60" w:line="240" w:lineRule="atLeast"/>
              <w:ind w:left="-56" w:right="-28"/>
              <w:jc w:val="center"/>
              <w:rPr>
                <w:sz w:val="18"/>
                <w:szCs w:val="18"/>
              </w:rPr>
            </w:pPr>
            <w:r w:rsidRPr="005B0949">
              <w:rPr>
                <w:sz w:val="18"/>
                <w:szCs w:val="18"/>
              </w:rPr>
              <w:t>Diferencia en puntos</w:t>
            </w:r>
            <w:r w:rsidRPr="005B0949">
              <w:rPr>
                <w:sz w:val="18"/>
                <w:szCs w:val="18"/>
                <w:vertAlign w:val="superscript"/>
              </w:rPr>
              <w:t>1/</w:t>
            </w:r>
          </w:p>
        </w:tc>
        <w:tc>
          <w:tcPr>
            <w:tcW w:w="1666" w:type="dxa"/>
            <w:gridSpan w:val="2"/>
            <w:tcBorders>
              <w:top w:val="single" w:sz="6" w:space="0" w:color="404040"/>
              <w:left w:val="single" w:sz="6" w:space="0" w:color="404040"/>
              <w:bottom w:val="single" w:sz="6" w:space="0" w:color="404040"/>
              <w:right w:val="single" w:sz="6" w:space="0" w:color="404040"/>
            </w:tcBorders>
            <w:shd w:val="clear" w:color="auto" w:fill="CCCCFF"/>
          </w:tcPr>
          <w:p w14:paraId="2176A44A" w14:textId="056F4BF3" w:rsidR="00FB2B2D" w:rsidRPr="005B0949" w:rsidRDefault="00FB2B2D" w:rsidP="00AF3DBB">
            <w:pPr>
              <w:spacing w:before="60" w:after="60" w:line="240" w:lineRule="atLeast"/>
              <w:jc w:val="center"/>
              <w:rPr>
                <w:sz w:val="18"/>
                <w:szCs w:val="18"/>
              </w:rPr>
            </w:pPr>
            <w:r w:rsidRPr="005B0949">
              <w:rPr>
                <w:sz w:val="18"/>
                <w:szCs w:val="18"/>
              </w:rPr>
              <w:t>Número de meses consecutivos por arriba o por debajo del umbral de</w:t>
            </w:r>
            <w:r w:rsidRPr="005B0949">
              <w:rPr>
                <w:sz w:val="18"/>
                <w:szCs w:val="18"/>
              </w:rPr>
              <w:br/>
              <w:t xml:space="preserve">50 puntos </w:t>
            </w:r>
          </w:p>
        </w:tc>
      </w:tr>
      <w:tr w:rsidR="004E3D98" w:rsidRPr="005B0949" w14:paraId="73EB741D" w14:textId="77777777" w:rsidTr="004E3D98">
        <w:trPr>
          <w:cantSplit/>
          <w:trHeight w:val="20"/>
          <w:jc w:val="center"/>
        </w:trPr>
        <w:tc>
          <w:tcPr>
            <w:tcW w:w="5129" w:type="dxa"/>
            <w:tcBorders>
              <w:top w:val="single" w:sz="6" w:space="0" w:color="404040"/>
              <w:left w:val="single" w:sz="6" w:space="0" w:color="404040"/>
              <w:right w:val="single" w:sz="6" w:space="0" w:color="404040"/>
            </w:tcBorders>
            <w:vAlign w:val="center"/>
          </w:tcPr>
          <w:p w14:paraId="3700BE0C" w14:textId="77777777" w:rsidR="004E3D98" w:rsidRPr="005B0949" w:rsidRDefault="004E3D98" w:rsidP="004E3D98">
            <w:pPr>
              <w:tabs>
                <w:tab w:val="left" w:pos="339"/>
              </w:tabs>
              <w:spacing w:before="20" w:after="20"/>
              <w:ind w:left="323" w:hanging="306"/>
              <w:jc w:val="left"/>
              <w:rPr>
                <w:b/>
                <w:sz w:val="18"/>
                <w:szCs w:val="18"/>
              </w:rPr>
            </w:pPr>
            <w:r w:rsidRPr="005B0949">
              <w:rPr>
                <w:b/>
                <w:sz w:val="18"/>
                <w:szCs w:val="18"/>
              </w:rPr>
              <w:t>Indicador de Pedidos Manufactureros</w:t>
            </w:r>
          </w:p>
        </w:tc>
        <w:tc>
          <w:tcPr>
            <w:tcW w:w="972" w:type="dxa"/>
            <w:tcBorders>
              <w:top w:val="single" w:sz="6" w:space="0" w:color="404040"/>
              <w:right w:val="single" w:sz="6" w:space="0" w:color="404040"/>
            </w:tcBorders>
            <w:vAlign w:val="center"/>
          </w:tcPr>
          <w:p w14:paraId="3287A77B" w14:textId="5CE4564B" w:rsidR="004E3D98" w:rsidRPr="001D5E02" w:rsidRDefault="004E3D98" w:rsidP="004E3D98">
            <w:pPr>
              <w:tabs>
                <w:tab w:val="decimal" w:pos="435"/>
              </w:tabs>
              <w:jc w:val="left"/>
              <w:rPr>
                <w:b/>
                <w:bCs/>
                <w:sz w:val="18"/>
                <w:szCs w:val="18"/>
                <w:lang w:val="es-MX" w:eastAsia="es-MX"/>
              </w:rPr>
            </w:pPr>
            <w:r>
              <w:rPr>
                <w:b/>
                <w:bCs/>
                <w:color w:val="000000"/>
                <w:sz w:val="18"/>
                <w:szCs w:val="18"/>
              </w:rPr>
              <w:t>52.4</w:t>
            </w:r>
          </w:p>
        </w:tc>
        <w:tc>
          <w:tcPr>
            <w:tcW w:w="972" w:type="dxa"/>
            <w:tcBorders>
              <w:top w:val="single" w:sz="6" w:space="0" w:color="404040"/>
              <w:left w:val="single" w:sz="6" w:space="0" w:color="404040"/>
              <w:right w:val="single" w:sz="6" w:space="0" w:color="404040"/>
            </w:tcBorders>
            <w:vAlign w:val="center"/>
          </w:tcPr>
          <w:p w14:paraId="1930DA59" w14:textId="36C2F357" w:rsidR="004E3D98" w:rsidRPr="001D5E02" w:rsidRDefault="004E3D98" w:rsidP="004E3D98">
            <w:pPr>
              <w:tabs>
                <w:tab w:val="decimal" w:pos="435"/>
              </w:tabs>
              <w:jc w:val="left"/>
              <w:rPr>
                <w:b/>
                <w:bCs/>
                <w:sz w:val="18"/>
                <w:szCs w:val="18"/>
              </w:rPr>
            </w:pPr>
            <w:r>
              <w:rPr>
                <w:b/>
                <w:bCs/>
                <w:color w:val="000000"/>
                <w:sz w:val="18"/>
                <w:szCs w:val="18"/>
              </w:rPr>
              <w:t>51.9</w:t>
            </w:r>
          </w:p>
        </w:tc>
        <w:tc>
          <w:tcPr>
            <w:tcW w:w="972" w:type="dxa"/>
            <w:tcBorders>
              <w:top w:val="single" w:sz="6" w:space="0" w:color="404040"/>
              <w:right w:val="single" w:sz="6" w:space="0" w:color="404040"/>
            </w:tcBorders>
            <w:vAlign w:val="center"/>
          </w:tcPr>
          <w:p w14:paraId="023558CF" w14:textId="04B208F6" w:rsidR="004E3D98" w:rsidRPr="001D5E02" w:rsidRDefault="004E3D98" w:rsidP="004E3D98">
            <w:pPr>
              <w:tabs>
                <w:tab w:val="decimal" w:pos="330"/>
              </w:tabs>
              <w:jc w:val="left"/>
              <w:rPr>
                <w:b/>
                <w:bCs/>
                <w:sz w:val="18"/>
                <w:szCs w:val="18"/>
              </w:rPr>
            </w:pPr>
            <w:r>
              <w:rPr>
                <w:b/>
                <w:bCs/>
                <w:color w:val="000000"/>
                <w:sz w:val="18"/>
                <w:szCs w:val="18"/>
              </w:rPr>
              <w:t>-0.56</w:t>
            </w:r>
          </w:p>
        </w:tc>
        <w:tc>
          <w:tcPr>
            <w:tcW w:w="458" w:type="dxa"/>
            <w:tcBorders>
              <w:top w:val="single" w:sz="6" w:space="0" w:color="404040"/>
            </w:tcBorders>
            <w:vAlign w:val="center"/>
          </w:tcPr>
          <w:p w14:paraId="6EE0267E" w14:textId="6175F7BE" w:rsidR="004E3D98" w:rsidRPr="001D5E02" w:rsidRDefault="004E3D98" w:rsidP="004E3D98">
            <w:pPr>
              <w:ind w:right="57"/>
              <w:jc w:val="right"/>
              <w:rPr>
                <w:b/>
                <w:bCs/>
                <w:sz w:val="18"/>
                <w:szCs w:val="18"/>
              </w:rPr>
            </w:pPr>
            <w:r w:rsidRPr="001D5E02">
              <w:rPr>
                <w:b/>
                <w:bCs/>
                <w:sz w:val="18"/>
                <w:szCs w:val="18"/>
              </w:rPr>
              <w:t>2</w:t>
            </w:r>
            <w:r>
              <w:rPr>
                <w:b/>
                <w:bCs/>
                <w:sz w:val="18"/>
                <w:szCs w:val="18"/>
              </w:rPr>
              <w:t>9</w:t>
            </w:r>
          </w:p>
        </w:tc>
        <w:tc>
          <w:tcPr>
            <w:tcW w:w="1208" w:type="dxa"/>
            <w:tcBorders>
              <w:top w:val="single" w:sz="6" w:space="0" w:color="404040"/>
              <w:right w:val="single" w:sz="6" w:space="0" w:color="404040"/>
            </w:tcBorders>
            <w:vAlign w:val="center"/>
          </w:tcPr>
          <w:p w14:paraId="3DAB6917" w14:textId="5DDD3228" w:rsidR="004E3D98" w:rsidRPr="00C72B8E" w:rsidRDefault="004E3D98" w:rsidP="004E3D98">
            <w:pPr>
              <w:ind w:left="-29" w:right="-55"/>
              <w:jc w:val="left"/>
              <w:rPr>
                <w:b/>
                <w:bCs/>
                <w:sz w:val="18"/>
                <w:szCs w:val="18"/>
              </w:rPr>
            </w:pPr>
            <w:r>
              <w:rPr>
                <w:b/>
                <w:bCs/>
                <w:color w:val="000000"/>
                <w:sz w:val="18"/>
                <w:szCs w:val="18"/>
              </w:rPr>
              <w:t>Por arriba</w:t>
            </w:r>
          </w:p>
        </w:tc>
      </w:tr>
      <w:tr w:rsidR="004E3D98" w:rsidRPr="005B0949" w14:paraId="56F87F6A" w14:textId="77777777" w:rsidTr="004E3D98">
        <w:trPr>
          <w:cantSplit/>
          <w:trHeight w:val="20"/>
          <w:jc w:val="center"/>
        </w:trPr>
        <w:tc>
          <w:tcPr>
            <w:tcW w:w="5129" w:type="dxa"/>
            <w:tcBorders>
              <w:left w:val="single" w:sz="6" w:space="0" w:color="404040"/>
              <w:right w:val="single" w:sz="6" w:space="0" w:color="404040"/>
            </w:tcBorders>
            <w:vAlign w:val="center"/>
          </w:tcPr>
          <w:p w14:paraId="2AD277CB" w14:textId="77777777" w:rsidR="004E3D98" w:rsidRPr="005B0949" w:rsidRDefault="004E3D98" w:rsidP="004E3D98">
            <w:pPr>
              <w:numPr>
                <w:ilvl w:val="0"/>
                <w:numId w:val="29"/>
              </w:numPr>
              <w:spacing w:before="20" w:after="20"/>
              <w:ind w:left="325" w:hanging="309"/>
              <w:jc w:val="left"/>
              <w:rPr>
                <w:sz w:val="18"/>
                <w:szCs w:val="18"/>
              </w:rPr>
            </w:pPr>
            <w:r w:rsidRPr="005B0949">
              <w:rPr>
                <w:sz w:val="18"/>
                <w:szCs w:val="18"/>
              </w:rPr>
              <w:t>Pedidos</w:t>
            </w:r>
          </w:p>
        </w:tc>
        <w:tc>
          <w:tcPr>
            <w:tcW w:w="972" w:type="dxa"/>
            <w:tcBorders>
              <w:right w:val="single" w:sz="6" w:space="0" w:color="404040"/>
            </w:tcBorders>
            <w:vAlign w:val="center"/>
          </w:tcPr>
          <w:p w14:paraId="674A78F1" w14:textId="6E924FE6" w:rsidR="004E3D98" w:rsidRPr="001D5E02" w:rsidRDefault="004E3D98" w:rsidP="004E3D98">
            <w:pPr>
              <w:tabs>
                <w:tab w:val="decimal" w:pos="435"/>
              </w:tabs>
              <w:jc w:val="left"/>
              <w:rPr>
                <w:sz w:val="18"/>
                <w:szCs w:val="18"/>
              </w:rPr>
            </w:pPr>
            <w:r>
              <w:rPr>
                <w:color w:val="000000"/>
                <w:sz w:val="18"/>
                <w:szCs w:val="18"/>
              </w:rPr>
              <w:t>55.7</w:t>
            </w:r>
          </w:p>
        </w:tc>
        <w:tc>
          <w:tcPr>
            <w:tcW w:w="972" w:type="dxa"/>
            <w:tcBorders>
              <w:left w:val="single" w:sz="6" w:space="0" w:color="404040"/>
              <w:right w:val="single" w:sz="6" w:space="0" w:color="404040"/>
            </w:tcBorders>
            <w:vAlign w:val="center"/>
          </w:tcPr>
          <w:p w14:paraId="2F0E995B" w14:textId="4A038BBA" w:rsidR="004E3D98" w:rsidRPr="001D5E02" w:rsidRDefault="004E3D98" w:rsidP="004E3D98">
            <w:pPr>
              <w:tabs>
                <w:tab w:val="decimal" w:pos="435"/>
              </w:tabs>
              <w:jc w:val="left"/>
              <w:rPr>
                <w:bCs/>
                <w:sz w:val="18"/>
                <w:szCs w:val="18"/>
              </w:rPr>
            </w:pPr>
            <w:r>
              <w:rPr>
                <w:color w:val="000000"/>
                <w:sz w:val="18"/>
                <w:szCs w:val="18"/>
              </w:rPr>
              <w:t>51.8</w:t>
            </w:r>
          </w:p>
        </w:tc>
        <w:tc>
          <w:tcPr>
            <w:tcW w:w="972" w:type="dxa"/>
            <w:tcBorders>
              <w:right w:val="single" w:sz="6" w:space="0" w:color="404040"/>
            </w:tcBorders>
            <w:vAlign w:val="center"/>
          </w:tcPr>
          <w:p w14:paraId="5E1E0FCC" w14:textId="75A21058" w:rsidR="004E3D98" w:rsidRPr="001D5E02" w:rsidRDefault="004E3D98" w:rsidP="004E3D98">
            <w:pPr>
              <w:tabs>
                <w:tab w:val="decimal" w:pos="330"/>
              </w:tabs>
              <w:jc w:val="left"/>
              <w:rPr>
                <w:sz w:val="18"/>
                <w:szCs w:val="18"/>
              </w:rPr>
            </w:pPr>
            <w:r>
              <w:rPr>
                <w:color w:val="000000"/>
                <w:sz w:val="18"/>
                <w:szCs w:val="18"/>
              </w:rPr>
              <w:t>-3.89</w:t>
            </w:r>
          </w:p>
        </w:tc>
        <w:tc>
          <w:tcPr>
            <w:tcW w:w="458" w:type="dxa"/>
            <w:vAlign w:val="center"/>
          </w:tcPr>
          <w:p w14:paraId="4250F9D9" w14:textId="05057E8B" w:rsidR="004E3D98" w:rsidRPr="001D5E02" w:rsidRDefault="004E3D98" w:rsidP="004E3D98">
            <w:pPr>
              <w:ind w:right="57"/>
              <w:jc w:val="right"/>
              <w:rPr>
                <w:sz w:val="18"/>
                <w:szCs w:val="18"/>
              </w:rPr>
            </w:pPr>
            <w:r w:rsidRPr="001D5E02">
              <w:rPr>
                <w:sz w:val="18"/>
                <w:szCs w:val="18"/>
              </w:rPr>
              <w:t>3</w:t>
            </w:r>
            <w:r>
              <w:rPr>
                <w:sz w:val="18"/>
                <w:szCs w:val="18"/>
              </w:rPr>
              <w:t>1</w:t>
            </w:r>
          </w:p>
        </w:tc>
        <w:tc>
          <w:tcPr>
            <w:tcW w:w="1208" w:type="dxa"/>
            <w:tcBorders>
              <w:right w:val="single" w:sz="6" w:space="0" w:color="404040"/>
            </w:tcBorders>
            <w:vAlign w:val="center"/>
          </w:tcPr>
          <w:p w14:paraId="378DD386" w14:textId="1D21C943" w:rsidR="004E3D98" w:rsidRPr="00C72B8E" w:rsidRDefault="004E3D98" w:rsidP="004E3D98">
            <w:pPr>
              <w:ind w:left="-29" w:right="-55"/>
              <w:jc w:val="left"/>
              <w:rPr>
                <w:bCs/>
                <w:sz w:val="18"/>
                <w:szCs w:val="18"/>
              </w:rPr>
            </w:pPr>
            <w:r>
              <w:rPr>
                <w:color w:val="000000"/>
                <w:sz w:val="18"/>
                <w:szCs w:val="18"/>
              </w:rPr>
              <w:t>Por arriba</w:t>
            </w:r>
          </w:p>
        </w:tc>
      </w:tr>
      <w:tr w:rsidR="004E3D98" w:rsidRPr="005B0949" w14:paraId="42EB17DF" w14:textId="77777777" w:rsidTr="004E3D98">
        <w:trPr>
          <w:cantSplit/>
          <w:trHeight w:val="20"/>
          <w:jc w:val="center"/>
        </w:trPr>
        <w:tc>
          <w:tcPr>
            <w:tcW w:w="5129" w:type="dxa"/>
            <w:tcBorders>
              <w:left w:val="single" w:sz="6" w:space="0" w:color="404040"/>
              <w:right w:val="single" w:sz="6" w:space="0" w:color="404040"/>
            </w:tcBorders>
            <w:vAlign w:val="center"/>
          </w:tcPr>
          <w:p w14:paraId="163CE724" w14:textId="77777777" w:rsidR="004E3D98" w:rsidRPr="005B0949" w:rsidRDefault="004E3D98" w:rsidP="004E3D98">
            <w:pPr>
              <w:numPr>
                <w:ilvl w:val="0"/>
                <w:numId w:val="29"/>
              </w:numPr>
              <w:spacing w:before="20" w:after="20"/>
              <w:ind w:left="325" w:hanging="309"/>
              <w:jc w:val="left"/>
              <w:rPr>
                <w:sz w:val="18"/>
                <w:szCs w:val="18"/>
              </w:rPr>
            </w:pPr>
            <w:r w:rsidRPr="005B0949">
              <w:rPr>
                <w:sz w:val="18"/>
                <w:szCs w:val="18"/>
              </w:rPr>
              <w:t>Producción</w:t>
            </w:r>
          </w:p>
        </w:tc>
        <w:tc>
          <w:tcPr>
            <w:tcW w:w="972" w:type="dxa"/>
            <w:tcBorders>
              <w:right w:val="single" w:sz="6" w:space="0" w:color="404040"/>
            </w:tcBorders>
            <w:vAlign w:val="center"/>
          </w:tcPr>
          <w:p w14:paraId="397C1D8E" w14:textId="49AB5F63" w:rsidR="004E3D98" w:rsidRPr="001D5E02" w:rsidRDefault="004E3D98" w:rsidP="004E3D98">
            <w:pPr>
              <w:tabs>
                <w:tab w:val="decimal" w:pos="435"/>
              </w:tabs>
              <w:jc w:val="left"/>
              <w:rPr>
                <w:sz w:val="18"/>
                <w:szCs w:val="18"/>
              </w:rPr>
            </w:pPr>
            <w:r>
              <w:rPr>
                <w:color w:val="000000"/>
                <w:sz w:val="18"/>
                <w:szCs w:val="18"/>
              </w:rPr>
              <w:t>53.2</w:t>
            </w:r>
          </w:p>
        </w:tc>
        <w:tc>
          <w:tcPr>
            <w:tcW w:w="972" w:type="dxa"/>
            <w:tcBorders>
              <w:left w:val="single" w:sz="6" w:space="0" w:color="404040"/>
              <w:right w:val="single" w:sz="6" w:space="0" w:color="404040"/>
            </w:tcBorders>
            <w:vAlign w:val="center"/>
          </w:tcPr>
          <w:p w14:paraId="6986A361" w14:textId="4B751692" w:rsidR="004E3D98" w:rsidRPr="001D5E02" w:rsidRDefault="004E3D98" w:rsidP="004E3D98">
            <w:pPr>
              <w:tabs>
                <w:tab w:val="decimal" w:pos="435"/>
              </w:tabs>
              <w:jc w:val="left"/>
              <w:rPr>
                <w:bCs/>
                <w:sz w:val="18"/>
                <w:szCs w:val="18"/>
              </w:rPr>
            </w:pPr>
            <w:r>
              <w:rPr>
                <w:color w:val="000000"/>
                <w:sz w:val="18"/>
                <w:szCs w:val="18"/>
              </w:rPr>
              <w:t>53.3</w:t>
            </w:r>
          </w:p>
        </w:tc>
        <w:tc>
          <w:tcPr>
            <w:tcW w:w="972" w:type="dxa"/>
            <w:tcBorders>
              <w:right w:val="single" w:sz="6" w:space="0" w:color="404040"/>
            </w:tcBorders>
            <w:vAlign w:val="center"/>
          </w:tcPr>
          <w:p w14:paraId="6D36B56C" w14:textId="3A4C2DA0" w:rsidR="004E3D98" w:rsidRPr="001D5E02" w:rsidRDefault="004E3D98" w:rsidP="004E3D98">
            <w:pPr>
              <w:tabs>
                <w:tab w:val="decimal" w:pos="330"/>
              </w:tabs>
              <w:jc w:val="left"/>
              <w:rPr>
                <w:sz w:val="18"/>
                <w:szCs w:val="18"/>
              </w:rPr>
            </w:pPr>
            <w:r>
              <w:rPr>
                <w:color w:val="000000"/>
                <w:sz w:val="18"/>
                <w:szCs w:val="18"/>
              </w:rPr>
              <w:t>0.09</w:t>
            </w:r>
          </w:p>
        </w:tc>
        <w:tc>
          <w:tcPr>
            <w:tcW w:w="458" w:type="dxa"/>
            <w:vAlign w:val="center"/>
          </w:tcPr>
          <w:p w14:paraId="66DAF3BB" w14:textId="7055EB6C" w:rsidR="004E3D98" w:rsidRPr="001D5E02" w:rsidRDefault="004E3D98" w:rsidP="004E3D98">
            <w:pPr>
              <w:ind w:right="57"/>
              <w:jc w:val="right"/>
              <w:rPr>
                <w:sz w:val="18"/>
                <w:szCs w:val="18"/>
              </w:rPr>
            </w:pPr>
            <w:r w:rsidRPr="001D5E02">
              <w:rPr>
                <w:sz w:val="18"/>
                <w:szCs w:val="18"/>
              </w:rPr>
              <w:t>1</w:t>
            </w:r>
            <w:r>
              <w:rPr>
                <w:sz w:val="18"/>
                <w:szCs w:val="18"/>
              </w:rPr>
              <w:t>9</w:t>
            </w:r>
          </w:p>
        </w:tc>
        <w:tc>
          <w:tcPr>
            <w:tcW w:w="1208" w:type="dxa"/>
            <w:tcBorders>
              <w:right w:val="single" w:sz="6" w:space="0" w:color="404040"/>
            </w:tcBorders>
            <w:vAlign w:val="center"/>
          </w:tcPr>
          <w:p w14:paraId="78C544BE" w14:textId="28DD41F7" w:rsidR="004E3D98" w:rsidRPr="00C72B8E" w:rsidRDefault="004E3D98" w:rsidP="004E3D98">
            <w:pPr>
              <w:ind w:left="-29" w:right="-55"/>
              <w:jc w:val="left"/>
              <w:rPr>
                <w:bCs/>
                <w:sz w:val="18"/>
                <w:szCs w:val="18"/>
              </w:rPr>
            </w:pPr>
            <w:r>
              <w:rPr>
                <w:color w:val="000000"/>
                <w:sz w:val="18"/>
                <w:szCs w:val="18"/>
              </w:rPr>
              <w:t>Por arriba</w:t>
            </w:r>
          </w:p>
        </w:tc>
      </w:tr>
      <w:tr w:rsidR="004E3D98" w:rsidRPr="005B0949" w14:paraId="36E5C68A" w14:textId="77777777" w:rsidTr="004E3D98">
        <w:trPr>
          <w:cantSplit/>
          <w:trHeight w:val="20"/>
          <w:jc w:val="center"/>
        </w:trPr>
        <w:tc>
          <w:tcPr>
            <w:tcW w:w="5129" w:type="dxa"/>
            <w:tcBorders>
              <w:left w:val="single" w:sz="6" w:space="0" w:color="404040"/>
              <w:right w:val="single" w:sz="6" w:space="0" w:color="404040"/>
            </w:tcBorders>
            <w:vAlign w:val="center"/>
          </w:tcPr>
          <w:p w14:paraId="4FFFA0C0" w14:textId="77777777" w:rsidR="004E3D98" w:rsidRPr="005B0949" w:rsidRDefault="004E3D98" w:rsidP="004E3D98">
            <w:pPr>
              <w:widowControl w:val="0"/>
              <w:numPr>
                <w:ilvl w:val="0"/>
                <w:numId w:val="29"/>
              </w:numPr>
              <w:spacing w:before="20" w:after="20"/>
              <w:ind w:left="323" w:hanging="306"/>
              <w:jc w:val="left"/>
              <w:rPr>
                <w:sz w:val="18"/>
                <w:szCs w:val="18"/>
              </w:rPr>
            </w:pPr>
            <w:r w:rsidRPr="005B0949">
              <w:rPr>
                <w:sz w:val="18"/>
                <w:szCs w:val="18"/>
              </w:rPr>
              <w:t>Personal ocupado total</w:t>
            </w:r>
          </w:p>
        </w:tc>
        <w:tc>
          <w:tcPr>
            <w:tcW w:w="972" w:type="dxa"/>
            <w:tcBorders>
              <w:right w:val="single" w:sz="6" w:space="0" w:color="404040"/>
            </w:tcBorders>
            <w:vAlign w:val="center"/>
          </w:tcPr>
          <w:p w14:paraId="1CC6BE51" w14:textId="025A8F06" w:rsidR="004E3D98" w:rsidRPr="001D5E02" w:rsidRDefault="004E3D98" w:rsidP="004E3D98">
            <w:pPr>
              <w:tabs>
                <w:tab w:val="decimal" w:pos="435"/>
              </w:tabs>
              <w:jc w:val="left"/>
              <w:rPr>
                <w:sz w:val="18"/>
                <w:szCs w:val="18"/>
              </w:rPr>
            </w:pPr>
            <w:r>
              <w:rPr>
                <w:color w:val="000000"/>
                <w:sz w:val="18"/>
                <w:szCs w:val="18"/>
              </w:rPr>
              <w:t>51.5</w:t>
            </w:r>
          </w:p>
        </w:tc>
        <w:tc>
          <w:tcPr>
            <w:tcW w:w="972" w:type="dxa"/>
            <w:tcBorders>
              <w:left w:val="single" w:sz="6" w:space="0" w:color="404040"/>
              <w:right w:val="single" w:sz="6" w:space="0" w:color="404040"/>
            </w:tcBorders>
            <w:vAlign w:val="center"/>
          </w:tcPr>
          <w:p w14:paraId="0F7FF7BB" w14:textId="571B55FE" w:rsidR="004E3D98" w:rsidRPr="001D5E02" w:rsidRDefault="004E3D98" w:rsidP="004E3D98">
            <w:pPr>
              <w:tabs>
                <w:tab w:val="decimal" w:pos="435"/>
              </w:tabs>
              <w:jc w:val="left"/>
              <w:rPr>
                <w:bCs/>
                <w:sz w:val="18"/>
                <w:szCs w:val="18"/>
              </w:rPr>
            </w:pPr>
            <w:r>
              <w:rPr>
                <w:color w:val="000000"/>
                <w:sz w:val="18"/>
                <w:szCs w:val="18"/>
              </w:rPr>
              <w:t>51.2</w:t>
            </w:r>
          </w:p>
        </w:tc>
        <w:tc>
          <w:tcPr>
            <w:tcW w:w="972" w:type="dxa"/>
            <w:tcBorders>
              <w:right w:val="single" w:sz="6" w:space="0" w:color="404040"/>
            </w:tcBorders>
            <w:vAlign w:val="center"/>
          </w:tcPr>
          <w:p w14:paraId="3B4F6D4B" w14:textId="09F89866" w:rsidR="004E3D98" w:rsidRPr="001D5E02" w:rsidRDefault="004E3D98" w:rsidP="004E3D98">
            <w:pPr>
              <w:tabs>
                <w:tab w:val="decimal" w:pos="330"/>
              </w:tabs>
              <w:jc w:val="left"/>
              <w:rPr>
                <w:sz w:val="18"/>
                <w:szCs w:val="18"/>
              </w:rPr>
            </w:pPr>
            <w:r>
              <w:rPr>
                <w:color w:val="000000"/>
                <w:sz w:val="18"/>
                <w:szCs w:val="18"/>
              </w:rPr>
              <w:t>-0.24</w:t>
            </w:r>
          </w:p>
        </w:tc>
        <w:tc>
          <w:tcPr>
            <w:tcW w:w="458" w:type="dxa"/>
            <w:vAlign w:val="center"/>
          </w:tcPr>
          <w:p w14:paraId="71209E1A" w14:textId="3DE8CFFD" w:rsidR="004E3D98" w:rsidRPr="001D5E02" w:rsidRDefault="004E3D98" w:rsidP="004E3D98">
            <w:pPr>
              <w:ind w:right="57"/>
              <w:jc w:val="right"/>
              <w:rPr>
                <w:sz w:val="18"/>
                <w:szCs w:val="18"/>
              </w:rPr>
            </w:pPr>
            <w:r w:rsidRPr="001D5E02">
              <w:rPr>
                <w:sz w:val="18"/>
                <w:szCs w:val="18"/>
              </w:rPr>
              <w:t>2</w:t>
            </w:r>
            <w:r>
              <w:rPr>
                <w:sz w:val="18"/>
                <w:szCs w:val="18"/>
              </w:rPr>
              <w:t>2</w:t>
            </w:r>
          </w:p>
        </w:tc>
        <w:tc>
          <w:tcPr>
            <w:tcW w:w="1208" w:type="dxa"/>
            <w:tcBorders>
              <w:right w:val="single" w:sz="6" w:space="0" w:color="404040"/>
            </w:tcBorders>
            <w:vAlign w:val="center"/>
          </w:tcPr>
          <w:p w14:paraId="0B5E2CB5" w14:textId="1CE20539" w:rsidR="004E3D98" w:rsidRPr="00C72B8E" w:rsidRDefault="004E3D98" w:rsidP="004E3D98">
            <w:pPr>
              <w:ind w:left="-29" w:right="-55"/>
              <w:jc w:val="left"/>
              <w:rPr>
                <w:bCs/>
                <w:sz w:val="18"/>
                <w:szCs w:val="18"/>
              </w:rPr>
            </w:pPr>
            <w:r>
              <w:rPr>
                <w:color w:val="000000"/>
                <w:sz w:val="18"/>
                <w:szCs w:val="18"/>
              </w:rPr>
              <w:t>Por arriba</w:t>
            </w:r>
          </w:p>
        </w:tc>
      </w:tr>
      <w:tr w:rsidR="004E3D98" w:rsidRPr="005B0949" w14:paraId="5328C6FB" w14:textId="77777777" w:rsidTr="004E3D98">
        <w:trPr>
          <w:cantSplit/>
          <w:trHeight w:val="20"/>
          <w:jc w:val="center"/>
        </w:trPr>
        <w:tc>
          <w:tcPr>
            <w:tcW w:w="5129" w:type="dxa"/>
            <w:tcBorders>
              <w:left w:val="single" w:sz="6" w:space="0" w:color="404040"/>
              <w:right w:val="single" w:sz="6" w:space="0" w:color="404040"/>
            </w:tcBorders>
            <w:vAlign w:val="center"/>
          </w:tcPr>
          <w:p w14:paraId="27FE6B1C" w14:textId="1F48CC5B" w:rsidR="004E3D98" w:rsidRPr="005B0949" w:rsidRDefault="004E3D98" w:rsidP="004E3D98">
            <w:pPr>
              <w:widowControl w:val="0"/>
              <w:numPr>
                <w:ilvl w:val="0"/>
                <w:numId w:val="29"/>
              </w:numPr>
              <w:spacing w:before="20" w:after="20"/>
              <w:ind w:left="323" w:right="-85" w:hanging="306"/>
              <w:jc w:val="left"/>
              <w:rPr>
                <w:sz w:val="18"/>
                <w:szCs w:val="18"/>
              </w:rPr>
            </w:pPr>
            <w:r w:rsidRPr="005B0949">
              <w:rPr>
                <w:sz w:val="18"/>
                <w:szCs w:val="18"/>
              </w:rPr>
              <w:t>Oportunidad en la entrega de insumos de proveedores</w:t>
            </w:r>
          </w:p>
        </w:tc>
        <w:tc>
          <w:tcPr>
            <w:tcW w:w="972" w:type="dxa"/>
            <w:tcBorders>
              <w:right w:val="single" w:sz="6" w:space="0" w:color="404040"/>
            </w:tcBorders>
            <w:vAlign w:val="center"/>
          </w:tcPr>
          <w:p w14:paraId="665FD5E1" w14:textId="603D9586" w:rsidR="004E3D98" w:rsidRPr="001D5E02" w:rsidRDefault="004E3D98" w:rsidP="004E3D98">
            <w:pPr>
              <w:tabs>
                <w:tab w:val="decimal" w:pos="435"/>
              </w:tabs>
              <w:jc w:val="left"/>
              <w:rPr>
                <w:sz w:val="18"/>
                <w:szCs w:val="18"/>
              </w:rPr>
            </w:pPr>
            <w:r>
              <w:rPr>
                <w:color w:val="000000"/>
                <w:sz w:val="18"/>
                <w:szCs w:val="18"/>
              </w:rPr>
              <w:t>49.3</w:t>
            </w:r>
          </w:p>
        </w:tc>
        <w:tc>
          <w:tcPr>
            <w:tcW w:w="972" w:type="dxa"/>
            <w:tcBorders>
              <w:left w:val="single" w:sz="6" w:space="0" w:color="404040"/>
              <w:right w:val="single" w:sz="6" w:space="0" w:color="404040"/>
            </w:tcBorders>
            <w:vAlign w:val="center"/>
          </w:tcPr>
          <w:p w14:paraId="059D083C" w14:textId="0FCB44B1" w:rsidR="004E3D98" w:rsidRPr="001D5E02" w:rsidRDefault="004E3D98" w:rsidP="004E3D98">
            <w:pPr>
              <w:tabs>
                <w:tab w:val="decimal" w:pos="435"/>
              </w:tabs>
              <w:jc w:val="left"/>
              <w:rPr>
                <w:bCs/>
                <w:sz w:val="18"/>
                <w:szCs w:val="18"/>
              </w:rPr>
            </w:pPr>
            <w:r>
              <w:rPr>
                <w:color w:val="000000"/>
                <w:sz w:val="18"/>
                <w:szCs w:val="18"/>
              </w:rPr>
              <w:t>49.6</w:t>
            </w:r>
          </w:p>
        </w:tc>
        <w:tc>
          <w:tcPr>
            <w:tcW w:w="972" w:type="dxa"/>
            <w:tcBorders>
              <w:right w:val="single" w:sz="6" w:space="0" w:color="404040"/>
            </w:tcBorders>
            <w:vAlign w:val="center"/>
          </w:tcPr>
          <w:p w14:paraId="7451A40F" w14:textId="01BA99CB" w:rsidR="004E3D98" w:rsidRPr="001D5E02" w:rsidRDefault="004E3D98" w:rsidP="004E3D98">
            <w:pPr>
              <w:tabs>
                <w:tab w:val="decimal" w:pos="330"/>
              </w:tabs>
              <w:jc w:val="left"/>
              <w:rPr>
                <w:sz w:val="18"/>
                <w:szCs w:val="18"/>
              </w:rPr>
            </w:pPr>
            <w:r>
              <w:rPr>
                <w:color w:val="000000"/>
                <w:sz w:val="18"/>
                <w:szCs w:val="18"/>
              </w:rPr>
              <w:t>0.24</w:t>
            </w:r>
          </w:p>
        </w:tc>
        <w:tc>
          <w:tcPr>
            <w:tcW w:w="458" w:type="dxa"/>
            <w:vAlign w:val="center"/>
          </w:tcPr>
          <w:p w14:paraId="7B0FD17A" w14:textId="755A7C33" w:rsidR="004E3D98" w:rsidRPr="001D5E02" w:rsidRDefault="004E3D98" w:rsidP="004E3D98">
            <w:pPr>
              <w:ind w:right="57"/>
              <w:jc w:val="right"/>
              <w:rPr>
                <w:sz w:val="18"/>
                <w:szCs w:val="18"/>
              </w:rPr>
            </w:pPr>
            <w:r>
              <w:rPr>
                <w:sz w:val="18"/>
                <w:szCs w:val="18"/>
              </w:rPr>
              <w:t>4</w:t>
            </w:r>
          </w:p>
        </w:tc>
        <w:tc>
          <w:tcPr>
            <w:tcW w:w="1208" w:type="dxa"/>
            <w:tcBorders>
              <w:right w:val="single" w:sz="6" w:space="0" w:color="404040"/>
            </w:tcBorders>
            <w:vAlign w:val="center"/>
          </w:tcPr>
          <w:p w14:paraId="28E4233E" w14:textId="0BF21C83" w:rsidR="004E3D98" w:rsidRPr="00C72B8E" w:rsidRDefault="004E3D98" w:rsidP="004E3D98">
            <w:pPr>
              <w:ind w:left="-29" w:right="-55"/>
              <w:jc w:val="left"/>
              <w:rPr>
                <w:bCs/>
                <w:sz w:val="18"/>
                <w:szCs w:val="18"/>
              </w:rPr>
            </w:pPr>
            <w:r>
              <w:rPr>
                <w:color w:val="000000"/>
                <w:sz w:val="18"/>
                <w:szCs w:val="18"/>
              </w:rPr>
              <w:t>Por debajo</w:t>
            </w:r>
          </w:p>
        </w:tc>
      </w:tr>
      <w:tr w:rsidR="004E3D98" w:rsidRPr="005B0949" w14:paraId="1AD423F4" w14:textId="77777777" w:rsidTr="004E3D98">
        <w:trPr>
          <w:cantSplit/>
          <w:trHeight w:val="20"/>
          <w:jc w:val="center"/>
        </w:trPr>
        <w:tc>
          <w:tcPr>
            <w:tcW w:w="5129" w:type="dxa"/>
            <w:tcBorders>
              <w:left w:val="single" w:sz="6" w:space="0" w:color="404040"/>
              <w:bottom w:val="single" w:sz="6" w:space="0" w:color="404040"/>
              <w:right w:val="single" w:sz="6" w:space="0" w:color="404040"/>
            </w:tcBorders>
            <w:vAlign w:val="center"/>
          </w:tcPr>
          <w:p w14:paraId="5E6673A2" w14:textId="77777777" w:rsidR="004E3D98" w:rsidRPr="005B0949" w:rsidRDefault="004E3D98" w:rsidP="004E3D98">
            <w:pPr>
              <w:widowControl w:val="0"/>
              <w:numPr>
                <w:ilvl w:val="0"/>
                <w:numId w:val="29"/>
              </w:numPr>
              <w:spacing w:before="20" w:after="20"/>
              <w:ind w:left="323" w:hanging="306"/>
              <w:jc w:val="left"/>
              <w:rPr>
                <w:sz w:val="18"/>
                <w:szCs w:val="18"/>
              </w:rPr>
            </w:pPr>
            <w:r w:rsidRPr="005B0949">
              <w:rPr>
                <w:sz w:val="18"/>
                <w:szCs w:val="18"/>
              </w:rPr>
              <w:t>Inventarios de insumos</w:t>
            </w:r>
          </w:p>
        </w:tc>
        <w:tc>
          <w:tcPr>
            <w:tcW w:w="972" w:type="dxa"/>
            <w:tcBorders>
              <w:bottom w:val="single" w:sz="6" w:space="0" w:color="404040"/>
              <w:right w:val="single" w:sz="6" w:space="0" w:color="404040"/>
            </w:tcBorders>
            <w:vAlign w:val="center"/>
          </w:tcPr>
          <w:p w14:paraId="1B6EEFA3" w14:textId="247D8FA5" w:rsidR="004E3D98" w:rsidRPr="001D5E02" w:rsidRDefault="004E3D98" w:rsidP="004E3D98">
            <w:pPr>
              <w:tabs>
                <w:tab w:val="decimal" w:pos="435"/>
              </w:tabs>
              <w:jc w:val="left"/>
              <w:rPr>
                <w:sz w:val="18"/>
                <w:szCs w:val="18"/>
              </w:rPr>
            </w:pPr>
            <w:r>
              <w:rPr>
                <w:color w:val="000000"/>
                <w:sz w:val="18"/>
                <w:szCs w:val="18"/>
              </w:rPr>
              <w:t>52.0</w:t>
            </w:r>
          </w:p>
        </w:tc>
        <w:tc>
          <w:tcPr>
            <w:tcW w:w="972" w:type="dxa"/>
            <w:tcBorders>
              <w:left w:val="single" w:sz="6" w:space="0" w:color="404040"/>
              <w:bottom w:val="single" w:sz="6" w:space="0" w:color="404040"/>
              <w:right w:val="single" w:sz="6" w:space="0" w:color="404040"/>
            </w:tcBorders>
            <w:vAlign w:val="center"/>
          </w:tcPr>
          <w:p w14:paraId="09EBF545" w14:textId="1192A8F5" w:rsidR="004E3D98" w:rsidRPr="001D5E02" w:rsidRDefault="004E3D98" w:rsidP="004E3D98">
            <w:pPr>
              <w:tabs>
                <w:tab w:val="decimal" w:pos="435"/>
              </w:tabs>
              <w:jc w:val="left"/>
              <w:rPr>
                <w:bCs/>
                <w:sz w:val="18"/>
                <w:szCs w:val="18"/>
              </w:rPr>
            </w:pPr>
            <w:r>
              <w:rPr>
                <w:color w:val="000000"/>
                <w:sz w:val="18"/>
                <w:szCs w:val="18"/>
              </w:rPr>
              <w:t>53.2</w:t>
            </w:r>
          </w:p>
        </w:tc>
        <w:tc>
          <w:tcPr>
            <w:tcW w:w="972" w:type="dxa"/>
            <w:tcBorders>
              <w:bottom w:val="single" w:sz="6" w:space="0" w:color="404040"/>
              <w:right w:val="single" w:sz="6" w:space="0" w:color="404040"/>
            </w:tcBorders>
            <w:vAlign w:val="center"/>
          </w:tcPr>
          <w:p w14:paraId="3C2CFC42" w14:textId="3E301102" w:rsidR="004E3D98" w:rsidRPr="001D5E02" w:rsidRDefault="004E3D98" w:rsidP="004E3D98">
            <w:pPr>
              <w:tabs>
                <w:tab w:val="decimal" w:pos="330"/>
              </w:tabs>
              <w:jc w:val="left"/>
              <w:rPr>
                <w:sz w:val="18"/>
                <w:szCs w:val="18"/>
              </w:rPr>
            </w:pPr>
            <w:r>
              <w:rPr>
                <w:color w:val="000000"/>
                <w:sz w:val="18"/>
                <w:szCs w:val="18"/>
              </w:rPr>
              <w:t>1.24</w:t>
            </w:r>
          </w:p>
        </w:tc>
        <w:tc>
          <w:tcPr>
            <w:tcW w:w="458" w:type="dxa"/>
            <w:tcBorders>
              <w:bottom w:val="single" w:sz="6" w:space="0" w:color="404040"/>
            </w:tcBorders>
            <w:vAlign w:val="center"/>
          </w:tcPr>
          <w:p w14:paraId="24D63F8D" w14:textId="20980E67" w:rsidR="004E3D98" w:rsidRPr="001D5E02" w:rsidRDefault="004E3D98" w:rsidP="004E3D98">
            <w:pPr>
              <w:ind w:right="57"/>
              <w:jc w:val="right"/>
              <w:rPr>
                <w:sz w:val="18"/>
                <w:szCs w:val="18"/>
              </w:rPr>
            </w:pPr>
            <w:r>
              <w:rPr>
                <w:sz w:val="18"/>
                <w:szCs w:val="18"/>
              </w:rPr>
              <w:t>30</w:t>
            </w:r>
          </w:p>
        </w:tc>
        <w:tc>
          <w:tcPr>
            <w:tcW w:w="1208" w:type="dxa"/>
            <w:tcBorders>
              <w:bottom w:val="single" w:sz="6" w:space="0" w:color="404040"/>
              <w:right w:val="single" w:sz="6" w:space="0" w:color="404040"/>
            </w:tcBorders>
            <w:vAlign w:val="center"/>
          </w:tcPr>
          <w:p w14:paraId="4A50DA51" w14:textId="7A101D7F" w:rsidR="004E3D98" w:rsidRPr="00C72B8E" w:rsidRDefault="004E3D98" w:rsidP="004E3D98">
            <w:pPr>
              <w:ind w:left="-29" w:right="-55"/>
              <w:jc w:val="left"/>
              <w:rPr>
                <w:bCs/>
                <w:sz w:val="18"/>
                <w:szCs w:val="18"/>
              </w:rPr>
            </w:pPr>
            <w:r>
              <w:rPr>
                <w:color w:val="000000"/>
                <w:sz w:val="18"/>
                <w:szCs w:val="18"/>
              </w:rPr>
              <w:t>Por arriba</w:t>
            </w:r>
          </w:p>
        </w:tc>
      </w:tr>
    </w:tbl>
    <w:p w14:paraId="577408E7" w14:textId="7ECC8ED6" w:rsidR="0007670F" w:rsidRPr="005B0949" w:rsidRDefault="0007670F" w:rsidP="00AF3DBB">
      <w:pPr>
        <w:widowControl w:val="0"/>
        <w:tabs>
          <w:tab w:val="left" w:pos="490"/>
        </w:tabs>
        <w:spacing w:before="20"/>
        <w:ind w:left="-56" w:right="713"/>
        <w:outlineLvl w:val="0"/>
        <w:rPr>
          <w:sz w:val="14"/>
          <w:szCs w:val="14"/>
        </w:rPr>
      </w:pPr>
      <w:r w:rsidRPr="005B0949">
        <w:rPr>
          <w:sz w:val="14"/>
          <w:szCs w:val="14"/>
        </w:rPr>
        <w:t>Nota:</w:t>
      </w:r>
      <w:r w:rsidRPr="005B0949">
        <w:rPr>
          <w:sz w:val="14"/>
          <w:szCs w:val="14"/>
        </w:rPr>
        <w:tab/>
        <w:t xml:space="preserve">Los indicadores se generan con los datos referentes al mes de la entrevista. </w:t>
      </w:r>
    </w:p>
    <w:p w14:paraId="198667C7" w14:textId="1B97269A" w:rsidR="0007670F" w:rsidRPr="005B0949" w:rsidRDefault="0007670F" w:rsidP="00AF3DBB">
      <w:pPr>
        <w:widowControl w:val="0"/>
        <w:tabs>
          <w:tab w:val="left" w:pos="490"/>
        </w:tabs>
        <w:ind w:left="-56"/>
        <w:rPr>
          <w:sz w:val="14"/>
          <w:szCs w:val="14"/>
        </w:rPr>
      </w:pPr>
      <w:r w:rsidRPr="005B0949">
        <w:rPr>
          <w:sz w:val="14"/>
          <w:szCs w:val="14"/>
        </w:rPr>
        <w:t>1/</w:t>
      </w:r>
      <w:r w:rsidRPr="005B0949">
        <w:rPr>
          <w:sz w:val="14"/>
          <w:szCs w:val="14"/>
        </w:rPr>
        <w:tab/>
        <w:t>Las diferencias en puntos se obtienen de los respectivos indicadores considerando todos sus decimales.</w:t>
      </w:r>
    </w:p>
    <w:p w14:paraId="5447F94F" w14:textId="0471E624" w:rsidR="00AB6F59" w:rsidRPr="005B0949" w:rsidRDefault="00AB6F59" w:rsidP="00AF3DBB">
      <w:pPr>
        <w:widowControl w:val="0"/>
        <w:tabs>
          <w:tab w:val="left" w:pos="490"/>
        </w:tabs>
        <w:spacing w:before="20"/>
        <w:ind w:left="-56" w:right="713"/>
        <w:outlineLvl w:val="0"/>
        <w:rPr>
          <w:b/>
          <w:bCs/>
          <w:smallCaps/>
          <w:kern w:val="32"/>
          <w:sz w:val="14"/>
          <w:szCs w:val="14"/>
        </w:rPr>
      </w:pPr>
      <w:r w:rsidRPr="005B0949">
        <w:rPr>
          <w:sz w:val="14"/>
          <w:szCs w:val="14"/>
        </w:rPr>
        <w:t>Fuente:</w:t>
      </w:r>
      <w:r w:rsidR="00580C8B" w:rsidRPr="005B0949">
        <w:rPr>
          <w:sz w:val="14"/>
          <w:szCs w:val="14"/>
        </w:rPr>
        <w:tab/>
      </w:r>
      <w:r w:rsidRPr="005B0949">
        <w:rPr>
          <w:sz w:val="14"/>
          <w:szCs w:val="14"/>
        </w:rPr>
        <w:t>INEGI y Banco de México</w:t>
      </w:r>
    </w:p>
    <w:p w14:paraId="6834387E" w14:textId="44508C53" w:rsidR="00A47127" w:rsidRPr="005B0949" w:rsidRDefault="00751877" w:rsidP="00AF3DBB">
      <w:pPr>
        <w:widowControl w:val="0"/>
        <w:spacing w:before="720"/>
        <w:rPr>
          <w:spacing w:val="4"/>
        </w:rPr>
      </w:pPr>
      <w:r w:rsidRPr="00751877">
        <w:t xml:space="preserve">Las siguientes gráficas muestran la evolución en los últimos años de las series desestacionalizadas y de tendencia-ciclo de los componentes que integran el </w:t>
      </w:r>
      <w:r w:rsidR="00357387">
        <w:t>IPM</w:t>
      </w:r>
      <w:r w:rsidRPr="00751877">
        <w:t>.</w:t>
      </w:r>
    </w:p>
    <w:p w14:paraId="036123DD" w14:textId="41F65DC3" w:rsidR="007F632F" w:rsidRPr="007F632F" w:rsidRDefault="007F632F" w:rsidP="007F632F">
      <w:pPr>
        <w:keepNext/>
        <w:keepLines/>
        <w:spacing w:before="360"/>
        <w:jc w:val="center"/>
        <w:outlineLvl w:val="0"/>
        <w:rPr>
          <w:bCs/>
          <w:kern w:val="32"/>
          <w:sz w:val="20"/>
        </w:rPr>
      </w:pPr>
      <w:r w:rsidRPr="002675E1">
        <w:rPr>
          <w:bCs/>
          <w:kern w:val="32"/>
          <w:sz w:val="20"/>
        </w:rPr>
        <w:lastRenderedPageBreak/>
        <w:t>Gráfica 2</w:t>
      </w:r>
    </w:p>
    <w:p w14:paraId="36683016" w14:textId="56AD4084" w:rsidR="0007670F" w:rsidRPr="00C46F19" w:rsidRDefault="0007670F" w:rsidP="007F632F">
      <w:pPr>
        <w:keepNext/>
        <w:keepLines/>
        <w:ind w:left="-284"/>
        <w:jc w:val="center"/>
        <w:rPr>
          <w:b/>
          <w:smallCaps/>
          <w:sz w:val="22"/>
        </w:rPr>
      </w:pPr>
      <w:r w:rsidRPr="00C46F19">
        <w:rPr>
          <w:b/>
          <w:smallCaps/>
          <w:sz w:val="22"/>
        </w:rPr>
        <w:t>Componentes del Indicador de Pedidos Manufactureros</w:t>
      </w:r>
    </w:p>
    <w:tbl>
      <w:tblPr>
        <w:tblW w:w="10319" w:type="dxa"/>
        <w:jc w:val="center"/>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0A0" w:firstRow="1" w:lastRow="0" w:firstColumn="1" w:lastColumn="0" w:noHBand="0" w:noVBand="0"/>
      </w:tblPr>
      <w:tblGrid>
        <w:gridCol w:w="5080"/>
        <w:gridCol w:w="160"/>
        <w:gridCol w:w="5079"/>
      </w:tblGrid>
      <w:tr w:rsidR="005B0949" w:rsidRPr="005B0949" w14:paraId="3C102D18" w14:textId="77777777" w:rsidTr="00167073">
        <w:trPr>
          <w:jc w:val="center"/>
        </w:trPr>
        <w:tc>
          <w:tcPr>
            <w:tcW w:w="5080" w:type="dxa"/>
            <w:tcBorders>
              <w:top w:val="single" w:sz="4" w:space="0" w:color="auto"/>
              <w:bottom w:val="nil"/>
            </w:tcBorders>
            <w:shd w:val="clear" w:color="auto" w:fill="DBE5F1"/>
          </w:tcPr>
          <w:p w14:paraId="56098E90" w14:textId="77777777" w:rsidR="0007670F" w:rsidRPr="005B0949" w:rsidRDefault="0007670F" w:rsidP="00152422">
            <w:pPr>
              <w:keepNext/>
              <w:keepLines/>
              <w:jc w:val="center"/>
              <w:rPr>
                <w:sz w:val="20"/>
                <w:szCs w:val="20"/>
              </w:rPr>
            </w:pPr>
            <w:r w:rsidRPr="005B0949">
              <w:rPr>
                <w:sz w:val="20"/>
                <w:szCs w:val="20"/>
              </w:rPr>
              <w:t>Pedidos</w:t>
            </w:r>
          </w:p>
        </w:tc>
        <w:tc>
          <w:tcPr>
            <w:tcW w:w="160" w:type="dxa"/>
            <w:tcBorders>
              <w:top w:val="single" w:sz="4" w:space="0" w:color="auto"/>
              <w:bottom w:val="nil"/>
            </w:tcBorders>
            <w:shd w:val="clear" w:color="auto" w:fill="DBE5F1"/>
          </w:tcPr>
          <w:p w14:paraId="47AF0A98" w14:textId="77777777" w:rsidR="0007670F" w:rsidRPr="005B0949" w:rsidRDefault="0007670F" w:rsidP="00152422">
            <w:pPr>
              <w:keepNext/>
              <w:keepLines/>
              <w:jc w:val="center"/>
              <w:rPr>
                <w:sz w:val="20"/>
                <w:szCs w:val="20"/>
              </w:rPr>
            </w:pPr>
          </w:p>
        </w:tc>
        <w:tc>
          <w:tcPr>
            <w:tcW w:w="5079" w:type="dxa"/>
            <w:tcBorders>
              <w:top w:val="single" w:sz="4" w:space="0" w:color="auto"/>
              <w:bottom w:val="nil"/>
            </w:tcBorders>
            <w:shd w:val="clear" w:color="auto" w:fill="DBE5F1"/>
          </w:tcPr>
          <w:p w14:paraId="213652B8" w14:textId="77777777" w:rsidR="0007670F" w:rsidRPr="005B0949" w:rsidRDefault="0007670F" w:rsidP="00152422">
            <w:pPr>
              <w:keepNext/>
              <w:keepLines/>
              <w:jc w:val="center"/>
              <w:rPr>
                <w:sz w:val="20"/>
                <w:szCs w:val="20"/>
              </w:rPr>
            </w:pPr>
            <w:r w:rsidRPr="005B0949">
              <w:rPr>
                <w:sz w:val="20"/>
                <w:szCs w:val="20"/>
              </w:rPr>
              <w:t>Producción</w:t>
            </w:r>
          </w:p>
        </w:tc>
      </w:tr>
      <w:tr w:rsidR="005B0949" w:rsidRPr="005B0949" w14:paraId="7485AD56" w14:textId="77777777" w:rsidTr="00644B60">
        <w:tblPrEx>
          <w:tblCellMar>
            <w:left w:w="70" w:type="dxa"/>
            <w:right w:w="70" w:type="dxa"/>
          </w:tblCellMar>
        </w:tblPrEx>
        <w:trPr>
          <w:trHeight w:val="3062"/>
          <w:jc w:val="center"/>
        </w:trPr>
        <w:tc>
          <w:tcPr>
            <w:tcW w:w="5080" w:type="dxa"/>
            <w:tcBorders>
              <w:top w:val="nil"/>
              <w:bottom w:val="nil"/>
            </w:tcBorders>
          </w:tcPr>
          <w:p w14:paraId="539EB9CD" w14:textId="54E1BDF8" w:rsidR="00DC2949" w:rsidRPr="005B0949" w:rsidRDefault="004E3D98" w:rsidP="00152422">
            <w:pPr>
              <w:keepNext/>
              <w:keepLines/>
              <w:ind w:left="-75"/>
              <w:jc w:val="center"/>
            </w:pPr>
            <w:r>
              <w:rPr>
                <w:noProof/>
              </w:rPr>
              <w:drawing>
                <wp:inline distT="0" distB="0" distL="0" distR="0" wp14:anchorId="7341C67B" wp14:editId="42514F8A">
                  <wp:extent cx="3132000" cy="2052000"/>
                  <wp:effectExtent l="0" t="0" r="0" b="5715"/>
                  <wp:docPr id="1"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c>
          <w:tcPr>
            <w:tcW w:w="160" w:type="dxa"/>
            <w:tcBorders>
              <w:top w:val="nil"/>
              <w:bottom w:val="nil"/>
            </w:tcBorders>
          </w:tcPr>
          <w:p w14:paraId="0B4ABD46" w14:textId="77777777" w:rsidR="0007670F" w:rsidRPr="005B0949" w:rsidRDefault="0007670F" w:rsidP="00152422">
            <w:pPr>
              <w:keepNext/>
              <w:keepLines/>
              <w:jc w:val="center"/>
              <w:rPr>
                <w:noProof/>
                <w:lang w:eastAsia="es-MX"/>
              </w:rPr>
            </w:pPr>
          </w:p>
        </w:tc>
        <w:tc>
          <w:tcPr>
            <w:tcW w:w="5079" w:type="dxa"/>
            <w:tcBorders>
              <w:top w:val="nil"/>
              <w:bottom w:val="nil"/>
            </w:tcBorders>
          </w:tcPr>
          <w:p w14:paraId="4D4BEB10" w14:textId="50BFC942" w:rsidR="0007670F" w:rsidRPr="005B0949" w:rsidRDefault="00644B60" w:rsidP="00152422">
            <w:pPr>
              <w:keepNext/>
              <w:keepLines/>
              <w:ind w:left="-70"/>
              <w:jc w:val="center"/>
            </w:pPr>
            <w:r>
              <w:rPr>
                <w:noProof/>
              </w:rPr>
              <w:drawing>
                <wp:inline distT="0" distB="0" distL="0" distR="0" wp14:anchorId="6898D64B" wp14:editId="1E48B173">
                  <wp:extent cx="3130838" cy="2052000"/>
                  <wp:effectExtent l="0" t="0" r="0" b="5715"/>
                  <wp:docPr id="8" name="Gráfico 8">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tc>
      </w:tr>
      <w:tr w:rsidR="005B0949" w:rsidRPr="005B0949" w14:paraId="4451BE24" w14:textId="77777777" w:rsidTr="00167073">
        <w:trPr>
          <w:jc w:val="center"/>
        </w:trPr>
        <w:tc>
          <w:tcPr>
            <w:tcW w:w="5080" w:type="dxa"/>
            <w:tcBorders>
              <w:top w:val="nil"/>
              <w:bottom w:val="nil"/>
            </w:tcBorders>
            <w:shd w:val="clear" w:color="auto" w:fill="DBE5F1"/>
            <w:vAlign w:val="center"/>
          </w:tcPr>
          <w:p w14:paraId="4757A4FE" w14:textId="77777777" w:rsidR="0007670F" w:rsidRPr="005B0949" w:rsidRDefault="0007670F" w:rsidP="00152422">
            <w:pPr>
              <w:keepNext/>
              <w:keepLines/>
              <w:jc w:val="center"/>
              <w:rPr>
                <w:sz w:val="20"/>
                <w:szCs w:val="20"/>
              </w:rPr>
            </w:pPr>
            <w:r w:rsidRPr="005B0949">
              <w:rPr>
                <w:sz w:val="20"/>
                <w:szCs w:val="20"/>
              </w:rPr>
              <w:t>Personal ocupado</w:t>
            </w:r>
            <w:r w:rsidR="00807D96" w:rsidRPr="005B0949">
              <w:rPr>
                <w:sz w:val="20"/>
                <w:szCs w:val="20"/>
              </w:rPr>
              <w:t xml:space="preserve"> total</w:t>
            </w:r>
          </w:p>
        </w:tc>
        <w:tc>
          <w:tcPr>
            <w:tcW w:w="160" w:type="dxa"/>
            <w:tcBorders>
              <w:top w:val="nil"/>
              <w:bottom w:val="nil"/>
            </w:tcBorders>
            <w:shd w:val="clear" w:color="auto" w:fill="DBE5F1"/>
          </w:tcPr>
          <w:p w14:paraId="08617BB8" w14:textId="77777777" w:rsidR="0007670F" w:rsidRPr="005B0949" w:rsidRDefault="0007670F" w:rsidP="00152422">
            <w:pPr>
              <w:keepNext/>
              <w:keepLines/>
              <w:jc w:val="center"/>
              <w:rPr>
                <w:sz w:val="20"/>
                <w:szCs w:val="20"/>
              </w:rPr>
            </w:pPr>
          </w:p>
        </w:tc>
        <w:tc>
          <w:tcPr>
            <w:tcW w:w="5079" w:type="dxa"/>
            <w:tcBorders>
              <w:top w:val="nil"/>
              <w:bottom w:val="nil"/>
            </w:tcBorders>
            <w:shd w:val="clear" w:color="auto" w:fill="DBE5F1"/>
          </w:tcPr>
          <w:p w14:paraId="1ED3F459" w14:textId="46D47588" w:rsidR="0007670F" w:rsidRPr="005B0949" w:rsidRDefault="0007670F" w:rsidP="00152422">
            <w:pPr>
              <w:keepNext/>
              <w:keepLines/>
              <w:jc w:val="center"/>
              <w:rPr>
                <w:sz w:val="20"/>
                <w:szCs w:val="20"/>
              </w:rPr>
            </w:pPr>
            <w:r w:rsidRPr="005B0949">
              <w:rPr>
                <w:sz w:val="20"/>
                <w:szCs w:val="20"/>
              </w:rPr>
              <w:t>Oportunidad en la entrega de insumos de proveedores</w:t>
            </w:r>
          </w:p>
        </w:tc>
      </w:tr>
      <w:tr w:rsidR="005B0949" w:rsidRPr="005B0949" w14:paraId="7248E422" w14:textId="77777777" w:rsidTr="00644B60">
        <w:tblPrEx>
          <w:tblCellMar>
            <w:left w:w="70" w:type="dxa"/>
            <w:right w:w="70" w:type="dxa"/>
          </w:tblCellMar>
        </w:tblPrEx>
        <w:trPr>
          <w:trHeight w:val="3062"/>
          <w:jc w:val="center"/>
        </w:trPr>
        <w:tc>
          <w:tcPr>
            <w:tcW w:w="5080" w:type="dxa"/>
            <w:tcBorders>
              <w:top w:val="nil"/>
              <w:bottom w:val="nil"/>
            </w:tcBorders>
          </w:tcPr>
          <w:p w14:paraId="0EF853AE" w14:textId="1C70D057" w:rsidR="0007670F" w:rsidRPr="005B0949" w:rsidRDefault="00644B60" w:rsidP="00152422">
            <w:pPr>
              <w:keepNext/>
              <w:keepLines/>
              <w:jc w:val="center"/>
              <w:rPr>
                <w:noProof/>
                <w:lang w:eastAsia="es-MX"/>
              </w:rPr>
            </w:pPr>
            <w:r>
              <w:rPr>
                <w:noProof/>
              </w:rPr>
              <w:drawing>
                <wp:inline distT="0" distB="0" distL="0" distR="0" wp14:anchorId="2EF5600A" wp14:editId="56B2B9EC">
                  <wp:extent cx="3132000" cy="2052000"/>
                  <wp:effectExtent l="0" t="0" r="0" b="5715"/>
                  <wp:docPr id="9" name="Gráfico 9">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c>
          <w:tcPr>
            <w:tcW w:w="160" w:type="dxa"/>
            <w:tcBorders>
              <w:top w:val="nil"/>
              <w:bottom w:val="nil"/>
            </w:tcBorders>
          </w:tcPr>
          <w:p w14:paraId="67AF0390" w14:textId="77777777" w:rsidR="0007670F" w:rsidRPr="005B0949" w:rsidRDefault="0007670F" w:rsidP="00152422">
            <w:pPr>
              <w:keepNext/>
              <w:keepLines/>
              <w:jc w:val="center"/>
              <w:rPr>
                <w:noProof/>
                <w:lang w:eastAsia="es-MX"/>
              </w:rPr>
            </w:pPr>
          </w:p>
        </w:tc>
        <w:tc>
          <w:tcPr>
            <w:tcW w:w="5079" w:type="dxa"/>
            <w:tcBorders>
              <w:top w:val="nil"/>
              <w:bottom w:val="nil"/>
            </w:tcBorders>
          </w:tcPr>
          <w:p w14:paraId="4028A4D9" w14:textId="2FE787D7" w:rsidR="0007670F" w:rsidRPr="005B0949" w:rsidRDefault="00644B60" w:rsidP="00152422">
            <w:pPr>
              <w:keepNext/>
              <w:keepLines/>
              <w:jc w:val="center"/>
            </w:pPr>
            <w:r>
              <w:rPr>
                <w:noProof/>
              </w:rPr>
              <w:drawing>
                <wp:inline distT="0" distB="0" distL="0" distR="0" wp14:anchorId="60530EA2" wp14:editId="5B926F83">
                  <wp:extent cx="3132000" cy="2052000"/>
                  <wp:effectExtent l="0" t="0" r="0" b="5715"/>
                  <wp:docPr id="10" name="Gráfico 10">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r>
      <w:tr w:rsidR="005B0949" w:rsidRPr="005B0949" w14:paraId="453BD322" w14:textId="77777777" w:rsidTr="00167073">
        <w:trPr>
          <w:jc w:val="center"/>
        </w:trPr>
        <w:tc>
          <w:tcPr>
            <w:tcW w:w="10319" w:type="dxa"/>
            <w:gridSpan w:val="3"/>
            <w:tcBorders>
              <w:top w:val="nil"/>
              <w:bottom w:val="nil"/>
            </w:tcBorders>
            <w:shd w:val="clear" w:color="auto" w:fill="DBE5F1"/>
          </w:tcPr>
          <w:p w14:paraId="7164DB3E" w14:textId="77777777" w:rsidR="0007670F" w:rsidRPr="005B0949" w:rsidRDefault="0007670F" w:rsidP="00152422">
            <w:pPr>
              <w:keepNext/>
              <w:keepLines/>
              <w:jc w:val="center"/>
              <w:rPr>
                <w:sz w:val="20"/>
                <w:szCs w:val="20"/>
              </w:rPr>
            </w:pPr>
            <w:r w:rsidRPr="005B0949">
              <w:rPr>
                <w:sz w:val="20"/>
                <w:szCs w:val="20"/>
              </w:rPr>
              <w:t>Inventarios de insumos</w:t>
            </w:r>
          </w:p>
        </w:tc>
      </w:tr>
      <w:tr w:rsidR="005B0949" w:rsidRPr="005B0949" w14:paraId="0D254B69" w14:textId="77777777" w:rsidTr="00644B60">
        <w:tblPrEx>
          <w:tblCellMar>
            <w:left w:w="70" w:type="dxa"/>
            <w:right w:w="70" w:type="dxa"/>
          </w:tblCellMar>
        </w:tblPrEx>
        <w:trPr>
          <w:trHeight w:val="3062"/>
          <w:jc w:val="center"/>
        </w:trPr>
        <w:tc>
          <w:tcPr>
            <w:tcW w:w="10319" w:type="dxa"/>
            <w:gridSpan w:val="3"/>
            <w:tcBorders>
              <w:top w:val="nil"/>
              <w:bottom w:val="single" w:sz="4" w:space="0" w:color="auto"/>
            </w:tcBorders>
          </w:tcPr>
          <w:p w14:paraId="231F91B3" w14:textId="50963BC1" w:rsidR="0007670F" w:rsidRPr="005B0949" w:rsidRDefault="00644B60" w:rsidP="0024171E">
            <w:pPr>
              <w:keepNext/>
              <w:keepLines/>
              <w:widowControl w:val="0"/>
              <w:jc w:val="center"/>
            </w:pPr>
            <w:r>
              <w:rPr>
                <w:noProof/>
              </w:rPr>
              <w:drawing>
                <wp:inline distT="0" distB="0" distL="0" distR="0" wp14:anchorId="2E7F2FB5" wp14:editId="4963A36B">
                  <wp:extent cx="3132000" cy="2052000"/>
                  <wp:effectExtent l="0" t="0" r="0" b="5715"/>
                  <wp:docPr id="11" name="Gráfico 11">
                    <a:extLst xmlns:a="http://schemas.openxmlformats.org/drawingml/2006/main">
                      <a:ext uri="{FF2B5EF4-FFF2-40B4-BE49-F238E27FC236}">
                        <a16:creationId xmlns:a16="http://schemas.microsoft.com/office/drawing/2014/main" id="{00000000-0008-0000-06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r w:rsidR="0007670F" w:rsidRPr="005B0949" w14:paraId="7B0D2D47" w14:textId="77777777" w:rsidTr="00167073">
        <w:trPr>
          <w:jc w:val="center"/>
        </w:trPr>
        <w:tc>
          <w:tcPr>
            <w:tcW w:w="10319" w:type="dxa"/>
            <w:gridSpan w:val="3"/>
            <w:tcBorders>
              <w:top w:val="single" w:sz="4" w:space="0" w:color="auto"/>
              <w:left w:val="nil"/>
              <w:bottom w:val="nil"/>
              <w:right w:val="nil"/>
            </w:tcBorders>
          </w:tcPr>
          <w:p w14:paraId="6ACAA447" w14:textId="605DAAE4" w:rsidR="0007670F" w:rsidRPr="005B0949" w:rsidRDefault="00AB6F59" w:rsidP="00AB6F59">
            <w:pPr>
              <w:widowControl w:val="0"/>
              <w:spacing w:before="20"/>
              <w:ind w:left="79"/>
              <w:jc w:val="left"/>
              <w:outlineLvl w:val="0"/>
              <w:rPr>
                <w:noProof/>
                <w:lang w:eastAsia="es-MX"/>
              </w:rPr>
            </w:pPr>
            <w:r w:rsidRPr="005B0949">
              <w:rPr>
                <w:sz w:val="14"/>
                <w:szCs w:val="16"/>
              </w:rPr>
              <w:t>Fuente: INEGI y Banco de México</w:t>
            </w:r>
          </w:p>
        </w:tc>
      </w:tr>
    </w:tbl>
    <w:p w14:paraId="5BB86E63" w14:textId="38ED4E2E" w:rsidR="00E379BD" w:rsidRPr="00C719E2" w:rsidRDefault="00E379BD" w:rsidP="00E379BD">
      <w:pPr>
        <w:pStyle w:val="Textoindependiente"/>
        <w:keepNext/>
        <w:keepLines/>
        <w:widowControl w:val="0"/>
        <w:spacing w:before="360"/>
        <w:rPr>
          <w:b/>
          <w:smallCaps/>
          <w:color w:val="auto"/>
          <w:szCs w:val="22"/>
        </w:rPr>
      </w:pPr>
      <w:r w:rsidRPr="00C719E2">
        <w:rPr>
          <w:b/>
          <w:smallCaps/>
          <w:color w:val="auto"/>
          <w:szCs w:val="22"/>
        </w:rPr>
        <w:lastRenderedPageBreak/>
        <w:t>Cifras originales</w:t>
      </w:r>
    </w:p>
    <w:p w14:paraId="5E78A0CC" w14:textId="4F10C6BD" w:rsidR="00A47127" w:rsidRPr="00E8398E" w:rsidRDefault="00751877" w:rsidP="0024593E">
      <w:pPr>
        <w:pStyle w:val="p0"/>
        <w:keepLines w:val="0"/>
        <w:spacing w:before="300" w:after="300"/>
        <w:rPr>
          <w:rFonts w:ascii="Arial" w:hAnsi="Arial"/>
          <w:snapToGrid/>
          <w:color w:val="auto"/>
          <w:lang w:val="es-ES"/>
        </w:rPr>
      </w:pPr>
      <w:r w:rsidRPr="00751877">
        <w:rPr>
          <w:rFonts w:ascii="Arial" w:hAnsi="Arial"/>
          <w:snapToGrid/>
          <w:color w:val="auto"/>
          <w:lang w:val="es-ES"/>
        </w:rPr>
        <w:t>En el mes de referencia, el IPM se situó en 50.4 puntos, lo que implicó una disminución anual de 0.8 puntos.</w:t>
      </w:r>
    </w:p>
    <w:p w14:paraId="225CAEC1" w14:textId="3CF835A0" w:rsidR="007F632F" w:rsidRPr="007F632F" w:rsidRDefault="007F632F" w:rsidP="00AF3DBB">
      <w:pPr>
        <w:widowControl w:val="0"/>
        <w:spacing w:before="480"/>
        <w:jc w:val="center"/>
        <w:rPr>
          <w:sz w:val="20"/>
        </w:rPr>
      </w:pPr>
      <w:r w:rsidRPr="006A491A">
        <w:rPr>
          <w:sz w:val="20"/>
        </w:rPr>
        <w:t>Gráfica 3</w:t>
      </w:r>
    </w:p>
    <w:p w14:paraId="54BD9E74" w14:textId="512FF71D" w:rsidR="0007670F" w:rsidRPr="00C46F19" w:rsidRDefault="0007670F" w:rsidP="00AF3DBB">
      <w:pPr>
        <w:widowControl w:val="0"/>
        <w:jc w:val="center"/>
        <w:rPr>
          <w:b/>
          <w:smallCaps/>
          <w:sz w:val="22"/>
        </w:rPr>
      </w:pPr>
      <w:r w:rsidRPr="00C46F19">
        <w:rPr>
          <w:b/>
          <w:smallCaps/>
          <w:sz w:val="22"/>
        </w:rPr>
        <w:t>Indicador de Pedidos Manufactureros</w:t>
      </w:r>
      <w:r w:rsidR="00FC2537" w:rsidRPr="00C46F19">
        <w:rPr>
          <w:b/>
          <w:smallCaps/>
          <w:sz w:val="22"/>
        </w:rPr>
        <w:t xml:space="preserve"> </w:t>
      </w:r>
    </w:p>
    <w:p w14:paraId="5E3700A9" w14:textId="45D3D7A3" w:rsidR="0007670F" w:rsidRDefault="00644B60" w:rsidP="00AF3DBB">
      <w:pPr>
        <w:widowControl w:val="0"/>
        <w:spacing w:after="20"/>
        <w:jc w:val="center"/>
        <w:rPr>
          <w:b/>
          <w:smallCaps/>
          <w:sz w:val="20"/>
          <w:szCs w:val="20"/>
        </w:rPr>
      </w:pPr>
      <w:r>
        <w:rPr>
          <w:noProof/>
        </w:rPr>
        <w:drawing>
          <wp:inline distT="0" distB="0" distL="0" distR="0" wp14:anchorId="6B046220" wp14:editId="50033F89">
            <wp:extent cx="4320000" cy="2520000"/>
            <wp:effectExtent l="0" t="0" r="4445" b="13970"/>
            <wp:docPr id="14" name="Gráfico 14">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7F21316D" w14:textId="2A1BC206" w:rsidR="0007670F" w:rsidRPr="005B0949" w:rsidRDefault="0007670F" w:rsidP="00AF3DBB">
      <w:pPr>
        <w:widowControl w:val="0"/>
        <w:tabs>
          <w:tab w:val="left" w:pos="1974"/>
        </w:tabs>
        <w:ind w:left="1456" w:hanging="8"/>
        <w:rPr>
          <w:sz w:val="14"/>
          <w:szCs w:val="14"/>
        </w:rPr>
      </w:pPr>
      <w:r w:rsidRPr="005B0949">
        <w:rPr>
          <w:sz w:val="14"/>
          <w:szCs w:val="14"/>
        </w:rPr>
        <w:t>p/</w:t>
      </w:r>
      <w:r w:rsidRPr="005B0949">
        <w:rPr>
          <w:sz w:val="14"/>
          <w:szCs w:val="14"/>
        </w:rPr>
        <w:tab/>
        <w:t>Dato preliminar</w:t>
      </w:r>
    </w:p>
    <w:p w14:paraId="3772213A" w14:textId="05EF36E0" w:rsidR="00AB6F59" w:rsidRPr="005B0949" w:rsidRDefault="002C553E" w:rsidP="00AF3DBB">
      <w:pPr>
        <w:widowControl w:val="0"/>
        <w:tabs>
          <w:tab w:val="left" w:pos="1974"/>
        </w:tabs>
        <w:ind w:left="1456" w:hanging="8"/>
        <w:rPr>
          <w:b/>
          <w:bCs/>
          <w:smallCaps/>
          <w:kern w:val="32"/>
          <w:sz w:val="14"/>
          <w:szCs w:val="16"/>
        </w:rPr>
      </w:pPr>
      <w:r w:rsidRPr="005B0949">
        <w:rPr>
          <w:sz w:val="14"/>
          <w:szCs w:val="16"/>
        </w:rPr>
        <w:t>Fuente:</w:t>
      </w:r>
      <w:r w:rsidRPr="005B0949">
        <w:rPr>
          <w:sz w:val="14"/>
          <w:szCs w:val="16"/>
        </w:rPr>
        <w:tab/>
      </w:r>
      <w:r w:rsidR="00AB6F59" w:rsidRPr="005B0949">
        <w:rPr>
          <w:sz w:val="14"/>
          <w:szCs w:val="16"/>
        </w:rPr>
        <w:t>INEGI y Banco de México</w:t>
      </w:r>
    </w:p>
    <w:p w14:paraId="6A8A45CF" w14:textId="7AAC138B" w:rsidR="00DC158A" w:rsidRDefault="00751877" w:rsidP="00AF3DBB">
      <w:pPr>
        <w:widowControl w:val="0"/>
        <w:spacing w:before="360"/>
        <w:outlineLvl w:val="0"/>
        <w:rPr>
          <w:lang w:val="es-ES"/>
        </w:rPr>
      </w:pPr>
      <w:r w:rsidRPr="00751877">
        <w:rPr>
          <w:lang w:val="es-ES"/>
        </w:rPr>
        <w:t>Con cifras sin desestacionalizar, en diciembre de 2022</w:t>
      </w:r>
      <w:r w:rsidR="00357387">
        <w:rPr>
          <w:lang w:val="es-ES"/>
        </w:rPr>
        <w:t>,</w:t>
      </w:r>
      <w:r w:rsidRPr="00751877">
        <w:rPr>
          <w:lang w:val="es-ES"/>
        </w:rPr>
        <w:t xml:space="preserve"> dos de los cinco rubros que conforman el IPM presentaron reducciones anuales </w:t>
      </w:r>
      <w:r w:rsidR="00357387">
        <w:rPr>
          <w:lang w:val="es-ES"/>
        </w:rPr>
        <w:t>y</w:t>
      </w:r>
      <w:r w:rsidRPr="00751877">
        <w:rPr>
          <w:lang w:val="es-ES"/>
        </w:rPr>
        <w:t xml:space="preserve"> los tres restantes crecieron.</w:t>
      </w:r>
    </w:p>
    <w:p w14:paraId="1D39ABB3" w14:textId="7281250A" w:rsidR="007F632F" w:rsidRPr="007F632F" w:rsidRDefault="007F632F" w:rsidP="00AF3DBB">
      <w:pPr>
        <w:spacing w:before="360"/>
        <w:jc w:val="center"/>
        <w:outlineLvl w:val="0"/>
        <w:rPr>
          <w:sz w:val="20"/>
        </w:rPr>
      </w:pPr>
      <w:r w:rsidRPr="00B23FB9">
        <w:rPr>
          <w:sz w:val="20"/>
        </w:rPr>
        <w:t>Cuadro 2</w:t>
      </w:r>
    </w:p>
    <w:p w14:paraId="0E5548DF" w14:textId="24945B96" w:rsidR="0007670F" w:rsidRPr="00C46F19" w:rsidRDefault="0007670F" w:rsidP="00AF3DBB">
      <w:pPr>
        <w:widowControl w:val="0"/>
        <w:jc w:val="center"/>
        <w:outlineLvl w:val="0"/>
        <w:rPr>
          <w:b/>
          <w:smallCaps/>
          <w:sz w:val="22"/>
        </w:rPr>
      </w:pPr>
      <w:r w:rsidRPr="00C46F19">
        <w:rPr>
          <w:b/>
          <w:smallCaps/>
          <w:sz w:val="22"/>
        </w:rPr>
        <w:t>Componentes del Indicador de Pedidos Manufactureros</w:t>
      </w:r>
    </w:p>
    <w:p w14:paraId="78D95120" w14:textId="71CCAAE3" w:rsidR="0007670F" w:rsidRPr="00C46F19" w:rsidRDefault="007F632F" w:rsidP="00AF3DBB">
      <w:pPr>
        <w:widowControl w:val="0"/>
        <w:jc w:val="center"/>
        <w:outlineLvl w:val="0"/>
        <w:rPr>
          <w:sz w:val="22"/>
        </w:rPr>
      </w:pPr>
      <w:r>
        <w:rPr>
          <w:b/>
          <w:smallCaps/>
          <w:sz w:val="22"/>
        </w:rPr>
        <w:t>c</w:t>
      </w:r>
      <w:r w:rsidR="0007670F" w:rsidRPr="00C46F19">
        <w:rPr>
          <w:b/>
          <w:smallCaps/>
          <w:sz w:val="22"/>
        </w:rPr>
        <w:t>ifras originales</w:t>
      </w:r>
    </w:p>
    <w:tbl>
      <w:tblPr>
        <w:tblW w:w="8766" w:type="dxa"/>
        <w:jc w:val="center"/>
        <w:tblLayout w:type="fixed"/>
        <w:tblCellMar>
          <w:left w:w="70" w:type="dxa"/>
          <w:right w:w="70" w:type="dxa"/>
        </w:tblCellMar>
        <w:tblLook w:val="0000" w:firstRow="0" w:lastRow="0" w:firstColumn="0" w:lastColumn="0" w:noHBand="0" w:noVBand="0"/>
      </w:tblPr>
      <w:tblGrid>
        <w:gridCol w:w="5092"/>
        <w:gridCol w:w="1224"/>
        <w:gridCol w:w="1225"/>
        <w:gridCol w:w="1225"/>
      </w:tblGrid>
      <w:tr w:rsidR="005B0949" w:rsidRPr="005B0949" w14:paraId="286A9C26" w14:textId="77777777" w:rsidTr="00152422">
        <w:trPr>
          <w:cantSplit/>
          <w:trHeight w:val="300"/>
          <w:jc w:val="center"/>
        </w:trPr>
        <w:tc>
          <w:tcPr>
            <w:tcW w:w="5092" w:type="dxa"/>
            <w:vMerge w:val="restart"/>
            <w:tcBorders>
              <w:top w:val="single" w:sz="6" w:space="0" w:color="404040"/>
              <w:left w:val="single" w:sz="6" w:space="0" w:color="404040"/>
              <w:right w:val="single" w:sz="6" w:space="0" w:color="404040"/>
            </w:tcBorders>
            <w:shd w:val="clear" w:color="auto" w:fill="CCCCFF"/>
            <w:vAlign w:val="center"/>
          </w:tcPr>
          <w:p w14:paraId="440A28B8" w14:textId="77777777" w:rsidR="0007670F" w:rsidRPr="005B0949" w:rsidRDefault="0007670F" w:rsidP="00AF3DBB">
            <w:pPr>
              <w:widowControl w:val="0"/>
              <w:spacing w:before="60" w:after="60" w:line="240" w:lineRule="atLeast"/>
              <w:ind w:firstLine="347"/>
              <w:rPr>
                <w:sz w:val="18"/>
                <w:szCs w:val="18"/>
              </w:rPr>
            </w:pPr>
            <w:r w:rsidRPr="005B0949">
              <w:rPr>
                <w:sz w:val="18"/>
                <w:szCs w:val="18"/>
              </w:rPr>
              <w:t>Indicadores</w:t>
            </w:r>
          </w:p>
        </w:tc>
        <w:tc>
          <w:tcPr>
            <w:tcW w:w="2449" w:type="dxa"/>
            <w:gridSpan w:val="2"/>
            <w:tcBorders>
              <w:top w:val="single" w:sz="6" w:space="0" w:color="404040"/>
              <w:left w:val="single" w:sz="6" w:space="0" w:color="404040"/>
              <w:bottom w:val="single" w:sz="6" w:space="0" w:color="404040"/>
              <w:right w:val="single" w:sz="6" w:space="0" w:color="404040"/>
            </w:tcBorders>
            <w:shd w:val="clear" w:color="auto" w:fill="CCCCFF"/>
            <w:vAlign w:val="center"/>
          </w:tcPr>
          <w:p w14:paraId="54C8EA7E" w14:textId="1FB15CF0" w:rsidR="0007670F" w:rsidRPr="005B0949" w:rsidRDefault="00644B60" w:rsidP="00AF3DBB">
            <w:pPr>
              <w:widowControl w:val="0"/>
              <w:spacing w:before="40" w:after="40" w:line="240" w:lineRule="atLeast"/>
              <w:jc w:val="center"/>
              <w:rPr>
                <w:sz w:val="18"/>
                <w:szCs w:val="18"/>
              </w:rPr>
            </w:pPr>
            <w:r>
              <w:rPr>
                <w:sz w:val="18"/>
                <w:szCs w:val="18"/>
              </w:rPr>
              <w:t>Dic</w:t>
            </w:r>
            <w:r w:rsidR="00BE37CD">
              <w:rPr>
                <w:sz w:val="18"/>
                <w:szCs w:val="18"/>
              </w:rPr>
              <w:t>iem</w:t>
            </w:r>
            <w:r w:rsidR="007C0417">
              <w:rPr>
                <w:sz w:val="18"/>
                <w:szCs w:val="18"/>
              </w:rPr>
              <w:t>bre</w:t>
            </w:r>
          </w:p>
        </w:tc>
        <w:tc>
          <w:tcPr>
            <w:tcW w:w="1225" w:type="dxa"/>
            <w:vMerge w:val="restart"/>
            <w:tcBorders>
              <w:top w:val="single" w:sz="6" w:space="0" w:color="404040"/>
              <w:left w:val="single" w:sz="6" w:space="0" w:color="404040"/>
              <w:right w:val="single" w:sz="6" w:space="0" w:color="404040"/>
            </w:tcBorders>
            <w:shd w:val="clear" w:color="auto" w:fill="CCCCFF"/>
            <w:vAlign w:val="center"/>
          </w:tcPr>
          <w:p w14:paraId="3AD8C0D6" w14:textId="77777777" w:rsidR="0007670F" w:rsidRPr="005B0949" w:rsidRDefault="0007670F" w:rsidP="00AF3DBB">
            <w:pPr>
              <w:widowControl w:val="0"/>
              <w:spacing w:before="60" w:after="60" w:line="240" w:lineRule="atLeast"/>
              <w:jc w:val="center"/>
              <w:rPr>
                <w:sz w:val="18"/>
                <w:szCs w:val="18"/>
              </w:rPr>
            </w:pPr>
            <w:r w:rsidRPr="005B0949">
              <w:rPr>
                <w:sz w:val="18"/>
                <w:szCs w:val="18"/>
              </w:rPr>
              <w:t>Diferencia en puntos</w:t>
            </w:r>
            <w:r w:rsidRPr="005B0949">
              <w:rPr>
                <w:sz w:val="18"/>
                <w:szCs w:val="18"/>
                <w:vertAlign w:val="superscript"/>
              </w:rPr>
              <w:t>1/</w:t>
            </w:r>
          </w:p>
        </w:tc>
      </w:tr>
      <w:tr w:rsidR="005B0949" w:rsidRPr="005B0949" w14:paraId="501A7A39" w14:textId="77777777" w:rsidTr="00152422">
        <w:trPr>
          <w:cantSplit/>
          <w:trHeight w:val="300"/>
          <w:jc w:val="center"/>
        </w:trPr>
        <w:tc>
          <w:tcPr>
            <w:tcW w:w="5092" w:type="dxa"/>
            <w:vMerge/>
            <w:tcBorders>
              <w:left w:val="single" w:sz="6" w:space="0" w:color="404040"/>
              <w:bottom w:val="single" w:sz="6" w:space="0" w:color="404040"/>
              <w:right w:val="single" w:sz="6" w:space="0" w:color="404040"/>
            </w:tcBorders>
            <w:shd w:val="pct10" w:color="auto" w:fill="auto"/>
            <w:vAlign w:val="center"/>
          </w:tcPr>
          <w:p w14:paraId="1CF51F72" w14:textId="77777777" w:rsidR="0007670F" w:rsidRPr="005B0949" w:rsidRDefault="0007670F" w:rsidP="00AF3DBB">
            <w:pPr>
              <w:widowControl w:val="0"/>
              <w:spacing w:before="60" w:after="60" w:line="240" w:lineRule="atLeast"/>
              <w:jc w:val="center"/>
              <w:rPr>
                <w:sz w:val="18"/>
                <w:szCs w:val="18"/>
              </w:rPr>
            </w:pPr>
          </w:p>
        </w:tc>
        <w:tc>
          <w:tcPr>
            <w:tcW w:w="1224"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2C41064" w14:textId="5A86185B" w:rsidR="0007670F" w:rsidRPr="005B0949" w:rsidRDefault="007F632F" w:rsidP="00AF3DBB">
            <w:pPr>
              <w:widowControl w:val="0"/>
              <w:spacing w:line="240" w:lineRule="atLeast"/>
              <w:ind w:right="-54"/>
              <w:jc w:val="center"/>
              <w:rPr>
                <w:sz w:val="18"/>
                <w:szCs w:val="18"/>
              </w:rPr>
            </w:pPr>
            <w:r>
              <w:rPr>
                <w:sz w:val="18"/>
                <w:szCs w:val="18"/>
              </w:rPr>
              <w:t>2021</w:t>
            </w:r>
          </w:p>
        </w:tc>
        <w:tc>
          <w:tcPr>
            <w:tcW w:w="1225"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36B573BE" w14:textId="2BBCC318" w:rsidR="0007670F" w:rsidRPr="005B0949" w:rsidRDefault="007F632F" w:rsidP="00AF3DBB">
            <w:pPr>
              <w:widowControl w:val="0"/>
              <w:spacing w:line="240" w:lineRule="atLeast"/>
              <w:ind w:left="-70" w:right="-57"/>
              <w:jc w:val="center"/>
              <w:rPr>
                <w:sz w:val="18"/>
                <w:szCs w:val="18"/>
              </w:rPr>
            </w:pPr>
            <w:r>
              <w:rPr>
                <w:sz w:val="18"/>
                <w:szCs w:val="18"/>
              </w:rPr>
              <w:t>2022</w:t>
            </w:r>
            <w:r w:rsidR="0007670F" w:rsidRPr="005B0949">
              <w:rPr>
                <w:sz w:val="18"/>
                <w:szCs w:val="18"/>
                <w:vertAlign w:val="superscript"/>
              </w:rPr>
              <w:t>p/</w:t>
            </w:r>
          </w:p>
        </w:tc>
        <w:tc>
          <w:tcPr>
            <w:tcW w:w="1225" w:type="dxa"/>
            <w:vMerge/>
            <w:tcBorders>
              <w:left w:val="single" w:sz="6" w:space="0" w:color="404040"/>
              <w:bottom w:val="single" w:sz="6" w:space="0" w:color="404040"/>
              <w:right w:val="single" w:sz="6" w:space="0" w:color="404040"/>
            </w:tcBorders>
            <w:shd w:val="pct10" w:color="auto" w:fill="auto"/>
            <w:vAlign w:val="center"/>
          </w:tcPr>
          <w:p w14:paraId="6A260854" w14:textId="77777777" w:rsidR="0007670F" w:rsidRPr="005B0949" w:rsidRDefault="0007670F" w:rsidP="00AF3DBB">
            <w:pPr>
              <w:widowControl w:val="0"/>
              <w:spacing w:line="240" w:lineRule="atLeast"/>
              <w:ind w:left="-64" w:right="-45"/>
              <w:jc w:val="center"/>
              <w:rPr>
                <w:sz w:val="18"/>
                <w:szCs w:val="18"/>
              </w:rPr>
            </w:pPr>
          </w:p>
        </w:tc>
      </w:tr>
      <w:tr w:rsidR="00644B60" w:rsidRPr="005B0949" w14:paraId="5C0AB6F6" w14:textId="77777777" w:rsidTr="00644B60">
        <w:trPr>
          <w:cantSplit/>
          <w:trHeight w:val="20"/>
          <w:jc w:val="center"/>
        </w:trPr>
        <w:tc>
          <w:tcPr>
            <w:tcW w:w="5092" w:type="dxa"/>
            <w:tcBorders>
              <w:top w:val="single" w:sz="6" w:space="0" w:color="404040"/>
              <w:left w:val="single" w:sz="6" w:space="0" w:color="404040"/>
              <w:right w:val="single" w:sz="6" w:space="0" w:color="404040"/>
            </w:tcBorders>
            <w:vAlign w:val="center"/>
          </w:tcPr>
          <w:p w14:paraId="22CFB247" w14:textId="77777777" w:rsidR="00644B60" w:rsidRPr="005B0949" w:rsidRDefault="00644B60" w:rsidP="00644B60">
            <w:pPr>
              <w:widowControl w:val="0"/>
              <w:tabs>
                <w:tab w:val="left" w:pos="339"/>
              </w:tabs>
              <w:spacing w:before="20" w:after="20" w:line="240" w:lineRule="exact"/>
              <w:ind w:left="323" w:hanging="306"/>
              <w:jc w:val="left"/>
              <w:rPr>
                <w:b/>
                <w:sz w:val="18"/>
                <w:szCs w:val="18"/>
              </w:rPr>
            </w:pPr>
            <w:r w:rsidRPr="005B0949">
              <w:rPr>
                <w:b/>
                <w:sz w:val="18"/>
                <w:szCs w:val="18"/>
              </w:rPr>
              <w:t>Indicador de Pedidos Manufactureros</w:t>
            </w:r>
          </w:p>
        </w:tc>
        <w:tc>
          <w:tcPr>
            <w:tcW w:w="1224" w:type="dxa"/>
            <w:tcBorders>
              <w:top w:val="single" w:sz="6" w:space="0" w:color="404040"/>
            </w:tcBorders>
            <w:vAlign w:val="center"/>
          </w:tcPr>
          <w:p w14:paraId="14F711E8" w14:textId="36627FAD" w:rsidR="00644B60" w:rsidRPr="004F6CEC" w:rsidRDefault="00644B60" w:rsidP="00644B60">
            <w:pPr>
              <w:tabs>
                <w:tab w:val="decimal" w:pos="553"/>
              </w:tabs>
              <w:jc w:val="left"/>
              <w:rPr>
                <w:b/>
                <w:bCs/>
                <w:sz w:val="18"/>
                <w:szCs w:val="18"/>
              </w:rPr>
            </w:pPr>
            <w:r>
              <w:rPr>
                <w:b/>
                <w:bCs/>
                <w:color w:val="000000"/>
                <w:sz w:val="18"/>
                <w:szCs w:val="18"/>
              </w:rPr>
              <w:t>51.1</w:t>
            </w:r>
          </w:p>
        </w:tc>
        <w:tc>
          <w:tcPr>
            <w:tcW w:w="1225" w:type="dxa"/>
            <w:tcBorders>
              <w:top w:val="single" w:sz="6" w:space="0" w:color="404040"/>
              <w:right w:val="single" w:sz="6" w:space="0" w:color="404040"/>
            </w:tcBorders>
            <w:vAlign w:val="center"/>
          </w:tcPr>
          <w:p w14:paraId="6576A907" w14:textId="62869B77" w:rsidR="00644B60" w:rsidRPr="004F6CEC" w:rsidRDefault="00644B60" w:rsidP="00644B60">
            <w:pPr>
              <w:tabs>
                <w:tab w:val="decimal" w:pos="502"/>
              </w:tabs>
              <w:jc w:val="left"/>
              <w:rPr>
                <w:b/>
                <w:bCs/>
                <w:sz w:val="18"/>
                <w:szCs w:val="18"/>
              </w:rPr>
            </w:pPr>
            <w:r>
              <w:rPr>
                <w:b/>
                <w:bCs/>
                <w:color w:val="000000"/>
                <w:sz w:val="18"/>
                <w:szCs w:val="18"/>
              </w:rPr>
              <w:t>50.4</w:t>
            </w:r>
          </w:p>
        </w:tc>
        <w:tc>
          <w:tcPr>
            <w:tcW w:w="1225" w:type="dxa"/>
            <w:tcBorders>
              <w:top w:val="single" w:sz="6" w:space="0" w:color="404040"/>
              <w:right w:val="single" w:sz="6" w:space="0" w:color="404040"/>
            </w:tcBorders>
            <w:vAlign w:val="center"/>
          </w:tcPr>
          <w:p w14:paraId="143F50C8" w14:textId="67C8E21E" w:rsidR="00644B60" w:rsidRPr="004F6CEC" w:rsidRDefault="00644B60" w:rsidP="00644B60">
            <w:pPr>
              <w:tabs>
                <w:tab w:val="decimal" w:pos="528"/>
              </w:tabs>
              <w:jc w:val="left"/>
              <w:rPr>
                <w:b/>
                <w:bCs/>
                <w:sz w:val="18"/>
                <w:szCs w:val="18"/>
              </w:rPr>
            </w:pPr>
            <w:r>
              <w:rPr>
                <w:b/>
                <w:bCs/>
                <w:color w:val="000000"/>
                <w:sz w:val="18"/>
                <w:szCs w:val="18"/>
              </w:rPr>
              <w:t>-0.8</w:t>
            </w:r>
          </w:p>
        </w:tc>
      </w:tr>
      <w:tr w:rsidR="00644B60" w:rsidRPr="005B0949" w14:paraId="73010FEF" w14:textId="77777777" w:rsidTr="00644B60">
        <w:trPr>
          <w:cantSplit/>
          <w:trHeight w:val="20"/>
          <w:jc w:val="center"/>
        </w:trPr>
        <w:tc>
          <w:tcPr>
            <w:tcW w:w="5092" w:type="dxa"/>
            <w:tcBorders>
              <w:left w:val="single" w:sz="6" w:space="0" w:color="404040"/>
              <w:right w:val="single" w:sz="6" w:space="0" w:color="404040"/>
            </w:tcBorders>
            <w:vAlign w:val="center"/>
          </w:tcPr>
          <w:p w14:paraId="2219DEF3" w14:textId="77777777" w:rsidR="00644B60" w:rsidRPr="005B0949" w:rsidRDefault="00644B60" w:rsidP="00644B60">
            <w:pPr>
              <w:widowControl w:val="0"/>
              <w:numPr>
                <w:ilvl w:val="0"/>
                <w:numId w:val="30"/>
              </w:numPr>
              <w:spacing w:before="20" w:after="20"/>
              <w:ind w:left="325" w:hanging="309"/>
              <w:jc w:val="left"/>
              <w:rPr>
                <w:sz w:val="18"/>
                <w:szCs w:val="18"/>
              </w:rPr>
            </w:pPr>
            <w:r w:rsidRPr="005B0949">
              <w:rPr>
                <w:sz w:val="18"/>
                <w:szCs w:val="18"/>
              </w:rPr>
              <w:t>Pedidos</w:t>
            </w:r>
          </w:p>
        </w:tc>
        <w:tc>
          <w:tcPr>
            <w:tcW w:w="1224" w:type="dxa"/>
            <w:vAlign w:val="center"/>
          </w:tcPr>
          <w:p w14:paraId="558AD31D" w14:textId="710D60CE" w:rsidR="00644B60" w:rsidRPr="004F6CEC" w:rsidRDefault="00644B60" w:rsidP="00644B60">
            <w:pPr>
              <w:tabs>
                <w:tab w:val="decimal" w:pos="553"/>
              </w:tabs>
              <w:jc w:val="left"/>
              <w:rPr>
                <w:sz w:val="18"/>
                <w:szCs w:val="18"/>
              </w:rPr>
            </w:pPr>
            <w:r>
              <w:rPr>
                <w:color w:val="000000"/>
                <w:sz w:val="18"/>
                <w:szCs w:val="18"/>
              </w:rPr>
              <w:t>53.0</w:t>
            </w:r>
          </w:p>
        </w:tc>
        <w:tc>
          <w:tcPr>
            <w:tcW w:w="1225" w:type="dxa"/>
            <w:tcBorders>
              <w:right w:val="single" w:sz="6" w:space="0" w:color="404040"/>
            </w:tcBorders>
            <w:vAlign w:val="center"/>
          </w:tcPr>
          <w:p w14:paraId="49D1DA46" w14:textId="417B68BE" w:rsidR="00644B60" w:rsidRPr="004F6CEC" w:rsidRDefault="00644B60" w:rsidP="00644B60">
            <w:pPr>
              <w:tabs>
                <w:tab w:val="decimal" w:pos="502"/>
              </w:tabs>
              <w:jc w:val="left"/>
              <w:rPr>
                <w:sz w:val="18"/>
                <w:szCs w:val="18"/>
              </w:rPr>
            </w:pPr>
            <w:r>
              <w:rPr>
                <w:color w:val="000000"/>
                <w:sz w:val="18"/>
                <w:szCs w:val="18"/>
              </w:rPr>
              <w:t>49.7</w:t>
            </w:r>
          </w:p>
        </w:tc>
        <w:tc>
          <w:tcPr>
            <w:tcW w:w="1225" w:type="dxa"/>
            <w:tcBorders>
              <w:right w:val="single" w:sz="6" w:space="0" w:color="404040"/>
            </w:tcBorders>
            <w:vAlign w:val="center"/>
          </w:tcPr>
          <w:p w14:paraId="12AF87FF" w14:textId="362C62F0" w:rsidR="00644B60" w:rsidRPr="004F6CEC" w:rsidRDefault="00644B60" w:rsidP="00644B60">
            <w:pPr>
              <w:tabs>
                <w:tab w:val="decimal" w:pos="528"/>
              </w:tabs>
              <w:jc w:val="left"/>
              <w:rPr>
                <w:sz w:val="18"/>
                <w:szCs w:val="18"/>
              </w:rPr>
            </w:pPr>
            <w:r>
              <w:rPr>
                <w:color w:val="000000"/>
                <w:sz w:val="18"/>
                <w:szCs w:val="18"/>
              </w:rPr>
              <w:t>-3.2</w:t>
            </w:r>
          </w:p>
        </w:tc>
      </w:tr>
      <w:tr w:rsidR="00644B60" w:rsidRPr="005B0949" w14:paraId="3EFD7D1A" w14:textId="77777777" w:rsidTr="00644B60">
        <w:trPr>
          <w:cantSplit/>
          <w:trHeight w:val="20"/>
          <w:jc w:val="center"/>
        </w:trPr>
        <w:tc>
          <w:tcPr>
            <w:tcW w:w="5092" w:type="dxa"/>
            <w:tcBorders>
              <w:left w:val="single" w:sz="6" w:space="0" w:color="404040"/>
              <w:right w:val="single" w:sz="6" w:space="0" w:color="404040"/>
            </w:tcBorders>
            <w:vAlign w:val="center"/>
          </w:tcPr>
          <w:p w14:paraId="0ACD3CE9" w14:textId="77777777" w:rsidR="00644B60" w:rsidRPr="005B0949" w:rsidRDefault="00644B60" w:rsidP="00644B60">
            <w:pPr>
              <w:widowControl w:val="0"/>
              <w:numPr>
                <w:ilvl w:val="0"/>
                <w:numId w:val="30"/>
              </w:numPr>
              <w:spacing w:before="20" w:after="20"/>
              <w:ind w:left="325" w:hanging="309"/>
              <w:jc w:val="left"/>
              <w:rPr>
                <w:sz w:val="18"/>
                <w:szCs w:val="18"/>
              </w:rPr>
            </w:pPr>
            <w:r w:rsidRPr="005B0949">
              <w:rPr>
                <w:sz w:val="18"/>
                <w:szCs w:val="18"/>
              </w:rPr>
              <w:t>Producción</w:t>
            </w:r>
          </w:p>
        </w:tc>
        <w:tc>
          <w:tcPr>
            <w:tcW w:w="1224" w:type="dxa"/>
            <w:vAlign w:val="center"/>
          </w:tcPr>
          <w:p w14:paraId="7EA67E7F" w14:textId="22738637" w:rsidR="00644B60" w:rsidRPr="004F6CEC" w:rsidRDefault="00644B60" w:rsidP="00644B60">
            <w:pPr>
              <w:tabs>
                <w:tab w:val="decimal" w:pos="553"/>
              </w:tabs>
              <w:jc w:val="left"/>
              <w:rPr>
                <w:sz w:val="18"/>
                <w:szCs w:val="18"/>
              </w:rPr>
            </w:pPr>
            <w:r>
              <w:rPr>
                <w:color w:val="000000"/>
                <w:sz w:val="18"/>
                <w:szCs w:val="18"/>
              </w:rPr>
              <w:t>51.3</w:t>
            </w:r>
          </w:p>
        </w:tc>
        <w:tc>
          <w:tcPr>
            <w:tcW w:w="1225" w:type="dxa"/>
            <w:tcBorders>
              <w:right w:val="single" w:sz="6" w:space="0" w:color="404040"/>
            </w:tcBorders>
            <w:vAlign w:val="center"/>
          </w:tcPr>
          <w:p w14:paraId="544FD5C2" w14:textId="5E5E7A75" w:rsidR="00644B60" w:rsidRPr="004F6CEC" w:rsidRDefault="00644B60" w:rsidP="00644B60">
            <w:pPr>
              <w:tabs>
                <w:tab w:val="decimal" w:pos="502"/>
              </w:tabs>
              <w:jc w:val="left"/>
              <w:rPr>
                <w:sz w:val="18"/>
                <w:szCs w:val="18"/>
              </w:rPr>
            </w:pPr>
            <w:r>
              <w:rPr>
                <w:color w:val="000000"/>
                <w:sz w:val="18"/>
                <w:szCs w:val="18"/>
              </w:rPr>
              <w:t>50.6</w:t>
            </w:r>
          </w:p>
        </w:tc>
        <w:tc>
          <w:tcPr>
            <w:tcW w:w="1225" w:type="dxa"/>
            <w:tcBorders>
              <w:right w:val="single" w:sz="6" w:space="0" w:color="404040"/>
            </w:tcBorders>
            <w:vAlign w:val="center"/>
          </w:tcPr>
          <w:p w14:paraId="15C844A0" w14:textId="5A255524" w:rsidR="00644B60" w:rsidRPr="004F6CEC" w:rsidRDefault="00644B60" w:rsidP="00644B60">
            <w:pPr>
              <w:tabs>
                <w:tab w:val="decimal" w:pos="528"/>
              </w:tabs>
              <w:jc w:val="left"/>
              <w:rPr>
                <w:sz w:val="18"/>
                <w:szCs w:val="18"/>
              </w:rPr>
            </w:pPr>
            <w:r>
              <w:rPr>
                <w:color w:val="000000"/>
                <w:sz w:val="18"/>
                <w:szCs w:val="18"/>
              </w:rPr>
              <w:t>-0.7</w:t>
            </w:r>
          </w:p>
        </w:tc>
      </w:tr>
      <w:tr w:rsidR="00644B60" w:rsidRPr="005B0949" w14:paraId="7CE2533C" w14:textId="77777777" w:rsidTr="00644B60">
        <w:trPr>
          <w:cantSplit/>
          <w:trHeight w:val="20"/>
          <w:jc w:val="center"/>
        </w:trPr>
        <w:tc>
          <w:tcPr>
            <w:tcW w:w="5092" w:type="dxa"/>
            <w:tcBorders>
              <w:left w:val="single" w:sz="6" w:space="0" w:color="404040"/>
              <w:right w:val="single" w:sz="6" w:space="0" w:color="404040"/>
            </w:tcBorders>
            <w:vAlign w:val="center"/>
          </w:tcPr>
          <w:p w14:paraId="1DB51328" w14:textId="77777777" w:rsidR="00644B60" w:rsidRPr="005B0949" w:rsidRDefault="00644B60" w:rsidP="00644B60">
            <w:pPr>
              <w:widowControl w:val="0"/>
              <w:numPr>
                <w:ilvl w:val="0"/>
                <w:numId w:val="30"/>
              </w:numPr>
              <w:spacing w:before="20" w:after="20"/>
              <w:ind w:left="325" w:hanging="309"/>
              <w:jc w:val="left"/>
              <w:rPr>
                <w:sz w:val="18"/>
                <w:szCs w:val="18"/>
              </w:rPr>
            </w:pPr>
            <w:r w:rsidRPr="005B0949">
              <w:rPr>
                <w:sz w:val="18"/>
                <w:szCs w:val="18"/>
              </w:rPr>
              <w:t>Personal ocupado total</w:t>
            </w:r>
          </w:p>
        </w:tc>
        <w:tc>
          <w:tcPr>
            <w:tcW w:w="1224" w:type="dxa"/>
            <w:vAlign w:val="center"/>
          </w:tcPr>
          <w:p w14:paraId="46ACAEA9" w14:textId="6C22FD5B" w:rsidR="00644B60" w:rsidRPr="004F6CEC" w:rsidRDefault="00644B60" w:rsidP="00644B60">
            <w:pPr>
              <w:tabs>
                <w:tab w:val="decimal" w:pos="553"/>
              </w:tabs>
              <w:jc w:val="left"/>
              <w:rPr>
                <w:sz w:val="18"/>
                <w:szCs w:val="18"/>
              </w:rPr>
            </w:pPr>
            <w:r>
              <w:rPr>
                <w:color w:val="000000"/>
                <w:sz w:val="18"/>
                <w:szCs w:val="18"/>
              </w:rPr>
              <w:t>50.0</w:t>
            </w:r>
          </w:p>
        </w:tc>
        <w:tc>
          <w:tcPr>
            <w:tcW w:w="1225" w:type="dxa"/>
            <w:tcBorders>
              <w:right w:val="single" w:sz="6" w:space="0" w:color="404040"/>
            </w:tcBorders>
            <w:vAlign w:val="center"/>
          </w:tcPr>
          <w:p w14:paraId="69B56E05" w14:textId="62AB8C89" w:rsidR="00644B60" w:rsidRPr="004F6CEC" w:rsidRDefault="00644B60" w:rsidP="00644B60">
            <w:pPr>
              <w:tabs>
                <w:tab w:val="decimal" w:pos="502"/>
              </w:tabs>
              <w:jc w:val="left"/>
              <w:rPr>
                <w:sz w:val="18"/>
                <w:szCs w:val="18"/>
              </w:rPr>
            </w:pPr>
            <w:r>
              <w:rPr>
                <w:color w:val="000000"/>
                <w:sz w:val="18"/>
                <w:szCs w:val="18"/>
              </w:rPr>
              <w:t>50.5</w:t>
            </w:r>
          </w:p>
        </w:tc>
        <w:tc>
          <w:tcPr>
            <w:tcW w:w="1225" w:type="dxa"/>
            <w:tcBorders>
              <w:right w:val="single" w:sz="6" w:space="0" w:color="404040"/>
            </w:tcBorders>
            <w:vAlign w:val="center"/>
          </w:tcPr>
          <w:p w14:paraId="704AB3D8" w14:textId="02A54293" w:rsidR="00644B60" w:rsidRPr="004F6CEC" w:rsidRDefault="00644B60" w:rsidP="00644B60">
            <w:pPr>
              <w:tabs>
                <w:tab w:val="decimal" w:pos="528"/>
              </w:tabs>
              <w:jc w:val="left"/>
              <w:rPr>
                <w:sz w:val="18"/>
                <w:szCs w:val="18"/>
              </w:rPr>
            </w:pPr>
            <w:r>
              <w:rPr>
                <w:color w:val="000000"/>
                <w:sz w:val="18"/>
                <w:szCs w:val="18"/>
              </w:rPr>
              <w:t>0.5</w:t>
            </w:r>
          </w:p>
        </w:tc>
      </w:tr>
      <w:tr w:rsidR="00644B60" w:rsidRPr="005B0949" w14:paraId="7C2F41D3" w14:textId="77777777" w:rsidTr="00644B60">
        <w:trPr>
          <w:cantSplit/>
          <w:trHeight w:val="20"/>
          <w:jc w:val="center"/>
        </w:trPr>
        <w:tc>
          <w:tcPr>
            <w:tcW w:w="5092" w:type="dxa"/>
            <w:tcBorders>
              <w:left w:val="single" w:sz="6" w:space="0" w:color="404040"/>
              <w:right w:val="single" w:sz="6" w:space="0" w:color="404040"/>
            </w:tcBorders>
            <w:vAlign w:val="center"/>
          </w:tcPr>
          <w:p w14:paraId="11A0290C" w14:textId="5FADBE44" w:rsidR="00644B60" w:rsidRPr="005B0949" w:rsidRDefault="00644B60" w:rsidP="00644B60">
            <w:pPr>
              <w:widowControl w:val="0"/>
              <w:numPr>
                <w:ilvl w:val="0"/>
                <w:numId w:val="30"/>
              </w:numPr>
              <w:spacing w:before="20" w:after="20"/>
              <w:ind w:left="325" w:right="-87" w:hanging="309"/>
              <w:jc w:val="left"/>
              <w:rPr>
                <w:sz w:val="18"/>
                <w:szCs w:val="18"/>
              </w:rPr>
            </w:pPr>
            <w:r w:rsidRPr="005B0949">
              <w:rPr>
                <w:sz w:val="18"/>
                <w:szCs w:val="18"/>
              </w:rPr>
              <w:t>Oportunidad en la entrega de insumos de proveedores</w:t>
            </w:r>
          </w:p>
        </w:tc>
        <w:tc>
          <w:tcPr>
            <w:tcW w:w="1224" w:type="dxa"/>
            <w:vAlign w:val="center"/>
          </w:tcPr>
          <w:p w14:paraId="48537BC3" w14:textId="70E8D8A9" w:rsidR="00644B60" w:rsidRPr="004F6CEC" w:rsidRDefault="00644B60" w:rsidP="00644B60">
            <w:pPr>
              <w:tabs>
                <w:tab w:val="decimal" w:pos="553"/>
              </w:tabs>
              <w:jc w:val="left"/>
              <w:rPr>
                <w:sz w:val="18"/>
                <w:szCs w:val="18"/>
              </w:rPr>
            </w:pPr>
            <w:r>
              <w:rPr>
                <w:color w:val="000000"/>
                <w:sz w:val="18"/>
                <w:szCs w:val="18"/>
              </w:rPr>
              <w:t>48.6</w:t>
            </w:r>
          </w:p>
        </w:tc>
        <w:tc>
          <w:tcPr>
            <w:tcW w:w="1225" w:type="dxa"/>
            <w:tcBorders>
              <w:right w:val="single" w:sz="6" w:space="0" w:color="404040"/>
            </w:tcBorders>
            <w:vAlign w:val="center"/>
          </w:tcPr>
          <w:p w14:paraId="45BFCFD7" w14:textId="5E49C2B9" w:rsidR="00644B60" w:rsidRPr="004F6CEC" w:rsidRDefault="00644B60" w:rsidP="00644B60">
            <w:pPr>
              <w:tabs>
                <w:tab w:val="decimal" w:pos="502"/>
              </w:tabs>
              <w:jc w:val="left"/>
              <w:rPr>
                <w:sz w:val="18"/>
                <w:szCs w:val="18"/>
              </w:rPr>
            </w:pPr>
            <w:r>
              <w:rPr>
                <w:color w:val="000000"/>
                <w:sz w:val="18"/>
                <w:szCs w:val="18"/>
              </w:rPr>
              <w:t>49.0</w:t>
            </w:r>
          </w:p>
        </w:tc>
        <w:tc>
          <w:tcPr>
            <w:tcW w:w="1225" w:type="dxa"/>
            <w:tcBorders>
              <w:right w:val="single" w:sz="6" w:space="0" w:color="404040"/>
            </w:tcBorders>
            <w:vAlign w:val="center"/>
          </w:tcPr>
          <w:p w14:paraId="6A954970" w14:textId="3D7B8096" w:rsidR="00644B60" w:rsidRPr="004F6CEC" w:rsidRDefault="00644B60" w:rsidP="00644B60">
            <w:pPr>
              <w:tabs>
                <w:tab w:val="decimal" w:pos="528"/>
              </w:tabs>
              <w:jc w:val="left"/>
              <w:rPr>
                <w:sz w:val="18"/>
                <w:szCs w:val="18"/>
              </w:rPr>
            </w:pPr>
            <w:r>
              <w:rPr>
                <w:color w:val="000000"/>
                <w:sz w:val="18"/>
                <w:szCs w:val="18"/>
              </w:rPr>
              <w:t>0.4</w:t>
            </w:r>
          </w:p>
        </w:tc>
      </w:tr>
      <w:tr w:rsidR="00644B60" w:rsidRPr="005B0949" w14:paraId="624EBD59" w14:textId="77777777" w:rsidTr="00644B60">
        <w:trPr>
          <w:cantSplit/>
          <w:trHeight w:val="20"/>
          <w:jc w:val="center"/>
        </w:trPr>
        <w:tc>
          <w:tcPr>
            <w:tcW w:w="5092" w:type="dxa"/>
            <w:tcBorders>
              <w:left w:val="single" w:sz="6" w:space="0" w:color="404040"/>
              <w:bottom w:val="single" w:sz="6" w:space="0" w:color="404040"/>
              <w:right w:val="single" w:sz="6" w:space="0" w:color="404040"/>
            </w:tcBorders>
            <w:vAlign w:val="center"/>
          </w:tcPr>
          <w:p w14:paraId="3BFD2A52" w14:textId="77777777" w:rsidR="00644B60" w:rsidRPr="005B0949" w:rsidRDefault="00644B60" w:rsidP="00644B60">
            <w:pPr>
              <w:widowControl w:val="0"/>
              <w:numPr>
                <w:ilvl w:val="0"/>
                <w:numId w:val="30"/>
              </w:numPr>
              <w:spacing w:before="20" w:after="20"/>
              <w:ind w:left="325" w:hanging="309"/>
              <w:jc w:val="left"/>
              <w:rPr>
                <w:sz w:val="18"/>
                <w:szCs w:val="18"/>
              </w:rPr>
            </w:pPr>
            <w:r w:rsidRPr="005B0949">
              <w:rPr>
                <w:sz w:val="18"/>
                <w:szCs w:val="18"/>
              </w:rPr>
              <w:t>Inventarios de insumos</w:t>
            </w:r>
          </w:p>
        </w:tc>
        <w:tc>
          <w:tcPr>
            <w:tcW w:w="1224" w:type="dxa"/>
            <w:tcBorders>
              <w:bottom w:val="single" w:sz="6" w:space="0" w:color="404040"/>
            </w:tcBorders>
            <w:vAlign w:val="center"/>
          </w:tcPr>
          <w:p w14:paraId="7A4D7090" w14:textId="2782C233" w:rsidR="00644B60" w:rsidRPr="004F6CEC" w:rsidRDefault="00644B60" w:rsidP="00644B60">
            <w:pPr>
              <w:tabs>
                <w:tab w:val="decimal" w:pos="553"/>
              </w:tabs>
              <w:jc w:val="left"/>
              <w:rPr>
                <w:sz w:val="18"/>
                <w:szCs w:val="18"/>
              </w:rPr>
            </w:pPr>
            <w:r>
              <w:rPr>
                <w:color w:val="000000"/>
                <w:sz w:val="18"/>
                <w:szCs w:val="18"/>
              </w:rPr>
              <w:t>51.0</w:t>
            </w:r>
          </w:p>
        </w:tc>
        <w:tc>
          <w:tcPr>
            <w:tcW w:w="1225" w:type="dxa"/>
            <w:tcBorders>
              <w:bottom w:val="single" w:sz="6" w:space="0" w:color="404040"/>
              <w:right w:val="single" w:sz="6" w:space="0" w:color="404040"/>
            </w:tcBorders>
            <w:vAlign w:val="center"/>
          </w:tcPr>
          <w:p w14:paraId="07E45048" w14:textId="4910E0BA" w:rsidR="00644B60" w:rsidRPr="004F6CEC" w:rsidRDefault="00644B60" w:rsidP="00644B60">
            <w:pPr>
              <w:tabs>
                <w:tab w:val="decimal" w:pos="502"/>
              </w:tabs>
              <w:jc w:val="left"/>
              <w:rPr>
                <w:sz w:val="18"/>
                <w:szCs w:val="18"/>
              </w:rPr>
            </w:pPr>
            <w:r>
              <w:rPr>
                <w:color w:val="000000"/>
                <w:sz w:val="18"/>
                <w:szCs w:val="18"/>
              </w:rPr>
              <w:t>53.3</w:t>
            </w:r>
          </w:p>
        </w:tc>
        <w:tc>
          <w:tcPr>
            <w:tcW w:w="1225" w:type="dxa"/>
            <w:tcBorders>
              <w:bottom w:val="single" w:sz="6" w:space="0" w:color="404040"/>
              <w:right w:val="single" w:sz="6" w:space="0" w:color="404040"/>
            </w:tcBorders>
            <w:vAlign w:val="center"/>
          </w:tcPr>
          <w:p w14:paraId="5CE89952" w14:textId="767F5404" w:rsidR="00644B60" w:rsidRPr="004F6CEC" w:rsidRDefault="00644B60" w:rsidP="00644B60">
            <w:pPr>
              <w:tabs>
                <w:tab w:val="decimal" w:pos="528"/>
              </w:tabs>
              <w:jc w:val="left"/>
              <w:rPr>
                <w:sz w:val="18"/>
                <w:szCs w:val="18"/>
              </w:rPr>
            </w:pPr>
            <w:r>
              <w:rPr>
                <w:color w:val="000000"/>
                <w:sz w:val="18"/>
                <w:szCs w:val="18"/>
              </w:rPr>
              <w:t>2.3</w:t>
            </w:r>
          </w:p>
        </w:tc>
      </w:tr>
    </w:tbl>
    <w:p w14:paraId="01C2E204" w14:textId="77777777" w:rsidR="0007670F" w:rsidRPr="005B0949" w:rsidRDefault="0007670F" w:rsidP="00AF3DBB">
      <w:pPr>
        <w:widowControl w:val="0"/>
        <w:tabs>
          <w:tab w:val="left" w:pos="896"/>
        </w:tabs>
        <w:spacing w:before="20"/>
        <w:ind w:left="392" w:right="713"/>
        <w:outlineLvl w:val="0"/>
        <w:rPr>
          <w:sz w:val="14"/>
          <w:szCs w:val="14"/>
        </w:rPr>
      </w:pPr>
      <w:r w:rsidRPr="005B0949">
        <w:rPr>
          <w:sz w:val="14"/>
          <w:szCs w:val="14"/>
        </w:rPr>
        <w:t>Nota:</w:t>
      </w:r>
      <w:r w:rsidRPr="005B0949">
        <w:rPr>
          <w:sz w:val="14"/>
          <w:szCs w:val="14"/>
        </w:rPr>
        <w:tab/>
        <w:t xml:space="preserve">Los indicadores se generan con los datos referentes al mes de la entrevista. </w:t>
      </w:r>
    </w:p>
    <w:p w14:paraId="2C656F66" w14:textId="77777777" w:rsidR="0007670F" w:rsidRPr="005B0949" w:rsidRDefault="0007670F" w:rsidP="00AF3DBB">
      <w:pPr>
        <w:widowControl w:val="0"/>
        <w:tabs>
          <w:tab w:val="left" w:pos="896"/>
        </w:tabs>
        <w:ind w:left="392"/>
        <w:rPr>
          <w:sz w:val="14"/>
          <w:szCs w:val="14"/>
        </w:rPr>
      </w:pPr>
      <w:r w:rsidRPr="005B0949">
        <w:rPr>
          <w:sz w:val="14"/>
          <w:szCs w:val="14"/>
        </w:rPr>
        <w:t>1/</w:t>
      </w:r>
      <w:r w:rsidRPr="005B0949">
        <w:rPr>
          <w:sz w:val="14"/>
          <w:szCs w:val="14"/>
        </w:rPr>
        <w:tab/>
        <w:t>Las diferencias en puntos se obtienen de los respectivos indicadores considerando todos sus decimales.</w:t>
      </w:r>
    </w:p>
    <w:p w14:paraId="4A6F5B85" w14:textId="2D55DFF6" w:rsidR="0007670F" w:rsidRPr="005B0949" w:rsidRDefault="0007670F" w:rsidP="00AF3DBB">
      <w:pPr>
        <w:widowControl w:val="0"/>
        <w:tabs>
          <w:tab w:val="left" w:pos="896"/>
        </w:tabs>
        <w:ind w:left="392"/>
        <w:outlineLvl w:val="0"/>
        <w:rPr>
          <w:sz w:val="14"/>
          <w:szCs w:val="14"/>
        </w:rPr>
      </w:pPr>
      <w:r w:rsidRPr="005B0949">
        <w:rPr>
          <w:sz w:val="14"/>
          <w:szCs w:val="14"/>
        </w:rPr>
        <w:t>p/</w:t>
      </w:r>
      <w:r w:rsidRPr="005B0949">
        <w:rPr>
          <w:sz w:val="14"/>
          <w:szCs w:val="14"/>
        </w:rPr>
        <w:tab/>
        <w:t>Dato preliminar</w:t>
      </w:r>
    </w:p>
    <w:p w14:paraId="2D16E864" w14:textId="527D9C75" w:rsidR="00AB6F59" w:rsidRPr="005B0949" w:rsidRDefault="00AB6F59" w:rsidP="00AF3DBB">
      <w:pPr>
        <w:widowControl w:val="0"/>
        <w:tabs>
          <w:tab w:val="left" w:pos="896"/>
        </w:tabs>
        <w:ind w:left="392"/>
        <w:outlineLvl w:val="0"/>
        <w:rPr>
          <w:b/>
          <w:bCs/>
          <w:smallCaps/>
          <w:kern w:val="32"/>
          <w:sz w:val="14"/>
          <w:szCs w:val="16"/>
        </w:rPr>
      </w:pPr>
      <w:r w:rsidRPr="005B0949">
        <w:rPr>
          <w:sz w:val="14"/>
          <w:szCs w:val="16"/>
        </w:rPr>
        <w:t>Fuente:</w:t>
      </w:r>
      <w:r w:rsidR="00580C8B" w:rsidRPr="005B0949">
        <w:rPr>
          <w:sz w:val="14"/>
          <w:szCs w:val="16"/>
        </w:rPr>
        <w:tab/>
      </w:r>
      <w:r w:rsidRPr="005B0949">
        <w:rPr>
          <w:sz w:val="14"/>
          <w:szCs w:val="16"/>
        </w:rPr>
        <w:t>INEGI y Banco de México</w:t>
      </w:r>
    </w:p>
    <w:p w14:paraId="62DE0D75" w14:textId="77777777" w:rsidR="0007670F" w:rsidRPr="001D5D5D" w:rsidRDefault="0007670F" w:rsidP="00C92045">
      <w:pPr>
        <w:keepNext/>
        <w:keepLines/>
        <w:widowControl w:val="0"/>
        <w:spacing w:before="480"/>
        <w:ind w:left="284"/>
        <w:rPr>
          <w:b/>
        </w:rPr>
      </w:pPr>
      <w:r w:rsidRPr="005B0949">
        <w:rPr>
          <w:sz w:val="20"/>
          <w:szCs w:val="20"/>
        </w:rPr>
        <w:br w:type="page"/>
      </w:r>
      <w:r w:rsidRPr="001D5D5D">
        <w:rPr>
          <w:b/>
        </w:rPr>
        <w:lastRenderedPageBreak/>
        <w:t>Indicador de Pedidos Manufactureros por grupos de subsectores de actividad</w:t>
      </w:r>
    </w:p>
    <w:p w14:paraId="7BB72621" w14:textId="2B2F0639" w:rsidR="00DC335D" w:rsidRPr="00E8398E" w:rsidRDefault="00AA53CA" w:rsidP="00751877">
      <w:pPr>
        <w:pStyle w:val="p0"/>
        <w:rPr>
          <w:rFonts w:ascii="Arial" w:hAnsi="Arial"/>
          <w:snapToGrid/>
          <w:color w:val="auto"/>
          <w:lang w:val="es-ES"/>
        </w:rPr>
      </w:pPr>
      <w:r>
        <w:rPr>
          <w:rFonts w:ascii="Arial" w:hAnsi="Arial"/>
          <w:snapToGrid/>
          <w:color w:val="auto"/>
          <w:lang w:val="es-ES"/>
        </w:rPr>
        <w:t>E</w:t>
      </w:r>
      <w:r w:rsidR="00751877" w:rsidRPr="00751877">
        <w:rPr>
          <w:rFonts w:ascii="Arial" w:hAnsi="Arial"/>
          <w:snapToGrid/>
          <w:color w:val="auto"/>
          <w:lang w:val="es-ES"/>
        </w:rPr>
        <w:t>n el mes que se reporta</w:t>
      </w:r>
      <w:r>
        <w:rPr>
          <w:rFonts w:ascii="Arial" w:hAnsi="Arial"/>
          <w:snapToGrid/>
          <w:color w:val="auto"/>
          <w:lang w:val="es-ES"/>
        </w:rPr>
        <w:t>,</w:t>
      </w:r>
      <w:r w:rsidR="00751877" w:rsidRPr="00751877">
        <w:rPr>
          <w:rFonts w:ascii="Arial" w:hAnsi="Arial"/>
          <w:snapToGrid/>
          <w:color w:val="auto"/>
          <w:lang w:val="es-ES"/>
        </w:rPr>
        <w:t xml:space="preserve"> el agregado de Alimentos, bebidas y tabaco mostró un retroceso anual de 0.8 puntos con datos originales; Derivados del petróleo y del carbón, industria química, del plástico y del hule </w:t>
      </w:r>
      <w:r w:rsidR="00B90FE7">
        <w:rPr>
          <w:rFonts w:ascii="Arial" w:hAnsi="Arial"/>
          <w:snapToGrid/>
          <w:color w:val="auto"/>
          <w:lang w:val="es-ES"/>
        </w:rPr>
        <w:t xml:space="preserve">no </w:t>
      </w:r>
      <w:r w:rsidR="00751877" w:rsidRPr="00751877">
        <w:rPr>
          <w:rFonts w:ascii="Arial" w:hAnsi="Arial"/>
          <w:snapToGrid/>
          <w:color w:val="auto"/>
          <w:lang w:val="es-ES"/>
        </w:rPr>
        <w:t>cambi</w:t>
      </w:r>
      <w:r w:rsidR="00B90FE7">
        <w:rPr>
          <w:rFonts w:ascii="Arial" w:hAnsi="Arial"/>
          <w:snapToGrid/>
          <w:color w:val="auto"/>
          <w:lang w:val="es-ES"/>
        </w:rPr>
        <w:t>ó</w:t>
      </w:r>
      <w:r w:rsidR="00751877" w:rsidRPr="00751877">
        <w:rPr>
          <w:rFonts w:ascii="Arial" w:hAnsi="Arial"/>
          <w:snapToGrid/>
          <w:color w:val="auto"/>
          <w:lang w:val="es-ES"/>
        </w:rPr>
        <w:t xml:space="preserve"> respecto </w:t>
      </w:r>
      <w:r w:rsidR="00B90FE7">
        <w:rPr>
          <w:rFonts w:ascii="Arial" w:hAnsi="Arial"/>
          <w:snapToGrid/>
          <w:color w:val="auto"/>
          <w:lang w:val="es-ES"/>
        </w:rPr>
        <w:t>a</w:t>
      </w:r>
      <w:r w:rsidR="00751877" w:rsidRPr="00751877">
        <w:rPr>
          <w:rFonts w:ascii="Arial" w:hAnsi="Arial"/>
          <w:snapToGrid/>
          <w:color w:val="auto"/>
          <w:lang w:val="es-ES"/>
        </w:rPr>
        <w:t>l mismo mes del año previo; Minerales no metálicos y metálicas básicas cayó 1.7 puntos; Equipo de computación, accesorios electrónicos y aparatos eléctricos incrementó 0.4 puntos; Equipo de transporte descendió 0.8 puntos; Productos metálicos, maquinaria, equipo y muebles aumentó 1.6 puntos y Textiles, prendas de vestir, cuero y piel, madera, papel y otras</w:t>
      </w:r>
      <w:r>
        <w:rPr>
          <w:rFonts w:ascii="Arial" w:hAnsi="Arial"/>
          <w:snapToGrid/>
          <w:color w:val="auto"/>
          <w:lang w:val="es-ES"/>
        </w:rPr>
        <w:t xml:space="preserve"> se redujo </w:t>
      </w:r>
      <w:r w:rsidR="00751877" w:rsidRPr="00751877">
        <w:rPr>
          <w:rFonts w:ascii="Arial" w:hAnsi="Arial"/>
          <w:snapToGrid/>
          <w:color w:val="auto"/>
          <w:lang w:val="es-ES"/>
        </w:rPr>
        <w:t>5.8 puntos.</w:t>
      </w:r>
    </w:p>
    <w:p w14:paraId="5F76E286" w14:textId="3126A1C8" w:rsidR="007F632F" w:rsidRPr="007F632F" w:rsidRDefault="007F632F" w:rsidP="00AF3DBB">
      <w:pPr>
        <w:spacing w:before="240"/>
        <w:jc w:val="center"/>
        <w:outlineLvl w:val="0"/>
        <w:rPr>
          <w:sz w:val="20"/>
        </w:rPr>
      </w:pPr>
      <w:r w:rsidRPr="00D105BB">
        <w:rPr>
          <w:sz w:val="20"/>
        </w:rPr>
        <w:t>Cuadro 3</w:t>
      </w:r>
    </w:p>
    <w:p w14:paraId="3C3EBE05" w14:textId="77777777" w:rsidR="0007670F" w:rsidRPr="00C46F19" w:rsidRDefault="0007670F" w:rsidP="00AF3DBB">
      <w:pPr>
        <w:jc w:val="center"/>
        <w:outlineLvl w:val="0"/>
        <w:rPr>
          <w:b/>
          <w:smallCaps/>
          <w:sz w:val="22"/>
        </w:rPr>
      </w:pPr>
      <w:r w:rsidRPr="00C46F19">
        <w:rPr>
          <w:b/>
          <w:smallCaps/>
          <w:sz w:val="22"/>
        </w:rPr>
        <w:t>Indicador de Pedidos Manufactureros por grupos de subsectores de actividad</w:t>
      </w:r>
    </w:p>
    <w:p w14:paraId="4E0C8D5F" w14:textId="3A6BD4E4" w:rsidR="0007670F" w:rsidRPr="00C46F19" w:rsidRDefault="007F632F" w:rsidP="00AF3DBB">
      <w:pPr>
        <w:jc w:val="center"/>
        <w:outlineLvl w:val="0"/>
        <w:rPr>
          <w:sz w:val="22"/>
        </w:rPr>
      </w:pPr>
      <w:r>
        <w:rPr>
          <w:b/>
          <w:smallCaps/>
          <w:sz w:val="22"/>
        </w:rPr>
        <w:t>c</w:t>
      </w:r>
      <w:r w:rsidR="0007670F" w:rsidRPr="00C46F19">
        <w:rPr>
          <w:b/>
          <w:smallCaps/>
          <w:sz w:val="22"/>
        </w:rPr>
        <w:t>ifras originales</w:t>
      </w:r>
    </w:p>
    <w:tbl>
      <w:tblPr>
        <w:tblW w:w="5080" w:type="pct"/>
        <w:jc w:val="center"/>
        <w:tblCellMar>
          <w:left w:w="70" w:type="dxa"/>
          <w:right w:w="70" w:type="dxa"/>
        </w:tblCellMar>
        <w:tblLook w:val="0000" w:firstRow="0" w:lastRow="0" w:firstColumn="0" w:lastColumn="0" w:noHBand="0" w:noVBand="0"/>
      </w:tblPr>
      <w:tblGrid>
        <w:gridCol w:w="6419"/>
        <w:gridCol w:w="964"/>
        <w:gridCol w:w="964"/>
        <w:gridCol w:w="1193"/>
      </w:tblGrid>
      <w:tr w:rsidR="005B0949" w:rsidRPr="005B0949" w14:paraId="2491F8D2" w14:textId="77777777" w:rsidTr="00164039">
        <w:trPr>
          <w:cantSplit/>
          <w:trHeight w:val="300"/>
          <w:jc w:val="center"/>
        </w:trPr>
        <w:tc>
          <w:tcPr>
            <w:tcW w:w="3364" w:type="pct"/>
            <w:vMerge w:val="restart"/>
            <w:tcBorders>
              <w:top w:val="single" w:sz="6" w:space="0" w:color="404040"/>
              <w:left w:val="single" w:sz="6" w:space="0" w:color="404040"/>
              <w:right w:val="single" w:sz="6" w:space="0" w:color="404040"/>
            </w:tcBorders>
            <w:shd w:val="clear" w:color="auto" w:fill="CCCCFF"/>
            <w:vAlign w:val="center"/>
          </w:tcPr>
          <w:p w14:paraId="52986142" w14:textId="77777777" w:rsidR="00164039" w:rsidRPr="005B0949" w:rsidRDefault="00164039" w:rsidP="00AF3DBB">
            <w:pPr>
              <w:spacing w:before="60" w:after="60" w:line="240" w:lineRule="atLeast"/>
              <w:rPr>
                <w:sz w:val="18"/>
                <w:szCs w:val="18"/>
              </w:rPr>
            </w:pPr>
            <w:r w:rsidRPr="005B0949">
              <w:rPr>
                <w:sz w:val="18"/>
                <w:szCs w:val="18"/>
              </w:rPr>
              <w:t>Grupos</w:t>
            </w:r>
          </w:p>
        </w:tc>
        <w:tc>
          <w:tcPr>
            <w:tcW w:w="1010" w:type="pct"/>
            <w:gridSpan w:val="2"/>
            <w:tcBorders>
              <w:top w:val="single" w:sz="6" w:space="0" w:color="404040"/>
              <w:left w:val="single" w:sz="6" w:space="0" w:color="404040"/>
              <w:bottom w:val="single" w:sz="6" w:space="0" w:color="404040"/>
              <w:right w:val="single" w:sz="6" w:space="0" w:color="404040"/>
            </w:tcBorders>
            <w:shd w:val="clear" w:color="auto" w:fill="CCCCFF"/>
            <w:vAlign w:val="center"/>
          </w:tcPr>
          <w:p w14:paraId="3AD80275" w14:textId="19DB4079" w:rsidR="00164039" w:rsidRPr="005B0949" w:rsidRDefault="00840E6E" w:rsidP="00AF3DBB">
            <w:pPr>
              <w:spacing w:before="40" w:after="40" w:line="240" w:lineRule="exact"/>
              <w:jc w:val="center"/>
              <w:rPr>
                <w:sz w:val="18"/>
                <w:szCs w:val="18"/>
              </w:rPr>
            </w:pPr>
            <w:r>
              <w:rPr>
                <w:sz w:val="18"/>
                <w:szCs w:val="18"/>
              </w:rPr>
              <w:t>Dic</w:t>
            </w:r>
            <w:r w:rsidR="000D1735">
              <w:rPr>
                <w:sz w:val="18"/>
                <w:szCs w:val="18"/>
              </w:rPr>
              <w:t>iem</w:t>
            </w:r>
            <w:r w:rsidR="007C0417">
              <w:rPr>
                <w:sz w:val="18"/>
                <w:szCs w:val="18"/>
              </w:rPr>
              <w:t>bre</w:t>
            </w:r>
          </w:p>
        </w:tc>
        <w:tc>
          <w:tcPr>
            <w:tcW w:w="625" w:type="pct"/>
            <w:vMerge w:val="restart"/>
            <w:tcBorders>
              <w:top w:val="single" w:sz="6" w:space="0" w:color="404040"/>
              <w:left w:val="single" w:sz="6" w:space="0" w:color="404040"/>
              <w:right w:val="single" w:sz="6" w:space="0" w:color="404040"/>
            </w:tcBorders>
            <w:shd w:val="clear" w:color="auto" w:fill="CCCCFF"/>
            <w:vAlign w:val="center"/>
          </w:tcPr>
          <w:p w14:paraId="0BE32869" w14:textId="77777777" w:rsidR="00164039" w:rsidRPr="005B0949" w:rsidRDefault="00164039" w:rsidP="00AF3DBB">
            <w:pPr>
              <w:spacing w:before="60" w:after="60" w:line="240" w:lineRule="exact"/>
              <w:jc w:val="center"/>
              <w:rPr>
                <w:sz w:val="18"/>
                <w:szCs w:val="18"/>
              </w:rPr>
            </w:pPr>
            <w:r w:rsidRPr="005B0949">
              <w:rPr>
                <w:sz w:val="18"/>
                <w:szCs w:val="18"/>
              </w:rPr>
              <w:t>Diferencia en puntos</w:t>
            </w:r>
            <w:r w:rsidRPr="005B0949">
              <w:rPr>
                <w:sz w:val="18"/>
                <w:szCs w:val="18"/>
                <w:vertAlign w:val="superscript"/>
              </w:rPr>
              <w:t>1/</w:t>
            </w:r>
          </w:p>
        </w:tc>
      </w:tr>
      <w:tr w:rsidR="005B0949" w:rsidRPr="005B0949" w14:paraId="1DCD25B6" w14:textId="77777777" w:rsidTr="00164039">
        <w:trPr>
          <w:cantSplit/>
          <w:trHeight w:val="300"/>
          <w:jc w:val="center"/>
        </w:trPr>
        <w:tc>
          <w:tcPr>
            <w:tcW w:w="3364" w:type="pct"/>
            <w:vMerge/>
            <w:tcBorders>
              <w:left w:val="single" w:sz="6" w:space="0" w:color="404040"/>
              <w:bottom w:val="single" w:sz="6" w:space="0" w:color="404040"/>
              <w:right w:val="single" w:sz="6" w:space="0" w:color="404040"/>
            </w:tcBorders>
            <w:shd w:val="pct10" w:color="auto" w:fill="auto"/>
            <w:vAlign w:val="center"/>
          </w:tcPr>
          <w:p w14:paraId="0F035E5E" w14:textId="77777777" w:rsidR="0007670F" w:rsidRPr="005B0949" w:rsidRDefault="0007670F" w:rsidP="00AF3DBB">
            <w:pPr>
              <w:spacing w:before="60" w:after="60" w:line="240" w:lineRule="atLeast"/>
              <w:jc w:val="center"/>
              <w:rPr>
                <w:sz w:val="18"/>
                <w:szCs w:val="18"/>
              </w:rPr>
            </w:pPr>
          </w:p>
        </w:tc>
        <w:tc>
          <w:tcPr>
            <w:tcW w:w="505" w:type="pct"/>
            <w:tcBorders>
              <w:top w:val="single" w:sz="6" w:space="0" w:color="404040"/>
              <w:left w:val="single" w:sz="6" w:space="0" w:color="404040"/>
              <w:bottom w:val="single" w:sz="6" w:space="0" w:color="404040"/>
              <w:right w:val="single" w:sz="6" w:space="0" w:color="404040"/>
            </w:tcBorders>
            <w:shd w:val="clear" w:color="auto" w:fill="CCCCFF"/>
            <w:vAlign w:val="center"/>
          </w:tcPr>
          <w:p w14:paraId="0F47F9F8" w14:textId="5E7EDE7B" w:rsidR="0007670F" w:rsidRPr="005B0949" w:rsidRDefault="007F632F" w:rsidP="00AF3DBB">
            <w:pPr>
              <w:spacing w:line="240" w:lineRule="exact"/>
              <w:jc w:val="center"/>
              <w:rPr>
                <w:sz w:val="18"/>
                <w:szCs w:val="18"/>
              </w:rPr>
            </w:pPr>
            <w:r>
              <w:rPr>
                <w:sz w:val="18"/>
                <w:szCs w:val="18"/>
              </w:rPr>
              <w:t>2021</w:t>
            </w:r>
          </w:p>
        </w:tc>
        <w:tc>
          <w:tcPr>
            <w:tcW w:w="505" w:type="pct"/>
            <w:tcBorders>
              <w:top w:val="single" w:sz="6" w:space="0" w:color="404040"/>
              <w:left w:val="single" w:sz="6" w:space="0" w:color="404040"/>
              <w:bottom w:val="single" w:sz="6" w:space="0" w:color="404040"/>
              <w:right w:val="single" w:sz="6" w:space="0" w:color="404040"/>
            </w:tcBorders>
            <w:shd w:val="clear" w:color="auto" w:fill="CCCCFF"/>
            <w:vAlign w:val="center"/>
          </w:tcPr>
          <w:p w14:paraId="574D4CF3" w14:textId="0CA4B921" w:rsidR="0007670F" w:rsidRPr="005B0949" w:rsidRDefault="007F632F" w:rsidP="00AF3DBB">
            <w:pPr>
              <w:spacing w:line="240" w:lineRule="exact"/>
              <w:jc w:val="center"/>
              <w:rPr>
                <w:sz w:val="18"/>
                <w:szCs w:val="18"/>
              </w:rPr>
            </w:pPr>
            <w:r>
              <w:rPr>
                <w:sz w:val="18"/>
                <w:szCs w:val="18"/>
              </w:rPr>
              <w:t>2022</w:t>
            </w:r>
            <w:r w:rsidR="0007670F" w:rsidRPr="005B0949">
              <w:rPr>
                <w:sz w:val="18"/>
                <w:szCs w:val="18"/>
                <w:vertAlign w:val="superscript"/>
              </w:rPr>
              <w:t>p/</w:t>
            </w:r>
          </w:p>
        </w:tc>
        <w:tc>
          <w:tcPr>
            <w:tcW w:w="625" w:type="pct"/>
            <w:vMerge/>
            <w:tcBorders>
              <w:left w:val="single" w:sz="6" w:space="0" w:color="404040"/>
              <w:bottom w:val="single" w:sz="6" w:space="0" w:color="404040"/>
              <w:right w:val="single" w:sz="6" w:space="0" w:color="404040"/>
            </w:tcBorders>
            <w:shd w:val="pct10" w:color="auto" w:fill="auto"/>
            <w:vAlign w:val="center"/>
          </w:tcPr>
          <w:p w14:paraId="4B8DE669" w14:textId="77777777" w:rsidR="0007670F" w:rsidRPr="005B0949" w:rsidRDefault="0007670F" w:rsidP="00AF3DBB">
            <w:pPr>
              <w:spacing w:line="240" w:lineRule="atLeast"/>
              <w:ind w:left="-64" w:right="-45"/>
              <w:jc w:val="center"/>
              <w:rPr>
                <w:sz w:val="18"/>
                <w:szCs w:val="18"/>
              </w:rPr>
            </w:pPr>
          </w:p>
        </w:tc>
      </w:tr>
      <w:tr w:rsidR="00840E6E" w:rsidRPr="005B0949" w14:paraId="0D2B584E" w14:textId="77777777" w:rsidTr="00840E6E">
        <w:trPr>
          <w:cantSplit/>
          <w:trHeight w:val="20"/>
          <w:jc w:val="center"/>
        </w:trPr>
        <w:tc>
          <w:tcPr>
            <w:tcW w:w="3364" w:type="pct"/>
            <w:tcBorders>
              <w:top w:val="single" w:sz="6" w:space="0" w:color="404040"/>
              <w:left w:val="single" w:sz="6" w:space="0" w:color="404040"/>
              <w:right w:val="single" w:sz="6" w:space="0" w:color="404040"/>
            </w:tcBorders>
            <w:vAlign w:val="center"/>
          </w:tcPr>
          <w:p w14:paraId="622C693E" w14:textId="77777777" w:rsidR="00840E6E" w:rsidRPr="005B0949" w:rsidRDefault="00840E6E" w:rsidP="00840E6E">
            <w:pPr>
              <w:tabs>
                <w:tab w:val="left" w:pos="339"/>
              </w:tabs>
              <w:spacing w:before="20" w:after="20" w:line="240" w:lineRule="exact"/>
              <w:ind w:left="323" w:hanging="306"/>
              <w:rPr>
                <w:b/>
                <w:sz w:val="18"/>
                <w:szCs w:val="18"/>
              </w:rPr>
            </w:pPr>
            <w:r w:rsidRPr="005B0949">
              <w:rPr>
                <w:b/>
                <w:sz w:val="18"/>
                <w:szCs w:val="18"/>
              </w:rPr>
              <w:t>Indicador de Pedidos Manufactureros</w:t>
            </w:r>
          </w:p>
        </w:tc>
        <w:tc>
          <w:tcPr>
            <w:tcW w:w="505" w:type="pct"/>
            <w:tcBorders>
              <w:top w:val="single" w:sz="6" w:space="0" w:color="404040"/>
            </w:tcBorders>
            <w:vAlign w:val="center"/>
          </w:tcPr>
          <w:p w14:paraId="5CCE5D38" w14:textId="4C721DBF" w:rsidR="00840E6E" w:rsidRPr="00A17322" w:rsidRDefault="00840E6E" w:rsidP="00840E6E">
            <w:pPr>
              <w:tabs>
                <w:tab w:val="decimal" w:pos="414"/>
              </w:tabs>
              <w:jc w:val="left"/>
              <w:rPr>
                <w:b/>
                <w:bCs/>
                <w:sz w:val="18"/>
                <w:szCs w:val="18"/>
              </w:rPr>
            </w:pPr>
            <w:r>
              <w:rPr>
                <w:b/>
                <w:bCs/>
                <w:sz w:val="18"/>
                <w:szCs w:val="18"/>
              </w:rPr>
              <w:t>51.1</w:t>
            </w:r>
          </w:p>
        </w:tc>
        <w:tc>
          <w:tcPr>
            <w:tcW w:w="505" w:type="pct"/>
            <w:tcBorders>
              <w:top w:val="single" w:sz="6" w:space="0" w:color="404040"/>
              <w:right w:val="single" w:sz="6" w:space="0" w:color="404040"/>
            </w:tcBorders>
            <w:vAlign w:val="center"/>
          </w:tcPr>
          <w:p w14:paraId="73DB042F" w14:textId="0A2F5076" w:rsidR="00840E6E" w:rsidRPr="00A17322" w:rsidRDefault="00840E6E" w:rsidP="00840E6E">
            <w:pPr>
              <w:tabs>
                <w:tab w:val="decimal" w:pos="370"/>
              </w:tabs>
              <w:jc w:val="left"/>
              <w:rPr>
                <w:b/>
                <w:bCs/>
                <w:sz w:val="18"/>
                <w:szCs w:val="18"/>
              </w:rPr>
            </w:pPr>
            <w:r>
              <w:rPr>
                <w:b/>
                <w:bCs/>
                <w:sz w:val="18"/>
                <w:szCs w:val="18"/>
              </w:rPr>
              <w:t>50.4</w:t>
            </w:r>
          </w:p>
        </w:tc>
        <w:tc>
          <w:tcPr>
            <w:tcW w:w="625" w:type="pct"/>
            <w:tcBorders>
              <w:top w:val="single" w:sz="6" w:space="0" w:color="404040"/>
              <w:right w:val="single" w:sz="6" w:space="0" w:color="404040"/>
            </w:tcBorders>
            <w:vAlign w:val="center"/>
          </w:tcPr>
          <w:p w14:paraId="343C6CEC" w14:textId="13A65A00" w:rsidR="00840E6E" w:rsidRPr="00A17322" w:rsidRDefault="00840E6E" w:rsidP="00840E6E">
            <w:pPr>
              <w:tabs>
                <w:tab w:val="decimal" w:pos="483"/>
              </w:tabs>
              <w:jc w:val="left"/>
              <w:rPr>
                <w:b/>
                <w:bCs/>
                <w:sz w:val="18"/>
                <w:szCs w:val="18"/>
              </w:rPr>
            </w:pPr>
            <w:r>
              <w:rPr>
                <w:b/>
                <w:bCs/>
                <w:color w:val="000000"/>
                <w:sz w:val="18"/>
                <w:szCs w:val="18"/>
              </w:rPr>
              <w:t>-0.8</w:t>
            </w:r>
          </w:p>
        </w:tc>
      </w:tr>
      <w:tr w:rsidR="00840E6E" w:rsidRPr="005B0949" w14:paraId="66F8C639" w14:textId="77777777" w:rsidTr="00840E6E">
        <w:trPr>
          <w:cantSplit/>
          <w:trHeight w:val="20"/>
          <w:jc w:val="center"/>
        </w:trPr>
        <w:tc>
          <w:tcPr>
            <w:tcW w:w="3364" w:type="pct"/>
            <w:tcBorders>
              <w:left w:val="single" w:sz="6" w:space="0" w:color="404040"/>
              <w:right w:val="single" w:sz="6" w:space="0" w:color="404040"/>
            </w:tcBorders>
            <w:vAlign w:val="bottom"/>
          </w:tcPr>
          <w:p w14:paraId="52E74F26" w14:textId="77777777" w:rsidR="00840E6E" w:rsidRPr="005B0949" w:rsidRDefault="00840E6E" w:rsidP="00840E6E">
            <w:pPr>
              <w:widowControl w:val="0"/>
              <w:spacing w:before="20" w:after="20"/>
              <w:ind w:left="130"/>
              <w:rPr>
                <w:sz w:val="18"/>
                <w:szCs w:val="18"/>
              </w:rPr>
            </w:pPr>
            <w:r w:rsidRPr="005B0949">
              <w:rPr>
                <w:sz w:val="18"/>
                <w:szCs w:val="18"/>
              </w:rPr>
              <w:t>Alimentos, bebidas y tabaco</w:t>
            </w:r>
          </w:p>
        </w:tc>
        <w:tc>
          <w:tcPr>
            <w:tcW w:w="505" w:type="pct"/>
            <w:vAlign w:val="center"/>
          </w:tcPr>
          <w:p w14:paraId="0ED44218" w14:textId="34DB70D0" w:rsidR="00840E6E" w:rsidRPr="00A17322" w:rsidRDefault="00840E6E" w:rsidP="00840E6E">
            <w:pPr>
              <w:tabs>
                <w:tab w:val="decimal" w:pos="414"/>
              </w:tabs>
              <w:jc w:val="left"/>
              <w:rPr>
                <w:sz w:val="18"/>
                <w:szCs w:val="18"/>
              </w:rPr>
            </w:pPr>
            <w:r>
              <w:rPr>
                <w:sz w:val="18"/>
                <w:szCs w:val="18"/>
              </w:rPr>
              <w:t>53.4</w:t>
            </w:r>
          </w:p>
        </w:tc>
        <w:tc>
          <w:tcPr>
            <w:tcW w:w="505" w:type="pct"/>
            <w:tcBorders>
              <w:right w:val="single" w:sz="6" w:space="0" w:color="404040"/>
            </w:tcBorders>
            <w:vAlign w:val="center"/>
          </w:tcPr>
          <w:p w14:paraId="7FF84BA9" w14:textId="13D04DBB" w:rsidR="00840E6E" w:rsidRPr="00A17322" w:rsidRDefault="00840E6E" w:rsidP="00840E6E">
            <w:pPr>
              <w:tabs>
                <w:tab w:val="decimal" w:pos="370"/>
              </w:tabs>
              <w:jc w:val="left"/>
              <w:rPr>
                <w:sz w:val="18"/>
                <w:szCs w:val="18"/>
              </w:rPr>
            </w:pPr>
            <w:r>
              <w:rPr>
                <w:sz w:val="18"/>
                <w:szCs w:val="18"/>
              </w:rPr>
              <w:t>52.6</w:t>
            </w:r>
          </w:p>
        </w:tc>
        <w:tc>
          <w:tcPr>
            <w:tcW w:w="625" w:type="pct"/>
            <w:tcBorders>
              <w:right w:val="single" w:sz="6" w:space="0" w:color="404040"/>
            </w:tcBorders>
            <w:vAlign w:val="center"/>
          </w:tcPr>
          <w:p w14:paraId="737B9464" w14:textId="52890C5D" w:rsidR="00840E6E" w:rsidRPr="00A17322" w:rsidRDefault="00840E6E" w:rsidP="00840E6E">
            <w:pPr>
              <w:tabs>
                <w:tab w:val="decimal" w:pos="483"/>
              </w:tabs>
              <w:jc w:val="left"/>
              <w:rPr>
                <w:sz w:val="18"/>
                <w:szCs w:val="18"/>
              </w:rPr>
            </w:pPr>
            <w:r>
              <w:rPr>
                <w:color w:val="000000"/>
                <w:sz w:val="18"/>
                <w:szCs w:val="18"/>
              </w:rPr>
              <w:t>-0.8</w:t>
            </w:r>
          </w:p>
        </w:tc>
      </w:tr>
      <w:tr w:rsidR="00840E6E" w:rsidRPr="005B0949" w14:paraId="25039AF4" w14:textId="77777777" w:rsidTr="00840E6E">
        <w:trPr>
          <w:cantSplit/>
          <w:trHeight w:val="20"/>
          <w:jc w:val="center"/>
        </w:trPr>
        <w:tc>
          <w:tcPr>
            <w:tcW w:w="3364" w:type="pct"/>
            <w:tcBorders>
              <w:left w:val="single" w:sz="6" w:space="0" w:color="404040"/>
              <w:right w:val="single" w:sz="6" w:space="0" w:color="404040"/>
            </w:tcBorders>
            <w:vAlign w:val="bottom"/>
          </w:tcPr>
          <w:p w14:paraId="70D96952" w14:textId="77777777" w:rsidR="00840E6E" w:rsidRPr="005B0949" w:rsidRDefault="00840E6E" w:rsidP="00840E6E">
            <w:pPr>
              <w:widowControl w:val="0"/>
              <w:spacing w:before="20" w:after="20"/>
              <w:ind w:left="133" w:right="-87"/>
              <w:rPr>
                <w:sz w:val="18"/>
                <w:szCs w:val="18"/>
              </w:rPr>
            </w:pPr>
            <w:r w:rsidRPr="005B0949">
              <w:rPr>
                <w:sz w:val="18"/>
                <w:szCs w:val="18"/>
              </w:rPr>
              <w:t>Derivados del petróleo y del carbón, industria química, del plástico y del hule</w:t>
            </w:r>
          </w:p>
        </w:tc>
        <w:tc>
          <w:tcPr>
            <w:tcW w:w="505" w:type="pct"/>
            <w:vAlign w:val="center"/>
          </w:tcPr>
          <w:p w14:paraId="5FAA6F37" w14:textId="5C9103C7" w:rsidR="00840E6E" w:rsidRPr="00A17322" w:rsidRDefault="00840E6E" w:rsidP="00840E6E">
            <w:pPr>
              <w:tabs>
                <w:tab w:val="decimal" w:pos="414"/>
              </w:tabs>
              <w:jc w:val="left"/>
              <w:rPr>
                <w:sz w:val="18"/>
                <w:szCs w:val="18"/>
              </w:rPr>
            </w:pPr>
            <w:r>
              <w:rPr>
                <w:sz w:val="18"/>
                <w:szCs w:val="18"/>
              </w:rPr>
              <w:t>51.5</w:t>
            </w:r>
          </w:p>
        </w:tc>
        <w:tc>
          <w:tcPr>
            <w:tcW w:w="505" w:type="pct"/>
            <w:tcBorders>
              <w:right w:val="single" w:sz="6" w:space="0" w:color="404040"/>
            </w:tcBorders>
            <w:vAlign w:val="center"/>
          </w:tcPr>
          <w:p w14:paraId="287977B5" w14:textId="4DB60CC6" w:rsidR="00840E6E" w:rsidRPr="00A17322" w:rsidRDefault="00840E6E" w:rsidP="00840E6E">
            <w:pPr>
              <w:tabs>
                <w:tab w:val="decimal" w:pos="370"/>
              </w:tabs>
              <w:jc w:val="left"/>
              <w:rPr>
                <w:sz w:val="18"/>
                <w:szCs w:val="18"/>
              </w:rPr>
            </w:pPr>
            <w:r>
              <w:rPr>
                <w:sz w:val="18"/>
                <w:szCs w:val="18"/>
              </w:rPr>
              <w:t>51.5</w:t>
            </w:r>
          </w:p>
        </w:tc>
        <w:tc>
          <w:tcPr>
            <w:tcW w:w="625" w:type="pct"/>
            <w:tcBorders>
              <w:right w:val="single" w:sz="6" w:space="0" w:color="404040"/>
            </w:tcBorders>
            <w:vAlign w:val="center"/>
          </w:tcPr>
          <w:p w14:paraId="56F235B7" w14:textId="2B8A2D2F" w:rsidR="00840E6E" w:rsidRPr="00A17322" w:rsidRDefault="00840E6E" w:rsidP="00840E6E">
            <w:pPr>
              <w:tabs>
                <w:tab w:val="decimal" w:pos="483"/>
              </w:tabs>
              <w:jc w:val="left"/>
              <w:rPr>
                <w:sz w:val="18"/>
                <w:szCs w:val="18"/>
              </w:rPr>
            </w:pPr>
            <w:r>
              <w:rPr>
                <w:color w:val="000000"/>
                <w:sz w:val="18"/>
                <w:szCs w:val="18"/>
              </w:rPr>
              <w:t>0.0</w:t>
            </w:r>
          </w:p>
        </w:tc>
      </w:tr>
      <w:tr w:rsidR="00840E6E" w:rsidRPr="005B0949" w14:paraId="1D6AAD26" w14:textId="77777777" w:rsidTr="00840E6E">
        <w:trPr>
          <w:cantSplit/>
          <w:trHeight w:val="20"/>
          <w:jc w:val="center"/>
        </w:trPr>
        <w:tc>
          <w:tcPr>
            <w:tcW w:w="3364" w:type="pct"/>
            <w:tcBorders>
              <w:left w:val="single" w:sz="6" w:space="0" w:color="404040"/>
              <w:right w:val="single" w:sz="6" w:space="0" w:color="404040"/>
            </w:tcBorders>
            <w:vAlign w:val="bottom"/>
          </w:tcPr>
          <w:p w14:paraId="165C4495" w14:textId="77777777" w:rsidR="00840E6E" w:rsidRPr="005B0949" w:rsidRDefault="00840E6E" w:rsidP="00840E6E">
            <w:pPr>
              <w:widowControl w:val="0"/>
              <w:spacing w:before="20" w:after="20"/>
              <w:ind w:left="133"/>
              <w:rPr>
                <w:sz w:val="18"/>
                <w:szCs w:val="18"/>
              </w:rPr>
            </w:pPr>
            <w:bookmarkStart w:id="2" w:name="_Hlk99632748"/>
            <w:r w:rsidRPr="005B0949">
              <w:rPr>
                <w:sz w:val="18"/>
                <w:szCs w:val="18"/>
              </w:rPr>
              <w:t>Minerales no metálicos y metálicas básicas</w:t>
            </w:r>
            <w:bookmarkEnd w:id="2"/>
          </w:p>
        </w:tc>
        <w:tc>
          <w:tcPr>
            <w:tcW w:w="505" w:type="pct"/>
            <w:vAlign w:val="center"/>
          </w:tcPr>
          <w:p w14:paraId="6CBFB59C" w14:textId="285D29AF" w:rsidR="00840E6E" w:rsidRPr="00A17322" w:rsidRDefault="00840E6E" w:rsidP="00840E6E">
            <w:pPr>
              <w:tabs>
                <w:tab w:val="decimal" w:pos="414"/>
              </w:tabs>
              <w:jc w:val="left"/>
              <w:rPr>
                <w:sz w:val="18"/>
                <w:szCs w:val="18"/>
              </w:rPr>
            </w:pPr>
            <w:r>
              <w:rPr>
                <w:sz w:val="18"/>
                <w:szCs w:val="18"/>
              </w:rPr>
              <w:t>53.0</w:t>
            </w:r>
          </w:p>
        </w:tc>
        <w:tc>
          <w:tcPr>
            <w:tcW w:w="505" w:type="pct"/>
            <w:tcBorders>
              <w:right w:val="single" w:sz="6" w:space="0" w:color="404040"/>
            </w:tcBorders>
            <w:vAlign w:val="center"/>
          </w:tcPr>
          <w:p w14:paraId="11A70554" w14:textId="540C51DE" w:rsidR="00840E6E" w:rsidRPr="00A17322" w:rsidRDefault="00840E6E" w:rsidP="00840E6E">
            <w:pPr>
              <w:tabs>
                <w:tab w:val="decimal" w:pos="370"/>
              </w:tabs>
              <w:jc w:val="left"/>
              <w:rPr>
                <w:sz w:val="18"/>
                <w:szCs w:val="18"/>
              </w:rPr>
            </w:pPr>
            <w:r>
              <w:rPr>
                <w:sz w:val="18"/>
                <w:szCs w:val="18"/>
              </w:rPr>
              <w:t>51.3</w:t>
            </w:r>
          </w:p>
        </w:tc>
        <w:tc>
          <w:tcPr>
            <w:tcW w:w="625" w:type="pct"/>
            <w:tcBorders>
              <w:right w:val="single" w:sz="6" w:space="0" w:color="404040"/>
            </w:tcBorders>
            <w:vAlign w:val="center"/>
          </w:tcPr>
          <w:p w14:paraId="4F843178" w14:textId="5BE91CBF" w:rsidR="00840E6E" w:rsidRPr="00A17322" w:rsidRDefault="00840E6E" w:rsidP="00840E6E">
            <w:pPr>
              <w:tabs>
                <w:tab w:val="decimal" w:pos="483"/>
              </w:tabs>
              <w:jc w:val="left"/>
              <w:rPr>
                <w:sz w:val="18"/>
                <w:szCs w:val="18"/>
              </w:rPr>
            </w:pPr>
            <w:r>
              <w:rPr>
                <w:color w:val="000000"/>
                <w:sz w:val="18"/>
                <w:szCs w:val="18"/>
              </w:rPr>
              <w:t>-1.7</w:t>
            </w:r>
          </w:p>
        </w:tc>
      </w:tr>
      <w:tr w:rsidR="00840E6E" w:rsidRPr="005B0949" w14:paraId="6FEF3963" w14:textId="77777777" w:rsidTr="00840E6E">
        <w:trPr>
          <w:cantSplit/>
          <w:trHeight w:val="20"/>
          <w:jc w:val="center"/>
        </w:trPr>
        <w:tc>
          <w:tcPr>
            <w:tcW w:w="3364" w:type="pct"/>
            <w:tcBorders>
              <w:left w:val="single" w:sz="6" w:space="0" w:color="404040"/>
              <w:right w:val="single" w:sz="6" w:space="0" w:color="404040"/>
            </w:tcBorders>
            <w:vAlign w:val="bottom"/>
          </w:tcPr>
          <w:p w14:paraId="20815B81" w14:textId="77777777" w:rsidR="00840E6E" w:rsidRPr="005B0949" w:rsidRDefault="00840E6E" w:rsidP="00840E6E">
            <w:pPr>
              <w:widowControl w:val="0"/>
              <w:spacing w:before="20" w:after="20"/>
              <w:ind w:left="133"/>
              <w:rPr>
                <w:sz w:val="18"/>
                <w:szCs w:val="18"/>
              </w:rPr>
            </w:pPr>
            <w:r w:rsidRPr="005B0949">
              <w:rPr>
                <w:sz w:val="18"/>
                <w:szCs w:val="18"/>
              </w:rPr>
              <w:t>Equipo de computación, accesorios electrónicos y aparatos eléctricos</w:t>
            </w:r>
          </w:p>
        </w:tc>
        <w:tc>
          <w:tcPr>
            <w:tcW w:w="505" w:type="pct"/>
            <w:vAlign w:val="center"/>
          </w:tcPr>
          <w:p w14:paraId="1DA02F65" w14:textId="4CAC4741" w:rsidR="00840E6E" w:rsidRPr="00A17322" w:rsidRDefault="00840E6E" w:rsidP="00840E6E">
            <w:pPr>
              <w:tabs>
                <w:tab w:val="decimal" w:pos="414"/>
              </w:tabs>
              <w:jc w:val="left"/>
              <w:rPr>
                <w:sz w:val="18"/>
                <w:szCs w:val="18"/>
              </w:rPr>
            </w:pPr>
            <w:r>
              <w:rPr>
                <w:sz w:val="18"/>
                <w:szCs w:val="18"/>
              </w:rPr>
              <w:t>47.2</w:t>
            </w:r>
          </w:p>
        </w:tc>
        <w:tc>
          <w:tcPr>
            <w:tcW w:w="505" w:type="pct"/>
            <w:tcBorders>
              <w:right w:val="single" w:sz="6" w:space="0" w:color="404040"/>
            </w:tcBorders>
            <w:vAlign w:val="center"/>
          </w:tcPr>
          <w:p w14:paraId="2546ECC4" w14:textId="299F8B7C" w:rsidR="00840E6E" w:rsidRPr="00A17322" w:rsidRDefault="00840E6E" w:rsidP="00840E6E">
            <w:pPr>
              <w:tabs>
                <w:tab w:val="decimal" w:pos="370"/>
              </w:tabs>
              <w:jc w:val="left"/>
              <w:rPr>
                <w:sz w:val="18"/>
                <w:szCs w:val="18"/>
              </w:rPr>
            </w:pPr>
            <w:r>
              <w:rPr>
                <w:sz w:val="18"/>
                <w:szCs w:val="18"/>
              </w:rPr>
              <w:t>47.6</w:t>
            </w:r>
          </w:p>
        </w:tc>
        <w:tc>
          <w:tcPr>
            <w:tcW w:w="625" w:type="pct"/>
            <w:tcBorders>
              <w:right w:val="single" w:sz="6" w:space="0" w:color="404040"/>
            </w:tcBorders>
            <w:vAlign w:val="center"/>
          </w:tcPr>
          <w:p w14:paraId="2CF5E216" w14:textId="4D216B84" w:rsidR="00840E6E" w:rsidRPr="00A17322" w:rsidRDefault="00840E6E" w:rsidP="00840E6E">
            <w:pPr>
              <w:tabs>
                <w:tab w:val="decimal" w:pos="483"/>
              </w:tabs>
              <w:jc w:val="left"/>
              <w:rPr>
                <w:sz w:val="18"/>
                <w:szCs w:val="18"/>
              </w:rPr>
            </w:pPr>
            <w:r>
              <w:rPr>
                <w:color w:val="000000"/>
                <w:sz w:val="18"/>
                <w:szCs w:val="18"/>
              </w:rPr>
              <w:t>0.4</w:t>
            </w:r>
          </w:p>
        </w:tc>
      </w:tr>
      <w:tr w:rsidR="00840E6E" w:rsidRPr="005B0949" w14:paraId="5625FF51" w14:textId="77777777" w:rsidTr="00840E6E">
        <w:trPr>
          <w:cantSplit/>
          <w:trHeight w:val="20"/>
          <w:jc w:val="center"/>
        </w:trPr>
        <w:tc>
          <w:tcPr>
            <w:tcW w:w="3364" w:type="pct"/>
            <w:tcBorders>
              <w:left w:val="single" w:sz="6" w:space="0" w:color="404040"/>
              <w:right w:val="single" w:sz="6" w:space="0" w:color="404040"/>
            </w:tcBorders>
            <w:vAlign w:val="bottom"/>
          </w:tcPr>
          <w:p w14:paraId="47796B2C" w14:textId="77777777" w:rsidR="00840E6E" w:rsidRPr="005B0949" w:rsidRDefault="00840E6E" w:rsidP="00840E6E">
            <w:pPr>
              <w:widowControl w:val="0"/>
              <w:spacing w:before="20" w:after="20"/>
              <w:ind w:left="133"/>
              <w:rPr>
                <w:sz w:val="18"/>
                <w:szCs w:val="18"/>
              </w:rPr>
            </w:pPr>
            <w:r w:rsidRPr="005B0949">
              <w:rPr>
                <w:sz w:val="18"/>
                <w:szCs w:val="18"/>
              </w:rPr>
              <w:t>Equipo de transporte</w:t>
            </w:r>
          </w:p>
        </w:tc>
        <w:tc>
          <w:tcPr>
            <w:tcW w:w="505" w:type="pct"/>
            <w:vAlign w:val="center"/>
          </w:tcPr>
          <w:p w14:paraId="18115985" w14:textId="5E0AFEB6" w:rsidR="00840E6E" w:rsidRPr="00A17322" w:rsidRDefault="00840E6E" w:rsidP="00840E6E">
            <w:pPr>
              <w:tabs>
                <w:tab w:val="decimal" w:pos="414"/>
              </w:tabs>
              <w:jc w:val="left"/>
              <w:rPr>
                <w:sz w:val="18"/>
                <w:szCs w:val="18"/>
              </w:rPr>
            </w:pPr>
            <w:r>
              <w:rPr>
                <w:sz w:val="18"/>
                <w:szCs w:val="18"/>
              </w:rPr>
              <w:t>49.0</w:t>
            </w:r>
          </w:p>
        </w:tc>
        <w:tc>
          <w:tcPr>
            <w:tcW w:w="505" w:type="pct"/>
            <w:tcBorders>
              <w:right w:val="single" w:sz="6" w:space="0" w:color="404040"/>
            </w:tcBorders>
            <w:vAlign w:val="center"/>
          </w:tcPr>
          <w:p w14:paraId="6CA3F152" w14:textId="63E23589" w:rsidR="00840E6E" w:rsidRPr="00A17322" w:rsidRDefault="00840E6E" w:rsidP="00840E6E">
            <w:pPr>
              <w:tabs>
                <w:tab w:val="decimal" w:pos="370"/>
              </w:tabs>
              <w:jc w:val="left"/>
              <w:rPr>
                <w:sz w:val="18"/>
                <w:szCs w:val="18"/>
              </w:rPr>
            </w:pPr>
            <w:r>
              <w:rPr>
                <w:sz w:val="18"/>
                <w:szCs w:val="18"/>
              </w:rPr>
              <w:t>48.3</w:t>
            </w:r>
          </w:p>
        </w:tc>
        <w:tc>
          <w:tcPr>
            <w:tcW w:w="625" w:type="pct"/>
            <w:tcBorders>
              <w:right w:val="single" w:sz="6" w:space="0" w:color="404040"/>
            </w:tcBorders>
            <w:vAlign w:val="center"/>
          </w:tcPr>
          <w:p w14:paraId="686DC4DB" w14:textId="6691A7DF" w:rsidR="00840E6E" w:rsidRPr="00A17322" w:rsidRDefault="00840E6E" w:rsidP="00840E6E">
            <w:pPr>
              <w:tabs>
                <w:tab w:val="decimal" w:pos="483"/>
              </w:tabs>
              <w:jc w:val="left"/>
              <w:rPr>
                <w:sz w:val="18"/>
                <w:szCs w:val="18"/>
              </w:rPr>
            </w:pPr>
            <w:r>
              <w:rPr>
                <w:color w:val="000000"/>
                <w:sz w:val="18"/>
                <w:szCs w:val="18"/>
              </w:rPr>
              <w:t>-0.8</w:t>
            </w:r>
          </w:p>
        </w:tc>
      </w:tr>
      <w:tr w:rsidR="00840E6E" w:rsidRPr="005B0949" w14:paraId="25FA0495" w14:textId="77777777" w:rsidTr="00840E6E">
        <w:trPr>
          <w:cantSplit/>
          <w:trHeight w:val="20"/>
          <w:jc w:val="center"/>
        </w:trPr>
        <w:tc>
          <w:tcPr>
            <w:tcW w:w="3364" w:type="pct"/>
            <w:tcBorders>
              <w:left w:val="single" w:sz="6" w:space="0" w:color="404040"/>
              <w:right w:val="single" w:sz="6" w:space="0" w:color="404040"/>
            </w:tcBorders>
            <w:vAlign w:val="bottom"/>
          </w:tcPr>
          <w:p w14:paraId="0AC0A6A3" w14:textId="77777777" w:rsidR="00840E6E" w:rsidRPr="005B0949" w:rsidRDefault="00840E6E" w:rsidP="00840E6E">
            <w:pPr>
              <w:widowControl w:val="0"/>
              <w:spacing w:before="20" w:after="20"/>
              <w:ind w:left="133"/>
              <w:rPr>
                <w:sz w:val="18"/>
                <w:szCs w:val="18"/>
              </w:rPr>
            </w:pPr>
            <w:r w:rsidRPr="005B0949">
              <w:rPr>
                <w:sz w:val="18"/>
                <w:szCs w:val="18"/>
              </w:rPr>
              <w:t>Productos metálicos, maquinaria, equipo y muebles</w:t>
            </w:r>
          </w:p>
        </w:tc>
        <w:tc>
          <w:tcPr>
            <w:tcW w:w="505" w:type="pct"/>
            <w:vAlign w:val="center"/>
          </w:tcPr>
          <w:p w14:paraId="1BC57763" w14:textId="06BAA1D5" w:rsidR="00840E6E" w:rsidRPr="00A17322" w:rsidRDefault="00840E6E" w:rsidP="00840E6E">
            <w:pPr>
              <w:tabs>
                <w:tab w:val="decimal" w:pos="414"/>
              </w:tabs>
              <w:jc w:val="left"/>
              <w:rPr>
                <w:sz w:val="18"/>
                <w:szCs w:val="18"/>
              </w:rPr>
            </w:pPr>
            <w:r>
              <w:rPr>
                <w:sz w:val="18"/>
                <w:szCs w:val="18"/>
              </w:rPr>
              <w:t>49.5</w:t>
            </w:r>
          </w:p>
        </w:tc>
        <w:tc>
          <w:tcPr>
            <w:tcW w:w="505" w:type="pct"/>
            <w:tcBorders>
              <w:right w:val="single" w:sz="6" w:space="0" w:color="404040"/>
            </w:tcBorders>
            <w:vAlign w:val="center"/>
          </w:tcPr>
          <w:p w14:paraId="0181BEFA" w14:textId="48CC82C9" w:rsidR="00840E6E" w:rsidRPr="00A17322" w:rsidRDefault="00840E6E" w:rsidP="00840E6E">
            <w:pPr>
              <w:tabs>
                <w:tab w:val="decimal" w:pos="370"/>
              </w:tabs>
              <w:jc w:val="left"/>
              <w:rPr>
                <w:sz w:val="18"/>
                <w:szCs w:val="18"/>
              </w:rPr>
            </w:pPr>
            <w:r>
              <w:rPr>
                <w:sz w:val="18"/>
                <w:szCs w:val="18"/>
              </w:rPr>
              <w:t>51.1</w:t>
            </w:r>
          </w:p>
        </w:tc>
        <w:tc>
          <w:tcPr>
            <w:tcW w:w="625" w:type="pct"/>
            <w:tcBorders>
              <w:right w:val="single" w:sz="6" w:space="0" w:color="404040"/>
            </w:tcBorders>
            <w:vAlign w:val="center"/>
          </w:tcPr>
          <w:p w14:paraId="69881E29" w14:textId="7BA4C4EC" w:rsidR="00840E6E" w:rsidRPr="00A17322" w:rsidRDefault="00840E6E" w:rsidP="00840E6E">
            <w:pPr>
              <w:tabs>
                <w:tab w:val="decimal" w:pos="483"/>
              </w:tabs>
              <w:jc w:val="left"/>
              <w:rPr>
                <w:sz w:val="18"/>
                <w:szCs w:val="18"/>
              </w:rPr>
            </w:pPr>
            <w:r>
              <w:rPr>
                <w:color w:val="000000"/>
                <w:sz w:val="18"/>
                <w:szCs w:val="18"/>
              </w:rPr>
              <w:t>1.6</w:t>
            </w:r>
          </w:p>
        </w:tc>
      </w:tr>
      <w:tr w:rsidR="00840E6E" w:rsidRPr="005B0949" w14:paraId="655C91BE" w14:textId="77777777" w:rsidTr="00840E6E">
        <w:trPr>
          <w:cantSplit/>
          <w:trHeight w:val="20"/>
          <w:jc w:val="center"/>
        </w:trPr>
        <w:tc>
          <w:tcPr>
            <w:tcW w:w="3364" w:type="pct"/>
            <w:tcBorders>
              <w:left w:val="single" w:sz="6" w:space="0" w:color="404040"/>
              <w:bottom w:val="single" w:sz="6" w:space="0" w:color="404040"/>
              <w:right w:val="single" w:sz="6" w:space="0" w:color="404040"/>
            </w:tcBorders>
            <w:vAlign w:val="bottom"/>
          </w:tcPr>
          <w:p w14:paraId="038E8679" w14:textId="77777777" w:rsidR="00840E6E" w:rsidRPr="005B0949" w:rsidRDefault="00840E6E" w:rsidP="00840E6E">
            <w:pPr>
              <w:widowControl w:val="0"/>
              <w:spacing w:before="20" w:after="20"/>
              <w:ind w:left="133"/>
              <w:rPr>
                <w:sz w:val="18"/>
                <w:szCs w:val="18"/>
              </w:rPr>
            </w:pPr>
            <w:r w:rsidRPr="005B0949">
              <w:rPr>
                <w:sz w:val="18"/>
                <w:szCs w:val="18"/>
              </w:rPr>
              <w:t>Textiles, prendas de vestir, cuero y piel, madera, papel y otras</w:t>
            </w:r>
          </w:p>
        </w:tc>
        <w:tc>
          <w:tcPr>
            <w:tcW w:w="505" w:type="pct"/>
            <w:tcBorders>
              <w:bottom w:val="single" w:sz="6" w:space="0" w:color="404040"/>
            </w:tcBorders>
            <w:vAlign w:val="center"/>
          </w:tcPr>
          <w:p w14:paraId="0DC9883B" w14:textId="1B161ECE" w:rsidR="00840E6E" w:rsidRPr="00A17322" w:rsidRDefault="00840E6E" w:rsidP="00840E6E">
            <w:pPr>
              <w:tabs>
                <w:tab w:val="decimal" w:pos="414"/>
              </w:tabs>
              <w:jc w:val="left"/>
              <w:rPr>
                <w:sz w:val="18"/>
                <w:szCs w:val="18"/>
              </w:rPr>
            </w:pPr>
            <w:r>
              <w:rPr>
                <w:sz w:val="18"/>
                <w:szCs w:val="18"/>
              </w:rPr>
              <w:t>50.7</w:t>
            </w:r>
          </w:p>
        </w:tc>
        <w:tc>
          <w:tcPr>
            <w:tcW w:w="505" w:type="pct"/>
            <w:tcBorders>
              <w:bottom w:val="single" w:sz="6" w:space="0" w:color="404040"/>
              <w:right w:val="single" w:sz="6" w:space="0" w:color="404040"/>
            </w:tcBorders>
            <w:vAlign w:val="center"/>
          </w:tcPr>
          <w:p w14:paraId="077C02B9" w14:textId="6CC8DEF9" w:rsidR="00840E6E" w:rsidRPr="00A17322" w:rsidRDefault="00840E6E" w:rsidP="00840E6E">
            <w:pPr>
              <w:tabs>
                <w:tab w:val="decimal" w:pos="370"/>
              </w:tabs>
              <w:jc w:val="left"/>
              <w:rPr>
                <w:sz w:val="18"/>
                <w:szCs w:val="18"/>
              </w:rPr>
            </w:pPr>
            <w:r>
              <w:rPr>
                <w:sz w:val="18"/>
                <w:szCs w:val="18"/>
              </w:rPr>
              <w:t>45.0</w:t>
            </w:r>
          </w:p>
        </w:tc>
        <w:tc>
          <w:tcPr>
            <w:tcW w:w="625" w:type="pct"/>
            <w:tcBorders>
              <w:bottom w:val="single" w:sz="6" w:space="0" w:color="404040"/>
              <w:right w:val="single" w:sz="6" w:space="0" w:color="404040"/>
            </w:tcBorders>
            <w:vAlign w:val="center"/>
          </w:tcPr>
          <w:p w14:paraId="3B812B07" w14:textId="4948E167" w:rsidR="00840E6E" w:rsidRPr="00A17322" w:rsidRDefault="00840E6E" w:rsidP="00840E6E">
            <w:pPr>
              <w:tabs>
                <w:tab w:val="decimal" w:pos="483"/>
              </w:tabs>
              <w:jc w:val="left"/>
              <w:rPr>
                <w:sz w:val="18"/>
                <w:szCs w:val="18"/>
              </w:rPr>
            </w:pPr>
            <w:r>
              <w:rPr>
                <w:color w:val="000000"/>
                <w:sz w:val="18"/>
                <w:szCs w:val="18"/>
              </w:rPr>
              <w:t>-5.8</w:t>
            </w:r>
          </w:p>
        </w:tc>
      </w:tr>
    </w:tbl>
    <w:p w14:paraId="2B501CF0" w14:textId="77777777" w:rsidR="0007670F" w:rsidRPr="005B0949" w:rsidRDefault="0007670F" w:rsidP="00580C8B">
      <w:pPr>
        <w:widowControl w:val="0"/>
        <w:tabs>
          <w:tab w:val="left" w:pos="686"/>
        </w:tabs>
        <w:spacing w:before="20"/>
        <w:ind w:left="168" w:right="713"/>
        <w:outlineLvl w:val="0"/>
        <w:rPr>
          <w:sz w:val="14"/>
          <w:szCs w:val="14"/>
        </w:rPr>
      </w:pPr>
      <w:r w:rsidRPr="005B0949">
        <w:rPr>
          <w:sz w:val="14"/>
          <w:szCs w:val="14"/>
        </w:rPr>
        <w:t>Nota:</w:t>
      </w:r>
      <w:r w:rsidRPr="005B0949">
        <w:rPr>
          <w:sz w:val="14"/>
          <w:szCs w:val="14"/>
        </w:rPr>
        <w:tab/>
        <w:t xml:space="preserve">Los indicadores se generan con los datos referentes al mes de la entrevista. </w:t>
      </w:r>
    </w:p>
    <w:p w14:paraId="3B72E0C7" w14:textId="77777777" w:rsidR="0007670F" w:rsidRPr="005B0949" w:rsidRDefault="0007670F" w:rsidP="00580C8B">
      <w:pPr>
        <w:widowControl w:val="0"/>
        <w:tabs>
          <w:tab w:val="left" w:pos="686"/>
        </w:tabs>
        <w:ind w:left="168"/>
        <w:rPr>
          <w:sz w:val="14"/>
          <w:szCs w:val="14"/>
        </w:rPr>
      </w:pPr>
      <w:r w:rsidRPr="005B0949">
        <w:rPr>
          <w:sz w:val="14"/>
          <w:szCs w:val="14"/>
        </w:rPr>
        <w:t>1/</w:t>
      </w:r>
      <w:r w:rsidRPr="005B0949">
        <w:rPr>
          <w:sz w:val="14"/>
          <w:szCs w:val="14"/>
        </w:rPr>
        <w:tab/>
        <w:t>Las diferencias en puntos se obtienen de los respectivos indicadores considerando todos sus decimales.</w:t>
      </w:r>
    </w:p>
    <w:p w14:paraId="412617F9" w14:textId="693B91D1" w:rsidR="0007670F" w:rsidRPr="005B0949" w:rsidRDefault="0007670F" w:rsidP="00580C8B">
      <w:pPr>
        <w:widowControl w:val="0"/>
        <w:tabs>
          <w:tab w:val="left" w:pos="686"/>
        </w:tabs>
        <w:ind w:left="168"/>
        <w:outlineLvl w:val="0"/>
        <w:rPr>
          <w:sz w:val="14"/>
          <w:szCs w:val="14"/>
        </w:rPr>
      </w:pPr>
      <w:r w:rsidRPr="005B0949">
        <w:rPr>
          <w:sz w:val="14"/>
          <w:szCs w:val="14"/>
        </w:rPr>
        <w:t>p/</w:t>
      </w:r>
      <w:r w:rsidRPr="005B0949">
        <w:rPr>
          <w:sz w:val="14"/>
          <w:szCs w:val="14"/>
        </w:rPr>
        <w:tab/>
        <w:t>Dato preliminar</w:t>
      </w:r>
    </w:p>
    <w:p w14:paraId="6D727196" w14:textId="37E82845" w:rsidR="00AB6F59" w:rsidRPr="005B0949" w:rsidRDefault="00AB6F59" w:rsidP="00580C8B">
      <w:pPr>
        <w:widowControl w:val="0"/>
        <w:tabs>
          <w:tab w:val="left" w:pos="686"/>
        </w:tabs>
        <w:ind w:left="168"/>
        <w:outlineLvl w:val="0"/>
        <w:rPr>
          <w:b/>
          <w:bCs/>
          <w:smallCaps/>
          <w:kern w:val="32"/>
          <w:sz w:val="14"/>
          <w:szCs w:val="16"/>
        </w:rPr>
      </w:pPr>
      <w:r w:rsidRPr="005B0949">
        <w:rPr>
          <w:sz w:val="14"/>
          <w:szCs w:val="16"/>
        </w:rPr>
        <w:t>Fuente:</w:t>
      </w:r>
      <w:r w:rsidR="00580C8B" w:rsidRPr="005B0949">
        <w:rPr>
          <w:sz w:val="14"/>
          <w:szCs w:val="16"/>
        </w:rPr>
        <w:tab/>
      </w:r>
      <w:r w:rsidRPr="005B0949">
        <w:rPr>
          <w:sz w:val="14"/>
          <w:szCs w:val="16"/>
        </w:rPr>
        <w:t>INEGI y Banco de México</w:t>
      </w:r>
    </w:p>
    <w:p w14:paraId="19E54059" w14:textId="77777777" w:rsidR="00744887" w:rsidRPr="00F65C5A" w:rsidRDefault="00744887" w:rsidP="00A773EC">
      <w:pPr>
        <w:widowControl w:val="0"/>
        <w:tabs>
          <w:tab w:val="left" w:pos="9432"/>
        </w:tabs>
        <w:spacing w:before="360"/>
        <w:rPr>
          <w:b/>
        </w:rPr>
      </w:pPr>
      <w:bookmarkStart w:id="3" w:name="_Hlk7505158"/>
      <w:r w:rsidRPr="00F65C5A">
        <w:rPr>
          <w:b/>
        </w:rPr>
        <w:t>Nota al usuario</w:t>
      </w:r>
    </w:p>
    <w:p w14:paraId="29A8D42B" w14:textId="67ADD314" w:rsidR="00744887" w:rsidRPr="00B5651D" w:rsidRDefault="00304F2D" w:rsidP="005F4639">
      <w:pPr>
        <w:spacing w:before="240"/>
      </w:pPr>
      <w:bookmarkStart w:id="4" w:name="_Hlk122692354"/>
      <w:r w:rsidRPr="00304F2D">
        <w:rPr>
          <w:spacing w:val="-2"/>
        </w:rPr>
        <w:t xml:space="preserve">La tasa de no respuesta de la EMOE, correspondiente a </w:t>
      </w:r>
      <w:r>
        <w:rPr>
          <w:spacing w:val="-2"/>
        </w:rPr>
        <w:t>diciembre</w:t>
      </w:r>
      <w:r w:rsidRPr="00304F2D">
        <w:rPr>
          <w:spacing w:val="-2"/>
        </w:rPr>
        <w:t xml:space="preserve"> de 2022, registró porcentajes apropiados conforme al diseño estadístico de la encuesta. Esto permitió generar estadísticas con niveles altos de precisión en todos los grupos de subsectores de actividad de la industria manufacturera.</w:t>
      </w:r>
    </w:p>
    <w:bookmarkEnd w:id="4"/>
    <w:p w14:paraId="55BF6BC2" w14:textId="2FAB1945" w:rsidR="00985A0E" w:rsidRPr="00E439E8" w:rsidRDefault="00167073" w:rsidP="00FC6FC5">
      <w:pPr>
        <w:pStyle w:val="p0"/>
        <w:keepLines w:val="0"/>
        <w:widowControl/>
        <w:rPr>
          <w:rFonts w:ascii="Arial" w:hAnsi="Arial"/>
          <w:color w:val="auto"/>
        </w:rPr>
      </w:pPr>
      <w:r>
        <w:rPr>
          <w:rFonts w:ascii="Arial" w:hAnsi="Arial"/>
          <w:color w:val="auto"/>
          <w:lang w:val="es-MX"/>
        </w:rPr>
        <w:t>L</w:t>
      </w:r>
      <w:r w:rsidR="00985A0E" w:rsidRPr="0D062C30">
        <w:rPr>
          <w:rFonts w:ascii="Arial" w:hAnsi="Arial"/>
          <w:color w:val="auto"/>
          <w:lang w:val="es-MX"/>
        </w:rPr>
        <w:t xml:space="preserve">as cifras desestacionalizadas y de tendencia-ciclo pueden estar sujetas a revisiones por el impacto de la emergencia sanitaria de la COVID-19. La estrategia que siguió el INEGI fue revisar cada serie de tiempo y analizar la necesidad de incluir algún tratamiento especial, como el de </w:t>
      </w:r>
      <w:proofErr w:type="spellStart"/>
      <w:r w:rsidR="00985A0E" w:rsidRPr="0D062C30">
        <w:rPr>
          <w:rFonts w:ascii="Arial" w:hAnsi="Arial"/>
          <w:i/>
          <w:iCs/>
          <w:color w:val="auto"/>
          <w:lang w:val="es-MX"/>
        </w:rPr>
        <w:t>Outliers</w:t>
      </w:r>
      <w:proofErr w:type="spellEnd"/>
      <w:r w:rsidR="00985A0E" w:rsidRPr="0D062C30">
        <w:rPr>
          <w:rFonts w:ascii="Arial" w:hAnsi="Arial"/>
          <w:i/>
          <w:iCs/>
          <w:color w:val="auto"/>
          <w:lang w:val="es-MX"/>
        </w:rPr>
        <w:t>,</w:t>
      </w:r>
      <w:r w:rsidR="00985A0E" w:rsidRPr="0D062C30">
        <w:rPr>
          <w:rFonts w:ascii="Arial" w:hAnsi="Arial"/>
          <w:color w:val="auto"/>
          <w:lang w:val="es-MX"/>
        </w:rPr>
        <w:t xml:space="preserve"> en los modelos de ajuste estacional para los meses de la contingencia. </w:t>
      </w:r>
      <w:r w:rsidR="00BA05BA">
        <w:rPr>
          <w:rFonts w:ascii="Arial" w:hAnsi="Arial"/>
          <w:color w:val="auto"/>
          <w:lang w:val="es-MX"/>
        </w:rPr>
        <w:t>Esto</w:t>
      </w:r>
      <w:r w:rsidR="00985A0E" w:rsidRPr="0D062C30">
        <w:rPr>
          <w:rFonts w:ascii="Arial" w:hAnsi="Arial"/>
          <w:color w:val="auto"/>
          <w:lang w:val="es-MX"/>
        </w:rPr>
        <w:t xml:space="preserve"> para que los grandes cambios en las cifras originales no influyeran de manera desproporcionada en los factores estacionales utilizados.</w:t>
      </w:r>
    </w:p>
    <w:p w14:paraId="5A7C884B" w14:textId="42441DCC" w:rsidR="0007670F" w:rsidRPr="00F65C5A" w:rsidRDefault="0007670F" w:rsidP="004B4E18">
      <w:pPr>
        <w:keepNext/>
        <w:keepLines/>
        <w:spacing w:before="240"/>
        <w:rPr>
          <w:b/>
        </w:rPr>
      </w:pPr>
      <w:r w:rsidRPr="00F65C5A">
        <w:rPr>
          <w:b/>
        </w:rPr>
        <w:lastRenderedPageBreak/>
        <w:t xml:space="preserve">Nota </w:t>
      </w:r>
      <w:r w:rsidR="00891BAB" w:rsidRPr="00F65C5A">
        <w:rPr>
          <w:b/>
        </w:rPr>
        <w:t>m</w:t>
      </w:r>
      <w:r w:rsidRPr="00F65C5A">
        <w:rPr>
          <w:b/>
        </w:rPr>
        <w:t>etodológica</w:t>
      </w:r>
    </w:p>
    <w:p w14:paraId="76858860" w14:textId="22DC386D" w:rsidR="00CF2964" w:rsidRPr="005B0949" w:rsidRDefault="00CF2964" w:rsidP="004B4E18">
      <w:pPr>
        <w:keepNext/>
        <w:keepLines/>
        <w:spacing w:before="240"/>
        <w:rPr>
          <w:lang w:val="es-ES"/>
        </w:rPr>
      </w:pPr>
      <w:r w:rsidRPr="005B0949">
        <w:rPr>
          <w:lang w:val="es-ES"/>
        </w:rPr>
        <w:t>La E</w:t>
      </w:r>
      <w:r w:rsidR="00985A0E">
        <w:rPr>
          <w:lang w:val="es-ES"/>
        </w:rPr>
        <w:t>MOE</w:t>
      </w:r>
      <w:r w:rsidRPr="005B0949">
        <w:rPr>
          <w:lang w:val="es-ES"/>
        </w:rPr>
        <w:t xml:space="preserve"> se lleva a cabo</w:t>
      </w:r>
      <w:r w:rsidR="00A615D8">
        <w:rPr>
          <w:lang w:val="es-ES"/>
        </w:rPr>
        <w:t xml:space="preserve"> una vez al mes</w:t>
      </w:r>
      <w:r w:rsidRPr="005B0949">
        <w:rPr>
          <w:lang w:val="es-ES"/>
        </w:rPr>
        <w:t xml:space="preserve"> y tiene como base una muestra de 1</w:t>
      </w:r>
      <w:r w:rsidR="000E7775">
        <w:rPr>
          <w:lang w:val="es-ES"/>
        </w:rPr>
        <w:t xml:space="preserve"> </w:t>
      </w:r>
      <w:r w:rsidRPr="005B0949">
        <w:rPr>
          <w:lang w:val="es-ES"/>
        </w:rPr>
        <w:t xml:space="preserve">492 empresas a nivel nacional. </w:t>
      </w:r>
      <w:r w:rsidR="002D11B5">
        <w:rPr>
          <w:lang w:val="es-ES"/>
        </w:rPr>
        <w:t>E</w:t>
      </w:r>
      <w:r w:rsidR="002D11B5" w:rsidRPr="005B0949">
        <w:rPr>
          <w:lang w:val="es-ES"/>
        </w:rPr>
        <w:t xml:space="preserve">n dos </w:t>
      </w:r>
      <w:r w:rsidR="002D11B5">
        <w:rPr>
          <w:lang w:val="es-ES"/>
        </w:rPr>
        <w:t>tercer</w:t>
      </w:r>
      <w:r w:rsidR="002D11B5" w:rsidRPr="005B0949">
        <w:rPr>
          <w:lang w:val="es-ES"/>
        </w:rPr>
        <w:t>as partes de las empresas de la muestra,</w:t>
      </w:r>
      <w:r w:rsidR="002D11B5">
        <w:rPr>
          <w:lang w:val="es-ES"/>
        </w:rPr>
        <w:t xml:space="preserve"> l</w:t>
      </w:r>
      <w:r w:rsidRPr="005B0949">
        <w:rPr>
          <w:lang w:val="es-ES"/>
        </w:rPr>
        <w:t xml:space="preserve">a información </w:t>
      </w:r>
      <w:r w:rsidR="002D11B5">
        <w:rPr>
          <w:lang w:val="es-ES"/>
        </w:rPr>
        <w:t>se</w:t>
      </w:r>
      <w:r w:rsidRPr="005B0949">
        <w:rPr>
          <w:lang w:val="es-ES"/>
        </w:rPr>
        <w:t xml:space="preserve"> obt</w:t>
      </w:r>
      <w:r w:rsidR="00F222D7">
        <w:rPr>
          <w:lang w:val="es-ES"/>
        </w:rPr>
        <w:t>uvo</w:t>
      </w:r>
      <w:r w:rsidRPr="005B0949">
        <w:rPr>
          <w:lang w:val="es-ES"/>
        </w:rPr>
        <w:t xml:space="preserve"> </w:t>
      </w:r>
      <w:r w:rsidR="00F222D7">
        <w:rPr>
          <w:lang w:val="es-ES"/>
        </w:rPr>
        <w:t>mediante</w:t>
      </w:r>
      <w:r w:rsidRPr="005B0949">
        <w:rPr>
          <w:lang w:val="es-ES"/>
        </w:rPr>
        <w:t xml:space="preserve"> entrevista electrónica</w:t>
      </w:r>
      <w:r w:rsidR="0036620A">
        <w:rPr>
          <w:lang w:val="es-ES"/>
        </w:rPr>
        <w:t>.</w:t>
      </w:r>
      <w:r w:rsidRPr="005B0949">
        <w:rPr>
          <w:lang w:val="es-ES"/>
        </w:rPr>
        <w:t xml:space="preserve"> </w:t>
      </w:r>
      <w:r w:rsidR="0036620A">
        <w:rPr>
          <w:lang w:val="es-ES"/>
        </w:rPr>
        <w:t>E</w:t>
      </w:r>
      <w:r w:rsidRPr="005B0949">
        <w:rPr>
          <w:lang w:val="es-ES"/>
        </w:rPr>
        <w:t>l resto se recab</w:t>
      </w:r>
      <w:r w:rsidR="001A3141">
        <w:rPr>
          <w:lang w:val="es-ES"/>
        </w:rPr>
        <w:t>ó</w:t>
      </w:r>
      <w:r w:rsidR="00810C81">
        <w:rPr>
          <w:lang w:val="es-ES"/>
        </w:rPr>
        <w:t xml:space="preserve"> visitando</w:t>
      </w:r>
      <w:r w:rsidR="0036620A">
        <w:rPr>
          <w:lang w:val="es-ES"/>
        </w:rPr>
        <w:t xml:space="preserve"> </w:t>
      </w:r>
      <w:r w:rsidRPr="005B0949">
        <w:rPr>
          <w:lang w:val="es-ES"/>
        </w:rPr>
        <w:t>l</w:t>
      </w:r>
      <w:r w:rsidR="0036620A">
        <w:rPr>
          <w:lang w:val="es-ES"/>
        </w:rPr>
        <w:t>a</w:t>
      </w:r>
      <w:r w:rsidRPr="005B0949">
        <w:rPr>
          <w:lang w:val="es-ES"/>
        </w:rPr>
        <w:t xml:space="preserve"> direc</w:t>
      </w:r>
      <w:r w:rsidR="0036620A">
        <w:rPr>
          <w:lang w:val="es-ES"/>
        </w:rPr>
        <w:t>ción</w:t>
      </w:r>
      <w:r w:rsidRPr="005B0949">
        <w:rPr>
          <w:lang w:val="es-ES"/>
        </w:rPr>
        <w:t xml:space="preserve"> empresarial.</w:t>
      </w:r>
    </w:p>
    <w:p w14:paraId="7BCDB0A0" w14:textId="0A550A94" w:rsidR="00CF2964" w:rsidRPr="005B0949" w:rsidRDefault="00CF2964" w:rsidP="005F4639">
      <w:pPr>
        <w:spacing w:before="240"/>
      </w:pPr>
      <w:r w:rsidRPr="005B0949">
        <w:rPr>
          <w:lang w:val="es-ES"/>
        </w:rPr>
        <w:t>El marco poblacional está formado por el directorio de empresas provenientes del Registro Estadístico de Negocios de México (RENEM) que cuenta con 6</w:t>
      </w:r>
      <w:r w:rsidR="00F4680D">
        <w:rPr>
          <w:lang w:val="es-ES"/>
        </w:rPr>
        <w:t xml:space="preserve"> </w:t>
      </w:r>
      <w:r w:rsidRPr="005B0949">
        <w:rPr>
          <w:lang w:val="es-ES"/>
        </w:rPr>
        <w:t>077 empresas. Para la selección de la muestra se utilizó un diseño probabilístico y estratificado con selección aleatoria e independiente en cada estrato</w:t>
      </w:r>
      <w:r w:rsidRPr="005B0949">
        <w:t>.</w:t>
      </w:r>
    </w:p>
    <w:p w14:paraId="1CFDDDBE" w14:textId="60383B20" w:rsidR="00CF2964" w:rsidRPr="005B0949" w:rsidRDefault="00CF2964" w:rsidP="007F4FBD">
      <w:pPr>
        <w:spacing w:before="240"/>
      </w:pPr>
      <w:r w:rsidRPr="005B0949">
        <w:t xml:space="preserve">La encuesta incluye con certeza las empresas con </w:t>
      </w:r>
      <w:r w:rsidR="006E64C9">
        <w:t>mil</w:t>
      </w:r>
      <w:r w:rsidRPr="005B0949">
        <w:t xml:space="preserve"> trabajadores y más. Para calcular el tamaño de muestra se utilizó la variable del personal ocupado con afijación </w:t>
      </w:r>
      <w:proofErr w:type="spellStart"/>
      <w:r w:rsidRPr="004D7CB1">
        <w:t>Neyman</w:t>
      </w:r>
      <w:proofErr w:type="spellEnd"/>
      <w:r w:rsidRPr="005B0949">
        <w:t xml:space="preserve">, </w:t>
      </w:r>
      <w:r w:rsidR="00127CCF">
        <w:t>que resultó en</w:t>
      </w:r>
      <w:r w:rsidR="00127CCF" w:rsidRPr="005B0949">
        <w:t xml:space="preserve"> </w:t>
      </w:r>
      <w:r w:rsidRPr="005B0949">
        <w:rPr>
          <w:lang w:val="es-ES"/>
        </w:rPr>
        <w:t>1</w:t>
      </w:r>
      <w:r w:rsidR="00AD42FA">
        <w:rPr>
          <w:lang w:val="es-ES"/>
        </w:rPr>
        <w:t xml:space="preserve"> </w:t>
      </w:r>
      <w:r w:rsidRPr="005B0949">
        <w:rPr>
          <w:lang w:val="es-ES"/>
        </w:rPr>
        <w:t xml:space="preserve">492 </w:t>
      </w:r>
      <w:r w:rsidRPr="005B0949">
        <w:t>empresas. En el diseño del cuestionario se incorporaron las recomendaciones de la</w:t>
      </w:r>
      <w:r w:rsidR="00DF6F28">
        <w:t xml:space="preserve"> Organización para la Cooperación y Desarrollo Económicos (OCDE) </w:t>
      </w:r>
      <w:r w:rsidRPr="005B0949">
        <w:t>y</w:t>
      </w:r>
      <w:r w:rsidR="00D14F87">
        <w:t xml:space="preserve"> de</w:t>
      </w:r>
      <w:r w:rsidRPr="005B0949">
        <w:t xml:space="preserve"> </w:t>
      </w:r>
      <w:r w:rsidR="003C5620">
        <w:t xml:space="preserve">la </w:t>
      </w:r>
      <w:r w:rsidR="00DF6F28">
        <w:t>Comisión Económica para América Latina y el Caribe (</w:t>
      </w:r>
      <w:r w:rsidRPr="005B0949">
        <w:t>CEPAL</w:t>
      </w:r>
      <w:r w:rsidR="00DF6F28">
        <w:t>)</w:t>
      </w:r>
      <w:r w:rsidRPr="005B0949">
        <w:t>, así como las sugerencias del Banco de México.</w:t>
      </w:r>
    </w:p>
    <w:p w14:paraId="52307FFD" w14:textId="756D7095" w:rsidR="00CF2964" w:rsidRPr="005B0949" w:rsidRDefault="003F31D7" w:rsidP="005F4639">
      <w:pPr>
        <w:spacing w:before="240"/>
      </w:pPr>
      <w:r w:rsidRPr="003F31D7">
        <w:t xml:space="preserve">El </w:t>
      </w:r>
      <w:r w:rsidR="00CF2964" w:rsidRPr="003F31D7">
        <w:t>IPM</w:t>
      </w:r>
      <w:r w:rsidR="00CF2964" w:rsidRPr="005B0949">
        <w:t xml:space="preserve"> se </w:t>
      </w:r>
      <w:r w:rsidR="009C3128">
        <w:t xml:space="preserve">integra mensualmente con </w:t>
      </w:r>
      <w:r w:rsidR="00CF2964" w:rsidRPr="005B0949">
        <w:t>las expectativas de</w:t>
      </w:r>
      <w:r w:rsidR="001A3141">
        <w:t xml:space="preserve"> las y</w:t>
      </w:r>
      <w:r w:rsidR="00CF2964" w:rsidRPr="005B0949">
        <w:t xml:space="preserve"> los directivos empresariales para las siguientes variables: </w:t>
      </w:r>
      <w:r w:rsidR="007F6E05">
        <w:t>p</w:t>
      </w:r>
      <w:r w:rsidR="00CF2964" w:rsidRPr="005B0949">
        <w:t xml:space="preserve">edidos, </w:t>
      </w:r>
      <w:r w:rsidR="007F6E05">
        <w:t>p</w:t>
      </w:r>
      <w:r w:rsidR="00CF2964" w:rsidRPr="005B0949">
        <w:t xml:space="preserve">roducción, </w:t>
      </w:r>
      <w:r w:rsidR="007F6E05">
        <w:t>p</w:t>
      </w:r>
      <w:r w:rsidR="00CF2964" w:rsidRPr="005B0949">
        <w:t xml:space="preserve">ersonal </w:t>
      </w:r>
      <w:r w:rsidR="007F6E05">
        <w:t>o</w:t>
      </w:r>
      <w:r w:rsidR="00CF2964" w:rsidRPr="005B0949">
        <w:t xml:space="preserve">cupado, </w:t>
      </w:r>
      <w:r w:rsidR="007F6E05">
        <w:t>o</w:t>
      </w:r>
      <w:r w:rsidR="00CF2964" w:rsidRPr="005B0949">
        <w:t xml:space="preserve">portunidad de la </w:t>
      </w:r>
      <w:r w:rsidR="007F6E05">
        <w:t>e</w:t>
      </w:r>
      <w:r w:rsidR="00CF2964" w:rsidRPr="005B0949">
        <w:t xml:space="preserve">ntrega de </w:t>
      </w:r>
      <w:r w:rsidR="007F6E05">
        <w:t>i</w:t>
      </w:r>
      <w:r w:rsidR="00CF2964" w:rsidRPr="005B0949">
        <w:t xml:space="preserve">nsumos por parte de </w:t>
      </w:r>
      <w:r w:rsidR="007F6E05">
        <w:t>p</w:t>
      </w:r>
      <w:r w:rsidR="00CF2964" w:rsidRPr="005B0949">
        <w:t xml:space="preserve">roveedores e </w:t>
      </w:r>
      <w:r w:rsidR="007F6E05">
        <w:t>i</w:t>
      </w:r>
      <w:r w:rsidR="00CF2964" w:rsidRPr="005B0949">
        <w:t xml:space="preserve">nventarios de </w:t>
      </w:r>
      <w:r w:rsidR="007F6E05">
        <w:t>i</w:t>
      </w:r>
      <w:r w:rsidR="00CF2964" w:rsidRPr="005B0949">
        <w:t>nsumos.</w:t>
      </w:r>
    </w:p>
    <w:p w14:paraId="29AAEF11" w14:textId="55F747FE" w:rsidR="00CF2964" w:rsidRPr="005B0949" w:rsidRDefault="00CF2964" w:rsidP="005F4639">
      <w:pPr>
        <w:spacing w:before="240"/>
      </w:pPr>
      <w:r w:rsidRPr="005B0949">
        <w:t xml:space="preserve">El IPM para el total del sector manufacturero y para cada uno de los grupos de subsectores de actividad considerados resulta de la agregación de los cinco indicadores mencionados. </w:t>
      </w:r>
      <w:r w:rsidR="00827FD1">
        <w:t>Estos</w:t>
      </w:r>
      <w:r w:rsidRPr="005B0949">
        <w:t xml:space="preserve"> consideran distintas etapas o variables del proceso productivo que normalmente efectúan las empresas manufactureras</w:t>
      </w:r>
      <w:r w:rsidR="0072415D">
        <w:t>, y</w:t>
      </w:r>
      <w:r w:rsidRPr="005B0949">
        <w:t xml:space="preserve"> se muestra</w:t>
      </w:r>
      <w:r w:rsidR="0072415D">
        <w:t>n</w:t>
      </w:r>
      <w:r w:rsidRPr="005B0949">
        <w:t xml:space="preserve"> a continuación:</w:t>
      </w:r>
    </w:p>
    <w:p w14:paraId="1DA23712" w14:textId="67C14953" w:rsidR="00CF2964" w:rsidRPr="005B0949" w:rsidRDefault="00CF2964" w:rsidP="007F4FBD">
      <w:pPr>
        <w:numPr>
          <w:ilvl w:val="0"/>
          <w:numId w:val="28"/>
        </w:numPr>
        <w:tabs>
          <w:tab w:val="left" w:pos="9432"/>
        </w:tabs>
        <w:spacing w:before="240"/>
        <w:ind w:left="714" w:hanging="357"/>
      </w:pPr>
      <w:r w:rsidRPr="005B0949">
        <w:t>Pedidos (30</w:t>
      </w:r>
      <w:r w:rsidR="0072415D">
        <w:t xml:space="preserve"> </w:t>
      </w:r>
      <w:r w:rsidRPr="005B0949">
        <w:t>% del IPM)</w:t>
      </w:r>
    </w:p>
    <w:p w14:paraId="7327637C" w14:textId="77777777" w:rsidR="00CF2964" w:rsidRPr="005B0949" w:rsidRDefault="00CF2964" w:rsidP="007F4FBD">
      <w:pPr>
        <w:numPr>
          <w:ilvl w:val="0"/>
          <w:numId w:val="27"/>
        </w:numPr>
        <w:tabs>
          <w:tab w:val="num" w:pos="720"/>
          <w:tab w:val="left" w:pos="9432"/>
        </w:tabs>
      </w:pPr>
      <w:r w:rsidRPr="005B0949">
        <w:t>¿Cómo considera usted el comportamiento en el volumen total de pedidos a su empresa provenientes de los mercados, interno y externo, para los periodos indicados respecto al inmediato anterior?</w:t>
      </w:r>
    </w:p>
    <w:p w14:paraId="492083DB" w14:textId="16A23D7B" w:rsidR="00CF2964" w:rsidRPr="005B0949" w:rsidRDefault="00CF2964" w:rsidP="007F4FBD">
      <w:pPr>
        <w:numPr>
          <w:ilvl w:val="0"/>
          <w:numId w:val="28"/>
        </w:numPr>
        <w:tabs>
          <w:tab w:val="left" w:pos="9432"/>
        </w:tabs>
        <w:spacing w:before="120"/>
        <w:ind w:left="714" w:hanging="357"/>
      </w:pPr>
      <w:r w:rsidRPr="005B0949">
        <w:t>Producción (25</w:t>
      </w:r>
      <w:r w:rsidR="0072415D">
        <w:t xml:space="preserve"> </w:t>
      </w:r>
      <w:r w:rsidRPr="005B0949">
        <w:t>% del IPM)</w:t>
      </w:r>
    </w:p>
    <w:p w14:paraId="7F6F537A" w14:textId="77777777" w:rsidR="00CF2964" w:rsidRPr="005B0949" w:rsidRDefault="00CF2964" w:rsidP="007F4FBD">
      <w:pPr>
        <w:numPr>
          <w:ilvl w:val="0"/>
          <w:numId w:val="27"/>
        </w:numPr>
        <w:tabs>
          <w:tab w:val="left" w:pos="9432"/>
        </w:tabs>
        <w:ind w:left="728"/>
      </w:pPr>
      <w:r w:rsidRPr="005B0949">
        <w:t>Para los periodos indicados respecto al inmediato anterior, ¿cómo se comportó el volumen físico de producción de su empresa?</w:t>
      </w:r>
    </w:p>
    <w:p w14:paraId="6CE2773D" w14:textId="0284ECCF" w:rsidR="00CF2964" w:rsidRPr="005B0949" w:rsidRDefault="00CF2964" w:rsidP="005F4639">
      <w:pPr>
        <w:numPr>
          <w:ilvl w:val="0"/>
          <w:numId w:val="28"/>
        </w:numPr>
        <w:tabs>
          <w:tab w:val="left" w:pos="9432"/>
        </w:tabs>
        <w:spacing w:before="120"/>
        <w:ind w:left="714" w:hanging="357"/>
      </w:pPr>
      <w:r w:rsidRPr="005B0949">
        <w:t xml:space="preserve">Personal </w:t>
      </w:r>
      <w:r w:rsidR="00E23166">
        <w:t>o</w:t>
      </w:r>
      <w:r w:rsidRPr="005B0949">
        <w:t>cupado (20</w:t>
      </w:r>
      <w:r w:rsidR="0072415D">
        <w:t xml:space="preserve"> </w:t>
      </w:r>
      <w:r w:rsidRPr="005B0949">
        <w:t>% del IPM)</w:t>
      </w:r>
    </w:p>
    <w:p w14:paraId="47054C2E" w14:textId="77777777" w:rsidR="00CF2964" w:rsidRPr="005B0949" w:rsidRDefault="00CF2964" w:rsidP="009A70B8">
      <w:pPr>
        <w:numPr>
          <w:ilvl w:val="0"/>
          <w:numId w:val="27"/>
        </w:numPr>
        <w:tabs>
          <w:tab w:val="left" w:pos="9432"/>
        </w:tabs>
        <w:ind w:left="728"/>
      </w:pPr>
      <w:r w:rsidRPr="005B0949">
        <w:t>¿Cómo evolucionó y estima que lo hará el número de obreros y empleados dependientes de su empresa, o de otra razón social que laboran en la misma, en los periodos indicados respecto al inmediato anterior?</w:t>
      </w:r>
    </w:p>
    <w:p w14:paraId="314865A4" w14:textId="2687B2D2" w:rsidR="00CF2964" w:rsidRPr="005B0949" w:rsidRDefault="00CF2964" w:rsidP="005F4639">
      <w:pPr>
        <w:numPr>
          <w:ilvl w:val="0"/>
          <w:numId w:val="28"/>
        </w:numPr>
        <w:tabs>
          <w:tab w:val="left" w:pos="9432"/>
        </w:tabs>
        <w:spacing w:before="120"/>
        <w:ind w:left="714" w:hanging="357"/>
      </w:pPr>
      <w:r w:rsidRPr="005B0949">
        <w:t xml:space="preserve">Entregas de </w:t>
      </w:r>
      <w:r w:rsidR="00E23166">
        <w:t>p</w:t>
      </w:r>
      <w:r w:rsidRPr="005B0949">
        <w:t>roveedores (15</w:t>
      </w:r>
      <w:r w:rsidR="0072415D">
        <w:t xml:space="preserve"> </w:t>
      </w:r>
      <w:r w:rsidRPr="005B0949">
        <w:t>% del IPM)</w:t>
      </w:r>
    </w:p>
    <w:p w14:paraId="417011C1" w14:textId="3EE3DA7C" w:rsidR="00CF2964" w:rsidRDefault="00CF2964" w:rsidP="009A70B8">
      <w:pPr>
        <w:numPr>
          <w:ilvl w:val="0"/>
          <w:numId w:val="27"/>
        </w:numPr>
        <w:tabs>
          <w:tab w:val="left" w:pos="9432"/>
        </w:tabs>
        <w:ind w:left="728"/>
      </w:pPr>
      <w:r w:rsidRPr="005B0949">
        <w:t>Para los periodos indicados con respecto al mes anterior, ¿cómo califica la oportunidad de la entrega de insumos por parte de</w:t>
      </w:r>
      <w:r w:rsidR="00E23166">
        <w:t xml:space="preserve"> </w:t>
      </w:r>
      <w:r w:rsidRPr="005B0949">
        <w:t>proveedores?</w:t>
      </w:r>
    </w:p>
    <w:p w14:paraId="51A2BEF7" w14:textId="3FF54534" w:rsidR="00C14949" w:rsidRPr="009A70B8" w:rsidRDefault="00C14949" w:rsidP="0008191E">
      <w:pPr>
        <w:tabs>
          <w:tab w:val="left" w:pos="9432"/>
        </w:tabs>
        <w:ind w:left="728"/>
      </w:pPr>
      <w:r w:rsidRPr="009A70B8">
        <w:lastRenderedPageBreak/>
        <w:t>El ponderador para la variable entrega de insumos es de carácter inverso, de modo que niveles por encima (debajo) de 50 puntos indican entregas de insumos de proveedores menos (más) oportunas.</w:t>
      </w:r>
    </w:p>
    <w:p w14:paraId="0365F667" w14:textId="71DA5F59" w:rsidR="00CF2964" w:rsidRPr="005B0949" w:rsidRDefault="00CF2964" w:rsidP="000A2473">
      <w:pPr>
        <w:numPr>
          <w:ilvl w:val="0"/>
          <w:numId w:val="28"/>
        </w:numPr>
        <w:tabs>
          <w:tab w:val="left" w:pos="9432"/>
        </w:tabs>
        <w:spacing w:before="120"/>
        <w:ind w:left="714" w:hanging="357"/>
      </w:pPr>
      <w:r w:rsidRPr="005B0949">
        <w:t>Inventarios (10</w:t>
      </w:r>
      <w:r w:rsidR="002B5B4A">
        <w:t xml:space="preserve"> </w:t>
      </w:r>
      <w:r w:rsidRPr="005B0949">
        <w:t>% del IPM)</w:t>
      </w:r>
    </w:p>
    <w:p w14:paraId="79AA865C" w14:textId="77777777" w:rsidR="00CF2964" w:rsidRPr="005B0949" w:rsidRDefault="00CF2964" w:rsidP="009A70B8">
      <w:pPr>
        <w:numPr>
          <w:ilvl w:val="0"/>
          <w:numId w:val="27"/>
        </w:numPr>
        <w:tabs>
          <w:tab w:val="left" w:pos="9432"/>
        </w:tabs>
        <w:ind w:left="728"/>
      </w:pPr>
      <w:r w:rsidRPr="005B0949">
        <w:t>¿Cómo evolucionó el volumen físico de sus inventarios de insumos y bienes intermedios para los periodos indicados respecto al inmediato anterior?</w:t>
      </w:r>
    </w:p>
    <w:p w14:paraId="1DF1796D" w14:textId="1E14D294" w:rsidR="00CF2964" w:rsidRPr="005B0949" w:rsidRDefault="00CF2964" w:rsidP="005F4639">
      <w:pPr>
        <w:tabs>
          <w:tab w:val="left" w:pos="9432"/>
        </w:tabs>
        <w:spacing w:before="240"/>
      </w:pPr>
      <w:r w:rsidRPr="005B0949">
        <w:t xml:space="preserve">Para las preguntas </w:t>
      </w:r>
      <w:r w:rsidR="0032529C">
        <w:t>1, 2, 3 y 5</w:t>
      </w:r>
      <w:r w:rsidR="007B5169">
        <w:t>,</w:t>
      </w:r>
      <w:r w:rsidR="0032529C">
        <w:t xml:space="preserve"> </w:t>
      </w:r>
      <w:r w:rsidR="007B5169">
        <w:t xml:space="preserve">la o </w:t>
      </w:r>
      <w:r w:rsidRPr="005B0949">
        <w:t xml:space="preserve">el informante tiene cinco opciones de respuesta: </w:t>
      </w:r>
      <w:r w:rsidR="00B73577" w:rsidRPr="0068396C">
        <w:rPr>
          <w:i/>
          <w:iCs/>
        </w:rPr>
        <w:t>m</w:t>
      </w:r>
      <w:r w:rsidRPr="0068396C">
        <w:rPr>
          <w:i/>
          <w:iCs/>
        </w:rPr>
        <w:t>ucho mayor</w:t>
      </w:r>
      <w:r w:rsidRPr="005B0949">
        <w:t xml:space="preserve">, </w:t>
      </w:r>
      <w:r w:rsidR="00B73577" w:rsidRPr="0068396C">
        <w:rPr>
          <w:i/>
          <w:iCs/>
        </w:rPr>
        <w:t>m</w:t>
      </w:r>
      <w:r w:rsidRPr="0068396C">
        <w:rPr>
          <w:i/>
          <w:iCs/>
        </w:rPr>
        <w:t>ayor</w:t>
      </w:r>
      <w:r w:rsidRPr="005B0949">
        <w:t xml:space="preserve">, </w:t>
      </w:r>
      <w:r w:rsidR="00B73577" w:rsidRPr="0068396C">
        <w:rPr>
          <w:i/>
          <w:iCs/>
        </w:rPr>
        <w:t>i</w:t>
      </w:r>
      <w:r w:rsidRPr="0068396C">
        <w:rPr>
          <w:i/>
          <w:iCs/>
        </w:rPr>
        <w:t>gual</w:t>
      </w:r>
      <w:r w:rsidRPr="005B0949">
        <w:t xml:space="preserve">, </w:t>
      </w:r>
      <w:r w:rsidR="00B73577" w:rsidRPr="0068396C">
        <w:rPr>
          <w:i/>
          <w:iCs/>
        </w:rPr>
        <w:t>m</w:t>
      </w:r>
      <w:r w:rsidRPr="0068396C">
        <w:rPr>
          <w:i/>
          <w:iCs/>
        </w:rPr>
        <w:t>enor</w:t>
      </w:r>
      <w:r w:rsidRPr="005B0949">
        <w:t xml:space="preserve"> y </w:t>
      </w:r>
      <w:r w:rsidR="00B73577" w:rsidRPr="0068396C">
        <w:rPr>
          <w:i/>
          <w:iCs/>
        </w:rPr>
        <w:t>m</w:t>
      </w:r>
      <w:r w:rsidRPr="0068396C">
        <w:rPr>
          <w:i/>
          <w:iCs/>
        </w:rPr>
        <w:t>ucho menor</w:t>
      </w:r>
      <w:r w:rsidR="0032529C">
        <w:t>.</w:t>
      </w:r>
      <w:r w:rsidRPr="005B0949">
        <w:t xml:space="preserve"> </w:t>
      </w:r>
      <w:r w:rsidR="0032529C">
        <w:t>P</w:t>
      </w:r>
      <w:r w:rsidRPr="005B0949">
        <w:t xml:space="preserve">ara la cuarta pregunta, </w:t>
      </w:r>
      <w:r w:rsidR="0032529C">
        <w:t>l</w:t>
      </w:r>
      <w:r w:rsidR="0008191E">
        <w:t>a</w:t>
      </w:r>
      <w:r w:rsidRPr="005B0949">
        <w:t xml:space="preserve">s opciones de respuesta son: </w:t>
      </w:r>
      <w:r w:rsidR="00B73577" w:rsidRPr="0068396C">
        <w:rPr>
          <w:i/>
          <w:iCs/>
        </w:rPr>
        <w:t>m</w:t>
      </w:r>
      <w:r w:rsidRPr="0068396C">
        <w:rPr>
          <w:i/>
          <w:iCs/>
        </w:rPr>
        <w:t>ás rápida</w:t>
      </w:r>
      <w:r w:rsidRPr="005B0949">
        <w:t xml:space="preserve">, </w:t>
      </w:r>
      <w:r w:rsidR="00B73577" w:rsidRPr="0068396C">
        <w:rPr>
          <w:i/>
          <w:iCs/>
        </w:rPr>
        <w:t>r</w:t>
      </w:r>
      <w:r w:rsidRPr="0068396C">
        <w:rPr>
          <w:i/>
          <w:iCs/>
        </w:rPr>
        <w:t>ápida</w:t>
      </w:r>
      <w:r w:rsidRPr="005B0949">
        <w:t xml:space="preserve">, </w:t>
      </w:r>
      <w:r w:rsidR="00B73577" w:rsidRPr="0068396C">
        <w:rPr>
          <w:i/>
          <w:iCs/>
        </w:rPr>
        <w:t>i</w:t>
      </w:r>
      <w:r w:rsidRPr="0068396C">
        <w:rPr>
          <w:i/>
          <w:iCs/>
        </w:rPr>
        <w:t>gual</w:t>
      </w:r>
      <w:r w:rsidRPr="005B0949">
        <w:t xml:space="preserve">, </w:t>
      </w:r>
      <w:r w:rsidR="00B73577" w:rsidRPr="0068396C">
        <w:rPr>
          <w:i/>
          <w:iCs/>
        </w:rPr>
        <w:t>l</w:t>
      </w:r>
      <w:r w:rsidRPr="0068396C">
        <w:rPr>
          <w:i/>
          <w:iCs/>
        </w:rPr>
        <w:t>enta</w:t>
      </w:r>
      <w:r w:rsidRPr="005B0949">
        <w:t xml:space="preserve"> y </w:t>
      </w:r>
      <w:r w:rsidR="00B73577" w:rsidRPr="0068396C">
        <w:rPr>
          <w:i/>
          <w:iCs/>
        </w:rPr>
        <w:t>m</w:t>
      </w:r>
      <w:r w:rsidRPr="0068396C">
        <w:rPr>
          <w:i/>
          <w:iCs/>
        </w:rPr>
        <w:t>ás lenta</w:t>
      </w:r>
      <w:r w:rsidRPr="005B0949">
        <w:t>.</w:t>
      </w:r>
    </w:p>
    <w:p w14:paraId="53CC03C4" w14:textId="28FE3563" w:rsidR="00CF2964" w:rsidRPr="005B0949" w:rsidRDefault="00CF2964" w:rsidP="005F4639">
      <w:pPr>
        <w:spacing w:before="240" w:after="240"/>
      </w:pPr>
      <w:r w:rsidRPr="005B0949">
        <w:t>Cada nivel de respuesta cuenta con un ponderador</w:t>
      </w:r>
      <w:r w:rsidR="00EE35F5">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9"/>
        <w:gridCol w:w="1985"/>
      </w:tblGrid>
      <w:tr w:rsidR="005B0949" w:rsidRPr="005B0949" w14:paraId="1FF8D962" w14:textId="77777777" w:rsidTr="00AF48B8">
        <w:trPr>
          <w:jc w:val="center"/>
        </w:trPr>
        <w:tc>
          <w:tcPr>
            <w:tcW w:w="3969" w:type="dxa"/>
            <w:tcBorders>
              <w:top w:val="single" w:sz="4" w:space="0" w:color="404040"/>
              <w:left w:val="single" w:sz="4" w:space="0" w:color="404040"/>
              <w:bottom w:val="single" w:sz="4" w:space="0" w:color="404040"/>
              <w:right w:val="single" w:sz="4" w:space="0" w:color="404040"/>
            </w:tcBorders>
            <w:shd w:val="clear" w:color="auto" w:fill="CCCCFF"/>
          </w:tcPr>
          <w:p w14:paraId="54B966BF" w14:textId="77777777" w:rsidR="00CF2964" w:rsidRPr="005B0949" w:rsidRDefault="00CF2964" w:rsidP="00AF48B8">
            <w:pPr>
              <w:tabs>
                <w:tab w:val="left" w:pos="9432"/>
              </w:tabs>
              <w:spacing w:before="120" w:after="120"/>
              <w:ind w:left="149"/>
              <w:rPr>
                <w:sz w:val="20"/>
                <w:szCs w:val="20"/>
              </w:rPr>
            </w:pPr>
            <w:r w:rsidRPr="005B0949">
              <w:rPr>
                <w:sz w:val="20"/>
                <w:szCs w:val="20"/>
              </w:rPr>
              <w:t>Opción de respuesta</w:t>
            </w:r>
          </w:p>
        </w:tc>
        <w:tc>
          <w:tcPr>
            <w:tcW w:w="1985" w:type="dxa"/>
            <w:tcBorders>
              <w:top w:val="single" w:sz="4" w:space="0" w:color="404040"/>
              <w:left w:val="single" w:sz="4" w:space="0" w:color="404040"/>
              <w:bottom w:val="single" w:sz="4" w:space="0" w:color="404040"/>
              <w:right w:val="single" w:sz="4" w:space="0" w:color="404040"/>
            </w:tcBorders>
            <w:shd w:val="clear" w:color="auto" w:fill="CCCCFF"/>
          </w:tcPr>
          <w:p w14:paraId="67A7807B" w14:textId="77777777" w:rsidR="00CF2964" w:rsidRPr="005B0949" w:rsidRDefault="00CF2964" w:rsidP="00AF48B8">
            <w:pPr>
              <w:tabs>
                <w:tab w:val="left" w:pos="9432"/>
              </w:tabs>
              <w:spacing w:before="120" w:after="120"/>
              <w:jc w:val="center"/>
              <w:rPr>
                <w:sz w:val="20"/>
                <w:szCs w:val="20"/>
              </w:rPr>
            </w:pPr>
            <w:r w:rsidRPr="005B0949">
              <w:rPr>
                <w:sz w:val="20"/>
                <w:szCs w:val="20"/>
              </w:rPr>
              <w:t>Ponderador</w:t>
            </w:r>
          </w:p>
        </w:tc>
      </w:tr>
      <w:tr w:rsidR="005B0949" w:rsidRPr="005B0949" w14:paraId="473653D7" w14:textId="77777777" w:rsidTr="00AF48B8">
        <w:trPr>
          <w:jc w:val="center"/>
        </w:trPr>
        <w:tc>
          <w:tcPr>
            <w:tcW w:w="3969" w:type="dxa"/>
            <w:tcBorders>
              <w:top w:val="single" w:sz="4" w:space="0" w:color="404040"/>
              <w:left w:val="single" w:sz="4" w:space="0" w:color="404040"/>
              <w:bottom w:val="nil"/>
              <w:right w:val="single" w:sz="4" w:space="0" w:color="404040"/>
            </w:tcBorders>
          </w:tcPr>
          <w:p w14:paraId="28B85141" w14:textId="77777777" w:rsidR="00CF2964" w:rsidRPr="005B0949" w:rsidRDefault="00CF2964" w:rsidP="00AF48B8">
            <w:pPr>
              <w:tabs>
                <w:tab w:val="left" w:pos="9432"/>
              </w:tabs>
              <w:spacing w:before="60"/>
              <w:ind w:firstLine="128"/>
              <w:rPr>
                <w:sz w:val="20"/>
                <w:szCs w:val="20"/>
              </w:rPr>
            </w:pPr>
            <w:r w:rsidRPr="005B0949">
              <w:rPr>
                <w:sz w:val="20"/>
                <w:szCs w:val="20"/>
              </w:rPr>
              <w:t>Mucho mayor</w:t>
            </w:r>
          </w:p>
        </w:tc>
        <w:tc>
          <w:tcPr>
            <w:tcW w:w="1985" w:type="dxa"/>
            <w:tcBorders>
              <w:top w:val="single" w:sz="4" w:space="0" w:color="404040"/>
              <w:left w:val="single" w:sz="4" w:space="0" w:color="404040"/>
              <w:bottom w:val="nil"/>
              <w:right w:val="single" w:sz="4" w:space="0" w:color="404040"/>
            </w:tcBorders>
          </w:tcPr>
          <w:p w14:paraId="4211FD7C" w14:textId="77777777" w:rsidR="00CF2964" w:rsidRPr="005B0949" w:rsidRDefault="00CF2964" w:rsidP="00AF48B8">
            <w:pPr>
              <w:tabs>
                <w:tab w:val="left" w:pos="9432"/>
              </w:tabs>
              <w:spacing w:before="60"/>
              <w:ind w:right="590"/>
              <w:jc w:val="right"/>
              <w:rPr>
                <w:sz w:val="20"/>
                <w:szCs w:val="20"/>
              </w:rPr>
            </w:pPr>
            <w:r w:rsidRPr="005B0949">
              <w:rPr>
                <w:sz w:val="20"/>
                <w:szCs w:val="20"/>
              </w:rPr>
              <w:t>1.00</w:t>
            </w:r>
          </w:p>
        </w:tc>
      </w:tr>
      <w:tr w:rsidR="005B0949" w:rsidRPr="005B0949" w14:paraId="10E66016" w14:textId="77777777" w:rsidTr="00AF48B8">
        <w:trPr>
          <w:jc w:val="center"/>
        </w:trPr>
        <w:tc>
          <w:tcPr>
            <w:tcW w:w="3969" w:type="dxa"/>
            <w:tcBorders>
              <w:top w:val="nil"/>
              <w:left w:val="single" w:sz="4" w:space="0" w:color="404040"/>
              <w:bottom w:val="nil"/>
              <w:right w:val="single" w:sz="4" w:space="0" w:color="404040"/>
            </w:tcBorders>
          </w:tcPr>
          <w:p w14:paraId="0A3B3820" w14:textId="77777777" w:rsidR="00CF2964" w:rsidRPr="005B0949" w:rsidRDefault="00CF2964" w:rsidP="00AF48B8">
            <w:pPr>
              <w:tabs>
                <w:tab w:val="left" w:pos="9432"/>
              </w:tabs>
              <w:ind w:firstLine="128"/>
              <w:rPr>
                <w:sz w:val="20"/>
                <w:szCs w:val="20"/>
              </w:rPr>
            </w:pPr>
            <w:r w:rsidRPr="005B0949">
              <w:rPr>
                <w:sz w:val="20"/>
                <w:szCs w:val="20"/>
              </w:rPr>
              <w:t xml:space="preserve">Mayor </w:t>
            </w:r>
          </w:p>
        </w:tc>
        <w:tc>
          <w:tcPr>
            <w:tcW w:w="1985" w:type="dxa"/>
            <w:tcBorders>
              <w:top w:val="nil"/>
              <w:left w:val="single" w:sz="4" w:space="0" w:color="404040"/>
              <w:bottom w:val="nil"/>
              <w:right w:val="single" w:sz="4" w:space="0" w:color="404040"/>
            </w:tcBorders>
          </w:tcPr>
          <w:p w14:paraId="1CE4CF03" w14:textId="77777777" w:rsidR="00CF2964" w:rsidRPr="005B0949" w:rsidRDefault="00CF2964" w:rsidP="00AF48B8">
            <w:pPr>
              <w:tabs>
                <w:tab w:val="left" w:pos="9432"/>
              </w:tabs>
              <w:ind w:right="590"/>
              <w:jc w:val="right"/>
              <w:rPr>
                <w:sz w:val="20"/>
                <w:szCs w:val="20"/>
              </w:rPr>
            </w:pPr>
            <w:r w:rsidRPr="005B0949">
              <w:rPr>
                <w:sz w:val="20"/>
                <w:szCs w:val="20"/>
              </w:rPr>
              <w:t>0.75</w:t>
            </w:r>
          </w:p>
        </w:tc>
      </w:tr>
      <w:tr w:rsidR="005B0949" w:rsidRPr="005B0949" w14:paraId="5E188512" w14:textId="77777777" w:rsidTr="00AF48B8">
        <w:trPr>
          <w:jc w:val="center"/>
        </w:trPr>
        <w:tc>
          <w:tcPr>
            <w:tcW w:w="3969" w:type="dxa"/>
            <w:tcBorders>
              <w:top w:val="nil"/>
              <w:left w:val="single" w:sz="4" w:space="0" w:color="404040"/>
              <w:bottom w:val="nil"/>
              <w:right w:val="single" w:sz="4" w:space="0" w:color="404040"/>
            </w:tcBorders>
          </w:tcPr>
          <w:p w14:paraId="7100F618" w14:textId="77777777" w:rsidR="00CF2964" w:rsidRPr="005B0949" w:rsidRDefault="00CF2964" w:rsidP="00AF48B8">
            <w:pPr>
              <w:tabs>
                <w:tab w:val="left" w:pos="9432"/>
              </w:tabs>
              <w:ind w:firstLine="128"/>
              <w:rPr>
                <w:sz w:val="20"/>
                <w:szCs w:val="20"/>
              </w:rPr>
            </w:pPr>
            <w:r w:rsidRPr="005B0949">
              <w:rPr>
                <w:sz w:val="20"/>
                <w:szCs w:val="20"/>
              </w:rPr>
              <w:t>Igual</w:t>
            </w:r>
          </w:p>
        </w:tc>
        <w:tc>
          <w:tcPr>
            <w:tcW w:w="1985" w:type="dxa"/>
            <w:tcBorders>
              <w:top w:val="nil"/>
              <w:left w:val="single" w:sz="4" w:space="0" w:color="404040"/>
              <w:bottom w:val="nil"/>
              <w:right w:val="single" w:sz="4" w:space="0" w:color="404040"/>
            </w:tcBorders>
          </w:tcPr>
          <w:p w14:paraId="4CEDE935" w14:textId="77777777" w:rsidR="00CF2964" w:rsidRPr="005B0949" w:rsidRDefault="00CF2964" w:rsidP="00AF48B8">
            <w:pPr>
              <w:tabs>
                <w:tab w:val="left" w:pos="9432"/>
              </w:tabs>
              <w:ind w:right="590"/>
              <w:jc w:val="right"/>
              <w:rPr>
                <w:sz w:val="20"/>
                <w:szCs w:val="20"/>
              </w:rPr>
            </w:pPr>
            <w:r w:rsidRPr="005B0949">
              <w:rPr>
                <w:sz w:val="20"/>
                <w:szCs w:val="20"/>
              </w:rPr>
              <w:t>0.50</w:t>
            </w:r>
          </w:p>
        </w:tc>
      </w:tr>
      <w:tr w:rsidR="005B0949" w:rsidRPr="005B0949" w14:paraId="6379E4EB" w14:textId="77777777" w:rsidTr="00AF48B8">
        <w:trPr>
          <w:jc w:val="center"/>
        </w:trPr>
        <w:tc>
          <w:tcPr>
            <w:tcW w:w="3969" w:type="dxa"/>
            <w:tcBorders>
              <w:top w:val="nil"/>
              <w:left w:val="single" w:sz="4" w:space="0" w:color="404040"/>
              <w:bottom w:val="nil"/>
              <w:right w:val="single" w:sz="4" w:space="0" w:color="404040"/>
            </w:tcBorders>
          </w:tcPr>
          <w:p w14:paraId="6DB5F62D" w14:textId="77777777" w:rsidR="00CF2964" w:rsidRPr="005B0949" w:rsidRDefault="00CF2964" w:rsidP="00AF48B8">
            <w:pPr>
              <w:tabs>
                <w:tab w:val="left" w:pos="9432"/>
              </w:tabs>
              <w:ind w:firstLine="128"/>
              <w:rPr>
                <w:sz w:val="20"/>
                <w:szCs w:val="20"/>
              </w:rPr>
            </w:pPr>
            <w:r w:rsidRPr="005B0949">
              <w:rPr>
                <w:sz w:val="20"/>
                <w:szCs w:val="20"/>
              </w:rPr>
              <w:t>Menor</w:t>
            </w:r>
          </w:p>
        </w:tc>
        <w:tc>
          <w:tcPr>
            <w:tcW w:w="1985" w:type="dxa"/>
            <w:tcBorders>
              <w:top w:val="nil"/>
              <w:left w:val="single" w:sz="4" w:space="0" w:color="404040"/>
              <w:bottom w:val="nil"/>
              <w:right w:val="single" w:sz="4" w:space="0" w:color="404040"/>
            </w:tcBorders>
          </w:tcPr>
          <w:p w14:paraId="78B2191A" w14:textId="77777777" w:rsidR="00CF2964" w:rsidRPr="005B0949" w:rsidRDefault="00CF2964" w:rsidP="00AF48B8">
            <w:pPr>
              <w:tabs>
                <w:tab w:val="left" w:pos="9432"/>
              </w:tabs>
              <w:ind w:right="590"/>
              <w:jc w:val="right"/>
              <w:rPr>
                <w:sz w:val="20"/>
                <w:szCs w:val="20"/>
              </w:rPr>
            </w:pPr>
            <w:r w:rsidRPr="005B0949">
              <w:rPr>
                <w:sz w:val="20"/>
                <w:szCs w:val="20"/>
              </w:rPr>
              <w:t>0.25</w:t>
            </w:r>
          </w:p>
        </w:tc>
      </w:tr>
      <w:tr w:rsidR="005B0949" w:rsidRPr="005B0949" w14:paraId="24065FEF" w14:textId="77777777" w:rsidTr="00AF48B8">
        <w:trPr>
          <w:jc w:val="center"/>
        </w:trPr>
        <w:tc>
          <w:tcPr>
            <w:tcW w:w="3969" w:type="dxa"/>
            <w:tcBorders>
              <w:top w:val="nil"/>
              <w:left w:val="single" w:sz="4" w:space="0" w:color="404040"/>
              <w:bottom w:val="single" w:sz="4" w:space="0" w:color="404040"/>
              <w:right w:val="single" w:sz="4" w:space="0" w:color="404040"/>
            </w:tcBorders>
          </w:tcPr>
          <w:p w14:paraId="564FE98E" w14:textId="77777777" w:rsidR="00CF2964" w:rsidRPr="005B0949" w:rsidRDefault="00CF2964" w:rsidP="00AF48B8">
            <w:pPr>
              <w:tabs>
                <w:tab w:val="left" w:pos="9432"/>
              </w:tabs>
              <w:spacing w:after="60"/>
              <w:ind w:firstLine="128"/>
              <w:rPr>
                <w:strike/>
                <w:sz w:val="20"/>
                <w:szCs w:val="20"/>
              </w:rPr>
            </w:pPr>
            <w:r w:rsidRPr="005B0949">
              <w:rPr>
                <w:sz w:val="20"/>
                <w:szCs w:val="20"/>
              </w:rPr>
              <w:t>Mucho menor</w:t>
            </w:r>
          </w:p>
        </w:tc>
        <w:tc>
          <w:tcPr>
            <w:tcW w:w="1985" w:type="dxa"/>
            <w:tcBorders>
              <w:top w:val="nil"/>
              <w:left w:val="single" w:sz="4" w:space="0" w:color="404040"/>
              <w:bottom w:val="single" w:sz="4" w:space="0" w:color="404040"/>
              <w:right w:val="single" w:sz="4" w:space="0" w:color="404040"/>
            </w:tcBorders>
          </w:tcPr>
          <w:p w14:paraId="52BFD2CA" w14:textId="77777777" w:rsidR="00CF2964" w:rsidRPr="005B0949" w:rsidRDefault="00CF2964" w:rsidP="00AF48B8">
            <w:pPr>
              <w:tabs>
                <w:tab w:val="left" w:pos="9432"/>
              </w:tabs>
              <w:spacing w:after="60"/>
              <w:ind w:right="590"/>
              <w:jc w:val="right"/>
              <w:rPr>
                <w:sz w:val="20"/>
                <w:szCs w:val="20"/>
              </w:rPr>
            </w:pPr>
            <w:r w:rsidRPr="005B0949">
              <w:rPr>
                <w:sz w:val="20"/>
                <w:szCs w:val="20"/>
              </w:rPr>
              <w:t>0.00</w:t>
            </w:r>
          </w:p>
        </w:tc>
      </w:tr>
    </w:tbl>
    <w:p w14:paraId="239B116B" w14:textId="2B923BAE" w:rsidR="00CF2964" w:rsidRPr="005B0949" w:rsidRDefault="00CF2964" w:rsidP="005F4639">
      <w:pPr>
        <w:spacing w:before="240"/>
      </w:pPr>
      <w:r w:rsidRPr="005B0949">
        <w:t>En el IPM</w:t>
      </w:r>
      <w:r w:rsidR="007B5169">
        <w:t>,</w:t>
      </w:r>
      <w:r w:rsidRPr="005B0949">
        <w:t xml:space="preserve"> el valor de 50 constituye el umbral para delimitar una expansión de una contracción en la actividad del sector manufacturero.</w:t>
      </w:r>
    </w:p>
    <w:p w14:paraId="0EF7F530" w14:textId="50952B62" w:rsidR="001B1697" w:rsidRPr="005B0949" w:rsidRDefault="001B1697" w:rsidP="007F4FBD">
      <w:pPr>
        <w:pStyle w:val="Default"/>
        <w:widowControl w:val="0"/>
        <w:spacing w:before="240"/>
        <w:jc w:val="both"/>
        <w:rPr>
          <w:color w:val="auto"/>
        </w:rPr>
      </w:pPr>
      <w:r w:rsidRPr="005B0949">
        <w:rPr>
          <w:color w:val="auto"/>
        </w:rPr>
        <w:t>El I</w:t>
      </w:r>
      <w:r w:rsidR="003F31D7">
        <w:rPr>
          <w:color w:val="auto"/>
        </w:rPr>
        <w:t>PM</w:t>
      </w:r>
      <w:r w:rsidRPr="005B0949">
        <w:rPr>
          <w:color w:val="auto"/>
        </w:rPr>
        <w:t xml:space="preserve"> difunde resultados del sector y por grupos de subsectores de actividad: Alimentos, bebidas y tabaco (subsectores 311 y 312); Derivados del petróleo y del carbón, industria química, del plástico y del hule (subsectores 324, 325 y 326); Minerales no metálicos y metálicas básicas (subsectores 327 y 331); Equipo de computación, accesorios electrónicos y aparatos eléctricos (subsectores 334 y 335); Equipo de transporte (subsector 336); Productos metálicos, maquinaria, equipo y muebles (subsectores 332, 333 y 337) y Textiles, prendas de vestir, cuero y piel, madera, papel y otras industrias (subsectores 313, 314, 315, 316, 321, 322, 323 y 339).</w:t>
      </w:r>
    </w:p>
    <w:p w14:paraId="039DD37B" w14:textId="76B1721D" w:rsidR="00C83373" w:rsidRPr="005B0949" w:rsidRDefault="00931D4B" w:rsidP="007F4FBD">
      <w:pPr>
        <w:pStyle w:val="Default"/>
        <w:widowControl w:val="0"/>
        <w:spacing w:before="240"/>
        <w:jc w:val="both"/>
      </w:pPr>
      <w:r>
        <w:rPr>
          <w:color w:val="auto"/>
        </w:rPr>
        <w:t>Para</w:t>
      </w:r>
      <w:r w:rsidR="00CF2964" w:rsidRPr="005B0949">
        <w:rPr>
          <w:color w:val="auto"/>
        </w:rPr>
        <w:t xml:space="preserve"> brindar mayores elementos que permitan determinar la precisión de los datos generados por la E</w:t>
      </w:r>
      <w:r w:rsidR="000371E9">
        <w:rPr>
          <w:color w:val="auto"/>
        </w:rPr>
        <w:t>MOE</w:t>
      </w:r>
      <w:r w:rsidR="00CF2964" w:rsidRPr="005B0949">
        <w:rPr>
          <w:color w:val="auto"/>
        </w:rPr>
        <w:t xml:space="preserve">, el INEGI publica </w:t>
      </w:r>
      <w:r w:rsidR="00C83373" w:rsidRPr="005B0949">
        <w:rPr>
          <w:color w:val="auto"/>
        </w:rPr>
        <w:t xml:space="preserve">en su página los </w:t>
      </w:r>
      <w:r w:rsidR="00E23166">
        <w:rPr>
          <w:color w:val="auto"/>
        </w:rPr>
        <w:t>i</w:t>
      </w:r>
      <w:r w:rsidR="00C83373" w:rsidRPr="005B0949">
        <w:rPr>
          <w:color w:val="auto"/>
        </w:rPr>
        <w:t xml:space="preserve">ndicadores de </w:t>
      </w:r>
      <w:r w:rsidR="00E23166">
        <w:rPr>
          <w:color w:val="auto"/>
        </w:rPr>
        <w:t>p</w:t>
      </w:r>
      <w:r w:rsidR="00C83373" w:rsidRPr="005B0949">
        <w:rPr>
          <w:color w:val="auto"/>
        </w:rPr>
        <w:t xml:space="preserve">recisión </w:t>
      </w:r>
      <w:r w:rsidR="00E23166">
        <w:rPr>
          <w:color w:val="auto"/>
        </w:rPr>
        <w:t>e</w:t>
      </w:r>
      <w:r w:rsidR="00C83373" w:rsidRPr="005B0949">
        <w:rPr>
          <w:color w:val="auto"/>
        </w:rPr>
        <w:t xml:space="preserve">stadística </w:t>
      </w:r>
      <w:r w:rsidR="00CF2964" w:rsidRPr="005B0949">
        <w:rPr>
          <w:color w:val="auto"/>
        </w:rPr>
        <w:t>del I</w:t>
      </w:r>
      <w:r w:rsidR="000371E9">
        <w:rPr>
          <w:color w:val="auto"/>
        </w:rPr>
        <w:t>PM</w:t>
      </w:r>
      <w:r w:rsidR="00CF2964" w:rsidRPr="005B0949">
        <w:rPr>
          <w:color w:val="auto"/>
        </w:rPr>
        <w:t xml:space="preserve">, </w:t>
      </w:r>
      <w:r w:rsidR="00457BC0">
        <w:rPr>
          <w:color w:val="auto"/>
        </w:rPr>
        <w:t>que</w:t>
      </w:r>
      <w:r w:rsidR="00CF2964" w:rsidRPr="005B0949">
        <w:rPr>
          <w:color w:val="auto"/>
        </w:rPr>
        <w:t xml:space="preserve"> son una medida relativa de su exactitud. </w:t>
      </w:r>
      <w:r w:rsidR="00C83373" w:rsidRPr="005B0949">
        <w:rPr>
          <w:color w:val="auto"/>
        </w:rPr>
        <w:t>Para con</w:t>
      </w:r>
      <w:r w:rsidR="000371E9">
        <w:rPr>
          <w:color w:val="auto"/>
        </w:rPr>
        <w:t>ocer más al respecto, cons</w:t>
      </w:r>
      <w:r w:rsidR="00457BC0">
        <w:rPr>
          <w:color w:val="auto"/>
        </w:rPr>
        <w:t>últese</w:t>
      </w:r>
      <w:r w:rsidR="00C83373" w:rsidRPr="005B0949">
        <w:rPr>
          <w:color w:val="auto"/>
        </w:rPr>
        <w:t xml:space="preserve">: </w:t>
      </w:r>
      <w:hyperlink r:id="rId29" w:history="1">
        <w:r w:rsidR="0087395B" w:rsidRPr="00F93660">
          <w:rPr>
            <w:rStyle w:val="Hipervnculo"/>
          </w:rPr>
          <w:t>https://www.inegi.org.mx/programas/emoe/2013/</w:t>
        </w:r>
      </w:hyperlink>
    </w:p>
    <w:p w14:paraId="5C42727F" w14:textId="536AD552" w:rsidR="000371E9" w:rsidRPr="00E439E8" w:rsidRDefault="000371E9" w:rsidP="000371E9">
      <w:pPr>
        <w:pStyle w:val="p0"/>
        <w:keepLines w:val="0"/>
        <w:widowControl/>
        <w:rPr>
          <w:rFonts w:ascii="Arial" w:hAnsi="Arial"/>
          <w:color w:val="auto"/>
          <w:spacing w:val="-2"/>
        </w:rPr>
      </w:pPr>
      <w:r w:rsidRPr="00E439E8">
        <w:rPr>
          <w:rFonts w:ascii="Arial" w:hAnsi="Arial"/>
          <w:color w:val="auto"/>
        </w:rPr>
        <w:t>La mayoría de las series económicas se ven afectadas por factores estacionales</w:t>
      </w:r>
      <w:r w:rsidRPr="7AA82E87">
        <w:rPr>
          <w:rFonts w:ascii="Arial" w:hAnsi="Arial"/>
          <w:color w:val="auto"/>
        </w:rPr>
        <w:t xml:space="preserve">: </w:t>
      </w:r>
      <w:r w:rsidRPr="00E439E8">
        <w:rPr>
          <w:rFonts w:ascii="Arial" w:hAnsi="Arial"/>
          <w:color w:val="auto"/>
        </w:rPr>
        <w:t xml:space="preserve">efectos periódicos que se repiten cada año y cuyas causas son ajenas a la naturaleza económica de las series. Estas pueden ser: las festividades, </w:t>
      </w:r>
      <w:r w:rsidR="007357C1">
        <w:rPr>
          <w:color w:val="auto"/>
        </w:rPr>
        <w:t>meses más largos que otros</w:t>
      </w:r>
      <w:r w:rsidRPr="00E439E8">
        <w:rPr>
          <w:rFonts w:ascii="Arial" w:hAnsi="Arial"/>
          <w:color w:val="auto"/>
        </w:rPr>
        <w:t>, las</w:t>
      </w:r>
      <w:r>
        <w:rPr>
          <w:rFonts w:ascii="Arial" w:hAnsi="Arial"/>
          <w:color w:val="auto"/>
        </w:rPr>
        <w:t xml:space="preserve"> </w:t>
      </w:r>
      <w:r w:rsidRPr="00E439E8">
        <w:rPr>
          <w:rFonts w:ascii="Arial" w:hAnsi="Arial"/>
          <w:color w:val="auto"/>
        </w:rPr>
        <w:t xml:space="preserve">vacaciones escolares, el clima y otras fluctuaciones, como la elevada producción de juguetes en los </w:t>
      </w:r>
      <w:r w:rsidRPr="00E439E8">
        <w:rPr>
          <w:rFonts w:ascii="Arial" w:hAnsi="Arial"/>
          <w:color w:val="auto"/>
          <w:spacing w:val="-2"/>
        </w:rPr>
        <w:t>meses previos a la Navidad.</w:t>
      </w:r>
    </w:p>
    <w:p w14:paraId="335EE27C" w14:textId="34BD7D05" w:rsidR="000371E9" w:rsidRPr="00E439E8" w:rsidRDefault="000371E9" w:rsidP="000371E9">
      <w:pPr>
        <w:pStyle w:val="p0"/>
        <w:keepLines w:val="0"/>
        <w:widowControl/>
        <w:rPr>
          <w:rFonts w:ascii="Arial" w:hAnsi="Arial"/>
          <w:color w:val="auto"/>
        </w:rPr>
      </w:pPr>
      <w:r w:rsidRPr="00E439E8">
        <w:rPr>
          <w:rFonts w:ascii="Arial" w:hAnsi="Arial"/>
          <w:snapToGrid/>
          <w:color w:val="auto"/>
        </w:rPr>
        <w:lastRenderedPageBreak/>
        <w:t>La desestacionalización o ajuste estacional de series económicas consiste en remover estas influencias intra-anuales: su presencia dificulta diagnosticar y describir el comportamiento de una serie económica, pues no permite comparar</w:t>
      </w:r>
      <w:r w:rsidRPr="000371E9">
        <w:rPr>
          <w:rFonts w:ascii="Arial" w:hAnsi="Arial"/>
          <w:snapToGrid/>
          <w:color w:val="auto"/>
        </w:rPr>
        <w:t xml:space="preserve"> adecuadamente </w:t>
      </w:r>
      <w:r w:rsidRPr="00E439E8">
        <w:rPr>
          <w:rFonts w:ascii="Arial" w:hAnsi="Arial"/>
          <w:snapToGrid/>
          <w:color w:val="auto"/>
        </w:rPr>
        <w:t>un determinad</w:t>
      </w:r>
      <w:r>
        <w:rPr>
          <w:rFonts w:ascii="Arial" w:hAnsi="Arial"/>
          <w:snapToGrid/>
          <w:color w:val="auto"/>
        </w:rPr>
        <w:t xml:space="preserve">o mes con el inmediato anterior </w:t>
      </w:r>
      <w:r w:rsidR="00CF2964" w:rsidRPr="000371E9">
        <w:rPr>
          <w:rFonts w:ascii="Arial" w:hAnsi="Arial"/>
          <w:snapToGrid/>
          <w:color w:val="auto"/>
        </w:rPr>
        <w:t>y, en su caso, incluir un ajuste por los efectos de calendario (como puede ser la frecuencia de los días de la semana, la Semana Santa o el año bisiesto)</w:t>
      </w:r>
      <w:r w:rsidRPr="000371E9">
        <w:rPr>
          <w:rFonts w:ascii="Arial" w:hAnsi="Arial"/>
          <w:snapToGrid/>
          <w:color w:val="auto"/>
        </w:rPr>
        <w:t>.</w:t>
      </w:r>
      <w:r w:rsidR="00CF2964" w:rsidRPr="005B0949">
        <w:rPr>
          <w:szCs w:val="20"/>
        </w:rPr>
        <w:t xml:space="preserve"> </w:t>
      </w:r>
      <w:r w:rsidRPr="00E439E8">
        <w:rPr>
          <w:rFonts w:ascii="Arial" w:hAnsi="Arial"/>
          <w:snapToGrid/>
          <w:color w:val="auto"/>
        </w:rPr>
        <w:t>Analizar la serie desestacionalizada ayuda a realizar un mejor diagnóstico y pronóstico de su evolución</w:t>
      </w:r>
      <w:r w:rsidRPr="59172BAE">
        <w:rPr>
          <w:rFonts w:ascii="Arial" w:hAnsi="Arial"/>
          <w:color w:val="auto"/>
        </w:rPr>
        <w:t xml:space="preserve">, </w:t>
      </w:r>
      <w:r w:rsidRPr="00E439E8">
        <w:rPr>
          <w:rFonts w:ascii="Arial" w:hAnsi="Arial"/>
          <w:snapToGrid/>
          <w:color w:val="auto"/>
        </w:rPr>
        <w:t>ya que</w:t>
      </w:r>
      <w:r w:rsidRPr="4C604953">
        <w:rPr>
          <w:rFonts w:ascii="Arial" w:hAnsi="Arial"/>
          <w:color w:val="auto"/>
        </w:rPr>
        <w:t>, en el corto plazo,</w:t>
      </w:r>
      <w:r w:rsidRPr="00E439E8">
        <w:rPr>
          <w:rFonts w:ascii="Arial" w:hAnsi="Arial"/>
          <w:snapToGrid/>
          <w:color w:val="auto"/>
        </w:rPr>
        <w:t xml:space="preserve"> identifica la posible dirección de los movimientos </w:t>
      </w:r>
      <w:r>
        <w:rPr>
          <w:rFonts w:ascii="Arial" w:hAnsi="Arial"/>
          <w:snapToGrid/>
          <w:color w:val="auto"/>
        </w:rPr>
        <w:t>de</w:t>
      </w:r>
      <w:r w:rsidRPr="00E439E8">
        <w:rPr>
          <w:rFonts w:ascii="Arial" w:hAnsi="Arial"/>
          <w:snapToGrid/>
          <w:color w:val="auto"/>
        </w:rPr>
        <w:t xml:space="preserve"> la variable en cuestión. </w:t>
      </w:r>
    </w:p>
    <w:p w14:paraId="2AD7A39E" w14:textId="56D90B1A" w:rsidR="00CF2964" w:rsidRPr="005B0949" w:rsidRDefault="00CF2964" w:rsidP="00BA05BA">
      <w:pPr>
        <w:widowControl w:val="0"/>
        <w:spacing w:before="240"/>
        <w:rPr>
          <w:szCs w:val="20"/>
        </w:rPr>
      </w:pPr>
      <w:r w:rsidRPr="005B0949">
        <w:rPr>
          <w:szCs w:val="20"/>
        </w:rPr>
        <w:t>Las series originales se ajustan estacionalmente mediante el paquete estadístico X</w:t>
      </w:r>
      <w:r w:rsidRPr="005B0949">
        <w:rPr>
          <w:szCs w:val="20"/>
        </w:rPr>
        <w:noBreakHyphen/>
        <w:t>13ARIMA</w:t>
      </w:r>
      <w:r w:rsidRPr="005B0949">
        <w:rPr>
          <w:szCs w:val="20"/>
        </w:rPr>
        <w:noBreakHyphen/>
        <w:t>SEATS. Para conocer la metodología</w:t>
      </w:r>
      <w:r w:rsidR="00973338">
        <w:rPr>
          <w:szCs w:val="20"/>
        </w:rPr>
        <w:t>,</w:t>
      </w:r>
      <w:r w:rsidRPr="005B0949">
        <w:rPr>
          <w:szCs w:val="20"/>
        </w:rPr>
        <w:t xml:space="preserve"> </w:t>
      </w:r>
      <w:r w:rsidR="000232E3">
        <w:rPr>
          <w:szCs w:val="20"/>
        </w:rPr>
        <w:t>consúltese</w:t>
      </w:r>
      <w:r w:rsidRPr="005B0949">
        <w:rPr>
          <w:szCs w:val="20"/>
        </w:rPr>
        <w:t xml:space="preserve"> la siguiente liga:</w:t>
      </w:r>
    </w:p>
    <w:p w14:paraId="2DACBA58" w14:textId="77777777" w:rsidR="00CF2964" w:rsidRPr="005B0949" w:rsidRDefault="000B3A0D" w:rsidP="00CF2964">
      <w:pPr>
        <w:widowControl w:val="0"/>
        <w:rPr>
          <w:rStyle w:val="Hipervnculo"/>
          <w:color w:val="auto"/>
        </w:rPr>
      </w:pPr>
      <w:hyperlink r:id="rId30" w:history="1">
        <w:r w:rsidR="0087395B" w:rsidRPr="00F93660">
          <w:rPr>
            <w:rStyle w:val="Hipervnculo"/>
          </w:rPr>
          <w:t>https://www.inegi.org.mx/app/biblioteca/ficha.html?upc=702825099060</w:t>
        </w:r>
      </w:hyperlink>
      <w:r w:rsidR="0087395B">
        <w:rPr>
          <w:rStyle w:val="Hipervnculo"/>
          <w:color w:val="auto"/>
        </w:rPr>
        <w:t xml:space="preserve"> </w:t>
      </w:r>
    </w:p>
    <w:p w14:paraId="5675828E" w14:textId="1610024C" w:rsidR="00CF2964" w:rsidRPr="005B0949" w:rsidRDefault="00CF2964" w:rsidP="007F4FBD">
      <w:pPr>
        <w:widowControl w:val="0"/>
        <w:autoSpaceDE w:val="0"/>
        <w:autoSpaceDN w:val="0"/>
        <w:adjustRightInd w:val="0"/>
        <w:spacing w:before="240"/>
        <w:rPr>
          <w:szCs w:val="20"/>
        </w:rPr>
      </w:pPr>
      <w:r w:rsidRPr="005B0949">
        <w:rPr>
          <w:noProof/>
          <w:sz w:val="18"/>
          <w:szCs w:val="18"/>
          <w:lang w:val="es-MX" w:eastAsia="es-MX"/>
        </w:rPr>
        <w:drawing>
          <wp:anchor distT="0" distB="0" distL="114300" distR="114300" simplePos="0" relativeHeight="251659264" behindDoc="0" locked="0" layoutInCell="1" allowOverlap="1" wp14:anchorId="025E35E6" wp14:editId="444553B9">
            <wp:simplePos x="0" y="0"/>
            <wp:positionH relativeFrom="margin">
              <wp:posOffset>804545</wp:posOffset>
            </wp:positionH>
            <wp:positionV relativeFrom="paragraph">
              <wp:posOffset>703357</wp:posOffset>
            </wp:positionV>
            <wp:extent cx="126000" cy="126000"/>
            <wp:effectExtent l="0" t="0" r="7620" b="7620"/>
            <wp:wrapNone/>
            <wp:docPr id="33" name="Imagen 33"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tnMetaDID2951" descr="http://www.inegi.org.mx/sistemas/bie/img/MetadatoC.GIF">
                      <a:hlinkClick r:id="rId31"/>
                    </pic:cNvPr>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26000" cy="12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64227">
        <w:rPr>
          <w:szCs w:val="20"/>
        </w:rPr>
        <w:t>L</w:t>
      </w:r>
      <w:r w:rsidRPr="005B0949">
        <w:rPr>
          <w:szCs w:val="20"/>
        </w:rPr>
        <w:t xml:space="preserve">as especificaciones de los modelos utilizados para realizar el ajuste estacional están </w:t>
      </w:r>
      <w:r w:rsidRPr="00F07188">
        <w:rPr>
          <w:spacing w:val="-2"/>
          <w:szCs w:val="20"/>
        </w:rPr>
        <w:t>disponibles en el B</w:t>
      </w:r>
      <w:r w:rsidR="000371E9" w:rsidRPr="00F07188">
        <w:rPr>
          <w:spacing w:val="-2"/>
          <w:szCs w:val="20"/>
        </w:rPr>
        <w:t>anco de Información Económica</w:t>
      </w:r>
      <w:r w:rsidR="000829E9" w:rsidRPr="00F07188">
        <w:rPr>
          <w:spacing w:val="-2"/>
          <w:szCs w:val="20"/>
        </w:rPr>
        <w:t xml:space="preserve"> (BIE)</w:t>
      </w:r>
      <w:r w:rsidR="000371E9" w:rsidRPr="00F07188">
        <w:rPr>
          <w:spacing w:val="-2"/>
          <w:szCs w:val="20"/>
        </w:rPr>
        <w:t>. Selecci</w:t>
      </w:r>
      <w:r w:rsidR="000829E9" w:rsidRPr="00F07188">
        <w:rPr>
          <w:spacing w:val="-2"/>
          <w:szCs w:val="20"/>
        </w:rPr>
        <w:t>one</w:t>
      </w:r>
      <w:r w:rsidRPr="00F07188">
        <w:rPr>
          <w:spacing w:val="-2"/>
          <w:szCs w:val="20"/>
        </w:rPr>
        <w:t xml:space="preserve"> </w:t>
      </w:r>
      <w:r w:rsidR="00895075" w:rsidRPr="00F07188">
        <w:rPr>
          <w:spacing w:val="-2"/>
        </w:rPr>
        <w:t xml:space="preserve">«Indicadores económicos de coyuntura, Encuesta </w:t>
      </w:r>
      <w:r w:rsidR="00F07188" w:rsidRPr="00F07188">
        <w:rPr>
          <w:spacing w:val="-2"/>
        </w:rPr>
        <w:t>M</w:t>
      </w:r>
      <w:r w:rsidR="00895075" w:rsidRPr="00F07188">
        <w:rPr>
          <w:spacing w:val="-2"/>
        </w:rPr>
        <w:t xml:space="preserve">ensual de </w:t>
      </w:r>
      <w:r w:rsidR="00F07188" w:rsidRPr="00F07188">
        <w:rPr>
          <w:spacing w:val="-2"/>
        </w:rPr>
        <w:t>O</w:t>
      </w:r>
      <w:r w:rsidR="00895075" w:rsidRPr="00F07188">
        <w:rPr>
          <w:spacing w:val="-2"/>
        </w:rPr>
        <w:t xml:space="preserve">pinión </w:t>
      </w:r>
      <w:r w:rsidR="00F07188" w:rsidRPr="00F07188">
        <w:rPr>
          <w:spacing w:val="-2"/>
        </w:rPr>
        <w:t>E</w:t>
      </w:r>
      <w:r w:rsidR="00895075" w:rsidRPr="00F07188">
        <w:rPr>
          <w:spacing w:val="-2"/>
        </w:rPr>
        <w:t>mpresarial</w:t>
      </w:r>
      <w:r w:rsidR="00895075" w:rsidRPr="00F07188">
        <w:rPr>
          <w:spacing w:val="-2"/>
          <w:szCs w:val="20"/>
        </w:rPr>
        <w:t>»</w:t>
      </w:r>
      <w:r w:rsidR="00895075" w:rsidRPr="00F07188">
        <w:rPr>
          <w:spacing w:val="-2"/>
        </w:rPr>
        <w:t xml:space="preserve"> y vaya al</w:t>
      </w:r>
      <w:r w:rsidRPr="00F07188">
        <w:rPr>
          <w:spacing w:val="-2"/>
          <w:szCs w:val="20"/>
        </w:rPr>
        <w:t xml:space="preserve"> icono de información</w:t>
      </w:r>
      <w:r w:rsidR="00DC4DDA" w:rsidRPr="00F07188">
        <w:rPr>
          <w:spacing w:val="-2"/>
          <w:szCs w:val="20"/>
        </w:rPr>
        <w:t xml:space="preserve"> </w:t>
      </w:r>
      <w:r w:rsidR="005F4639" w:rsidRPr="00F07188">
        <w:rPr>
          <w:spacing w:val="-2"/>
          <w:szCs w:val="20"/>
        </w:rPr>
        <w:t xml:space="preserve">  </w:t>
      </w:r>
      <w:r w:rsidRPr="00F07188">
        <w:rPr>
          <w:spacing w:val="-2"/>
          <w:szCs w:val="20"/>
        </w:rPr>
        <w:t xml:space="preserve"> correspondiente a las </w:t>
      </w:r>
      <w:r w:rsidR="00DC4DDA" w:rsidRPr="00F07188">
        <w:rPr>
          <w:spacing w:val="-2"/>
          <w:szCs w:val="20"/>
        </w:rPr>
        <w:t>«series desestacionalizadas y de tendencia-ciclo»</w:t>
      </w:r>
      <w:r w:rsidRPr="00F07188">
        <w:rPr>
          <w:spacing w:val="-2"/>
          <w:szCs w:val="20"/>
        </w:rPr>
        <w:t>.</w:t>
      </w:r>
    </w:p>
    <w:p w14:paraId="751E7173" w14:textId="05AE2DB0" w:rsidR="00CF2964" w:rsidRPr="005B0949" w:rsidRDefault="00281737" w:rsidP="007F4FBD">
      <w:pPr>
        <w:widowControl w:val="0"/>
        <w:autoSpaceDE w:val="0"/>
        <w:autoSpaceDN w:val="0"/>
        <w:adjustRightInd w:val="0"/>
        <w:spacing w:before="240"/>
      </w:pPr>
      <w:r>
        <w:t>M</w:t>
      </w:r>
      <w:r w:rsidR="007357C1">
        <w:t>ediante</w:t>
      </w:r>
      <w:r w:rsidR="00346F52">
        <w:t xml:space="preserve"> la EMOE, </w:t>
      </w:r>
      <w:r>
        <w:t xml:space="preserve">el INEGI </w:t>
      </w:r>
      <w:r w:rsidR="00346F52">
        <w:t>genera l</w:t>
      </w:r>
      <w:r w:rsidR="00CF2964" w:rsidRPr="005B0949">
        <w:t xml:space="preserve">a información contenida en </w:t>
      </w:r>
      <w:r w:rsidR="00346F52">
        <w:t>este documento</w:t>
      </w:r>
      <w:r w:rsidR="00825732">
        <w:t xml:space="preserve"> y se</w:t>
      </w:r>
      <w:r w:rsidR="00346F52">
        <w:t xml:space="preserve"> complement</w:t>
      </w:r>
      <w:r w:rsidR="00825732">
        <w:t>a</w:t>
      </w:r>
      <w:r w:rsidR="00CF2964" w:rsidRPr="005B0949">
        <w:t xml:space="preserve"> con la que proporciona</w:t>
      </w:r>
      <w:r w:rsidR="008C3953">
        <w:t>n</w:t>
      </w:r>
      <w:r w:rsidR="00CF2964" w:rsidRPr="005B0949">
        <w:t xml:space="preserve"> </w:t>
      </w:r>
      <w:r w:rsidR="00F07188">
        <w:t>los</w:t>
      </w:r>
      <w:r w:rsidR="00CF2964" w:rsidRPr="005B0949">
        <w:t xml:space="preserve"> Indicador</w:t>
      </w:r>
      <w:r w:rsidR="00F07188">
        <w:t>es</w:t>
      </w:r>
      <w:r w:rsidR="00CF2964" w:rsidRPr="005B0949">
        <w:t xml:space="preserve"> de Confianza Empresarial (ICE) </w:t>
      </w:r>
      <w:r w:rsidR="008C3953">
        <w:t>y</w:t>
      </w:r>
      <w:r w:rsidR="00CF2964" w:rsidRPr="005B0949">
        <w:t xml:space="preserve"> </w:t>
      </w:r>
      <w:r w:rsidR="00BA051D">
        <w:t xml:space="preserve">los </w:t>
      </w:r>
      <w:r w:rsidR="00CF2964" w:rsidRPr="005B0949">
        <w:t>Indicador</w:t>
      </w:r>
      <w:r w:rsidR="00BA051D">
        <w:t>es</w:t>
      </w:r>
      <w:r w:rsidR="00CF2964" w:rsidRPr="005B0949">
        <w:t xml:space="preserve"> Agregado</w:t>
      </w:r>
      <w:r w:rsidR="00BA051D">
        <w:t>s</w:t>
      </w:r>
      <w:r w:rsidR="00CF2964" w:rsidRPr="005B0949">
        <w:t xml:space="preserve"> de Tendencia (IAT) y </w:t>
      </w:r>
      <w:r w:rsidR="00394170">
        <w:t>la</w:t>
      </w:r>
      <w:r w:rsidR="00CF2964" w:rsidRPr="005B0949">
        <w:t xml:space="preserve"> da a conocer </w:t>
      </w:r>
      <w:r w:rsidR="00394170">
        <w:t xml:space="preserve">con base </w:t>
      </w:r>
      <w:r w:rsidR="00CF2964" w:rsidRPr="005B0949">
        <w:t xml:space="preserve">en el Calendario de </w:t>
      </w:r>
      <w:r w:rsidR="006D746B">
        <w:t>D</w:t>
      </w:r>
      <w:r w:rsidR="00CF2964" w:rsidRPr="005B0949">
        <w:t xml:space="preserve">ifusión de </w:t>
      </w:r>
      <w:r w:rsidR="006D746B">
        <w:t>I</w:t>
      </w:r>
      <w:r w:rsidR="00CF2964" w:rsidRPr="005B0949">
        <w:t xml:space="preserve">nformación </w:t>
      </w:r>
      <w:r w:rsidR="006D746B">
        <w:t>E</w:t>
      </w:r>
      <w:r w:rsidR="00CF2964" w:rsidRPr="005B0949">
        <w:t xml:space="preserve">stadística y </w:t>
      </w:r>
      <w:r w:rsidR="006D746B">
        <w:t>G</w:t>
      </w:r>
      <w:r w:rsidR="00CF2964" w:rsidRPr="005B0949">
        <w:t>eográfica y de Interés Nacional.</w:t>
      </w:r>
    </w:p>
    <w:p w14:paraId="2BF35040" w14:textId="792AC5CA" w:rsidR="005F0E8E" w:rsidRPr="005B0949" w:rsidRDefault="00394170" w:rsidP="005F4639">
      <w:pPr>
        <w:pStyle w:val="texto0"/>
        <w:keepLines w:val="0"/>
        <w:widowControl w:val="0"/>
        <w:autoSpaceDE w:val="0"/>
        <w:autoSpaceDN w:val="0"/>
        <w:adjustRightInd w:val="0"/>
        <w:rPr>
          <w:color w:val="auto"/>
        </w:rPr>
      </w:pPr>
      <w:r>
        <w:rPr>
          <w:color w:val="auto"/>
        </w:rPr>
        <w:t xml:space="preserve">Las cifras </w:t>
      </w:r>
      <w:r w:rsidR="00CF2964" w:rsidRPr="005B0949">
        <w:rPr>
          <w:color w:val="auto"/>
        </w:rPr>
        <w:t>pueden consulta</w:t>
      </w:r>
      <w:r w:rsidR="007D5508">
        <w:rPr>
          <w:color w:val="auto"/>
        </w:rPr>
        <w:t>rse</w:t>
      </w:r>
      <w:r w:rsidR="00CF2964" w:rsidRPr="005B0949">
        <w:rPr>
          <w:color w:val="auto"/>
        </w:rPr>
        <w:t xml:space="preserve"> en </w:t>
      </w:r>
      <w:r w:rsidR="006D746B">
        <w:rPr>
          <w:color w:val="auto"/>
        </w:rPr>
        <w:t>la página de</w:t>
      </w:r>
      <w:r w:rsidR="00A503E8">
        <w:rPr>
          <w:color w:val="auto"/>
        </w:rPr>
        <w:t>l</w:t>
      </w:r>
      <w:r w:rsidR="00CF2964" w:rsidRPr="005B0949">
        <w:rPr>
          <w:color w:val="auto"/>
        </w:rPr>
        <w:t xml:space="preserve"> INEGI</w:t>
      </w:r>
      <w:r>
        <w:rPr>
          <w:color w:val="auto"/>
        </w:rPr>
        <w:t>,</w:t>
      </w:r>
      <w:r w:rsidR="00CF2964" w:rsidRPr="005B0949">
        <w:rPr>
          <w:color w:val="auto"/>
        </w:rPr>
        <w:t xml:space="preserve"> </w:t>
      </w:r>
      <w:r w:rsidR="005F0E8E" w:rsidRPr="005B0949">
        <w:rPr>
          <w:color w:val="auto"/>
        </w:rPr>
        <w:t xml:space="preserve">en las siguientes </w:t>
      </w:r>
      <w:r w:rsidR="005F0E8E" w:rsidRPr="005B0949">
        <w:rPr>
          <w:rFonts w:cs="Arial"/>
          <w:color w:val="auto"/>
        </w:rPr>
        <w:t>secciones</w:t>
      </w:r>
      <w:r w:rsidR="005F0E8E" w:rsidRPr="005B0949">
        <w:rPr>
          <w:color w:val="auto"/>
        </w:rPr>
        <w:t xml:space="preserve">: </w:t>
      </w:r>
    </w:p>
    <w:p w14:paraId="305A6A50" w14:textId="77777777" w:rsidR="005F0E8E" w:rsidRPr="005B0949" w:rsidRDefault="005F0E8E" w:rsidP="00A503E8">
      <w:pPr>
        <w:pStyle w:val="Default"/>
        <w:contextualSpacing/>
        <w:jc w:val="both"/>
        <w:rPr>
          <w:color w:val="auto"/>
        </w:rPr>
      </w:pPr>
      <w:r w:rsidRPr="005B0949">
        <w:rPr>
          <w:color w:val="auto"/>
        </w:rPr>
        <w:t>Tema:</w:t>
      </w:r>
      <w:r w:rsidR="005A7E97" w:rsidRPr="005B0949">
        <w:rPr>
          <w:color w:val="auto"/>
        </w:rPr>
        <w:t xml:space="preserve"> </w:t>
      </w:r>
      <w:r w:rsidR="0087395B" w:rsidRPr="0087395B">
        <w:rPr>
          <w:rStyle w:val="Hipervnculo"/>
          <w:lang w:val="es-ES_tradnl" w:eastAsia="es-ES"/>
        </w:rPr>
        <w:t>https://</w:t>
      </w:r>
      <w:hyperlink r:id="rId33" w:history="1">
        <w:r w:rsidR="0087395B" w:rsidRPr="0087395B">
          <w:rPr>
            <w:rStyle w:val="Hipervnculo"/>
            <w:lang w:val="es-ES_tradnl" w:eastAsia="es-ES"/>
          </w:rPr>
          <w:t>www.inegi.org.mx/temas/pedidosman/</w:t>
        </w:r>
      </w:hyperlink>
      <w:r w:rsidR="005A7E97" w:rsidRPr="005B0949">
        <w:rPr>
          <w:color w:val="auto"/>
          <w:u w:val="single"/>
        </w:rPr>
        <w:t xml:space="preserve"> </w:t>
      </w:r>
    </w:p>
    <w:p w14:paraId="17AD4858" w14:textId="77777777" w:rsidR="005F0E8E" w:rsidRPr="005B0949" w:rsidRDefault="005F0E8E" w:rsidP="005A7E97">
      <w:pPr>
        <w:pStyle w:val="Default"/>
        <w:spacing w:before="120"/>
        <w:contextualSpacing/>
        <w:jc w:val="both"/>
        <w:rPr>
          <w:color w:val="auto"/>
        </w:rPr>
      </w:pPr>
      <w:r w:rsidRPr="005B0949">
        <w:rPr>
          <w:color w:val="auto"/>
        </w:rPr>
        <w:t>Programa</w:t>
      </w:r>
      <w:r w:rsidRPr="0087395B">
        <w:rPr>
          <w:rStyle w:val="Hipervnculo"/>
          <w:color w:val="auto"/>
          <w:u w:val="none"/>
          <w:lang w:val="es-ES_tradnl" w:eastAsia="es-ES"/>
        </w:rPr>
        <w:t xml:space="preserve">: </w:t>
      </w:r>
      <w:r w:rsidR="0087395B">
        <w:rPr>
          <w:rStyle w:val="Hipervnculo"/>
          <w:lang w:val="es-ES_tradnl" w:eastAsia="es-ES"/>
        </w:rPr>
        <w:t>https://</w:t>
      </w:r>
      <w:hyperlink r:id="rId34" w:history="1">
        <w:r w:rsidR="0087395B" w:rsidRPr="00F93660">
          <w:rPr>
            <w:rStyle w:val="Hipervnculo"/>
            <w:lang w:val="es-ES_tradnl" w:eastAsia="es-ES"/>
          </w:rPr>
          <w:t>www.inegi.org.mx/programas/emoe/2013/</w:t>
        </w:r>
      </w:hyperlink>
    </w:p>
    <w:p w14:paraId="6DBD242B" w14:textId="0F3DF678" w:rsidR="00F13560" w:rsidRPr="00BA576E" w:rsidRDefault="00F07188" w:rsidP="005A7E97">
      <w:pPr>
        <w:pStyle w:val="Default"/>
        <w:spacing w:before="120"/>
        <w:contextualSpacing/>
        <w:jc w:val="both"/>
        <w:rPr>
          <w:rStyle w:val="Hipervnculo"/>
          <w:lang w:val="es-ES_tradnl" w:eastAsia="es-ES"/>
        </w:rPr>
      </w:pPr>
      <w:r>
        <w:rPr>
          <w:color w:val="auto"/>
        </w:rPr>
        <w:t>BIE</w:t>
      </w:r>
      <w:r w:rsidR="005F0E8E" w:rsidRPr="005B0949">
        <w:rPr>
          <w:color w:val="auto"/>
        </w:rPr>
        <w:t xml:space="preserve">: </w:t>
      </w:r>
      <w:bookmarkEnd w:id="3"/>
      <w:r w:rsidR="007C0417">
        <w:fldChar w:fldCharType="begin"/>
      </w:r>
      <w:r w:rsidR="007C0417">
        <w:instrText xml:space="preserve"> HYPERLINK "https://www.inegi.org.mx/app/indicadores/?tm=0" </w:instrText>
      </w:r>
      <w:r w:rsidR="007C0417">
        <w:fldChar w:fldCharType="separate"/>
      </w:r>
      <w:r w:rsidR="007C0417">
        <w:rPr>
          <w:rStyle w:val="Hipervnculo"/>
        </w:rPr>
        <w:t>https://www.inegi.org.mx/app/indicadores/?tm=0</w:t>
      </w:r>
      <w:r w:rsidR="007C0417">
        <w:fldChar w:fldCharType="end"/>
      </w:r>
      <w:r w:rsidR="0068396C">
        <w:rPr>
          <w:color w:val="auto"/>
        </w:rPr>
        <w:t xml:space="preserve"> </w:t>
      </w:r>
    </w:p>
    <w:sectPr w:rsidR="00F13560" w:rsidRPr="00BA576E" w:rsidSect="00E17A22">
      <w:headerReference w:type="default" r:id="rId35"/>
      <w:footerReference w:type="default" r:id="rId36"/>
      <w:pgSz w:w="12242" w:h="15842" w:code="1"/>
      <w:pgMar w:top="2552"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2329B6" w14:textId="77777777" w:rsidR="000B3A0D" w:rsidRDefault="000B3A0D">
      <w:r>
        <w:separator/>
      </w:r>
    </w:p>
  </w:endnote>
  <w:endnote w:type="continuationSeparator" w:id="0">
    <w:p w14:paraId="7886D971" w14:textId="77777777" w:rsidR="000B3A0D" w:rsidRDefault="000B3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Negrita">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917E60" w14:textId="77777777" w:rsidR="003434B2" w:rsidRPr="00975B1E" w:rsidRDefault="003434B2" w:rsidP="00975B1E">
    <w:pPr>
      <w:pStyle w:val="Piedepgina"/>
      <w:jc w:val="center"/>
      <w:rPr>
        <w:b/>
        <w:bCs/>
        <w:color w:val="002060"/>
        <w:sz w:val="20"/>
        <w:szCs w:val="20"/>
      </w:rPr>
    </w:pPr>
    <w:r w:rsidRPr="00975B1E">
      <w:rPr>
        <w:b/>
        <w:bCs/>
        <w:color w:val="002060"/>
        <w:sz w:val="20"/>
        <w:szCs w:val="20"/>
      </w:rPr>
      <w:t>COMUNICACIÓN SOCIAL</w:t>
    </w:r>
  </w:p>
  <w:p w14:paraId="6EAA0B07" w14:textId="77777777" w:rsidR="003434B2" w:rsidRPr="007B4B63" w:rsidRDefault="003434B2" w:rsidP="007B4B63">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17A1A9" w14:textId="77777777" w:rsidR="00BB375D" w:rsidRPr="008D6A5D" w:rsidRDefault="00BB375D" w:rsidP="003076C4">
    <w:pPr>
      <w:pStyle w:val="Piedepgina"/>
      <w:jc w:val="center"/>
      <w:rPr>
        <w:b/>
        <w:color w:val="002060"/>
        <w:sz w:val="20"/>
        <w:szCs w:val="20"/>
        <w:lang w:val="es-MX"/>
      </w:rPr>
    </w:pPr>
    <w:r w:rsidRPr="008D6A5D">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573AE0" w14:textId="77777777" w:rsidR="000B3A0D" w:rsidRDefault="000B3A0D">
      <w:r>
        <w:separator/>
      </w:r>
    </w:p>
  </w:footnote>
  <w:footnote w:type="continuationSeparator" w:id="0">
    <w:p w14:paraId="5878E048" w14:textId="77777777" w:rsidR="000B3A0D" w:rsidRDefault="000B3A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E8AA63" w14:textId="6A36AC67" w:rsidR="003434B2" w:rsidRPr="00306ECD" w:rsidRDefault="003434B2" w:rsidP="00754472">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2762B37F" wp14:editId="108CE78E">
          <wp:simplePos x="0" y="0"/>
          <wp:positionH relativeFrom="margin">
            <wp:posOffset>7364</wp:posOffset>
          </wp:positionH>
          <wp:positionV relativeFrom="margin">
            <wp:posOffset>-1092200</wp:posOffset>
          </wp:positionV>
          <wp:extent cx="828000" cy="828000"/>
          <wp:effectExtent l="0" t="0" r="0" b="0"/>
          <wp:wrapSquare wrapText="bothSides"/>
          <wp:docPr id="5" name="Imagen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4C765A">
      <w:rPr>
        <w:b/>
        <w:color w:val="002060"/>
      </w:rPr>
      <w:t>1</w:t>
    </w:r>
    <w:r w:rsidRPr="00306ECD">
      <w:rPr>
        <w:b/>
        <w:color w:val="002060"/>
      </w:rPr>
      <w:t>/2</w:t>
    </w:r>
    <w:r>
      <w:rPr>
        <w:b/>
        <w:color w:val="002060"/>
      </w:rPr>
      <w:t>3</w:t>
    </w:r>
  </w:p>
  <w:p w14:paraId="34DD8A9B" w14:textId="77777777" w:rsidR="003434B2" w:rsidRPr="00306ECD" w:rsidRDefault="003434B2" w:rsidP="00754472">
    <w:pPr>
      <w:pStyle w:val="Encabezado"/>
      <w:ind w:left="-567" w:right="49"/>
      <w:jc w:val="right"/>
      <w:rPr>
        <w:b/>
        <w:color w:val="002060"/>
        <w:lang w:val="pt-BR"/>
      </w:rPr>
    </w:pPr>
    <w:r>
      <w:rPr>
        <w:b/>
        <w:color w:val="002060"/>
        <w:lang w:val="pt-BR"/>
      </w:rPr>
      <w:t>3</w:t>
    </w:r>
    <w:r w:rsidRPr="00306ECD">
      <w:rPr>
        <w:b/>
        <w:color w:val="002060"/>
        <w:lang w:val="pt-BR"/>
      </w:rPr>
      <w:t xml:space="preserve"> DE </w:t>
    </w:r>
    <w:r>
      <w:rPr>
        <w:b/>
        <w:color w:val="002060"/>
        <w:lang w:val="pt-BR"/>
      </w:rPr>
      <w:t xml:space="preserve">ENERO </w:t>
    </w:r>
    <w:r w:rsidRPr="00306ECD">
      <w:rPr>
        <w:b/>
        <w:color w:val="002060"/>
        <w:lang w:val="pt-BR"/>
      </w:rPr>
      <w:t>DE 202</w:t>
    </w:r>
    <w:r>
      <w:rPr>
        <w:b/>
        <w:color w:val="002060"/>
        <w:lang w:val="pt-BR"/>
      </w:rPr>
      <w:t>3</w:t>
    </w:r>
  </w:p>
  <w:p w14:paraId="321B32DA" w14:textId="77777777" w:rsidR="003434B2" w:rsidRPr="00306ECD" w:rsidRDefault="003434B2" w:rsidP="00754472">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10</w:t>
    </w:r>
  </w:p>
  <w:p w14:paraId="587AA72A" w14:textId="77777777" w:rsidR="003434B2" w:rsidRDefault="003434B2" w:rsidP="008B185F">
    <w:pPr>
      <w:pStyle w:val="Encabezado"/>
      <w:ind w:right="49"/>
      <w:jc w:val="center"/>
    </w:pPr>
  </w:p>
  <w:p w14:paraId="746BEB85" w14:textId="77777777" w:rsidR="003434B2" w:rsidRDefault="003434B2"/>
  <w:p w14:paraId="6B37316B" w14:textId="77777777" w:rsidR="003434B2" w:rsidRDefault="003434B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E4F15A" w14:textId="5DA8AF74" w:rsidR="00BB375D" w:rsidRDefault="002326EF" w:rsidP="003434B2">
    <w:pPr>
      <w:pStyle w:val="Encabezado"/>
      <w:jc w:val="center"/>
    </w:pPr>
    <w:r>
      <w:rPr>
        <w:noProof/>
        <w:lang w:val="es-MX" w:eastAsia="es-MX"/>
      </w:rPr>
      <w:drawing>
        <wp:inline distT="0" distB="0" distL="0" distR="0" wp14:anchorId="14B81598" wp14:editId="2D795029">
          <wp:extent cx="828000" cy="828000"/>
          <wp:effectExtent l="0" t="0" r="0" b="0"/>
          <wp:docPr id="12" name="Imagen 12"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2pt;height:12pt;visibility:visible;mso-wrap-style:square" o:bullet="t">
        <v:imagedata r:id="rId1" o:title=""/>
      </v:shape>
    </w:pict>
  </w:numPicBullet>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E4634B1"/>
    <w:multiLevelType w:val="hybridMultilevel"/>
    <w:tmpl w:val="4B881F26"/>
    <w:lvl w:ilvl="0" w:tplc="080A0001">
      <w:start w:val="1"/>
      <w:numFmt w:val="bullet"/>
      <w:lvlText w:val=""/>
      <w:lvlJc w:val="left"/>
      <w:pPr>
        <w:ind w:left="2138" w:hanging="360"/>
      </w:pPr>
      <w:rPr>
        <w:rFonts w:ascii="Symbol" w:hAnsi="Symbol" w:hint="default"/>
      </w:rPr>
    </w:lvl>
    <w:lvl w:ilvl="1" w:tplc="04090003" w:tentative="1">
      <w:start w:val="1"/>
      <w:numFmt w:val="bullet"/>
      <w:lvlText w:val="o"/>
      <w:lvlJc w:val="left"/>
      <w:pPr>
        <w:ind w:left="2858" w:hanging="360"/>
      </w:pPr>
      <w:rPr>
        <w:rFonts w:ascii="Courier New" w:hAnsi="Courier New" w:cs="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2" w15:restartNumberingAfterBreak="0">
    <w:nsid w:val="0ED356C5"/>
    <w:multiLevelType w:val="hybridMultilevel"/>
    <w:tmpl w:val="0A745146"/>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E363D1E"/>
    <w:multiLevelType w:val="hybridMultilevel"/>
    <w:tmpl w:val="DDF0DF62"/>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5"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261F2BAE"/>
    <w:multiLevelType w:val="singleLevel"/>
    <w:tmpl w:val="FFFFFFFF"/>
    <w:lvl w:ilvl="0">
      <w:numFmt w:val="decimal"/>
      <w:lvlText w:val="*"/>
      <w:lvlJc w:val="left"/>
    </w:lvl>
  </w:abstractNum>
  <w:abstractNum w:abstractNumId="9" w15:restartNumberingAfterBreak="0">
    <w:nsid w:val="2BF21BE1"/>
    <w:multiLevelType w:val="hybridMultilevel"/>
    <w:tmpl w:val="7BC46EA0"/>
    <w:lvl w:ilvl="0" w:tplc="0C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10" w15:restartNumberingAfterBreak="0">
    <w:nsid w:val="2C130EDC"/>
    <w:multiLevelType w:val="hybridMultilevel"/>
    <w:tmpl w:val="6DD2AA0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2D6F12"/>
    <w:multiLevelType w:val="hybridMultilevel"/>
    <w:tmpl w:val="4140C3C2"/>
    <w:lvl w:ilvl="0" w:tplc="7876CF46">
      <w:start w:val="1"/>
      <w:numFmt w:val="lowerLetter"/>
      <w:lvlText w:val="%1)"/>
      <w:lvlJc w:val="left"/>
      <w:pPr>
        <w:tabs>
          <w:tab w:val="num" w:pos="1080"/>
        </w:tabs>
        <w:ind w:left="1080" w:hanging="360"/>
      </w:pPr>
      <w:rPr>
        <w:rFonts w:asciiTheme="minorHAnsi" w:hAnsiTheme="minorHAnsi" w:cstheme="minorHAnsi" w:hint="default"/>
        <w:b w:val="0"/>
        <w:i w:val="0"/>
        <w:sz w:val="16"/>
        <w:szCs w:val="16"/>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2D6E0607"/>
    <w:multiLevelType w:val="hybridMultilevel"/>
    <w:tmpl w:val="F092B7B6"/>
    <w:lvl w:ilvl="0" w:tplc="FA204F02">
      <w:start w:val="1"/>
      <w:numFmt w:val="lowerLetter"/>
      <w:lvlText w:val="%1)"/>
      <w:lvlJc w:val="left"/>
      <w:pPr>
        <w:tabs>
          <w:tab w:val="num" w:pos="360"/>
        </w:tabs>
        <w:ind w:left="360" w:hanging="360"/>
      </w:pPr>
      <w:rPr>
        <w:rFonts w:ascii="Arial" w:hAnsi="Arial" w:cs="Times New Roman"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1497889"/>
    <w:multiLevelType w:val="hybridMultilevel"/>
    <w:tmpl w:val="F64ED618"/>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16" w15:restartNumberingAfterBreak="0">
    <w:nsid w:val="3BA2738F"/>
    <w:multiLevelType w:val="hybridMultilevel"/>
    <w:tmpl w:val="FB661012"/>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17"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4C4944F6"/>
    <w:multiLevelType w:val="hybridMultilevel"/>
    <w:tmpl w:val="A3883B58"/>
    <w:lvl w:ilvl="0" w:tplc="080A0001">
      <w:start w:val="1"/>
      <w:numFmt w:val="bullet"/>
      <w:lvlText w:val=""/>
      <w:lvlJc w:val="left"/>
      <w:pPr>
        <w:ind w:left="1855" w:hanging="360"/>
      </w:pPr>
      <w:rPr>
        <w:rFonts w:ascii="Symbol" w:hAnsi="Symbol" w:hint="default"/>
      </w:rPr>
    </w:lvl>
    <w:lvl w:ilvl="1" w:tplc="080A0003" w:tentative="1">
      <w:start w:val="1"/>
      <w:numFmt w:val="bullet"/>
      <w:lvlText w:val="o"/>
      <w:lvlJc w:val="left"/>
      <w:pPr>
        <w:ind w:left="2575" w:hanging="360"/>
      </w:pPr>
      <w:rPr>
        <w:rFonts w:ascii="Courier New" w:hAnsi="Courier New" w:cs="Courier New" w:hint="default"/>
      </w:rPr>
    </w:lvl>
    <w:lvl w:ilvl="2" w:tplc="080A0005" w:tentative="1">
      <w:start w:val="1"/>
      <w:numFmt w:val="bullet"/>
      <w:lvlText w:val=""/>
      <w:lvlJc w:val="left"/>
      <w:pPr>
        <w:ind w:left="3295" w:hanging="360"/>
      </w:pPr>
      <w:rPr>
        <w:rFonts w:ascii="Wingdings" w:hAnsi="Wingdings" w:hint="default"/>
      </w:rPr>
    </w:lvl>
    <w:lvl w:ilvl="3" w:tplc="080A0001" w:tentative="1">
      <w:start w:val="1"/>
      <w:numFmt w:val="bullet"/>
      <w:lvlText w:val=""/>
      <w:lvlJc w:val="left"/>
      <w:pPr>
        <w:ind w:left="4015" w:hanging="360"/>
      </w:pPr>
      <w:rPr>
        <w:rFonts w:ascii="Symbol" w:hAnsi="Symbol" w:hint="default"/>
      </w:rPr>
    </w:lvl>
    <w:lvl w:ilvl="4" w:tplc="080A0003" w:tentative="1">
      <w:start w:val="1"/>
      <w:numFmt w:val="bullet"/>
      <w:lvlText w:val="o"/>
      <w:lvlJc w:val="left"/>
      <w:pPr>
        <w:ind w:left="4735" w:hanging="360"/>
      </w:pPr>
      <w:rPr>
        <w:rFonts w:ascii="Courier New" w:hAnsi="Courier New" w:cs="Courier New" w:hint="default"/>
      </w:rPr>
    </w:lvl>
    <w:lvl w:ilvl="5" w:tplc="080A0005" w:tentative="1">
      <w:start w:val="1"/>
      <w:numFmt w:val="bullet"/>
      <w:lvlText w:val=""/>
      <w:lvlJc w:val="left"/>
      <w:pPr>
        <w:ind w:left="5455" w:hanging="360"/>
      </w:pPr>
      <w:rPr>
        <w:rFonts w:ascii="Wingdings" w:hAnsi="Wingdings" w:hint="default"/>
      </w:rPr>
    </w:lvl>
    <w:lvl w:ilvl="6" w:tplc="080A0001" w:tentative="1">
      <w:start w:val="1"/>
      <w:numFmt w:val="bullet"/>
      <w:lvlText w:val=""/>
      <w:lvlJc w:val="left"/>
      <w:pPr>
        <w:ind w:left="6175" w:hanging="360"/>
      </w:pPr>
      <w:rPr>
        <w:rFonts w:ascii="Symbol" w:hAnsi="Symbol" w:hint="default"/>
      </w:rPr>
    </w:lvl>
    <w:lvl w:ilvl="7" w:tplc="080A0003" w:tentative="1">
      <w:start w:val="1"/>
      <w:numFmt w:val="bullet"/>
      <w:lvlText w:val="o"/>
      <w:lvlJc w:val="left"/>
      <w:pPr>
        <w:ind w:left="6895" w:hanging="360"/>
      </w:pPr>
      <w:rPr>
        <w:rFonts w:ascii="Courier New" w:hAnsi="Courier New" w:cs="Courier New" w:hint="default"/>
      </w:rPr>
    </w:lvl>
    <w:lvl w:ilvl="8" w:tplc="080A0005" w:tentative="1">
      <w:start w:val="1"/>
      <w:numFmt w:val="bullet"/>
      <w:lvlText w:val=""/>
      <w:lvlJc w:val="left"/>
      <w:pPr>
        <w:ind w:left="7615" w:hanging="360"/>
      </w:pPr>
      <w:rPr>
        <w:rFonts w:ascii="Wingdings" w:hAnsi="Wingdings" w:hint="default"/>
      </w:rPr>
    </w:lvl>
  </w:abstractNum>
  <w:abstractNum w:abstractNumId="20" w15:restartNumberingAfterBreak="0">
    <w:nsid w:val="4C5E6CC1"/>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4C744A31"/>
    <w:multiLevelType w:val="hybridMultilevel"/>
    <w:tmpl w:val="0B529D62"/>
    <w:lvl w:ilvl="0" w:tplc="237EE864">
      <w:start w:val="1"/>
      <w:numFmt w:val="bullet"/>
      <w:lvlText w:val="-"/>
      <w:lvlJc w:val="left"/>
      <w:pPr>
        <w:tabs>
          <w:tab w:val="num" w:pos="780"/>
        </w:tabs>
        <w:ind w:left="780" w:hanging="360"/>
      </w:pPr>
      <w:rPr>
        <w:rFonts w:ascii="Arial" w:eastAsia="Times New Roman" w:hAnsi="Arial" w:hint="default"/>
      </w:rPr>
    </w:lvl>
    <w:lvl w:ilvl="1" w:tplc="0C0A000F">
      <w:start w:val="1"/>
      <w:numFmt w:val="decimal"/>
      <w:lvlText w:val="%2."/>
      <w:lvlJc w:val="left"/>
      <w:pPr>
        <w:tabs>
          <w:tab w:val="num" w:pos="1500"/>
        </w:tabs>
        <w:ind w:left="1500" w:hanging="360"/>
      </w:pPr>
      <w:rPr>
        <w:rFonts w:cs="Times New Roman" w:hint="default"/>
      </w:rPr>
    </w:lvl>
    <w:lvl w:ilvl="2" w:tplc="0C0A0005" w:tentative="1">
      <w:start w:val="1"/>
      <w:numFmt w:val="bullet"/>
      <w:lvlText w:val=""/>
      <w:lvlJc w:val="left"/>
      <w:pPr>
        <w:tabs>
          <w:tab w:val="num" w:pos="2220"/>
        </w:tabs>
        <w:ind w:left="2220" w:hanging="360"/>
      </w:pPr>
      <w:rPr>
        <w:rFonts w:ascii="Wingdings" w:hAnsi="Wingdings" w:hint="default"/>
      </w:rPr>
    </w:lvl>
    <w:lvl w:ilvl="3" w:tplc="0C0A0001" w:tentative="1">
      <w:start w:val="1"/>
      <w:numFmt w:val="bullet"/>
      <w:lvlText w:val=""/>
      <w:lvlJc w:val="left"/>
      <w:pPr>
        <w:tabs>
          <w:tab w:val="num" w:pos="2940"/>
        </w:tabs>
        <w:ind w:left="2940" w:hanging="360"/>
      </w:pPr>
      <w:rPr>
        <w:rFonts w:ascii="Symbol" w:hAnsi="Symbol" w:hint="default"/>
      </w:rPr>
    </w:lvl>
    <w:lvl w:ilvl="4" w:tplc="0C0A0003" w:tentative="1">
      <w:start w:val="1"/>
      <w:numFmt w:val="bullet"/>
      <w:lvlText w:val="o"/>
      <w:lvlJc w:val="left"/>
      <w:pPr>
        <w:tabs>
          <w:tab w:val="num" w:pos="3660"/>
        </w:tabs>
        <w:ind w:left="3660" w:hanging="360"/>
      </w:pPr>
      <w:rPr>
        <w:rFonts w:ascii="Courier New" w:hAnsi="Courier New" w:hint="default"/>
      </w:rPr>
    </w:lvl>
    <w:lvl w:ilvl="5" w:tplc="0C0A0005" w:tentative="1">
      <w:start w:val="1"/>
      <w:numFmt w:val="bullet"/>
      <w:lvlText w:val=""/>
      <w:lvlJc w:val="left"/>
      <w:pPr>
        <w:tabs>
          <w:tab w:val="num" w:pos="4380"/>
        </w:tabs>
        <w:ind w:left="4380" w:hanging="360"/>
      </w:pPr>
      <w:rPr>
        <w:rFonts w:ascii="Wingdings" w:hAnsi="Wingdings" w:hint="default"/>
      </w:rPr>
    </w:lvl>
    <w:lvl w:ilvl="6" w:tplc="0C0A0001" w:tentative="1">
      <w:start w:val="1"/>
      <w:numFmt w:val="bullet"/>
      <w:lvlText w:val=""/>
      <w:lvlJc w:val="left"/>
      <w:pPr>
        <w:tabs>
          <w:tab w:val="num" w:pos="5100"/>
        </w:tabs>
        <w:ind w:left="5100" w:hanging="360"/>
      </w:pPr>
      <w:rPr>
        <w:rFonts w:ascii="Symbol" w:hAnsi="Symbol" w:hint="default"/>
      </w:rPr>
    </w:lvl>
    <w:lvl w:ilvl="7" w:tplc="0C0A0003" w:tentative="1">
      <w:start w:val="1"/>
      <w:numFmt w:val="bullet"/>
      <w:lvlText w:val="o"/>
      <w:lvlJc w:val="left"/>
      <w:pPr>
        <w:tabs>
          <w:tab w:val="num" w:pos="5820"/>
        </w:tabs>
        <w:ind w:left="5820" w:hanging="360"/>
      </w:pPr>
      <w:rPr>
        <w:rFonts w:ascii="Courier New" w:hAnsi="Courier New" w:hint="default"/>
      </w:rPr>
    </w:lvl>
    <w:lvl w:ilvl="8" w:tplc="0C0A0005" w:tentative="1">
      <w:start w:val="1"/>
      <w:numFmt w:val="bullet"/>
      <w:lvlText w:val=""/>
      <w:lvlJc w:val="left"/>
      <w:pPr>
        <w:tabs>
          <w:tab w:val="num" w:pos="6540"/>
        </w:tabs>
        <w:ind w:left="6540" w:hanging="360"/>
      </w:pPr>
      <w:rPr>
        <w:rFonts w:ascii="Wingdings" w:hAnsi="Wingdings" w:hint="default"/>
      </w:rPr>
    </w:lvl>
  </w:abstractNum>
  <w:abstractNum w:abstractNumId="22"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4E36303F"/>
    <w:multiLevelType w:val="hybridMultilevel"/>
    <w:tmpl w:val="32DCAE6E"/>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24" w15:restartNumberingAfterBreak="0">
    <w:nsid w:val="50C01842"/>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53CB4C15"/>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5564185F"/>
    <w:multiLevelType w:val="hybridMultilevel"/>
    <w:tmpl w:val="B450E64C"/>
    <w:lvl w:ilvl="0" w:tplc="F9CE02A4">
      <w:start w:val="1"/>
      <w:numFmt w:val="lowerLetter"/>
      <w:lvlText w:val="%1)"/>
      <w:lvlJc w:val="left"/>
      <w:pPr>
        <w:tabs>
          <w:tab w:val="num" w:pos="360"/>
        </w:tabs>
        <w:ind w:left="360" w:hanging="360"/>
      </w:pPr>
      <w:rPr>
        <w:rFonts w:ascii="Arial" w:hAnsi="Arial" w:cs="Times New Roman" w:hint="default"/>
        <w:b w:val="0"/>
        <w:i w:val="0"/>
        <w:sz w:val="18"/>
        <w:szCs w:val="18"/>
      </w:rPr>
    </w:lvl>
    <w:lvl w:ilvl="1" w:tplc="0C0A0019" w:tentative="1">
      <w:start w:val="1"/>
      <w:numFmt w:val="lowerLetter"/>
      <w:lvlText w:val="%2."/>
      <w:lvlJc w:val="left"/>
      <w:pPr>
        <w:tabs>
          <w:tab w:val="num" w:pos="720"/>
        </w:tabs>
        <w:ind w:left="720" w:hanging="360"/>
      </w:pPr>
      <w:rPr>
        <w:rFonts w:cs="Times New Roman"/>
      </w:rPr>
    </w:lvl>
    <w:lvl w:ilvl="2" w:tplc="0C0A001B" w:tentative="1">
      <w:start w:val="1"/>
      <w:numFmt w:val="lowerRoman"/>
      <w:lvlText w:val="%3."/>
      <w:lvlJc w:val="right"/>
      <w:pPr>
        <w:tabs>
          <w:tab w:val="num" w:pos="1440"/>
        </w:tabs>
        <w:ind w:left="1440" w:hanging="180"/>
      </w:pPr>
      <w:rPr>
        <w:rFonts w:cs="Times New Roman"/>
      </w:rPr>
    </w:lvl>
    <w:lvl w:ilvl="3" w:tplc="0C0A000F" w:tentative="1">
      <w:start w:val="1"/>
      <w:numFmt w:val="decimal"/>
      <w:lvlText w:val="%4."/>
      <w:lvlJc w:val="left"/>
      <w:pPr>
        <w:tabs>
          <w:tab w:val="num" w:pos="2160"/>
        </w:tabs>
        <w:ind w:left="2160" w:hanging="360"/>
      </w:pPr>
      <w:rPr>
        <w:rFonts w:cs="Times New Roman"/>
      </w:rPr>
    </w:lvl>
    <w:lvl w:ilvl="4" w:tplc="0C0A0019" w:tentative="1">
      <w:start w:val="1"/>
      <w:numFmt w:val="lowerLetter"/>
      <w:lvlText w:val="%5."/>
      <w:lvlJc w:val="left"/>
      <w:pPr>
        <w:tabs>
          <w:tab w:val="num" w:pos="2880"/>
        </w:tabs>
        <w:ind w:left="2880" w:hanging="360"/>
      </w:pPr>
      <w:rPr>
        <w:rFonts w:cs="Times New Roman"/>
      </w:rPr>
    </w:lvl>
    <w:lvl w:ilvl="5" w:tplc="0C0A001B" w:tentative="1">
      <w:start w:val="1"/>
      <w:numFmt w:val="lowerRoman"/>
      <w:lvlText w:val="%6."/>
      <w:lvlJc w:val="right"/>
      <w:pPr>
        <w:tabs>
          <w:tab w:val="num" w:pos="3600"/>
        </w:tabs>
        <w:ind w:left="3600" w:hanging="180"/>
      </w:pPr>
      <w:rPr>
        <w:rFonts w:cs="Times New Roman"/>
      </w:rPr>
    </w:lvl>
    <w:lvl w:ilvl="6" w:tplc="0C0A000F" w:tentative="1">
      <w:start w:val="1"/>
      <w:numFmt w:val="decimal"/>
      <w:lvlText w:val="%7."/>
      <w:lvlJc w:val="left"/>
      <w:pPr>
        <w:tabs>
          <w:tab w:val="num" w:pos="4320"/>
        </w:tabs>
        <w:ind w:left="4320" w:hanging="360"/>
      </w:pPr>
      <w:rPr>
        <w:rFonts w:cs="Times New Roman"/>
      </w:rPr>
    </w:lvl>
    <w:lvl w:ilvl="7" w:tplc="0C0A0019" w:tentative="1">
      <w:start w:val="1"/>
      <w:numFmt w:val="lowerLetter"/>
      <w:lvlText w:val="%8."/>
      <w:lvlJc w:val="left"/>
      <w:pPr>
        <w:tabs>
          <w:tab w:val="num" w:pos="5040"/>
        </w:tabs>
        <w:ind w:left="5040" w:hanging="360"/>
      </w:pPr>
      <w:rPr>
        <w:rFonts w:cs="Times New Roman"/>
      </w:rPr>
    </w:lvl>
    <w:lvl w:ilvl="8" w:tplc="0C0A001B" w:tentative="1">
      <w:start w:val="1"/>
      <w:numFmt w:val="lowerRoman"/>
      <w:lvlText w:val="%9."/>
      <w:lvlJc w:val="right"/>
      <w:pPr>
        <w:tabs>
          <w:tab w:val="num" w:pos="5760"/>
        </w:tabs>
        <w:ind w:left="5760" w:hanging="180"/>
      </w:pPr>
      <w:rPr>
        <w:rFonts w:cs="Times New Roman"/>
      </w:rPr>
    </w:lvl>
  </w:abstractNum>
  <w:abstractNum w:abstractNumId="27" w15:restartNumberingAfterBreak="0">
    <w:nsid w:val="562B77DF"/>
    <w:multiLevelType w:val="hybridMultilevel"/>
    <w:tmpl w:val="DB980DF2"/>
    <w:lvl w:ilvl="0" w:tplc="0C0A000F">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58812414"/>
    <w:multiLevelType w:val="hybridMultilevel"/>
    <w:tmpl w:val="FCFAA802"/>
    <w:lvl w:ilvl="0" w:tplc="308CDBD2">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D6A7583"/>
    <w:multiLevelType w:val="hybridMultilevel"/>
    <w:tmpl w:val="CA26C68E"/>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1" w15:restartNumberingAfterBreak="0">
    <w:nsid w:val="60BE34BB"/>
    <w:multiLevelType w:val="hybridMultilevel"/>
    <w:tmpl w:val="5154532C"/>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2"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33" w15:restartNumberingAfterBreak="0">
    <w:nsid w:val="6C6E1448"/>
    <w:multiLevelType w:val="hybridMultilevel"/>
    <w:tmpl w:val="6F5EC9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68225B7"/>
    <w:multiLevelType w:val="hybridMultilevel"/>
    <w:tmpl w:val="34B6A4D8"/>
    <w:lvl w:ilvl="0" w:tplc="080A0001">
      <w:start w:val="1"/>
      <w:numFmt w:val="bullet"/>
      <w:lvlText w:val=""/>
      <w:lvlJc w:val="left"/>
      <w:pPr>
        <w:ind w:left="1495"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5" w15:restartNumberingAfterBreak="0">
    <w:nsid w:val="7686452E"/>
    <w:multiLevelType w:val="hybridMultilevel"/>
    <w:tmpl w:val="5644C542"/>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6" w15:restartNumberingAfterBreak="0">
    <w:nsid w:val="7743253C"/>
    <w:multiLevelType w:val="hybridMultilevel"/>
    <w:tmpl w:val="5C86D614"/>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7"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38" w15:restartNumberingAfterBreak="0">
    <w:nsid w:val="7DBA0C88"/>
    <w:multiLevelType w:val="hybridMultilevel"/>
    <w:tmpl w:val="C764CACC"/>
    <w:lvl w:ilvl="0" w:tplc="F9CE02A4">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9"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5"/>
  </w:num>
  <w:num w:numId="4">
    <w:abstractNumId w:val="8"/>
  </w:num>
  <w:num w:numId="5">
    <w:abstractNumId w:val="13"/>
  </w:num>
  <w:num w:numId="6">
    <w:abstractNumId w:val="3"/>
  </w:num>
  <w:num w:numId="7">
    <w:abstractNumId w:val="6"/>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32"/>
  </w:num>
  <w:num w:numId="12">
    <w:abstractNumId w:val="37"/>
  </w:num>
  <w:num w:numId="13">
    <w:abstractNumId w:val="39"/>
  </w:num>
  <w:num w:numId="14">
    <w:abstractNumId w:val="18"/>
  </w:num>
  <w:num w:numId="15">
    <w:abstractNumId w:val="14"/>
  </w:num>
  <w:num w:numId="16">
    <w:abstractNumId w:val="28"/>
  </w:num>
  <w:num w:numId="17">
    <w:abstractNumId w:val="17"/>
  </w:num>
  <w:num w:numId="18">
    <w:abstractNumId w:val="22"/>
  </w:num>
  <w:num w:numId="19">
    <w:abstractNumId w:val="7"/>
  </w:num>
  <w:num w:numId="20">
    <w:abstractNumId w:val="10"/>
  </w:num>
  <w:num w:numId="21">
    <w:abstractNumId w:val="38"/>
  </w:num>
  <w:num w:numId="22">
    <w:abstractNumId w:val="20"/>
  </w:num>
  <w:num w:numId="23">
    <w:abstractNumId w:val="25"/>
  </w:num>
  <w:num w:numId="24">
    <w:abstractNumId w:val="24"/>
  </w:num>
  <w:num w:numId="25">
    <w:abstractNumId w:val="33"/>
  </w:num>
  <w:num w:numId="26">
    <w:abstractNumId w:val="34"/>
  </w:num>
  <w:num w:numId="27">
    <w:abstractNumId w:val="21"/>
  </w:num>
  <w:num w:numId="28">
    <w:abstractNumId w:val="27"/>
  </w:num>
  <w:num w:numId="29">
    <w:abstractNumId w:val="26"/>
  </w:num>
  <w:num w:numId="30">
    <w:abstractNumId w:val="12"/>
  </w:num>
  <w:num w:numId="31">
    <w:abstractNumId w:val="11"/>
  </w:num>
  <w:num w:numId="32">
    <w:abstractNumId w:val="19"/>
  </w:num>
  <w:num w:numId="33">
    <w:abstractNumId w:val="15"/>
  </w:num>
  <w:num w:numId="34">
    <w:abstractNumId w:val="23"/>
  </w:num>
  <w:num w:numId="35">
    <w:abstractNumId w:val="30"/>
  </w:num>
  <w:num w:numId="36">
    <w:abstractNumId w:val="4"/>
  </w:num>
  <w:num w:numId="37">
    <w:abstractNumId w:val="35"/>
  </w:num>
  <w:num w:numId="38">
    <w:abstractNumId w:val="9"/>
  </w:num>
  <w:num w:numId="39">
    <w:abstractNumId w:val="16"/>
  </w:num>
  <w:num w:numId="40">
    <w:abstractNumId w:val="31"/>
  </w:num>
  <w:num w:numId="41">
    <w:abstractNumId w:val="36"/>
  </w:num>
  <w:num w:numId="42">
    <w:abstractNumId w:val="2"/>
  </w:num>
  <w:num w:numId="43">
    <w:abstractNumId w:val="29"/>
  </w:num>
  <w:num w:numId="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n-US" w:vendorID="64" w:dllVersion="6" w:nlCheck="1" w:checkStyle="1"/>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1F49"/>
    <w:rsid w:val="0000043F"/>
    <w:rsid w:val="00000BEA"/>
    <w:rsid w:val="0000180F"/>
    <w:rsid w:val="00002466"/>
    <w:rsid w:val="00002665"/>
    <w:rsid w:val="000027BD"/>
    <w:rsid w:val="00002B26"/>
    <w:rsid w:val="00003C25"/>
    <w:rsid w:val="00003C68"/>
    <w:rsid w:val="00004291"/>
    <w:rsid w:val="0000458A"/>
    <w:rsid w:val="000050C6"/>
    <w:rsid w:val="00005940"/>
    <w:rsid w:val="0000681C"/>
    <w:rsid w:val="00006B5A"/>
    <w:rsid w:val="000078B1"/>
    <w:rsid w:val="00007A1A"/>
    <w:rsid w:val="00010A59"/>
    <w:rsid w:val="000112A7"/>
    <w:rsid w:val="0001151F"/>
    <w:rsid w:val="00011840"/>
    <w:rsid w:val="00011AC0"/>
    <w:rsid w:val="00011BD3"/>
    <w:rsid w:val="00012278"/>
    <w:rsid w:val="00012A27"/>
    <w:rsid w:val="00012E16"/>
    <w:rsid w:val="0001302A"/>
    <w:rsid w:val="000132A4"/>
    <w:rsid w:val="00013319"/>
    <w:rsid w:val="000135BE"/>
    <w:rsid w:val="00013E55"/>
    <w:rsid w:val="0001447E"/>
    <w:rsid w:val="000144ED"/>
    <w:rsid w:val="00014E10"/>
    <w:rsid w:val="00014FBD"/>
    <w:rsid w:val="00015302"/>
    <w:rsid w:val="000162CF"/>
    <w:rsid w:val="00016492"/>
    <w:rsid w:val="00016590"/>
    <w:rsid w:val="00016B4E"/>
    <w:rsid w:val="00016D3A"/>
    <w:rsid w:val="00016D69"/>
    <w:rsid w:val="0001718D"/>
    <w:rsid w:val="000176AC"/>
    <w:rsid w:val="00020231"/>
    <w:rsid w:val="00021432"/>
    <w:rsid w:val="00021492"/>
    <w:rsid w:val="000216A3"/>
    <w:rsid w:val="00021B4D"/>
    <w:rsid w:val="000228C4"/>
    <w:rsid w:val="00022CA3"/>
    <w:rsid w:val="000232E3"/>
    <w:rsid w:val="00023C47"/>
    <w:rsid w:val="000260EE"/>
    <w:rsid w:val="00026B3C"/>
    <w:rsid w:val="00026B52"/>
    <w:rsid w:val="00030480"/>
    <w:rsid w:val="0003065F"/>
    <w:rsid w:val="00030919"/>
    <w:rsid w:val="000309CE"/>
    <w:rsid w:val="00030A5F"/>
    <w:rsid w:val="00030D10"/>
    <w:rsid w:val="00031231"/>
    <w:rsid w:val="000314D3"/>
    <w:rsid w:val="00031BCF"/>
    <w:rsid w:val="00031D5E"/>
    <w:rsid w:val="00032B16"/>
    <w:rsid w:val="00033603"/>
    <w:rsid w:val="00033A14"/>
    <w:rsid w:val="00034417"/>
    <w:rsid w:val="0003447A"/>
    <w:rsid w:val="00034BC3"/>
    <w:rsid w:val="000353F3"/>
    <w:rsid w:val="00035600"/>
    <w:rsid w:val="00035B2D"/>
    <w:rsid w:val="00035DA7"/>
    <w:rsid w:val="00036D72"/>
    <w:rsid w:val="00037089"/>
    <w:rsid w:val="00037177"/>
    <w:rsid w:val="000371E9"/>
    <w:rsid w:val="00037CC4"/>
    <w:rsid w:val="0004066E"/>
    <w:rsid w:val="00040F75"/>
    <w:rsid w:val="00041FF7"/>
    <w:rsid w:val="0004225C"/>
    <w:rsid w:val="0004266F"/>
    <w:rsid w:val="0004349F"/>
    <w:rsid w:val="00043535"/>
    <w:rsid w:val="00043B32"/>
    <w:rsid w:val="00043E2B"/>
    <w:rsid w:val="00044296"/>
    <w:rsid w:val="00044699"/>
    <w:rsid w:val="00044700"/>
    <w:rsid w:val="00044776"/>
    <w:rsid w:val="00044C5E"/>
    <w:rsid w:val="0004596A"/>
    <w:rsid w:val="00045AF1"/>
    <w:rsid w:val="00045E9B"/>
    <w:rsid w:val="00046139"/>
    <w:rsid w:val="000465BF"/>
    <w:rsid w:val="00046822"/>
    <w:rsid w:val="00046AB6"/>
    <w:rsid w:val="00046D06"/>
    <w:rsid w:val="00046E4D"/>
    <w:rsid w:val="000471CD"/>
    <w:rsid w:val="0004735D"/>
    <w:rsid w:val="0004777C"/>
    <w:rsid w:val="000501E0"/>
    <w:rsid w:val="00050934"/>
    <w:rsid w:val="00050AF0"/>
    <w:rsid w:val="00050FB5"/>
    <w:rsid w:val="00051C72"/>
    <w:rsid w:val="00051D1C"/>
    <w:rsid w:val="00051D9E"/>
    <w:rsid w:val="00052487"/>
    <w:rsid w:val="00052F04"/>
    <w:rsid w:val="00052F1E"/>
    <w:rsid w:val="000536D2"/>
    <w:rsid w:val="00053B2C"/>
    <w:rsid w:val="00053EB7"/>
    <w:rsid w:val="000546E8"/>
    <w:rsid w:val="00054A4F"/>
    <w:rsid w:val="00055047"/>
    <w:rsid w:val="0005517D"/>
    <w:rsid w:val="000558E0"/>
    <w:rsid w:val="00055B54"/>
    <w:rsid w:val="00056E28"/>
    <w:rsid w:val="00056F51"/>
    <w:rsid w:val="0005712F"/>
    <w:rsid w:val="000573F5"/>
    <w:rsid w:val="00057F37"/>
    <w:rsid w:val="000602B0"/>
    <w:rsid w:val="0006056C"/>
    <w:rsid w:val="0006228A"/>
    <w:rsid w:val="000624F5"/>
    <w:rsid w:val="00063614"/>
    <w:rsid w:val="00063838"/>
    <w:rsid w:val="0006433F"/>
    <w:rsid w:val="000646BA"/>
    <w:rsid w:val="00064BBC"/>
    <w:rsid w:val="00064E9D"/>
    <w:rsid w:val="00064FDB"/>
    <w:rsid w:val="00065106"/>
    <w:rsid w:val="000651F1"/>
    <w:rsid w:val="00065708"/>
    <w:rsid w:val="00065A07"/>
    <w:rsid w:val="00065BC1"/>
    <w:rsid w:val="00066638"/>
    <w:rsid w:val="00066EA7"/>
    <w:rsid w:val="0006789C"/>
    <w:rsid w:val="0007012A"/>
    <w:rsid w:val="0007017F"/>
    <w:rsid w:val="00070431"/>
    <w:rsid w:val="0007074A"/>
    <w:rsid w:val="000707FF"/>
    <w:rsid w:val="00070864"/>
    <w:rsid w:val="00070A79"/>
    <w:rsid w:val="0007145A"/>
    <w:rsid w:val="00071F33"/>
    <w:rsid w:val="000725AC"/>
    <w:rsid w:val="00072862"/>
    <w:rsid w:val="00072B18"/>
    <w:rsid w:val="000730F3"/>
    <w:rsid w:val="00073491"/>
    <w:rsid w:val="000739D2"/>
    <w:rsid w:val="00073EF4"/>
    <w:rsid w:val="000744E7"/>
    <w:rsid w:val="000753EC"/>
    <w:rsid w:val="00075419"/>
    <w:rsid w:val="0007567F"/>
    <w:rsid w:val="00075B3A"/>
    <w:rsid w:val="00075DEC"/>
    <w:rsid w:val="0007610D"/>
    <w:rsid w:val="00076234"/>
    <w:rsid w:val="000763B1"/>
    <w:rsid w:val="0007670F"/>
    <w:rsid w:val="000767F7"/>
    <w:rsid w:val="00076D57"/>
    <w:rsid w:val="00076EE9"/>
    <w:rsid w:val="00077C46"/>
    <w:rsid w:val="0008027F"/>
    <w:rsid w:val="000807D1"/>
    <w:rsid w:val="0008084D"/>
    <w:rsid w:val="000814ED"/>
    <w:rsid w:val="0008169C"/>
    <w:rsid w:val="0008175A"/>
    <w:rsid w:val="0008191E"/>
    <w:rsid w:val="0008195B"/>
    <w:rsid w:val="000826F7"/>
    <w:rsid w:val="0008271A"/>
    <w:rsid w:val="000829E9"/>
    <w:rsid w:val="00082F11"/>
    <w:rsid w:val="0008325D"/>
    <w:rsid w:val="000834DD"/>
    <w:rsid w:val="00084687"/>
    <w:rsid w:val="00084A57"/>
    <w:rsid w:val="00084BED"/>
    <w:rsid w:val="00084EDB"/>
    <w:rsid w:val="00084FF2"/>
    <w:rsid w:val="0008524D"/>
    <w:rsid w:val="000856E9"/>
    <w:rsid w:val="00086295"/>
    <w:rsid w:val="0008756B"/>
    <w:rsid w:val="00087DB7"/>
    <w:rsid w:val="0009025D"/>
    <w:rsid w:val="00090B3F"/>
    <w:rsid w:val="00090B9C"/>
    <w:rsid w:val="00090BE6"/>
    <w:rsid w:val="00090D7B"/>
    <w:rsid w:val="00091474"/>
    <w:rsid w:val="000915F7"/>
    <w:rsid w:val="00091951"/>
    <w:rsid w:val="00092764"/>
    <w:rsid w:val="0009292F"/>
    <w:rsid w:val="00092F4C"/>
    <w:rsid w:val="00093628"/>
    <w:rsid w:val="00093F8A"/>
    <w:rsid w:val="00094496"/>
    <w:rsid w:val="000950E7"/>
    <w:rsid w:val="000951E9"/>
    <w:rsid w:val="00095360"/>
    <w:rsid w:val="000955AA"/>
    <w:rsid w:val="000957BC"/>
    <w:rsid w:val="00096737"/>
    <w:rsid w:val="00097C0A"/>
    <w:rsid w:val="00097D3C"/>
    <w:rsid w:val="000A0141"/>
    <w:rsid w:val="000A0344"/>
    <w:rsid w:val="000A0823"/>
    <w:rsid w:val="000A0938"/>
    <w:rsid w:val="000A1BAE"/>
    <w:rsid w:val="000A21D6"/>
    <w:rsid w:val="000A2473"/>
    <w:rsid w:val="000A2981"/>
    <w:rsid w:val="000A2F4F"/>
    <w:rsid w:val="000A31EF"/>
    <w:rsid w:val="000A3354"/>
    <w:rsid w:val="000A3733"/>
    <w:rsid w:val="000A43B0"/>
    <w:rsid w:val="000A49ED"/>
    <w:rsid w:val="000A52A2"/>
    <w:rsid w:val="000A53E6"/>
    <w:rsid w:val="000A574B"/>
    <w:rsid w:val="000A5B04"/>
    <w:rsid w:val="000A5E2A"/>
    <w:rsid w:val="000A643B"/>
    <w:rsid w:val="000A6E0E"/>
    <w:rsid w:val="000A707A"/>
    <w:rsid w:val="000A78BA"/>
    <w:rsid w:val="000A7D02"/>
    <w:rsid w:val="000A7ED5"/>
    <w:rsid w:val="000B0710"/>
    <w:rsid w:val="000B112E"/>
    <w:rsid w:val="000B1545"/>
    <w:rsid w:val="000B1C11"/>
    <w:rsid w:val="000B1D13"/>
    <w:rsid w:val="000B29B8"/>
    <w:rsid w:val="000B2A27"/>
    <w:rsid w:val="000B33B2"/>
    <w:rsid w:val="000B3A0D"/>
    <w:rsid w:val="000B4A6A"/>
    <w:rsid w:val="000B50F9"/>
    <w:rsid w:val="000B50FB"/>
    <w:rsid w:val="000B515D"/>
    <w:rsid w:val="000B5A74"/>
    <w:rsid w:val="000B5DD7"/>
    <w:rsid w:val="000B5FA3"/>
    <w:rsid w:val="000B6AF6"/>
    <w:rsid w:val="000C0F67"/>
    <w:rsid w:val="000C1051"/>
    <w:rsid w:val="000C1F04"/>
    <w:rsid w:val="000C2892"/>
    <w:rsid w:val="000C2B3C"/>
    <w:rsid w:val="000C30D7"/>
    <w:rsid w:val="000C3105"/>
    <w:rsid w:val="000C34DD"/>
    <w:rsid w:val="000C37BC"/>
    <w:rsid w:val="000C482F"/>
    <w:rsid w:val="000C4992"/>
    <w:rsid w:val="000C4F1A"/>
    <w:rsid w:val="000C5299"/>
    <w:rsid w:val="000C5468"/>
    <w:rsid w:val="000C55CC"/>
    <w:rsid w:val="000C5852"/>
    <w:rsid w:val="000C5D0E"/>
    <w:rsid w:val="000C603E"/>
    <w:rsid w:val="000C6846"/>
    <w:rsid w:val="000C6A4A"/>
    <w:rsid w:val="000C6AFD"/>
    <w:rsid w:val="000D01ED"/>
    <w:rsid w:val="000D06FA"/>
    <w:rsid w:val="000D0CE6"/>
    <w:rsid w:val="000D0DDA"/>
    <w:rsid w:val="000D0ED5"/>
    <w:rsid w:val="000D113E"/>
    <w:rsid w:val="000D1169"/>
    <w:rsid w:val="000D15C5"/>
    <w:rsid w:val="000D1735"/>
    <w:rsid w:val="000D27B6"/>
    <w:rsid w:val="000D28A5"/>
    <w:rsid w:val="000D31C1"/>
    <w:rsid w:val="000D36B2"/>
    <w:rsid w:val="000D39FD"/>
    <w:rsid w:val="000D4313"/>
    <w:rsid w:val="000D4833"/>
    <w:rsid w:val="000D49D2"/>
    <w:rsid w:val="000D4A88"/>
    <w:rsid w:val="000D4BBC"/>
    <w:rsid w:val="000D4D90"/>
    <w:rsid w:val="000D4DB1"/>
    <w:rsid w:val="000D4E26"/>
    <w:rsid w:val="000D5050"/>
    <w:rsid w:val="000D5176"/>
    <w:rsid w:val="000D5EDB"/>
    <w:rsid w:val="000D6221"/>
    <w:rsid w:val="000D6A1E"/>
    <w:rsid w:val="000D6C0F"/>
    <w:rsid w:val="000D6F1E"/>
    <w:rsid w:val="000D7439"/>
    <w:rsid w:val="000D7A95"/>
    <w:rsid w:val="000D7BBD"/>
    <w:rsid w:val="000E03C0"/>
    <w:rsid w:val="000E0654"/>
    <w:rsid w:val="000E19B3"/>
    <w:rsid w:val="000E1B2B"/>
    <w:rsid w:val="000E2970"/>
    <w:rsid w:val="000E3386"/>
    <w:rsid w:val="000E3CC1"/>
    <w:rsid w:val="000E414F"/>
    <w:rsid w:val="000E44F0"/>
    <w:rsid w:val="000E5331"/>
    <w:rsid w:val="000E5526"/>
    <w:rsid w:val="000E5D6B"/>
    <w:rsid w:val="000E5FE0"/>
    <w:rsid w:val="000E6D5D"/>
    <w:rsid w:val="000E716F"/>
    <w:rsid w:val="000E7775"/>
    <w:rsid w:val="000E7974"/>
    <w:rsid w:val="000E7D75"/>
    <w:rsid w:val="000F05D5"/>
    <w:rsid w:val="000F1DEB"/>
    <w:rsid w:val="000F2358"/>
    <w:rsid w:val="000F2CB7"/>
    <w:rsid w:val="000F3491"/>
    <w:rsid w:val="000F3DE6"/>
    <w:rsid w:val="000F44E7"/>
    <w:rsid w:val="000F49F1"/>
    <w:rsid w:val="000F4C41"/>
    <w:rsid w:val="000F4FA7"/>
    <w:rsid w:val="000F536A"/>
    <w:rsid w:val="000F541D"/>
    <w:rsid w:val="000F5AD1"/>
    <w:rsid w:val="000F69FA"/>
    <w:rsid w:val="000F7101"/>
    <w:rsid w:val="000F7577"/>
    <w:rsid w:val="000F7974"/>
    <w:rsid w:val="000F7ECD"/>
    <w:rsid w:val="000F7FB5"/>
    <w:rsid w:val="00100317"/>
    <w:rsid w:val="00100A55"/>
    <w:rsid w:val="00101011"/>
    <w:rsid w:val="001011EC"/>
    <w:rsid w:val="001017C1"/>
    <w:rsid w:val="00101916"/>
    <w:rsid w:val="00101E92"/>
    <w:rsid w:val="00101F40"/>
    <w:rsid w:val="00102E57"/>
    <w:rsid w:val="00103847"/>
    <w:rsid w:val="00103913"/>
    <w:rsid w:val="00105234"/>
    <w:rsid w:val="001052E2"/>
    <w:rsid w:val="00105317"/>
    <w:rsid w:val="00105689"/>
    <w:rsid w:val="00105E2B"/>
    <w:rsid w:val="0010619C"/>
    <w:rsid w:val="0010664D"/>
    <w:rsid w:val="00106792"/>
    <w:rsid w:val="00110510"/>
    <w:rsid w:val="0011076D"/>
    <w:rsid w:val="00110DB1"/>
    <w:rsid w:val="00110DF0"/>
    <w:rsid w:val="001114D0"/>
    <w:rsid w:val="00111703"/>
    <w:rsid w:val="00111AA3"/>
    <w:rsid w:val="00111F29"/>
    <w:rsid w:val="0011270A"/>
    <w:rsid w:val="00113348"/>
    <w:rsid w:val="00113404"/>
    <w:rsid w:val="001134B4"/>
    <w:rsid w:val="00113DE8"/>
    <w:rsid w:val="0011424C"/>
    <w:rsid w:val="0011478A"/>
    <w:rsid w:val="00114B56"/>
    <w:rsid w:val="00114B96"/>
    <w:rsid w:val="00114C20"/>
    <w:rsid w:val="00114E47"/>
    <w:rsid w:val="00115A20"/>
    <w:rsid w:val="00116647"/>
    <w:rsid w:val="00116917"/>
    <w:rsid w:val="00116C36"/>
    <w:rsid w:val="00116F84"/>
    <w:rsid w:val="00117D7A"/>
    <w:rsid w:val="00120112"/>
    <w:rsid w:val="001207B0"/>
    <w:rsid w:val="00120EA1"/>
    <w:rsid w:val="0012181E"/>
    <w:rsid w:val="00121D48"/>
    <w:rsid w:val="00122048"/>
    <w:rsid w:val="001228A0"/>
    <w:rsid w:val="00123EFF"/>
    <w:rsid w:val="001241F7"/>
    <w:rsid w:val="00124D1A"/>
    <w:rsid w:val="001251AF"/>
    <w:rsid w:val="00125654"/>
    <w:rsid w:val="00125D0D"/>
    <w:rsid w:val="00125D9D"/>
    <w:rsid w:val="001263E8"/>
    <w:rsid w:val="00127810"/>
    <w:rsid w:val="00127CCF"/>
    <w:rsid w:val="001301E6"/>
    <w:rsid w:val="001304F2"/>
    <w:rsid w:val="00130C4C"/>
    <w:rsid w:val="00130CBD"/>
    <w:rsid w:val="001313EB"/>
    <w:rsid w:val="0013193A"/>
    <w:rsid w:val="0013222E"/>
    <w:rsid w:val="00133C48"/>
    <w:rsid w:val="00134904"/>
    <w:rsid w:val="001349AB"/>
    <w:rsid w:val="00134F4E"/>
    <w:rsid w:val="00134FB0"/>
    <w:rsid w:val="001350AC"/>
    <w:rsid w:val="001352EC"/>
    <w:rsid w:val="00135E0B"/>
    <w:rsid w:val="001361A8"/>
    <w:rsid w:val="001365A5"/>
    <w:rsid w:val="001368CC"/>
    <w:rsid w:val="001372CA"/>
    <w:rsid w:val="001375A3"/>
    <w:rsid w:val="00137AD8"/>
    <w:rsid w:val="00137AFD"/>
    <w:rsid w:val="00137DA1"/>
    <w:rsid w:val="0014012A"/>
    <w:rsid w:val="00140AD8"/>
    <w:rsid w:val="00140BE4"/>
    <w:rsid w:val="001411DE"/>
    <w:rsid w:val="00141399"/>
    <w:rsid w:val="00141A0B"/>
    <w:rsid w:val="00141AF4"/>
    <w:rsid w:val="00142E09"/>
    <w:rsid w:val="0014329C"/>
    <w:rsid w:val="0014377B"/>
    <w:rsid w:val="00143C27"/>
    <w:rsid w:val="00143D3A"/>
    <w:rsid w:val="0014427E"/>
    <w:rsid w:val="00145F65"/>
    <w:rsid w:val="001460E0"/>
    <w:rsid w:val="00146902"/>
    <w:rsid w:val="00146DFA"/>
    <w:rsid w:val="0015018D"/>
    <w:rsid w:val="00150228"/>
    <w:rsid w:val="001502C3"/>
    <w:rsid w:val="001504E8"/>
    <w:rsid w:val="00150536"/>
    <w:rsid w:val="00150FC4"/>
    <w:rsid w:val="00151D3F"/>
    <w:rsid w:val="001533B2"/>
    <w:rsid w:val="001534CA"/>
    <w:rsid w:val="0015369A"/>
    <w:rsid w:val="0015386A"/>
    <w:rsid w:val="001540F9"/>
    <w:rsid w:val="00154E90"/>
    <w:rsid w:val="001557A9"/>
    <w:rsid w:val="00155878"/>
    <w:rsid w:val="0015599D"/>
    <w:rsid w:val="00155A36"/>
    <w:rsid w:val="0015755C"/>
    <w:rsid w:val="001600C9"/>
    <w:rsid w:val="00160308"/>
    <w:rsid w:val="0016052B"/>
    <w:rsid w:val="00160695"/>
    <w:rsid w:val="00160957"/>
    <w:rsid w:val="00160B56"/>
    <w:rsid w:val="0016159C"/>
    <w:rsid w:val="00161833"/>
    <w:rsid w:val="00161E62"/>
    <w:rsid w:val="00162797"/>
    <w:rsid w:val="00162A20"/>
    <w:rsid w:val="00164039"/>
    <w:rsid w:val="00164CD1"/>
    <w:rsid w:val="001655BD"/>
    <w:rsid w:val="00165810"/>
    <w:rsid w:val="00165E36"/>
    <w:rsid w:val="00165F21"/>
    <w:rsid w:val="0016614B"/>
    <w:rsid w:val="001665FD"/>
    <w:rsid w:val="00167073"/>
    <w:rsid w:val="00167996"/>
    <w:rsid w:val="00167A72"/>
    <w:rsid w:val="001700D6"/>
    <w:rsid w:val="0017013A"/>
    <w:rsid w:val="0017080F"/>
    <w:rsid w:val="00170972"/>
    <w:rsid w:val="00170BD4"/>
    <w:rsid w:val="001711E3"/>
    <w:rsid w:val="00171F36"/>
    <w:rsid w:val="00172464"/>
    <w:rsid w:val="00172600"/>
    <w:rsid w:val="00172614"/>
    <w:rsid w:val="00172AA4"/>
    <w:rsid w:val="0017308E"/>
    <w:rsid w:val="00173309"/>
    <w:rsid w:val="0017357E"/>
    <w:rsid w:val="001735A8"/>
    <w:rsid w:val="00173881"/>
    <w:rsid w:val="00173D64"/>
    <w:rsid w:val="001740E5"/>
    <w:rsid w:val="00174587"/>
    <w:rsid w:val="0017474C"/>
    <w:rsid w:val="00174783"/>
    <w:rsid w:val="0017506B"/>
    <w:rsid w:val="00175CF4"/>
    <w:rsid w:val="00176390"/>
    <w:rsid w:val="001763FA"/>
    <w:rsid w:val="001763FC"/>
    <w:rsid w:val="00176592"/>
    <w:rsid w:val="00176806"/>
    <w:rsid w:val="001769A3"/>
    <w:rsid w:val="00176E7D"/>
    <w:rsid w:val="00177026"/>
    <w:rsid w:val="00177187"/>
    <w:rsid w:val="001773BC"/>
    <w:rsid w:val="00180887"/>
    <w:rsid w:val="00180A83"/>
    <w:rsid w:val="001813AB"/>
    <w:rsid w:val="001819C6"/>
    <w:rsid w:val="00181B78"/>
    <w:rsid w:val="0018211C"/>
    <w:rsid w:val="001821F8"/>
    <w:rsid w:val="00182CBE"/>
    <w:rsid w:val="001831B3"/>
    <w:rsid w:val="001845FA"/>
    <w:rsid w:val="0018522B"/>
    <w:rsid w:val="001854A8"/>
    <w:rsid w:val="00185D40"/>
    <w:rsid w:val="00186C17"/>
    <w:rsid w:val="001873A2"/>
    <w:rsid w:val="00190180"/>
    <w:rsid w:val="00190A43"/>
    <w:rsid w:val="00190D0B"/>
    <w:rsid w:val="00190EBA"/>
    <w:rsid w:val="001912FB"/>
    <w:rsid w:val="00191608"/>
    <w:rsid w:val="00191664"/>
    <w:rsid w:val="00191AB0"/>
    <w:rsid w:val="00192065"/>
    <w:rsid w:val="001941AA"/>
    <w:rsid w:val="001948FD"/>
    <w:rsid w:val="00194F73"/>
    <w:rsid w:val="0019515D"/>
    <w:rsid w:val="00195EC2"/>
    <w:rsid w:val="00195F99"/>
    <w:rsid w:val="0019786E"/>
    <w:rsid w:val="001A016C"/>
    <w:rsid w:val="001A0422"/>
    <w:rsid w:val="001A0556"/>
    <w:rsid w:val="001A102F"/>
    <w:rsid w:val="001A1A27"/>
    <w:rsid w:val="001A1ED0"/>
    <w:rsid w:val="001A2F07"/>
    <w:rsid w:val="001A3141"/>
    <w:rsid w:val="001A346C"/>
    <w:rsid w:val="001A35A6"/>
    <w:rsid w:val="001A368A"/>
    <w:rsid w:val="001A3963"/>
    <w:rsid w:val="001A41DF"/>
    <w:rsid w:val="001A43F5"/>
    <w:rsid w:val="001A4E0E"/>
    <w:rsid w:val="001A4E8C"/>
    <w:rsid w:val="001A4EF7"/>
    <w:rsid w:val="001A4F0A"/>
    <w:rsid w:val="001A4F6E"/>
    <w:rsid w:val="001A5ABD"/>
    <w:rsid w:val="001A5CAF"/>
    <w:rsid w:val="001A5CE0"/>
    <w:rsid w:val="001A60E2"/>
    <w:rsid w:val="001A69F0"/>
    <w:rsid w:val="001A79AA"/>
    <w:rsid w:val="001A7F95"/>
    <w:rsid w:val="001B0770"/>
    <w:rsid w:val="001B07B0"/>
    <w:rsid w:val="001B082F"/>
    <w:rsid w:val="001B0992"/>
    <w:rsid w:val="001B0AC4"/>
    <w:rsid w:val="001B1120"/>
    <w:rsid w:val="001B15E2"/>
    <w:rsid w:val="001B163A"/>
    <w:rsid w:val="001B1697"/>
    <w:rsid w:val="001B253D"/>
    <w:rsid w:val="001B277C"/>
    <w:rsid w:val="001B2C6A"/>
    <w:rsid w:val="001B2F19"/>
    <w:rsid w:val="001B35ED"/>
    <w:rsid w:val="001B369D"/>
    <w:rsid w:val="001B37D9"/>
    <w:rsid w:val="001B450E"/>
    <w:rsid w:val="001B46DB"/>
    <w:rsid w:val="001B4F75"/>
    <w:rsid w:val="001B5CA7"/>
    <w:rsid w:val="001B5DDB"/>
    <w:rsid w:val="001B62D3"/>
    <w:rsid w:val="001B6E4A"/>
    <w:rsid w:val="001B71B9"/>
    <w:rsid w:val="001B74F4"/>
    <w:rsid w:val="001B75DC"/>
    <w:rsid w:val="001C0136"/>
    <w:rsid w:val="001C0A6E"/>
    <w:rsid w:val="001C0AD1"/>
    <w:rsid w:val="001C0BCC"/>
    <w:rsid w:val="001C117D"/>
    <w:rsid w:val="001C1F9C"/>
    <w:rsid w:val="001C226A"/>
    <w:rsid w:val="001C2303"/>
    <w:rsid w:val="001C236E"/>
    <w:rsid w:val="001C29E7"/>
    <w:rsid w:val="001C32C6"/>
    <w:rsid w:val="001C359A"/>
    <w:rsid w:val="001C3E2D"/>
    <w:rsid w:val="001C48C7"/>
    <w:rsid w:val="001C4A9E"/>
    <w:rsid w:val="001C61B8"/>
    <w:rsid w:val="001C6CAB"/>
    <w:rsid w:val="001C6CC1"/>
    <w:rsid w:val="001C7130"/>
    <w:rsid w:val="001C7E70"/>
    <w:rsid w:val="001D0068"/>
    <w:rsid w:val="001D01C6"/>
    <w:rsid w:val="001D03EF"/>
    <w:rsid w:val="001D050C"/>
    <w:rsid w:val="001D092F"/>
    <w:rsid w:val="001D0DEB"/>
    <w:rsid w:val="001D1A72"/>
    <w:rsid w:val="001D1AEF"/>
    <w:rsid w:val="001D2426"/>
    <w:rsid w:val="001D244E"/>
    <w:rsid w:val="001D24F1"/>
    <w:rsid w:val="001D3AD1"/>
    <w:rsid w:val="001D478B"/>
    <w:rsid w:val="001D4970"/>
    <w:rsid w:val="001D5C15"/>
    <w:rsid w:val="001D5D5D"/>
    <w:rsid w:val="001D5E02"/>
    <w:rsid w:val="001D5F02"/>
    <w:rsid w:val="001D6186"/>
    <w:rsid w:val="001D62AF"/>
    <w:rsid w:val="001D633D"/>
    <w:rsid w:val="001D637E"/>
    <w:rsid w:val="001D6652"/>
    <w:rsid w:val="001D69E5"/>
    <w:rsid w:val="001D6B3D"/>
    <w:rsid w:val="001D7104"/>
    <w:rsid w:val="001D725E"/>
    <w:rsid w:val="001E075F"/>
    <w:rsid w:val="001E0933"/>
    <w:rsid w:val="001E14E8"/>
    <w:rsid w:val="001E1627"/>
    <w:rsid w:val="001E18BD"/>
    <w:rsid w:val="001E1B07"/>
    <w:rsid w:val="001E1DBA"/>
    <w:rsid w:val="001E1EF2"/>
    <w:rsid w:val="001E290B"/>
    <w:rsid w:val="001E3055"/>
    <w:rsid w:val="001E385F"/>
    <w:rsid w:val="001E39E4"/>
    <w:rsid w:val="001E490C"/>
    <w:rsid w:val="001E4C68"/>
    <w:rsid w:val="001E50FD"/>
    <w:rsid w:val="001E5310"/>
    <w:rsid w:val="001E59DC"/>
    <w:rsid w:val="001E5DD7"/>
    <w:rsid w:val="001E5EEE"/>
    <w:rsid w:val="001E7358"/>
    <w:rsid w:val="001E7C72"/>
    <w:rsid w:val="001E7EDD"/>
    <w:rsid w:val="001E7FA4"/>
    <w:rsid w:val="001F02CD"/>
    <w:rsid w:val="001F0B7F"/>
    <w:rsid w:val="001F0CD0"/>
    <w:rsid w:val="001F0F71"/>
    <w:rsid w:val="001F19D1"/>
    <w:rsid w:val="001F1B69"/>
    <w:rsid w:val="001F1D9A"/>
    <w:rsid w:val="001F1DC9"/>
    <w:rsid w:val="001F22E3"/>
    <w:rsid w:val="001F2740"/>
    <w:rsid w:val="001F2C3A"/>
    <w:rsid w:val="001F2F48"/>
    <w:rsid w:val="001F3046"/>
    <w:rsid w:val="001F3531"/>
    <w:rsid w:val="001F3696"/>
    <w:rsid w:val="001F42FF"/>
    <w:rsid w:val="001F44B4"/>
    <w:rsid w:val="001F44D3"/>
    <w:rsid w:val="001F4510"/>
    <w:rsid w:val="001F58D3"/>
    <w:rsid w:val="001F65A4"/>
    <w:rsid w:val="001F65E0"/>
    <w:rsid w:val="001F68E6"/>
    <w:rsid w:val="001F6EE3"/>
    <w:rsid w:val="001F7362"/>
    <w:rsid w:val="001F7AE9"/>
    <w:rsid w:val="001F7CFD"/>
    <w:rsid w:val="00200D78"/>
    <w:rsid w:val="002011D5"/>
    <w:rsid w:val="00201C2D"/>
    <w:rsid w:val="00203367"/>
    <w:rsid w:val="00204438"/>
    <w:rsid w:val="00204A44"/>
    <w:rsid w:val="002058E6"/>
    <w:rsid w:val="00206147"/>
    <w:rsid w:val="002064F3"/>
    <w:rsid w:val="002069A8"/>
    <w:rsid w:val="00206EE7"/>
    <w:rsid w:val="0020789A"/>
    <w:rsid w:val="00207C83"/>
    <w:rsid w:val="0021037A"/>
    <w:rsid w:val="00210869"/>
    <w:rsid w:val="002116AD"/>
    <w:rsid w:val="00211999"/>
    <w:rsid w:val="002123A4"/>
    <w:rsid w:val="00212504"/>
    <w:rsid w:val="002126CD"/>
    <w:rsid w:val="00213773"/>
    <w:rsid w:val="00213B0E"/>
    <w:rsid w:val="00213CBC"/>
    <w:rsid w:val="002141FB"/>
    <w:rsid w:val="002146CA"/>
    <w:rsid w:val="002147D6"/>
    <w:rsid w:val="00214D23"/>
    <w:rsid w:val="00214DA1"/>
    <w:rsid w:val="002152B1"/>
    <w:rsid w:val="0021575B"/>
    <w:rsid w:val="00215783"/>
    <w:rsid w:val="002162C2"/>
    <w:rsid w:val="0021634C"/>
    <w:rsid w:val="0021669B"/>
    <w:rsid w:val="00216876"/>
    <w:rsid w:val="00216B9E"/>
    <w:rsid w:val="0022018A"/>
    <w:rsid w:val="002203C7"/>
    <w:rsid w:val="00220ADA"/>
    <w:rsid w:val="00220B7B"/>
    <w:rsid w:val="0022180E"/>
    <w:rsid w:val="002220BA"/>
    <w:rsid w:val="002227B3"/>
    <w:rsid w:val="00222CE3"/>
    <w:rsid w:val="002235D7"/>
    <w:rsid w:val="002239C4"/>
    <w:rsid w:val="00223FAF"/>
    <w:rsid w:val="00224415"/>
    <w:rsid w:val="00224617"/>
    <w:rsid w:val="002246E2"/>
    <w:rsid w:val="00225325"/>
    <w:rsid w:val="00225591"/>
    <w:rsid w:val="00225690"/>
    <w:rsid w:val="0022574F"/>
    <w:rsid w:val="0022593A"/>
    <w:rsid w:val="00225B52"/>
    <w:rsid w:val="00225CE3"/>
    <w:rsid w:val="00225D4B"/>
    <w:rsid w:val="002260D7"/>
    <w:rsid w:val="002262D4"/>
    <w:rsid w:val="00226B17"/>
    <w:rsid w:val="00226E02"/>
    <w:rsid w:val="0022712B"/>
    <w:rsid w:val="0022743C"/>
    <w:rsid w:val="002276A4"/>
    <w:rsid w:val="002277BE"/>
    <w:rsid w:val="00227843"/>
    <w:rsid w:val="00227A99"/>
    <w:rsid w:val="00227C8B"/>
    <w:rsid w:val="00227F5F"/>
    <w:rsid w:val="00230A44"/>
    <w:rsid w:val="00230A52"/>
    <w:rsid w:val="00230FA5"/>
    <w:rsid w:val="00231131"/>
    <w:rsid w:val="0023170E"/>
    <w:rsid w:val="00231839"/>
    <w:rsid w:val="0023262B"/>
    <w:rsid w:val="002326EF"/>
    <w:rsid w:val="00232A31"/>
    <w:rsid w:val="00232A4E"/>
    <w:rsid w:val="00233357"/>
    <w:rsid w:val="00233A7D"/>
    <w:rsid w:val="0023445B"/>
    <w:rsid w:val="002345EF"/>
    <w:rsid w:val="002346E5"/>
    <w:rsid w:val="0023482B"/>
    <w:rsid w:val="0023482C"/>
    <w:rsid w:val="00234AA4"/>
    <w:rsid w:val="00234C7F"/>
    <w:rsid w:val="00234E62"/>
    <w:rsid w:val="00234F8F"/>
    <w:rsid w:val="00235BD0"/>
    <w:rsid w:val="0023658F"/>
    <w:rsid w:val="00236872"/>
    <w:rsid w:val="00236890"/>
    <w:rsid w:val="002368C0"/>
    <w:rsid w:val="00236CC2"/>
    <w:rsid w:val="00236CDE"/>
    <w:rsid w:val="0023763A"/>
    <w:rsid w:val="0023794C"/>
    <w:rsid w:val="00237D7D"/>
    <w:rsid w:val="002404D1"/>
    <w:rsid w:val="002405C8"/>
    <w:rsid w:val="00240ECB"/>
    <w:rsid w:val="002415DA"/>
    <w:rsid w:val="0024171E"/>
    <w:rsid w:val="00241857"/>
    <w:rsid w:val="00241B9C"/>
    <w:rsid w:val="00241DAA"/>
    <w:rsid w:val="0024285E"/>
    <w:rsid w:val="00242F79"/>
    <w:rsid w:val="00242FA8"/>
    <w:rsid w:val="0024310E"/>
    <w:rsid w:val="00243204"/>
    <w:rsid w:val="00243AC5"/>
    <w:rsid w:val="0024405D"/>
    <w:rsid w:val="00244516"/>
    <w:rsid w:val="00244CF8"/>
    <w:rsid w:val="002454F0"/>
    <w:rsid w:val="002458EE"/>
    <w:rsid w:val="0024593E"/>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0E8"/>
    <w:rsid w:val="00250260"/>
    <w:rsid w:val="00250FD5"/>
    <w:rsid w:val="00251167"/>
    <w:rsid w:val="002511BA"/>
    <w:rsid w:val="00251489"/>
    <w:rsid w:val="002526B9"/>
    <w:rsid w:val="00252DD3"/>
    <w:rsid w:val="0025394F"/>
    <w:rsid w:val="00253B97"/>
    <w:rsid w:val="002544CB"/>
    <w:rsid w:val="00254724"/>
    <w:rsid w:val="00255D8E"/>
    <w:rsid w:val="0025614A"/>
    <w:rsid w:val="00256584"/>
    <w:rsid w:val="00256C48"/>
    <w:rsid w:val="00256EF8"/>
    <w:rsid w:val="002570D5"/>
    <w:rsid w:val="00257177"/>
    <w:rsid w:val="00257730"/>
    <w:rsid w:val="00257803"/>
    <w:rsid w:val="00257B74"/>
    <w:rsid w:val="00257C8D"/>
    <w:rsid w:val="00257CD8"/>
    <w:rsid w:val="0026101A"/>
    <w:rsid w:val="002610D8"/>
    <w:rsid w:val="00261A6C"/>
    <w:rsid w:val="0026225E"/>
    <w:rsid w:val="002629E2"/>
    <w:rsid w:val="00262BA8"/>
    <w:rsid w:val="00262BC8"/>
    <w:rsid w:val="002641B4"/>
    <w:rsid w:val="002641D9"/>
    <w:rsid w:val="002643C5"/>
    <w:rsid w:val="00264917"/>
    <w:rsid w:val="002651EC"/>
    <w:rsid w:val="0026527F"/>
    <w:rsid w:val="00265DC2"/>
    <w:rsid w:val="0026638C"/>
    <w:rsid w:val="002663F0"/>
    <w:rsid w:val="00266540"/>
    <w:rsid w:val="00266F00"/>
    <w:rsid w:val="002670EF"/>
    <w:rsid w:val="002671A2"/>
    <w:rsid w:val="002675E1"/>
    <w:rsid w:val="00267A38"/>
    <w:rsid w:val="00267F5F"/>
    <w:rsid w:val="00267F72"/>
    <w:rsid w:val="00270965"/>
    <w:rsid w:val="00271E5D"/>
    <w:rsid w:val="00272082"/>
    <w:rsid w:val="0027349D"/>
    <w:rsid w:val="00273516"/>
    <w:rsid w:val="00273985"/>
    <w:rsid w:val="00273B82"/>
    <w:rsid w:val="00273E7A"/>
    <w:rsid w:val="00274372"/>
    <w:rsid w:val="0027475A"/>
    <w:rsid w:val="00275E59"/>
    <w:rsid w:val="00275F56"/>
    <w:rsid w:val="002765B7"/>
    <w:rsid w:val="00276803"/>
    <w:rsid w:val="00276EAA"/>
    <w:rsid w:val="00277713"/>
    <w:rsid w:val="00277DBC"/>
    <w:rsid w:val="00277F64"/>
    <w:rsid w:val="002800AB"/>
    <w:rsid w:val="00280550"/>
    <w:rsid w:val="00281063"/>
    <w:rsid w:val="00281676"/>
    <w:rsid w:val="00281737"/>
    <w:rsid w:val="00281BE4"/>
    <w:rsid w:val="00281E32"/>
    <w:rsid w:val="00282479"/>
    <w:rsid w:val="0028276E"/>
    <w:rsid w:val="002827BD"/>
    <w:rsid w:val="002827F3"/>
    <w:rsid w:val="002829BD"/>
    <w:rsid w:val="00282B3E"/>
    <w:rsid w:val="00282C1F"/>
    <w:rsid w:val="00282C6C"/>
    <w:rsid w:val="00283B7F"/>
    <w:rsid w:val="0028468D"/>
    <w:rsid w:val="0028470C"/>
    <w:rsid w:val="00284B5F"/>
    <w:rsid w:val="0028596B"/>
    <w:rsid w:val="00285FB9"/>
    <w:rsid w:val="00286219"/>
    <w:rsid w:val="00286A03"/>
    <w:rsid w:val="00287514"/>
    <w:rsid w:val="00287792"/>
    <w:rsid w:val="0028784F"/>
    <w:rsid w:val="0028791B"/>
    <w:rsid w:val="00287E44"/>
    <w:rsid w:val="00287F79"/>
    <w:rsid w:val="002900A9"/>
    <w:rsid w:val="00290C43"/>
    <w:rsid w:val="00290C90"/>
    <w:rsid w:val="002916DB"/>
    <w:rsid w:val="0029190A"/>
    <w:rsid w:val="00291CAC"/>
    <w:rsid w:val="00293142"/>
    <w:rsid w:val="00293271"/>
    <w:rsid w:val="002933D6"/>
    <w:rsid w:val="00293490"/>
    <w:rsid w:val="00293587"/>
    <w:rsid w:val="00293896"/>
    <w:rsid w:val="00293E85"/>
    <w:rsid w:val="00293ED1"/>
    <w:rsid w:val="0029430C"/>
    <w:rsid w:val="00294A06"/>
    <w:rsid w:val="00294FFB"/>
    <w:rsid w:val="002954FD"/>
    <w:rsid w:val="00296242"/>
    <w:rsid w:val="00296CE6"/>
    <w:rsid w:val="00296F34"/>
    <w:rsid w:val="00297186"/>
    <w:rsid w:val="002972F1"/>
    <w:rsid w:val="002973DF"/>
    <w:rsid w:val="00297D6A"/>
    <w:rsid w:val="002A0190"/>
    <w:rsid w:val="002A04D3"/>
    <w:rsid w:val="002A0983"/>
    <w:rsid w:val="002A0BF5"/>
    <w:rsid w:val="002A0CB3"/>
    <w:rsid w:val="002A1128"/>
    <w:rsid w:val="002A158C"/>
    <w:rsid w:val="002A24EB"/>
    <w:rsid w:val="002A2C5E"/>
    <w:rsid w:val="002A2D66"/>
    <w:rsid w:val="002A428E"/>
    <w:rsid w:val="002A46FA"/>
    <w:rsid w:val="002A5227"/>
    <w:rsid w:val="002A57BC"/>
    <w:rsid w:val="002A581C"/>
    <w:rsid w:val="002A5C5C"/>
    <w:rsid w:val="002A6D9B"/>
    <w:rsid w:val="002B00FE"/>
    <w:rsid w:val="002B0E27"/>
    <w:rsid w:val="002B0F1B"/>
    <w:rsid w:val="002B10B6"/>
    <w:rsid w:val="002B10D3"/>
    <w:rsid w:val="002B1113"/>
    <w:rsid w:val="002B1867"/>
    <w:rsid w:val="002B1EA3"/>
    <w:rsid w:val="002B2439"/>
    <w:rsid w:val="002B2A55"/>
    <w:rsid w:val="002B2DA9"/>
    <w:rsid w:val="002B30C8"/>
    <w:rsid w:val="002B31FA"/>
    <w:rsid w:val="002B33D5"/>
    <w:rsid w:val="002B3A06"/>
    <w:rsid w:val="002B4552"/>
    <w:rsid w:val="002B4C84"/>
    <w:rsid w:val="002B527A"/>
    <w:rsid w:val="002B5746"/>
    <w:rsid w:val="002B5B4A"/>
    <w:rsid w:val="002B62CB"/>
    <w:rsid w:val="002B63D3"/>
    <w:rsid w:val="002B6815"/>
    <w:rsid w:val="002B6AB1"/>
    <w:rsid w:val="002B71D1"/>
    <w:rsid w:val="002C0144"/>
    <w:rsid w:val="002C094A"/>
    <w:rsid w:val="002C0C27"/>
    <w:rsid w:val="002C0CAC"/>
    <w:rsid w:val="002C0FF7"/>
    <w:rsid w:val="002C1011"/>
    <w:rsid w:val="002C1F28"/>
    <w:rsid w:val="002C1FC8"/>
    <w:rsid w:val="002C254B"/>
    <w:rsid w:val="002C25DE"/>
    <w:rsid w:val="002C27E8"/>
    <w:rsid w:val="002C2ACB"/>
    <w:rsid w:val="002C2F60"/>
    <w:rsid w:val="002C3B5C"/>
    <w:rsid w:val="002C3C47"/>
    <w:rsid w:val="002C41CB"/>
    <w:rsid w:val="002C553E"/>
    <w:rsid w:val="002C5728"/>
    <w:rsid w:val="002C5C58"/>
    <w:rsid w:val="002C6A1A"/>
    <w:rsid w:val="002C6B67"/>
    <w:rsid w:val="002C73EE"/>
    <w:rsid w:val="002C7660"/>
    <w:rsid w:val="002C7718"/>
    <w:rsid w:val="002C77DB"/>
    <w:rsid w:val="002C77F7"/>
    <w:rsid w:val="002C7CD4"/>
    <w:rsid w:val="002D0321"/>
    <w:rsid w:val="002D0E7A"/>
    <w:rsid w:val="002D11B5"/>
    <w:rsid w:val="002D155B"/>
    <w:rsid w:val="002D1AD3"/>
    <w:rsid w:val="002D40A5"/>
    <w:rsid w:val="002D441D"/>
    <w:rsid w:val="002D47FE"/>
    <w:rsid w:val="002D48E1"/>
    <w:rsid w:val="002D61C8"/>
    <w:rsid w:val="002D629E"/>
    <w:rsid w:val="002D6E9A"/>
    <w:rsid w:val="002D726B"/>
    <w:rsid w:val="002D75DB"/>
    <w:rsid w:val="002E0067"/>
    <w:rsid w:val="002E02D0"/>
    <w:rsid w:val="002E0489"/>
    <w:rsid w:val="002E04C0"/>
    <w:rsid w:val="002E0544"/>
    <w:rsid w:val="002E1DF4"/>
    <w:rsid w:val="002E1ECD"/>
    <w:rsid w:val="002E25C7"/>
    <w:rsid w:val="002E2C3B"/>
    <w:rsid w:val="002E3C37"/>
    <w:rsid w:val="002E4BA7"/>
    <w:rsid w:val="002E4D0D"/>
    <w:rsid w:val="002E4D3D"/>
    <w:rsid w:val="002E5CA7"/>
    <w:rsid w:val="002E6556"/>
    <w:rsid w:val="002E668B"/>
    <w:rsid w:val="002E70F4"/>
    <w:rsid w:val="002E7235"/>
    <w:rsid w:val="002E73DC"/>
    <w:rsid w:val="002E760C"/>
    <w:rsid w:val="002E7ADB"/>
    <w:rsid w:val="002E7DEA"/>
    <w:rsid w:val="002F0276"/>
    <w:rsid w:val="002F0374"/>
    <w:rsid w:val="002F10E7"/>
    <w:rsid w:val="002F11F9"/>
    <w:rsid w:val="002F1274"/>
    <w:rsid w:val="002F13E0"/>
    <w:rsid w:val="002F16CB"/>
    <w:rsid w:val="002F1742"/>
    <w:rsid w:val="002F1AB0"/>
    <w:rsid w:val="002F2A4A"/>
    <w:rsid w:val="002F3C64"/>
    <w:rsid w:val="002F4431"/>
    <w:rsid w:val="002F47E7"/>
    <w:rsid w:val="002F510D"/>
    <w:rsid w:val="002F563E"/>
    <w:rsid w:val="002F5F61"/>
    <w:rsid w:val="002F7C4B"/>
    <w:rsid w:val="00300081"/>
    <w:rsid w:val="0030023E"/>
    <w:rsid w:val="0030059B"/>
    <w:rsid w:val="00300FC5"/>
    <w:rsid w:val="00301181"/>
    <w:rsid w:val="00301277"/>
    <w:rsid w:val="00301837"/>
    <w:rsid w:val="003019CD"/>
    <w:rsid w:val="0030341B"/>
    <w:rsid w:val="003034D2"/>
    <w:rsid w:val="0030373E"/>
    <w:rsid w:val="00303A1B"/>
    <w:rsid w:val="003045BE"/>
    <w:rsid w:val="00304F2D"/>
    <w:rsid w:val="00305F53"/>
    <w:rsid w:val="003060F3"/>
    <w:rsid w:val="0030612A"/>
    <w:rsid w:val="003066ED"/>
    <w:rsid w:val="003068EC"/>
    <w:rsid w:val="00306C01"/>
    <w:rsid w:val="0030759B"/>
    <w:rsid w:val="003076C4"/>
    <w:rsid w:val="003079A6"/>
    <w:rsid w:val="003100FB"/>
    <w:rsid w:val="00310120"/>
    <w:rsid w:val="003106C8"/>
    <w:rsid w:val="00310E3F"/>
    <w:rsid w:val="00311270"/>
    <w:rsid w:val="003116CE"/>
    <w:rsid w:val="0031175D"/>
    <w:rsid w:val="003119DD"/>
    <w:rsid w:val="00312297"/>
    <w:rsid w:val="00313367"/>
    <w:rsid w:val="0031354F"/>
    <w:rsid w:val="00314614"/>
    <w:rsid w:val="00314739"/>
    <w:rsid w:val="00314773"/>
    <w:rsid w:val="00314F8A"/>
    <w:rsid w:val="003151F3"/>
    <w:rsid w:val="003152FA"/>
    <w:rsid w:val="003154DB"/>
    <w:rsid w:val="003161CD"/>
    <w:rsid w:val="00316353"/>
    <w:rsid w:val="00316779"/>
    <w:rsid w:val="003179B5"/>
    <w:rsid w:val="00317DA5"/>
    <w:rsid w:val="003201D0"/>
    <w:rsid w:val="003205E0"/>
    <w:rsid w:val="00321386"/>
    <w:rsid w:val="00321788"/>
    <w:rsid w:val="00321848"/>
    <w:rsid w:val="00321CB3"/>
    <w:rsid w:val="00322341"/>
    <w:rsid w:val="0032345B"/>
    <w:rsid w:val="003235FE"/>
    <w:rsid w:val="00324FF5"/>
    <w:rsid w:val="0032529C"/>
    <w:rsid w:val="003256A0"/>
    <w:rsid w:val="003265DE"/>
    <w:rsid w:val="00326A08"/>
    <w:rsid w:val="00327038"/>
    <w:rsid w:val="003275D6"/>
    <w:rsid w:val="0032767E"/>
    <w:rsid w:val="003277C6"/>
    <w:rsid w:val="00327845"/>
    <w:rsid w:val="00327B0E"/>
    <w:rsid w:val="003302CF"/>
    <w:rsid w:val="00330559"/>
    <w:rsid w:val="003308C7"/>
    <w:rsid w:val="00330B86"/>
    <w:rsid w:val="00330DB5"/>
    <w:rsid w:val="00331306"/>
    <w:rsid w:val="00331659"/>
    <w:rsid w:val="003319C5"/>
    <w:rsid w:val="00331A58"/>
    <w:rsid w:val="00331F49"/>
    <w:rsid w:val="003320F9"/>
    <w:rsid w:val="003327BD"/>
    <w:rsid w:val="003338EB"/>
    <w:rsid w:val="00334446"/>
    <w:rsid w:val="0033444C"/>
    <w:rsid w:val="00334725"/>
    <w:rsid w:val="00334A38"/>
    <w:rsid w:val="00334AF1"/>
    <w:rsid w:val="003353D5"/>
    <w:rsid w:val="0033579E"/>
    <w:rsid w:val="00335A53"/>
    <w:rsid w:val="003363A3"/>
    <w:rsid w:val="003365FA"/>
    <w:rsid w:val="00336E1C"/>
    <w:rsid w:val="003379A4"/>
    <w:rsid w:val="00337BB0"/>
    <w:rsid w:val="00337CB6"/>
    <w:rsid w:val="003403AE"/>
    <w:rsid w:val="003409BD"/>
    <w:rsid w:val="0034111B"/>
    <w:rsid w:val="00342559"/>
    <w:rsid w:val="00342D1A"/>
    <w:rsid w:val="0034339B"/>
    <w:rsid w:val="003434B2"/>
    <w:rsid w:val="00343860"/>
    <w:rsid w:val="00343AB5"/>
    <w:rsid w:val="00344CEF"/>
    <w:rsid w:val="00344F44"/>
    <w:rsid w:val="0034511C"/>
    <w:rsid w:val="00345191"/>
    <w:rsid w:val="003451D1"/>
    <w:rsid w:val="00345243"/>
    <w:rsid w:val="003452A3"/>
    <w:rsid w:val="0034550A"/>
    <w:rsid w:val="003459EF"/>
    <w:rsid w:val="00345B7B"/>
    <w:rsid w:val="0034620C"/>
    <w:rsid w:val="00346579"/>
    <w:rsid w:val="00346C50"/>
    <w:rsid w:val="00346F52"/>
    <w:rsid w:val="00347104"/>
    <w:rsid w:val="003474B3"/>
    <w:rsid w:val="0034772A"/>
    <w:rsid w:val="00347A1B"/>
    <w:rsid w:val="00347CA3"/>
    <w:rsid w:val="00347F9F"/>
    <w:rsid w:val="00351032"/>
    <w:rsid w:val="00351265"/>
    <w:rsid w:val="0035149A"/>
    <w:rsid w:val="00351668"/>
    <w:rsid w:val="00351C04"/>
    <w:rsid w:val="00351E59"/>
    <w:rsid w:val="00352775"/>
    <w:rsid w:val="00352E7C"/>
    <w:rsid w:val="00352F14"/>
    <w:rsid w:val="003530B3"/>
    <w:rsid w:val="0035546F"/>
    <w:rsid w:val="003554BD"/>
    <w:rsid w:val="003554CE"/>
    <w:rsid w:val="00356586"/>
    <w:rsid w:val="00356792"/>
    <w:rsid w:val="003571E2"/>
    <w:rsid w:val="00357387"/>
    <w:rsid w:val="00357919"/>
    <w:rsid w:val="00357DD8"/>
    <w:rsid w:val="00357FBE"/>
    <w:rsid w:val="003601CE"/>
    <w:rsid w:val="003608EA"/>
    <w:rsid w:val="00360A82"/>
    <w:rsid w:val="00361062"/>
    <w:rsid w:val="003610F5"/>
    <w:rsid w:val="003616F4"/>
    <w:rsid w:val="00362A98"/>
    <w:rsid w:val="00362B5E"/>
    <w:rsid w:val="003638E9"/>
    <w:rsid w:val="003643A5"/>
    <w:rsid w:val="00364D97"/>
    <w:rsid w:val="0036533F"/>
    <w:rsid w:val="00365370"/>
    <w:rsid w:val="00365C2D"/>
    <w:rsid w:val="00365D65"/>
    <w:rsid w:val="003661C9"/>
    <w:rsid w:val="0036620A"/>
    <w:rsid w:val="003662D8"/>
    <w:rsid w:val="0036693A"/>
    <w:rsid w:val="00366AFA"/>
    <w:rsid w:val="00366C31"/>
    <w:rsid w:val="00366E4E"/>
    <w:rsid w:val="003676E5"/>
    <w:rsid w:val="003676EA"/>
    <w:rsid w:val="00367886"/>
    <w:rsid w:val="00367AD9"/>
    <w:rsid w:val="00367BBB"/>
    <w:rsid w:val="00367BD9"/>
    <w:rsid w:val="00367CC7"/>
    <w:rsid w:val="00370219"/>
    <w:rsid w:val="0037051E"/>
    <w:rsid w:val="00370859"/>
    <w:rsid w:val="00370D93"/>
    <w:rsid w:val="00371208"/>
    <w:rsid w:val="0037175D"/>
    <w:rsid w:val="003718D9"/>
    <w:rsid w:val="0037207D"/>
    <w:rsid w:val="00372389"/>
    <w:rsid w:val="00372564"/>
    <w:rsid w:val="00372644"/>
    <w:rsid w:val="0037334A"/>
    <w:rsid w:val="003734B3"/>
    <w:rsid w:val="0037383A"/>
    <w:rsid w:val="00373B90"/>
    <w:rsid w:val="0037406E"/>
    <w:rsid w:val="0037443B"/>
    <w:rsid w:val="003747C7"/>
    <w:rsid w:val="00374D3E"/>
    <w:rsid w:val="00375820"/>
    <w:rsid w:val="00375B14"/>
    <w:rsid w:val="00375D85"/>
    <w:rsid w:val="003760FD"/>
    <w:rsid w:val="003762F8"/>
    <w:rsid w:val="003769D5"/>
    <w:rsid w:val="00377475"/>
    <w:rsid w:val="00377A8C"/>
    <w:rsid w:val="0038054C"/>
    <w:rsid w:val="0038061C"/>
    <w:rsid w:val="0038098E"/>
    <w:rsid w:val="00381168"/>
    <w:rsid w:val="00381E3D"/>
    <w:rsid w:val="003825F4"/>
    <w:rsid w:val="00383181"/>
    <w:rsid w:val="003831C2"/>
    <w:rsid w:val="00383338"/>
    <w:rsid w:val="0038339B"/>
    <w:rsid w:val="00383701"/>
    <w:rsid w:val="003840B4"/>
    <w:rsid w:val="00384187"/>
    <w:rsid w:val="0038458A"/>
    <w:rsid w:val="00384744"/>
    <w:rsid w:val="00384900"/>
    <w:rsid w:val="00384D8F"/>
    <w:rsid w:val="00384DCE"/>
    <w:rsid w:val="00384EF8"/>
    <w:rsid w:val="00385052"/>
    <w:rsid w:val="00386891"/>
    <w:rsid w:val="00386A21"/>
    <w:rsid w:val="0038735C"/>
    <w:rsid w:val="003874B4"/>
    <w:rsid w:val="00387631"/>
    <w:rsid w:val="00387823"/>
    <w:rsid w:val="00390044"/>
    <w:rsid w:val="00390155"/>
    <w:rsid w:val="003903FB"/>
    <w:rsid w:val="00390644"/>
    <w:rsid w:val="0039066F"/>
    <w:rsid w:val="00390D50"/>
    <w:rsid w:val="00390EAD"/>
    <w:rsid w:val="00390EAF"/>
    <w:rsid w:val="0039196C"/>
    <w:rsid w:val="00391AC8"/>
    <w:rsid w:val="00391CBB"/>
    <w:rsid w:val="00391D90"/>
    <w:rsid w:val="00391DDE"/>
    <w:rsid w:val="0039208E"/>
    <w:rsid w:val="003923A6"/>
    <w:rsid w:val="0039257A"/>
    <w:rsid w:val="00393231"/>
    <w:rsid w:val="00393651"/>
    <w:rsid w:val="003936C9"/>
    <w:rsid w:val="0039372B"/>
    <w:rsid w:val="0039383D"/>
    <w:rsid w:val="00393FE6"/>
    <w:rsid w:val="00394170"/>
    <w:rsid w:val="00394A50"/>
    <w:rsid w:val="00394E37"/>
    <w:rsid w:val="00394FE8"/>
    <w:rsid w:val="00395069"/>
    <w:rsid w:val="003955AD"/>
    <w:rsid w:val="00395A0A"/>
    <w:rsid w:val="003966A2"/>
    <w:rsid w:val="00396A6C"/>
    <w:rsid w:val="00396C26"/>
    <w:rsid w:val="00396C46"/>
    <w:rsid w:val="00397340"/>
    <w:rsid w:val="00397B98"/>
    <w:rsid w:val="00397BF1"/>
    <w:rsid w:val="003A0A67"/>
    <w:rsid w:val="003A1273"/>
    <w:rsid w:val="003A1596"/>
    <w:rsid w:val="003A1FEA"/>
    <w:rsid w:val="003A2180"/>
    <w:rsid w:val="003A344A"/>
    <w:rsid w:val="003A3622"/>
    <w:rsid w:val="003A36D4"/>
    <w:rsid w:val="003A375F"/>
    <w:rsid w:val="003A4139"/>
    <w:rsid w:val="003A495B"/>
    <w:rsid w:val="003A4B2F"/>
    <w:rsid w:val="003A4C4A"/>
    <w:rsid w:val="003A4F9E"/>
    <w:rsid w:val="003A5033"/>
    <w:rsid w:val="003A53AA"/>
    <w:rsid w:val="003A5EEB"/>
    <w:rsid w:val="003A701E"/>
    <w:rsid w:val="003A7161"/>
    <w:rsid w:val="003A7200"/>
    <w:rsid w:val="003A75C6"/>
    <w:rsid w:val="003A79FF"/>
    <w:rsid w:val="003A7DFF"/>
    <w:rsid w:val="003B00E9"/>
    <w:rsid w:val="003B02DF"/>
    <w:rsid w:val="003B0574"/>
    <w:rsid w:val="003B0A8B"/>
    <w:rsid w:val="003B0BA1"/>
    <w:rsid w:val="003B0BBD"/>
    <w:rsid w:val="003B1083"/>
    <w:rsid w:val="003B12DB"/>
    <w:rsid w:val="003B172D"/>
    <w:rsid w:val="003B1C5D"/>
    <w:rsid w:val="003B1E13"/>
    <w:rsid w:val="003B1EAD"/>
    <w:rsid w:val="003B1F1C"/>
    <w:rsid w:val="003B23A8"/>
    <w:rsid w:val="003B256A"/>
    <w:rsid w:val="003B3822"/>
    <w:rsid w:val="003B3BAD"/>
    <w:rsid w:val="003B3E6B"/>
    <w:rsid w:val="003B3F02"/>
    <w:rsid w:val="003B3F64"/>
    <w:rsid w:val="003B4644"/>
    <w:rsid w:val="003B4B26"/>
    <w:rsid w:val="003B4E29"/>
    <w:rsid w:val="003B5306"/>
    <w:rsid w:val="003B5481"/>
    <w:rsid w:val="003B5757"/>
    <w:rsid w:val="003B6179"/>
    <w:rsid w:val="003B61DD"/>
    <w:rsid w:val="003B69D0"/>
    <w:rsid w:val="003B7B4D"/>
    <w:rsid w:val="003C0125"/>
    <w:rsid w:val="003C03F7"/>
    <w:rsid w:val="003C05CD"/>
    <w:rsid w:val="003C0FE5"/>
    <w:rsid w:val="003C1CAF"/>
    <w:rsid w:val="003C22D4"/>
    <w:rsid w:val="003C29AF"/>
    <w:rsid w:val="003C3757"/>
    <w:rsid w:val="003C3F73"/>
    <w:rsid w:val="003C40A2"/>
    <w:rsid w:val="003C42C7"/>
    <w:rsid w:val="003C4842"/>
    <w:rsid w:val="003C4EE0"/>
    <w:rsid w:val="003C531A"/>
    <w:rsid w:val="003C5519"/>
    <w:rsid w:val="003C5620"/>
    <w:rsid w:val="003C56D4"/>
    <w:rsid w:val="003C5A97"/>
    <w:rsid w:val="003C616B"/>
    <w:rsid w:val="003C681D"/>
    <w:rsid w:val="003C6BED"/>
    <w:rsid w:val="003C7965"/>
    <w:rsid w:val="003C7D06"/>
    <w:rsid w:val="003C7EF7"/>
    <w:rsid w:val="003D0E1F"/>
    <w:rsid w:val="003D1182"/>
    <w:rsid w:val="003D1A04"/>
    <w:rsid w:val="003D1AE0"/>
    <w:rsid w:val="003D203C"/>
    <w:rsid w:val="003D22DA"/>
    <w:rsid w:val="003D3779"/>
    <w:rsid w:val="003D425A"/>
    <w:rsid w:val="003D4866"/>
    <w:rsid w:val="003D507A"/>
    <w:rsid w:val="003D5723"/>
    <w:rsid w:val="003D6280"/>
    <w:rsid w:val="003D66CB"/>
    <w:rsid w:val="003D6837"/>
    <w:rsid w:val="003D687A"/>
    <w:rsid w:val="003D6E45"/>
    <w:rsid w:val="003D6F5B"/>
    <w:rsid w:val="003D7729"/>
    <w:rsid w:val="003D78D7"/>
    <w:rsid w:val="003D7A2D"/>
    <w:rsid w:val="003D7C91"/>
    <w:rsid w:val="003E043F"/>
    <w:rsid w:val="003E07F1"/>
    <w:rsid w:val="003E0E8C"/>
    <w:rsid w:val="003E113F"/>
    <w:rsid w:val="003E1317"/>
    <w:rsid w:val="003E1418"/>
    <w:rsid w:val="003E1E2B"/>
    <w:rsid w:val="003E4979"/>
    <w:rsid w:val="003E4B79"/>
    <w:rsid w:val="003E4B85"/>
    <w:rsid w:val="003E581F"/>
    <w:rsid w:val="003E5F16"/>
    <w:rsid w:val="003E634D"/>
    <w:rsid w:val="003E64BB"/>
    <w:rsid w:val="003E6AC1"/>
    <w:rsid w:val="003E7227"/>
    <w:rsid w:val="003E742E"/>
    <w:rsid w:val="003E7E6A"/>
    <w:rsid w:val="003E7EEA"/>
    <w:rsid w:val="003F01E7"/>
    <w:rsid w:val="003F1466"/>
    <w:rsid w:val="003F18CF"/>
    <w:rsid w:val="003F2520"/>
    <w:rsid w:val="003F2BFE"/>
    <w:rsid w:val="003F31D7"/>
    <w:rsid w:val="003F3A44"/>
    <w:rsid w:val="003F492A"/>
    <w:rsid w:val="003F5F0A"/>
    <w:rsid w:val="003F6DF4"/>
    <w:rsid w:val="003F7022"/>
    <w:rsid w:val="003F7263"/>
    <w:rsid w:val="003F78C3"/>
    <w:rsid w:val="003F7D77"/>
    <w:rsid w:val="003F7E03"/>
    <w:rsid w:val="003F7FDB"/>
    <w:rsid w:val="00400A5E"/>
    <w:rsid w:val="004015B0"/>
    <w:rsid w:val="004016AD"/>
    <w:rsid w:val="00401A15"/>
    <w:rsid w:val="00401C5B"/>
    <w:rsid w:val="00401C9B"/>
    <w:rsid w:val="00401DB1"/>
    <w:rsid w:val="004020FB"/>
    <w:rsid w:val="0040230D"/>
    <w:rsid w:val="004026ED"/>
    <w:rsid w:val="004028D0"/>
    <w:rsid w:val="00402940"/>
    <w:rsid w:val="00402C4B"/>
    <w:rsid w:val="00403226"/>
    <w:rsid w:val="00403827"/>
    <w:rsid w:val="004040E3"/>
    <w:rsid w:val="004044E9"/>
    <w:rsid w:val="00404D4D"/>
    <w:rsid w:val="004076B3"/>
    <w:rsid w:val="00407CDA"/>
    <w:rsid w:val="004100FD"/>
    <w:rsid w:val="0041029D"/>
    <w:rsid w:val="00410347"/>
    <w:rsid w:val="004104BF"/>
    <w:rsid w:val="0041068A"/>
    <w:rsid w:val="00410A13"/>
    <w:rsid w:val="00410DEC"/>
    <w:rsid w:val="0041138F"/>
    <w:rsid w:val="004118D5"/>
    <w:rsid w:val="00412EF3"/>
    <w:rsid w:val="004133CD"/>
    <w:rsid w:val="00413549"/>
    <w:rsid w:val="00414538"/>
    <w:rsid w:val="0041479C"/>
    <w:rsid w:val="00416787"/>
    <w:rsid w:val="004203CA"/>
    <w:rsid w:val="004208D7"/>
    <w:rsid w:val="00420CA2"/>
    <w:rsid w:val="00421878"/>
    <w:rsid w:val="00421F63"/>
    <w:rsid w:val="004223E0"/>
    <w:rsid w:val="004228EE"/>
    <w:rsid w:val="00422BB1"/>
    <w:rsid w:val="00422D87"/>
    <w:rsid w:val="0042325A"/>
    <w:rsid w:val="0042336F"/>
    <w:rsid w:val="004234EF"/>
    <w:rsid w:val="004242F2"/>
    <w:rsid w:val="00424848"/>
    <w:rsid w:val="004249B6"/>
    <w:rsid w:val="004249DB"/>
    <w:rsid w:val="00424C76"/>
    <w:rsid w:val="00424D76"/>
    <w:rsid w:val="00425554"/>
    <w:rsid w:val="0042556A"/>
    <w:rsid w:val="004256CB"/>
    <w:rsid w:val="00425B68"/>
    <w:rsid w:val="00425C9F"/>
    <w:rsid w:val="004268A5"/>
    <w:rsid w:val="00427A53"/>
    <w:rsid w:val="004300E1"/>
    <w:rsid w:val="00430294"/>
    <w:rsid w:val="00430626"/>
    <w:rsid w:val="004309CF"/>
    <w:rsid w:val="00430B44"/>
    <w:rsid w:val="00430C1B"/>
    <w:rsid w:val="00430F27"/>
    <w:rsid w:val="0043104B"/>
    <w:rsid w:val="0043181D"/>
    <w:rsid w:val="004328E4"/>
    <w:rsid w:val="00432937"/>
    <w:rsid w:val="00433460"/>
    <w:rsid w:val="00433D87"/>
    <w:rsid w:val="00433ECE"/>
    <w:rsid w:val="00434442"/>
    <w:rsid w:val="004347A7"/>
    <w:rsid w:val="00434800"/>
    <w:rsid w:val="00434D2B"/>
    <w:rsid w:val="00434F9C"/>
    <w:rsid w:val="00435F09"/>
    <w:rsid w:val="00435F6F"/>
    <w:rsid w:val="00436548"/>
    <w:rsid w:val="00436C20"/>
    <w:rsid w:val="004373A1"/>
    <w:rsid w:val="00440392"/>
    <w:rsid w:val="00440502"/>
    <w:rsid w:val="004412E5"/>
    <w:rsid w:val="0044145F"/>
    <w:rsid w:val="00441545"/>
    <w:rsid w:val="004415FC"/>
    <w:rsid w:val="00441989"/>
    <w:rsid w:val="00442112"/>
    <w:rsid w:val="00442822"/>
    <w:rsid w:val="004437F3"/>
    <w:rsid w:val="00443A3A"/>
    <w:rsid w:val="00443AE0"/>
    <w:rsid w:val="00443B05"/>
    <w:rsid w:val="00443D1A"/>
    <w:rsid w:val="0044420E"/>
    <w:rsid w:val="004442B1"/>
    <w:rsid w:val="004443FB"/>
    <w:rsid w:val="0044476D"/>
    <w:rsid w:val="00445064"/>
    <w:rsid w:val="00445172"/>
    <w:rsid w:val="00447324"/>
    <w:rsid w:val="00447603"/>
    <w:rsid w:val="00447999"/>
    <w:rsid w:val="00447AC5"/>
    <w:rsid w:val="00447EAD"/>
    <w:rsid w:val="004504A7"/>
    <w:rsid w:val="00450899"/>
    <w:rsid w:val="004508B7"/>
    <w:rsid w:val="00450B7A"/>
    <w:rsid w:val="00450F22"/>
    <w:rsid w:val="00450FE9"/>
    <w:rsid w:val="00451A7B"/>
    <w:rsid w:val="004522A6"/>
    <w:rsid w:val="004528A3"/>
    <w:rsid w:val="004529D7"/>
    <w:rsid w:val="00452A11"/>
    <w:rsid w:val="00453BF4"/>
    <w:rsid w:val="00454526"/>
    <w:rsid w:val="00454571"/>
    <w:rsid w:val="00455AFA"/>
    <w:rsid w:val="00456308"/>
    <w:rsid w:val="004566BE"/>
    <w:rsid w:val="0045682E"/>
    <w:rsid w:val="004568B4"/>
    <w:rsid w:val="00457142"/>
    <w:rsid w:val="004573A4"/>
    <w:rsid w:val="00457493"/>
    <w:rsid w:val="00457958"/>
    <w:rsid w:val="00457BC0"/>
    <w:rsid w:val="00457DD5"/>
    <w:rsid w:val="004610CC"/>
    <w:rsid w:val="0046115F"/>
    <w:rsid w:val="0046148D"/>
    <w:rsid w:val="00461535"/>
    <w:rsid w:val="004627CF"/>
    <w:rsid w:val="00462977"/>
    <w:rsid w:val="00462DBA"/>
    <w:rsid w:val="00463202"/>
    <w:rsid w:val="004635B7"/>
    <w:rsid w:val="00463A9C"/>
    <w:rsid w:val="00464027"/>
    <w:rsid w:val="004641CB"/>
    <w:rsid w:val="0046443B"/>
    <w:rsid w:val="00464BC7"/>
    <w:rsid w:val="004651B8"/>
    <w:rsid w:val="00465580"/>
    <w:rsid w:val="00465972"/>
    <w:rsid w:val="00465E7E"/>
    <w:rsid w:val="004664B4"/>
    <w:rsid w:val="00466BB5"/>
    <w:rsid w:val="004672E8"/>
    <w:rsid w:val="004677E9"/>
    <w:rsid w:val="0047001D"/>
    <w:rsid w:val="00470535"/>
    <w:rsid w:val="00471183"/>
    <w:rsid w:val="0047123C"/>
    <w:rsid w:val="004714F6"/>
    <w:rsid w:val="0047289C"/>
    <w:rsid w:val="00472E22"/>
    <w:rsid w:val="00472F67"/>
    <w:rsid w:val="004739A1"/>
    <w:rsid w:val="0047430D"/>
    <w:rsid w:val="00474FDF"/>
    <w:rsid w:val="00475688"/>
    <w:rsid w:val="004758F6"/>
    <w:rsid w:val="004759E3"/>
    <w:rsid w:val="00475C51"/>
    <w:rsid w:val="00476161"/>
    <w:rsid w:val="00476658"/>
    <w:rsid w:val="00476E34"/>
    <w:rsid w:val="00476EE1"/>
    <w:rsid w:val="00477163"/>
    <w:rsid w:val="00477B0E"/>
    <w:rsid w:val="00481688"/>
    <w:rsid w:val="004820E0"/>
    <w:rsid w:val="004822CA"/>
    <w:rsid w:val="0048259A"/>
    <w:rsid w:val="00482993"/>
    <w:rsid w:val="004838E8"/>
    <w:rsid w:val="00483F95"/>
    <w:rsid w:val="00484D20"/>
    <w:rsid w:val="004850C1"/>
    <w:rsid w:val="004850D4"/>
    <w:rsid w:val="0048648E"/>
    <w:rsid w:val="00486F54"/>
    <w:rsid w:val="004871B4"/>
    <w:rsid w:val="00487428"/>
    <w:rsid w:val="004876DD"/>
    <w:rsid w:val="0049178A"/>
    <w:rsid w:val="00491C1D"/>
    <w:rsid w:val="00491DF1"/>
    <w:rsid w:val="00492535"/>
    <w:rsid w:val="00493435"/>
    <w:rsid w:val="0049479B"/>
    <w:rsid w:val="00494B28"/>
    <w:rsid w:val="00495FFF"/>
    <w:rsid w:val="00496A9F"/>
    <w:rsid w:val="00497358"/>
    <w:rsid w:val="00497C5C"/>
    <w:rsid w:val="00497FA5"/>
    <w:rsid w:val="004A03B3"/>
    <w:rsid w:val="004A04D5"/>
    <w:rsid w:val="004A0A63"/>
    <w:rsid w:val="004A0CDB"/>
    <w:rsid w:val="004A0F55"/>
    <w:rsid w:val="004A1B07"/>
    <w:rsid w:val="004A2DC1"/>
    <w:rsid w:val="004A2E04"/>
    <w:rsid w:val="004A3226"/>
    <w:rsid w:val="004A399F"/>
    <w:rsid w:val="004A3DE6"/>
    <w:rsid w:val="004A4096"/>
    <w:rsid w:val="004A4277"/>
    <w:rsid w:val="004A4692"/>
    <w:rsid w:val="004A5707"/>
    <w:rsid w:val="004A669F"/>
    <w:rsid w:val="004A6842"/>
    <w:rsid w:val="004A6917"/>
    <w:rsid w:val="004A718C"/>
    <w:rsid w:val="004A7DBE"/>
    <w:rsid w:val="004A7F94"/>
    <w:rsid w:val="004B08AC"/>
    <w:rsid w:val="004B0D88"/>
    <w:rsid w:val="004B1053"/>
    <w:rsid w:val="004B17C0"/>
    <w:rsid w:val="004B1E3B"/>
    <w:rsid w:val="004B206E"/>
    <w:rsid w:val="004B229E"/>
    <w:rsid w:val="004B232E"/>
    <w:rsid w:val="004B29C2"/>
    <w:rsid w:val="004B29E1"/>
    <w:rsid w:val="004B2C52"/>
    <w:rsid w:val="004B2F46"/>
    <w:rsid w:val="004B395D"/>
    <w:rsid w:val="004B4194"/>
    <w:rsid w:val="004B457E"/>
    <w:rsid w:val="004B4E18"/>
    <w:rsid w:val="004B55F0"/>
    <w:rsid w:val="004B56C3"/>
    <w:rsid w:val="004B6928"/>
    <w:rsid w:val="004B76A8"/>
    <w:rsid w:val="004B79FA"/>
    <w:rsid w:val="004B7D94"/>
    <w:rsid w:val="004C0528"/>
    <w:rsid w:val="004C0B44"/>
    <w:rsid w:val="004C0FB7"/>
    <w:rsid w:val="004C104B"/>
    <w:rsid w:val="004C164A"/>
    <w:rsid w:val="004C17CF"/>
    <w:rsid w:val="004C2A44"/>
    <w:rsid w:val="004C2E14"/>
    <w:rsid w:val="004C2FE3"/>
    <w:rsid w:val="004C305A"/>
    <w:rsid w:val="004C35EF"/>
    <w:rsid w:val="004C3BCF"/>
    <w:rsid w:val="004C4829"/>
    <w:rsid w:val="004C4D30"/>
    <w:rsid w:val="004C4EAB"/>
    <w:rsid w:val="004C5570"/>
    <w:rsid w:val="004C5BD0"/>
    <w:rsid w:val="004C5D52"/>
    <w:rsid w:val="004C5DB0"/>
    <w:rsid w:val="004C60D8"/>
    <w:rsid w:val="004C62EE"/>
    <w:rsid w:val="004C663D"/>
    <w:rsid w:val="004C6A0D"/>
    <w:rsid w:val="004C70E2"/>
    <w:rsid w:val="004C738E"/>
    <w:rsid w:val="004C765A"/>
    <w:rsid w:val="004C792E"/>
    <w:rsid w:val="004C7FE6"/>
    <w:rsid w:val="004D1000"/>
    <w:rsid w:val="004D1D27"/>
    <w:rsid w:val="004D2EC3"/>
    <w:rsid w:val="004D2FF6"/>
    <w:rsid w:val="004D36A7"/>
    <w:rsid w:val="004D3FD6"/>
    <w:rsid w:val="004D405F"/>
    <w:rsid w:val="004D55CA"/>
    <w:rsid w:val="004D5A27"/>
    <w:rsid w:val="004D5F0E"/>
    <w:rsid w:val="004D6626"/>
    <w:rsid w:val="004D6758"/>
    <w:rsid w:val="004D7B1A"/>
    <w:rsid w:val="004D7CB1"/>
    <w:rsid w:val="004E0830"/>
    <w:rsid w:val="004E169C"/>
    <w:rsid w:val="004E1BF0"/>
    <w:rsid w:val="004E1E6A"/>
    <w:rsid w:val="004E2223"/>
    <w:rsid w:val="004E28E1"/>
    <w:rsid w:val="004E2B01"/>
    <w:rsid w:val="004E34C7"/>
    <w:rsid w:val="004E356A"/>
    <w:rsid w:val="004E375D"/>
    <w:rsid w:val="004E3850"/>
    <w:rsid w:val="004E3D98"/>
    <w:rsid w:val="004E3FC1"/>
    <w:rsid w:val="004E4C79"/>
    <w:rsid w:val="004E4DAE"/>
    <w:rsid w:val="004E58EA"/>
    <w:rsid w:val="004E5F65"/>
    <w:rsid w:val="004E6C7A"/>
    <w:rsid w:val="004E7615"/>
    <w:rsid w:val="004E7CDF"/>
    <w:rsid w:val="004F078C"/>
    <w:rsid w:val="004F1324"/>
    <w:rsid w:val="004F1C7D"/>
    <w:rsid w:val="004F1D24"/>
    <w:rsid w:val="004F21D2"/>
    <w:rsid w:val="004F2641"/>
    <w:rsid w:val="004F26D5"/>
    <w:rsid w:val="004F27F3"/>
    <w:rsid w:val="004F29B9"/>
    <w:rsid w:val="004F2B8E"/>
    <w:rsid w:val="004F2C85"/>
    <w:rsid w:val="004F32BF"/>
    <w:rsid w:val="004F3E6A"/>
    <w:rsid w:val="004F469D"/>
    <w:rsid w:val="004F5346"/>
    <w:rsid w:val="004F5C09"/>
    <w:rsid w:val="004F5E4E"/>
    <w:rsid w:val="004F63CC"/>
    <w:rsid w:val="004F6678"/>
    <w:rsid w:val="004F6B28"/>
    <w:rsid w:val="004F6C65"/>
    <w:rsid w:val="004F6CEC"/>
    <w:rsid w:val="004F6D2E"/>
    <w:rsid w:val="004F7F0F"/>
    <w:rsid w:val="004F7FBC"/>
    <w:rsid w:val="005001AE"/>
    <w:rsid w:val="005007E7"/>
    <w:rsid w:val="005012FC"/>
    <w:rsid w:val="0050191C"/>
    <w:rsid w:val="00501EBE"/>
    <w:rsid w:val="00503551"/>
    <w:rsid w:val="00503682"/>
    <w:rsid w:val="00503F38"/>
    <w:rsid w:val="005043FC"/>
    <w:rsid w:val="00504A55"/>
    <w:rsid w:val="00505F08"/>
    <w:rsid w:val="005062F9"/>
    <w:rsid w:val="0050671D"/>
    <w:rsid w:val="0050672C"/>
    <w:rsid w:val="00506869"/>
    <w:rsid w:val="00506C4C"/>
    <w:rsid w:val="0050700E"/>
    <w:rsid w:val="005079D7"/>
    <w:rsid w:val="00507B2A"/>
    <w:rsid w:val="00510571"/>
    <w:rsid w:val="00510A22"/>
    <w:rsid w:val="00510D8A"/>
    <w:rsid w:val="00511EBC"/>
    <w:rsid w:val="005125D5"/>
    <w:rsid w:val="005129CB"/>
    <w:rsid w:val="00512D51"/>
    <w:rsid w:val="00512E95"/>
    <w:rsid w:val="00514432"/>
    <w:rsid w:val="00514674"/>
    <w:rsid w:val="0051477F"/>
    <w:rsid w:val="00514C46"/>
    <w:rsid w:val="005157BE"/>
    <w:rsid w:val="005158C0"/>
    <w:rsid w:val="00515BCF"/>
    <w:rsid w:val="00516083"/>
    <w:rsid w:val="0051635A"/>
    <w:rsid w:val="0051646E"/>
    <w:rsid w:val="005166C3"/>
    <w:rsid w:val="00516EA5"/>
    <w:rsid w:val="005179DA"/>
    <w:rsid w:val="00517E2A"/>
    <w:rsid w:val="00520C1C"/>
    <w:rsid w:val="00521439"/>
    <w:rsid w:val="0052175B"/>
    <w:rsid w:val="005218CD"/>
    <w:rsid w:val="0052195B"/>
    <w:rsid w:val="00522133"/>
    <w:rsid w:val="0052292E"/>
    <w:rsid w:val="00522A3E"/>
    <w:rsid w:val="005232E0"/>
    <w:rsid w:val="0052373B"/>
    <w:rsid w:val="00523E00"/>
    <w:rsid w:val="00523F3C"/>
    <w:rsid w:val="0052439F"/>
    <w:rsid w:val="005243EB"/>
    <w:rsid w:val="00525789"/>
    <w:rsid w:val="00525890"/>
    <w:rsid w:val="00526452"/>
    <w:rsid w:val="00526816"/>
    <w:rsid w:val="00526F09"/>
    <w:rsid w:val="00527F4F"/>
    <w:rsid w:val="00530512"/>
    <w:rsid w:val="00530799"/>
    <w:rsid w:val="00530F4F"/>
    <w:rsid w:val="0053109F"/>
    <w:rsid w:val="005311E8"/>
    <w:rsid w:val="005312C4"/>
    <w:rsid w:val="0053133A"/>
    <w:rsid w:val="00531822"/>
    <w:rsid w:val="00531A51"/>
    <w:rsid w:val="005326D0"/>
    <w:rsid w:val="005327CB"/>
    <w:rsid w:val="00532800"/>
    <w:rsid w:val="00532A80"/>
    <w:rsid w:val="00532FDA"/>
    <w:rsid w:val="00533EE8"/>
    <w:rsid w:val="0053417D"/>
    <w:rsid w:val="0053490C"/>
    <w:rsid w:val="005349E0"/>
    <w:rsid w:val="005349FE"/>
    <w:rsid w:val="00534DC2"/>
    <w:rsid w:val="00535585"/>
    <w:rsid w:val="00535C20"/>
    <w:rsid w:val="005364AF"/>
    <w:rsid w:val="00536A58"/>
    <w:rsid w:val="00536AB4"/>
    <w:rsid w:val="00537127"/>
    <w:rsid w:val="0053764B"/>
    <w:rsid w:val="00537DFB"/>
    <w:rsid w:val="0054069F"/>
    <w:rsid w:val="00540F84"/>
    <w:rsid w:val="00541307"/>
    <w:rsid w:val="00541B60"/>
    <w:rsid w:val="00541DB8"/>
    <w:rsid w:val="00541F9A"/>
    <w:rsid w:val="00542599"/>
    <w:rsid w:val="00542EB4"/>
    <w:rsid w:val="005440DF"/>
    <w:rsid w:val="005448B9"/>
    <w:rsid w:val="00544B0E"/>
    <w:rsid w:val="00545136"/>
    <w:rsid w:val="005452C1"/>
    <w:rsid w:val="00545B42"/>
    <w:rsid w:val="0054612B"/>
    <w:rsid w:val="00546670"/>
    <w:rsid w:val="00547753"/>
    <w:rsid w:val="005479F5"/>
    <w:rsid w:val="00547D90"/>
    <w:rsid w:val="0055043E"/>
    <w:rsid w:val="00550863"/>
    <w:rsid w:val="005508EF"/>
    <w:rsid w:val="005510E3"/>
    <w:rsid w:val="0055173F"/>
    <w:rsid w:val="00551AE8"/>
    <w:rsid w:val="00551D57"/>
    <w:rsid w:val="00552E11"/>
    <w:rsid w:val="00552FEB"/>
    <w:rsid w:val="0055326B"/>
    <w:rsid w:val="005532A3"/>
    <w:rsid w:val="0055334F"/>
    <w:rsid w:val="00553395"/>
    <w:rsid w:val="00553567"/>
    <w:rsid w:val="005536D8"/>
    <w:rsid w:val="00553701"/>
    <w:rsid w:val="005538EF"/>
    <w:rsid w:val="0055400F"/>
    <w:rsid w:val="005548DD"/>
    <w:rsid w:val="00554B86"/>
    <w:rsid w:val="00555500"/>
    <w:rsid w:val="00555FC3"/>
    <w:rsid w:val="00556027"/>
    <w:rsid w:val="00556506"/>
    <w:rsid w:val="0055659A"/>
    <w:rsid w:val="00556731"/>
    <w:rsid w:val="005568E4"/>
    <w:rsid w:val="00557401"/>
    <w:rsid w:val="0055747C"/>
    <w:rsid w:val="00557D41"/>
    <w:rsid w:val="00557EB8"/>
    <w:rsid w:val="00557F5B"/>
    <w:rsid w:val="00557FE2"/>
    <w:rsid w:val="00560729"/>
    <w:rsid w:val="00560A86"/>
    <w:rsid w:val="00561C64"/>
    <w:rsid w:val="00561D10"/>
    <w:rsid w:val="0056218D"/>
    <w:rsid w:val="00562EAD"/>
    <w:rsid w:val="00563222"/>
    <w:rsid w:val="00563A36"/>
    <w:rsid w:val="00563AEB"/>
    <w:rsid w:val="00564775"/>
    <w:rsid w:val="00564E2B"/>
    <w:rsid w:val="00566C28"/>
    <w:rsid w:val="00566EBC"/>
    <w:rsid w:val="00566F11"/>
    <w:rsid w:val="00567500"/>
    <w:rsid w:val="0056753D"/>
    <w:rsid w:val="00567811"/>
    <w:rsid w:val="00567CDA"/>
    <w:rsid w:val="00567F9A"/>
    <w:rsid w:val="00570163"/>
    <w:rsid w:val="005701B3"/>
    <w:rsid w:val="005702BD"/>
    <w:rsid w:val="005704B1"/>
    <w:rsid w:val="005707E9"/>
    <w:rsid w:val="00570BF8"/>
    <w:rsid w:val="0057146C"/>
    <w:rsid w:val="0057162D"/>
    <w:rsid w:val="00572749"/>
    <w:rsid w:val="00572E92"/>
    <w:rsid w:val="005739F4"/>
    <w:rsid w:val="00573A7F"/>
    <w:rsid w:val="00573EE1"/>
    <w:rsid w:val="0057406C"/>
    <w:rsid w:val="005744AE"/>
    <w:rsid w:val="00575051"/>
    <w:rsid w:val="005758E3"/>
    <w:rsid w:val="00576D35"/>
    <w:rsid w:val="00577712"/>
    <w:rsid w:val="005777C8"/>
    <w:rsid w:val="00577AD5"/>
    <w:rsid w:val="00577BE5"/>
    <w:rsid w:val="00577CB9"/>
    <w:rsid w:val="00577F23"/>
    <w:rsid w:val="005806F3"/>
    <w:rsid w:val="00580A72"/>
    <w:rsid w:val="00580C8B"/>
    <w:rsid w:val="0058107B"/>
    <w:rsid w:val="0058149F"/>
    <w:rsid w:val="0058161B"/>
    <w:rsid w:val="005817A5"/>
    <w:rsid w:val="00581DF3"/>
    <w:rsid w:val="00582853"/>
    <w:rsid w:val="00582893"/>
    <w:rsid w:val="00582C76"/>
    <w:rsid w:val="00583A87"/>
    <w:rsid w:val="0058403B"/>
    <w:rsid w:val="005842BA"/>
    <w:rsid w:val="005843E6"/>
    <w:rsid w:val="005845FA"/>
    <w:rsid w:val="00584AC0"/>
    <w:rsid w:val="00585C21"/>
    <w:rsid w:val="0058730E"/>
    <w:rsid w:val="005874CD"/>
    <w:rsid w:val="00587597"/>
    <w:rsid w:val="00590C04"/>
    <w:rsid w:val="00590C76"/>
    <w:rsid w:val="00590D18"/>
    <w:rsid w:val="00590EDD"/>
    <w:rsid w:val="00591988"/>
    <w:rsid w:val="00591D1C"/>
    <w:rsid w:val="005921C8"/>
    <w:rsid w:val="005922A3"/>
    <w:rsid w:val="0059239E"/>
    <w:rsid w:val="005924DB"/>
    <w:rsid w:val="005927AF"/>
    <w:rsid w:val="005927CD"/>
    <w:rsid w:val="005929E8"/>
    <w:rsid w:val="00592A2E"/>
    <w:rsid w:val="00593155"/>
    <w:rsid w:val="0059353B"/>
    <w:rsid w:val="005938DB"/>
    <w:rsid w:val="005949FB"/>
    <w:rsid w:val="00594C1A"/>
    <w:rsid w:val="00594F3E"/>
    <w:rsid w:val="00595106"/>
    <w:rsid w:val="00595692"/>
    <w:rsid w:val="00595B7B"/>
    <w:rsid w:val="00596020"/>
    <w:rsid w:val="0059632F"/>
    <w:rsid w:val="00597799"/>
    <w:rsid w:val="005977F9"/>
    <w:rsid w:val="00597BA8"/>
    <w:rsid w:val="005A01E7"/>
    <w:rsid w:val="005A02C8"/>
    <w:rsid w:val="005A09E5"/>
    <w:rsid w:val="005A1387"/>
    <w:rsid w:val="005A1473"/>
    <w:rsid w:val="005A19FF"/>
    <w:rsid w:val="005A2074"/>
    <w:rsid w:val="005A24AE"/>
    <w:rsid w:val="005A2D7F"/>
    <w:rsid w:val="005A3394"/>
    <w:rsid w:val="005A403A"/>
    <w:rsid w:val="005A43BE"/>
    <w:rsid w:val="005A4624"/>
    <w:rsid w:val="005A5011"/>
    <w:rsid w:val="005A508D"/>
    <w:rsid w:val="005A5D63"/>
    <w:rsid w:val="005A60BA"/>
    <w:rsid w:val="005A761B"/>
    <w:rsid w:val="005A7E8F"/>
    <w:rsid w:val="005A7E97"/>
    <w:rsid w:val="005B0949"/>
    <w:rsid w:val="005B096F"/>
    <w:rsid w:val="005B0987"/>
    <w:rsid w:val="005B0FB5"/>
    <w:rsid w:val="005B1191"/>
    <w:rsid w:val="005B1205"/>
    <w:rsid w:val="005B1D3B"/>
    <w:rsid w:val="005B2088"/>
    <w:rsid w:val="005B21FD"/>
    <w:rsid w:val="005B2466"/>
    <w:rsid w:val="005B2BBB"/>
    <w:rsid w:val="005B2BF5"/>
    <w:rsid w:val="005B2FD3"/>
    <w:rsid w:val="005B41B3"/>
    <w:rsid w:val="005B4289"/>
    <w:rsid w:val="005B43DC"/>
    <w:rsid w:val="005B5926"/>
    <w:rsid w:val="005B5A43"/>
    <w:rsid w:val="005B5A74"/>
    <w:rsid w:val="005B5DBE"/>
    <w:rsid w:val="005B66DA"/>
    <w:rsid w:val="005B66FE"/>
    <w:rsid w:val="005B6728"/>
    <w:rsid w:val="005B6927"/>
    <w:rsid w:val="005B698D"/>
    <w:rsid w:val="005B6B33"/>
    <w:rsid w:val="005B6B72"/>
    <w:rsid w:val="005B6BFD"/>
    <w:rsid w:val="005B7331"/>
    <w:rsid w:val="005B75B6"/>
    <w:rsid w:val="005B7F6E"/>
    <w:rsid w:val="005C12AC"/>
    <w:rsid w:val="005C1C90"/>
    <w:rsid w:val="005C1CEF"/>
    <w:rsid w:val="005C1D76"/>
    <w:rsid w:val="005C2C76"/>
    <w:rsid w:val="005C3964"/>
    <w:rsid w:val="005C428A"/>
    <w:rsid w:val="005C4330"/>
    <w:rsid w:val="005C4787"/>
    <w:rsid w:val="005C5113"/>
    <w:rsid w:val="005C54B8"/>
    <w:rsid w:val="005C557C"/>
    <w:rsid w:val="005C56B7"/>
    <w:rsid w:val="005C5CDF"/>
    <w:rsid w:val="005C677E"/>
    <w:rsid w:val="005C6CD0"/>
    <w:rsid w:val="005C7072"/>
    <w:rsid w:val="005C785E"/>
    <w:rsid w:val="005C78D5"/>
    <w:rsid w:val="005D00B6"/>
    <w:rsid w:val="005D101F"/>
    <w:rsid w:val="005D1247"/>
    <w:rsid w:val="005D1A6C"/>
    <w:rsid w:val="005D1D60"/>
    <w:rsid w:val="005D205D"/>
    <w:rsid w:val="005D2F54"/>
    <w:rsid w:val="005D33D2"/>
    <w:rsid w:val="005D353D"/>
    <w:rsid w:val="005D3FD5"/>
    <w:rsid w:val="005D41F7"/>
    <w:rsid w:val="005D52D8"/>
    <w:rsid w:val="005D52DD"/>
    <w:rsid w:val="005D593D"/>
    <w:rsid w:val="005D63A5"/>
    <w:rsid w:val="005D69A4"/>
    <w:rsid w:val="005D79B5"/>
    <w:rsid w:val="005D7BDA"/>
    <w:rsid w:val="005E0A1F"/>
    <w:rsid w:val="005E0DEA"/>
    <w:rsid w:val="005E1667"/>
    <w:rsid w:val="005E17B3"/>
    <w:rsid w:val="005E1AB9"/>
    <w:rsid w:val="005E1BB5"/>
    <w:rsid w:val="005E1BD6"/>
    <w:rsid w:val="005E20D0"/>
    <w:rsid w:val="005E2A79"/>
    <w:rsid w:val="005E2D15"/>
    <w:rsid w:val="005E2EDB"/>
    <w:rsid w:val="005E2FB1"/>
    <w:rsid w:val="005E3850"/>
    <w:rsid w:val="005E3EB4"/>
    <w:rsid w:val="005E3F94"/>
    <w:rsid w:val="005E40C8"/>
    <w:rsid w:val="005E40E8"/>
    <w:rsid w:val="005E42C5"/>
    <w:rsid w:val="005E43DF"/>
    <w:rsid w:val="005E48DE"/>
    <w:rsid w:val="005E566F"/>
    <w:rsid w:val="005E64AF"/>
    <w:rsid w:val="005E6BE9"/>
    <w:rsid w:val="005E71A5"/>
    <w:rsid w:val="005E777B"/>
    <w:rsid w:val="005E779A"/>
    <w:rsid w:val="005E7980"/>
    <w:rsid w:val="005F03D5"/>
    <w:rsid w:val="005F0415"/>
    <w:rsid w:val="005F0860"/>
    <w:rsid w:val="005F0E01"/>
    <w:rsid w:val="005F0E8E"/>
    <w:rsid w:val="005F14A7"/>
    <w:rsid w:val="005F1B20"/>
    <w:rsid w:val="005F1E18"/>
    <w:rsid w:val="005F1FC3"/>
    <w:rsid w:val="005F27E0"/>
    <w:rsid w:val="005F29C0"/>
    <w:rsid w:val="005F2A66"/>
    <w:rsid w:val="005F2B32"/>
    <w:rsid w:val="005F3176"/>
    <w:rsid w:val="005F3549"/>
    <w:rsid w:val="005F373B"/>
    <w:rsid w:val="005F3D8C"/>
    <w:rsid w:val="005F4639"/>
    <w:rsid w:val="005F54B4"/>
    <w:rsid w:val="005F5576"/>
    <w:rsid w:val="005F5616"/>
    <w:rsid w:val="005F5A4E"/>
    <w:rsid w:val="005F5A6F"/>
    <w:rsid w:val="005F5C6D"/>
    <w:rsid w:val="005F5E8E"/>
    <w:rsid w:val="005F60E6"/>
    <w:rsid w:val="005F61DD"/>
    <w:rsid w:val="005F7421"/>
    <w:rsid w:val="005F764A"/>
    <w:rsid w:val="0060008E"/>
    <w:rsid w:val="006005C1"/>
    <w:rsid w:val="00600AAE"/>
    <w:rsid w:val="006011A0"/>
    <w:rsid w:val="00602A78"/>
    <w:rsid w:val="00602BCA"/>
    <w:rsid w:val="0060305F"/>
    <w:rsid w:val="006034C7"/>
    <w:rsid w:val="00603A44"/>
    <w:rsid w:val="0060443E"/>
    <w:rsid w:val="00604617"/>
    <w:rsid w:val="00604730"/>
    <w:rsid w:val="006049CE"/>
    <w:rsid w:val="00604AE3"/>
    <w:rsid w:val="00604C39"/>
    <w:rsid w:val="00604CE2"/>
    <w:rsid w:val="00604D1B"/>
    <w:rsid w:val="006052A3"/>
    <w:rsid w:val="006053D8"/>
    <w:rsid w:val="006057CF"/>
    <w:rsid w:val="006059A0"/>
    <w:rsid w:val="00605A1A"/>
    <w:rsid w:val="00605FFD"/>
    <w:rsid w:val="00606054"/>
    <w:rsid w:val="0060611E"/>
    <w:rsid w:val="006063E0"/>
    <w:rsid w:val="006066D0"/>
    <w:rsid w:val="00606906"/>
    <w:rsid w:val="00606EE7"/>
    <w:rsid w:val="00606FAA"/>
    <w:rsid w:val="00607C10"/>
    <w:rsid w:val="00611159"/>
    <w:rsid w:val="00611BA6"/>
    <w:rsid w:val="00612D19"/>
    <w:rsid w:val="0061330F"/>
    <w:rsid w:val="00613641"/>
    <w:rsid w:val="0061377B"/>
    <w:rsid w:val="00614139"/>
    <w:rsid w:val="00614483"/>
    <w:rsid w:val="0061478C"/>
    <w:rsid w:val="0061516E"/>
    <w:rsid w:val="006151BC"/>
    <w:rsid w:val="006151C1"/>
    <w:rsid w:val="00615204"/>
    <w:rsid w:val="006154F0"/>
    <w:rsid w:val="00615E77"/>
    <w:rsid w:val="00615F81"/>
    <w:rsid w:val="00616004"/>
    <w:rsid w:val="006162A3"/>
    <w:rsid w:val="00616C7D"/>
    <w:rsid w:val="006171E6"/>
    <w:rsid w:val="0061735F"/>
    <w:rsid w:val="00617B9C"/>
    <w:rsid w:val="00617D2F"/>
    <w:rsid w:val="006205E1"/>
    <w:rsid w:val="00620770"/>
    <w:rsid w:val="006208EE"/>
    <w:rsid w:val="0062091D"/>
    <w:rsid w:val="00620C44"/>
    <w:rsid w:val="0062100E"/>
    <w:rsid w:val="006211A5"/>
    <w:rsid w:val="006213A1"/>
    <w:rsid w:val="0062192E"/>
    <w:rsid w:val="006219BC"/>
    <w:rsid w:val="00621DD8"/>
    <w:rsid w:val="00622789"/>
    <w:rsid w:val="006233C1"/>
    <w:rsid w:val="00623A38"/>
    <w:rsid w:val="00624649"/>
    <w:rsid w:val="006249A7"/>
    <w:rsid w:val="006249D1"/>
    <w:rsid w:val="00624AE6"/>
    <w:rsid w:val="00624D4F"/>
    <w:rsid w:val="00625713"/>
    <w:rsid w:val="00625B22"/>
    <w:rsid w:val="00625C53"/>
    <w:rsid w:val="00626415"/>
    <w:rsid w:val="0062768B"/>
    <w:rsid w:val="00627A49"/>
    <w:rsid w:val="00627D60"/>
    <w:rsid w:val="00627E30"/>
    <w:rsid w:val="00627F40"/>
    <w:rsid w:val="006303FC"/>
    <w:rsid w:val="006309D1"/>
    <w:rsid w:val="0063135D"/>
    <w:rsid w:val="00631716"/>
    <w:rsid w:val="0063179F"/>
    <w:rsid w:val="006317A4"/>
    <w:rsid w:val="006320F2"/>
    <w:rsid w:val="00632259"/>
    <w:rsid w:val="00632765"/>
    <w:rsid w:val="00632DD8"/>
    <w:rsid w:val="006338DA"/>
    <w:rsid w:val="0063390C"/>
    <w:rsid w:val="00633A5E"/>
    <w:rsid w:val="00633F74"/>
    <w:rsid w:val="00635AEB"/>
    <w:rsid w:val="00635DC8"/>
    <w:rsid w:val="00636328"/>
    <w:rsid w:val="00636EF8"/>
    <w:rsid w:val="00636FEF"/>
    <w:rsid w:val="0063715F"/>
    <w:rsid w:val="006377DB"/>
    <w:rsid w:val="006405A2"/>
    <w:rsid w:val="00640699"/>
    <w:rsid w:val="0064096C"/>
    <w:rsid w:val="006417E0"/>
    <w:rsid w:val="006418D2"/>
    <w:rsid w:val="006419D4"/>
    <w:rsid w:val="00641E1E"/>
    <w:rsid w:val="00642453"/>
    <w:rsid w:val="00642532"/>
    <w:rsid w:val="00643C26"/>
    <w:rsid w:val="00643F85"/>
    <w:rsid w:val="006443B2"/>
    <w:rsid w:val="006443C2"/>
    <w:rsid w:val="00644B60"/>
    <w:rsid w:val="00645210"/>
    <w:rsid w:val="00645933"/>
    <w:rsid w:val="006459B3"/>
    <w:rsid w:val="00645D57"/>
    <w:rsid w:val="00645ED6"/>
    <w:rsid w:val="006461DC"/>
    <w:rsid w:val="00646970"/>
    <w:rsid w:val="00646FDD"/>
    <w:rsid w:val="00647C38"/>
    <w:rsid w:val="00647D39"/>
    <w:rsid w:val="006500A2"/>
    <w:rsid w:val="0065058D"/>
    <w:rsid w:val="006507C0"/>
    <w:rsid w:val="00650C5E"/>
    <w:rsid w:val="00651147"/>
    <w:rsid w:val="0065131D"/>
    <w:rsid w:val="00651BFE"/>
    <w:rsid w:val="00651DC1"/>
    <w:rsid w:val="00651FD6"/>
    <w:rsid w:val="0065234B"/>
    <w:rsid w:val="0065252C"/>
    <w:rsid w:val="00653AC4"/>
    <w:rsid w:val="00653C52"/>
    <w:rsid w:val="006540C1"/>
    <w:rsid w:val="00654642"/>
    <w:rsid w:val="00654AF4"/>
    <w:rsid w:val="00654CB8"/>
    <w:rsid w:val="00654D77"/>
    <w:rsid w:val="0065561D"/>
    <w:rsid w:val="0065589A"/>
    <w:rsid w:val="00655F61"/>
    <w:rsid w:val="006562F3"/>
    <w:rsid w:val="006565D3"/>
    <w:rsid w:val="00656F87"/>
    <w:rsid w:val="00656FC3"/>
    <w:rsid w:val="00657693"/>
    <w:rsid w:val="00657861"/>
    <w:rsid w:val="00657B97"/>
    <w:rsid w:val="00660010"/>
    <w:rsid w:val="00660083"/>
    <w:rsid w:val="00660680"/>
    <w:rsid w:val="00660BFB"/>
    <w:rsid w:val="00660E23"/>
    <w:rsid w:val="00661901"/>
    <w:rsid w:val="00662A70"/>
    <w:rsid w:val="00662AF9"/>
    <w:rsid w:val="00662C14"/>
    <w:rsid w:val="00662C97"/>
    <w:rsid w:val="00662CBB"/>
    <w:rsid w:val="00662F3E"/>
    <w:rsid w:val="006631A9"/>
    <w:rsid w:val="0066398B"/>
    <w:rsid w:val="00663F53"/>
    <w:rsid w:val="00664718"/>
    <w:rsid w:val="0066486A"/>
    <w:rsid w:val="0066527F"/>
    <w:rsid w:val="0066579F"/>
    <w:rsid w:val="00666754"/>
    <w:rsid w:val="00666AEA"/>
    <w:rsid w:val="00667FB2"/>
    <w:rsid w:val="00670D2E"/>
    <w:rsid w:val="0067269F"/>
    <w:rsid w:val="006726CB"/>
    <w:rsid w:val="0067272F"/>
    <w:rsid w:val="00673BA4"/>
    <w:rsid w:val="00673BCF"/>
    <w:rsid w:val="00673E1B"/>
    <w:rsid w:val="00674C5D"/>
    <w:rsid w:val="00674ED8"/>
    <w:rsid w:val="00674F64"/>
    <w:rsid w:val="00674FA7"/>
    <w:rsid w:val="00675793"/>
    <w:rsid w:val="00675A6B"/>
    <w:rsid w:val="00675C5E"/>
    <w:rsid w:val="006764F2"/>
    <w:rsid w:val="006767D5"/>
    <w:rsid w:val="00676931"/>
    <w:rsid w:val="00676D0E"/>
    <w:rsid w:val="00676F0B"/>
    <w:rsid w:val="006773D1"/>
    <w:rsid w:val="00677B02"/>
    <w:rsid w:val="00677F4A"/>
    <w:rsid w:val="006801BB"/>
    <w:rsid w:val="006802E3"/>
    <w:rsid w:val="00680CC6"/>
    <w:rsid w:val="0068241B"/>
    <w:rsid w:val="006835CE"/>
    <w:rsid w:val="00683604"/>
    <w:rsid w:val="00683889"/>
    <w:rsid w:val="0068396C"/>
    <w:rsid w:val="0068413C"/>
    <w:rsid w:val="006842A2"/>
    <w:rsid w:val="006848BB"/>
    <w:rsid w:val="00685075"/>
    <w:rsid w:val="00685339"/>
    <w:rsid w:val="00685469"/>
    <w:rsid w:val="00685597"/>
    <w:rsid w:val="00686338"/>
    <w:rsid w:val="00686D47"/>
    <w:rsid w:val="0068731C"/>
    <w:rsid w:val="006903C3"/>
    <w:rsid w:val="006904AD"/>
    <w:rsid w:val="006905F1"/>
    <w:rsid w:val="0069072A"/>
    <w:rsid w:val="006912E6"/>
    <w:rsid w:val="006914E9"/>
    <w:rsid w:val="00691815"/>
    <w:rsid w:val="00691CFB"/>
    <w:rsid w:val="00691E51"/>
    <w:rsid w:val="006920CA"/>
    <w:rsid w:val="00692296"/>
    <w:rsid w:val="006927F0"/>
    <w:rsid w:val="00692C4E"/>
    <w:rsid w:val="006933B5"/>
    <w:rsid w:val="006936DB"/>
    <w:rsid w:val="00693801"/>
    <w:rsid w:val="00693D77"/>
    <w:rsid w:val="006944B8"/>
    <w:rsid w:val="00694706"/>
    <w:rsid w:val="00694763"/>
    <w:rsid w:val="00694A15"/>
    <w:rsid w:val="00694DF8"/>
    <w:rsid w:val="006956E0"/>
    <w:rsid w:val="00695D95"/>
    <w:rsid w:val="00695DDA"/>
    <w:rsid w:val="00696136"/>
    <w:rsid w:val="00696243"/>
    <w:rsid w:val="006962E6"/>
    <w:rsid w:val="0069657D"/>
    <w:rsid w:val="00696A8E"/>
    <w:rsid w:val="0069703E"/>
    <w:rsid w:val="00697208"/>
    <w:rsid w:val="00697A32"/>
    <w:rsid w:val="006A06E3"/>
    <w:rsid w:val="006A0B03"/>
    <w:rsid w:val="006A0E9E"/>
    <w:rsid w:val="006A0ECA"/>
    <w:rsid w:val="006A11F4"/>
    <w:rsid w:val="006A12EC"/>
    <w:rsid w:val="006A1444"/>
    <w:rsid w:val="006A14A8"/>
    <w:rsid w:val="006A182D"/>
    <w:rsid w:val="006A1ADF"/>
    <w:rsid w:val="006A23AC"/>
    <w:rsid w:val="006A2835"/>
    <w:rsid w:val="006A3A19"/>
    <w:rsid w:val="006A3B9E"/>
    <w:rsid w:val="006A3D6D"/>
    <w:rsid w:val="006A3D73"/>
    <w:rsid w:val="006A3FA6"/>
    <w:rsid w:val="006A43EA"/>
    <w:rsid w:val="006A471A"/>
    <w:rsid w:val="006A491A"/>
    <w:rsid w:val="006A5290"/>
    <w:rsid w:val="006A5C90"/>
    <w:rsid w:val="006A61AC"/>
    <w:rsid w:val="006A652D"/>
    <w:rsid w:val="006A777A"/>
    <w:rsid w:val="006A7AE9"/>
    <w:rsid w:val="006A7C9D"/>
    <w:rsid w:val="006B0264"/>
    <w:rsid w:val="006B123A"/>
    <w:rsid w:val="006B1E59"/>
    <w:rsid w:val="006B233E"/>
    <w:rsid w:val="006B2995"/>
    <w:rsid w:val="006B2B39"/>
    <w:rsid w:val="006B2F13"/>
    <w:rsid w:val="006B3EFD"/>
    <w:rsid w:val="006B409B"/>
    <w:rsid w:val="006B40C8"/>
    <w:rsid w:val="006B472A"/>
    <w:rsid w:val="006B549F"/>
    <w:rsid w:val="006B65CB"/>
    <w:rsid w:val="006B765D"/>
    <w:rsid w:val="006C0867"/>
    <w:rsid w:val="006C0FAD"/>
    <w:rsid w:val="006C12F3"/>
    <w:rsid w:val="006C14F6"/>
    <w:rsid w:val="006C1E36"/>
    <w:rsid w:val="006C1F18"/>
    <w:rsid w:val="006C215A"/>
    <w:rsid w:val="006C24C7"/>
    <w:rsid w:val="006C273C"/>
    <w:rsid w:val="006C374A"/>
    <w:rsid w:val="006C3A0F"/>
    <w:rsid w:val="006C3D97"/>
    <w:rsid w:val="006C476D"/>
    <w:rsid w:val="006C479E"/>
    <w:rsid w:val="006C482E"/>
    <w:rsid w:val="006C4A8F"/>
    <w:rsid w:val="006C57FE"/>
    <w:rsid w:val="006C5AB5"/>
    <w:rsid w:val="006C6E36"/>
    <w:rsid w:val="006C705E"/>
    <w:rsid w:val="006C7216"/>
    <w:rsid w:val="006C7266"/>
    <w:rsid w:val="006C74AE"/>
    <w:rsid w:val="006D045E"/>
    <w:rsid w:val="006D0B6D"/>
    <w:rsid w:val="006D0D77"/>
    <w:rsid w:val="006D1549"/>
    <w:rsid w:val="006D1A5F"/>
    <w:rsid w:val="006D2BF8"/>
    <w:rsid w:val="006D381C"/>
    <w:rsid w:val="006D39EA"/>
    <w:rsid w:val="006D3CE0"/>
    <w:rsid w:val="006D4801"/>
    <w:rsid w:val="006D487E"/>
    <w:rsid w:val="006D4A33"/>
    <w:rsid w:val="006D53DF"/>
    <w:rsid w:val="006D54F7"/>
    <w:rsid w:val="006D5604"/>
    <w:rsid w:val="006D5CDA"/>
    <w:rsid w:val="006D746B"/>
    <w:rsid w:val="006D7902"/>
    <w:rsid w:val="006D7C9D"/>
    <w:rsid w:val="006D7D85"/>
    <w:rsid w:val="006E045E"/>
    <w:rsid w:val="006E09E9"/>
    <w:rsid w:val="006E0B1F"/>
    <w:rsid w:val="006E0B21"/>
    <w:rsid w:val="006E171B"/>
    <w:rsid w:val="006E1E72"/>
    <w:rsid w:val="006E2C6D"/>
    <w:rsid w:val="006E33D2"/>
    <w:rsid w:val="006E3709"/>
    <w:rsid w:val="006E374B"/>
    <w:rsid w:val="006E3B50"/>
    <w:rsid w:val="006E44D3"/>
    <w:rsid w:val="006E4705"/>
    <w:rsid w:val="006E470D"/>
    <w:rsid w:val="006E49DF"/>
    <w:rsid w:val="006E4E1E"/>
    <w:rsid w:val="006E4E81"/>
    <w:rsid w:val="006E575C"/>
    <w:rsid w:val="006E5792"/>
    <w:rsid w:val="006E58CF"/>
    <w:rsid w:val="006E6241"/>
    <w:rsid w:val="006E645F"/>
    <w:rsid w:val="006E64C9"/>
    <w:rsid w:val="006E6F3D"/>
    <w:rsid w:val="006F0699"/>
    <w:rsid w:val="006F117D"/>
    <w:rsid w:val="006F1195"/>
    <w:rsid w:val="006F13F3"/>
    <w:rsid w:val="006F15D2"/>
    <w:rsid w:val="006F1DBD"/>
    <w:rsid w:val="006F1E00"/>
    <w:rsid w:val="006F2003"/>
    <w:rsid w:val="006F22D6"/>
    <w:rsid w:val="006F2B5D"/>
    <w:rsid w:val="006F301F"/>
    <w:rsid w:val="006F30C1"/>
    <w:rsid w:val="006F4841"/>
    <w:rsid w:val="006F5847"/>
    <w:rsid w:val="006F5B1A"/>
    <w:rsid w:val="006F5F76"/>
    <w:rsid w:val="006F6790"/>
    <w:rsid w:val="00700821"/>
    <w:rsid w:val="007010A7"/>
    <w:rsid w:val="007011D1"/>
    <w:rsid w:val="007011D8"/>
    <w:rsid w:val="007020A1"/>
    <w:rsid w:val="00702723"/>
    <w:rsid w:val="0070303A"/>
    <w:rsid w:val="0070328F"/>
    <w:rsid w:val="007038D9"/>
    <w:rsid w:val="00704346"/>
    <w:rsid w:val="00704464"/>
    <w:rsid w:val="00704527"/>
    <w:rsid w:val="007051A5"/>
    <w:rsid w:val="0070522E"/>
    <w:rsid w:val="00705BD7"/>
    <w:rsid w:val="00706197"/>
    <w:rsid w:val="007061EC"/>
    <w:rsid w:val="00706461"/>
    <w:rsid w:val="007068C5"/>
    <w:rsid w:val="00706937"/>
    <w:rsid w:val="00706995"/>
    <w:rsid w:val="00706C3A"/>
    <w:rsid w:val="00706DBF"/>
    <w:rsid w:val="00706E1E"/>
    <w:rsid w:val="007071D4"/>
    <w:rsid w:val="00707C37"/>
    <w:rsid w:val="00707CEC"/>
    <w:rsid w:val="00710164"/>
    <w:rsid w:val="00710167"/>
    <w:rsid w:val="00710595"/>
    <w:rsid w:val="00710870"/>
    <w:rsid w:val="007110B3"/>
    <w:rsid w:val="00712020"/>
    <w:rsid w:val="00712026"/>
    <w:rsid w:val="007121C0"/>
    <w:rsid w:val="00712638"/>
    <w:rsid w:val="0071276A"/>
    <w:rsid w:val="00712B22"/>
    <w:rsid w:val="00712D93"/>
    <w:rsid w:val="007131E8"/>
    <w:rsid w:val="007139BF"/>
    <w:rsid w:val="00713C11"/>
    <w:rsid w:val="007149AC"/>
    <w:rsid w:val="00714A38"/>
    <w:rsid w:val="00714B10"/>
    <w:rsid w:val="00714B64"/>
    <w:rsid w:val="00714BA7"/>
    <w:rsid w:val="00714BDA"/>
    <w:rsid w:val="00714F03"/>
    <w:rsid w:val="007152EE"/>
    <w:rsid w:val="00715338"/>
    <w:rsid w:val="00715C06"/>
    <w:rsid w:val="00716D4E"/>
    <w:rsid w:val="0071717E"/>
    <w:rsid w:val="00720A2C"/>
    <w:rsid w:val="00720B85"/>
    <w:rsid w:val="00720C22"/>
    <w:rsid w:val="00720C6E"/>
    <w:rsid w:val="00720E58"/>
    <w:rsid w:val="00720E79"/>
    <w:rsid w:val="007220A1"/>
    <w:rsid w:val="00722BE6"/>
    <w:rsid w:val="00722CD9"/>
    <w:rsid w:val="00722EF9"/>
    <w:rsid w:val="007232F1"/>
    <w:rsid w:val="00723942"/>
    <w:rsid w:val="00723F60"/>
    <w:rsid w:val="0072415D"/>
    <w:rsid w:val="0072454A"/>
    <w:rsid w:val="007245B1"/>
    <w:rsid w:val="00724952"/>
    <w:rsid w:val="00724CD4"/>
    <w:rsid w:val="00724DDA"/>
    <w:rsid w:val="00725AAF"/>
    <w:rsid w:val="00725D1A"/>
    <w:rsid w:val="00725DF3"/>
    <w:rsid w:val="00726B7D"/>
    <w:rsid w:val="00727285"/>
    <w:rsid w:val="00727380"/>
    <w:rsid w:val="00727D91"/>
    <w:rsid w:val="00727E44"/>
    <w:rsid w:val="00730152"/>
    <w:rsid w:val="007301B7"/>
    <w:rsid w:val="007305BB"/>
    <w:rsid w:val="0073071A"/>
    <w:rsid w:val="00730DD2"/>
    <w:rsid w:val="007310E4"/>
    <w:rsid w:val="00731129"/>
    <w:rsid w:val="00732732"/>
    <w:rsid w:val="00732752"/>
    <w:rsid w:val="00732855"/>
    <w:rsid w:val="00732873"/>
    <w:rsid w:val="007335F6"/>
    <w:rsid w:val="0073397C"/>
    <w:rsid w:val="00734051"/>
    <w:rsid w:val="00734519"/>
    <w:rsid w:val="0073458B"/>
    <w:rsid w:val="007347C3"/>
    <w:rsid w:val="00734B84"/>
    <w:rsid w:val="007357C1"/>
    <w:rsid w:val="00735EBF"/>
    <w:rsid w:val="007365ED"/>
    <w:rsid w:val="00736927"/>
    <w:rsid w:val="00737107"/>
    <w:rsid w:val="00737A4B"/>
    <w:rsid w:val="00740008"/>
    <w:rsid w:val="00741355"/>
    <w:rsid w:val="007414E3"/>
    <w:rsid w:val="007415E9"/>
    <w:rsid w:val="00741C56"/>
    <w:rsid w:val="00741C83"/>
    <w:rsid w:val="00741E9A"/>
    <w:rsid w:val="00742891"/>
    <w:rsid w:val="00742C3D"/>
    <w:rsid w:val="00742DAD"/>
    <w:rsid w:val="00743334"/>
    <w:rsid w:val="00743455"/>
    <w:rsid w:val="007435B8"/>
    <w:rsid w:val="007440C0"/>
    <w:rsid w:val="00744156"/>
    <w:rsid w:val="007444AE"/>
    <w:rsid w:val="007447C6"/>
    <w:rsid w:val="00744887"/>
    <w:rsid w:val="007449FE"/>
    <w:rsid w:val="00744A43"/>
    <w:rsid w:val="00744CEC"/>
    <w:rsid w:val="00745972"/>
    <w:rsid w:val="00745A05"/>
    <w:rsid w:val="00745F8E"/>
    <w:rsid w:val="00746564"/>
    <w:rsid w:val="00746721"/>
    <w:rsid w:val="00746A9B"/>
    <w:rsid w:val="007476A5"/>
    <w:rsid w:val="00747741"/>
    <w:rsid w:val="007505F4"/>
    <w:rsid w:val="00750979"/>
    <w:rsid w:val="0075126E"/>
    <w:rsid w:val="00751313"/>
    <w:rsid w:val="007514AA"/>
    <w:rsid w:val="00751760"/>
    <w:rsid w:val="00751877"/>
    <w:rsid w:val="007518C9"/>
    <w:rsid w:val="0075218A"/>
    <w:rsid w:val="00752238"/>
    <w:rsid w:val="00752DE0"/>
    <w:rsid w:val="00752E14"/>
    <w:rsid w:val="007532B4"/>
    <w:rsid w:val="00753590"/>
    <w:rsid w:val="00753DA5"/>
    <w:rsid w:val="00753E07"/>
    <w:rsid w:val="00754B67"/>
    <w:rsid w:val="00754C10"/>
    <w:rsid w:val="00754E53"/>
    <w:rsid w:val="0075502B"/>
    <w:rsid w:val="007551A1"/>
    <w:rsid w:val="0075553E"/>
    <w:rsid w:val="00755633"/>
    <w:rsid w:val="00755B6F"/>
    <w:rsid w:val="007566FB"/>
    <w:rsid w:val="0075677E"/>
    <w:rsid w:val="00756A17"/>
    <w:rsid w:val="00756B41"/>
    <w:rsid w:val="00756D17"/>
    <w:rsid w:val="0075737C"/>
    <w:rsid w:val="007576EC"/>
    <w:rsid w:val="00757957"/>
    <w:rsid w:val="00760978"/>
    <w:rsid w:val="00760D42"/>
    <w:rsid w:val="007612D3"/>
    <w:rsid w:val="007623B0"/>
    <w:rsid w:val="00762A7D"/>
    <w:rsid w:val="00763B9E"/>
    <w:rsid w:val="00764588"/>
    <w:rsid w:val="007648FE"/>
    <w:rsid w:val="00764B39"/>
    <w:rsid w:val="007664EA"/>
    <w:rsid w:val="007667C4"/>
    <w:rsid w:val="007670FC"/>
    <w:rsid w:val="00767282"/>
    <w:rsid w:val="00767585"/>
    <w:rsid w:val="00767636"/>
    <w:rsid w:val="007678B9"/>
    <w:rsid w:val="00767A42"/>
    <w:rsid w:val="00767DDD"/>
    <w:rsid w:val="00767E20"/>
    <w:rsid w:val="00767F7F"/>
    <w:rsid w:val="007703EA"/>
    <w:rsid w:val="00770C49"/>
    <w:rsid w:val="00770CE3"/>
    <w:rsid w:val="00770F33"/>
    <w:rsid w:val="0077130E"/>
    <w:rsid w:val="007713D6"/>
    <w:rsid w:val="007713D7"/>
    <w:rsid w:val="00771BF6"/>
    <w:rsid w:val="0077249A"/>
    <w:rsid w:val="0077262C"/>
    <w:rsid w:val="00772A29"/>
    <w:rsid w:val="007734A3"/>
    <w:rsid w:val="007738CB"/>
    <w:rsid w:val="00773B3E"/>
    <w:rsid w:val="00773E65"/>
    <w:rsid w:val="00774151"/>
    <w:rsid w:val="007741B0"/>
    <w:rsid w:val="00774351"/>
    <w:rsid w:val="007745D3"/>
    <w:rsid w:val="007746DC"/>
    <w:rsid w:val="0077558B"/>
    <w:rsid w:val="007756E4"/>
    <w:rsid w:val="00775F6A"/>
    <w:rsid w:val="00776874"/>
    <w:rsid w:val="0077726C"/>
    <w:rsid w:val="00777A41"/>
    <w:rsid w:val="00777AAB"/>
    <w:rsid w:val="007801B4"/>
    <w:rsid w:val="00780FF9"/>
    <w:rsid w:val="0078285C"/>
    <w:rsid w:val="00782B30"/>
    <w:rsid w:val="007831E0"/>
    <w:rsid w:val="007834CC"/>
    <w:rsid w:val="00783A36"/>
    <w:rsid w:val="007845D4"/>
    <w:rsid w:val="00784DF0"/>
    <w:rsid w:val="007852BE"/>
    <w:rsid w:val="00785A38"/>
    <w:rsid w:val="00785BDF"/>
    <w:rsid w:val="00785C2A"/>
    <w:rsid w:val="0078668F"/>
    <w:rsid w:val="0078700E"/>
    <w:rsid w:val="00787339"/>
    <w:rsid w:val="00787B59"/>
    <w:rsid w:val="007900A9"/>
    <w:rsid w:val="007910C3"/>
    <w:rsid w:val="00791110"/>
    <w:rsid w:val="00791250"/>
    <w:rsid w:val="0079150D"/>
    <w:rsid w:val="00791DE1"/>
    <w:rsid w:val="00793181"/>
    <w:rsid w:val="007936BD"/>
    <w:rsid w:val="007936C1"/>
    <w:rsid w:val="00793867"/>
    <w:rsid w:val="00793D45"/>
    <w:rsid w:val="00794BF9"/>
    <w:rsid w:val="007951A2"/>
    <w:rsid w:val="00795E20"/>
    <w:rsid w:val="00796787"/>
    <w:rsid w:val="007975BD"/>
    <w:rsid w:val="00797B7E"/>
    <w:rsid w:val="007A05A2"/>
    <w:rsid w:val="007A10D6"/>
    <w:rsid w:val="007A12EE"/>
    <w:rsid w:val="007A138C"/>
    <w:rsid w:val="007A1834"/>
    <w:rsid w:val="007A1856"/>
    <w:rsid w:val="007A1E52"/>
    <w:rsid w:val="007A2A4D"/>
    <w:rsid w:val="007A31B2"/>
    <w:rsid w:val="007A3629"/>
    <w:rsid w:val="007A385C"/>
    <w:rsid w:val="007A38F5"/>
    <w:rsid w:val="007A3D24"/>
    <w:rsid w:val="007A3FE6"/>
    <w:rsid w:val="007A4860"/>
    <w:rsid w:val="007A4CAF"/>
    <w:rsid w:val="007A4F7B"/>
    <w:rsid w:val="007A61E4"/>
    <w:rsid w:val="007A6395"/>
    <w:rsid w:val="007A704A"/>
    <w:rsid w:val="007A7242"/>
    <w:rsid w:val="007B12B0"/>
    <w:rsid w:val="007B1392"/>
    <w:rsid w:val="007B1785"/>
    <w:rsid w:val="007B18D1"/>
    <w:rsid w:val="007B215A"/>
    <w:rsid w:val="007B21B0"/>
    <w:rsid w:val="007B22DC"/>
    <w:rsid w:val="007B24F0"/>
    <w:rsid w:val="007B34DC"/>
    <w:rsid w:val="007B3A98"/>
    <w:rsid w:val="007B3ED1"/>
    <w:rsid w:val="007B4008"/>
    <w:rsid w:val="007B49C4"/>
    <w:rsid w:val="007B4D74"/>
    <w:rsid w:val="007B4DC6"/>
    <w:rsid w:val="007B5132"/>
    <w:rsid w:val="007B5169"/>
    <w:rsid w:val="007B5E60"/>
    <w:rsid w:val="007B69E8"/>
    <w:rsid w:val="007B6C17"/>
    <w:rsid w:val="007B743C"/>
    <w:rsid w:val="007B7914"/>
    <w:rsid w:val="007C0165"/>
    <w:rsid w:val="007C02FD"/>
    <w:rsid w:val="007C0417"/>
    <w:rsid w:val="007C048B"/>
    <w:rsid w:val="007C0508"/>
    <w:rsid w:val="007C057E"/>
    <w:rsid w:val="007C1541"/>
    <w:rsid w:val="007C19DF"/>
    <w:rsid w:val="007C25F8"/>
    <w:rsid w:val="007C44DC"/>
    <w:rsid w:val="007C4545"/>
    <w:rsid w:val="007C45F7"/>
    <w:rsid w:val="007C46D1"/>
    <w:rsid w:val="007C47C2"/>
    <w:rsid w:val="007C4822"/>
    <w:rsid w:val="007C4DEF"/>
    <w:rsid w:val="007C5468"/>
    <w:rsid w:val="007C55F1"/>
    <w:rsid w:val="007C58AB"/>
    <w:rsid w:val="007C6148"/>
    <w:rsid w:val="007C6900"/>
    <w:rsid w:val="007C69A9"/>
    <w:rsid w:val="007C6C60"/>
    <w:rsid w:val="007C6D07"/>
    <w:rsid w:val="007C745C"/>
    <w:rsid w:val="007C7578"/>
    <w:rsid w:val="007C79D6"/>
    <w:rsid w:val="007C7E7C"/>
    <w:rsid w:val="007C7F4C"/>
    <w:rsid w:val="007D065E"/>
    <w:rsid w:val="007D0A94"/>
    <w:rsid w:val="007D0B22"/>
    <w:rsid w:val="007D0BD6"/>
    <w:rsid w:val="007D0D5B"/>
    <w:rsid w:val="007D1160"/>
    <w:rsid w:val="007D116E"/>
    <w:rsid w:val="007D143D"/>
    <w:rsid w:val="007D25B9"/>
    <w:rsid w:val="007D2BE8"/>
    <w:rsid w:val="007D3066"/>
    <w:rsid w:val="007D3160"/>
    <w:rsid w:val="007D37EA"/>
    <w:rsid w:val="007D3CAA"/>
    <w:rsid w:val="007D421B"/>
    <w:rsid w:val="007D4490"/>
    <w:rsid w:val="007D4579"/>
    <w:rsid w:val="007D51EB"/>
    <w:rsid w:val="007D5508"/>
    <w:rsid w:val="007D58BB"/>
    <w:rsid w:val="007D590C"/>
    <w:rsid w:val="007D63B1"/>
    <w:rsid w:val="007D6724"/>
    <w:rsid w:val="007D6835"/>
    <w:rsid w:val="007D6A93"/>
    <w:rsid w:val="007D7CDE"/>
    <w:rsid w:val="007D7DC7"/>
    <w:rsid w:val="007E01AF"/>
    <w:rsid w:val="007E0578"/>
    <w:rsid w:val="007E0772"/>
    <w:rsid w:val="007E0D31"/>
    <w:rsid w:val="007E0E04"/>
    <w:rsid w:val="007E0EF9"/>
    <w:rsid w:val="007E21D9"/>
    <w:rsid w:val="007E2BDD"/>
    <w:rsid w:val="007E31EF"/>
    <w:rsid w:val="007E45CA"/>
    <w:rsid w:val="007E48C0"/>
    <w:rsid w:val="007E4AD5"/>
    <w:rsid w:val="007E5885"/>
    <w:rsid w:val="007E61B7"/>
    <w:rsid w:val="007E64FF"/>
    <w:rsid w:val="007E6F62"/>
    <w:rsid w:val="007E6FEA"/>
    <w:rsid w:val="007E7764"/>
    <w:rsid w:val="007E7C7B"/>
    <w:rsid w:val="007E7E0F"/>
    <w:rsid w:val="007E7F8F"/>
    <w:rsid w:val="007F015E"/>
    <w:rsid w:val="007F1160"/>
    <w:rsid w:val="007F21B0"/>
    <w:rsid w:val="007F260E"/>
    <w:rsid w:val="007F2DE9"/>
    <w:rsid w:val="007F341B"/>
    <w:rsid w:val="007F3682"/>
    <w:rsid w:val="007F3AA2"/>
    <w:rsid w:val="007F3B45"/>
    <w:rsid w:val="007F3E3E"/>
    <w:rsid w:val="007F4786"/>
    <w:rsid w:val="007F4A9E"/>
    <w:rsid w:val="007F4ABC"/>
    <w:rsid w:val="007F4D45"/>
    <w:rsid w:val="007F4FBD"/>
    <w:rsid w:val="007F510F"/>
    <w:rsid w:val="007F545B"/>
    <w:rsid w:val="007F59B2"/>
    <w:rsid w:val="007F5F4C"/>
    <w:rsid w:val="007F632F"/>
    <w:rsid w:val="007F6607"/>
    <w:rsid w:val="007F6E05"/>
    <w:rsid w:val="007F7865"/>
    <w:rsid w:val="007F7FB3"/>
    <w:rsid w:val="0080026A"/>
    <w:rsid w:val="00800340"/>
    <w:rsid w:val="00800953"/>
    <w:rsid w:val="00801255"/>
    <w:rsid w:val="0080197B"/>
    <w:rsid w:val="00801C1F"/>
    <w:rsid w:val="008021D3"/>
    <w:rsid w:val="00802849"/>
    <w:rsid w:val="00802971"/>
    <w:rsid w:val="00803808"/>
    <w:rsid w:val="008038E3"/>
    <w:rsid w:val="008038F6"/>
    <w:rsid w:val="00804558"/>
    <w:rsid w:val="00804642"/>
    <w:rsid w:val="008047AE"/>
    <w:rsid w:val="00804A7E"/>
    <w:rsid w:val="00804B21"/>
    <w:rsid w:val="00805368"/>
    <w:rsid w:val="00805483"/>
    <w:rsid w:val="008056AF"/>
    <w:rsid w:val="0080585D"/>
    <w:rsid w:val="00806273"/>
    <w:rsid w:val="0080661F"/>
    <w:rsid w:val="00806EFD"/>
    <w:rsid w:val="00807074"/>
    <w:rsid w:val="0080723B"/>
    <w:rsid w:val="00807D96"/>
    <w:rsid w:val="00807E43"/>
    <w:rsid w:val="00807F69"/>
    <w:rsid w:val="008100FF"/>
    <w:rsid w:val="00810368"/>
    <w:rsid w:val="008108B5"/>
    <w:rsid w:val="00810BE7"/>
    <w:rsid w:val="00810C81"/>
    <w:rsid w:val="00811336"/>
    <w:rsid w:val="0081165D"/>
    <w:rsid w:val="00811B28"/>
    <w:rsid w:val="008125E8"/>
    <w:rsid w:val="00812862"/>
    <w:rsid w:val="00812A7A"/>
    <w:rsid w:val="0081362B"/>
    <w:rsid w:val="008141DF"/>
    <w:rsid w:val="0081450B"/>
    <w:rsid w:val="0081467F"/>
    <w:rsid w:val="00815339"/>
    <w:rsid w:val="008154F1"/>
    <w:rsid w:val="008155A2"/>
    <w:rsid w:val="0081591F"/>
    <w:rsid w:val="00815A99"/>
    <w:rsid w:val="00815C14"/>
    <w:rsid w:val="00815E5B"/>
    <w:rsid w:val="008160D1"/>
    <w:rsid w:val="008162B3"/>
    <w:rsid w:val="0081640D"/>
    <w:rsid w:val="0081687A"/>
    <w:rsid w:val="008169A1"/>
    <w:rsid w:val="00820160"/>
    <w:rsid w:val="0082022B"/>
    <w:rsid w:val="00820E0E"/>
    <w:rsid w:val="00821237"/>
    <w:rsid w:val="008216DA"/>
    <w:rsid w:val="008217C3"/>
    <w:rsid w:val="00821868"/>
    <w:rsid w:val="008219B8"/>
    <w:rsid w:val="00821ECA"/>
    <w:rsid w:val="00822414"/>
    <w:rsid w:val="00822CB9"/>
    <w:rsid w:val="00822E2C"/>
    <w:rsid w:val="00823116"/>
    <w:rsid w:val="0082350E"/>
    <w:rsid w:val="00823658"/>
    <w:rsid w:val="00823966"/>
    <w:rsid w:val="008239BF"/>
    <w:rsid w:val="00823B36"/>
    <w:rsid w:val="008240D3"/>
    <w:rsid w:val="0082488C"/>
    <w:rsid w:val="008251E7"/>
    <w:rsid w:val="00825417"/>
    <w:rsid w:val="00825732"/>
    <w:rsid w:val="00825B78"/>
    <w:rsid w:val="008262BC"/>
    <w:rsid w:val="0082664F"/>
    <w:rsid w:val="008266A2"/>
    <w:rsid w:val="008267AE"/>
    <w:rsid w:val="00827060"/>
    <w:rsid w:val="00827FD1"/>
    <w:rsid w:val="00830B33"/>
    <w:rsid w:val="0083118A"/>
    <w:rsid w:val="00831784"/>
    <w:rsid w:val="00832727"/>
    <w:rsid w:val="008337C1"/>
    <w:rsid w:val="00834F23"/>
    <w:rsid w:val="008353B6"/>
    <w:rsid w:val="00835FC6"/>
    <w:rsid w:val="00836909"/>
    <w:rsid w:val="00836A67"/>
    <w:rsid w:val="00836B56"/>
    <w:rsid w:val="00836CEB"/>
    <w:rsid w:val="00837BBD"/>
    <w:rsid w:val="00840E6E"/>
    <w:rsid w:val="00840EAF"/>
    <w:rsid w:val="008416BF"/>
    <w:rsid w:val="008416FD"/>
    <w:rsid w:val="0084188F"/>
    <w:rsid w:val="0084258E"/>
    <w:rsid w:val="00842659"/>
    <w:rsid w:val="0084293A"/>
    <w:rsid w:val="0084354C"/>
    <w:rsid w:val="0084375D"/>
    <w:rsid w:val="0084416F"/>
    <w:rsid w:val="00844462"/>
    <w:rsid w:val="008449FE"/>
    <w:rsid w:val="00845515"/>
    <w:rsid w:val="00845520"/>
    <w:rsid w:val="008458B3"/>
    <w:rsid w:val="00845B6E"/>
    <w:rsid w:val="00845FC4"/>
    <w:rsid w:val="008461B0"/>
    <w:rsid w:val="00846C9F"/>
    <w:rsid w:val="00846D16"/>
    <w:rsid w:val="00846F4C"/>
    <w:rsid w:val="00846FA0"/>
    <w:rsid w:val="008470BD"/>
    <w:rsid w:val="008471CE"/>
    <w:rsid w:val="0085044B"/>
    <w:rsid w:val="008505B8"/>
    <w:rsid w:val="00850908"/>
    <w:rsid w:val="00850EE1"/>
    <w:rsid w:val="0085165B"/>
    <w:rsid w:val="0085179C"/>
    <w:rsid w:val="008518FA"/>
    <w:rsid w:val="00851903"/>
    <w:rsid w:val="00851B3F"/>
    <w:rsid w:val="00851DCB"/>
    <w:rsid w:val="00851E0C"/>
    <w:rsid w:val="00851F5F"/>
    <w:rsid w:val="00852142"/>
    <w:rsid w:val="008528CF"/>
    <w:rsid w:val="00853510"/>
    <w:rsid w:val="00853E5B"/>
    <w:rsid w:val="00854123"/>
    <w:rsid w:val="008542D1"/>
    <w:rsid w:val="00854465"/>
    <w:rsid w:val="008544BD"/>
    <w:rsid w:val="00854946"/>
    <w:rsid w:val="00854B62"/>
    <w:rsid w:val="00854B77"/>
    <w:rsid w:val="00854E58"/>
    <w:rsid w:val="00854EDA"/>
    <w:rsid w:val="008558ED"/>
    <w:rsid w:val="00855CFC"/>
    <w:rsid w:val="00855FD5"/>
    <w:rsid w:val="00856049"/>
    <w:rsid w:val="0085632A"/>
    <w:rsid w:val="008568BB"/>
    <w:rsid w:val="00856E96"/>
    <w:rsid w:val="008577B8"/>
    <w:rsid w:val="00857822"/>
    <w:rsid w:val="00857C93"/>
    <w:rsid w:val="00860D51"/>
    <w:rsid w:val="008611C1"/>
    <w:rsid w:val="0086151A"/>
    <w:rsid w:val="0086173C"/>
    <w:rsid w:val="00861DA4"/>
    <w:rsid w:val="0086222B"/>
    <w:rsid w:val="00862330"/>
    <w:rsid w:val="0086235D"/>
    <w:rsid w:val="0086264B"/>
    <w:rsid w:val="00862694"/>
    <w:rsid w:val="008626E9"/>
    <w:rsid w:val="008626EB"/>
    <w:rsid w:val="00862EFD"/>
    <w:rsid w:val="008638FB"/>
    <w:rsid w:val="0086444C"/>
    <w:rsid w:val="008644B1"/>
    <w:rsid w:val="00864768"/>
    <w:rsid w:val="008658AB"/>
    <w:rsid w:val="00865B18"/>
    <w:rsid w:val="0086672E"/>
    <w:rsid w:val="00866CF2"/>
    <w:rsid w:val="008675EC"/>
    <w:rsid w:val="008679CE"/>
    <w:rsid w:val="00867DA7"/>
    <w:rsid w:val="008705A8"/>
    <w:rsid w:val="00870973"/>
    <w:rsid w:val="008718FC"/>
    <w:rsid w:val="00871CC2"/>
    <w:rsid w:val="00871F4F"/>
    <w:rsid w:val="0087200D"/>
    <w:rsid w:val="00872131"/>
    <w:rsid w:val="008723B8"/>
    <w:rsid w:val="008725F5"/>
    <w:rsid w:val="00873147"/>
    <w:rsid w:val="00873538"/>
    <w:rsid w:val="00873664"/>
    <w:rsid w:val="0087395B"/>
    <w:rsid w:val="00873C1E"/>
    <w:rsid w:val="00873CD6"/>
    <w:rsid w:val="00873DE6"/>
    <w:rsid w:val="00873FBF"/>
    <w:rsid w:val="00874178"/>
    <w:rsid w:val="00874272"/>
    <w:rsid w:val="008743DF"/>
    <w:rsid w:val="00874C66"/>
    <w:rsid w:val="00874F67"/>
    <w:rsid w:val="008753C3"/>
    <w:rsid w:val="00875F4F"/>
    <w:rsid w:val="008762D8"/>
    <w:rsid w:val="008772D9"/>
    <w:rsid w:val="00877B29"/>
    <w:rsid w:val="008808B9"/>
    <w:rsid w:val="00880B30"/>
    <w:rsid w:val="00880F1D"/>
    <w:rsid w:val="0088172A"/>
    <w:rsid w:val="00881F90"/>
    <w:rsid w:val="00882A8C"/>
    <w:rsid w:val="00882D46"/>
    <w:rsid w:val="00883FC6"/>
    <w:rsid w:val="008851C4"/>
    <w:rsid w:val="008855FF"/>
    <w:rsid w:val="00885696"/>
    <w:rsid w:val="0088570A"/>
    <w:rsid w:val="00885E9D"/>
    <w:rsid w:val="0088636E"/>
    <w:rsid w:val="008864A7"/>
    <w:rsid w:val="0088666A"/>
    <w:rsid w:val="0088688A"/>
    <w:rsid w:val="00886A9E"/>
    <w:rsid w:val="00886DC9"/>
    <w:rsid w:val="00886EC7"/>
    <w:rsid w:val="00887184"/>
    <w:rsid w:val="00887993"/>
    <w:rsid w:val="008879EA"/>
    <w:rsid w:val="00890139"/>
    <w:rsid w:val="0089160E"/>
    <w:rsid w:val="00891BAB"/>
    <w:rsid w:val="008921B1"/>
    <w:rsid w:val="00892687"/>
    <w:rsid w:val="00893386"/>
    <w:rsid w:val="0089363C"/>
    <w:rsid w:val="00893657"/>
    <w:rsid w:val="00893671"/>
    <w:rsid w:val="008941FB"/>
    <w:rsid w:val="00894565"/>
    <w:rsid w:val="00895075"/>
    <w:rsid w:val="008950D6"/>
    <w:rsid w:val="00895B46"/>
    <w:rsid w:val="00896474"/>
    <w:rsid w:val="00896DBC"/>
    <w:rsid w:val="00897B37"/>
    <w:rsid w:val="00897B59"/>
    <w:rsid w:val="00897C6C"/>
    <w:rsid w:val="00897D1A"/>
    <w:rsid w:val="008A04FA"/>
    <w:rsid w:val="008A05A1"/>
    <w:rsid w:val="008A0905"/>
    <w:rsid w:val="008A0B02"/>
    <w:rsid w:val="008A0E0D"/>
    <w:rsid w:val="008A155C"/>
    <w:rsid w:val="008A180E"/>
    <w:rsid w:val="008A197C"/>
    <w:rsid w:val="008A1FF0"/>
    <w:rsid w:val="008A2545"/>
    <w:rsid w:val="008A2636"/>
    <w:rsid w:val="008A35DB"/>
    <w:rsid w:val="008A3AF9"/>
    <w:rsid w:val="008A3FBE"/>
    <w:rsid w:val="008A4013"/>
    <w:rsid w:val="008A482C"/>
    <w:rsid w:val="008A4C9C"/>
    <w:rsid w:val="008A5592"/>
    <w:rsid w:val="008A6041"/>
    <w:rsid w:val="008A60F8"/>
    <w:rsid w:val="008A69FE"/>
    <w:rsid w:val="008A6EC7"/>
    <w:rsid w:val="008A6F36"/>
    <w:rsid w:val="008A7286"/>
    <w:rsid w:val="008A7B50"/>
    <w:rsid w:val="008B0077"/>
    <w:rsid w:val="008B03C5"/>
    <w:rsid w:val="008B0641"/>
    <w:rsid w:val="008B0EB7"/>
    <w:rsid w:val="008B138E"/>
    <w:rsid w:val="008B1C78"/>
    <w:rsid w:val="008B1F87"/>
    <w:rsid w:val="008B28BD"/>
    <w:rsid w:val="008B2E96"/>
    <w:rsid w:val="008B2F53"/>
    <w:rsid w:val="008B3006"/>
    <w:rsid w:val="008B3139"/>
    <w:rsid w:val="008B3B50"/>
    <w:rsid w:val="008B3D47"/>
    <w:rsid w:val="008B44CB"/>
    <w:rsid w:val="008B46D2"/>
    <w:rsid w:val="008B5253"/>
    <w:rsid w:val="008B53D8"/>
    <w:rsid w:val="008B63BE"/>
    <w:rsid w:val="008B640E"/>
    <w:rsid w:val="008B6505"/>
    <w:rsid w:val="008B688D"/>
    <w:rsid w:val="008B70EE"/>
    <w:rsid w:val="008B715C"/>
    <w:rsid w:val="008B75B8"/>
    <w:rsid w:val="008B7D39"/>
    <w:rsid w:val="008C0EAD"/>
    <w:rsid w:val="008C1442"/>
    <w:rsid w:val="008C1693"/>
    <w:rsid w:val="008C19D9"/>
    <w:rsid w:val="008C1A5E"/>
    <w:rsid w:val="008C1A81"/>
    <w:rsid w:val="008C1F3B"/>
    <w:rsid w:val="008C29FE"/>
    <w:rsid w:val="008C2B47"/>
    <w:rsid w:val="008C32CA"/>
    <w:rsid w:val="008C3953"/>
    <w:rsid w:val="008C3967"/>
    <w:rsid w:val="008C431E"/>
    <w:rsid w:val="008C4EC5"/>
    <w:rsid w:val="008C54BD"/>
    <w:rsid w:val="008C54C4"/>
    <w:rsid w:val="008C6056"/>
    <w:rsid w:val="008C6404"/>
    <w:rsid w:val="008C6628"/>
    <w:rsid w:val="008C69C9"/>
    <w:rsid w:val="008C6E38"/>
    <w:rsid w:val="008C6F75"/>
    <w:rsid w:val="008C7C18"/>
    <w:rsid w:val="008C7CC4"/>
    <w:rsid w:val="008C7CE8"/>
    <w:rsid w:val="008D047D"/>
    <w:rsid w:val="008D0B4C"/>
    <w:rsid w:val="008D0E55"/>
    <w:rsid w:val="008D14C4"/>
    <w:rsid w:val="008D1907"/>
    <w:rsid w:val="008D1964"/>
    <w:rsid w:val="008D1AD5"/>
    <w:rsid w:val="008D221A"/>
    <w:rsid w:val="008D24D6"/>
    <w:rsid w:val="008D24E1"/>
    <w:rsid w:val="008D3C1E"/>
    <w:rsid w:val="008D3E6A"/>
    <w:rsid w:val="008D4B22"/>
    <w:rsid w:val="008D512E"/>
    <w:rsid w:val="008D53E2"/>
    <w:rsid w:val="008D578F"/>
    <w:rsid w:val="008D5908"/>
    <w:rsid w:val="008D5AF1"/>
    <w:rsid w:val="008D6393"/>
    <w:rsid w:val="008D63BF"/>
    <w:rsid w:val="008D6A5D"/>
    <w:rsid w:val="008D6A6E"/>
    <w:rsid w:val="008D716B"/>
    <w:rsid w:val="008D781F"/>
    <w:rsid w:val="008D7DBE"/>
    <w:rsid w:val="008E02B7"/>
    <w:rsid w:val="008E20BE"/>
    <w:rsid w:val="008E241B"/>
    <w:rsid w:val="008E2EE4"/>
    <w:rsid w:val="008E3096"/>
    <w:rsid w:val="008E330C"/>
    <w:rsid w:val="008E332F"/>
    <w:rsid w:val="008E4114"/>
    <w:rsid w:val="008E4142"/>
    <w:rsid w:val="008E45EA"/>
    <w:rsid w:val="008E4A1A"/>
    <w:rsid w:val="008E4A3B"/>
    <w:rsid w:val="008E4B16"/>
    <w:rsid w:val="008E5E01"/>
    <w:rsid w:val="008E5EAC"/>
    <w:rsid w:val="008E69A3"/>
    <w:rsid w:val="008E6DEF"/>
    <w:rsid w:val="008E7CC9"/>
    <w:rsid w:val="008F02A1"/>
    <w:rsid w:val="008F0E69"/>
    <w:rsid w:val="008F12FF"/>
    <w:rsid w:val="008F3BEA"/>
    <w:rsid w:val="008F3D3E"/>
    <w:rsid w:val="008F3F31"/>
    <w:rsid w:val="008F4655"/>
    <w:rsid w:val="008F4779"/>
    <w:rsid w:val="008F542B"/>
    <w:rsid w:val="008F5670"/>
    <w:rsid w:val="008F599F"/>
    <w:rsid w:val="008F5AD8"/>
    <w:rsid w:val="008F63DF"/>
    <w:rsid w:val="008F64E5"/>
    <w:rsid w:val="008F6703"/>
    <w:rsid w:val="008F677E"/>
    <w:rsid w:val="008F6E02"/>
    <w:rsid w:val="008F7474"/>
    <w:rsid w:val="008F7C28"/>
    <w:rsid w:val="0090034D"/>
    <w:rsid w:val="00900EC7"/>
    <w:rsid w:val="00900FFC"/>
    <w:rsid w:val="009011F9"/>
    <w:rsid w:val="00901244"/>
    <w:rsid w:val="00901979"/>
    <w:rsid w:val="00902357"/>
    <w:rsid w:val="0090242A"/>
    <w:rsid w:val="00902A67"/>
    <w:rsid w:val="00902C85"/>
    <w:rsid w:val="00902CAD"/>
    <w:rsid w:val="00902FC5"/>
    <w:rsid w:val="009030F7"/>
    <w:rsid w:val="009034D9"/>
    <w:rsid w:val="009046C9"/>
    <w:rsid w:val="009046F1"/>
    <w:rsid w:val="0090483E"/>
    <w:rsid w:val="00904883"/>
    <w:rsid w:val="00904B0A"/>
    <w:rsid w:val="00904F84"/>
    <w:rsid w:val="009055DD"/>
    <w:rsid w:val="0090616A"/>
    <w:rsid w:val="00906527"/>
    <w:rsid w:val="00906BD9"/>
    <w:rsid w:val="00906EA0"/>
    <w:rsid w:val="00907F4C"/>
    <w:rsid w:val="0091006A"/>
    <w:rsid w:val="00910B57"/>
    <w:rsid w:val="0091148A"/>
    <w:rsid w:val="009119DB"/>
    <w:rsid w:val="009121DE"/>
    <w:rsid w:val="00912347"/>
    <w:rsid w:val="0091268D"/>
    <w:rsid w:val="009129C1"/>
    <w:rsid w:val="00912EBE"/>
    <w:rsid w:val="00913B74"/>
    <w:rsid w:val="00913EBB"/>
    <w:rsid w:val="009141BB"/>
    <w:rsid w:val="00914B55"/>
    <w:rsid w:val="00914DC4"/>
    <w:rsid w:val="00915329"/>
    <w:rsid w:val="0091588C"/>
    <w:rsid w:val="00915DB5"/>
    <w:rsid w:val="00915DF4"/>
    <w:rsid w:val="00916068"/>
    <w:rsid w:val="00916925"/>
    <w:rsid w:val="00916BF5"/>
    <w:rsid w:val="00916CCB"/>
    <w:rsid w:val="00916F79"/>
    <w:rsid w:val="00917323"/>
    <w:rsid w:val="00917B23"/>
    <w:rsid w:val="00917DB8"/>
    <w:rsid w:val="00920CBC"/>
    <w:rsid w:val="00920EC8"/>
    <w:rsid w:val="00921102"/>
    <w:rsid w:val="00921305"/>
    <w:rsid w:val="00921783"/>
    <w:rsid w:val="009217D9"/>
    <w:rsid w:val="00921AC8"/>
    <w:rsid w:val="0092206F"/>
    <w:rsid w:val="00922482"/>
    <w:rsid w:val="00922A2B"/>
    <w:rsid w:val="00924A6C"/>
    <w:rsid w:val="00924ED4"/>
    <w:rsid w:val="00924F63"/>
    <w:rsid w:val="0092518C"/>
    <w:rsid w:val="0092646C"/>
    <w:rsid w:val="00926BB3"/>
    <w:rsid w:val="00926E05"/>
    <w:rsid w:val="009271AB"/>
    <w:rsid w:val="00927281"/>
    <w:rsid w:val="009273B8"/>
    <w:rsid w:val="00927A20"/>
    <w:rsid w:val="00930216"/>
    <w:rsid w:val="00930298"/>
    <w:rsid w:val="009302A6"/>
    <w:rsid w:val="009302BA"/>
    <w:rsid w:val="00930956"/>
    <w:rsid w:val="00930AD3"/>
    <w:rsid w:val="009312AA"/>
    <w:rsid w:val="00931325"/>
    <w:rsid w:val="00931353"/>
    <w:rsid w:val="009319DC"/>
    <w:rsid w:val="00931AAD"/>
    <w:rsid w:val="00931D4B"/>
    <w:rsid w:val="00931E6D"/>
    <w:rsid w:val="00932D04"/>
    <w:rsid w:val="00932E9E"/>
    <w:rsid w:val="00933425"/>
    <w:rsid w:val="00933B8A"/>
    <w:rsid w:val="00934141"/>
    <w:rsid w:val="009341AA"/>
    <w:rsid w:val="0093429A"/>
    <w:rsid w:val="009347AB"/>
    <w:rsid w:val="009352D3"/>
    <w:rsid w:val="009355BB"/>
    <w:rsid w:val="00935789"/>
    <w:rsid w:val="009359C5"/>
    <w:rsid w:val="00935CFA"/>
    <w:rsid w:val="009361E8"/>
    <w:rsid w:val="00936247"/>
    <w:rsid w:val="00936501"/>
    <w:rsid w:val="009366AD"/>
    <w:rsid w:val="009372C2"/>
    <w:rsid w:val="009377A1"/>
    <w:rsid w:val="00940850"/>
    <w:rsid w:val="00940B1D"/>
    <w:rsid w:val="0094243B"/>
    <w:rsid w:val="009425EB"/>
    <w:rsid w:val="009428A4"/>
    <w:rsid w:val="00942E69"/>
    <w:rsid w:val="00943157"/>
    <w:rsid w:val="00943252"/>
    <w:rsid w:val="0094368C"/>
    <w:rsid w:val="00943893"/>
    <w:rsid w:val="00943AF5"/>
    <w:rsid w:val="00944312"/>
    <w:rsid w:val="009443DC"/>
    <w:rsid w:val="009446A8"/>
    <w:rsid w:val="00944AE2"/>
    <w:rsid w:val="0094526B"/>
    <w:rsid w:val="00945519"/>
    <w:rsid w:val="009456EB"/>
    <w:rsid w:val="00945E7E"/>
    <w:rsid w:val="00945E8F"/>
    <w:rsid w:val="009463FD"/>
    <w:rsid w:val="009467FD"/>
    <w:rsid w:val="00946D2E"/>
    <w:rsid w:val="00946E64"/>
    <w:rsid w:val="009472F6"/>
    <w:rsid w:val="0094783F"/>
    <w:rsid w:val="00947BA8"/>
    <w:rsid w:val="00950B18"/>
    <w:rsid w:val="00950C55"/>
    <w:rsid w:val="00950CB3"/>
    <w:rsid w:val="00951845"/>
    <w:rsid w:val="0095267E"/>
    <w:rsid w:val="00952EBB"/>
    <w:rsid w:val="00952F24"/>
    <w:rsid w:val="0095370E"/>
    <w:rsid w:val="00953B5D"/>
    <w:rsid w:val="00953D3D"/>
    <w:rsid w:val="00953F68"/>
    <w:rsid w:val="009543D8"/>
    <w:rsid w:val="009545D6"/>
    <w:rsid w:val="00954F67"/>
    <w:rsid w:val="0095543B"/>
    <w:rsid w:val="009559FF"/>
    <w:rsid w:val="00955AA9"/>
    <w:rsid w:val="00955AB2"/>
    <w:rsid w:val="00955E60"/>
    <w:rsid w:val="00955EC8"/>
    <w:rsid w:val="0095699A"/>
    <w:rsid w:val="00956B34"/>
    <w:rsid w:val="0095702D"/>
    <w:rsid w:val="009571A6"/>
    <w:rsid w:val="0095752A"/>
    <w:rsid w:val="009577C1"/>
    <w:rsid w:val="009602BA"/>
    <w:rsid w:val="009614EB"/>
    <w:rsid w:val="009615D7"/>
    <w:rsid w:val="009622A9"/>
    <w:rsid w:val="00962D17"/>
    <w:rsid w:val="00963104"/>
    <w:rsid w:val="00963D17"/>
    <w:rsid w:val="00963D45"/>
    <w:rsid w:val="009640B5"/>
    <w:rsid w:val="00964459"/>
    <w:rsid w:val="009657D5"/>
    <w:rsid w:val="009659CB"/>
    <w:rsid w:val="00965F9F"/>
    <w:rsid w:val="00966141"/>
    <w:rsid w:val="009662EC"/>
    <w:rsid w:val="009663F2"/>
    <w:rsid w:val="00966611"/>
    <w:rsid w:val="009669CC"/>
    <w:rsid w:val="00967655"/>
    <w:rsid w:val="00970F12"/>
    <w:rsid w:val="009710BF"/>
    <w:rsid w:val="00971874"/>
    <w:rsid w:val="00971F83"/>
    <w:rsid w:val="0097205A"/>
    <w:rsid w:val="00972061"/>
    <w:rsid w:val="0097245C"/>
    <w:rsid w:val="009724DC"/>
    <w:rsid w:val="009725FE"/>
    <w:rsid w:val="009726D4"/>
    <w:rsid w:val="0097282B"/>
    <w:rsid w:val="00972DAC"/>
    <w:rsid w:val="00973338"/>
    <w:rsid w:val="00973A35"/>
    <w:rsid w:val="0097431B"/>
    <w:rsid w:val="00974A1E"/>
    <w:rsid w:val="00974B4A"/>
    <w:rsid w:val="0097559A"/>
    <w:rsid w:val="00975D48"/>
    <w:rsid w:val="00976247"/>
    <w:rsid w:val="00976546"/>
    <w:rsid w:val="00976FCF"/>
    <w:rsid w:val="00977C5E"/>
    <w:rsid w:val="00980BAC"/>
    <w:rsid w:val="00980DF0"/>
    <w:rsid w:val="00980F3F"/>
    <w:rsid w:val="00981D1C"/>
    <w:rsid w:val="00981E59"/>
    <w:rsid w:val="00982214"/>
    <w:rsid w:val="009823D4"/>
    <w:rsid w:val="00982474"/>
    <w:rsid w:val="00982E08"/>
    <w:rsid w:val="00983285"/>
    <w:rsid w:val="00984672"/>
    <w:rsid w:val="009849D3"/>
    <w:rsid w:val="00984F97"/>
    <w:rsid w:val="00985194"/>
    <w:rsid w:val="0098569D"/>
    <w:rsid w:val="00985A09"/>
    <w:rsid w:val="00985A0E"/>
    <w:rsid w:val="00986277"/>
    <w:rsid w:val="009866A3"/>
    <w:rsid w:val="0098693D"/>
    <w:rsid w:val="009874D5"/>
    <w:rsid w:val="00990343"/>
    <w:rsid w:val="009905E1"/>
    <w:rsid w:val="0099064C"/>
    <w:rsid w:val="009906BB"/>
    <w:rsid w:val="0099078A"/>
    <w:rsid w:val="0099097F"/>
    <w:rsid w:val="00990CF6"/>
    <w:rsid w:val="00992097"/>
    <w:rsid w:val="00992869"/>
    <w:rsid w:val="00992914"/>
    <w:rsid w:val="00992C47"/>
    <w:rsid w:val="0099337F"/>
    <w:rsid w:val="00993776"/>
    <w:rsid w:val="00993832"/>
    <w:rsid w:val="00993F15"/>
    <w:rsid w:val="009944B9"/>
    <w:rsid w:val="009947D5"/>
    <w:rsid w:val="00994B69"/>
    <w:rsid w:val="00994E90"/>
    <w:rsid w:val="0099551B"/>
    <w:rsid w:val="0099552E"/>
    <w:rsid w:val="009955E2"/>
    <w:rsid w:val="00995629"/>
    <w:rsid w:val="009959A5"/>
    <w:rsid w:val="00995C16"/>
    <w:rsid w:val="0099625A"/>
    <w:rsid w:val="009965BC"/>
    <w:rsid w:val="0099662E"/>
    <w:rsid w:val="00997258"/>
    <w:rsid w:val="00997C19"/>
    <w:rsid w:val="009A023B"/>
    <w:rsid w:val="009A0415"/>
    <w:rsid w:val="009A04CD"/>
    <w:rsid w:val="009A177E"/>
    <w:rsid w:val="009A1AE9"/>
    <w:rsid w:val="009A22E6"/>
    <w:rsid w:val="009A2486"/>
    <w:rsid w:val="009A2690"/>
    <w:rsid w:val="009A3307"/>
    <w:rsid w:val="009A34FF"/>
    <w:rsid w:val="009A3520"/>
    <w:rsid w:val="009A3547"/>
    <w:rsid w:val="009A39FF"/>
    <w:rsid w:val="009A3CB5"/>
    <w:rsid w:val="009A3EAF"/>
    <w:rsid w:val="009A3F33"/>
    <w:rsid w:val="009A422F"/>
    <w:rsid w:val="009A5501"/>
    <w:rsid w:val="009A5AE0"/>
    <w:rsid w:val="009A6621"/>
    <w:rsid w:val="009A6AEA"/>
    <w:rsid w:val="009A6CC5"/>
    <w:rsid w:val="009A70B8"/>
    <w:rsid w:val="009B025F"/>
    <w:rsid w:val="009B13AA"/>
    <w:rsid w:val="009B1F3A"/>
    <w:rsid w:val="009B2766"/>
    <w:rsid w:val="009B32F0"/>
    <w:rsid w:val="009B3EB4"/>
    <w:rsid w:val="009B3F21"/>
    <w:rsid w:val="009B42BE"/>
    <w:rsid w:val="009B4E27"/>
    <w:rsid w:val="009B4F77"/>
    <w:rsid w:val="009B5973"/>
    <w:rsid w:val="009B5B48"/>
    <w:rsid w:val="009B62E6"/>
    <w:rsid w:val="009B67C4"/>
    <w:rsid w:val="009B6A3F"/>
    <w:rsid w:val="009B6C5A"/>
    <w:rsid w:val="009B71E1"/>
    <w:rsid w:val="009C0448"/>
    <w:rsid w:val="009C0615"/>
    <w:rsid w:val="009C06B1"/>
    <w:rsid w:val="009C0CF8"/>
    <w:rsid w:val="009C125A"/>
    <w:rsid w:val="009C1EB2"/>
    <w:rsid w:val="009C25D4"/>
    <w:rsid w:val="009C2675"/>
    <w:rsid w:val="009C2839"/>
    <w:rsid w:val="009C2DC4"/>
    <w:rsid w:val="009C3042"/>
    <w:rsid w:val="009C3128"/>
    <w:rsid w:val="009C386A"/>
    <w:rsid w:val="009C3E9C"/>
    <w:rsid w:val="009C4118"/>
    <w:rsid w:val="009C4A32"/>
    <w:rsid w:val="009C63AB"/>
    <w:rsid w:val="009C69D0"/>
    <w:rsid w:val="009C69F4"/>
    <w:rsid w:val="009C7163"/>
    <w:rsid w:val="009C77A3"/>
    <w:rsid w:val="009D1082"/>
    <w:rsid w:val="009D1423"/>
    <w:rsid w:val="009D20AC"/>
    <w:rsid w:val="009D20C9"/>
    <w:rsid w:val="009D21C8"/>
    <w:rsid w:val="009D26D8"/>
    <w:rsid w:val="009D30F9"/>
    <w:rsid w:val="009D3192"/>
    <w:rsid w:val="009D31C0"/>
    <w:rsid w:val="009D322C"/>
    <w:rsid w:val="009D334F"/>
    <w:rsid w:val="009D372A"/>
    <w:rsid w:val="009D3A26"/>
    <w:rsid w:val="009D3BAC"/>
    <w:rsid w:val="009D3EDD"/>
    <w:rsid w:val="009D48BA"/>
    <w:rsid w:val="009D4B7E"/>
    <w:rsid w:val="009D4D48"/>
    <w:rsid w:val="009D4DC6"/>
    <w:rsid w:val="009D5106"/>
    <w:rsid w:val="009D66B9"/>
    <w:rsid w:val="009D6B77"/>
    <w:rsid w:val="009D6CE1"/>
    <w:rsid w:val="009D6DA4"/>
    <w:rsid w:val="009D7970"/>
    <w:rsid w:val="009E065B"/>
    <w:rsid w:val="009E14B2"/>
    <w:rsid w:val="009E1D15"/>
    <w:rsid w:val="009E1DFA"/>
    <w:rsid w:val="009E1E35"/>
    <w:rsid w:val="009E23ED"/>
    <w:rsid w:val="009E26BC"/>
    <w:rsid w:val="009E2D13"/>
    <w:rsid w:val="009E322C"/>
    <w:rsid w:val="009E3352"/>
    <w:rsid w:val="009E3479"/>
    <w:rsid w:val="009E387D"/>
    <w:rsid w:val="009E453D"/>
    <w:rsid w:val="009E5013"/>
    <w:rsid w:val="009E56B0"/>
    <w:rsid w:val="009E5917"/>
    <w:rsid w:val="009E5B2E"/>
    <w:rsid w:val="009E6223"/>
    <w:rsid w:val="009E725F"/>
    <w:rsid w:val="009E79CF"/>
    <w:rsid w:val="009E7F2E"/>
    <w:rsid w:val="009F009C"/>
    <w:rsid w:val="009F0345"/>
    <w:rsid w:val="009F04F2"/>
    <w:rsid w:val="009F0A8F"/>
    <w:rsid w:val="009F231C"/>
    <w:rsid w:val="009F2447"/>
    <w:rsid w:val="009F2512"/>
    <w:rsid w:val="009F2C7D"/>
    <w:rsid w:val="009F40CE"/>
    <w:rsid w:val="009F4CDA"/>
    <w:rsid w:val="009F517F"/>
    <w:rsid w:val="009F59BF"/>
    <w:rsid w:val="009F5F68"/>
    <w:rsid w:val="009F776E"/>
    <w:rsid w:val="00A00F42"/>
    <w:rsid w:val="00A01519"/>
    <w:rsid w:val="00A017F6"/>
    <w:rsid w:val="00A0195A"/>
    <w:rsid w:val="00A01AB3"/>
    <w:rsid w:val="00A01C96"/>
    <w:rsid w:val="00A02D3C"/>
    <w:rsid w:val="00A032EA"/>
    <w:rsid w:val="00A03423"/>
    <w:rsid w:val="00A03952"/>
    <w:rsid w:val="00A0408F"/>
    <w:rsid w:val="00A04B44"/>
    <w:rsid w:val="00A04E68"/>
    <w:rsid w:val="00A05975"/>
    <w:rsid w:val="00A05D1C"/>
    <w:rsid w:val="00A05EAA"/>
    <w:rsid w:val="00A0608D"/>
    <w:rsid w:val="00A060BE"/>
    <w:rsid w:val="00A0695E"/>
    <w:rsid w:val="00A07368"/>
    <w:rsid w:val="00A07D26"/>
    <w:rsid w:val="00A1036E"/>
    <w:rsid w:val="00A104A1"/>
    <w:rsid w:val="00A10D80"/>
    <w:rsid w:val="00A10FC7"/>
    <w:rsid w:val="00A11671"/>
    <w:rsid w:val="00A1187C"/>
    <w:rsid w:val="00A118BF"/>
    <w:rsid w:val="00A11FC2"/>
    <w:rsid w:val="00A12CCC"/>
    <w:rsid w:val="00A12D1A"/>
    <w:rsid w:val="00A12E07"/>
    <w:rsid w:val="00A12F3D"/>
    <w:rsid w:val="00A13810"/>
    <w:rsid w:val="00A13A4E"/>
    <w:rsid w:val="00A15566"/>
    <w:rsid w:val="00A1576F"/>
    <w:rsid w:val="00A15B2D"/>
    <w:rsid w:val="00A16297"/>
    <w:rsid w:val="00A163CD"/>
    <w:rsid w:val="00A16778"/>
    <w:rsid w:val="00A169F6"/>
    <w:rsid w:val="00A16B57"/>
    <w:rsid w:val="00A17322"/>
    <w:rsid w:val="00A17C81"/>
    <w:rsid w:val="00A20003"/>
    <w:rsid w:val="00A20224"/>
    <w:rsid w:val="00A21424"/>
    <w:rsid w:val="00A21997"/>
    <w:rsid w:val="00A220D3"/>
    <w:rsid w:val="00A23A98"/>
    <w:rsid w:val="00A24217"/>
    <w:rsid w:val="00A244E9"/>
    <w:rsid w:val="00A24622"/>
    <w:rsid w:val="00A246A3"/>
    <w:rsid w:val="00A24B43"/>
    <w:rsid w:val="00A2521F"/>
    <w:rsid w:val="00A259A8"/>
    <w:rsid w:val="00A25ABB"/>
    <w:rsid w:val="00A25E39"/>
    <w:rsid w:val="00A267F3"/>
    <w:rsid w:val="00A26827"/>
    <w:rsid w:val="00A26D47"/>
    <w:rsid w:val="00A26DA7"/>
    <w:rsid w:val="00A26F41"/>
    <w:rsid w:val="00A26F88"/>
    <w:rsid w:val="00A275D1"/>
    <w:rsid w:val="00A27B57"/>
    <w:rsid w:val="00A301A9"/>
    <w:rsid w:val="00A30607"/>
    <w:rsid w:val="00A313B3"/>
    <w:rsid w:val="00A31C3A"/>
    <w:rsid w:val="00A31D00"/>
    <w:rsid w:val="00A32051"/>
    <w:rsid w:val="00A32AE0"/>
    <w:rsid w:val="00A32B77"/>
    <w:rsid w:val="00A32BB4"/>
    <w:rsid w:val="00A33CCF"/>
    <w:rsid w:val="00A35B3D"/>
    <w:rsid w:val="00A35D65"/>
    <w:rsid w:val="00A36CF6"/>
    <w:rsid w:val="00A36EC5"/>
    <w:rsid w:val="00A377A2"/>
    <w:rsid w:val="00A37EDA"/>
    <w:rsid w:val="00A4035D"/>
    <w:rsid w:val="00A41358"/>
    <w:rsid w:val="00A413A3"/>
    <w:rsid w:val="00A43270"/>
    <w:rsid w:val="00A438F1"/>
    <w:rsid w:val="00A43FF0"/>
    <w:rsid w:val="00A441F0"/>
    <w:rsid w:val="00A4539E"/>
    <w:rsid w:val="00A46080"/>
    <w:rsid w:val="00A461CB"/>
    <w:rsid w:val="00A46672"/>
    <w:rsid w:val="00A46C6C"/>
    <w:rsid w:val="00A46EB1"/>
    <w:rsid w:val="00A47127"/>
    <w:rsid w:val="00A47A54"/>
    <w:rsid w:val="00A47C59"/>
    <w:rsid w:val="00A5019B"/>
    <w:rsid w:val="00A503E8"/>
    <w:rsid w:val="00A506A4"/>
    <w:rsid w:val="00A50FEC"/>
    <w:rsid w:val="00A51FC3"/>
    <w:rsid w:val="00A524C6"/>
    <w:rsid w:val="00A532FC"/>
    <w:rsid w:val="00A5342C"/>
    <w:rsid w:val="00A53624"/>
    <w:rsid w:val="00A54803"/>
    <w:rsid w:val="00A54F72"/>
    <w:rsid w:val="00A55B98"/>
    <w:rsid w:val="00A565B6"/>
    <w:rsid w:val="00A567E2"/>
    <w:rsid w:val="00A56806"/>
    <w:rsid w:val="00A57C9A"/>
    <w:rsid w:val="00A57F15"/>
    <w:rsid w:val="00A60066"/>
    <w:rsid w:val="00A60179"/>
    <w:rsid w:val="00A615D8"/>
    <w:rsid w:val="00A61782"/>
    <w:rsid w:val="00A6179E"/>
    <w:rsid w:val="00A61DBD"/>
    <w:rsid w:val="00A61FDA"/>
    <w:rsid w:val="00A62E3E"/>
    <w:rsid w:val="00A62F0F"/>
    <w:rsid w:val="00A63850"/>
    <w:rsid w:val="00A6449B"/>
    <w:rsid w:val="00A64787"/>
    <w:rsid w:val="00A648E9"/>
    <w:rsid w:val="00A64C82"/>
    <w:rsid w:val="00A6654A"/>
    <w:rsid w:val="00A666BD"/>
    <w:rsid w:val="00A66C0D"/>
    <w:rsid w:val="00A6764D"/>
    <w:rsid w:val="00A67934"/>
    <w:rsid w:val="00A67D4A"/>
    <w:rsid w:val="00A702A3"/>
    <w:rsid w:val="00A703AE"/>
    <w:rsid w:val="00A70415"/>
    <w:rsid w:val="00A7096B"/>
    <w:rsid w:val="00A709AE"/>
    <w:rsid w:val="00A70DCB"/>
    <w:rsid w:val="00A70E5B"/>
    <w:rsid w:val="00A718A2"/>
    <w:rsid w:val="00A71FD1"/>
    <w:rsid w:val="00A7208D"/>
    <w:rsid w:val="00A720C2"/>
    <w:rsid w:val="00A7248F"/>
    <w:rsid w:val="00A72733"/>
    <w:rsid w:val="00A72BC8"/>
    <w:rsid w:val="00A72C04"/>
    <w:rsid w:val="00A72FE2"/>
    <w:rsid w:val="00A73341"/>
    <w:rsid w:val="00A73ABD"/>
    <w:rsid w:val="00A748ED"/>
    <w:rsid w:val="00A75386"/>
    <w:rsid w:val="00A7593A"/>
    <w:rsid w:val="00A7597F"/>
    <w:rsid w:val="00A75D3F"/>
    <w:rsid w:val="00A75E7C"/>
    <w:rsid w:val="00A768C8"/>
    <w:rsid w:val="00A76C21"/>
    <w:rsid w:val="00A773EC"/>
    <w:rsid w:val="00A77727"/>
    <w:rsid w:val="00A811FA"/>
    <w:rsid w:val="00A815BE"/>
    <w:rsid w:val="00A8226A"/>
    <w:rsid w:val="00A82941"/>
    <w:rsid w:val="00A834D6"/>
    <w:rsid w:val="00A83DBC"/>
    <w:rsid w:val="00A84746"/>
    <w:rsid w:val="00A847AE"/>
    <w:rsid w:val="00A849DC"/>
    <w:rsid w:val="00A84D2C"/>
    <w:rsid w:val="00A85084"/>
    <w:rsid w:val="00A855FE"/>
    <w:rsid w:val="00A85836"/>
    <w:rsid w:val="00A85E79"/>
    <w:rsid w:val="00A85F29"/>
    <w:rsid w:val="00A8613B"/>
    <w:rsid w:val="00A86203"/>
    <w:rsid w:val="00A864C8"/>
    <w:rsid w:val="00A86D62"/>
    <w:rsid w:val="00A86E46"/>
    <w:rsid w:val="00A8715B"/>
    <w:rsid w:val="00A871B6"/>
    <w:rsid w:val="00A87951"/>
    <w:rsid w:val="00A87982"/>
    <w:rsid w:val="00A87C2F"/>
    <w:rsid w:val="00A90459"/>
    <w:rsid w:val="00A904F2"/>
    <w:rsid w:val="00A90A9D"/>
    <w:rsid w:val="00A911A0"/>
    <w:rsid w:val="00A91363"/>
    <w:rsid w:val="00A91450"/>
    <w:rsid w:val="00A91B63"/>
    <w:rsid w:val="00A920B1"/>
    <w:rsid w:val="00A92564"/>
    <w:rsid w:val="00A92DB9"/>
    <w:rsid w:val="00A93738"/>
    <w:rsid w:val="00A94084"/>
    <w:rsid w:val="00A9446E"/>
    <w:rsid w:val="00A94940"/>
    <w:rsid w:val="00A95EE6"/>
    <w:rsid w:val="00A96852"/>
    <w:rsid w:val="00A96C21"/>
    <w:rsid w:val="00A9791D"/>
    <w:rsid w:val="00A97C3B"/>
    <w:rsid w:val="00A97D4A"/>
    <w:rsid w:val="00A97DB8"/>
    <w:rsid w:val="00AA0209"/>
    <w:rsid w:val="00AA03A6"/>
    <w:rsid w:val="00AA1128"/>
    <w:rsid w:val="00AA1A7C"/>
    <w:rsid w:val="00AA1ADA"/>
    <w:rsid w:val="00AA20B3"/>
    <w:rsid w:val="00AA29FC"/>
    <w:rsid w:val="00AA2A7D"/>
    <w:rsid w:val="00AA2A95"/>
    <w:rsid w:val="00AA2ECC"/>
    <w:rsid w:val="00AA3375"/>
    <w:rsid w:val="00AA3A3E"/>
    <w:rsid w:val="00AA3B94"/>
    <w:rsid w:val="00AA3C94"/>
    <w:rsid w:val="00AA3D97"/>
    <w:rsid w:val="00AA41D4"/>
    <w:rsid w:val="00AA4203"/>
    <w:rsid w:val="00AA4775"/>
    <w:rsid w:val="00AA488F"/>
    <w:rsid w:val="00AA53CA"/>
    <w:rsid w:val="00AA5515"/>
    <w:rsid w:val="00AA567F"/>
    <w:rsid w:val="00AA583C"/>
    <w:rsid w:val="00AA6137"/>
    <w:rsid w:val="00AA65CF"/>
    <w:rsid w:val="00AA6A88"/>
    <w:rsid w:val="00AB02DD"/>
    <w:rsid w:val="00AB045C"/>
    <w:rsid w:val="00AB05BB"/>
    <w:rsid w:val="00AB090C"/>
    <w:rsid w:val="00AB0F9A"/>
    <w:rsid w:val="00AB1160"/>
    <w:rsid w:val="00AB1411"/>
    <w:rsid w:val="00AB142E"/>
    <w:rsid w:val="00AB169A"/>
    <w:rsid w:val="00AB1C10"/>
    <w:rsid w:val="00AB1D81"/>
    <w:rsid w:val="00AB2082"/>
    <w:rsid w:val="00AB212D"/>
    <w:rsid w:val="00AB32C1"/>
    <w:rsid w:val="00AB3552"/>
    <w:rsid w:val="00AB49C3"/>
    <w:rsid w:val="00AB4F48"/>
    <w:rsid w:val="00AB55F8"/>
    <w:rsid w:val="00AB5A52"/>
    <w:rsid w:val="00AB5DF2"/>
    <w:rsid w:val="00AB6C4D"/>
    <w:rsid w:val="00AB6F59"/>
    <w:rsid w:val="00AB7736"/>
    <w:rsid w:val="00AB7866"/>
    <w:rsid w:val="00AC0037"/>
    <w:rsid w:val="00AC1D3B"/>
    <w:rsid w:val="00AC226A"/>
    <w:rsid w:val="00AC246C"/>
    <w:rsid w:val="00AC2B7B"/>
    <w:rsid w:val="00AC2FB2"/>
    <w:rsid w:val="00AC32FB"/>
    <w:rsid w:val="00AC3ADE"/>
    <w:rsid w:val="00AC3F58"/>
    <w:rsid w:val="00AC4C92"/>
    <w:rsid w:val="00AC4E28"/>
    <w:rsid w:val="00AC4E71"/>
    <w:rsid w:val="00AC4F7E"/>
    <w:rsid w:val="00AC5700"/>
    <w:rsid w:val="00AC5A64"/>
    <w:rsid w:val="00AC69A1"/>
    <w:rsid w:val="00AC7042"/>
    <w:rsid w:val="00AC752F"/>
    <w:rsid w:val="00AC7B8D"/>
    <w:rsid w:val="00AC7CA6"/>
    <w:rsid w:val="00AC7E49"/>
    <w:rsid w:val="00AD099F"/>
    <w:rsid w:val="00AD1C10"/>
    <w:rsid w:val="00AD277E"/>
    <w:rsid w:val="00AD2E7B"/>
    <w:rsid w:val="00AD2F8F"/>
    <w:rsid w:val="00AD3685"/>
    <w:rsid w:val="00AD36FC"/>
    <w:rsid w:val="00AD3F4F"/>
    <w:rsid w:val="00AD403C"/>
    <w:rsid w:val="00AD4153"/>
    <w:rsid w:val="00AD42FA"/>
    <w:rsid w:val="00AD441D"/>
    <w:rsid w:val="00AD4838"/>
    <w:rsid w:val="00AD4D79"/>
    <w:rsid w:val="00AD5420"/>
    <w:rsid w:val="00AD56CF"/>
    <w:rsid w:val="00AD5DDB"/>
    <w:rsid w:val="00AD5E3E"/>
    <w:rsid w:val="00AD60B8"/>
    <w:rsid w:val="00AD60EF"/>
    <w:rsid w:val="00AD612C"/>
    <w:rsid w:val="00AD734C"/>
    <w:rsid w:val="00AD7922"/>
    <w:rsid w:val="00AE0413"/>
    <w:rsid w:val="00AE05BF"/>
    <w:rsid w:val="00AE0D8D"/>
    <w:rsid w:val="00AE23C8"/>
    <w:rsid w:val="00AE265A"/>
    <w:rsid w:val="00AE308D"/>
    <w:rsid w:val="00AE36D1"/>
    <w:rsid w:val="00AE3DDB"/>
    <w:rsid w:val="00AE4A64"/>
    <w:rsid w:val="00AE52C3"/>
    <w:rsid w:val="00AE5771"/>
    <w:rsid w:val="00AE59FC"/>
    <w:rsid w:val="00AE6745"/>
    <w:rsid w:val="00AE6AAF"/>
    <w:rsid w:val="00AE6E97"/>
    <w:rsid w:val="00AE758E"/>
    <w:rsid w:val="00AF059D"/>
    <w:rsid w:val="00AF077D"/>
    <w:rsid w:val="00AF0992"/>
    <w:rsid w:val="00AF0C7C"/>
    <w:rsid w:val="00AF0D62"/>
    <w:rsid w:val="00AF0EB3"/>
    <w:rsid w:val="00AF1281"/>
    <w:rsid w:val="00AF1326"/>
    <w:rsid w:val="00AF14C8"/>
    <w:rsid w:val="00AF21B7"/>
    <w:rsid w:val="00AF23D9"/>
    <w:rsid w:val="00AF290E"/>
    <w:rsid w:val="00AF29FA"/>
    <w:rsid w:val="00AF37D5"/>
    <w:rsid w:val="00AF381B"/>
    <w:rsid w:val="00AF3DBB"/>
    <w:rsid w:val="00AF3F63"/>
    <w:rsid w:val="00AF4345"/>
    <w:rsid w:val="00AF43C7"/>
    <w:rsid w:val="00AF4423"/>
    <w:rsid w:val="00AF463B"/>
    <w:rsid w:val="00AF498C"/>
    <w:rsid w:val="00AF4CC5"/>
    <w:rsid w:val="00AF5319"/>
    <w:rsid w:val="00AF608B"/>
    <w:rsid w:val="00AF6A59"/>
    <w:rsid w:val="00AF7BDD"/>
    <w:rsid w:val="00B00F8C"/>
    <w:rsid w:val="00B00FEC"/>
    <w:rsid w:val="00B02145"/>
    <w:rsid w:val="00B02C3D"/>
    <w:rsid w:val="00B02F0C"/>
    <w:rsid w:val="00B03776"/>
    <w:rsid w:val="00B03ED8"/>
    <w:rsid w:val="00B0401D"/>
    <w:rsid w:val="00B042D2"/>
    <w:rsid w:val="00B0468F"/>
    <w:rsid w:val="00B04E8D"/>
    <w:rsid w:val="00B04F50"/>
    <w:rsid w:val="00B0542F"/>
    <w:rsid w:val="00B05A05"/>
    <w:rsid w:val="00B06495"/>
    <w:rsid w:val="00B064F1"/>
    <w:rsid w:val="00B06DA3"/>
    <w:rsid w:val="00B109DF"/>
    <w:rsid w:val="00B118E1"/>
    <w:rsid w:val="00B11A39"/>
    <w:rsid w:val="00B11A5F"/>
    <w:rsid w:val="00B11A9A"/>
    <w:rsid w:val="00B120CF"/>
    <w:rsid w:val="00B1210E"/>
    <w:rsid w:val="00B1243E"/>
    <w:rsid w:val="00B129BD"/>
    <w:rsid w:val="00B12BDA"/>
    <w:rsid w:val="00B13CAD"/>
    <w:rsid w:val="00B13D2B"/>
    <w:rsid w:val="00B13F2E"/>
    <w:rsid w:val="00B14011"/>
    <w:rsid w:val="00B14793"/>
    <w:rsid w:val="00B15075"/>
    <w:rsid w:val="00B153CA"/>
    <w:rsid w:val="00B15774"/>
    <w:rsid w:val="00B15DB9"/>
    <w:rsid w:val="00B160E0"/>
    <w:rsid w:val="00B1780E"/>
    <w:rsid w:val="00B200D3"/>
    <w:rsid w:val="00B2060E"/>
    <w:rsid w:val="00B20DCF"/>
    <w:rsid w:val="00B20F8A"/>
    <w:rsid w:val="00B215EB"/>
    <w:rsid w:val="00B22522"/>
    <w:rsid w:val="00B2288A"/>
    <w:rsid w:val="00B23FB9"/>
    <w:rsid w:val="00B24D66"/>
    <w:rsid w:val="00B255D7"/>
    <w:rsid w:val="00B258AF"/>
    <w:rsid w:val="00B264B0"/>
    <w:rsid w:val="00B26CDB"/>
    <w:rsid w:val="00B26ECF"/>
    <w:rsid w:val="00B27444"/>
    <w:rsid w:val="00B27734"/>
    <w:rsid w:val="00B27771"/>
    <w:rsid w:val="00B27787"/>
    <w:rsid w:val="00B278D7"/>
    <w:rsid w:val="00B3091E"/>
    <w:rsid w:val="00B31602"/>
    <w:rsid w:val="00B319FE"/>
    <w:rsid w:val="00B3232C"/>
    <w:rsid w:val="00B3275B"/>
    <w:rsid w:val="00B331B8"/>
    <w:rsid w:val="00B33786"/>
    <w:rsid w:val="00B337A4"/>
    <w:rsid w:val="00B34725"/>
    <w:rsid w:val="00B355F0"/>
    <w:rsid w:val="00B3578C"/>
    <w:rsid w:val="00B36D9E"/>
    <w:rsid w:val="00B37311"/>
    <w:rsid w:val="00B373FB"/>
    <w:rsid w:val="00B37975"/>
    <w:rsid w:val="00B40163"/>
    <w:rsid w:val="00B40F28"/>
    <w:rsid w:val="00B4106F"/>
    <w:rsid w:val="00B41BE7"/>
    <w:rsid w:val="00B42006"/>
    <w:rsid w:val="00B424F7"/>
    <w:rsid w:val="00B42568"/>
    <w:rsid w:val="00B4316E"/>
    <w:rsid w:val="00B4339F"/>
    <w:rsid w:val="00B4381B"/>
    <w:rsid w:val="00B4383C"/>
    <w:rsid w:val="00B43D70"/>
    <w:rsid w:val="00B4403D"/>
    <w:rsid w:val="00B45847"/>
    <w:rsid w:val="00B460A1"/>
    <w:rsid w:val="00B4626B"/>
    <w:rsid w:val="00B46275"/>
    <w:rsid w:val="00B464C7"/>
    <w:rsid w:val="00B4658A"/>
    <w:rsid w:val="00B4733F"/>
    <w:rsid w:val="00B4758E"/>
    <w:rsid w:val="00B475C4"/>
    <w:rsid w:val="00B47672"/>
    <w:rsid w:val="00B47CBB"/>
    <w:rsid w:val="00B5083E"/>
    <w:rsid w:val="00B50ADB"/>
    <w:rsid w:val="00B51604"/>
    <w:rsid w:val="00B51F64"/>
    <w:rsid w:val="00B525B3"/>
    <w:rsid w:val="00B52E07"/>
    <w:rsid w:val="00B53B4E"/>
    <w:rsid w:val="00B53BBE"/>
    <w:rsid w:val="00B53C5F"/>
    <w:rsid w:val="00B54BD8"/>
    <w:rsid w:val="00B5596C"/>
    <w:rsid w:val="00B5613E"/>
    <w:rsid w:val="00B5651D"/>
    <w:rsid w:val="00B569B2"/>
    <w:rsid w:val="00B569EC"/>
    <w:rsid w:val="00B56FBD"/>
    <w:rsid w:val="00B5715A"/>
    <w:rsid w:val="00B57327"/>
    <w:rsid w:val="00B6002D"/>
    <w:rsid w:val="00B6010B"/>
    <w:rsid w:val="00B60C9F"/>
    <w:rsid w:val="00B61145"/>
    <w:rsid w:val="00B61262"/>
    <w:rsid w:val="00B61918"/>
    <w:rsid w:val="00B61C0F"/>
    <w:rsid w:val="00B6210A"/>
    <w:rsid w:val="00B6220A"/>
    <w:rsid w:val="00B62598"/>
    <w:rsid w:val="00B629F3"/>
    <w:rsid w:val="00B640CF"/>
    <w:rsid w:val="00B64227"/>
    <w:rsid w:val="00B65476"/>
    <w:rsid w:val="00B657B4"/>
    <w:rsid w:val="00B65828"/>
    <w:rsid w:val="00B65993"/>
    <w:rsid w:val="00B65E01"/>
    <w:rsid w:val="00B65F97"/>
    <w:rsid w:val="00B665BB"/>
    <w:rsid w:val="00B66800"/>
    <w:rsid w:val="00B668CA"/>
    <w:rsid w:val="00B66AB0"/>
    <w:rsid w:val="00B677D7"/>
    <w:rsid w:val="00B67D8D"/>
    <w:rsid w:val="00B7095E"/>
    <w:rsid w:val="00B70C27"/>
    <w:rsid w:val="00B70ED8"/>
    <w:rsid w:val="00B710E0"/>
    <w:rsid w:val="00B7162D"/>
    <w:rsid w:val="00B71872"/>
    <w:rsid w:val="00B71E56"/>
    <w:rsid w:val="00B727DF"/>
    <w:rsid w:val="00B72CF9"/>
    <w:rsid w:val="00B72D67"/>
    <w:rsid w:val="00B72EE9"/>
    <w:rsid w:val="00B73577"/>
    <w:rsid w:val="00B73637"/>
    <w:rsid w:val="00B73D34"/>
    <w:rsid w:val="00B742C1"/>
    <w:rsid w:val="00B7433C"/>
    <w:rsid w:val="00B74720"/>
    <w:rsid w:val="00B74C99"/>
    <w:rsid w:val="00B75032"/>
    <w:rsid w:val="00B750D5"/>
    <w:rsid w:val="00B7591C"/>
    <w:rsid w:val="00B75BFB"/>
    <w:rsid w:val="00B75D1D"/>
    <w:rsid w:val="00B75E98"/>
    <w:rsid w:val="00B7611F"/>
    <w:rsid w:val="00B762FF"/>
    <w:rsid w:val="00B769D2"/>
    <w:rsid w:val="00B76A3F"/>
    <w:rsid w:val="00B76A7D"/>
    <w:rsid w:val="00B76CE1"/>
    <w:rsid w:val="00B77032"/>
    <w:rsid w:val="00B77306"/>
    <w:rsid w:val="00B776D5"/>
    <w:rsid w:val="00B77B7E"/>
    <w:rsid w:val="00B801F8"/>
    <w:rsid w:val="00B80744"/>
    <w:rsid w:val="00B808D4"/>
    <w:rsid w:val="00B80979"/>
    <w:rsid w:val="00B80980"/>
    <w:rsid w:val="00B818AA"/>
    <w:rsid w:val="00B81B66"/>
    <w:rsid w:val="00B81BC2"/>
    <w:rsid w:val="00B81C09"/>
    <w:rsid w:val="00B81C75"/>
    <w:rsid w:val="00B81D8F"/>
    <w:rsid w:val="00B81EEF"/>
    <w:rsid w:val="00B81F26"/>
    <w:rsid w:val="00B82418"/>
    <w:rsid w:val="00B840BB"/>
    <w:rsid w:val="00B84C9F"/>
    <w:rsid w:val="00B8525F"/>
    <w:rsid w:val="00B856E9"/>
    <w:rsid w:val="00B85774"/>
    <w:rsid w:val="00B863FE"/>
    <w:rsid w:val="00B86429"/>
    <w:rsid w:val="00B8648F"/>
    <w:rsid w:val="00B866C7"/>
    <w:rsid w:val="00B86EFB"/>
    <w:rsid w:val="00B87563"/>
    <w:rsid w:val="00B87EBC"/>
    <w:rsid w:val="00B87FF0"/>
    <w:rsid w:val="00B90825"/>
    <w:rsid w:val="00B9084F"/>
    <w:rsid w:val="00B90862"/>
    <w:rsid w:val="00B90DD5"/>
    <w:rsid w:val="00B90FE7"/>
    <w:rsid w:val="00B912EC"/>
    <w:rsid w:val="00B913C1"/>
    <w:rsid w:val="00B917AC"/>
    <w:rsid w:val="00B91F77"/>
    <w:rsid w:val="00B926AC"/>
    <w:rsid w:val="00B92E6B"/>
    <w:rsid w:val="00B93043"/>
    <w:rsid w:val="00B93431"/>
    <w:rsid w:val="00B93500"/>
    <w:rsid w:val="00B93900"/>
    <w:rsid w:val="00B93951"/>
    <w:rsid w:val="00B93AC4"/>
    <w:rsid w:val="00B93D97"/>
    <w:rsid w:val="00B94392"/>
    <w:rsid w:val="00B94A8E"/>
    <w:rsid w:val="00B955F5"/>
    <w:rsid w:val="00B95663"/>
    <w:rsid w:val="00B95A36"/>
    <w:rsid w:val="00B95CCC"/>
    <w:rsid w:val="00B95F44"/>
    <w:rsid w:val="00B96D3C"/>
    <w:rsid w:val="00B97577"/>
    <w:rsid w:val="00B97610"/>
    <w:rsid w:val="00BA051D"/>
    <w:rsid w:val="00BA05BA"/>
    <w:rsid w:val="00BA0FE9"/>
    <w:rsid w:val="00BA118B"/>
    <w:rsid w:val="00BA139F"/>
    <w:rsid w:val="00BA1A0B"/>
    <w:rsid w:val="00BA1E85"/>
    <w:rsid w:val="00BA308D"/>
    <w:rsid w:val="00BA359B"/>
    <w:rsid w:val="00BA35C1"/>
    <w:rsid w:val="00BA38E5"/>
    <w:rsid w:val="00BA3A93"/>
    <w:rsid w:val="00BA40AA"/>
    <w:rsid w:val="00BA4CA3"/>
    <w:rsid w:val="00BA4D05"/>
    <w:rsid w:val="00BA5165"/>
    <w:rsid w:val="00BA5599"/>
    <w:rsid w:val="00BA576E"/>
    <w:rsid w:val="00BA5A40"/>
    <w:rsid w:val="00BA5FD5"/>
    <w:rsid w:val="00BA62AB"/>
    <w:rsid w:val="00BA66BB"/>
    <w:rsid w:val="00BA7E0B"/>
    <w:rsid w:val="00BB0DE3"/>
    <w:rsid w:val="00BB0EA0"/>
    <w:rsid w:val="00BB10CD"/>
    <w:rsid w:val="00BB10F0"/>
    <w:rsid w:val="00BB122E"/>
    <w:rsid w:val="00BB1E82"/>
    <w:rsid w:val="00BB25BB"/>
    <w:rsid w:val="00BB2E7F"/>
    <w:rsid w:val="00BB375D"/>
    <w:rsid w:val="00BB3D28"/>
    <w:rsid w:val="00BB4A6F"/>
    <w:rsid w:val="00BB5065"/>
    <w:rsid w:val="00BB56B1"/>
    <w:rsid w:val="00BB5759"/>
    <w:rsid w:val="00BB5A30"/>
    <w:rsid w:val="00BB5B98"/>
    <w:rsid w:val="00BB5BFE"/>
    <w:rsid w:val="00BB6FB6"/>
    <w:rsid w:val="00BB7BAC"/>
    <w:rsid w:val="00BC08D8"/>
    <w:rsid w:val="00BC08FC"/>
    <w:rsid w:val="00BC0F7C"/>
    <w:rsid w:val="00BC202D"/>
    <w:rsid w:val="00BC213B"/>
    <w:rsid w:val="00BC2964"/>
    <w:rsid w:val="00BC3112"/>
    <w:rsid w:val="00BC3776"/>
    <w:rsid w:val="00BC3D8E"/>
    <w:rsid w:val="00BC3E7F"/>
    <w:rsid w:val="00BC41B5"/>
    <w:rsid w:val="00BC4212"/>
    <w:rsid w:val="00BC4C63"/>
    <w:rsid w:val="00BC4E1D"/>
    <w:rsid w:val="00BC54D1"/>
    <w:rsid w:val="00BC6308"/>
    <w:rsid w:val="00BC63FE"/>
    <w:rsid w:val="00BC666D"/>
    <w:rsid w:val="00BC67A4"/>
    <w:rsid w:val="00BC6B4D"/>
    <w:rsid w:val="00BC6C4F"/>
    <w:rsid w:val="00BC76AA"/>
    <w:rsid w:val="00BD049D"/>
    <w:rsid w:val="00BD0631"/>
    <w:rsid w:val="00BD0A31"/>
    <w:rsid w:val="00BD1290"/>
    <w:rsid w:val="00BD1CFB"/>
    <w:rsid w:val="00BD2B8F"/>
    <w:rsid w:val="00BD35B9"/>
    <w:rsid w:val="00BD36EC"/>
    <w:rsid w:val="00BD4A52"/>
    <w:rsid w:val="00BD51CA"/>
    <w:rsid w:val="00BD5CD2"/>
    <w:rsid w:val="00BD6495"/>
    <w:rsid w:val="00BD6785"/>
    <w:rsid w:val="00BD77DE"/>
    <w:rsid w:val="00BD79C2"/>
    <w:rsid w:val="00BE1F2E"/>
    <w:rsid w:val="00BE1FA7"/>
    <w:rsid w:val="00BE2AD7"/>
    <w:rsid w:val="00BE2BAA"/>
    <w:rsid w:val="00BE34B4"/>
    <w:rsid w:val="00BE37CD"/>
    <w:rsid w:val="00BE4D84"/>
    <w:rsid w:val="00BE4F8D"/>
    <w:rsid w:val="00BE590A"/>
    <w:rsid w:val="00BE65FF"/>
    <w:rsid w:val="00BE770F"/>
    <w:rsid w:val="00BE778C"/>
    <w:rsid w:val="00BE7A3F"/>
    <w:rsid w:val="00BF01D4"/>
    <w:rsid w:val="00BF1780"/>
    <w:rsid w:val="00BF1C7B"/>
    <w:rsid w:val="00BF20FB"/>
    <w:rsid w:val="00BF2997"/>
    <w:rsid w:val="00BF32E5"/>
    <w:rsid w:val="00BF433F"/>
    <w:rsid w:val="00BF4C22"/>
    <w:rsid w:val="00BF4CD1"/>
    <w:rsid w:val="00BF4DD7"/>
    <w:rsid w:val="00BF51E4"/>
    <w:rsid w:val="00BF5691"/>
    <w:rsid w:val="00BF6043"/>
    <w:rsid w:val="00BF65FC"/>
    <w:rsid w:val="00BF74D8"/>
    <w:rsid w:val="00BF76ED"/>
    <w:rsid w:val="00C00156"/>
    <w:rsid w:val="00C003C3"/>
    <w:rsid w:val="00C006F6"/>
    <w:rsid w:val="00C00838"/>
    <w:rsid w:val="00C008C6"/>
    <w:rsid w:val="00C00BE6"/>
    <w:rsid w:val="00C00F80"/>
    <w:rsid w:val="00C01250"/>
    <w:rsid w:val="00C01619"/>
    <w:rsid w:val="00C0178B"/>
    <w:rsid w:val="00C03041"/>
    <w:rsid w:val="00C03815"/>
    <w:rsid w:val="00C041F4"/>
    <w:rsid w:val="00C0453A"/>
    <w:rsid w:val="00C04C59"/>
    <w:rsid w:val="00C0524E"/>
    <w:rsid w:val="00C05428"/>
    <w:rsid w:val="00C058A3"/>
    <w:rsid w:val="00C05E05"/>
    <w:rsid w:val="00C06233"/>
    <w:rsid w:val="00C06317"/>
    <w:rsid w:val="00C06D01"/>
    <w:rsid w:val="00C0711F"/>
    <w:rsid w:val="00C074F1"/>
    <w:rsid w:val="00C077E1"/>
    <w:rsid w:val="00C0797B"/>
    <w:rsid w:val="00C1019A"/>
    <w:rsid w:val="00C107BE"/>
    <w:rsid w:val="00C10BD0"/>
    <w:rsid w:val="00C10C03"/>
    <w:rsid w:val="00C112F7"/>
    <w:rsid w:val="00C1161D"/>
    <w:rsid w:val="00C11A5B"/>
    <w:rsid w:val="00C12C55"/>
    <w:rsid w:val="00C12CC4"/>
    <w:rsid w:val="00C12CE6"/>
    <w:rsid w:val="00C12D9C"/>
    <w:rsid w:val="00C13208"/>
    <w:rsid w:val="00C13392"/>
    <w:rsid w:val="00C133F5"/>
    <w:rsid w:val="00C1360E"/>
    <w:rsid w:val="00C13819"/>
    <w:rsid w:val="00C13CCA"/>
    <w:rsid w:val="00C142EA"/>
    <w:rsid w:val="00C14949"/>
    <w:rsid w:val="00C14AD2"/>
    <w:rsid w:val="00C14CA5"/>
    <w:rsid w:val="00C15BE1"/>
    <w:rsid w:val="00C160D9"/>
    <w:rsid w:val="00C16294"/>
    <w:rsid w:val="00C16B32"/>
    <w:rsid w:val="00C16FF1"/>
    <w:rsid w:val="00C17089"/>
    <w:rsid w:val="00C1715B"/>
    <w:rsid w:val="00C1757F"/>
    <w:rsid w:val="00C17B74"/>
    <w:rsid w:val="00C17BCC"/>
    <w:rsid w:val="00C20358"/>
    <w:rsid w:val="00C20A09"/>
    <w:rsid w:val="00C20AEB"/>
    <w:rsid w:val="00C20F22"/>
    <w:rsid w:val="00C2188A"/>
    <w:rsid w:val="00C21FF8"/>
    <w:rsid w:val="00C220F2"/>
    <w:rsid w:val="00C223A0"/>
    <w:rsid w:val="00C226D1"/>
    <w:rsid w:val="00C23BBD"/>
    <w:rsid w:val="00C24021"/>
    <w:rsid w:val="00C2455C"/>
    <w:rsid w:val="00C24638"/>
    <w:rsid w:val="00C24970"/>
    <w:rsid w:val="00C26495"/>
    <w:rsid w:val="00C26C2C"/>
    <w:rsid w:val="00C273ED"/>
    <w:rsid w:val="00C27447"/>
    <w:rsid w:val="00C27891"/>
    <w:rsid w:val="00C27D45"/>
    <w:rsid w:val="00C300F5"/>
    <w:rsid w:val="00C30AED"/>
    <w:rsid w:val="00C31073"/>
    <w:rsid w:val="00C314B5"/>
    <w:rsid w:val="00C32570"/>
    <w:rsid w:val="00C32C1E"/>
    <w:rsid w:val="00C32D53"/>
    <w:rsid w:val="00C32F69"/>
    <w:rsid w:val="00C3312E"/>
    <w:rsid w:val="00C33B34"/>
    <w:rsid w:val="00C33CD5"/>
    <w:rsid w:val="00C33E46"/>
    <w:rsid w:val="00C33E50"/>
    <w:rsid w:val="00C340CF"/>
    <w:rsid w:val="00C34101"/>
    <w:rsid w:val="00C348FE"/>
    <w:rsid w:val="00C34930"/>
    <w:rsid w:val="00C34FBC"/>
    <w:rsid w:val="00C35087"/>
    <w:rsid w:val="00C35155"/>
    <w:rsid w:val="00C3523B"/>
    <w:rsid w:val="00C35947"/>
    <w:rsid w:val="00C36FFE"/>
    <w:rsid w:val="00C375D2"/>
    <w:rsid w:val="00C402C8"/>
    <w:rsid w:val="00C40A83"/>
    <w:rsid w:val="00C40D37"/>
    <w:rsid w:val="00C40EE3"/>
    <w:rsid w:val="00C412E1"/>
    <w:rsid w:val="00C416FD"/>
    <w:rsid w:val="00C41DDD"/>
    <w:rsid w:val="00C41E73"/>
    <w:rsid w:val="00C41FA0"/>
    <w:rsid w:val="00C4271F"/>
    <w:rsid w:val="00C42A6C"/>
    <w:rsid w:val="00C42B60"/>
    <w:rsid w:val="00C42EE3"/>
    <w:rsid w:val="00C43E4A"/>
    <w:rsid w:val="00C43FD4"/>
    <w:rsid w:val="00C4445E"/>
    <w:rsid w:val="00C44720"/>
    <w:rsid w:val="00C44846"/>
    <w:rsid w:val="00C453B9"/>
    <w:rsid w:val="00C45A51"/>
    <w:rsid w:val="00C46113"/>
    <w:rsid w:val="00C469E3"/>
    <w:rsid w:val="00C46F19"/>
    <w:rsid w:val="00C47155"/>
    <w:rsid w:val="00C47590"/>
    <w:rsid w:val="00C4762E"/>
    <w:rsid w:val="00C47987"/>
    <w:rsid w:val="00C47CD2"/>
    <w:rsid w:val="00C47D56"/>
    <w:rsid w:val="00C5029B"/>
    <w:rsid w:val="00C50C94"/>
    <w:rsid w:val="00C510DE"/>
    <w:rsid w:val="00C522C1"/>
    <w:rsid w:val="00C536E4"/>
    <w:rsid w:val="00C538AE"/>
    <w:rsid w:val="00C53C32"/>
    <w:rsid w:val="00C53DA2"/>
    <w:rsid w:val="00C53E7A"/>
    <w:rsid w:val="00C54492"/>
    <w:rsid w:val="00C544B6"/>
    <w:rsid w:val="00C54601"/>
    <w:rsid w:val="00C54E26"/>
    <w:rsid w:val="00C55E23"/>
    <w:rsid w:val="00C56A84"/>
    <w:rsid w:val="00C575E8"/>
    <w:rsid w:val="00C5777E"/>
    <w:rsid w:val="00C57EB0"/>
    <w:rsid w:val="00C60984"/>
    <w:rsid w:val="00C60E33"/>
    <w:rsid w:val="00C60ED4"/>
    <w:rsid w:val="00C6111A"/>
    <w:rsid w:val="00C611D5"/>
    <w:rsid w:val="00C61623"/>
    <w:rsid w:val="00C61801"/>
    <w:rsid w:val="00C618DF"/>
    <w:rsid w:val="00C62FF2"/>
    <w:rsid w:val="00C643D2"/>
    <w:rsid w:val="00C65030"/>
    <w:rsid w:val="00C652A1"/>
    <w:rsid w:val="00C655E4"/>
    <w:rsid w:val="00C65738"/>
    <w:rsid w:val="00C6590A"/>
    <w:rsid w:val="00C65FFB"/>
    <w:rsid w:val="00C66663"/>
    <w:rsid w:val="00C668D8"/>
    <w:rsid w:val="00C66BCD"/>
    <w:rsid w:val="00C66E74"/>
    <w:rsid w:val="00C67029"/>
    <w:rsid w:val="00C70B20"/>
    <w:rsid w:val="00C70B38"/>
    <w:rsid w:val="00C70B43"/>
    <w:rsid w:val="00C710D1"/>
    <w:rsid w:val="00C71716"/>
    <w:rsid w:val="00C719E2"/>
    <w:rsid w:val="00C71A56"/>
    <w:rsid w:val="00C72B8E"/>
    <w:rsid w:val="00C72E3A"/>
    <w:rsid w:val="00C730CC"/>
    <w:rsid w:val="00C74EAB"/>
    <w:rsid w:val="00C74F86"/>
    <w:rsid w:val="00C7532A"/>
    <w:rsid w:val="00C75721"/>
    <w:rsid w:val="00C760A6"/>
    <w:rsid w:val="00C762B7"/>
    <w:rsid w:val="00C7635F"/>
    <w:rsid w:val="00C76825"/>
    <w:rsid w:val="00C77C4B"/>
    <w:rsid w:val="00C77C5D"/>
    <w:rsid w:val="00C77D50"/>
    <w:rsid w:val="00C80DC6"/>
    <w:rsid w:val="00C815E4"/>
    <w:rsid w:val="00C81CCC"/>
    <w:rsid w:val="00C82535"/>
    <w:rsid w:val="00C82775"/>
    <w:rsid w:val="00C8290C"/>
    <w:rsid w:val="00C83373"/>
    <w:rsid w:val="00C84899"/>
    <w:rsid w:val="00C84B27"/>
    <w:rsid w:val="00C84E5E"/>
    <w:rsid w:val="00C8512B"/>
    <w:rsid w:val="00C856E4"/>
    <w:rsid w:val="00C858C8"/>
    <w:rsid w:val="00C85A79"/>
    <w:rsid w:val="00C86242"/>
    <w:rsid w:val="00C86D64"/>
    <w:rsid w:val="00C87CDD"/>
    <w:rsid w:val="00C909EE"/>
    <w:rsid w:val="00C90E27"/>
    <w:rsid w:val="00C910ED"/>
    <w:rsid w:val="00C914C9"/>
    <w:rsid w:val="00C9156F"/>
    <w:rsid w:val="00C91E57"/>
    <w:rsid w:val="00C92045"/>
    <w:rsid w:val="00C922E8"/>
    <w:rsid w:val="00C926F7"/>
    <w:rsid w:val="00C93188"/>
    <w:rsid w:val="00C94EF3"/>
    <w:rsid w:val="00C952A9"/>
    <w:rsid w:val="00C9534F"/>
    <w:rsid w:val="00C95E98"/>
    <w:rsid w:val="00C95F67"/>
    <w:rsid w:val="00C961C0"/>
    <w:rsid w:val="00C965E4"/>
    <w:rsid w:val="00C96615"/>
    <w:rsid w:val="00C9739A"/>
    <w:rsid w:val="00CA0C40"/>
    <w:rsid w:val="00CA13BF"/>
    <w:rsid w:val="00CA13F7"/>
    <w:rsid w:val="00CA1463"/>
    <w:rsid w:val="00CA14DE"/>
    <w:rsid w:val="00CA2A57"/>
    <w:rsid w:val="00CA2C4B"/>
    <w:rsid w:val="00CA30A9"/>
    <w:rsid w:val="00CA35EC"/>
    <w:rsid w:val="00CA3D36"/>
    <w:rsid w:val="00CA3E20"/>
    <w:rsid w:val="00CA3EC4"/>
    <w:rsid w:val="00CA4249"/>
    <w:rsid w:val="00CA43DA"/>
    <w:rsid w:val="00CA4EF3"/>
    <w:rsid w:val="00CA5647"/>
    <w:rsid w:val="00CA575F"/>
    <w:rsid w:val="00CA6856"/>
    <w:rsid w:val="00CA6F7C"/>
    <w:rsid w:val="00CB0652"/>
    <w:rsid w:val="00CB0A8A"/>
    <w:rsid w:val="00CB138C"/>
    <w:rsid w:val="00CB1BD3"/>
    <w:rsid w:val="00CB21EF"/>
    <w:rsid w:val="00CB26B1"/>
    <w:rsid w:val="00CB2714"/>
    <w:rsid w:val="00CB2824"/>
    <w:rsid w:val="00CB2C75"/>
    <w:rsid w:val="00CB2CE9"/>
    <w:rsid w:val="00CB2F95"/>
    <w:rsid w:val="00CB30E7"/>
    <w:rsid w:val="00CB3270"/>
    <w:rsid w:val="00CB4468"/>
    <w:rsid w:val="00CB4653"/>
    <w:rsid w:val="00CB4DA4"/>
    <w:rsid w:val="00CB557A"/>
    <w:rsid w:val="00CB6108"/>
    <w:rsid w:val="00CB644A"/>
    <w:rsid w:val="00CB7071"/>
    <w:rsid w:val="00CB75F9"/>
    <w:rsid w:val="00CB7D14"/>
    <w:rsid w:val="00CB7D9F"/>
    <w:rsid w:val="00CC07A1"/>
    <w:rsid w:val="00CC0824"/>
    <w:rsid w:val="00CC08D7"/>
    <w:rsid w:val="00CC0A9A"/>
    <w:rsid w:val="00CC0EA3"/>
    <w:rsid w:val="00CC128D"/>
    <w:rsid w:val="00CC156F"/>
    <w:rsid w:val="00CC2B9C"/>
    <w:rsid w:val="00CC326E"/>
    <w:rsid w:val="00CC38EE"/>
    <w:rsid w:val="00CC566D"/>
    <w:rsid w:val="00CC6AA6"/>
    <w:rsid w:val="00CC6ACF"/>
    <w:rsid w:val="00CC722F"/>
    <w:rsid w:val="00CC726E"/>
    <w:rsid w:val="00CC7476"/>
    <w:rsid w:val="00CC75EE"/>
    <w:rsid w:val="00CD0BAE"/>
    <w:rsid w:val="00CD1017"/>
    <w:rsid w:val="00CD129C"/>
    <w:rsid w:val="00CD12BA"/>
    <w:rsid w:val="00CD181E"/>
    <w:rsid w:val="00CD2C45"/>
    <w:rsid w:val="00CD2D69"/>
    <w:rsid w:val="00CD3795"/>
    <w:rsid w:val="00CD387C"/>
    <w:rsid w:val="00CD474C"/>
    <w:rsid w:val="00CD49A8"/>
    <w:rsid w:val="00CD5589"/>
    <w:rsid w:val="00CD5CCC"/>
    <w:rsid w:val="00CD6B16"/>
    <w:rsid w:val="00CD6B5E"/>
    <w:rsid w:val="00CD6CB1"/>
    <w:rsid w:val="00CD7422"/>
    <w:rsid w:val="00CE02A5"/>
    <w:rsid w:val="00CE0950"/>
    <w:rsid w:val="00CE0FC5"/>
    <w:rsid w:val="00CE11D8"/>
    <w:rsid w:val="00CE1648"/>
    <w:rsid w:val="00CE1A90"/>
    <w:rsid w:val="00CE1B91"/>
    <w:rsid w:val="00CE1C5C"/>
    <w:rsid w:val="00CE1CA9"/>
    <w:rsid w:val="00CE1E07"/>
    <w:rsid w:val="00CE24A9"/>
    <w:rsid w:val="00CE2567"/>
    <w:rsid w:val="00CE2721"/>
    <w:rsid w:val="00CE2A65"/>
    <w:rsid w:val="00CE3037"/>
    <w:rsid w:val="00CE32AD"/>
    <w:rsid w:val="00CE3361"/>
    <w:rsid w:val="00CE3F49"/>
    <w:rsid w:val="00CE415B"/>
    <w:rsid w:val="00CE49B0"/>
    <w:rsid w:val="00CE4EA8"/>
    <w:rsid w:val="00CE5261"/>
    <w:rsid w:val="00CE584B"/>
    <w:rsid w:val="00CE5A0A"/>
    <w:rsid w:val="00CE6C5C"/>
    <w:rsid w:val="00CE72F6"/>
    <w:rsid w:val="00CE76C2"/>
    <w:rsid w:val="00CE7FF2"/>
    <w:rsid w:val="00CF0E8B"/>
    <w:rsid w:val="00CF100F"/>
    <w:rsid w:val="00CF1090"/>
    <w:rsid w:val="00CF10EC"/>
    <w:rsid w:val="00CF12DA"/>
    <w:rsid w:val="00CF1AB9"/>
    <w:rsid w:val="00CF1B03"/>
    <w:rsid w:val="00CF1B1E"/>
    <w:rsid w:val="00CF1E58"/>
    <w:rsid w:val="00CF1F79"/>
    <w:rsid w:val="00CF2964"/>
    <w:rsid w:val="00CF2B1C"/>
    <w:rsid w:val="00CF2B8E"/>
    <w:rsid w:val="00CF39B2"/>
    <w:rsid w:val="00CF3E3D"/>
    <w:rsid w:val="00CF4060"/>
    <w:rsid w:val="00CF4BCC"/>
    <w:rsid w:val="00CF52EB"/>
    <w:rsid w:val="00CF585D"/>
    <w:rsid w:val="00CF5A50"/>
    <w:rsid w:val="00CF5CA8"/>
    <w:rsid w:val="00CF5CB5"/>
    <w:rsid w:val="00CF61C3"/>
    <w:rsid w:val="00CF6562"/>
    <w:rsid w:val="00CF72BD"/>
    <w:rsid w:val="00CF767E"/>
    <w:rsid w:val="00CF78C0"/>
    <w:rsid w:val="00D003F6"/>
    <w:rsid w:val="00D0057E"/>
    <w:rsid w:val="00D015A8"/>
    <w:rsid w:val="00D0221A"/>
    <w:rsid w:val="00D024F9"/>
    <w:rsid w:val="00D027F9"/>
    <w:rsid w:val="00D032AA"/>
    <w:rsid w:val="00D0396B"/>
    <w:rsid w:val="00D03A3E"/>
    <w:rsid w:val="00D03B1A"/>
    <w:rsid w:val="00D03E97"/>
    <w:rsid w:val="00D040BB"/>
    <w:rsid w:val="00D043DD"/>
    <w:rsid w:val="00D049C4"/>
    <w:rsid w:val="00D04AB4"/>
    <w:rsid w:val="00D056E9"/>
    <w:rsid w:val="00D05CB6"/>
    <w:rsid w:val="00D06325"/>
    <w:rsid w:val="00D06FC8"/>
    <w:rsid w:val="00D07684"/>
    <w:rsid w:val="00D076A6"/>
    <w:rsid w:val="00D07F59"/>
    <w:rsid w:val="00D104B2"/>
    <w:rsid w:val="00D105BB"/>
    <w:rsid w:val="00D10986"/>
    <w:rsid w:val="00D11BB2"/>
    <w:rsid w:val="00D12473"/>
    <w:rsid w:val="00D12F1F"/>
    <w:rsid w:val="00D13207"/>
    <w:rsid w:val="00D13358"/>
    <w:rsid w:val="00D1342C"/>
    <w:rsid w:val="00D142FA"/>
    <w:rsid w:val="00D14638"/>
    <w:rsid w:val="00D14873"/>
    <w:rsid w:val="00D14C06"/>
    <w:rsid w:val="00D14CA9"/>
    <w:rsid w:val="00D14DAF"/>
    <w:rsid w:val="00D14F87"/>
    <w:rsid w:val="00D1564A"/>
    <w:rsid w:val="00D156E5"/>
    <w:rsid w:val="00D15AF0"/>
    <w:rsid w:val="00D16747"/>
    <w:rsid w:val="00D175C7"/>
    <w:rsid w:val="00D17E09"/>
    <w:rsid w:val="00D20886"/>
    <w:rsid w:val="00D21175"/>
    <w:rsid w:val="00D21888"/>
    <w:rsid w:val="00D22E00"/>
    <w:rsid w:val="00D23C43"/>
    <w:rsid w:val="00D251E6"/>
    <w:rsid w:val="00D259B0"/>
    <w:rsid w:val="00D25DCD"/>
    <w:rsid w:val="00D26097"/>
    <w:rsid w:val="00D261C5"/>
    <w:rsid w:val="00D26391"/>
    <w:rsid w:val="00D2699D"/>
    <w:rsid w:val="00D27747"/>
    <w:rsid w:val="00D27BF7"/>
    <w:rsid w:val="00D30658"/>
    <w:rsid w:val="00D30729"/>
    <w:rsid w:val="00D30A37"/>
    <w:rsid w:val="00D30EAF"/>
    <w:rsid w:val="00D314F6"/>
    <w:rsid w:val="00D31A4F"/>
    <w:rsid w:val="00D31D6C"/>
    <w:rsid w:val="00D31D99"/>
    <w:rsid w:val="00D32CDD"/>
    <w:rsid w:val="00D32E0D"/>
    <w:rsid w:val="00D3326D"/>
    <w:rsid w:val="00D33977"/>
    <w:rsid w:val="00D34097"/>
    <w:rsid w:val="00D34700"/>
    <w:rsid w:val="00D3544C"/>
    <w:rsid w:val="00D35FDB"/>
    <w:rsid w:val="00D36983"/>
    <w:rsid w:val="00D3719F"/>
    <w:rsid w:val="00D371C8"/>
    <w:rsid w:val="00D37D61"/>
    <w:rsid w:val="00D40103"/>
    <w:rsid w:val="00D4061B"/>
    <w:rsid w:val="00D4205A"/>
    <w:rsid w:val="00D431DA"/>
    <w:rsid w:val="00D43450"/>
    <w:rsid w:val="00D43D75"/>
    <w:rsid w:val="00D43F48"/>
    <w:rsid w:val="00D43F90"/>
    <w:rsid w:val="00D44156"/>
    <w:rsid w:val="00D44198"/>
    <w:rsid w:val="00D445B3"/>
    <w:rsid w:val="00D453B5"/>
    <w:rsid w:val="00D45977"/>
    <w:rsid w:val="00D45BCE"/>
    <w:rsid w:val="00D46DBF"/>
    <w:rsid w:val="00D46F26"/>
    <w:rsid w:val="00D47591"/>
    <w:rsid w:val="00D50278"/>
    <w:rsid w:val="00D50F4A"/>
    <w:rsid w:val="00D51089"/>
    <w:rsid w:val="00D511F7"/>
    <w:rsid w:val="00D5228C"/>
    <w:rsid w:val="00D52E06"/>
    <w:rsid w:val="00D53650"/>
    <w:rsid w:val="00D53F1B"/>
    <w:rsid w:val="00D5425F"/>
    <w:rsid w:val="00D54805"/>
    <w:rsid w:val="00D553C7"/>
    <w:rsid w:val="00D5648F"/>
    <w:rsid w:val="00D5651D"/>
    <w:rsid w:val="00D566A3"/>
    <w:rsid w:val="00D56A12"/>
    <w:rsid w:val="00D57669"/>
    <w:rsid w:val="00D57B21"/>
    <w:rsid w:val="00D57B9A"/>
    <w:rsid w:val="00D60190"/>
    <w:rsid w:val="00D602D3"/>
    <w:rsid w:val="00D605A5"/>
    <w:rsid w:val="00D606A0"/>
    <w:rsid w:val="00D60A18"/>
    <w:rsid w:val="00D60A2F"/>
    <w:rsid w:val="00D60DAB"/>
    <w:rsid w:val="00D60FBB"/>
    <w:rsid w:val="00D61A8A"/>
    <w:rsid w:val="00D62369"/>
    <w:rsid w:val="00D623AA"/>
    <w:rsid w:val="00D62653"/>
    <w:rsid w:val="00D62A24"/>
    <w:rsid w:val="00D62B06"/>
    <w:rsid w:val="00D62FAC"/>
    <w:rsid w:val="00D635B0"/>
    <w:rsid w:val="00D637A9"/>
    <w:rsid w:val="00D63B6D"/>
    <w:rsid w:val="00D63BE1"/>
    <w:rsid w:val="00D64AA1"/>
    <w:rsid w:val="00D65280"/>
    <w:rsid w:val="00D6616F"/>
    <w:rsid w:val="00D6699B"/>
    <w:rsid w:val="00D67178"/>
    <w:rsid w:val="00D672A2"/>
    <w:rsid w:val="00D7009E"/>
    <w:rsid w:val="00D70C63"/>
    <w:rsid w:val="00D710C5"/>
    <w:rsid w:val="00D71410"/>
    <w:rsid w:val="00D71705"/>
    <w:rsid w:val="00D71888"/>
    <w:rsid w:val="00D71B45"/>
    <w:rsid w:val="00D722C1"/>
    <w:rsid w:val="00D72437"/>
    <w:rsid w:val="00D726A5"/>
    <w:rsid w:val="00D727AC"/>
    <w:rsid w:val="00D72AC2"/>
    <w:rsid w:val="00D72CAE"/>
    <w:rsid w:val="00D7341C"/>
    <w:rsid w:val="00D735A9"/>
    <w:rsid w:val="00D74157"/>
    <w:rsid w:val="00D74660"/>
    <w:rsid w:val="00D746BF"/>
    <w:rsid w:val="00D74797"/>
    <w:rsid w:val="00D74968"/>
    <w:rsid w:val="00D749D2"/>
    <w:rsid w:val="00D74D9B"/>
    <w:rsid w:val="00D750A2"/>
    <w:rsid w:val="00D75650"/>
    <w:rsid w:val="00D756E8"/>
    <w:rsid w:val="00D7732F"/>
    <w:rsid w:val="00D801EB"/>
    <w:rsid w:val="00D80747"/>
    <w:rsid w:val="00D8099F"/>
    <w:rsid w:val="00D809FF"/>
    <w:rsid w:val="00D80E48"/>
    <w:rsid w:val="00D810F2"/>
    <w:rsid w:val="00D81285"/>
    <w:rsid w:val="00D819BF"/>
    <w:rsid w:val="00D81B9A"/>
    <w:rsid w:val="00D822C6"/>
    <w:rsid w:val="00D82890"/>
    <w:rsid w:val="00D843D6"/>
    <w:rsid w:val="00D85237"/>
    <w:rsid w:val="00D85475"/>
    <w:rsid w:val="00D85851"/>
    <w:rsid w:val="00D85A2F"/>
    <w:rsid w:val="00D85F9C"/>
    <w:rsid w:val="00D86605"/>
    <w:rsid w:val="00D875D5"/>
    <w:rsid w:val="00D87BDC"/>
    <w:rsid w:val="00D9096B"/>
    <w:rsid w:val="00D90D1C"/>
    <w:rsid w:val="00D90D5C"/>
    <w:rsid w:val="00D90ED4"/>
    <w:rsid w:val="00D90FF0"/>
    <w:rsid w:val="00D91838"/>
    <w:rsid w:val="00D920E8"/>
    <w:rsid w:val="00D92722"/>
    <w:rsid w:val="00D92BF2"/>
    <w:rsid w:val="00D9320C"/>
    <w:rsid w:val="00D93295"/>
    <w:rsid w:val="00D9335B"/>
    <w:rsid w:val="00D93DAF"/>
    <w:rsid w:val="00D941AE"/>
    <w:rsid w:val="00D94925"/>
    <w:rsid w:val="00D94E5E"/>
    <w:rsid w:val="00D94F2C"/>
    <w:rsid w:val="00D96138"/>
    <w:rsid w:val="00D965AB"/>
    <w:rsid w:val="00D96B07"/>
    <w:rsid w:val="00D96BD2"/>
    <w:rsid w:val="00D96CDB"/>
    <w:rsid w:val="00D974EC"/>
    <w:rsid w:val="00D97594"/>
    <w:rsid w:val="00D97C14"/>
    <w:rsid w:val="00DA002B"/>
    <w:rsid w:val="00DA0351"/>
    <w:rsid w:val="00DA0417"/>
    <w:rsid w:val="00DA059A"/>
    <w:rsid w:val="00DA0676"/>
    <w:rsid w:val="00DA08F0"/>
    <w:rsid w:val="00DA0F27"/>
    <w:rsid w:val="00DA117B"/>
    <w:rsid w:val="00DA156A"/>
    <w:rsid w:val="00DA1DA8"/>
    <w:rsid w:val="00DA22C1"/>
    <w:rsid w:val="00DA24B0"/>
    <w:rsid w:val="00DA2582"/>
    <w:rsid w:val="00DA2694"/>
    <w:rsid w:val="00DA3CF1"/>
    <w:rsid w:val="00DA4B0E"/>
    <w:rsid w:val="00DA50E4"/>
    <w:rsid w:val="00DA5BEB"/>
    <w:rsid w:val="00DA6BFD"/>
    <w:rsid w:val="00DA6E40"/>
    <w:rsid w:val="00DA7645"/>
    <w:rsid w:val="00DA7E15"/>
    <w:rsid w:val="00DA7FC8"/>
    <w:rsid w:val="00DB02FF"/>
    <w:rsid w:val="00DB10BD"/>
    <w:rsid w:val="00DB1433"/>
    <w:rsid w:val="00DB197C"/>
    <w:rsid w:val="00DB1AAF"/>
    <w:rsid w:val="00DB25D2"/>
    <w:rsid w:val="00DB26B5"/>
    <w:rsid w:val="00DB3753"/>
    <w:rsid w:val="00DB3AA0"/>
    <w:rsid w:val="00DB3C49"/>
    <w:rsid w:val="00DB41B9"/>
    <w:rsid w:val="00DB42C2"/>
    <w:rsid w:val="00DB444B"/>
    <w:rsid w:val="00DB4628"/>
    <w:rsid w:val="00DB4714"/>
    <w:rsid w:val="00DB4788"/>
    <w:rsid w:val="00DB4D04"/>
    <w:rsid w:val="00DB510A"/>
    <w:rsid w:val="00DB5178"/>
    <w:rsid w:val="00DB5386"/>
    <w:rsid w:val="00DB5ABE"/>
    <w:rsid w:val="00DB6292"/>
    <w:rsid w:val="00DB67E7"/>
    <w:rsid w:val="00DB68BB"/>
    <w:rsid w:val="00DB7F10"/>
    <w:rsid w:val="00DC1524"/>
    <w:rsid w:val="00DC158A"/>
    <w:rsid w:val="00DC1889"/>
    <w:rsid w:val="00DC1CA3"/>
    <w:rsid w:val="00DC226A"/>
    <w:rsid w:val="00DC2949"/>
    <w:rsid w:val="00DC2A33"/>
    <w:rsid w:val="00DC3214"/>
    <w:rsid w:val="00DC335D"/>
    <w:rsid w:val="00DC3579"/>
    <w:rsid w:val="00DC3E0F"/>
    <w:rsid w:val="00DC43AE"/>
    <w:rsid w:val="00DC466F"/>
    <w:rsid w:val="00DC4841"/>
    <w:rsid w:val="00DC4DDA"/>
    <w:rsid w:val="00DC51EE"/>
    <w:rsid w:val="00DC5533"/>
    <w:rsid w:val="00DC5770"/>
    <w:rsid w:val="00DC59D7"/>
    <w:rsid w:val="00DC6E13"/>
    <w:rsid w:val="00DC6E1B"/>
    <w:rsid w:val="00DC71FC"/>
    <w:rsid w:val="00DC7EBE"/>
    <w:rsid w:val="00DD0296"/>
    <w:rsid w:val="00DD12EF"/>
    <w:rsid w:val="00DD158F"/>
    <w:rsid w:val="00DD16FB"/>
    <w:rsid w:val="00DD1DC2"/>
    <w:rsid w:val="00DD235A"/>
    <w:rsid w:val="00DD2381"/>
    <w:rsid w:val="00DD2B1D"/>
    <w:rsid w:val="00DD3821"/>
    <w:rsid w:val="00DD391B"/>
    <w:rsid w:val="00DD39C4"/>
    <w:rsid w:val="00DD45D3"/>
    <w:rsid w:val="00DD48F3"/>
    <w:rsid w:val="00DD4E0C"/>
    <w:rsid w:val="00DD5A2A"/>
    <w:rsid w:val="00DD5B2E"/>
    <w:rsid w:val="00DD662B"/>
    <w:rsid w:val="00DD6C92"/>
    <w:rsid w:val="00DD7897"/>
    <w:rsid w:val="00DE01AB"/>
    <w:rsid w:val="00DE01CA"/>
    <w:rsid w:val="00DE04EA"/>
    <w:rsid w:val="00DE0B85"/>
    <w:rsid w:val="00DE0D66"/>
    <w:rsid w:val="00DE12BD"/>
    <w:rsid w:val="00DE1489"/>
    <w:rsid w:val="00DE1532"/>
    <w:rsid w:val="00DE179B"/>
    <w:rsid w:val="00DE292D"/>
    <w:rsid w:val="00DE2AA3"/>
    <w:rsid w:val="00DE30D1"/>
    <w:rsid w:val="00DE3A67"/>
    <w:rsid w:val="00DE3B74"/>
    <w:rsid w:val="00DE40F7"/>
    <w:rsid w:val="00DE47DF"/>
    <w:rsid w:val="00DE4C85"/>
    <w:rsid w:val="00DE4D21"/>
    <w:rsid w:val="00DE4E08"/>
    <w:rsid w:val="00DE59BF"/>
    <w:rsid w:val="00DE5EA6"/>
    <w:rsid w:val="00DE5F41"/>
    <w:rsid w:val="00DE61FB"/>
    <w:rsid w:val="00DE6B6A"/>
    <w:rsid w:val="00DE6E71"/>
    <w:rsid w:val="00DE730F"/>
    <w:rsid w:val="00DE731D"/>
    <w:rsid w:val="00DE7A0D"/>
    <w:rsid w:val="00DE7A1D"/>
    <w:rsid w:val="00DF04C1"/>
    <w:rsid w:val="00DF0A8D"/>
    <w:rsid w:val="00DF0E97"/>
    <w:rsid w:val="00DF11F0"/>
    <w:rsid w:val="00DF1262"/>
    <w:rsid w:val="00DF1956"/>
    <w:rsid w:val="00DF1AD2"/>
    <w:rsid w:val="00DF1D62"/>
    <w:rsid w:val="00DF2170"/>
    <w:rsid w:val="00DF273F"/>
    <w:rsid w:val="00DF2FC2"/>
    <w:rsid w:val="00DF3D62"/>
    <w:rsid w:val="00DF473C"/>
    <w:rsid w:val="00DF50E7"/>
    <w:rsid w:val="00DF572E"/>
    <w:rsid w:val="00DF596A"/>
    <w:rsid w:val="00DF6125"/>
    <w:rsid w:val="00DF6DA6"/>
    <w:rsid w:val="00DF6F28"/>
    <w:rsid w:val="00DF708D"/>
    <w:rsid w:val="00DF765C"/>
    <w:rsid w:val="00DF7EB8"/>
    <w:rsid w:val="00E0031E"/>
    <w:rsid w:val="00E00FD5"/>
    <w:rsid w:val="00E01956"/>
    <w:rsid w:val="00E01C56"/>
    <w:rsid w:val="00E02047"/>
    <w:rsid w:val="00E023E5"/>
    <w:rsid w:val="00E026D4"/>
    <w:rsid w:val="00E02837"/>
    <w:rsid w:val="00E0443C"/>
    <w:rsid w:val="00E04B4F"/>
    <w:rsid w:val="00E05DAA"/>
    <w:rsid w:val="00E06FD6"/>
    <w:rsid w:val="00E074C1"/>
    <w:rsid w:val="00E07B79"/>
    <w:rsid w:val="00E07CDC"/>
    <w:rsid w:val="00E1006A"/>
    <w:rsid w:val="00E10481"/>
    <w:rsid w:val="00E104B0"/>
    <w:rsid w:val="00E104CA"/>
    <w:rsid w:val="00E105B9"/>
    <w:rsid w:val="00E1079E"/>
    <w:rsid w:val="00E10909"/>
    <w:rsid w:val="00E10F6A"/>
    <w:rsid w:val="00E112FA"/>
    <w:rsid w:val="00E12CED"/>
    <w:rsid w:val="00E13D2C"/>
    <w:rsid w:val="00E13EE3"/>
    <w:rsid w:val="00E148CD"/>
    <w:rsid w:val="00E14E22"/>
    <w:rsid w:val="00E14FF5"/>
    <w:rsid w:val="00E15713"/>
    <w:rsid w:val="00E163B7"/>
    <w:rsid w:val="00E16682"/>
    <w:rsid w:val="00E1678A"/>
    <w:rsid w:val="00E168DB"/>
    <w:rsid w:val="00E17549"/>
    <w:rsid w:val="00E17A22"/>
    <w:rsid w:val="00E17BAE"/>
    <w:rsid w:val="00E17CC3"/>
    <w:rsid w:val="00E17E85"/>
    <w:rsid w:val="00E17E99"/>
    <w:rsid w:val="00E2002A"/>
    <w:rsid w:val="00E2055A"/>
    <w:rsid w:val="00E21F2D"/>
    <w:rsid w:val="00E221A4"/>
    <w:rsid w:val="00E22A26"/>
    <w:rsid w:val="00E22DD9"/>
    <w:rsid w:val="00E23166"/>
    <w:rsid w:val="00E2336E"/>
    <w:rsid w:val="00E23655"/>
    <w:rsid w:val="00E23AB9"/>
    <w:rsid w:val="00E23AC4"/>
    <w:rsid w:val="00E23ED2"/>
    <w:rsid w:val="00E24329"/>
    <w:rsid w:val="00E256F7"/>
    <w:rsid w:val="00E25995"/>
    <w:rsid w:val="00E25B2B"/>
    <w:rsid w:val="00E25D57"/>
    <w:rsid w:val="00E26257"/>
    <w:rsid w:val="00E264AD"/>
    <w:rsid w:val="00E27059"/>
    <w:rsid w:val="00E27074"/>
    <w:rsid w:val="00E27E1C"/>
    <w:rsid w:val="00E300F2"/>
    <w:rsid w:val="00E31966"/>
    <w:rsid w:val="00E3203D"/>
    <w:rsid w:val="00E327D0"/>
    <w:rsid w:val="00E3291D"/>
    <w:rsid w:val="00E32AE4"/>
    <w:rsid w:val="00E32D6A"/>
    <w:rsid w:val="00E33396"/>
    <w:rsid w:val="00E335C5"/>
    <w:rsid w:val="00E337A2"/>
    <w:rsid w:val="00E337CF"/>
    <w:rsid w:val="00E33D24"/>
    <w:rsid w:val="00E33E8E"/>
    <w:rsid w:val="00E34706"/>
    <w:rsid w:val="00E34ED4"/>
    <w:rsid w:val="00E35580"/>
    <w:rsid w:val="00E35929"/>
    <w:rsid w:val="00E36DD5"/>
    <w:rsid w:val="00E3751A"/>
    <w:rsid w:val="00E377A6"/>
    <w:rsid w:val="00E379BD"/>
    <w:rsid w:val="00E37CE4"/>
    <w:rsid w:val="00E37DD1"/>
    <w:rsid w:val="00E4005E"/>
    <w:rsid w:val="00E4025A"/>
    <w:rsid w:val="00E40A1E"/>
    <w:rsid w:val="00E41CF2"/>
    <w:rsid w:val="00E41D23"/>
    <w:rsid w:val="00E4297F"/>
    <w:rsid w:val="00E438F7"/>
    <w:rsid w:val="00E43A0F"/>
    <w:rsid w:val="00E43E29"/>
    <w:rsid w:val="00E43EE5"/>
    <w:rsid w:val="00E44ACD"/>
    <w:rsid w:val="00E44CB9"/>
    <w:rsid w:val="00E4504A"/>
    <w:rsid w:val="00E45343"/>
    <w:rsid w:val="00E45B97"/>
    <w:rsid w:val="00E46852"/>
    <w:rsid w:val="00E46AB1"/>
    <w:rsid w:val="00E47067"/>
    <w:rsid w:val="00E475F0"/>
    <w:rsid w:val="00E479BA"/>
    <w:rsid w:val="00E479FF"/>
    <w:rsid w:val="00E50FC4"/>
    <w:rsid w:val="00E51392"/>
    <w:rsid w:val="00E515B1"/>
    <w:rsid w:val="00E51662"/>
    <w:rsid w:val="00E5269A"/>
    <w:rsid w:val="00E535D1"/>
    <w:rsid w:val="00E536FC"/>
    <w:rsid w:val="00E539DB"/>
    <w:rsid w:val="00E53AA6"/>
    <w:rsid w:val="00E53C6C"/>
    <w:rsid w:val="00E53CB2"/>
    <w:rsid w:val="00E53D6A"/>
    <w:rsid w:val="00E5424C"/>
    <w:rsid w:val="00E54898"/>
    <w:rsid w:val="00E55558"/>
    <w:rsid w:val="00E55BB8"/>
    <w:rsid w:val="00E56344"/>
    <w:rsid w:val="00E57A7C"/>
    <w:rsid w:val="00E57CCA"/>
    <w:rsid w:val="00E57E87"/>
    <w:rsid w:val="00E6020D"/>
    <w:rsid w:val="00E60DE1"/>
    <w:rsid w:val="00E61076"/>
    <w:rsid w:val="00E61812"/>
    <w:rsid w:val="00E62CF0"/>
    <w:rsid w:val="00E62E5D"/>
    <w:rsid w:val="00E63843"/>
    <w:rsid w:val="00E65073"/>
    <w:rsid w:val="00E65E8C"/>
    <w:rsid w:val="00E66800"/>
    <w:rsid w:val="00E66D78"/>
    <w:rsid w:val="00E6725D"/>
    <w:rsid w:val="00E673C1"/>
    <w:rsid w:val="00E67779"/>
    <w:rsid w:val="00E67C5C"/>
    <w:rsid w:val="00E67E55"/>
    <w:rsid w:val="00E70338"/>
    <w:rsid w:val="00E7039E"/>
    <w:rsid w:val="00E70504"/>
    <w:rsid w:val="00E70591"/>
    <w:rsid w:val="00E70F32"/>
    <w:rsid w:val="00E71198"/>
    <w:rsid w:val="00E719A2"/>
    <w:rsid w:val="00E71E4F"/>
    <w:rsid w:val="00E72486"/>
    <w:rsid w:val="00E724EF"/>
    <w:rsid w:val="00E7264E"/>
    <w:rsid w:val="00E72651"/>
    <w:rsid w:val="00E7311B"/>
    <w:rsid w:val="00E735AE"/>
    <w:rsid w:val="00E73957"/>
    <w:rsid w:val="00E73BA5"/>
    <w:rsid w:val="00E73C90"/>
    <w:rsid w:val="00E73D3A"/>
    <w:rsid w:val="00E7412C"/>
    <w:rsid w:val="00E743A1"/>
    <w:rsid w:val="00E74BC5"/>
    <w:rsid w:val="00E74D9A"/>
    <w:rsid w:val="00E74F05"/>
    <w:rsid w:val="00E7518B"/>
    <w:rsid w:val="00E7593F"/>
    <w:rsid w:val="00E75AA2"/>
    <w:rsid w:val="00E76497"/>
    <w:rsid w:val="00E76C33"/>
    <w:rsid w:val="00E8011B"/>
    <w:rsid w:val="00E801FE"/>
    <w:rsid w:val="00E80768"/>
    <w:rsid w:val="00E80E1E"/>
    <w:rsid w:val="00E82135"/>
    <w:rsid w:val="00E82862"/>
    <w:rsid w:val="00E82CA0"/>
    <w:rsid w:val="00E82E17"/>
    <w:rsid w:val="00E8398E"/>
    <w:rsid w:val="00E83E34"/>
    <w:rsid w:val="00E83EE7"/>
    <w:rsid w:val="00E84AD4"/>
    <w:rsid w:val="00E84B82"/>
    <w:rsid w:val="00E8534F"/>
    <w:rsid w:val="00E854EA"/>
    <w:rsid w:val="00E85A82"/>
    <w:rsid w:val="00E85EC9"/>
    <w:rsid w:val="00E865AD"/>
    <w:rsid w:val="00E86BAE"/>
    <w:rsid w:val="00E876A3"/>
    <w:rsid w:val="00E87DC5"/>
    <w:rsid w:val="00E903A5"/>
    <w:rsid w:val="00E90A19"/>
    <w:rsid w:val="00E912E5"/>
    <w:rsid w:val="00E91460"/>
    <w:rsid w:val="00E915F1"/>
    <w:rsid w:val="00E9189B"/>
    <w:rsid w:val="00E91C42"/>
    <w:rsid w:val="00E92341"/>
    <w:rsid w:val="00E92EA9"/>
    <w:rsid w:val="00E93635"/>
    <w:rsid w:val="00E94F06"/>
    <w:rsid w:val="00E95243"/>
    <w:rsid w:val="00E956CB"/>
    <w:rsid w:val="00E960B8"/>
    <w:rsid w:val="00E96AEE"/>
    <w:rsid w:val="00E96D1C"/>
    <w:rsid w:val="00E97103"/>
    <w:rsid w:val="00E9762E"/>
    <w:rsid w:val="00E977CB"/>
    <w:rsid w:val="00E977CE"/>
    <w:rsid w:val="00E97990"/>
    <w:rsid w:val="00E97D2F"/>
    <w:rsid w:val="00E97EA7"/>
    <w:rsid w:val="00E97FB1"/>
    <w:rsid w:val="00EA1048"/>
    <w:rsid w:val="00EA1514"/>
    <w:rsid w:val="00EA16E1"/>
    <w:rsid w:val="00EA1767"/>
    <w:rsid w:val="00EA1F8E"/>
    <w:rsid w:val="00EA2360"/>
    <w:rsid w:val="00EA272B"/>
    <w:rsid w:val="00EA2AB7"/>
    <w:rsid w:val="00EA2F5D"/>
    <w:rsid w:val="00EA301E"/>
    <w:rsid w:val="00EA3893"/>
    <w:rsid w:val="00EA3BA1"/>
    <w:rsid w:val="00EA424E"/>
    <w:rsid w:val="00EA449C"/>
    <w:rsid w:val="00EA4F1E"/>
    <w:rsid w:val="00EA4F7D"/>
    <w:rsid w:val="00EA57B8"/>
    <w:rsid w:val="00EA5F9C"/>
    <w:rsid w:val="00EA633B"/>
    <w:rsid w:val="00EA659C"/>
    <w:rsid w:val="00EA7206"/>
    <w:rsid w:val="00EB0A68"/>
    <w:rsid w:val="00EB0E6A"/>
    <w:rsid w:val="00EB0FE6"/>
    <w:rsid w:val="00EB1609"/>
    <w:rsid w:val="00EB16EB"/>
    <w:rsid w:val="00EB182C"/>
    <w:rsid w:val="00EB19D9"/>
    <w:rsid w:val="00EB2287"/>
    <w:rsid w:val="00EB269D"/>
    <w:rsid w:val="00EB27A7"/>
    <w:rsid w:val="00EB30E8"/>
    <w:rsid w:val="00EB344E"/>
    <w:rsid w:val="00EB438A"/>
    <w:rsid w:val="00EB45D7"/>
    <w:rsid w:val="00EB47B3"/>
    <w:rsid w:val="00EB4926"/>
    <w:rsid w:val="00EB4B58"/>
    <w:rsid w:val="00EB4E5F"/>
    <w:rsid w:val="00EB5197"/>
    <w:rsid w:val="00EB5629"/>
    <w:rsid w:val="00EB5734"/>
    <w:rsid w:val="00EB6B9B"/>
    <w:rsid w:val="00EB75EB"/>
    <w:rsid w:val="00EB7605"/>
    <w:rsid w:val="00EB76CB"/>
    <w:rsid w:val="00EB79AA"/>
    <w:rsid w:val="00EC089D"/>
    <w:rsid w:val="00EC0DD3"/>
    <w:rsid w:val="00EC0FDB"/>
    <w:rsid w:val="00EC101A"/>
    <w:rsid w:val="00EC1394"/>
    <w:rsid w:val="00EC1507"/>
    <w:rsid w:val="00EC20D7"/>
    <w:rsid w:val="00EC226A"/>
    <w:rsid w:val="00EC229B"/>
    <w:rsid w:val="00EC28DD"/>
    <w:rsid w:val="00EC2EE6"/>
    <w:rsid w:val="00EC3012"/>
    <w:rsid w:val="00EC3713"/>
    <w:rsid w:val="00EC37A0"/>
    <w:rsid w:val="00EC3FA5"/>
    <w:rsid w:val="00EC45C9"/>
    <w:rsid w:val="00EC552D"/>
    <w:rsid w:val="00EC5B93"/>
    <w:rsid w:val="00EC774B"/>
    <w:rsid w:val="00ED0690"/>
    <w:rsid w:val="00ED13EB"/>
    <w:rsid w:val="00ED1462"/>
    <w:rsid w:val="00ED14A1"/>
    <w:rsid w:val="00ED17FA"/>
    <w:rsid w:val="00ED1856"/>
    <w:rsid w:val="00ED2097"/>
    <w:rsid w:val="00ED24B6"/>
    <w:rsid w:val="00ED25D2"/>
    <w:rsid w:val="00ED35C0"/>
    <w:rsid w:val="00ED3F38"/>
    <w:rsid w:val="00ED4124"/>
    <w:rsid w:val="00ED4C60"/>
    <w:rsid w:val="00ED5030"/>
    <w:rsid w:val="00ED547D"/>
    <w:rsid w:val="00ED596C"/>
    <w:rsid w:val="00ED5ACF"/>
    <w:rsid w:val="00ED5D88"/>
    <w:rsid w:val="00ED6B34"/>
    <w:rsid w:val="00EE0174"/>
    <w:rsid w:val="00EE01D1"/>
    <w:rsid w:val="00EE083C"/>
    <w:rsid w:val="00EE0D6A"/>
    <w:rsid w:val="00EE12E9"/>
    <w:rsid w:val="00EE13A7"/>
    <w:rsid w:val="00EE27C2"/>
    <w:rsid w:val="00EE2B55"/>
    <w:rsid w:val="00EE32B8"/>
    <w:rsid w:val="00EE3341"/>
    <w:rsid w:val="00EE3445"/>
    <w:rsid w:val="00EE35F5"/>
    <w:rsid w:val="00EE3D30"/>
    <w:rsid w:val="00EE3DB2"/>
    <w:rsid w:val="00EE418F"/>
    <w:rsid w:val="00EE4436"/>
    <w:rsid w:val="00EE4A44"/>
    <w:rsid w:val="00EE4BBE"/>
    <w:rsid w:val="00EE546C"/>
    <w:rsid w:val="00EE563D"/>
    <w:rsid w:val="00EE5DFC"/>
    <w:rsid w:val="00EE60E7"/>
    <w:rsid w:val="00EE6940"/>
    <w:rsid w:val="00EE6A20"/>
    <w:rsid w:val="00EE7503"/>
    <w:rsid w:val="00EE7636"/>
    <w:rsid w:val="00EE7AE5"/>
    <w:rsid w:val="00EE7F14"/>
    <w:rsid w:val="00EF00A8"/>
    <w:rsid w:val="00EF02E6"/>
    <w:rsid w:val="00EF045D"/>
    <w:rsid w:val="00EF0908"/>
    <w:rsid w:val="00EF0983"/>
    <w:rsid w:val="00EF0B00"/>
    <w:rsid w:val="00EF0C8C"/>
    <w:rsid w:val="00EF0E21"/>
    <w:rsid w:val="00EF138D"/>
    <w:rsid w:val="00EF1821"/>
    <w:rsid w:val="00EF195D"/>
    <w:rsid w:val="00EF1D2F"/>
    <w:rsid w:val="00EF1E08"/>
    <w:rsid w:val="00EF1F2C"/>
    <w:rsid w:val="00EF20C3"/>
    <w:rsid w:val="00EF231B"/>
    <w:rsid w:val="00EF2449"/>
    <w:rsid w:val="00EF2467"/>
    <w:rsid w:val="00EF2476"/>
    <w:rsid w:val="00EF256C"/>
    <w:rsid w:val="00EF3393"/>
    <w:rsid w:val="00EF3C6A"/>
    <w:rsid w:val="00EF3DDE"/>
    <w:rsid w:val="00EF3F1A"/>
    <w:rsid w:val="00EF42CE"/>
    <w:rsid w:val="00EF463E"/>
    <w:rsid w:val="00EF541D"/>
    <w:rsid w:val="00EF571F"/>
    <w:rsid w:val="00EF579C"/>
    <w:rsid w:val="00EF57BB"/>
    <w:rsid w:val="00EF585C"/>
    <w:rsid w:val="00EF5B95"/>
    <w:rsid w:val="00EF5C28"/>
    <w:rsid w:val="00EF60B7"/>
    <w:rsid w:val="00EF613D"/>
    <w:rsid w:val="00EF7096"/>
    <w:rsid w:val="00F005E5"/>
    <w:rsid w:val="00F00922"/>
    <w:rsid w:val="00F0102C"/>
    <w:rsid w:val="00F0106B"/>
    <w:rsid w:val="00F0137B"/>
    <w:rsid w:val="00F0139C"/>
    <w:rsid w:val="00F020E1"/>
    <w:rsid w:val="00F0221D"/>
    <w:rsid w:val="00F02DE5"/>
    <w:rsid w:val="00F0324F"/>
    <w:rsid w:val="00F03AA2"/>
    <w:rsid w:val="00F043F9"/>
    <w:rsid w:val="00F04E02"/>
    <w:rsid w:val="00F05558"/>
    <w:rsid w:val="00F05618"/>
    <w:rsid w:val="00F0595E"/>
    <w:rsid w:val="00F05A7B"/>
    <w:rsid w:val="00F0622D"/>
    <w:rsid w:val="00F06454"/>
    <w:rsid w:val="00F06AC9"/>
    <w:rsid w:val="00F06CB2"/>
    <w:rsid w:val="00F06E72"/>
    <w:rsid w:val="00F07188"/>
    <w:rsid w:val="00F07C8A"/>
    <w:rsid w:val="00F07D8B"/>
    <w:rsid w:val="00F1013B"/>
    <w:rsid w:val="00F104D0"/>
    <w:rsid w:val="00F105A3"/>
    <w:rsid w:val="00F10840"/>
    <w:rsid w:val="00F116E1"/>
    <w:rsid w:val="00F11E4F"/>
    <w:rsid w:val="00F1272B"/>
    <w:rsid w:val="00F12EE1"/>
    <w:rsid w:val="00F13033"/>
    <w:rsid w:val="00F13232"/>
    <w:rsid w:val="00F132E7"/>
    <w:rsid w:val="00F13560"/>
    <w:rsid w:val="00F13A85"/>
    <w:rsid w:val="00F13C6A"/>
    <w:rsid w:val="00F13C93"/>
    <w:rsid w:val="00F14212"/>
    <w:rsid w:val="00F14A1F"/>
    <w:rsid w:val="00F14D95"/>
    <w:rsid w:val="00F15A0F"/>
    <w:rsid w:val="00F15D2C"/>
    <w:rsid w:val="00F16582"/>
    <w:rsid w:val="00F16B9D"/>
    <w:rsid w:val="00F16CE1"/>
    <w:rsid w:val="00F17125"/>
    <w:rsid w:val="00F179EF"/>
    <w:rsid w:val="00F17E02"/>
    <w:rsid w:val="00F17E22"/>
    <w:rsid w:val="00F20017"/>
    <w:rsid w:val="00F20776"/>
    <w:rsid w:val="00F21051"/>
    <w:rsid w:val="00F2106E"/>
    <w:rsid w:val="00F21353"/>
    <w:rsid w:val="00F21514"/>
    <w:rsid w:val="00F21AE7"/>
    <w:rsid w:val="00F21B8E"/>
    <w:rsid w:val="00F21CAF"/>
    <w:rsid w:val="00F222D7"/>
    <w:rsid w:val="00F223BD"/>
    <w:rsid w:val="00F223EA"/>
    <w:rsid w:val="00F22490"/>
    <w:rsid w:val="00F22A7C"/>
    <w:rsid w:val="00F22EE2"/>
    <w:rsid w:val="00F232DA"/>
    <w:rsid w:val="00F23613"/>
    <w:rsid w:val="00F24874"/>
    <w:rsid w:val="00F24980"/>
    <w:rsid w:val="00F24B20"/>
    <w:rsid w:val="00F24EF6"/>
    <w:rsid w:val="00F25C36"/>
    <w:rsid w:val="00F26145"/>
    <w:rsid w:val="00F26345"/>
    <w:rsid w:val="00F2634C"/>
    <w:rsid w:val="00F26ACA"/>
    <w:rsid w:val="00F26D6D"/>
    <w:rsid w:val="00F273A0"/>
    <w:rsid w:val="00F2759A"/>
    <w:rsid w:val="00F30616"/>
    <w:rsid w:val="00F319F9"/>
    <w:rsid w:val="00F32AF9"/>
    <w:rsid w:val="00F3324A"/>
    <w:rsid w:val="00F33B96"/>
    <w:rsid w:val="00F346B1"/>
    <w:rsid w:val="00F3484E"/>
    <w:rsid w:val="00F34E84"/>
    <w:rsid w:val="00F34FB3"/>
    <w:rsid w:val="00F36323"/>
    <w:rsid w:val="00F36F16"/>
    <w:rsid w:val="00F37507"/>
    <w:rsid w:val="00F40042"/>
    <w:rsid w:val="00F40529"/>
    <w:rsid w:val="00F415F2"/>
    <w:rsid w:val="00F41B47"/>
    <w:rsid w:val="00F42037"/>
    <w:rsid w:val="00F423F6"/>
    <w:rsid w:val="00F42415"/>
    <w:rsid w:val="00F424D3"/>
    <w:rsid w:val="00F4284C"/>
    <w:rsid w:val="00F42EAD"/>
    <w:rsid w:val="00F43194"/>
    <w:rsid w:val="00F43DD9"/>
    <w:rsid w:val="00F443B0"/>
    <w:rsid w:val="00F444E7"/>
    <w:rsid w:val="00F447EA"/>
    <w:rsid w:val="00F44943"/>
    <w:rsid w:val="00F44AFD"/>
    <w:rsid w:val="00F44DC4"/>
    <w:rsid w:val="00F453DF"/>
    <w:rsid w:val="00F46096"/>
    <w:rsid w:val="00F4680D"/>
    <w:rsid w:val="00F4737E"/>
    <w:rsid w:val="00F47D5F"/>
    <w:rsid w:val="00F47E5F"/>
    <w:rsid w:val="00F50623"/>
    <w:rsid w:val="00F510E3"/>
    <w:rsid w:val="00F511EE"/>
    <w:rsid w:val="00F516CB"/>
    <w:rsid w:val="00F5170E"/>
    <w:rsid w:val="00F51D28"/>
    <w:rsid w:val="00F51E4D"/>
    <w:rsid w:val="00F52858"/>
    <w:rsid w:val="00F533F9"/>
    <w:rsid w:val="00F539AC"/>
    <w:rsid w:val="00F53D94"/>
    <w:rsid w:val="00F5420D"/>
    <w:rsid w:val="00F54768"/>
    <w:rsid w:val="00F54AAB"/>
    <w:rsid w:val="00F54ADC"/>
    <w:rsid w:val="00F553E8"/>
    <w:rsid w:val="00F55AA3"/>
    <w:rsid w:val="00F55DFC"/>
    <w:rsid w:val="00F56C88"/>
    <w:rsid w:val="00F57BDA"/>
    <w:rsid w:val="00F57F43"/>
    <w:rsid w:val="00F60058"/>
    <w:rsid w:val="00F6066A"/>
    <w:rsid w:val="00F60688"/>
    <w:rsid w:val="00F60B30"/>
    <w:rsid w:val="00F60D88"/>
    <w:rsid w:val="00F60DC0"/>
    <w:rsid w:val="00F61248"/>
    <w:rsid w:val="00F61281"/>
    <w:rsid w:val="00F613C3"/>
    <w:rsid w:val="00F626F5"/>
    <w:rsid w:val="00F629DE"/>
    <w:rsid w:val="00F638B4"/>
    <w:rsid w:val="00F6394E"/>
    <w:rsid w:val="00F643C2"/>
    <w:rsid w:val="00F64942"/>
    <w:rsid w:val="00F64A0B"/>
    <w:rsid w:val="00F650F5"/>
    <w:rsid w:val="00F6557B"/>
    <w:rsid w:val="00F65A81"/>
    <w:rsid w:val="00F65C5A"/>
    <w:rsid w:val="00F666B5"/>
    <w:rsid w:val="00F67275"/>
    <w:rsid w:val="00F67EF9"/>
    <w:rsid w:val="00F705EB"/>
    <w:rsid w:val="00F70AF9"/>
    <w:rsid w:val="00F713E2"/>
    <w:rsid w:val="00F71567"/>
    <w:rsid w:val="00F7187B"/>
    <w:rsid w:val="00F718A4"/>
    <w:rsid w:val="00F72698"/>
    <w:rsid w:val="00F728AA"/>
    <w:rsid w:val="00F72AD3"/>
    <w:rsid w:val="00F72C8A"/>
    <w:rsid w:val="00F72CA8"/>
    <w:rsid w:val="00F72D90"/>
    <w:rsid w:val="00F73137"/>
    <w:rsid w:val="00F741FA"/>
    <w:rsid w:val="00F7430B"/>
    <w:rsid w:val="00F745D9"/>
    <w:rsid w:val="00F7523E"/>
    <w:rsid w:val="00F759D7"/>
    <w:rsid w:val="00F7609A"/>
    <w:rsid w:val="00F76924"/>
    <w:rsid w:val="00F76FD6"/>
    <w:rsid w:val="00F77293"/>
    <w:rsid w:val="00F77C33"/>
    <w:rsid w:val="00F77D71"/>
    <w:rsid w:val="00F77EBC"/>
    <w:rsid w:val="00F808F0"/>
    <w:rsid w:val="00F80927"/>
    <w:rsid w:val="00F819E1"/>
    <w:rsid w:val="00F81A04"/>
    <w:rsid w:val="00F820A8"/>
    <w:rsid w:val="00F822A0"/>
    <w:rsid w:val="00F82927"/>
    <w:rsid w:val="00F83A8B"/>
    <w:rsid w:val="00F83B2E"/>
    <w:rsid w:val="00F84099"/>
    <w:rsid w:val="00F8412E"/>
    <w:rsid w:val="00F843F7"/>
    <w:rsid w:val="00F8476D"/>
    <w:rsid w:val="00F84C20"/>
    <w:rsid w:val="00F84F19"/>
    <w:rsid w:val="00F85501"/>
    <w:rsid w:val="00F856DE"/>
    <w:rsid w:val="00F85851"/>
    <w:rsid w:val="00F85B14"/>
    <w:rsid w:val="00F86769"/>
    <w:rsid w:val="00F8676D"/>
    <w:rsid w:val="00F86BC4"/>
    <w:rsid w:val="00F86C16"/>
    <w:rsid w:val="00F8798B"/>
    <w:rsid w:val="00F9034D"/>
    <w:rsid w:val="00F90624"/>
    <w:rsid w:val="00F907AF"/>
    <w:rsid w:val="00F90E09"/>
    <w:rsid w:val="00F91CBC"/>
    <w:rsid w:val="00F91E36"/>
    <w:rsid w:val="00F922ED"/>
    <w:rsid w:val="00F930CD"/>
    <w:rsid w:val="00F93A0A"/>
    <w:rsid w:val="00F93CE0"/>
    <w:rsid w:val="00F94A71"/>
    <w:rsid w:val="00F94B7C"/>
    <w:rsid w:val="00F94CCA"/>
    <w:rsid w:val="00F9535C"/>
    <w:rsid w:val="00F95780"/>
    <w:rsid w:val="00F95EFB"/>
    <w:rsid w:val="00F9624E"/>
    <w:rsid w:val="00F96923"/>
    <w:rsid w:val="00F96E26"/>
    <w:rsid w:val="00F970DB"/>
    <w:rsid w:val="00F97422"/>
    <w:rsid w:val="00F9766C"/>
    <w:rsid w:val="00F97AD7"/>
    <w:rsid w:val="00FA008C"/>
    <w:rsid w:val="00FA0431"/>
    <w:rsid w:val="00FA0577"/>
    <w:rsid w:val="00FA086C"/>
    <w:rsid w:val="00FA0870"/>
    <w:rsid w:val="00FA0FFB"/>
    <w:rsid w:val="00FA1441"/>
    <w:rsid w:val="00FA203F"/>
    <w:rsid w:val="00FA297B"/>
    <w:rsid w:val="00FA2D8A"/>
    <w:rsid w:val="00FA38A1"/>
    <w:rsid w:val="00FA3C01"/>
    <w:rsid w:val="00FA3F41"/>
    <w:rsid w:val="00FA4A3B"/>
    <w:rsid w:val="00FA4ABD"/>
    <w:rsid w:val="00FA4B26"/>
    <w:rsid w:val="00FA5DD8"/>
    <w:rsid w:val="00FA62C1"/>
    <w:rsid w:val="00FA6B17"/>
    <w:rsid w:val="00FA7850"/>
    <w:rsid w:val="00FA7860"/>
    <w:rsid w:val="00FB0060"/>
    <w:rsid w:val="00FB00A1"/>
    <w:rsid w:val="00FB012F"/>
    <w:rsid w:val="00FB0A08"/>
    <w:rsid w:val="00FB0AD3"/>
    <w:rsid w:val="00FB0D58"/>
    <w:rsid w:val="00FB185F"/>
    <w:rsid w:val="00FB21EE"/>
    <w:rsid w:val="00FB2506"/>
    <w:rsid w:val="00FB281F"/>
    <w:rsid w:val="00FB2B2D"/>
    <w:rsid w:val="00FB306B"/>
    <w:rsid w:val="00FB3784"/>
    <w:rsid w:val="00FB4443"/>
    <w:rsid w:val="00FB50C2"/>
    <w:rsid w:val="00FB529D"/>
    <w:rsid w:val="00FB56C5"/>
    <w:rsid w:val="00FB57EF"/>
    <w:rsid w:val="00FB59E5"/>
    <w:rsid w:val="00FB5AE6"/>
    <w:rsid w:val="00FB5FB0"/>
    <w:rsid w:val="00FB6152"/>
    <w:rsid w:val="00FB65EB"/>
    <w:rsid w:val="00FB6624"/>
    <w:rsid w:val="00FB687B"/>
    <w:rsid w:val="00FB6F0E"/>
    <w:rsid w:val="00FC06BF"/>
    <w:rsid w:val="00FC0AE4"/>
    <w:rsid w:val="00FC0E21"/>
    <w:rsid w:val="00FC1694"/>
    <w:rsid w:val="00FC1CF2"/>
    <w:rsid w:val="00FC2124"/>
    <w:rsid w:val="00FC2537"/>
    <w:rsid w:val="00FC2576"/>
    <w:rsid w:val="00FC2A8A"/>
    <w:rsid w:val="00FC2E45"/>
    <w:rsid w:val="00FC351E"/>
    <w:rsid w:val="00FC35DE"/>
    <w:rsid w:val="00FC4398"/>
    <w:rsid w:val="00FC4B62"/>
    <w:rsid w:val="00FC4BA2"/>
    <w:rsid w:val="00FC4C16"/>
    <w:rsid w:val="00FC4ED9"/>
    <w:rsid w:val="00FC503B"/>
    <w:rsid w:val="00FC5301"/>
    <w:rsid w:val="00FC588B"/>
    <w:rsid w:val="00FC5B26"/>
    <w:rsid w:val="00FC5F5C"/>
    <w:rsid w:val="00FC6028"/>
    <w:rsid w:val="00FC635D"/>
    <w:rsid w:val="00FC66B8"/>
    <w:rsid w:val="00FC6947"/>
    <w:rsid w:val="00FC6E6C"/>
    <w:rsid w:val="00FC6E74"/>
    <w:rsid w:val="00FC6FC5"/>
    <w:rsid w:val="00FC7186"/>
    <w:rsid w:val="00FC742F"/>
    <w:rsid w:val="00FC7643"/>
    <w:rsid w:val="00FC7C89"/>
    <w:rsid w:val="00FC7E1A"/>
    <w:rsid w:val="00FD0318"/>
    <w:rsid w:val="00FD0913"/>
    <w:rsid w:val="00FD0F61"/>
    <w:rsid w:val="00FD126F"/>
    <w:rsid w:val="00FD1280"/>
    <w:rsid w:val="00FD143C"/>
    <w:rsid w:val="00FD1946"/>
    <w:rsid w:val="00FD1F37"/>
    <w:rsid w:val="00FD2965"/>
    <w:rsid w:val="00FD2A64"/>
    <w:rsid w:val="00FD2CC3"/>
    <w:rsid w:val="00FD3D61"/>
    <w:rsid w:val="00FD436D"/>
    <w:rsid w:val="00FD491D"/>
    <w:rsid w:val="00FD49DB"/>
    <w:rsid w:val="00FD5062"/>
    <w:rsid w:val="00FD5226"/>
    <w:rsid w:val="00FD6B35"/>
    <w:rsid w:val="00FD764D"/>
    <w:rsid w:val="00FD7B35"/>
    <w:rsid w:val="00FD7C6C"/>
    <w:rsid w:val="00FD7C97"/>
    <w:rsid w:val="00FD7CDC"/>
    <w:rsid w:val="00FD7F20"/>
    <w:rsid w:val="00FE01A6"/>
    <w:rsid w:val="00FE02F8"/>
    <w:rsid w:val="00FE0BA6"/>
    <w:rsid w:val="00FE1198"/>
    <w:rsid w:val="00FE1445"/>
    <w:rsid w:val="00FE148C"/>
    <w:rsid w:val="00FE153E"/>
    <w:rsid w:val="00FE18EF"/>
    <w:rsid w:val="00FE1CE2"/>
    <w:rsid w:val="00FE1DFC"/>
    <w:rsid w:val="00FE235B"/>
    <w:rsid w:val="00FE27FE"/>
    <w:rsid w:val="00FE2852"/>
    <w:rsid w:val="00FE2F5F"/>
    <w:rsid w:val="00FE31AE"/>
    <w:rsid w:val="00FE393B"/>
    <w:rsid w:val="00FE4608"/>
    <w:rsid w:val="00FE4826"/>
    <w:rsid w:val="00FE5DD2"/>
    <w:rsid w:val="00FE66DF"/>
    <w:rsid w:val="00FE6845"/>
    <w:rsid w:val="00FE6AA0"/>
    <w:rsid w:val="00FE6AD1"/>
    <w:rsid w:val="00FE78FD"/>
    <w:rsid w:val="00FE7BA2"/>
    <w:rsid w:val="00FF0586"/>
    <w:rsid w:val="00FF09BD"/>
    <w:rsid w:val="00FF1744"/>
    <w:rsid w:val="00FF2265"/>
    <w:rsid w:val="00FF3496"/>
    <w:rsid w:val="00FF3CA1"/>
    <w:rsid w:val="00FF4177"/>
    <w:rsid w:val="00FF4675"/>
    <w:rsid w:val="00FF48C8"/>
    <w:rsid w:val="00FF7927"/>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C9C95A6"/>
  <w15:docId w15:val="{E96F7A3B-95FF-4CD3-851A-0AFCF3F70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2">
    <w:name w:val="heading 2"/>
    <w:basedOn w:val="Normal"/>
    <w:next w:val="Normal"/>
    <w:link w:val="Ttulo2Car"/>
    <w:semiHidden/>
    <w:unhideWhenUsed/>
    <w:qFormat/>
    <w:rsid w:val="007C02FD"/>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99"/>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customStyle="1" w:styleId="TextoindependienteCar">
    <w:name w:val="Texto independiente Car"/>
    <w:basedOn w:val="Fuentedeprrafopredeter"/>
    <w:link w:val="Textoindependiente"/>
    <w:rsid w:val="00443B05"/>
    <w:rPr>
      <w:rFonts w:ascii="Arial" w:hAnsi="Arial" w:cs="Arial"/>
      <w:color w:val="0000FF"/>
      <w:sz w:val="24"/>
      <w:szCs w:val="24"/>
      <w:lang w:val="es-ES_tradnl" w:eastAsia="es-ES"/>
    </w:rPr>
  </w:style>
  <w:style w:type="paragraph" w:styleId="Sangra2detindependiente">
    <w:name w:val="Body Text Indent 2"/>
    <w:basedOn w:val="Normal"/>
    <w:link w:val="Sangra2detindependienteCar"/>
    <w:semiHidden/>
    <w:unhideWhenUsed/>
    <w:rsid w:val="00604CE2"/>
    <w:pPr>
      <w:spacing w:after="120" w:line="480" w:lineRule="auto"/>
      <w:ind w:left="283"/>
    </w:pPr>
  </w:style>
  <w:style w:type="character" w:customStyle="1" w:styleId="Sangra2detindependienteCar">
    <w:name w:val="Sangría 2 de t. independiente Car"/>
    <w:basedOn w:val="Fuentedeprrafopredeter"/>
    <w:link w:val="Sangra2detindependiente"/>
    <w:semiHidden/>
    <w:rsid w:val="00604CE2"/>
    <w:rPr>
      <w:rFonts w:ascii="Arial" w:hAnsi="Arial" w:cs="Arial"/>
      <w:sz w:val="24"/>
      <w:szCs w:val="24"/>
      <w:lang w:val="es-ES_tradnl" w:eastAsia="es-ES"/>
    </w:rPr>
  </w:style>
  <w:style w:type="character" w:customStyle="1" w:styleId="Ttulo2Car">
    <w:name w:val="Título 2 Car"/>
    <w:basedOn w:val="Fuentedeprrafopredeter"/>
    <w:link w:val="Ttulo2"/>
    <w:semiHidden/>
    <w:rsid w:val="007C02FD"/>
    <w:rPr>
      <w:rFonts w:asciiTheme="majorHAnsi" w:eastAsiaTheme="majorEastAsia" w:hAnsiTheme="majorHAnsi" w:cstheme="majorBidi"/>
      <w:color w:val="365F91" w:themeColor="accent1" w:themeShade="BF"/>
      <w:sz w:val="26"/>
      <w:szCs w:val="26"/>
      <w:lang w:val="es-ES_tradnl" w:eastAsia="es-ES"/>
    </w:rPr>
  </w:style>
  <w:style w:type="character" w:styleId="Refdecomentario">
    <w:name w:val="annotation reference"/>
    <w:basedOn w:val="Fuentedeprrafopredeter"/>
    <w:semiHidden/>
    <w:unhideWhenUsed/>
    <w:rsid w:val="00FB2B2D"/>
    <w:rPr>
      <w:sz w:val="16"/>
      <w:szCs w:val="16"/>
    </w:rPr>
  </w:style>
  <w:style w:type="paragraph" w:styleId="Asuntodelcomentario">
    <w:name w:val="annotation subject"/>
    <w:basedOn w:val="Textocomentario"/>
    <w:next w:val="Textocomentario"/>
    <w:link w:val="AsuntodelcomentarioCar"/>
    <w:semiHidden/>
    <w:unhideWhenUsed/>
    <w:rsid w:val="00FB2B2D"/>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FB2B2D"/>
    <w:rPr>
      <w:rFonts w:ascii="Arial" w:hAnsi="Arial" w:cs="Arial"/>
      <w:b/>
      <w:bCs/>
      <w:lang w:val="es-ES_tradnl" w:eastAsia="es-ES"/>
    </w:rPr>
  </w:style>
  <w:style w:type="character" w:customStyle="1" w:styleId="Mencinsinresolver1">
    <w:name w:val="Mención sin resolver1"/>
    <w:basedOn w:val="Fuentedeprrafopredeter"/>
    <w:uiPriority w:val="99"/>
    <w:semiHidden/>
    <w:unhideWhenUsed/>
    <w:rsid w:val="00823966"/>
    <w:rPr>
      <w:color w:val="605E5C"/>
      <w:shd w:val="clear" w:color="auto" w:fill="E1DFDD"/>
    </w:rPr>
  </w:style>
  <w:style w:type="paragraph" w:customStyle="1" w:styleId="Pa8">
    <w:name w:val="Pa8"/>
    <w:basedOn w:val="Default"/>
    <w:next w:val="Default"/>
    <w:uiPriority w:val="99"/>
    <w:rsid w:val="00105317"/>
    <w:pPr>
      <w:spacing w:line="221" w:lineRule="atLeast"/>
    </w:pPr>
    <w:rPr>
      <w:rFonts w:eastAsiaTheme="minorHAnsi"/>
      <w:color w:val="auto"/>
      <w:lang w:val="en-US" w:eastAsia="en-US"/>
    </w:rPr>
  </w:style>
  <w:style w:type="paragraph" w:customStyle="1" w:styleId="Pa10">
    <w:name w:val="Pa10"/>
    <w:basedOn w:val="Default"/>
    <w:next w:val="Default"/>
    <w:uiPriority w:val="99"/>
    <w:rsid w:val="00105317"/>
    <w:pPr>
      <w:spacing w:line="221" w:lineRule="atLeast"/>
    </w:pPr>
    <w:rPr>
      <w:rFonts w:eastAsiaTheme="minorHAnsi"/>
      <w:color w:val="auto"/>
      <w:lang w:val="en-US" w:eastAsia="en-US"/>
    </w:rPr>
  </w:style>
  <w:style w:type="character" w:customStyle="1" w:styleId="Mencinsinresolver2">
    <w:name w:val="Mención sin resolver2"/>
    <w:basedOn w:val="Fuentedeprrafopredeter"/>
    <w:uiPriority w:val="99"/>
    <w:semiHidden/>
    <w:unhideWhenUsed/>
    <w:rsid w:val="005A7E97"/>
    <w:rPr>
      <w:color w:val="605E5C"/>
      <w:shd w:val="clear" w:color="auto" w:fill="E1DFDD"/>
    </w:rPr>
  </w:style>
  <w:style w:type="character" w:customStyle="1" w:styleId="Mencinsinresolver3">
    <w:name w:val="Mención sin resolver3"/>
    <w:basedOn w:val="Fuentedeprrafopredeter"/>
    <w:uiPriority w:val="99"/>
    <w:semiHidden/>
    <w:unhideWhenUsed/>
    <w:rsid w:val="0087395B"/>
    <w:rPr>
      <w:color w:val="605E5C"/>
      <w:shd w:val="clear" w:color="auto" w:fill="E1DFDD"/>
    </w:rPr>
  </w:style>
  <w:style w:type="paragraph" w:styleId="Revisin">
    <w:name w:val="Revision"/>
    <w:hidden/>
    <w:uiPriority w:val="99"/>
    <w:semiHidden/>
    <w:rsid w:val="00BF433F"/>
    <w:rPr>
      <w:rFonts w:ascii="Arial" w:hAnsi="Arial" w:cs="Arial"/>
      <w:sz w:val="24"/>
      <w:szCs w:val="24"/>
      <w:lang w:val="es-ES_tradnl" w:eastAsia="es-ES"/>
    </w:rPr>
  </w:style>
  <w:style w:type="character" w:customStyle="1" w:styleId="Mencinsinresolver4">
    <w:name w:val="Mención sin resolver4"/>
    <w:basedOn w:val="Fuentedeprrafopredeter"/>
    <w:uiPriority w:val="99"/>
    <w:semiHidden/>
    <w:unhideWhenUsed/>
    <w:rsid w:val="0068396C"/>
    <w:rPr>
      <w:color w:val="605E5C"/>
      <w:shd w:val="clear" w:color="auto" w:fill="E1DFDD"/>
    </w:rPr>
  </w:style>
  <w:style w:type="character" w:customStyle="1" w:styleId="SubttuloCar">
    <w:name w:val="Subtítulo Car"/>
    <w:basedOn w:val="Fuentedeprrafopredeter"/>
    <w:link w:val="Subttulo"/>
    <w:uiPriority w:val="99"/>
    <w:rsid w:val="003434B2"/>
    <w:rPr>
      <w:rFonts w:ascii="Arial" w:hAnsi="Arial" w:cs="Arial"/>
      <w:b/>
      <w:bCs/>
      <w:sz w:val="24"/>
      <w:szCs w:val="24"/>
      <w:lang w:val="es-ES_tradnl" w:eastAsia="es-ES"/>
    </w:rPr>
  </w:style>
  <w:style w:type="character" w:customStyle="1" w:styleId="PiedepginaCar">
    <w:name w:val="Pie de página Car"/>
    <w:basedOn w:val="Fuentedeprrafopredeter"/>
    <w:link w:val="Piedepgina"/>
    <w:uiPriority w:val="99"/>
    <w:rsid w:val="003434B2"/>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956489">
      <w:bodyDiv w:val="1"/>
      <w:marLeft w:val="0"/>
      <w:marRight w:val="0"/>
      <w:marTop w:val="0"/>
      <w:marBottom w:val="0"/>
      <w:divBdr>
        <w:top w:val="none" w:sz="0" w:space="0" w:color="auto"/>
        <w:left w:val="none" w:sz="0" w:space="0" w:color="auto"/>
        <w:bottom w:val="none" w:sz="0" w:space="0" w:color="auto"/>
        <w:right w:val="none" w:sz="0" w:space="0" w:color="auto"/>
      </w:divBdr>
    </w:div>
    <w:div w:id="173349070">
      <w:bodyDiv w:val="1"/>
      <w:marLeft w:val="0"/>
      <w:marRight w:val="0"/>
      <w:marTop w:val="0"/>
      <w:marBottom w:val="0"/>
      <w:divBdr>
        <w:top w:val="none" w:sz="0" w:space="0" w:color="auto"/>
        <w:left w:val="none" w:sz="0" w:space="0" w:color="auto"/>
        <w:bottom w:val="none" w:sz="0" w:space="0" w:color="auto"/>
        <w:right w:val="none" w:sz="0" w:space="0" w:color="auto"/>
      </w:divBdr>
    </w:div>
    <w:div w:id="194125731">
      <w:bodyDiv w:val="1"/>
      <w:marLeft w:val="0"/>
      <w:marRight w:val="0"/>
      <w:marTop w:val="0"/>
      <w:marBottom w:val="0"/>
      <w:divBdr>
        <w:top w:val="none" w:sz="0" w:space="0" w:color="auto"/>
        <w:left w:val="none" w:sz="0" w:space="0" w:color="auto"/>
        <w:bottom w:val="none" w:sz="0" w:space="0" w:color="auto"/>
        <w:right w:val="none" w:sz="0" w:space="0" w:color="auto"/>
      </w:divBdr>
    </w:div>
    <w:div w:id="375738913">
      <w:bodyDiv w:val="1"/>
      <w:marLeft w:val="0"/>
      <w:marRight w:val="0"/>
      <w:marTop w:val="0"/>
      <w:marBottom w:val="0"/>
      <w:divBdr>
        <w:top w:val="none" w:sz="0" w:space="0" w:color="auto"/>
        <w:left w:val="none" w:sz="0" w:space="0" w:color="auto"/>
        <w:bottom w:val="none" w:sz="0" w:space="0" w:color="auto"/>
        <w:right w:val="none" w:sz="0" w:space="0" w:color="auto"/>
      </w:divBdr>
    </w:div>
    <w:div w:id="398286212">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1879949">
      <w:bodyDiv w:val="1"/>
      <w:marLeft w:val="0"/>
      <w:marRight w:val="0"/>
      <w:marTop w:val="0"/>
      <w:marBottom w:val="0"/>
      <w:divBdr>
        <w:top w:val="none" w:sz="0" w:space="0" w:color="auto"/>
        <w:left w:val="none" w:sz="0" w:space="0" w:color="auto"/>
        <w:bottom w:val="none" w:sz="0" w:space="0" w:color="auto"/>
        <w:right w:val="none" w:sz="0" w:space="0" w:color="auto"/>
      </w:divBdr>
    </w:div>
    <w:div w:id="771896347">
      <w:bodyDiv w:val="1"/>
      <w:marLeft w:val="0"/>
      <w:marRight w:val="0"/>
      <w:marTop w:val="0"/>
      <w:marBottom w:val="0"/>
      <w:divBdr>
        <w:top w:val="none" w:sz="0" w:space="0" w:color="auto"/>
        <w:left w:val="none" w:sz="0" w:space="0" w:color="auto"/>
        <w:bottom w:val="none" w:sz="0" w:space="0" w:color="auto"/>
        <w:right w:val="none" w:sz="0" w:space="0" w:color="auto"/>
      </w:divBdr>
    </w:div>
    <w:div w:id="772670760">
      <w:bodyDiv w:val="1"/>
      <w:marLeft w:val="0"/>
      <w:marRight w:val="0"/>
      <w:marTop w:val="0"/>
      <w:marBottom w:val="0"/>
      <w:divBdr>
        <w:top w:val="none" w:sz="0" w:space="0" w:color="auto"/>
        <w:left w:val="none" w:sz="0" w:space="0" w:color="auto"/>
        <w:bottom w:val="none" w:sz="0" w:space="0" w:color="auto"/>
        <w:right w:val="none" w:sz="0" w:space="0" w:color="auto"/>
      </w:divBdr>
    </w:div>
    <w:div w:id="800419812">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0161210">
      <w:bodyDiv w:val="1"/>
      <w:marLeft w:val="0"/>
      <w:marRight w:val="0"/>
      <w:marTop w:val="0"/>
      <w:marBottom w:val="0"/>
      <w:divBdr>
        <w:top w:val="none" w:sz="0" w:space="0" w:color="auto"/>
        <w:left w:val="none" w:sz="0" w:space="0" w:color="auto"/>
        <w:bottom w:val="none" w:sz="0" w:space="0" w:color="auto"/>
        <w:right w:val="none" w:sz="0" w:space="0" w:color="auto"/>
      </w:divBdr>
    </w:div>
    <w:div w:id="1016618355">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204516826">
      <w:bodyDiv w:val="1"/>
      <w:marLeft w:val="0"/>
      <w:marRight w:val="0"/>
      <w:marTop w:val="0"/>
      <w:marBottom w:val="0"/>
      <w:divBdr>
        <w:top w:val="none" w:sz="0" w:space="0" w:color="auto"/>
        <w:left w:val="none" w:sz="0" w:space="0" w:color="auto"/>
        <w:bottom w:val="none" w:sz="0" w:space="0" w:color="auto"/>
        <w:right w:val="none" w:sz="0" w:space="0" w:color="auto"/>
      </w:divBdr>
    </w:div>
    <w:div w:id="1394156473">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70041493">
      <w:bodyDiv w:val="1"/>
      <w:marLeft w:val="0"/>
      <w:marRight w:val="0"/>
      <w:marTop w:val="0"/>
      <w:marBottom w:val="0"/>
      <w:divBdr>
        <w:top w:val="none" w:sz="0" w:space="0" w:color="auto"/>
        <w:left w:val="none" w:sz="0" w:space="0" w:color="auto"/>
        <w:bottom w:val="none" w:sz="0" w:space="0" w:color="auto"/>
        <w:right w:val="none" w:sz="0" w:space="0" w:color="auto"/>
      </w:divBdr>
    </w:div>
    <w:div w:id="1997997029">
      <w:bodyDiv w:val="1"/>
      <w:marLeft w:val="0"/>
      <w:marRight w:val="0"/>
      <w:marTop w:val="0"/>
      <w:marBottom w:val="0"/>
      <w:divBdr>
        <w:top w:val="none" w:sz="0" w:space="0" w:color="auto"/>
        <w:left w:val="none" w:sz="0" w:space="0" w:color="auto"/>
        <w:bottom w:val="none" w:sz="0" w:space="0" w:color="auto"/>
        <w:right w:val="none" w:sz="0" w:space="0" w:color="auto"/>
      </w:divBdr>
    </w:div>
    <w:div w:id="2044211575">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yperlink" Target="http://www.inegi.org.mx/" TargetMode="External"/><Relationship Id="rId26" Type="http://schemas.openxmlformats.org/officeDocument/2006/relationships/chart" Target="charts/chart6.xml"/><Relationship Id="rId21" Type="http://schemas.openxmlformats.org/officeDocument/2006/relationships/footer" Target="footer1.xml"/><Relationship Id="rId34" Type="http://schemas.openxmlformats.org/officeDocument/2006/relationships/hyperlink" Target="http://www.inegi.org.mx/programas/emoe/2013/" TargetMode="External"/><Relationship Id="rId7" Type="http://schemas.openxmlformats.org/officeDocument/2006/relationships/endnotes" Target="endnotes.xml"/><Relationship Id="rId12" Type="http://schemas.openxmlformats.org/officeDocument/2006/relationships/hyperlink" Target="https://www.instagram.com/inegi_informa/" TargetMode="External"/><Relationship Id="rId17" Type="http://schemas.openxmlformats.org/officeDocument/2006/relationships/image" Target="media/image5.jpeg"/><Relationship Id="rId25" Type="http://schemas.openxmlformats.org/officeDocument/2006/relationships/chart" Target="charts/chart5.xml"/><Relationship Id="rId33" Type="http://schemas.openxmlformats.org/officeDocument/2006/relationships/hyperlink" Target="http://www.inegi.org.mx/temas/pedidosman/"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0" Type="http://schemas.openxmlformats.org/officeDocument/2006/relationships/header" Target="header1.xml"/><Relationship Id="rId29" Type="http://schemas.openxmlformats.org/officeDocument/2006/relationships/hyperlink" Target="https://www.inegi.org.mx/programas/emoe/201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chart" Target="charts/chart4.xml"/><Relationship Id="rId32" Type="http://schemas.openxmlformats.org/officeDocument/2006/relationships/image" Target="media/image8.gif"/><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chart" Target="charts/chart3.xml"/><Relationship Id="rId28" Type="http://schemas.openxmlformats.org/officeDocument/2006/relationships/chart" Target="charts/chart8.xml"/><Relationship Id="rId36" Type="http://schemas.openxmlformats.org/officeDocument/2006/relationships/footer" Target="footer2.xml"/><Relationship Id="rId10" Type="http://schemas.openxmlformats.org/officeDocument/2006/relationships/hyperlink" Target="https://www.facebook.com/INEGIInforma/" TargetMode="External"/><Relationship Id="rId19" Type="http://schemas.openxmlformats.org/officeDocument/2006/relationships/image" Target="media/image6.png"/><Relationship Id="rId31" Type="http://schemas.openxmlformats.org/officeDocument/2006/relationships/hyperlink" Target="javascript:AddMetaDato('2951','Sistema%20de%20indicadores%20c&#237;clicos','');" TargetMode="Externa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chart" Target="charts/chart2.xml"/><Relationship Id="rId27" Type="http://schemas.openxmlformats.org/officeDocument/2006/relationships/chart" Target="charts/chart7.xml"/><Relationship Id="rId30" Type="http://schemas.openxmlformats.org/officeDocument/2006/relationships/hyperlink" Target="https://www.inegi.org.mx/app/biblioteca/ficha.html?upc=702825099060" TargetMode="External"/><Relationship Id="rId35" Type="http://schemas.openxmlformats.org/officeDocument/2006/relationships/header" Target="header2.xml"/><Relationship Id="rId8" Type="http://schemas.openxmlformats.org/officeDocument/2006/relationships/chart" Target="charts/chart1.xm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9.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PM_Gr&#225;ficas%20Desest%20y%20Tendencia-Ciclo.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PM_Gr&#225;ficas%20Desest%20y%20Tendencia-Ciclo.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PM_Gr&#225;ficas%20Desest%20y%20Tendencia-Ciclo.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PM_Gr&#225;ficas%20Desest%20y%20Tendencia-Ciclo.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PM_Gr&#225;ficas%20Desest%20y%20Tendencia-Ciclo.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PM_Gr&#225;ficas%20Desest%20y%20Tendencia-Ciclo.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PM_Gr&#225;ficas%20Desest%20y%20Tendencia-Ciclo.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PM_Gr&#225;fica%20Origina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724074074074072E-2"/>
          <c:y val="5.1937749391480888E-2"/>
          <c:w val="0.91305231481481486"/>
          <c:h val="0.79976710406991836"/>
        </c:manualLayout>
      </c:layout>
      <c:lineChart>
        <c:grouping val="standard"/>
        <c:varyColors val="0"/>
        <c:ser>
          <c:idx val="0"/>
          <c:order val="0"/>
          <c:tx>
            <c:strRef>
              <c:f>'[IPM_Gráficas Desest y Tendencia-Ciclo.xlsx]Datos'!$C$4</c:f>
              <c:strCache>
                <c:ptCount val="1"/>
                <c:pt idx="0">
                  <c:v>Serie Desestacionalizada</c:v>
                </c:pt>
              </c:strCache>
            </c:strRef>
          </c:tx>
          <c:spPr>
            <a:ln w="19050">
              <a:solidFill>
                <a:srgbClr val="034DF3"/>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Tendencia-Ciclo.xlsx]Datos'!$C$173:$C$232</c:f>
              <c:numCache>
                <c:formatCode>0.0_)</c:formatCode>
                <c:ptCount val="60"/>
                <c:pt idx="0">
                  <c:v>51.340342163078503</c:v>
                </c:pt>
                <c:pt idx="1">
                  <c:v>51.865989138296001</c:v>
                </c:pt>
                <c:pt idx="2">
                  <c:v>52.699110757245201</c:v>
                </c:pt>
                <c:pt idx="3">
                  <c:v>51.516101091287901</c:v>
                </c:pt>
                <c:pt idx="4">
                  <c:v>51.5234245197991</c:v>
                </c:pt>
                <c:pt idx="5">
                  <c:v>51.5509102993759</c:v>
                </c:pt>
                <c:pt idx="6">
                  <c:v>51.842050405104096</c:v>
                </c:pt>
                <c:pt idx="7">
                  <c:v>51.4180771207851</c:v>
                </c:pt>
                <c:pt idx="8">
                  <c:v>51.580928889671597</c:v>
                </c:pt>
                <c:pt idx="9">
                  <c:v>51.299044511760101</c:v>
                </c:pt>
                <c:pt idx="10">
                  <c:v>51.236573026034698</c:v>
                </c:pt>
                <c:pt idx="11">
                  <c:v>51.295346339388701</c:v>
                </c:pt>
                <c:pt idx="12">
                  <c:v>51.508593732616298</c:v>
                </c:pt>
                <c:pt idx="13">
                  <c:v>51.987305344440301</c:v>
                </c:pt>
                <c:pt idx="14">
                  <c:v>51.631757440208901</c:v>
                </c:pt>
                <c:pt idx="15">
                  <c:v>52.794464897500298</c:v>
                </c:pt>
                <c:pt idx="16">
                  <c:v>51.887463506619298</c:v>
                </c:pt>
                <c:pt idx="17">
                  <c:v>52.002425588997802</c:v>
                </c:pt>
                <c:pt idx="18">
                  <c:v>50.003942182046998</c:v>
                </c:pt>
                <c:pt idx="19">
                  <c:v>50.604599647352302</c:v>
                </c:pt>
                <c:pt idx="20">
                  <c:v>50.593711381892902</c:v>
                </c:pt>
                <c:pt idx="21">
                  <c:v>50.217846771034999</c:v>
                </c:pt>
                <c:pt idx="22">
                  <c:v>50.059376994168801</c:v>
                </c:pt>
                <c:pt idx="23">
                  <c:v>49.652448900138999</c:v>
                </c:pt>
                <c:pt idx="24">
                  <c:v>49.905701959017399</c:v>
                </c:pt>
                <c:pt idx="25">
                  <c:v>50.300076728014403</c:v>
                </c:pt>
                <c:pt idx="26">
                  <c:v>47.362688939723803</c:v>
                </c:pt>
                <c:pt idx="27">
                  <c:v>42.546068462651398</c:v>
                </c:pt>
                <c:pt idx="28">
                  <c:v>39.2844101664815</c:v>
                </c:pt>
                <c:pt idx="29">
                  <c:v>49.3785918946175</c:v>
                </c:pt>
                <c:pt idx="30">
                  <c:v>49.8707431094969</c:v>
                </c:pt>
                <c:pt idx="31">
                  <c:v>50.3582490467087</c:v>
                </c:pt>
                <c:pt idx="32">
                  <c:v>50.125301738421797</c:v>
                </c:pt>
                <c:pt idx="33">
                  <c:v>50.813607454049396</c:v>
                </c:pt>
                <c:pt idx="34">
                  <c:v>50.623140120334199</c:v>
                </c:pt>
                <c:pt idx="35">
                  <c:v>51.262771429053899</c:v>
                </c:pt>
                <c:pt idx="36">
                  <c:v>51.772489526356097</c:v>
                </c:pt>
                <c:pt idx="37">
                  <c:v>50.316111351681698</c:v>
                </c:pt>
                <c:pt idx="38">
                  <c:v>51.583670273589597</c:v>
                </c:pt>
                <c:pt idx="39">
                  <c:v>50.564038425265501</c:v>
                </c:pt>
                <c:pt idx="40">
                  <c:v>51.070013623158303</c:v>
                </c:pt>
                <c:pt idx="41">
                  <c:v>51.863829117583698</c:v>
                </c:pt>
                <c:pt idx="42">
                  <c:v>52.342181561580702</c:v>
                </c:pt>
                <c:pt idx="43">
                  <c:v>52.536250463293698</c:v>
                </c:pt>
                <c:pt idx="44">
                  <c:v>53.102394217254201</c:v>
                </c:pt>
                <c:pt idx="45">
                  <c:v>52.4390264641629</c:v>
                </c:pt>
                <c:pt idx="46">
                  <c:v>52.651219921493997</c:v>
                </c:pt>
                <c:pt idx="47">
                  <c:v>52.405739229805</c:v>
                </c:pt>
                <c:pt idx="48">
                  <c:v>51.223786300630998</c:v>
                </c:pt>
                <c:pt idx="49">
                  <c:v>52.720960659363001</c:v>
                </c:pt>
                <c:pt idx="50">
                  <c:v>53.598194069854699</c:v>
                </c:pt>
                <c:pt idx="51">
                  <c:v>53.205573376122302</c:v>
                </c:pt>
                <c:pt idx="52">
                  <c:v>53.4230879522202</c:v>
                </c:pt>
                <c:pt idx="53">
                  <c:v>51.913122340934898</c:v>
                </c:pt>
                <c:pt idx="54">
                  <c:v>51.800519462975601</c:v>
                </c:pt>
                <c:pt idx="55">
                  <c:v>51.758268788947298</c:v>
                </c:pt>
                <c:pt idx="56">
                  <c:v>51.499113171999603</c:v>
                </c:pt>
                <c:pt idx="57">
                  <c:v>52.175173144980398</c:v>
                </c:pt>
                <c:pt idx="58">
                  <c:v>52.421324301478698</c:v>
                </c:pt>
                <c:pt idx="59">
                  <c:v>51.862076955093798</c:v>
                </c:pt>
              </c:numCache>
            </c:numRef>
          </c:val>
          <c:smooth val="0"/>
          <c:extLst>
            <c:ext xmlns:c16="http://schemas.microsoft.com/office/drawing/2014/chart" uri="{C3380CC4-5D6E-409C-BE32-E72D297353CC}">
              <c16:uniqueId val="{00000000-3FF4-4E84-8C19-C293AD3D218D}"/>
            </c:ext>
          </c:extLst>
        </c:ser>
        <c:ser>
          <c:idx val="1"/>
          <c:order val="1"/>
          <c:tx>
            <c:strRef>
              <c:f>'[IPM_Gráficas Desest y Tendencia-Ciclo.xlsx]Datos'!$D$4</c:f>
              <c:strCache>
                <c:ptCount val="1"/>
                <c:pt idx="0">
                  <c:v>Serie de Tendencia-Ciclo</c:v>
                </c:pt>
              </c:strCache>
            </c:strRef>
          </c:tx>
          <c:spPr>
            <a:ln w="12700">
              <a:solidFill>
                <a:schemeClr val="tx1"/>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Tendencia-Ciclo.xlsx]Datos'!$D$173:$D$232</c:f>
              <c:numCache>
                <c:formatCode>0.0_)</c:formatCode>
                <c:ptCount val="60"/>
                <c:pt idx="0">
                  <c:v>51.6308463258747</c:v>
                </c:pt>
                <c:pt idx="1">
                  <c:v>51.623205268223899</c:v>
                </c:pt>
                <c:pt idx="2">
                  <c:v>51.6173624284814</c:v>
                </c:pt>
                <c:pt idx="3">
                  <c:v>51.6108503889145</c:v>
                </c:pt>
                <c:pt idx="4">
                  <c:v>51.610379560595398</c:v>
                </c:pt>
                <c:pt idx="5">
                  <c:v>51.606489169448999</c:v>
                </c:pt>
                <c:pt idx="6">
                  <c:v>51.577162873785099</c:v>
                </c:pt>
                <c:pt idx="7">
                  <c:v>51.512048102179001</c:v>
                </c:pt>
                <c:pt idx="8">
                  <c:v>51.440704262251302</c:v>
                </c:pt>
                <c:pt idx="9">
                  <c:v>51.374220314750197</c:v>
                </c:pt>
                <c:pt idx="10">
                  <c:v>51.359284600195799</c:v>
                </c:pt>
                <c:pt idx="11">
                  <c:v>51.421342042993302</c:v>
                </c:pt>
                <c:pt idx="12">
                  <c:v>51.566921829936497</c:v>
                </c:pt>
                <c:pt idx="13">
                  <c:v>51.760952405998502</c:v>
                </c:pt>
                <c:pt idx="14">
                  <c:v>51.921326210848498</c:v>
                </c:pt>
                <c:pt idx="15">
                  <c:v>51.978776826731902</c:v>
                </c:pt>
                <c:pt idx="16">
                  <c:v>51.882805293027303</c:v>
                </c:pt>
                <c:pt idx="17">
                  <c:v>51.644502430219397</c:v>
                </c:pt>
                <c:pt idx="18">
                  <c:v>51.298388143301999</c:v>
                </c:pt>
                <c:pt idx="19">
                  <c:v>50.915366474422903</c:v>
                </c:pt>
                <c:pt idx="20">
                  <c:v>50.558810190207197</c:v>
                </c:pt>
                <c:pt idx="21">
                  <c:v>50.258546976321298</c:v>
                </c:pt>
                <c:pt idx="22">
                  <c:v>50.011146223378901</c:v>
                </c:pt>
                <c:pt idx="23">
                  <c:v>49.767358195273403</c:v>
                </c:pt>
                <c:pt idx="24">
                  <c:v>49.506505287994301</c:v>
                </c:pt>
                <c:pt idx="25">
                  <c:v>49.242819754970597</c:v>
                </c:pt>
                <c:pt idx="26">
                  <c:v>49.0595619109247</c:v>
                </c:pt>
                <c:pt idx="27">
                  <c:v>49.0120966179229</c:v>
                </c:pt>
                <c:pt idx="28">
                  <c:v>49.125797750233303</c:v>
                </c:pt>
                <c:pt idx="29">
                  <c:v>49.377274063547603</c:v>
                </c:pt>
                <c:pt idx="30">
                  <c:v>49.713633164605902</c:v>
                </c:pt>
                <c:pt idx="31">
                  <c:v>50.079778300431002</c:v>
                </c:pt>
                <c:pt idx="32">
                  <c:v>50.399263911140601</c:v>
                </c:pt>
                <c:pt idx="33">
                  <c:v>50.661526319871101</c:v>
                </c:pt>
                <c:pt idx="34">
                  <c:v>50.8614717014094</c:v>
                </c:pt>
                <c:pt idx="35">
                  <c:v>50.986799145459202</c:v>
                </c:pt>
                <c:pt idx="36">
                  <c:v>51.040555990654397</c:v>
                </c:pt>
                <c:pt idx="37">
                  <c:v>51.055388573932497</c:v>
                </c:pt>
                <c:pt idx="38">
                  <c:v>51.080190627910099</c:v>
                </c:pt>
                <c:pt idx="39">
                  <c:v>51.195007352159799</c:v>
                </c:pt>
                <c:pt idx="40">
                  <c:v>51.442214081344197</c:v>
                </c:pt>
                <c:pt idx="41">
                  <c:v>51.792117994678797</c:v>
                </c:pt>
                <c:pt idx="42">
                  <c:v>52.170794183872999</c:v>
                </c:pt>
                <c:pt idx="43">
                  <c:v>52.473588775067</c:v>
                </c:pt>
                <c:pt idx="44">
                  <c:v>52.637796097087097</c:v>
                </c:pt>
                <c:pt idx="45">
                  <c:v>52.670544132340503</c:v>
                </c:pt>
                <c:pt idx="46">
                  <c:v>52.626706389180598</c:v>
                </c:pt>
                <c:pt idx="47">
                  <c:v>52.636794947930099</c:v>
                </c:pt>
                <c:pt idx="48">
                  <c:v>52.742233932408297</c:v>
                </c:pt>
                <c:pt idx="49">
                  <c:v>52.887992163449702</c:v>
                </c:pt>
                <c:pt idx="50">
                  <c:v>52.984204757886303</c:v>
                </c:pt>
                <c:pt idx="51">
                  <c:v>52.932702280962701</c:v>
                </c:pt>
                <c:pt idx="52">
                  <c:v>52.699923007961999</c:v>
                </c:pt>
                <c:pt idx="53">
                  <c:v>52.374966251568097</c:v>
                </c:pt>
                <c:pt idx="54">
                  <c:v>52.0703305969745</c:v>
                </c:pt>
                <c:pt idx="55">
                  <c:v>51.877528728101503</c:v>
                </c:pt>
                <c:pt idx="56">
                  <c:v>51.840407000116201</c:v>
                </c:pt>
                <c:pt idx="57">
                  <c:v>51.906542270056597</c:v>
                </c:pt>
                <c:pt idx="58">
                  <c:v>51.9759277961804</c:v>
                </c:pt>
                <c:pt idx="59">
                  <c:v>51.9640088608204</c:v>
                </c:pt>
              </c:numCache>
            </c:numRef>
          </c:val>
          <c:smooth val="0"/>
          <c:extLst>
            <c:ext xmlns:c16="http://schemas.microsoft.com/office/drawing/2014/chart" uri="{C3380CC4-5D6E-409C-BE32-E72D297353CC}">
              <c16:uniqueId val="{00000001-3FF4-4E84-8C19-C293AD3D218D}"/>
            </c:ext>
          </c:extLst>
        </c:ser>
        <c:dLbls>
          <c:showLegendKey val="0"/>
          <c:showVal val="0"/>
          <c:showCatName val="0"/>
          <c:showSerName val="0"/>
          <c:showPercent val="0"/>
          <c:showBubbleSize val="0"/>
        </c:dLbls>
        <c:smooth val="0"/>
        <c:axId val="659846856"/>
        <c:axId val="648633000"/>
      </c:lineChart>
      <c:catAx>
        <c:axId val="659846856"/>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a:pPr>
            <a:endParaRPr lang="es-MX"/>
          </a:p>
        </c:txPr>
        <c:crossAx val="648633000"/>
        <c:crossesAt val="50"/>
        <c:auto val="1"/>
        <c:lblAlgn val="ctr"/>
        <c:lblOffset val="0"/>
        <c:tickLblSkip val="1"/>
        <c:tickMarkSkip val="12"/>
        <c:noMultiLvlLbl val="1"/>
      </c:catAx>
      <c:valAx>
        <c:axId val="648633000"/>
        <c:scaling>
          <c:orientation val="minMax"/>
          <c:max val="55"/>
          <c:min val="38"/>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crossAx val="659846856"/>
        <c:crosses val="autoZero"/>
        <c:crossBetween val="between"/>
        <c:majorUnit val="4"/>
      </c:valAx>
      <c:spPr>
        <a:noFill/>
        <a:ln w="0">
          <a:noFill/>
        </a:ln>
      </c:spPr>
    </c:plotArea>
    <c:legend>
      <c:legendPos val="r"/>
      <c:layout>
        <c:manualLayout>
          <c:xMode val="edge"/>
          <c:yMode val="edge"/>
          <c:x val="2.9671527777777776E-2"/>
          <c:y val="0.94671349206349209"/>
          <c:w val="0.94026104137610411"/>
          <c:h val="5.3233333333333334E-2"/>
        </c:manualLayout>
      </c:layout>
      <c:overlay val="0"/>
      <c:spPr>
        <a:noFill/>
        <a:ln>
          <a:noFill/>
        </a:ln>
      </c:spPr>
      <c:txPr>
        <a:bodyPr/>
        <a:lstStyle/>
        <a:p>
          <a:pPr>
            <a:defRPr sz="900"/>
          </a:pPr>
          <a:endParaRPr lang="es-MX"/>
        </a:p>
      </c:txPr>
    </c:legend>
    <c:plotVisOnly val="1"/>
    <c:dispBlanksAs val="gap"/>
    <c:showDLblsOverMax val="0"/>
  </c:chart>
  <c:spPr>
    <a:noFill/>
    <a:ln w="6350">
      <a:solidFill>
        <a:srgbClr val="000000"/>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724074074074072E-2"/>
          <c:y val="5.1937749391480888E-2"/>
          <c:w val="0.91305231481481486"/>
          <c:h val="0.79976710406991836"/>
        </c:manualLayout>
      </c:layout>
      <c:lineChart>
        <c:grouping val="standard"/>
        <c:varyColors val="0"/>
        <c:ser>
          <c:idx val="0"/>
          <c:order val="0"/>
          <c:tx>
            <c:strRef>
              <c:f>'[IPM_Gráficas Desest y Tendencia-Ciclo.xlsx]Datos'!$C$4</c:f>
              <c:strCache>
                <c:ptCount val="1"/>
                <c:pt idx="0">
                  <c:v>Serie Desestacionalizada</c:v>
                </c:pt>
              </c:strCache>
            </c:strRef>
          </c:tx>
          <c:spPr>
            <a:ln w="19050">
              <a:solidFill>
                <a:srgbClr val="034DF3"/>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Tendencia-Ciclo.xlsx]Datos'!$C$173:$C$232</c:f>
              <c:numCache>
                <c:formatCode>0.0_)</c:formatCode>
                <c:ptCount val="60"/>
                <c:pt idx="0">
                  <c:v>51.340342163078503</c:v>
                </c:pt>
                <c:pt idx="1">
                  <c:v>51.865989138296001</c:v>
                </c:pt>
                <c:pt idx="2">
                  <c:v>52.699110757245201</c:v>
                </c:pt>
                <c:pt idx="3">
                  <c:v>51.516101091287901</c:v>
                </c:pt>
                <c:pt idx="4">
                  <c:v>51.5234245197991</c:v>
                </c:pt>
                <c:pt idx="5">
                  <c:v>51.5509102993759</c:v>
                </c:pt>
                <c:pt idx="6">
                  <c:v>51.842050405104096</c:v>
                </c:pt>
                <c:pt idx="7">
                  <c:v>51.4180771207851</c:v>
                </c:pt>
                <c:pt idx="8">
                  <c:v>51.580928889671597</c:v>
                </c:pt>
                <c:pt idx="9">
                  <c:v>51.299044511760101</c:v>
                </c:pt>
                <c:pt idx="10">
                  <c:v>51.236573026034698</c:v>
                </c:pt>
                <c:pt idx="11">
                  <c:v>51.295346339388701</c:v>
                </c:pt>
                <c:pt idx="12">
                  <c:v>51.508593732616298</c:v>
                </c:pt>
                <c:pt idx="13">
                  <c:v>51.987305344440301</c:v>
                </c:pt>
                <c:pt idx="14">
                  <c:v>51.631757440208901</c:v>
                </c:pt>
                <c:pt idx="15">
                  <c:v>52.794464897500298</c:v>
                </c:pt>
                <c:pt idx="16">
                  <c:v>51.887463506619298</c:v>
                </c:pt>
                <c:pt idx="17">
                  <c:v>52.002425588997802</c:v>
                </c:pt>
                <c:pt idx="18">
                  <c:v>50.003942182046998</c:v>
                </c:pt>
                <c:pt idx="19">
                  <c:v>50.604599647352302</c:v>
                </c:pt>
                <c:pt idx="20">
                  <c:v>50.593711381892902</c:v>
                </c:pt>
                <c:pt idx="21">
                  <c:v>50.217846771034999</c:v>
                </c:pt>
                <c:pt idx="22">
                  <c:v>50.059376994168801</c:v>
                </c:pt>
                <c:pt idx="23">
                  <c:v>49.652448900138999</c:v>
                </c:pt>
                <c:pt idx="24">
                  <c:v>49.905701959017399</c:v>
                </c:pt>
                <c:pt idx="25">
                  <c:v>50.300076728014403</c:v>
                </c:pt>
                <c:pt idx="26">
                  <c:v>47.362688939723803</c:v>
                </c:pt>
                <c:pt idx="27">
                  <c:v>42.546068462651398</c:v>
                </c:pt>
                <c:pt idx="28">
                  <c:v>39.2844101664815</c:v>
                </c:pt>
                <c:pt idx="29">
                  <c:v>49.3785918946175</c:v>
                </c:pt>
                <c:pt idx="30">
                  <c:v>49.8707431094969</c:v>
                </c:pt>
                <c:pt idx="31">
                  <c:v>50.3582490467087</c:v>
                </c:pt>
                <c:pt idx="32">
                  <c:v>50.125301738421797</c:v>
                </c:pt>
                <c:pt idx="33">
                  <c:v>50.813607454049396</c:v>
                </c:pt>
                <c:pt idx="34">
                  <c:v>50.623140120334199</c:v>
                </c:pt>
                <c:pt idx="35">
                  <c:v>51.262771429053899</c:v>
                </c:pt>
                <c:pt idx="36">
                  <c:v>51.772489526356097</c:v>
                </c:pt>
                <c:pt idx="37">
                  <c:v>50.316111351681698</c:v>
                </c:pt>
                <c:pt idx="38">
                  <c:v>51.583670273589597</c:v>
                </c:pt>
                <c:pt idx="39">
                  <c:v>50.564038425265501</c:v>
                </c:pt>
                <c:pt idx="40">
                  <c:v>51.070013623158303</c:v>
                </c:pt>
                <c:pt idx="41">
                  <c:v>51.863829117583698</c:v>
                </c:pt>
                <c:pt idx="42">
                  <c:v>52.342181561580702</c:v>
                </c:pt>
                <c:pt idx="43">
                  <c:v>52.536250463293698</c:v>
                </c:pt>
                <c:pt idx="44">
                  <c:v>53.102394217254201</c:v>
                </c:pt>
                <c:pt idx="45">
                  <c:v>52.4390264641629</c:v>
                </c:pt>
                <c:pt idx="46">
                  <c:v>52.651219921493997</c:v>
                </c:pt>
                <c:pt idx="47">
                  <c:v>52.405739229805</c:v>
                </c:pt>
                <c:pt idx="48">
                  <c:v>51.223786300630998</c:v>
                </c:pt>
                <c:pt idx="49">
                  <c:v>52.720960659363001</c:v>
                </c:pt>
                <c:pt idx="50">
                  <c:v>53.598194069854699</c:v>
                </c:pt>
                <c:pt idx="51">
                  <c:v>53.205573376122302</c:v>
                </c:pt>
                <c:pt idx="52">
                  <c:v>53.4230879522202</c:v>
                </c:pt>
                <c:pt idx="53">
                  <c:v>51.913122340934898</c:v>
                </c:pt>
                <c:pt idx="54">
                  <c:v>51.800519462975601</c:v>
                </c:pt>
                <c:pt idx="55">
                  <c:v>51.758268788947298</c:v>
                </c:pt>
                <c:pt idx="56">
                  <c:v>51.499113171999603</c:v>
                </c:pt>
                <c:pt idx="57">
                  <c:v>52.175173144980398</c:v>
                </c:pt>
                <c:pt idx="58">
                  <c:v>52.421324301478698</c:v>
                </c:pt>
                <c:pt idx="59">
                  <c:v>51.862076955093798</c:v>
                </c:pt>
              </c:numCache>
            </c:numRef>
          </c:val>
          <c:smooth val="0"/>
          <c:extLst>
            <c:ext xmlns:c16="http://schemas.microsoft.com/office/drawing/2014/chart" uri="{C3380CC4-5D6E-409C-BE32-E72D297353CC}">
              <c16:uniqueId val="{00000000-6A6A-470F-9074-4283C2BC16AE}"/>
            </c:ext>
          </c:extLst>
        </c:ser>
        <c:ser>
          <c:idx val="1"/>
          <c:order val="1"/>
          <c:tx>
            <c:strRef>
              <c:f>'[IPM_Gráficas Desest y Tendencia-Ciclo.xlsx]Datos'!$D$4</c:f>
              <c:strCache>
                <c:ptCount val="1"/>
                <c:pt idx="0">
                  <c:v>Serie de Tendencia-Ciclo</c:v>
                </c:pt>
              </c:strCache>
            </c:strRef>
          </c:tx>
          <c:spPr>
            <a:ln w="12700">
              <a:solidFill>
                <a:schemeClr val="tx1"/>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Tendencia-Ciclo.xlsx]Datos'!$D$173:$D$232</c:f>
              <c:numCache>
                <c:formatCode>0.0_)</c:formatCode>
                <c:ptCount val="60"/>
                <c:pt idx="0">
                  <c:v>51.6308463258747</c:v>
                </c:pt>
                <c:pt idx="1">
                  <c:v>51.623205268223899</c:v>
                </c:pt>
                <c:pt idx="2">
                  <c:v>51.6173624284814</c:v>
                </c:pt>
                <c:pt idx="3">
                  <c:v>51.6108503889145</c:v>
                </c:pt>
                <c:pt idx="4">
                  <c:v>51.610379560595398</c:v>
                </c:pt>
                <c:pt idx="5">
                  <c:v>51.606489169448999</c:v>
                </c:pt>
                <c:pt idx="6">
                  <c:v>51.577162873785099</c:v>
                </c:pt>
                <c:pt idx="7">
                  <c:v>51.512048102179001</c:v>
                </c:pt>
                <c:pt idx="8">
                  <c:v>51.440704262251302</c:v>
                </c:pt>
                <c:pt idx="9">
                  <c:v>51.374220314750197</c:v>
                </c:pt>
                <c:pt idx="10">
                  <c:v>51.359284600195799</c:v>
                </c:pt>
                <c:pt idx="11">
                  <c:v>51.421342042993302</c:v>
                </c:pt>
                <c:pt idx="12">
                  <c:v>51.566921829936497</c:v>
                </c:pt>
                <c:pt idx="13">
                  <c:v>51.760952405998502</c:v>
                </c:pt>
                <c:pt idx="14">
                  <c:v>51.921326210848498</c:v>
                </c:pt>
                <c:pt idx="15">
                  <c:v>51.978776826731902</c:v>
                </c:pt>
                <c:pt idx="16">
                  <c:v>51.882805293027303</c:v>
                </c:pt>
                <c:pt idx="17">
                  <c:v>51.644502430219397</c:v>
                </c:pt>
                <c:pt idx="18">
                  <c:v>51.298388143301999</c:v>
                </c:pt>
                <c:pt idx="19">
                  <c:v>50.915366474422903</c:v>
                </c:pt>
                <c:pt idx="20">
                  <c:v>50.558810190207197</c:v>
                </c:pt>
                <c:pt idx="21">
                  <c:v>50.258546976321298</c:v>
                </c:pt>
                <c:pt idx="22">
                  <c:v>50.011146223378901</c:v>
                </c:pt>
                <c:pt idx="23">
                  <c:v>49.767358195273403</c:v>
                </c:pt>
                <c:pt idx="24">
                  <c:v>49.506505287994301</c:v>
                </c:pt>
                <c:pt idx="25">
                  <c:v>49.242819754970597</c:v>
                </c:pt>
                <c:pt idx="26">
                  <c:v>49.0595619109247</c:v>
                </c:pt>
                <c:pt idx="27">
                  <c:v>49.0120966179229</c:v>
                </c:pt>
                <c:pt idx="28">
                  <c:v>49.125797750233303</c:v>
                </c:pt>
                <c:pt idx="29">
                  <c:v>49.377274063547603</c:v>
                </c:pt>
                <c:pt idx="30">
                  <c:v>49.713633164605902</c:v>
                </c:pt>
                <c:pt idx="31">
                  <c:v>50.079778300431002</c:v>
                </c:pt>
                <c:pt idx="32">
                  <c:v>50.399263911140601</c:v>
                </c:pt>
                <c:pt idx="33">
                  <c:v>50.661526319871101</c:v>
                </c:pt>
                <c:pt idx="34">
                  <c:v>50.8614717014094</c:v>
                </c:pt>
                <c:pt idx="35">
                  <c:v>50.986799145459202</c:v>
                </c:pt>
                <c:pt idx="36">
                  <c:v>51.040555990654397</c:v>
                </c:pt>
                <c:pt idx="37">
                  <c:v>51.055388573932497</c:v>
                </c:pt>
                <c:pt idx="38">
                  <c:v>51.080190627910099</c:v>
                </c:pt>
                <c:pt idx="39">
                  <c:v>51.195007352159799</c:v>
                </c:pt>
                <c:pt idx="40">
                  <c:v>51.442214081344197</c:v>
                </c:pt>
                <c:pt idx="41">
                  <c:v>51.792117994678797</c:v>
                </c:pt>
                <c:pt idx="42">
                  <c:v>52.170794183872999</c:v>
                </c:pt>
                <c:pt idx="43">
                  <c:v>52.473588775067</c:v>
                </c:pt>
                <c:pt idx="44">
                  <c:v>52.637796097087097</c:v>
                </c:pt>
                <c:pt idx="45">
                  <c:v>52.670544132340503</c:v>
                </c:pt>
                <c:pt idx="46">
                  <c:v>52.626706389180598</c:v>
                </c:pt>
                <c:pt idx="47">
                  <c:v>52.636794947930099</c:v>
                </c:pt>
                <c:pt idx="48">
                  <c:v>52.742233932408297</c:v>
                </c:pt>
                <c:pt idx="49">
                  <c:v>52.887992163449702</c:v>
                </c:pt>
                <c:pt idx="50">
                  <c:v>52.984204757886303</c:v>
                </c:pt>
                <c:pt idx="51">
                  <c:v>52.932702280962701</c:v>
                </c:pt>
                <c:pt idx="52">
                  <c:v>52.699923007961999</c:v>
                </c:pt>
                <c:pt idx="53">
                  <c:v>52.374966251568097</c:v>
                </c:pt>
                <c:pt idx="54">
                  <c:v>52.0703305969745</c:v>
                </c:pt>
                <c:pt idx="55">
                  <c:v>51.877528728101503</c:v>
                </c:pt>
                <c:pt idx="56">
                  <c:v>51.840407000116201</c:v>
                </c:pt>
                <c:pt idx="57">
                  <c:v>51.906542270056597</c:v>
                </c:pt>
                <c:pt idx="58">
                  <c:v>51.9759277961804</c:v>
                </c:pt>
                <c:pt idx="59">
                  <c:v>51.9640088608204</c:v>
                </c:pt>
              </c:numCache>
            </c:numRef>
          </c:val>
          <c:smooth val="0"/>
          <c:extLst>
            <c:ext xmlns:c16="http://schemas.microsoft.com/office/drawing/2014/chart" uri="{C3380CC4-5D6E-409C-BE32-E72D297353CC}">
              <c16:uniqueId val="{00000001-6A6A-470F-9074-4283C2BC16AE}"/>
            </c:ext>
          </c:extLst>
        </c:ser>
        <c:dLbls>
          <c:showLegendKey val="0"/>
          <c:showVal val="0"/>
          <c:showCatName val="0"/>
          <c:showSerName val="0"/>
          <c:showPercent val="0"/>
          <c:showBubbleSize val="0"/>
        </c:dLbls>
        <c:smooth val="0"/>
        <c:axId val="659846856"/>
        <c:axId val="648633000"/>
      </c:lineChart>
      <c:catAx>
        <c:axId val="659846856"/>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a:pPr>
            <a:endParaRPr lang="es-MX"/>
          </a:p>
        </c:txPr>
        <c:crossAx val="648633000"/>
        <c:crossesAt val="50"/>
        <c:auto val="1"/>
        <c:lblAlgn val="ctr"/>
        <c:lblOffset val="0"/>
        <c:tickLblSkip val="1"/>
        <c:tickMarkSkip val="12"/>
        <c:noMultiLvlLbl val="1"/>
      </c:catAx>
      <c:valAx>
        <c:axId val="648633000"/>
        <c:scaling>
          <c:orientation val="minMax"/>
          <c:max val="55"/>
          <c:min val="38"/>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crossAx val="659846856"/>
        <c:crosses val="autoZero"/>
        <c:crossBetween val="between"/>
        <c:majorUnit val="4"/>
      </c:valAx>
      <c:spPr>
        <a:noFill/>
        <a:ln w="0">
          <a:noFill/>
        </a:ln>
      </c:spPr>
    </c:plotArea>
    <c:legend>
      <c:legendPos val="r"/>
      <c:layout>
        <c:manualLayout>
          <c:xMode val="edge"/>
          <c:yMode val="edge"/>
          <c:x val="2.9671527777777776E-2"/>
          <c:y val="0.94671349206349209"/>
          <c:w val="0.94026104137610411"/>
          <c:h val="5.3233333333333334E-2"/>
        </c:manualLayout>
      </c:layout>
      <c:overlay val="0"/>
      <c:spPr>
        <a:noFill/>
        <a:ln>
          <a:noFill/>
        </a:ln>
      </c:spPr>
      <c:txPr>
        <a:bodyPr/>
        <a:lstStyle/>
        <a:p>
          <a:pPr>
            <a:defRPr sz="900"/>
          </a:pPr>
          <a:endParaRPr lang="es-MX"/>
        </a:p>
      </c:txPr>
    </c:legend>
    <c:plotVisOnly val="1"/>
    <c:dispBlanksAs val="gap"/>
    <c:showDLblsOverMax val="0"/>
  </c:chart>
  <c:spPr>
    <a:noFill/>
    <a:ln w="6350">
      <a:solidFill>
        <a:srgbClr val="000000"/>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177209124795953E-2"/>
          <c:y val="4.6175898335921665E-2"/>
          <c:w val="0.90407838423869369"/>
          <c:h val="0.8123166861963127"/>
        </c:manualLayout>
      </c:layout>
      <c:lineChart>
        <c:grouping val="standard"/>
        <c:varyColors val="0"/>
        <c:ser>
          <c:idx val="0"/>
          <c:order val="0"/>
          <c:tx>
            <c:strRef>
              <c:f>'[IPM_Gráficas Desest y Tendencia-Ciclo.xlsx]Datos'!$E$4</c:f>
              <c:strCache>
                <c:ptCount val="1"/>
                <c:pt idx="0">
                  <c:v>Serie Desestacionalizada</c:v>
                </c:pt>
              </c:strCache>
            </c:strRef>
          </c:tx>
          <c:spPr>
            <a:ln w="12700">
              <a:solidFill>
                <a:srgbClr val="034DF3"/>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Tendencia-Ciclo.xlsx]Datos'!$E$173:$E$232</c:f>
              <c:numCache>
                <c:formatCode>0.0_)</c:formatCode>
                <c:ptCount val="60"/>
                <c:pt idx="0">
                  <c:v>52.989495427352203</c:v>
                </c:pt>
                <c:pt idx="1">
                  <c:v>53.1431823630409</c:v>
                </c:pt>
                <c:pt idx="2">
                  <c:v>53.329511288983902</c:v>
                </c:pt>
                <c:pt idx="3">
                  <c:v>52.595379916360898</c:v>
                </c:pt>
                <c:pt idx="4">
                  <c:v>52.310381931926102</c:v>
                </c:pt>
                <c:pt idx="5">
                  <c:v>53.773961707902799</c:v>
                </c:pt>
                <c:pt idx="6">
                  <c:v>53.420800653772602</c:v>
                </c:pt>
                <c:pt idx="7">
                  <c:v>52.968378134912697</c:v>
                </c:pt>
                <c:pt idx="8">
                  <c:v>53.434457221241502</c:v>
                </c:pt>
                <c:pt idx="9">
                  <c:v>52.960319777686898</c:v>
                </c:pt>
                <c:pt idx="10">
                  <c:v>52.159852039905402</c:v>
                </c:pt>
                <c:pt idx="11">
                  <c:v>52.9888305306809</c:v>
                </c:pt>
                <c:pt idx="12">
                  <c:v>52.182083487682903</c:v>
                </c:pt>
                <c:pt idx="13">
                  <c:v>53.091769022789698</c:v>
                </c:pt>
                <c:pt idx="14">
                  <c:v>52.372638776512602</c:v>
                </c:pt>
                <c:pt idx="15">
                  <c:v>53.8046940646378</c:v>
                </c:pt>
                <c:pt idx="16">
                  <c:v>53.995516980435298</c:v>
                </c:pt>
                <c:pt idx="17">
                  <c:v>53.183866469631297</c:v>
                </c:pt>
                <c:pt idx="18">
                  <c:v>51.694185251678597</c:v>
                </c:pt>
                <c:pt idx="19">
                  <c:v>51.778769210213603</c:v>
                </c:pt>
                <c:pt idx="20">
                  <c:v>52.220213763500297</c:v>
                </c:pt>
                <c:pt idx="21">
                  <c:v>51.370065415377297</c:v>
                </c:pt>
                <c:pt idx="22">
                  <c:v>51.168816464989099</c:v>
                </c:pt>
                <c:pt idx="23">
                  <c:v>49.989744754577004</c:v>
                </c:pt>
                <c:pt idx="24">
                  <c:v>50.9275120749123</c:v>
                </c:pt>
                <c:pt idx="25">
                  <c:v>51.827175724234898</c:v>
                </c:pt>
                <c:pt idx="26">
                  <c:v>46.4935235077022</c:v>
                </c:pt>
                <c:pt idx="27">
                  <c:v>36.1185444074952</c:v>
                </c:pt>
                <c:pt idx="28">
                  <c:v>31.494298103525399</c:v>
                </c:pt>
                <c:pt idx="29">
                  <c:v>50.397442771833802</c:v>
                </c:pt>
                <c:pt idx="30">
                  <c:v>51.580134175626696</c:v>
                </c:pt>
                <c:pt idx="31">
                  <c:v>51.421695427503202</c:v>
                </c:pt>
                <c:pt idx="32">
                  <c:v>51.1136827859983</c:v>
                </c:pt>
                <c:pt idx="33">
                  <c:v>51.912694616958099</c:v>
                </c:pt>
                <c:pt idx="34">
                  <c:v>52.2376962928533</c:v>
                </c:pt>
                <c:pt idx="35">
                  <c:v>52.758946541542002</c:v>
                </c:pt>
                <c:pt idx="36">
                  <c:v>52.753282317422702</c:v>
                </c:pt>
                <c:pt idx="37">
                  <c:v>50.835475075265201</c:v>
                </c:pt>
                <c:pt idx="38">
                  <c:v>52.891722377689</c:v>
                </c:pt>
                <c:pt idx="39">
                  <c:v>50.389807235207797</c:v>
                </c:pt>
                <c:pt idx="40">
                  <c:v>52.072700739276698</c:v>
                </c:pt>
                <c:pt idx="41">
                  <c:v>52.415182924166203</c:v>
                </c:pt>
                <c:pt idx="42">
                  <c:v>53.425123815714599</c:v>
                </c:pt>
                <c:pt idx="43">
                  <c:v>53.972871774584902</c:v>
                </c:pt>
                <c:pt idx="44">
                  <c:v>54.097896074905897</c:v>
                </c:pt>
                <c:pt idx="45">
                  <c:v>53.729484395523997</c:v>
                </c:pt>
                <c:pt idx="46">
                  <c:v>53.849273946611802</c:v>
                </c:pt>
                <c:pt idx="47">
                  <c:v>54.738452511301801</c:v>
                </c:pt>
                <c:pt idx="48">
                  <c:v>51.413754036027299</c:v>
                </c:pt>
                <c:pt idx="49">
                  <c:v>54.4297896496373</c:v>
                </c:pt>
                <c:pt idx="50">
                  <c:v>54.953215012474601</c:v>
                </c:pt>
                <c:pt idx="51">
                  <c:v>54.2160314440072</c:v>
                </c:pt>
                <c:pt idx="52">
                  <c:v>54.739373428666703</c:v>
                </c:pt>
                <c:pt idx="53">
                  <c:v>53.156682519878601</c:v>
                </c:pt>
                <c:pt idx="54">
                  <c:v>52.656533250906598</c:v>
                </c:pt>
                <c:pt idx="55">
                  <c:v>52.632241145556698</c:v>
                </c:pt>
                <c:pt idx="56">
                  <c:v>52.517219472049199</c:v>
                </c:pt>
                <c:pt idx="57">
                  <c:v>53.358541585794498</c:v>
                </c:pt>
                <c:pt idx="58">
                  <c:v>55.678380981426599</c:v>
                </c:pt>
                <c:pt idx="59">
                  <c:v>51.786518415373301</c:v>
                </c:pt>
              </c:numCache>
            </c:numRef>
          </c:val>
          <c:smooth val="0"/>
          <c:extLst>
            <c:ext xmlns:c16="http://schemas.microsoft.com/office/drawing/2014/chart" uri="{C3380CC4-5D6E-409C-BE32-E72D297353CC}">
              <c16:uniqueId val="{00000000-F392-4EEE-A40D-CB9CC0B51101}"/>
            </c:ext>
          </c:extLst>
        </c:ser>
        <c:ser>
          <c:idx val="1"/>
          <c:order val="1"/>
          <c:tx>
            <c:strRef>
              <c:f>'[IPM_Gráficas Desest y Tendencia-Ciclo.xlsx]Datos'!$F$4</c:f>
              <c:strCache>
                <c:ptCount val="1"/>
                <c:pt idx="0">
                  <c:v>Serie de Tendencia-Ciclo</c:v>
                </c:pt>
              </c:strCache>
            </c:strRef>
          </c:tx>
          <c:spPr>
            <a:ln w="12700">
              <a:solidFill>
                <a:schemeClr val="tx1"/>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Tendencia-Ciclo.xlsx]Datos'!$F$173:$F$232</c:f>
              <c:numCache>
                <c:formatCode>0.0_)</c:formatCode>
                <c:ptCount val="60"/>
                <c:pt idx="0">
                  <c:v>52.973623491478598</c:v>
                </c:pt>
                <c:pt idx="1">
                  <c:v>52.956840385920003</c:v>
                </c:pt>
                <c:pt idx="2">
                  <c:v>52.951752627499502</c:v>
                </c:pt>
                <c:pt idx="3">
                  <c:v>52.972505041970201</c:v>
                </c:pt>
                <c:pt idx="4">
                  <c:v>53.050583206625497</c:v>
                </c:pt>
                <c:pt idx="5">
                  <c:v>53.140370277474297</c:v>
                </c:pt>
                <c:pt idx="6">
                  <c:v>53.205780724937</c:v>
                </c:pt>
                <c:pt idx="7">
                  <c:v>53.192798730649699</c:v>
                </c:pt>
                <c:pt idx="8">
                  <c:v>53.091655537383303</c:v>
                </c:pt>
                <c:pt idx="9">
                  <c:v>52.900161285504502</c:v>
                </c:pt>
                <c:pt idx="10">
                  <c:v>52.684945023518502</c:v>
                </c:pt>
                <c:pt idx="11">
                  <c:v>52.578978754895502</c:v>
                </c:pt>
                <c:pt idx="12">
                  <c:v>52.667666594297799</c:v>
                </c:pt>
                <c:pt idx="13">
                  <c:v>52.887881911305499</c:v>
                </c:pt>
                <c:pt idx="14">
                  <c:v>53.120839057168098</c:v>
                </c:pt>
                <c:pt idx="15">
                  <c:v>53.251055886337902</c:v>
                </c:pt>
                <c:pt idx="16">
                  <c:v>53.189446496053499</c:v>
                </c:pt>
                <c:pt idx="17">
                  <c:v>52.9563722847628</c:v>
                </c:pt>
                <c:pt idx="18">
                  <c:v>52.579176315540401</c:v>
                </c:pt>
                <c:pt idx="19">
                  <c:v>52.124028890967701</c:v>
                </c:pt>
                <c:pt idx="20">
                  <c:v>51.692631187665803</c:v>
                </c:pt>
                <c:pt idx="21">
                  <c:v>51.317841601447</c:v>
                </c:pt>
                <c:pt idx="22">
                  <c:v>50.9982576480703</c:v>
                </c:pt>
                <c:pt idx="23">
                  <c:v>50.659362740761402</c:v>
                </c:pt>
                <c:pt idx="24">
                  <c:v>50.284169068479301</c:v>
                </c:pt>
                <c:pt idx="25">
                  <c:v>49.967351776988899</c:v>
                </c:pt>
                <c:pt idx="26">
                  <c:v>49.832181472386601</c:v>
                </c:pt>
                <c:pt idx="27">
                  <c:v>49.893791948689902</c:v>
                </c:pt>
                <c:pt idx="28">
                  <c:v>50.1161969880702</c:v>
                </c:pt>
                <c:pt idx="29">
                  <c:v>50.455026454520201</c:v>
                </c:pt>
                <c:pt idx="30">
                  <c:v>50.8547411377888</c:v>
                </c:pt>
                <c:pt idx="31">
                  <c:v>51.279751124358597</c:v>
                </c:pt>
                <c:pt idx="32">
                  <c:v>51.6487760006206</c:v>
                </c:pt>
                <c:pt idx="33">
                  <c:v>51.9662918034021</c:v>
                </c:pt>
                <c:pt idx="34">
                  <c:v>52.237721633230997</c:v>
                </c:pt>
                <c:pt idx="35">
                  <c:v>52.447172551416102</c:v>
                </c:pt>
                <c:pt idx="36">
                  <c:v>52.552476934649498</c:v>
                </c:pt>
                <c:pt idx="37">
                  <c:v>52.531569187206202</c:v>
                </c:pt>
                <c:pt idx="38">
                  <c:v>52.436196067472302</c:v>
                </c:pt>
                <c:pt idx="39">
                  <c:v>52.404741568618</c:v>
                </c:pt>
                <c:pt idx="40">
                  <c:v>52.534066958476998</c:v>
                </c:pt>
                <c:pt idx="41">
                  <c:v>52.8029947280898</c:v>
                </c:pt>
                <c:pt idx="42">
                  <c:v>53.164564465463101</c:v>
                </c:pt>
                <c:pt idx="43">
                  <c:v>53.534757236209103</c:v>
                </c:pt>
                <c:pt idx="44">
                  <c:v>53.837303618332399</c:v>
                </c:pt>
                <c:pt idx="45">
                  <c:v>54.057272365705202</c:v>
                </c:pt>
                <c:pt idx="46">
                  <c:v>54.187249307458003</c:v>
                </c:pt>
                <c:pt idx="47">
                  <c:v>54.3105307528254</c:v>
                </c:pt>
                <c:pt idx="48">
                  <c:v>54.4610135943418</c:v>
                </c:pt>
                <c:pt idx="49">
                  <c:v>54.579237586555898</c:v>
                </c:pt>
                <c:pt idx="50">
                  <c:v>54.5629925315124</c:v>
                </c:pt>
                <c:pt idx="51">
                  <c:v>54.338312290814599</c:v>
                </c:pt>
                <c:pt idx="52">
                  <c:v>53.943543988519799</c:v>
                </c:pt>
                <c:pt idx="53">
                  <c:v>53.505705231964498</c:v>
                </c:pt>
                <c:pt idx="54">
                  <c:v>53.121847289463602</c:v>
                </c:pt>
                <c:pt idx="55">
                  <c:v>52.853613963309797</c:v>
                </c:pt>
                <c:pt idx="56">
                  <c:v>52.754180987250997</c:v>
                </c:pt>
                <c:pt idx="57">
                  <c:v>52.759943090914</c:v>
                </c:pt>
                <c:pt idx="58">
                  <c:v>52.777272889673</c:v>
                </c:pt>
                <c:pt idx="59">
                  <c:v>52.721299680460298</c:v>
                </c:pt>
              </c:numCache>
            </c:numRef>
          </c:val>
          <c:smooth val="0"/>
          <c:extLst>
            <c:ext xmlns:c16="http://schemas.microsoft.com/office/drawing/2014/chart" uri="{C3380CC4-5D6E-409C-BE32-E72D297353CC}">
              <c16:uniqueId val="{00000001-F392-4EEE-A40D-CB9CC0B51101}"/>
            </c:ext>
          </c:extLst>
        </c:ser>
        <c:dLbls>
          <c:showLegendKey val="0"/>
          <c:showVal val="0"/>
          <c:showCatName val="0"/>
          <c:showSerName val="0"/>
          <c:showPercent val="0"/>
          <c:showBubbleSize val="0"/>
        </c:dLbls>
        <c:smooth val="0"/>
        <c:axId val="648633392"/>
        <c:axId val="648633784"/>
      </c:lineChart>
      <c:catAx>
        <c:axId val="648633392"/>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540"/>
            </a:pPr>
            <a:endParaRPr lang="es-MX"/>
          </a:p>
        </c:txPr>
        <c:crossAx val="648633784"/>
        <c:crossesAt val="50"/>
        <c:auto val="1"/>
        <c:lblAlgn val="ctr"/>
        <c:lblOffset val="100"/>
        <c:tickLblSkip val="1"/>
        <c:tickMarkSkip val="12"/>
        <c:noMultiLvlLbl val="1"/>
      </c:catAx>
      <c:valAx>
        <c:axId val="648633784"/>
        <c:scaling>
          <c:orientation val="minMax"/>
          <c:max val="58"/>
          <c:min val="26"/>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50"/>
            </a:pPr>
            <a:endParaRPr lang="es-MX"/>
          </a:p>
        </c:txPr>
        <c:crossAx val="648633392"/>
        <c:crosses val="autoZero"/>
        <c:crossBetween val="between"/>
        <c:majorUnit val="8"/>
        <c:minorUnit val="1"/>
      </c:valAx>
      <c:spPr>
        <a:noFill/>
      </c:spPr>
    </c:plotArea>
    <c:legend>
      <c:legendPos val="r"/>
      <c:layout>
        <c:manualLayout>
          <c:xMode val="edge"/>
          <c:yMode val="edge"/>
          <c:x val="2.6667623421354765E-2"/>
          <c:y val="0.95420217941233698"/>
          <c:w val="0.94026104137610411"/>
          <c:h val="4.1114804110468854E-2"/>
        </c:manualLayout>
      </c:layout>
      <c:overlay val="0"/>
      <c:spPr>
        <a:noFill/>
        <a:ln>
          <a:noFill/>
        </a:ln>
      </c:spPr>
      <c:txPr>
        <a:bodyPr/>
        <a:lstStyle/>
        <a:p>
          <a:pPr>
            <a:defRPr sz="650"/>
          </a:pPr>
          <a:endParaRPr lang="es-MX"/>
        </a:p>
      </c:txPr>
    </c:legend>
    <c:plotVisOnly val="1"/>
    <c:dispBlanksAs val="gap"/>
    <c:showDLblsOverMax val="0"/>
  </c:chart>
  <c:spPr>
    <a:noFill/>
    <a:ln>
      <a:noFill/>
    </a:ln>
  </c:spPr>
  <c:txPr>
    <a:bodyPr/>
    <a:lstStyle/>
    <a:p>
      <a:pPr>
        <a:defRPr sz="1200">
          <a:latin typeface="Arial" pitchFamily="34" charset="0"/>
          <a:cs typeface="Arial" pitchFamily="34" charset="0"/>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1112788070323174E-2"/>
          <c:y val="5.2227785404849791E-2"/>
          <c:w val="0.90011157053963031"/>
          <c:h val="0.80899720231267858"/>
        </c:manualLayout>
      </c:layout>
      <c:lineChart>
        <c:grouping val="standard"/>
        <c:varyColors val="0"/>
        <c:ser>
          <c:idx val="0"/>
          <c:order val="0"/>
          <c:tx>
            <c:strRef>
              <c:f>'[IPM_Gráficas Desest y Tendencia-Ciclo.xlsx]Datos'!$G$4</c:f>
              <c:strCache>
                <c:ptCount val="1"/>
                <c:pt idx="0">
                  <c:v>Serie Desestacionalizada</c:v>
                </c:pt>
              </c:strCache>
            </c:strRef>
          </c:tx>
          <c:spPr>
            <a:ln w="12700">
              <a:solidFill>
                <a:srgbClr val="034DF3"/>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Tendencia-Ciclo.xlsx]Datos'!$G$173:$G$232</c:f>
              <c:numCache>
                <c:formatCode>0.0_)</c:formatCode>
                <c:ptCount val="60"/>
                <c:pt idx="0">
                  <c:v>50.8165500216165</c:v>
                </c:pt>
                <c:pt idx="1">
                  <c:v>52.192710096035903</c:v>
                </c:pt>
                <c:pt idx="2">
                  <c:v>55.668441094466701</c:v>
                </c:pt>
                <c:pt idx="3">
                  <c:v>52.578366954427999</c:v>
                </c:pt>
                <c:pt idx="4">
                  <c:v>52.387279371824199</c:v>
                </c:pt>
                <c:pt idx="5">
                  <c:v>52.524902085667598</c:v>
                </c:pt>
                <c:pt idx="6">
                  <c:v>54.239554243691302</c:v>
                </c:pt>
                <c:pt idx="7">
                  <c:v>51.8965074816171</c:v>
                </c:pt>
                <c:pt idx="8">
                  <c:v>52.243196950846503</c:v>
                </c:pt>
                <c:pt idx="9">
                  <c:v>51.742197077650502</c:v>
                </c:pt>
                <c:pt idx="10">
                  <c:v>52.672587108691999</c:v>
                </c:pt>
                <c:pt idx="11">
                  <c:v>52.356017467182603</c:v>
                </c:pt>
                <c:pt idx="12">
                  <c:v>52.826296601844199</c:v>
                </c:pt>
                <c:pt idx="13">
                  <c:v>53.315008126322098</c:v>
                </c:pt>
                <c:pt idx="14">
                  <c:v>53.076504886020402</c:v>
                </c:pt>
                <c:pt idx="15">
                  <c:v>54.782846087764597</c:v>
                </c:pt>
                <c:pt idx="16">
                  <c:v>53.297215202693302</c:v>
                </c:pt>
                <c:pt idx="17">
                  <c:v>53.207476573104103</c:v>
                </c:pt>
                <c:pt idx="18">
                  <c:v>50.7051275967302</c:v>
                </c:pt>
                <c:pt idx="19">
                  <c:v>51.6796774287914</c:v>
                </c:pt>
                <c:pt idx="20">
                  <c:v>50.759368408619103</c:v>
                </c:pt>
                <c:pt idx="21">
                  <c:v>51.226171945416503</c:v>
                </c:pt>
                <c:pt idx="22">
                  <c:v>49.645700533261603</c:v>
                </c:pt>
                <c:pt idx="23">
                  <c:v>50.398067514410698</c:v>
                </c:pt>
                <c:pt idx="24">
                  <c:v>50.240502667273098</c:v>
                </c:pt>
                <c:pt idx="25">
                  <c:v>50.736489598365502</c:v>
                </c:pt>
                <c:pt idx="26">
                  <c:v>46.449781260221698</c:v>
                </c:pt>
                <c:pt idx="27">
                  <c:v>38.8003833233346</c:v>
                </c:pt>
                <c:pt idx="28">
                  <c:v>34.627018419446401</c:v>
                </c:pt>
                <c:pt idx="29">
                  <c:v>50.881302861730603</c:v>
                </c:pt>
                <c:pt idx="30">
                  <c:v>50.395232453509898</c:v>
                </c:pt>
                <c:pt idx="31">
                  <c:v>50.974755605188903</c:v>
                </c:pt>
                <c:pt idx="32">
                  <c:v>50.566514868620899</c:v>
                </c:pt>
                <c:pt idx="33">
                  <c:v>52.021628099506501</c:v>
                </c:pt>
                <c:pt idx="34">
                  <c:v>51.391239184662403</c:v>
                </c:pt>
                <c:pt idx="35">
                  <c:v>51.023329752266797</c:v>
                </c:pt>
                <c:pt idx="36">
                  <c:v>52.695594008128197</c:v>
                </c:pt>
                <c:pt idx="37">
                  <c:v>50.373985903722598</c:v>
                </c:pt>
                <c:pt idx="38">
                  <c:v>53.022359187299202</c:v>
                </c:pt>
                <c:pt idx="39">
                  <c:v>50.0161716346962</c:v>
                </c:pt>
                <c:pt idx="40">
                  <c:v>49.874288447848102</c:v>
                </c:pt>
                <c:pt idx="41">
                  <c:v>51.412229605451401</c:v>
                </c:pt>
                <c:pt idx="42">
                  <c:v>55.739871890569702</c:v>
                </c:pt>
                <c:pt idx="43">
                  <c:v>54.018118880263202</c:v>
                </c:pt>
                <c:pt idx="44">
                  <c:v>54.494660275093104</c:v>
                </c:pt>
                <c:pt idx="45">
                  <c:v>52.674409313096497</c:v>
                </c:pt>
                <c:pt idx="46">
                  <c:v>54.372615586161302</c:v>
                </c:pt>
                <c:pt idx="47">
                  <c:v>53.657186828352799</c:v>
                </c:pt>
                <c:pt idx="48">
                  <c:v>51.305472059902698</c:v>
                </c:pt>
                <c:pt idx="49">
                  <c:v>53.731590204699003</c:v>
                </c:pt>
                <c:pt idx="50">
                  <c:v>56.036810801145002</c:v>
                </c:pt>
                <c:pt idx="51">
                  <c:v>54.454589862675398</c:v>
                </c:pt>
                <c:pt idx="52">
                  <c:v>55.556206701952703</c:v>
                </c:pt>
                <c:pt idx="53">
                  <c:v>50.607257569433102</c:v>
                </c:pt>
                <c:pt idx="54">
                  <c:v>52.832723838899703</c:v>
                </c:pt>
                <c:pt idx="55">
                  <c:v>52.305127331345297</c:v>
                </c:pt>
                <c:pt idx="56">
                  <c:v>52.695155433087898</c:v>
                </c:pt>
                <c:pt idx="57">
                  <c:v>53.415731424909801</c:v>
                </c:pt>
                <c:pt idx="58">
                  <c:v>53.229125581833102</c:v>
                </c:pt>
                <c:pt idx="59">
                  <c:v>53.3202917195445</c:v>
                </c:pt>
              </c:numCache>
            </c:numRef>
          </c:val>
          <c:smooth val="0"/>
          <c:extLst>
            <c:ext xmlns:c16="http://schemas.microsoft.com/office/drawing/2014/chart" uri="{C3380CC4-5D6E-409C-BE32-E72D297353CC}">
              <c16:uniqueId val="{00000000-2709-4338-B001-83449B41FC31}"/>
            </c:ext>
          </c:extLst>
        </c:ser>
        <c:ser>
          <c:idx val="1"/>
          <c:order val="1"/>
          <c:tx>
            <c:strRef>
              <c:f>'[IPM_Gráficas Desest y Tendencia-Ciclo.xlsx]Datos'!$H$4</c:f>
              <c:strCache>
                <c:ptCount val="1"/>
                <c:pt idx="0">
                  <c:v>Serie de Tendencia-Ciclo</c:v>
                </c:pt>
              </c:strCache>
            </c:strRef>
          </c:tx>
          <c:spPr>
            <a:ln w="12700">
              <a:solidFill>
                <a:schemeClr val="tx1"/>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Tendencia-Ciclo.xlsx]Datos'!$H$173:$H$232</c:f>
              <c:numCache>
                <c:formatCode>0.0_)</c:formatCode>
                <c:ptCount val="60"/>
                <c:pt idx="0">
                  <c:v>52.8054595376965</c:v>
                </c:pt>
                <c:pt idx="1">
                  <c:v>52.716253427503602</c:v>
                </c:pt>
                <c:pt idx="2">
                  <c:v>52.609573130409899</c:v>
                </c:pt>
                <c:pt idx="3">
                  <c:v>52.520245213198201</c:v>
                </c:pt>
                <c:pt idx="4">
                  <c:v>52.445848770745201</c:v>
                </c:pt>
                <c:pt idx="5">
                  <c:v>52.380017257246898</c:v>
                </c:pt>
                <c:pt idx="6">
                  <c:v>52.290178440296998</c:v>
                </c:pt>
                <c:pt idx="7">
                  <c:v>52.184468353145199</c:v>
                </c:pt>
                <c:pt idx="8">
                  <c:v>52.1332008309152</c:v>
                </c:pt>
                <c:pt idx="9">
                  <c:v>52.158685711806797</c:v>
                </c:pt>
                <c:pt idx="10">
                  <c:v>52.298089459969198</c:v>
                </c:pt>
                <c:pt idx="11">
                  <c:v>52.563782254745902</c:v>
                </c:pt>
                <c:pt idx="12">
                  <c:v>52.937480991751997</c:v>
                </c:pt>
                <c:pt idx="13">
                  <c:v>53.309106756245498</c:v>
                </c:pt>
                <c:pt idx="14">
                  <c:v>53.561315311553599</c:v>
                </c:pt>
                <c:pt idx="15">
                  <c:v>53.584222448107603</c:v>
                </c:pt>
                <c:pt idx="16">
                  <c:v>53.352416103961701</c:v>
                </c:pt>
                <c:pt idx="17">
                  <c:v>52.887172815781099</c:v>
                </c:pt>
                <c:pt idx="18">
                  <c:v>52.256777623744497</c:v>
                </c:pt>
                <c:pt idx="19">
                  <c:v>51.588336279406597</c:v>
                </c:pt>
                <c:pt idx="20">
                  <c:v>51.019156480507696</c:v>
                </c:pt>
                <c:pt idx="21">
                  <c:v>50.635561761378398</c:v>
                </c:pt>
                <c:pt idx="22">
                  <c:v>50.422489399105302</c:v>
                </c:pt>
                <c:pt idx="23">
                  <c:v>50.2778453393774</c:v>
                </c:pt>
                <c:pt idx="24">
                  <c:v>50.186201308781001</c:v>
                </c:pt>
                <c:pt idx="25">
                  <c:v>50.123449801205098</c:v>
                </c:pt>
                <c:pt idx="26">
                  <c:v>50.118818314419698</c:v>
                </c:pt>
                <c:pt idx="27">
                  <c:v>50.141224530937997</c:v>
                </c:pt>
                <c:pt idx="28">
                  <c:v>50.218146476628299</c:v>
                </c:pt>
                <c:pt idx="29">
                  <c:v>50.375661220980597</c:v>
                </c:pt>
                <c:pt idx="30">
                  <c:v>50.611401002872697</c:v>
                </c:pt>
                <c:pt idx="31">
                  <c:v>50.8909231646686</c:v>
                </c:pt>
                <c:pt idx="32">
                  <c:v>51.151354827229603</c:v>
                </c:pt>
                <c:pt idx="33">
                  <c:v>51.338865748502698</c:v>
                </c:pt>
                <c:pt idx="34">
                  <c:v>51.420195770018097</c:v>
                </c:pt>
                <c:pt idx="35">
                  <c:v>51.350429019446402</c:v>
                </c:pt>
                <c:pt idx="36">
                  <c:v>51.109709887448503</c:v>
                </c:pt>
                <c:pt idx="37">
                  <c:v>50.7749063329709</c:v>
                </c:pt>
                <c:pt idx="38">
                  <c:v>50.5337283048434</c:v>
                </c:pt>
                <c:pt idx="39">
                  <c:v>50.602917015766401</c:v>
                </c:pt>
                <c:pt idx="40">
                  <c:v>51.0318209592375</c:v>
                </c:pt>
                <c:pt idx="41">
                  <c:v>51.727150105894601</c:v>
                </c:pt>
                <c:pt idx="42">
                  <c:v>52.537521482138601</c:v>
                </c:pt>
                <c:pt idx="43">
                  <c:v>53.257275319341801</c:v>
                </c:pt>
                <c:pt idx="44">
                  <c:v>53.6979368699511</c:v>
                </c:pt>
                <c:pt idx="45">
                  <c:v>53.868654792226799</c:v>
                </c:pt>
                <c:pt idx="46">
                  <c:v>53.853853105491297</c:v>
                </c:pt>
                <c:pt idx="47">
                  <c:v>53.853225994891801</c:v>
                </c:pt>
                <c:pt idx="48">
                  <c:v>53.985081387224497</c:v>
                </c:pt>
                <c:pt idx="49">
                  <c:v>54.224013070907098</c:v>
                </c:pt>
                <c:pt idx="50">
                  <c:v>54.411498504730602</c:v>
                </c:pt>
                <c:pt idx="51">
                  <c:v>54.384147611143597</c:v>
                </c:pt>
                <c:pt idx="52">
                  <c:v>54.114969300387898</c:v>
                </c:pt>
                <c:pt idx="53">
                  <c:v>53.704905703376099</c:v>
                </c:pt>
                <c:pt idx="54">
                  <c:v>53.273995225614698</c:v>
                </c:pt>
                <c:pt idx="55">
                  <c:v>52.963845763479704</c:v>
                </c:pt>
                <c:pt idx="56">
                  <c:v>52.855241865116</c:v>
                </c:pt>
                <c:pt idx="57">
                  <c:v>52.908193129800402</c:v>
                </c:pt>
                <c:pt idx="58">
                  <c:v>53.006834481924599</c:v>
                </c:pt>
                <c:pt idx="59">
                  <c:v>53.078316420119002</c:v>
                </c:pt>
              </c:numCache>
            </c:numRef>
          </c:val>
          <c:smooth val="0"/>
          <c:extLst>
            <c:ext xmlns:c16="http://schemas.microsoft.com/office/drawing/2014/chart" uri="{C3380CC4-5D6E-409C-BE32-E72D297353CC}">
              <c16:uniqueId val="{00000001-2709-4338-B001-83449B41FC31}"/>
            </c:ext>
          </c:extLst>
        </c:ser>
        <c:dLbls>
          <c:showLegendKey val="0"/>
          <c:showVal val="0"/>
          <c:showCatName val="0"/>
          <c:showSerName val="0"/>
          <c:showPercent val="0"/>
          <c:showBubbleSize val="0"/>
        </c:dLbls>
        <c:smooth val="0"/>
        <c:axId val="648630256"/>
        <c:axId val="648631824"/>
      </c:lineChart>
      <c:catAx>
        <c:axId val="648630256"/>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540"/>
            </a:pPr>
            <a:endParaRPr lang="es-MX"/>
          </a:p>
        </c:txPr>
        <c:crossAx val="648631824"/>
        <c:crossesAt val="50"/>
        <c:auto val="1"/>
        <c:lblAlgn val="ctr"/>
        <c:lblOffset val="100"/>
        <c:tickLblSkip val="1"/>
        <c:tickMarkSkip val="12"/>
        <c:noMultiLvlLbl val="1"/>
      </c:catAx>
      <c:valAx>
        <c:axId val="648631824"/>
        <c:scaling>
          <c:orientation val="minMax"/>
          <c:max val="59"/>
          <c:min val="32"/>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50"/>
            </a:pPr>
            <a:endParaRPr lang="es-MX"/>
          </a:p>
        </c:txPr>
        <c:crossAx val="648630256"/>
        <c:crosses val="autoZero"/>
        <c:crossBetween val="between"/>
        <c:majorUnit val="6"/>
      </c:valAx>
      <c:spPr>
        <a:noFill/>
      </c:spPr>
    </c:plotArea>
    <c:legend>
      <c:legendPos val="r"/>
      <c:layout>
        <c:manualLayout>
          <c:xMode val="edge"/>
          <c:yMode val="edge"/>
          <c:x val="2.924193136879704E-2"/>
          <c:y val="0.95679266394240126"/>
          <c:w val="0.94173709902370994"/>
          <c:h val="4.3153982016698803E-2"/>
        </c:manualLayout>
      </c:layout>
      <c:overlay val="0"/>
      <c:spPr>
        <a:noFill/>
        <a:ln>
          <a:noFill/>
        </a:ln>
      </c:spPr>
      <c:txPr>
        <a:bodyPr/>
        <a:lstStyle/>
        <a:p>
          <a:pPr>
            <a:defRPr sz="650"/>
          </a:pPr>
          <a:endParaRPr lang="es-MX"/>
        </a:p>
      </c:txPr>
    </c:legend>
    <c:plotVisOnly val="1"/>
    <c:dispBlanksAs val="gap"/>
    <c:showDLblsOverMax val="0"/>
  </c:chart>
  <c:spPr>
    <a:noFill/>
    <a:ln>
      <a:noFill/>
    </a:ln>
  </c:spPr>
  <c:txPr>
    <a:bodyPr/>
    <a:lstStyle/>
    <a:p>
      <a:pPr>
        <a:defRPr sz="1200">
          <a:latin typeface="Arial" pitchFamily="34" charset="0"/>
          <a:cs typeface="Arial" pitchFamily="34" charset="0"/>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436967652764754E-2"/>
          <c:y val="5.8279672473777931E-2"/>
          <c:w val="0.90353896004512801"/>
          <c:h val="0.80235871107195111"/>
        </c:manualLayout>
      </c:layout>
      <c:lineChart>
        <c:grouping val="standard"/>
        <c:varyColors val="0"/>
        <c:ser>
          <c:idx val="0"/>
          <c:order val="0"/>
          <c:tx>
            <c:strRef>
              <c:f>'[IPM_Gráficas Desest y Tendencia-Ciclo.xlsx]Datos'!$I$4</c:f>
              <c:strCache>
                <c:ptCount val="1"/>
                <c:pt idx="0">
                  <c:v>Serie Desestacionalizada</c:v>
                </c:pt>
              </c:strCache>
            </c:strRef>
          </c:tx>
          <c:spPr>
            <a:ln w="12700">
              <a:solidFill>
                <a:srgbClr val="034DF3"/>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Tendencia-Ciclo.xlsx]Datos'!$I$173:$I$232</c:f>
              <c:numCache>
                <c:formatCode>0.0_)</c:formatCode>
                <c:ptCount val="60"/>
                <c:pt idx="0">
                  <c:v>51.145080104816302</c:v>
                </c:pt>
                <c:pt idx="1">
                  <c:v>52.100880172605301</c:v>
                </c:pt>
                <c:pt idx="2">
                  <c:v>51.653179846142798</c:v>
                </c:pt>
                <c:pt idx="3">
                  <c:v>51.3928552850426</c:v>
                </c:pt>
                <c:pt idx="4">
                  <c:v>51.519967101814302</c:v>
                </c:pt>
                <c:pt idx="5">
                  <c:v>50.309246538515502</c:v>
                </c:pt>
                <c:pt idx="6">
                  <c:v>51.934112460599998</c:v>
                </c:pt>
                <c:pt idx="7">
                  <c:v>50.9938464826988</c:v>
                </c:pt>
                <c:pt idx="8">
                  <c:v>51.242410381779898</c:v>
                </c:pt>
                <c:pt idx="9">
                  <c:v>50.985115973714898</c:v>
                </c:pt>
                <c:pt idx="10">
                  <c:v>51.046943671484897</c:v>
                </c:pt>
                <c:pt idx="11">
                  <c:v>50.111761486865802</c:v>
                </c:pt>
                <c:pt idx="12">
                  <c:v>51.310372041261701</c:v>
                </c:pt>
                <c:pt idx="13">
                  <c:v>50.228224322834201</c:v>
                </c:pt>
                <c:pt idx="14">
                  <c:v>50.8197003270054</c:v>
                </c:pt>
                <c:pt idx="15">
                  <c:v>50.6254378945371</c:v>
                </c:pt>
                <c:pt idx="16">
                  <c:v>50.476829988385802</c:v>
                </c:pt>
                <c:pt idx="17">
                  <c:v>50.421218411712701</c:v>
                </c:pt>
                <c:pt idx="18">
                  <c:v>50.035224836526702</c:v>
                </c:pt>
                <c:pt idx="19">
                  <c:v>49.9479959101647</c:v>
                </c:pt>
                <c:pt idx="20">
                  <c:v>49.839220015563299</c:v>
                </c:pt>
                <c:pt idx="21">
                  <c:v>50.062058539224701</c:v>
                </c:pt>
                <c:pt idx="22">
                  <c:v>49.979932928416403</c:v>
                </c:pt>
                <c:pt idx="23">
                  <c:v>49.636048609093599</c:v>
                </c:pt>
                <c:pt idx="24">
                  <c:v>49.723455182562503</c:v>
                </c:pt>
                <c:pt idx="25">
                  <c:v>49.624873699884802</c:v>
                </c:pt>
                <c:pt idx="26">
                  <c:v>49.094078964194999</c:v>
                </c:pt>
                <c:pt idx="27">
                  <c:v>46.042083184708602</c:v>
                </c:pt>
                <c:pt idx="28">
                  <c:v>43.5325705016093</c:v>
                </c:pt>
                <c:pt idx="29">
                  <c:v>45.725739190275398</c:v>
                </c:pt>
                <c:pt idx="30">
                  <c:v>48.945587997180702</c:v>
                </c:pt>
                <c:pt idx="31">
                  <c:v>49.509797727592499</c:v>
                </c:pt>
                <c:pt idx="32">
                  <c:v>49.455641174734303</c:v>
                </c:pt>
                <c:pt idx="33">
                  <c:v>50.106254598922497</c:v>
                </c:pt>
                <c:pt idx="34">
                  <c:v>50.086713047504702</c:v>
                </c:pt>
                <c:pt idx="35">
                  <c:v>51.002596768294602</c:v>
                </c:pt>
                <c:pt idx="36">
                  <c:v>50.671495241345099</c:v>
                </c:pt>
                <c:pt idx="37">
                  <c:v>49.869896137447597</c:v>
                </c:pt>
                <c:pt idx="38">
                  <c:v>50.5198311284963</c:v>
                </c:pt>
                <c:pt idx="39">
                  <c:v>50.636383075885398</c:v>
                </c:pt>
                <c:pt idx="40">
                  <c:v>50.932956402127097</c:v>
                </c:pt>
                <c:pt idx="41">
                  <c:v>51.374034986380103</c:v>
                </c:pt>
                <c:pt idx="42">
                  <c:v>51.484845926927697</c:v>
                </c:pt>
                <c:pt idx="43">
                  <c:v>51.179830689393903</c:v>
                </c:pt>
                <c:pt idx="44">
                  <c:v>51.2031264153797</c:v>
                </c:pt>
                <c:pt idx="45">
                  <c:v>50.228801485633703</c:v>
                </c:pt>
                <c:pt idx="46">
                  <c:v>50.7897978823732</c:v>
                </c:pt>
                <c:pt idx="47">
                  <c:v>50.781964051302403</c:v>
                </c:pt>
                <c:pt idx="48">
                  <c:v>50.155336585626799</c:v>
                </c:pt>
                <c:pt idx="49">
                  <c:v>51.805072433277402</c:v>
                </c:pt>
                <c:pt idx="50">
                  <c:v>50.958593940013202</c:v>
                </c:pt>
                <c:pt idx="51">
                  <c:v>51.089443683592599</c:v>
                </c:pt>
                <c:pt idx="52">
                  <c:v>51.099033114371402</c:v>
                </c:pt>
                <c:pt idx="53">
                  <c:v>50.581091612397103</c:v>
                </c:pt>
                <c:pt idx="54">
                  <c:v>51.467877202222098</c:v>
                </c:pt>
                <c:pt idx="55">
                  <c:v>51.492441952007098</c:v>
                </c:pt>
                <c:pt idx="56">
                  <c:v>51.371931159133197</c:v>
                </c:pt>
                <c:pt idx="57">
                  <c:v>51.382056671632903</c:v>
                </c:pt>
                <c:pt idx="58">
                  <c:v>51.464893002203503</c:v>
                </c:pt>
                <c:pt idx="59">
                  <c:v>51.226416454036197</c:v>
                </c:pt>
              </c:numCache>
            </c:numRef>
          </c:val>
          <c:smooth val="0"/>
          <c:extLst>
            <c:ext xmlns:c16="http://schemas.microsoft.com/office/drawing/2014/chart" uri="{C3380CC4-5D6E-409C-BE32-E72D297353CC}">
              <c16:uniqueId val="{00000000-9D3B-4343-8BA5-2DF8AFCE7085}"/>
            </c:ext>
          </c:extLst>
        </c:ser>
        <c:ser>
          <c:idx val="1"/>
          <c:order val="1"/>
          <c:tx>
            <c:strRef>
              <c:f>'[IPM_Gráficas Desest y Tendencia-Ciclo.xlsx]Datos'!$J$4</c:f>
              <c:strCache>
                <c:ptCount val="1"/>
                <c:pt idx="0">
                  <c:v>Serie de Tendencia-Ciclo</c:v>
                </c:pt>
              </c:strCache>
            </c:strRef>
          </c:tx>
          <c:spPr>
            <a:ln w="12700">
              <a:solidFill>
                <a:schemeClr val="tx1"/>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Tendencia-Ciclo.xlsx]Datos'!$J$173:$J$232</c:f>
              <c:numCache>
                <c:formatCode>0.0_)</c:formatCode>
                <c:ptCount val="60"/>
                <c:pt idx="0">
                  <c:v>51.241860855661102</c:v>
                </c:pt>
                <c:pt idx="1">
                  <c:v>51.401084694608201</c:v>
                </c:pt>
                <c:pt idx="2">
                  <c:v>51.501679778374204</c:v>
                </c:pt>
                <c:pt idx="3">
                  <c:v>51.510828822035698</c:v>
                </c:pt>
                <c:pt idx="4">
                  <c:v>51.440873126018701</c:v>
                </c:pt>
                <c:pt idx="5">
                  <c:v>51.339208359649099</c:v>
                </c:pt>
                <c:pt idx="6">
                  <c:v>51.238774701064997</c:v>
                </c:pt>
                <c:pt idx="7">
                  <c:v>51.161625862009203</c:v>
                </c:pt>
                <c:pt idx="8">
                  <c:v>51.090796837490203</c:v>
                </c:pt>
                <c:pt idx="9">
                  <c:v>51.003773963970502</c:v>
                </c:pt>
                <c:pt idx="10">
                  <c:v>50.9039700429704</c:v>
                </c:pt>
                <c:pt idx="11">
                  <c:v>50.803910506879902</c:v>
                </c:pt>
                <c:pt idx="12">
                  <c:v>50.7176059374167</c:v>
                </c:pt>
                <c:pt idx="13">
                  <c:v>50.654451719072803</c:v>
                </c:pt>
                <c:pt idx="14">
                  <c:v>50.605180497436997</c:v>
                </c:pt>
                <c:pt idx="15">
                  <c:v>50.541747691564098</c:v>
                </c:pt>
                <c:pt idx="16">
                  <c:v>50.439817724231197</c:v>
                </c:pt>
                <c:pt idx="17">
                  <c:v>50.3113652319457</c:v>
                </c:pt>
                <c:pt idx="18">
                  <c:v>50.171676582358003</c:v>
                </c:pt>
                <c:pt idx="19">
                  <c:v>50.047865380684897</c:v>
                </c:pt>
                <c:pt idx="20">
                  <c:v>49.964236497728301</c:v>
                </c:pt>
                <c:pt idx="21">
                  <c:v>49.912961938116503</c:v>
                </c:pt>
                <c:pt idx="22">
                  <c:v>49.8574754603382</c:v>
                </c:pt>
                <c:pt idx="23">
                  <c:v>49.775744169222897</c:v>
                </c:pt>
                <c:pt idx="24">
                  <c:v>49.6492577125669</c:v>
                </c:pt>
                <c:pt idx="25">
                  <c:v>49.470666220629802</c:v>
                </c:pt>
                <c:pt idx="26">
                  <c:v>49.276732273755201</c:v>
                </c:pt>
                <c:pt idx="27">
                  <c:v>49.104486651313003</c:v>
                </c:pt>
                <c:pt idx="28">
                  <c:v>49.001870317783002</c:v>
                </c:pt>
                <c:pt idx="29">
                  <c:v>48.996800748075003</c:v>
                </c:pt>
                <c:pt idx="30">
                  <c:v>49.104658951296699</c:v>
                </c:pt>
                <c:pt idx="31">
                  <c:v>49.321341705366997</c:v>
                </c:pt>
                <c:pt idx="32">
                  <c:v>49.608642065471102</c:v>
                </c:pt>
                <c:pt idx="33">
                  <c:v>49.914248021889698</c:v>
                </c:pt>
                <c:pt idx="34">
                  <c:v>50.184721487584497</c:v>
                </c:pt>
                <c:pt idx="35">
                  <c:v>50.373460396369602</c:v>
                </c:pt>
                <c:pt idx="36">
                  <c:v>50.491041070889999</c:v>
                </c:pt>
                <c:pt idx="37">
                  <c:v>50.585392378447402</c:v>
                </c:pt>
                <c:pt idx="38">
                  <c:v>50.695217798829802</c:v>
                </c:pt>
                <c:pt idx="39">
                  <c:v>50.839390663814001</c:v>
                </c:pt>
                <c:pt idx="40">
                  <c:v>51.011621802325998</c:v>
                </c:pt>
                <c:pt idx="41">
                  <c:v>51.163776774412597</c:v>
                </c:pt>
                <c:pt idx="42">
                  <c:v>51.250931612176799</c:v>
                </c:pt>
                <c:pt idx="43">
                  <c:v>51.238231377492397</c:v>
                </c:pt>
                <c:pt idx="44">
                  <c:v>51.135727911044903</c:v>
                </c:pt>
                <c:pt idx="45">
                  <c:v>50.993889177206</c:v>
                </c:pt>
                <c:pt idx="46">
                  <c:v>50.875297289473401</c:v>
                </c:pt>
                <c:pt idx="47">
                  <c:v>50.818683493630203</c:v>
                </c:pt>
                <c:pt idx="48">
                  <c:v>50.824883951348603</c:v>
                </c:pt>
                <c:pt idx="49">
                  <c:v>50.875810056169797</c:v>
                </c:pt>
                <c:pt idx="50">
                  <c:v>50.959687269226201</c:v>
                </c:pt>
                <c:pt idx="51">
                  <c:v>51.065704167270098</c:v>
                </c:pt>
                <c:pt idx="52">
                  <c:v>51.173557579298397</c:v>
                </c:pt>
                <c:pt idx="53">
                  <c:v>51.277340379599103</c:v>
                </c:pt>
                <c:pt idx="54">
                  <c:v>51.367690475311697</c:v>
                </c:pt>
                <c:pt idx="55">
                  <c:v>51.4250234945264</c:v>
                </c:pt>
                <c:pt idx="56">
                  <c:v>51.431089744683497</c:v>
                </c:pt>
                <c:pt idx="57">
                  <c:v>51.386801848107901</c:v>
                </c:pt>
                <c:pt idx="58">
                  <c:v>51.316341573546502</c:v>
                </c:pt>
                <c:pt idx="59">
                  <c:v>51.255707878598898</c:v>
                </c:pt>
              </c:numCache>
            </c:numRef>
          </c:val>
          <c:smooth val="0"/>
          <c:extLst>
            <c:ext xmlns:c16="http://schemas.microsoft.com/office/drawing/2014/chart" uri="{C3380CC4-5D6E-409C-BE32-E72D297353CC}">
              <c16:uniqueId val="{00000001-9D3B-4343-8BA5-2DF8AFCE7085}"/>
            </c:ext>
          </c:extLst>
        </c:ser>
        <c:dLbls>
          <c:showLegendKey val="0"/>
          <c:showVal val="0"/>
          <c:showCatName val="0"/>
          <c:showSerName val="0"/>
          <c:showPercent val="0"/>
          <c:showBubbleSize val="0"/>
        </c:dLbls>
        <c:smooth val="0"/>
        <c:axId val="648632216"/>
        <c:axId val="649792664"/>
      </c:lineChart>
      <c:catAx>
        <c:axId val="648632216"/>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540"/>
            </a:pPr>
            <a:endParaRPr lang="es-MX"/>
          </a:p>
        </c:txPr>
        <c:crossAx val="649792664"/>
        <c:crossesAt val="50"/>
        <c:auto val="1"/>
        <c:lblAlgn val="ctr"/>
        <c:lblOffset val="100"/>
        <c:tickLblSkip val="1"/>
        <c:tickMarkSkip val="12"/>
        <c:noMultiLvlLbl val="1"/>
      </c:catAx>
      <c:valAx>
        <c:axId val="649792664"/>
        <c:scaling>
          <c:orientation val="minMax"/>
          <c:max val="54"/>
          <c:min val="42"/>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50"/>
            </a:pPr>
            <a:endParaRPr lang="es-MX"/>
          </a:p>
        </c:txPr>
        <c:crossAx val="648632216"/>
        <c:crosses val="autoZero"/>
        <c:crossBetween val="between"/>
        <c:majorUnit val="4"/>
      </c:valAx>
      <c:spPr>
        <a:noFill/>
      </c:spPr>
    </c:plotArea>
    <c:legend>
      <c:legendPos val="r"/>
      <c:layout>
        <c:manualLayout>
          <c:xMode val="edge"/>
          <c:yMode val="edge"/>
          <c:x val="2.1861525704809287E-2"/>
          <c:y val="0.95166131543101762"/>
          <c:w val="0.94911738726173756"/>
          <c:h val="4.3153982016698803E-2"/>
        </c:manualLayout>
      </c:layout>
      <c:overlay val="0"/>
      <c:spPr>
        <a:noFill/>
        <a:ln>
          <a:noFill/>
        </a:ln>
      </c:spPr>
      <c:txPr>
        <a:bodyPr/>
        <a:lstStyle/>
        <a:p>
          <a:pPr>
            <a:defRPr sz="650"/>
          </a:pPr>
          <a:endParaRPr lang="es-MX"/>
        </a:p>
      </c:txPr>
    </c:legend>
    <c:plotVisOnly val="1"/>
    <c:dispBlanksAs val="gap"/>
    <c:showDLblsOverMax val="0"/>
  </c:chart>
  <c:spPr>
    <a:noFill/>
    <a:ln>
      <a:noFill/>
    </a:ln>
  </c:spPr>
  <c:txPr>
    <a:bodyPr/>
    <a:lstStyle/>
    <a:p>
      <a:pPr>
        <a:defRPr sz="1200">
          <a:latin typeface="Arial" pitchFamily="34" charset="0"/>
          <a:cs typeface="Arial" pitchFamily="34" charset="0"/>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9331250000000002E-2"/>
          <c:y val="5.7915897144480748E-2"/>
          <c:w val="0.89460145554468407"/>
          <c:h val="0.80396884027087179"/>
        </c:manualLayout>
      </c:layout>
      <c:lineChart>
        <c:grouping val="standard"/>
        <c:varyColors val="0"/>
        <c:ser>
          <c:idx val="0"/>
          <c:order val="0"/>
          <c:tx>
            <c:strRef>
              <c:f>'[IPM_Gráficas Desest y Tendencia-Ciclo.xlsx]Datos'!$K$4</c:f>
              <c:strCache>
                <c:ptCount val="1"/>
                <c:pt idx="0">
                  <c:v>Serie Desestacionalizada</c:v>
                </c:pt>
              </c:strCache>
            </c:strRef>
          </c:tx>
          <c:spPr>
            <a:ln w="12700">
              <a:solidFill>
                <a:srgbClr val="034DF3"/>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Tendencia-Ciclo.xlsx]Datos'!$K$173:$K$232</c:f>
              <c:numCache>
                <c:formatCode>0.0_)</c:formatCode>
                <c:ptCount val="60"/>
                <c:pt idx="0">
                  <c:v>48.389372358265</c:v>
                </c:pt>
                <c:pt idx="1">
                  <c:v>47.779501975534103</c:v>
                </c:pt>
                <c:pt idx="2">
                  <c:v>48.3744048561041</c:v>
                </c:pt>
                <c:pt idx="3">
                  <c:v>47.7874300549406</c:v>
                </c:pt>
                <c:pt idx="4">
                  <c:v>47.989682435557803</c:v>
                </c:pt>
                <c:pt idx="5">
                  <c:v>47.524462201083701</c:v>
                </c:pt>
                <c:pt idx="6">
                  <c:v>47.540465342046403</c:v>
                </c:pt>
                <c:pt idx="7">
                  <c:v>47.4389706788361</c:v>
                </c:pt>
                <c:pt idx="8">
                  <c:v>47.877193040428601</c:v>
                </c:pt>
                <c:pt idx="9">
                  <c:v>46.981346102996604</c:v>
                </c:pt>
                <c:pt idx="10">
                  <c:v>47.831633850559697</c:v>
                </c:pt>
                <c:pt idx="11">
                  <c:v>47.639736168091197</c:v>
                </c:pt>
                <c:pt idx="12">
                  <c:v>48.098990892713701</c:v>
                </c:pt>
                <c:pt idx="13">
                  <c:v>48.810934984808398</c:v>
                </c:pt>
                <c:pt idx="14">
                  <c:v>47.466339390232498</c:v>
                </c:pt>
                <c:pt idx="15">
                  <c:v>48.177301399573203</c:v>
                </c:pt>
                <c:pt idx="16">
                  <c:v>45.511104328172401</c:v>
                </c:pt>
                <c:pt idx="17">
                  <c:v>48.913648704363297</c:v>
                </c:pt>
                <c:pt idx="18">
                  <c:v>47.6431279252404</c:v>
                </c:pt>
                <c:pt idx="19">
                  <c:v>47.6872641225142</c:v>
                </c:pt>
                <c:pt idx="20">
                  <c:v>47.330093345899698</c:v>
                </c:pt>
                <c:pt idx="21">
                  <c:v>47.671764974261897</c:v>
                </c:pt>
                <c:pt idx="22">
                  <c:v>48.046382878523801</c:v>
                </c:pt>
                <c:pt idx="23">
                  <c:v>47.193401106382197</c:v>
                </c:pt>
                <c:pt idx="24">
                  <c:v>47.772174735421501</c:v>
                </c:pt>
                <c:pt idx="25">
                  <c:v>48.216612686533203</c:v>
                </c:pt>
                <c:pt idx="26">
                  <c:v>49.104113289031602</c:v>
                </c:pt>
                <c:pt idx="27">
                  <c:v>52.042443975447</c:v>
                </c:pt>
                <c:pt idx="28">
                  <c:v>50.115109191067702</c:v>
                </c:pt>
                <c:pt idx="29">
                  <c:v>48.298294846925501</c:v>
                </c:pt>
                <c:pt idx="30">
                  <c:v>49.675246953913998</c:v>
                </c:pt>
                <c:pt idx="31">
                  <c:v>48.473240146386303</c:v>
                </c:pt>
                <c:pt idx="32">
                  <c:v>48.568493186276399</c:v>
                </c:pt>
                <c:pt idx="33">
                  <c:v>48.2426911782131</c:v>
                </c:pt>
                <c:pt idx="34">
                  <c:v>47.422306461087103</c:v>
                </c:pt>
                <c:pt idx="35">
                  <c:v>48.7719994956676</c:v>
                </c:pt>
                <c:pt idx="36">
                  <c:v>47.663738700712102</c:v>
                </c:pt>
                <c:pt idx="37">
                  <c:v>48.3777742916417</c:v>
                </c:pt>
                <c:pt idx="38">
                  <c:v>47.533819092489999</c:v>
                </c:pt>
                <c:pt idx="39">
                  <c:v>48.301433973581503</c:v>
                </c:pt>
                <c:pt idx="40">
                  <c:v>47.933834563319699</c:v>
                </c:pt>
                <c:pt idx="41">
                  <c:v>48.7651743250956</c:v>
                </c:pt>
                <c:pt idx="42">
                  <c:v>48.556338207069501</c:v>
                </c:pt>
                <c:pt idx="43">
                  <c:v>49.346312503653401</c:v>
                </c:pt>
                <c:pt idx="44">
                  <c:v>51.605884884523498</c:v>
                </c:pt>
                <c:pt idx="45">
                  <c:v>52.4501881352314</c:v>
                </c:pt>
                <c:pt idx="46">
                  <c:v>50.825808016653497</c:v>
                </c:pt>
                <c:pt idx="47">
                  <c:v>48.435373378510498</c:v>
                </c:pt>
                <c:pt idx="48">
                  <c:v>50.254592045712002</c:v>
                </c:pt>
                <c:pt idx="49">
                  <c:v>49.288706885937899</c:v>
                </c:pt>
                <c:pt idx="50">
                  <c:v>50.629687138613399</c:v>
                </c:pt>
                <c:pt idx="51">
                  <c:v>49.296251324009901</c:v>
                </c:pt>
                <c:pt idx="52">
                  <c:v>49.224113583361799</c:v>
                </c:pt>
                <c:pt idx="53">
                  <c:v>49.650632234227103</c:v>
                </c:pt>
                <c:pt idx="54">
                  <c:v>50.023767408883401</c:v>
                </c:pt>
                <c:pt idx="55">
                  <c:v>50.121156286485501</c:v>
                </c:pt>
                <c:pt idx="56">
                  <c:v>48.292447745045898</c:v>
                </c:pt>
                <c:pt idx="57">
                  <c:v>48.989223894038098</c:v>
                </c:pt>
                <c:pt idx="58">
                  <c:v>49.311036663111899</c:v>
                </c:pt>
                <c:pt idx="59">
                  <c:v>49.551254679890803</c:v>
                </c:pt>
              </c:numCache>
            </c:numRef>
          </c:val>
          <c:smooth val="0"/>
          <c:extLst>
            <c:ext xmlns:c16="http://schemas.microsoft.com/office/drawing/2014/chart" uri="{C3380CC4-5D6E-409C-BE32-E72D297353CC}">
              <c16:uniqueId val="{00000000-1FA7-4156-B92D-E11C473081C1}"/>
            </c:ext>
          </c:extLst>
        </c:ser>
        <c:ser>
          <c:idx val="1"/>
          <c:order val="1"/>
          <c:tx>
            <c:strRef>
              <c:f>'[IPM_Gráficas Desest y Tendencia-Ciclo.xlsx]Datos'!$L$4</c:f>
              <c:strCache>
                <c:ptCount val="1"/>
                <c:pt idx="0">
                  <c:v>Serie de Tendencia-Ciclo</c:v>
                </c:pt>
              </c:strCache>
            </c:strRef>
          </c:tx>
          <c:spPr>
            <a:ln w="12700">
              <a:solidFill>
                <a:schemeClr val="tx1"/>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Tendencia-Ciclo.xlsx]Datos'!$L$173:$L$232</c:f>
              <c:numCache>
                <c:formatCode>0.0_)</c:formatCode>
                <c:ptCount val="60"/>
                <c:pt idx="0">
                  <c:v>48.165296590790803</c:v>
                </c:pt>
                <c:pt idx="1">
                  <c:v>48.1638440957475</c:v>
                </c:pt>
                <c:pt idx="2">
                  <c:v>48.078832203306497</c:v>
                </c:pt>
                <c:pt idx="3">
                  <c:v>47.954104487707603</c:v>
                </c:pt>
                <c:pt idx="4">
                  <c:v>47.812714731644597</c:v>
                </c:pt>
                <c:pt idx="5">
                  <c:v>47.680117349238401</c:v>
                </c:pt>
                <c:pt idx="6">
                  <c:v>47.573991646573901</c:v>
                </c:pt>
                <c:pt idx="7">
                  <c:v>47.491910821342699</c:v>
                </c:pt>
                <c:pt idx="8">
                  <c:v>47.482462048114598</c:v>
                </c:pt>
                <c:pt idx="9">
                  <c:v>47.5495242713762</c:v>
                </c:pt>
                <c:pt idx="10">
                  <c:v>47.665225364692098</c:v>
                </c:pt>
                <c:pt idx="11">
                  <c:v>47.803275977107397</c:v>
                </c:pt>
                <c:pt idx="12">
                  <c:v>47.915683904559501</c:v>
                </c:pt>
                <c:pt idx="13">
                  <c:v>47.973464572911901</c:v>
                </c:pt>
                <c:pt idx="14">
                  <c:v>47.965985086121798</c:v>
                </c:pt>
                <c:pt idx="15">
                  <c:v>47.894273607224903</c:v>
                </c:pt>
                <c:pt idx="16">
                  <c:v>47.775683005529501</c:v>
                </c:pt>
                <c:pt idx="17">
                  <c:v>47.684261871333597</c:v>
                </c:pt>
                <c:pt idx="18">
                  <c:v>47.625461311467902</c:v>
                </c:pt>
                <c:pt idx="19">
                  <c:v>47.593630363340601</c:v>
                </c:pt>
                <c:pt idx="20">
                  <c:v>47.5577161263938</c:v>
                </c:pt>
                <c:pt idx="21">
                  <c:v>47.539516145444097</c:v>
                </c:pt>
                <c:pt idx="22">
                  <c:v>47.578201091504397</c:v>
                </c:pt>
                <c:pt idx="23">
                  <c:v>47.723404568337301</c:v>
                </c:pt>
                <c:pt idx="24">
                  <c:v>47.9934162359135</c:v>
                </c:pt>
                <c:pt idx="25">
                  <c:v>48.377062992807701</c:v>
                </c:pt>
                <c:pt idx="26">
                  <c:v>48.798705904486503</c:v>
                </c:pt>
                <c:pt idx="27">
                  <c:v>49.156957637348</c:v>
                </c:pt>
                <c:pt idx="28">
                  <c:v>49.373928895803502</c:v>
                </c:pt>
                <c:pt idx="29">
                  <c:v>49.361329196333699</c:v>
                </c:pt>
                <c:pt idx="30">
                  <c:v>49.146733142409303</c:v>
                </c:pt>
                <c:pt idx="31">
                  <c:v>48.821227758562799</c:v>
                </c:pt>
                <c:pt idx="32">
                  <c:v>48.491622309157599</c:v>
                </c:pt>
                <c:pt idx="33">
                  <c:v>48.220960373343402</c:v>
                </c:pt>
                <c:pt idx="34">
                  <c:v>48.043275244261899</c:v>
                </c:pt>
                <c:pt idx="35">
                  <c:v>47.949259010879999</c:v>
                </c:pt>
                <c:pt idx="36">
                  <c:v>47.914909900575097</c:v>
                </c:pt>
                <c:pt idx="37">
                  <c:v>47.930387797039202</c:v>
                </c:pt>
                <c:pt idx="38">
                  <c:v>47.954365492252201</c:v>
                </c:pt>
                <c:pt idx="39">
                  <c:v>48.031774372921802</c:v>
                </c:pt>
                <c:pt idx="40">
                  <c:v>48.208028525048697</c:v>
                </c:pt>
                <c:pt idx="41">
                  <c:v>48.540035419360599</c:v>
                </c:pt>
                <c:pt idx="42">
                  <c:v>49.023836771864602</c:v>
                </c:pt>
                <c:pt idx="43">
                  <c:v>49.5785627609974</c:v>
                </c:pt>
                <c:pt idx="44">
                  <c:v>50.078753014241201</c:v>
                </c:pt>
                <c:pt idx="45">
                  <c:v>50.414788812734997</c:v>
                </c:pt>
                <c:pt idx="46">
                  <c:v>50.5468602881827</c:v>
                </c:pt>
                <c:pt idx="47">
                  <c:v>50.455831064748899</c:v>
                </c:pt>
                <c:pt idx="48">
                  <c:v>50.205270610788297</c:v>
                </c:pt>
                <c:pt idx="49">
                  <c:v>49.896873410587901</c:v>
                </c:pt>
                <c:pt idx="50">
                  <c:v>49.679630897070197</c:v>
                </c:pt>
                <c:pt idx="51">
                  <c:v>49.600322169736103</c:v>
                </c:pt>
                <c:pt idx="52">
                  <c:v>49.609648626920396</c:v>
                </c:pt>
                <c:pt idx="53">
                  <c:v>49.635352436591603</c:v>
                </c:pt>
                <c:pt idx="54">
                  <c:v>49.623218809807497</c:v>
                </c:pt>
                <c:pt idx="55">
                  <c:v>49.562733529309497</c:v>
                </c:pt>
                <c:pt idx="56">
                  <c:v>49.470326422108499</c:v>
                </c:pt>
                <c:pt idx="57">
                  <c:v>49.375994124741801</c:v>
                </c:pt>
                <c:pt idx="58">
                  <c:v>49.291406295028303</c:v>
                </c:pt>
                <c:pt idx="59">
                  <c:v>49.249589377770697</c:v>
                </c:pt>
              </c:numCache>
            </c:numRef>
          </c:val>
          <c:smooth val="0"/>
          <c:extLst>
            <c:ext xmlns:c16="http://schemas.microsoft.com/office/drawing/2014/chart" uri="{C3380CC4-5D6E-409C-BE32-E72D297353CC}">
              <c16:uniqueId val="{00000001-1FA7-4156-B92D-E11C473081C1}"/>
            </c:ext>
          </c:extLst>
        </c:ser>
        <c:dLbls>
          <c:showLegendKey val="0"/>
          <c:showVal val="0"/>
          <c:showCatName val="0"/>
          <c:showSerName val="0"/>
          <c:showPercent val="0"/>
          <c:showBubbleSize val="0"/>
        </c:dLbls>
        <c:smooth val="0"/>
        <c:axId val="649792272"/>
        <c:axId val="649789920"/>
      </c:lineChart>
      <c:catAx>
        <c:axId val="649792272"/>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540"/>
            </a:pPr>
            <a:endParaRPr lang="es-MX"/>
          </a:p>
        </c:txPr>
        <c:crossAx val="649789920"/>
        <c:crossesAt val="50"/>
        <c:auto val="1"/>
        <c:lblAlgn val="ctr"/>
        <c:lblOffset val="100"/>
        <c:tickLblSkip val="1"/>
        <c:tickMarkSkip val="12"/>
        <c:noMultiLvlLbl val="1"/>
      </c:catAx>
      <c:valAx>
        <c:axId val="649789920"/>
        <c:scaling>
          <c:orientation val="minMax"/>
          <c:max val="54"/>
          <c:min val="44"/>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50"/>
            </a:pPr>
            <a:endParaRPr lang="es-MX"/>
          </a:p>
        </c:txPr>
        <c:crossAx val="649792272"/>
        <c:crosses val="autoZero"/>
        <c:crossBetween val="between"/>
        <c:majorUnit val="2"/>
      </c:valAx>
      <c:spPr>
        <a:noFill/>
      </c:spPr>
    </c:plotArea>
    <c:legend>
      <c:legendPos val="r"/>
      <c:layout>
        <c:manualLayout>
          <c:xMode val="edge"/>
          <c:yMode val="edge"/>
          <c:x val="3.329219288174512E-2"/>
          <c:y val="0.95487011091652085"/>
          <c:w val="0.93583286843328684"/>
          <c:h val="3.4997270391779092E-2"/>
        </c:manualLayout>
      </c:layout>
      <c:overlay val="0"/>
      <c:spPr>
        <a:noFill/>
        <a:ln>
          <a:noFill/>
        </a:ln>
      </c:spPr>
      <c:txPr>
        <a:bodyPr/>
        <a:lstStyle/>
        <a:p>
          <a:pPr>
            <a:defRPr sz="650"/>
          </a:pPr>
          <a:endParaRPr lang="es-MX"/>
        </a:p>
      </c:txPr>
    </c:legend>
    <c:plotVisOnly val="1"/>
    <c:dispBlanksAs val="gap"/>
    <c:showDLblsOverMax val="0"/>
  </c:chart>
  <c:spPr>
    <a:noFill/>
    <a:ln>
      <a:noFill/>
    </a:ln>
  </c:spPr>
  <c:txPr>
    <a:bodyPr/>
    <a:lstStyle/>
    <a:p>
      <a:pPr>
        <a:defRPr sz="1200">
          <a:latin typeface="Arial" pitchFamily="34" charset="0"/>
          <a:cs typeface="Arial" pitchFamily="34" charset="0"/>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146064814814806E-2"/>
          <c:y val="6.4331559542706071E-2"/>
          <c:w val="0.89460145554468407"/>
          <c:h val="0.79076053159394777"/>
        </c:manualLayout>
      </c:layout>
      <c:lineChart>
        <c:grouping val="standard"/>
        <c:varyColors val="0"/>
        <c:ser>
          <c:idx val="0"/>
          <c:order val="0"/>
          <c:tx>
            <c:strRef>
              <c:f>'[IPM_Gráficas Desest y Tendencia-Ciclo.xlsx]Datos'!$M$4</c:f>
              <c:strCache>
                <c:ptCount val="1"/>
                <c:pt idx="0">
                  <c:v>Serie Desestacionalizada</c:v>
                </c:pt>
              </c:strCache>
            </c:strRef>
          </c:tx>
          <c:spPr>
            <a:ln w="12700">
              <a:solidFill>
                <a:srgbClr val="034DF3"/>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Tendencia-Ciclo.xlsx]Datos'!$M$173:$M$232</c:f>
              <c:numCache>
                <c:formatCode>0.0_)</c:formatCode>
                <c:ptCount val="60"/>
                <c:pt idx="0">
                  <c:v>51.009545762635597</c:v>
                </c:pt>
                <c:pt idx="1">
                  <c:v>51.869372308905596</c:v>
                </c:pt>
                <c:pt idx="2">
                  <c:v>50.557458695282897</c:v>
                </c:pt>
                <c:pt idx="3">
                  <c:v>51.4976020118553</c:v>
                </c:pt>
                <c:pt idx="4">
                  <c:v>51.966907301390201</c:v>
                </c:pt>
                <c:pt idx="5">
                  <c:v>49.539303377154901</c:v>
                </c:pt>
                <c:pt idx="6">
                  <c:v>51.856214349757401</c:v>
                </c:pt>
                <c:pt idx="7">
                  <c:v>53.174645685892401</c:v>
                </c:pt>
                <c:pt idx="8">
                  <c:v>50.639620020824601</c:v>
                </c:pt>
                <c:pt idx="9">
                  <c:v>51.374942079980897</c:v>
                </c:pt>
                <c:pt idx="10">
                  <c:v>50.963216168481097</c:v>
                </c:pt>
                <c:pt idx="11">
                  <c:v>51.983738384050802</c:v>
                </c:pt>
                <c:pt idx="12">
                  <c:v>51.955226119775602</c:v>
                </c:pt>
                <c:pt idx="13">
                  <c:v>53.279275194761901</c:v>
                </c:pt>
                <c:pt idx="14">
                  <c:v>53.458796942774498</c:v>
                </c:pt>
                <c:pt idx="15">
                  <c:v>53.6300466022942</c:v>
                </c:pt>
                <c:pt idx="16">
                  <c:v>50.609106104396801</c:v>
                </c:pt>
                <c:pt idx="17">
                  <c:v>52.105860025260803</c:v>
                </c:pt>
                <c:pt idx="18">
                  <c:v>51.8684905882387</c:v>
                </c:pt>
                <c:pt idx="19">
                  <c:v>51.189100241758197</c:v>
                </c:pt>
                <c:pt idx="20">
                  <c:v>51.9050617072824</c:v>
                </c:pt>
                <c:pt idx="21">
                  <c:v>48.933780196410602</c:v>
                </c:pt>
                <c:pt idx="22">
                  <c:v>51.648160534795601</c:v>
                </c:pt>
                <c:pt idx="23">
                  <c:v>50.928034604920697</c:v>
                </c:pt>
                <c:pt idx="24">
                  <c:v>49.407138187374301</c:v>
                </c:pt>
                <c:pt idx="25">
                  <c:v>48.5156111596608</c:v>
                </c:pt>
                <c:pt idx="26">
                  <c:v>48.173414075767901</c:v>
                </c:pt>
                <c:pt idx="27">
                  <c:v>45.383700768453103</c:v>
                </c:pt>
                <c:pt idx="28">
                  <c:v>45.926382539958396</c:v>
                </c:pt>
                <c:pt idx="29">
                  <c:v>49.8744823047967</c:v>
                </c:pt>
                <c:pt idx="30">
                  <c:v>50.453130068875701</c:v>
                </c:pt>
                <c:pt idx="31">
                  <c:v>51.128276079039701</c:v>
                </c:pt>
                <c:pt idx="32">
                  <c:v>50.883558231205001</c:v>
                </c:pt>
                <c:pt idx="33">
                  <c:v>51.345041116928101</c:v>
                </c:pt>
                <c:pt idx="34">
                  <c:v>51.546027970045301</c:v>
                </c:pt>
                <c:pt idx="35">
                  <c:v>52.356546065682402</c:v>
                </c:pt>
                <c:pt idx="36">
                  <c:v>53.451675339604797</c:v>
                </c:pt>
                <c:pt idx="37">
                  <c:v>50.972228316573599</c:v>
                </c:pt>
                <c:pt idx="38">
                  <c:v>52.6342695282557</c:v>
                </c:pt>
                <c:pt idx="39">
                  <c:v>52.8354131545317</c:v>
                </c:pt>
                <c:pt idx="40">
                  <c:v>52.312263536051297</c:v>
                </c:pt>
                <c:pt idx="41">
                  <c:v>53.732337634021299</c:v>
                </c:pt>
                <c:pt idx="42">
                  <c:v>53.1183752723692</c:v>
                </c:pt>
                <c:pt idx="43">
                  <c:v>53.627213821735602</c:v>
                </c:pt>
                <c:pt idx="44">
                  <c:v>54.887471581671697</c:v>
                </c:pt>
                <c:pt idx="45">
                  <c:v>53.3129517075199</c:v>
                </c:pt>
                <c:pt idx="46">
                  <c:v>55.5401864095642</c:v>
                </c:pt>
                <c:pt idx="47">
                  <c:v>50.864105659586698</c:v>
                </c:pt>
                <c:pt idx="48">
                  <c:v>51.458600772699697</c:v>
                </c:pt>
                <c:pt idx="49">
                  <c:v>50.233917312357597</c:v>
                </c:pt>
                <c:pt idx="50">
                  <c:v>55.614679635561799</c:v>
                </c:pt>
                <c:pt idx="51">
                  <c:v>52.969380182011101</c:v>
                </c:pt>
                <c:pt idx="52">
                  <c:v>53.4434042507608</c:v>
                </c:pt>
                <c:pt idx="53">
                  <c:v>52.964404462205501</c:v>
                </c:pt>
                <c:pt idx="54">
                  <c:v>52.836360165479697</c:v>
                </c:pt>
                <c:pt idx="55">
                  <c:v>52.251769400930002</c:v>
                </c:pt>
                <c:pt idx="56">
                  <c:v>52.116897412285198</c:v>
                </c:pt>
                <c:pt idx="57">
                  <c:v>53.888379145354101</c:v>
                </c:pt>
                <c:pt idx="58">
                  <c:v>51.988071910267699</c:v>
                </c:pt>
                <c:pt idx="59">
                  <c:v>53.230944047151098</c:v>
                </c:pt>
              </c:numCache>
            </c:numRef>
          </c:val>
          <c:smooth val="0"/>
          <c:extLst>
            <c:ext xmlns:c16="http://schemas.microsoft.com/office/drawing/2014/chart" uri="{C3380CC4-5D6E-409C-BE32-E72D297353CC}">
              <c16:uniqueId val="{00000000-E928-436A-BD59-A9180A61FBF5}"/>
            </c:ext>
          </c:extLst>
        </c:ser>
        <c:ser>
          <c:idx val="1"/>
          <c:order val="1"/>
          <c:tx>
            <c:strRef>
              <c:f>'[IPM_Gráficas Desest y Tendencia-Ciclo.xlsx]Datos'!$N$4</c:f>
              <c:strCache>
                <c:ptCount val="1"/>
                <c:pt idx="0">
                  <c:v>Serie de Tendencia-Ciclo</c:v>
                </c:pt>
              </c:strCache>
            </c:strRef>
          </c:tx>
          <c:spPr>
            <a:ln w="12700">
              <a:solidFill>
                <a:schemeClr val="tx1"/>
              </a:solidFill>
            </a:ln>
          </c:spPr>
          <c:marker>
            <c:symbol val="none"/>
          </c:marker>
          <c:cat>
            <c:multiLvlStrRef>
              <c:f>'[IPM_Gráficas Desest y Tendencia-Ciclo.xlsx]Datos'!$A$173:$B$232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'[IPM_Gráficas Desest y Tendencia-Ciclo.xlsx]Datos'!$N$173:$N$232</c:f>
              <c:numCache>
                <c:formatCode>0.0_)</c:formatCode>
                <c:ptCount val="60"/>
                <c:pt idx="0">
                  <c:v>51.276240652952701</c:v>
                </c:pt>
                <c:pt idx="1">
                  <c:v>51.309906106113601</c:v>
                </c:pt>
                <c:pt idx="2">
                  <c:v>51.368280808757</c:v>
                </c:pt>
                <c:pt idx="3">
                  <c:v>51.464955121604298</c:v>
                </c:pt>
                <c:pt idx="4">
                  <c:v>51.585162004622099</c:v>
                </c:pt>
                <c:pt idx="5">
                  <c:v>51.640423692448699</c:v>
                </c:pt>
                <c:pt idx="6">
                  <c:v>51.5830454480475</c:v>
                </c:pt>
                <c:pt idx="7">
                  <c:v>51.442921253675898</c:v>
                </c:pt>
                <c:pt idx="8">
                  <c:v>51.296889013279298</c:v>
                </c:pt>
                <c:pt idx="9">
                  <c:v>51.253271106920302</c:v>
                </c:pt>
                <c:pt idx="10">
                  <c:v>51.456184678158301</c:v>
                </c:pt>
                <c:pt idx="11">
                  <c:v>51.8771278882</c:v>
                </c:pt>
                <c:pt idx="12">
                  <c:v>52.391589855351498</c:v>
                </c:pt>
                <c:pt idx="13">
                  <c:v>52.844296307634202</c:v>
                </c:pt>
                <c:pt idx="14">
                  <c:v>53.054921317481302</c:v>
                </c:pt>
                <c:pt idx="15">
                  <c:v>52.986592061930097</c:v>
                </c:pt>
                <c:pt idx="16">
                  <c:v>52.686115900178102</c:v>
                </c:pt>
                <c:pt idx="17">
                  <c:v>52.259303998422901</c:v>
                </c:pt>
                <c:pt idx="18">
                  <c:v>51.879429875205197</c:v>
                </c:pt>
                <c:pt idx="19">
                  <c:v>51.628072008482398</c:v>
                </c:pt>
                <c:pt idx="20">
                  <c:v>51.473086794554298</c:v>
                </c:pt>
                <c:pt idx="21">
                  <c:v>51.271628396079798</c:v>
                </c:pt>
                <c:pt idx="22">
                  <c:v>50.898548961203602</c:v>
                </c:pt>
                <c:pt idx="23">
                  <c:v>50.288945238033399</c:v>
                </c:pt>
                <c:pt idx="24">
                  <c:v>49.5415998474137</c:v>
                </c:pt>
                <c:pt idx="25">
                  <c:v>48.830599703661498</c:v>
                </c:pt>
                <c:pt idx="26">
                  <c:v>48.3869552400337</c:v>
                </c:pt>
                <c:pt idx="27">
                  <c:v>48.358459678719001</c:v>
                </c:pt>
                <c:pt idx="28">
                  <c:v>48.734345728709002</c:v>
                </c:pt>
                <c:pt idx="29">
                  <c:v>49.380914570795902</c:v>
                </c:pt>
                <c:pt idx="30">
                  <c:v>50.055917050930802</c:v>
                </c:pt>
                <c:pt idx="31">
                  <c:v>50.676429844972397</c:v>
                </c:pt>
                <c:pt idx="32">
                  <c:v>51.188705129370597</c:v>
                </c:pt>
                <c:pt idx="33">
                  <c:v>51.576080314622601</c:v>
                </c:pt>
                <c:pt idx="34">
                  <c:v>51.879363823947301</c:v>
                </c:pt>
                <c:pt idx="35">
                  <c:v>52.114473689575703</c:v>
                </c:pt>
                <c:pt idx="36">
                  <c:v>52.303777843018104</c:v>
                </c:pt>
                <c:pt idx="37">
                  <c:v>52.437699495176901</c:v>
                </c:pt>
                <c:pt idx="38">
                  <c:v>52.522867657358297</c:v>
                </c:pt>
                <c:pt idx="39">
                  <c:v>52.647593388649803</c:v>
                </c:pt>
                <c:pt idx="40">
                  <c:v>52.889643371941901</c:v>
                </c:pt>
                <c:pt idx="41">
                  <c:v>53.248095308806398</c:v>
                </c:pt>
                <c:pt idx="42">
                  <c:v>53.611245615761</c:v>
                </c:pt>
                <c:pt idx="43">
                  <c:v>53.787117840890801</c:v>
                </c:pt>
                <c:pt idx="44">
                  <c:v>53.664488749508799</c:v>
                </c:pt>
                <c:pt idx="45">
                  <c:v>53.305223951951902</c:v>
                </c:pt>
                <c:pt idx="46">
                  <c:v>52.804103270312403</c:v>
                </c:pt>
                <c:pt idx="47">
                  <c:v>52.362786123628197</c:v>
                </c:pt>
                <c:pt idx="48">
                  <c:v>52.155179604065999</c:v>
                </c:pt>
                <c:pt idx="49">
                  <c:v>52.229111868311797</c:v>
                </c:pt>
                <c:pt idx="50">
                  <c:v>52.526663750581598</c:v>
                </c:pt>
                <c:pt idx="51">
                  <c:v>52.826692034161397</c:v>
                </c:pt>
                <c:pt idx="52">
                  <c:v>52.982743787311001</c:v>
                </c:pt>
                <c:pt idx="53">
                  <c:v>52.9567417460961</c:v>
                </c:pt>
                <c:pt idx="54">
                  <c:v>52.791524031337701</c:v>
                </c:pt>
                <c:pt idx="55">
                  <c:v>52.6033682733785</c:v>
                </c:pt>
                <c:pt idx="56">
                  <c:v>52.525619538980003</c:v>
                </c:pt>
                <c:pt idx="57">
                  <c:v>52.6189188866351</c:v>
                </c:pt>
                <c:pt idx="58">
                  <c:v>52.861499988075799</c:v>
                </c:pt>
                <c:pt idx="59">
                  <c:v>53.214030783527903</c:v>
                </c:pt>
              </c:numCache>
            </c:numRef>
          </c:val>
          <c:smooth val="0"/>
          <c:extLst>
            <c:ext xmlns:c16="http://schemas.microsoft.com/office/drawing/2014/chart" uri="{C3380CC4-5D6E-409C-BE32-E72D297353CC}">
              <c16:uniqueId val="{00000001-E928-436A-BD59-A9180A61FBF5}"/>
            </c:ext>
          </c:extLst>
        </c:ser>
        <c:dLbls>
          <c:showLegendKey val="0"/>
          <c:showVal val="0"/>
          <c:showCatName val="0"/>
          <c:showSerName val="0"/>
          <c:showPercent val="0"/>
          <c:showBubbleSize val="0"/>
        </c:dLbls>
        <c:smooth val="0"/>
        <c:axId val="649791096"/>
        <c:axId val="649791488"/>
      </c:lineChart>
      <c:catAx>
        <c:axId val="649791096"/>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540"/>
            </a:pPr>
            <a:endParaRPr lang="es-MX"/>
          </a:p>
        </c:txPr>
        <c:crossAx val="649791488"/>
        <c:crossesAt val="50"/>
        <c:auto val="1"/>
        <c:lblAlgn val="ctr"/>
        <c:lblOffset val="100"/>
        <c:tickLblSkip val="1"/>
        <c:tickMarkSkip val="12"/>
        <c:noMultiLvlLbl val="1"/>
      </c:catAx>
      <c:valAx>
        <c:axId val="649791488"/>
        <c:scaling>
          <c:orientation val="minMax"/>
          <c:max val="56"/>
          <c:min val="44"/>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50"/>
            </a:pPr>
            <a:endParaRPr lang="es-MX"/>
          </a:p>
        </c:txPr>
        <c:crossAx val="649791096"/>
        <c:crosses val="autoZero"/>
        <c:crossBetween val="between"/>
        <c:majorUnit val="2"/>
      </c:valAx>
      <c:spPr>
        <a:noFill/>
      </c:spPr>
    </c:plotArea>
    <c:legend>
      <c:legendPos val="r"/>
      <c:layout>
        <c:manualLayout>
          <c:xMode val="edge"/>
          <c:yMode val="edge"/>
          <c:x val="2.776565888506187E-2"/>
          <c:y val="0.95348754621521681"/>
          <c:w val="0.94173709902370994"/>
          <c:h val="3.7036448298008992E-2"/>
        </c:manualLayout>
      </c:layout>
      <c:overlay val="0"/>
      <c:spPr>
        <a:noFill/>
        <a:ln>
          <a:noFill/>
        </a:ln>
      </c:spPr>
      <c:txPr>
        <a:bodyPr/>
        <a:lstStyle/>
        <a:p>
          <a:pPr>
            <a:defRPr sz="650"/>
          </a:pPr>
          <a:endParaRPr lang="es-MX"/>
        </a:p>
      </c:txPr>
    </c:legend>
    <c:plotVisOnly val="1"/>
    <c:dispBlanksAs val="gap"/>
    <c:showDLblsOverMax val="0"/>
  </c:chart>
  <c:spPr>
    <a:noFill/>
    <a:ln>
      <a:noFill/>
    </a:ln>
  </c:spPr>
  <c:txPr>
    <a:bodyPr/>
    <a:lstStyle/>
    <a:p>
      <a:pPr>
        <a:defRPr sz="1200">
          <a:latin typeface="Arial" pitchFamily="34" charset="0"/>
          <a:cs typeface="Arial" pitchFamily="34" charset="0"/>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5840079365079356E-2"/>
          <c:y val="5.0549999999999977E-2"/>
          <c:w val="0.92198299888517277"/>
          <c:h val="0.823304365079365"/>
        </c:manualLayout>
      </c:layout>
      <c:barChart>
        <c:barDir val="col"/>
        <c:grouping val="clustered"/>
        <c:varyColors val="0"/>
        <c:ser>
          <c:idx val="0"/>
          <c:order val="0"/>
          <c:tx>
            <c:strRef>
              <c:f>'[IPM_Gráfica Original.xlsx]Datos'!$D$3</c:f>
              <c:strCache>
                <c:ptCount val="1"/>
                <c:pt idx="0">
                  <c:v>Indicador de Pedidos Manufactureros (Variación anual)</c:v>
                </c:pt>
              </c:strCache>
            </c:strRef>
          </c:tx>
          <c:spPr>
            <a:solidFill>
              <a:srgbClr val="CC99FF"/>
            </a:solidFill>
            <a:ln w="6350">
              <a:solidFill>
                <a:srgbClr val="000080"/>
              </a:solidFill>
              <a:prstDash val="solid"/>
            </a:ln>
          </c:spPr>
          <c:invertIfNegative val="0"/>
          <c:dPt>
            <c:idx val="0"/>
            <c:invertIfNegative val="0"/>
            <c:bubble3D val="0"/>
            <c:extLst>
              <c:ext xmlns:c16="http://schemas.microsoft.com/office/drawing/2014/chart" uri="{C3380CC4-5D6E-409C-BE32-E72D297353CC}">
                <c16:uniqueId val="{00000000-DD9C-45D7-A828-B82B954B6E6B}"/>
              </c:ext>
            </c:extLst>
          </c:dPt>
          <c:dPt>
            <c:idx val="1"/>
            <c:invertIfNegative val="0"/>
            <c:bubble3D val="0"/>
            <c:extLst>
              <c:ext xmlns:c16="http://schemas.microsoft.com/office/drawing/2014/chart" uri="{C3380CC4-5D6E-409C-BE32-E72D297353CC}">
                <c16:uniqueId val="{00000001-DD9C-45D7-A828-B82B954B6E6B}"/>
              </c:ext>
            </c:extLst>
          </c:dPt>
          <c:dPt>
            <c:idx val="2"/>
            <c:invertIfNegative val="0"/>
            <c:bubble3D val="0"/>
            <c:extLst>
              <c:ext xmlns:c16="http://schemas.microsoft.com/office/drawing/2014/chart" uri="{C3380CC4-5D6E-409C-BE32-E72D297353CC}">
                <c16:uniqueId val="{00000002-DD9C-45D7-A828-B82B954B6E6B}"/>
              </c:ext>
            </c:extLst>
          </c:dPt>
          <c:dPt>
            <c:idx val="3"/>
            <c:invertIfNegative val="0"/>
            <c:bubble3D val="0"/>
            <c:extLst>
              <c:ext xmlns:c16="http://schemas.microsoft.com/office/drawing/2014/chart" uri="{C3380CC4-5D6E-409C-BE32-E72D297353CC}">
                <c16:uniqueId val="{00000003-DD9C-45D7-A828-B82B954B6E6B}"/>
              </c:ext>
            </c:extLst>
          </c:dPt>
          <c:dPt>
            <c:idx val="4"/>
            <c:invertIfNegative val="0"/>
            <c:bubble3D val="0"/>
            <c:extLst>
              <c:ext xmlns:c16="http://schemas.microsoft.com/office/drawing/2014/chart" uri="{C3380CC4-5D6E-409C-BE32-E72D297353CC}">
                <c16:uniqueId val="{00000004-DD9C-45D7-A828-B82B954B6E6B}"/>
              </c:ext>
            </c:extLst>
          </c:dPt>
          <c:dPt>
            <c:idx val="5"/>
            <c:invertIfNegative val="0"/>
            <c:bubble3D val="0"/>
            <c:extLst>
              <c:ext xmlns:c16="http://schemas.microsoft.com/office/drawing/2014/chart" uri="{C3380CC4-5D6E-409C-BE32-E72D297353CC}">
                <c16:uniqueId val="{00000005-DD9C-45D7-A828-B82B954B6E6B}"/>
              </c:ext>
            </c:extLst>
          </c:dPt>
          <c:dPt>
            <c:idx val="6"/>
            <c:invertIfNegative val="0"/>
            <c:bubble3D val="0"/>
            <c:extLst>
              <c:ext xmlns:c16="http://schemas.microsoft.com/office/drawing/2014/chart" uri="{C3380CC4-5D6E-409C-BE32-E72D297353CC}">
                <c16:uniqueId val="{00000006-DD9C-45D7-A828-B82B954B6E6B}"/>
              </c:ext>
            </c:extLst>
          </c:dPt>
          <c:dPt>
            <c:idx val="7"/>
            <c:invertIfNegative val="0"/>
            <c:bubble3D val="0"/>
            <c:extLst>
              <c:ext xmlns:c16="http://schemas.microsoft.com/office/drawing/2014/chart" uri="{C3380CC4-5D6E-409C-BE32-E72D297353CC}">
                <c16:uniqueId val="{00000007-DD9C-45D7-A828-B82B954B6E6B}"/>
              </c:ext>
            </c:extLst>
          </c:dPt>
          <c:dPt>
            <c:idx val="8"/>
            <c:invertIfNegative val="0"/>
            <c:bubble3D val="0"/>
            <c:extLst>
              <c:ext xmlns:c16="http://schemas.microsoft.com/office/drawing/2014/chart" uri="{C3380CC4-5D6E-409C-BE32-E72D297353CC}">
                <c16:uniqueId val="{00000008-DD9C-45D7-A828-B82B954B6E6B}"/>
              </c:ext>
            </c:extLst>
          </c:dPt>
          <c:dPt>
            <c:idx val="9"/>
            <c:invertIfNegative val="0"/>
            <c:bubble3D val="0"/>
            <c:extLst>
              <c:ext xmlns:c16="http://schemas.microsoft.com/office/drawing/2014/chart" uri="{C3380CC4-5D6E-409C-BE32-E72D297353CC}">
                <c16:uniqueId val="{00000009-DD9C-45D7-A828-B82B954B6E6B}"/>
              </c:ext>
            </c:extLst>
          </c:dPt>
          <c:dPt>
            <c:idx val="10"/>
            <c:invertIfNegative val="0"/>
            <c:bubble3D val="0"/>
            <c:extLst>
              <c:ext xmlns:c16="http://schemas.microsoft.com/office/drawing/2014/chart" uri="{C3380CC4-5D6E-409C-BE32-E72D297353CC}">
                <c16:uniqueId val="{0000000A-DD9C-45D7-A828-B82B954B6E6B}"/>
              </c:ext>
            </c:extLst>
          </c:dPt>
          <c:dPt>
            <c:idx val="11"/>
            <c:invertIfNegative val="0"/>
            <c:bubble3D val="0"/>
            <c:spPr>
              <a:solidFill>
                <a:srgbClr val="10253F"/>
              </a:solidFill>
              <a:ln w="6350">
                <a:solidFill>
                  <a:srgbClr val="000080"/>
                </a:solidFill>
                <a:prstDash val="solid"/>
              </a:ln>
            </c:spPr>
            <c:extLst>
              <c:ext xmlns:c16="http://schemas.microsoft.com/office/drawing/2014/chart" uri="{C3380CC4-5D6E-409C-BE32-E72D297353CC}">
                <c16:uniqueId val="{0000000C-DD9C-45D7-A828-B82B954B6E6B}"/>
              </c:ext>
            </c:extLst>
          </c:dPt>
          <c:dPt>
            <c:idx val="12"/>
            <c:invertIfNegative val="0"/>
            <c:bubble3D val="0"/>
            <c:extLst>
              <c:ext xmlns:c16="http://schemas.microsoft.com/office/drawing/2014/chart" uri="{C3380CC4-5D6E-409C-BE32-E72D297353CC}">
                <c16:uniqueId val="{0000000D-DD9C-45D7-A828-B82B954B6E6B}"/>
              </c:ext>
            </c:extLst>
          </c:dPt>
          <c:dPt>
            <c:idx val="13"/>
            <c:invertIfNegative val="0"/>
            <c:bubble3D val="0"/>
            <c:extLst>
              <c:ext xmlns:c16="http://schemas.microsoft.com/office/drawing/2014/chart" uri="{C3380CC4-5D6E-409C-BE32-E72D297353CC}">
                <c16:uniqueId val="{0000000E-DD9C-45D7-A828-B82B954B6E6B}"/>
              </c:ext>
            </c:extLst>
          </c:dPt>
          <c:dPt>
            <c:idx val="14"/>
            <c:invertIfNegative val="0"/>
            <c:bubble3D val="0"/>
            <c:extLst>
              <c:ext xmlns:c16="http://schemas.microsoft.com/office/drawing/2014/chart" uri="{C3380CC4-5D6E-409C-BE32-E72D297353CC}">
                <c16:uniqueId val="{0000000F-DD9C-45D7-A828-B82B954B6E6B}"/>
              </c:ext>
            </c:extLst>
          </c:dPt>
          <c:dPt>
            <c:idx val="15"/>
            <c:invertIfNegative val="0"/>
            <c:bubble3D val="0"/>
            <c:extLst>
              <c:ext xmlns:c16="http://schemas.microsoft.com/office/drawing/2014/chart" uri="{C3380CC4-5D6E-409C-BE32-E72D297353CC}">
                <c16:uniqueId val="{00000010-DD9C-45D7-A828-B82B954B6E6B}"/>
              </c:ext>
            </c:extLst>
          </c:dPt>
          <c:dPt>
            <c:idx val="16"/>
            <c:invertIfNegative val="0"/>
            <c:bubble3D val="0"/>
            <c:extLst>
              <c:ext xmlns:c16="http://schemas.microsoft.com/office/drawing/2014/chart" uri="{C3380CC4-5D6E-409C-BE32-E72D297353CC}">
                <c16:uniqueId val="{00000011-DD9C-45D7-A828-B82B954B6E6B}"/>
              </c:ext>
            </c:extLst>
          </c:dPt>
          <c:dPt>
            <c:idx val="17"/>
            <c:invertIfNegative val="0"/>
            <c:bubble3D val="0"/>
            <c:extLst>
              <c:ext xmlns:c16="http://schemas.microsoft.com/office/drawing/2014/chart" uri="{C3380CC4-5D6E-409C-BE32-E72D297353CC}">
                <c16:uniqueId val="{00000012-DD9C-45D7-A828-B82B954B6E6B}"/>
              </c:ext>
            </c:extLst>
          </c:dPt>
          <c:dPt>
            <c:idx val="18"/>
            <c:invertIfNegative val="0"/>
            <c:bubble3D val="0"/>
            <c:extLst>
              <c:ext xmlns:c16="http://schemas.microsoft.com/office/drawing/2014/chart" uri="{C3380CC4-5D6E-409C-BE32-E72D297353CC}">
                <c16:uniqueId val="{00000013-DD9C-45D7-A828-B82B954B6E6B}"/>
              </c:ext>
            </c:extLst>
          </c:dPt>
          <c:dPt>
            <c:idx val="19"/>
            <c:invertIfNegative val="0"/>
            <c:bubble3D val="0"/>
            <c:extLst>
              <c:ext xmlns:c16="http://schemas.microsoft.com/office/drawing/2014/chart" uri="{C3380CC4-5D6E-409C-BE32-E72D297353CC}">
                <c16:uniqueId val="{00000014-DD9C-45D7-A828-B82B954B6E6B}"/>
              </c:ext>
            </c:extLst>
          </c:dPt>
          <c:dPt>
            <c:idx val="20"/>
            <c:invertIfNegative val="0"/>
            <c:bubble3D val="0"/>
            <c:extLst>
              <c:ext xmlns:c16="http://schemas.microsoft.com/office/drawing/2014/chart" uri="{C3380CC4-5D6E-409C-BE32-E72D297353CC}">
                <c16:uniqueId val="{00000015-DD9C-45D7-A828-B82B954B6E6B}"/>
              </c:ext>
            </c:extLst>
          </c:dPt>
          <c:dPt>
            <c:idx val="21"/>
            <c:invertIfNegative val="0"/>
            <c:bubble3D val="0"/>
            <c:extLst>
              <c:ext xmlns:c16="http://schemas.microsoft.com/office/drawing/2014/chart" uri="{C3380CC4-5D6E-409C-BE32-E72D297353CC}">
                <c16:uniqueId val="{00000016-DD9C-45D7-A828-B82B954B6E6B}"/>
              </c:ext>
            </c:extLst>
          </c:dPt>
          <c:dPt>
            <c:idx val="22"/>
            <c:invertIfNegative val="0"/>
            <c:bubble3D val="0"/>
            <c:extLst>
              <c:ext xmlns:c16="http://schemas.microsoft.com/office/drawing/2014/chart" uri="{C3380CC4-5D6E-409C-BE32-E72D297353CC}">
                <c16:uniqueId val="{00000017-DD9C-45D7-A828-B82B954B6E6B}"/>
              </c:ext>
            </c:extLst>
          </c:dPt>
          <c:dPt>
            <c:idx val="23"/>
            <c:invertIfNegative val="0"/>
            <c:bubble3D val="0"/>
            <c:spPr>
              <a:solidFill>
                <a:srgbClr val="10253F"/>
              </a:solidFill>
              <a:ln w="6350">
                <a:solidFill>
                  <a:srgbClr val="000080"/>
                </a:solidFill>
                <a:prstDash val="solid"/>
              </a:ln>
            </c:spPr>
            <c:extLst>
              <c:ext xmlns:c16="http://schemas.microsoft.com/office/drawing/2014/chart" uri="{C3380CC4-5D6E-409C-BE32-E72D297353CC}">
                <c16:uniqueId val="{00000019-DD9C-45D7-A828-B82B954B6E6B}"/>
              </c:ext>
            </c:extLst>
          </c:dPt>
          <c:dPt>
            <c:idx val="24"/>
            <c:invertIfNegative val="0"/>
            <c:bubble3D val="0"/>
            <c:extLst>
              <c:ext xmlns:c16="http://schemas.microsoft.com/office/drawing/2014/chart" uri="{C3380CC4-5D6E-409C-BE32-E72D297353CC}">
                <c16:uniqueId val="{0000001A-DD9C-45D7-A828-B82B954B6E6B}"/>
              </c:ext>
            </c:extLst>
          </c:dPt>
          <c:dPt>
            <c:idx val="25"/>
            <c:invertIfNegative val="0"/>
            <c:bubble3D val="0"/>
            <c:extLst>
              <c:ext xmlns:c16="http://schemas.microsoft.com/office/drawing/2014/chart" uri="{C3380CC4-5D6E-409C-BE32-E72D297353CC}">
                <c16:uniqueId val="{0000001B-DD9C-45D7-A828-B82B954B6E6B}"/>
              </c:ext>
            </c:extLst>
          </c:dPt>
          <c:dPt>
            <c:idx val="26"/>
            <c:invertIfNegative val="0"/>
            <c:bubble3D val="0"/>
            <c:extLst>
              <c:ext xmlns:c16="http://schemas.microsoft.com/office/drawing/2014/chart" uri="{C3380CC4-5D6E-409C-BE32-E72D297353CC}">
                <c16:uniqueId val="{0000001C-DD9C-45D7-A828-B82B954B6E6B}"/>
              </c:ext>
            </c:extLst>
          </c:dPt>
          <c:dPt>
            <c:idx val="27"/>
            <c:invertIfNegative val="0"/>
            <c:bubble3D val="0"/>
            <c:extLst>
              <c:ext xmlns:c16="http://schemas.microsoft.com/office/drawing/2014/chart" uri="{C3380CC4-5D6E-409C-BE32-E72D297353CC}">
                <c16:uniqueId val="{0000001D-DD9C-45D7-A828-B82B954B6E6B}"/>
              </c:ext>
            </c:extLst>
          </c:dPt>
          <c:dPt>
            <c:idx val="28"/>
            <c:invertIfNegative val="0"/>
            <c:bubble3D val="0"/>
            <c:extLst>
              <c:ext xmlns:c16="http://schemas.microsoft.com/office/drawing/2014/chart" uri="{C3380CC4-5D6E-409C-BE32-E72D297353CC}">
                <c16:uniqueId val="{0000001E-DD9C-45D7-A828-B82B954B6E6B}"/>
              </c:ext>
            </c:extLst>
          </c:dPt>
          <c:dPt>
            <c:idx val="29"/>
            <c:invertIfNegative val="0"/>
            <c:bubble3D val="0"/>
            <c:extLst>
              <c:ext xmlns:c16="http://schemas.microsoft.com/office/drawing/2014/chart" uri="{C3380CC4-5D6E-409C-BE32-E72D297353CC}">
                <c16:uniqueId val="{0000001F-DD9C-45D7-A828-B82B954B6E6B}"/>
              </c:ext>
            </c:extLst>
          </c:dPt>
          <c:dPt>
            <c:idx val="30"/>
            <c:invertIfNegative val="0"/>
            <c:bubble3D val="0"/>
            <c:extLst>
              <c:ext xmlns:c16="http://schemas.microsoft.com/office/drawing/2014/chart" uri="{C3380CC4-5D6E-409C-BE32-E72D297353CC}">
                <c16:uniqueId val="{00000020-DD9C-45D7-A828-B82B954B6E6B}"/>
              </c:ext>
            </c:extLst>
          </c:dPt>
          <c:dPt>
            <c:idx val="31"/>
            <c:invertIfNegative val="0"/>
            <c:bubble3D val="0"/>
            <c:extLst>
              <c:ext xmlns:c16="http://schemas.microsoft.com/office/drawing/2014/chart" uri="{C3380CC4-5D6E-409C-BE32-E72D297353CC}">
                <c16:uniqueId val="{00000021-DD9C-45D7-A828-B82B954B6E6B}"/>
              </c:ext>
            </c:extLst>
          </c:dPt>
          <c:dPt>
            <c:idx val="32"/>
            <c:invertIfNegative val="0"/>
            <c:bubble3D val="0"/>
            <c:extLst>
              <c:ext xmlns:c16="http://schemas.microsoft.com/office/drawing/2014/chart" uri="{C3380CC4-5D6E-409C-BE32-E72D297353CC}">
                <c16:uniqueId val="{00000022-DD9C-45D7-A828-B82B954B6E6B}"/>
              </c:ext>
            </c:extLst>
          </c:dPt>
          <c:dPt>
            <c:idx val="33"/>
            <c:invertIfNegative val="0"/>
            <c:bubble3D val="0"/>
            <c:extLst>
              <c:ext xmlns:c16="http://schemas.microsoft.com/office/drawing/2014/chart" uri="{C3380CC4-5D6E-409C-BE32-E72D297353CC}">
                <c16:uniqueId val="{00000023-DD9C-45D7-A828-B82B954B6E6B}"/>
              </c:ext>
            </c:extLst>
          </c:dPt>
          <c:dPt>
            <c:idx val="34"/>
            <c:invertIfNegative val="0"/>
            <c:bubble3D val="0"/>
            <c:extLst>
              <c:ext xmlns:c16="http://schemas.microsoft.com/office/drawing/2014/chart" uri="{C3380CC4-5D6E-409C-BE32-E72D297353CC}">
                <c16:uniqueId val="{00000024-DD9C-45D7-A828-B82B954B6E6B}"/>
              </c:ext>
            </c:extLst>
          </c:dPt>
          <c:dPt>
            <c:idx val="35"/>
            <c:invertIfNegative val="0"/>
            <c:bubble3D val="0"/>
            <c:spPr>
              <a:solidFill>
                <a:srgbClr val="10253F"/>
              </a:solidFill>
              <a:ln w="6350">
                <a:solidFill>
                  <a:srgbClr val="000080"/>
                </a:solidFill>
                <a:prstDash val="solid"/>
              </a:ln>
            </c:spPr>
            <c:extLst>
              <c:ext xmlns:c16="http://schemas.microsoft.com/office/drawing/2014/chart" uri="{C3380CC4-5D6E-409C-BE32-E72D297353CC}">
                <c16:uniqueId val="{00000026-DD9C-45D7-A828-B82B954B6E6B}"/>
              </c:ext>
            </c:extLst>
          </c:dPt>
          <c:dPt>
            <c:idx val="36"/>
            <c:invertIfNegative val="0"/>
            <c:bubble3D val="0"/>
            <c:extLst>
              <c:ext xmlns:c16="http://schemas.microsoft.com/office/drawing/2014/chart" uri="{C3380CC4-5D6E-409C-BE32-E72D297353CC}">
                <c16:uniqueId val="{00000027-DD9C-45D7-A828-B82B954B6E6B}"/>
              </c:ext>
            </c:extLst>
          </c:dPt>
          <c:dPt>
            <c:idx val="37"/>
            <c:invertIfNegative val="0"/>
            <c:bubble3D val="0"/>
            <c:extLst>
              <c:ext xmlns:c16="http://schemas.microsoft.com/office/drawing/2014/chart" uri="{C3380CC4-5D6E-409C-BE32-E72D297353CC}">
                <c16:uniqueId val="{00000028-DD9C-45D7-A828-B82B954B6E6B}"/>
              </c:ext>
            </c:extLst>
          </c:dPt>
          <c:dPt>
            <c:idx val="38"/>
            <c:invertIfNegative val="0"/>
            <c:bubble3D val="0"/>
            <c:extLst>
              <c:ext xmlns:c16="http://schemas.microsoft.com/office/drawing/2014/chart" uri="{C3380CC4-5D6E-409C-BE32-E72D297353CC}">
                <c16:uniqueId val="{00000029-DD9C-45D7-A828-B82B954B6E6B}"/>
              </c:ext>
            </c:extLst>
          </c:dPt>
          <c:dPt>
            <c:idx val="39"/>
            <c:invertIfNegative val="0"/>
            <c:bubble3D val="0"/>
            <c:extLst>
              <c:ext xmlns:c16="http://schemas.microsoft.com/office/drawing/2014/chart" uri="{C3380CC4-5D6E-409C-BE32-E72D297353CC}">
                <c16:uniqueId val="{0000002A-DD9C-45D7-A828-B82B954B6E6B}"/>
              </c:ext>
            </c:extLst>
          </c:dPt>
          <c:dPt>
            <c:idx val="40"/>
            <c:invertIfNegative val="0"/>
            <c:bubble3D val="0"/>
            <c:extLst>
              <c:ext xmlns:c16="http://schemas.microsoft.com/office/drawing/2014/chart" uri="{C3380CC4-5D6E-409C-BE32-E72D297353CC}">
                <c16:uniqueId val="{0000002B-DD9C-45D7-A828-B82B954B6E6B}"/>
              </c:ext>
            </c:extLst>
          </c:dPt>
          <c:dPt>
            <c:idx val="41"/>
            <c:invertIfNegative val="0"/>
            <c:bubble3D val="0"/>
            <c:extLst>
              <c:ext xmlns:c16="http://schemas.microsoft.com/office/drawing/2014/chart" uri="{C3380CC4-5D6E-409C-BE32-E72D297353CC}">
                <c16:uniqueId val="{0000002C-DD9C-45D7-A828-B82B954B6E6B}"/>
              </c:ext>
            </c:extLst>
          </c:dPt>
          <c:dLbls>
            <c:spPr>
              <a:noFill/>
              <a:ln>
                <a:noFill/>
              </a:ln>
              <a:effectLst/>
            </c:spPr>
            <c:txPr>
              <a:bodyPr rot="-5400000" vert="horz" wrap="square" lIns="0" tIns="0" rIns="0" bIns="0" anchor="ctr">
                <a:spAutoFit/>
              </a:bodyPr>
              <a:lstStyle/>
              <a:p>
                <a:pPr>
                  <a:defRPr sz="750" b="1"/>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'[IPM_Gráfica Original.xlsx]Datos'!$A$197:$B$232</c:f>
              <c:multiLvlStrCache>
                <c:ptCount val="3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Dp/</c:v>
                  </c:pt>
                </c:lvl>
                <c:lvl>
                  <c:pt idx="0">
                    <c:v>2020</c:v>
                  </c:pt>
                  <c:pt idx="12">
                    <c:v>2021</c:v>
                  </c:pt>
                  <c:pt idx="24">
                    <c:v>2022</c:v>
                  </c:pt>
                </c:lvl>
              </c:multiLvlStrCache>
            </c:multiLvlStrRef>
          </c:cat>
          <c:val>
            <c:numRef>
              <c:f>'[IPM_Gráfica Original.xlsx]Datos'!$C$197:$C$232</c:f>
              <c:numCache>
                <c:formatCode>0.0</c:formatCode>
                <c:ptCount val="36"/>
                <c:pt idx="0">
                  <c:v>50.593000000000004</c:v>
                </c:pt>
                <c:pt idx="1">
                  <c:v>49.433</c:v>
                </c:pt>
                <c:pt idx="2">
                  <c:v>48.584000000000003</c:v>
                </c:pt>
                <c:pt idx="3">
                  <c:v>41.179000000000002</c:v>
                </c:pt>
                <c:pt idx="4">
                  <c:v>39.32</c:v>
                </c:pt>
                <c:pt idx="5">
                  <c:v>49.749000000000002</c:v>
                </c:pt>
                <c:pt idx="6">
                  <c:v>50.493000000000002</c:v>
                </c:pt>
                <c:pt idx="7">
                  <c:v>50.523000000000003</c:v>
                </c:pt>
                <c:pt idx="8">
                  <c:v>50.198</c:v>
                </c:pt>
                <c:pt idx="9">
                  <c:v>51.692999999999998</c:v>
                </c:pt>
                <c:pt idx="10">
                  <c:v>50.52</c:v>
                </c:pt>
                <c:pt idx="11">
                  <c:v>50.048999999999999</c:v>
                </c:pt>
                <c:pt idx="12">
                  <c:v>52.113999999999997</c:v>
                </c:pt>
                <c:pt idx="13">
                  <c:v>49.444000000000003</c:v>
                </c:pt>
                <c:pt idx="14">
                  <c:v>52.015000000000001</c:v>
                </c:pt>
                <c:pt idx="15">
                  <c:v>49.947000000000003</c:v>
                </c:pt>
                <c:pt idx="16">
                  <c:v>51.122999999999998</c:v>
                </c:pt>
                <c:pt idx="17">
                  <c:v>51.884999999999998</c:v>
                </c:pt>
                <c:pt idx="18">
                  <c:v>52.679000000000002</c:v>
                </c:pt>
                <c:pt idx="19">
                  <c:v>53.011000000000003</c:v>
                </c:pt>
                <c:pt idx="20">
                  <c:v>53.173000000000002</c:v>
                </c:pt>
                <c:pt idx="21">
                  <c:v>53.332000000000001</c:v>
                </c:pt>
                <c:pt idx="22">
                  <c:v>53.104999999999997</c:v>
                </c:pt>
                <c:pt idx="23">
                  <c:v>51.113</c:v>
                </c:pt>
                <c:pt idx="24">
                  <c:v>51.466000000000001</c:v>
                </c:pt>
                <c:pt idx="25">
                  <c:v>51.744999999999997</c:v>
                </c:pt>
                <c:pt idx="26">
                  <c:v>55.420999999999999</c:v>
                </c:pt>
                <c:pt idx="27">
                  <c:v>51.046999999999997</c:v>
                </c:pt>
                <c:pt idx="28">
                  <c:v>53.889000000000003</c:v>
                </c:pt>
                <c:pt idx="29">
                  <c:v>51.622</c:v>
                </c:pt>
                <c:pt idx="30">
                  <c:v>51.802999999999997</c:v>
                </c:pt>
                <c:pt idx="31">
                  <c:v>52.466999999999999</c:v>
                </c:pt>
                <c:pt idx="32">
                  <c:v>51.457000000000001</c:v>
                </c:pt>
                <c:pt idx="33">
                  <c:v>53.247999999999998</c:v>
                </c:pt>
                <c:pt idx="34">
                  <c:v>53.121000000000002</c:v>
                </c:pt>
                <c:pt idx="35">
                  <c:v>50.356000000000002</c:v>
                </c:pt>
              </c:numCache>
            </c:numRef>
          </c:val>
          <c:extLst>
            <c:ext xmlns:c16="http://schemas.microsoft.com/office/drawing/2014/chart" uri="{C3380CC4-5D6E-409C-BE32-E72D297353CC}">
              <c16:uniqueId val="{0000002D-DD9C-45D7-A828-B82B954B6E6B}"/>
            </c:ext>
          </c:extLst>
        </c:ser>
        <c:dLbls>
          <c:showLegendKey val="0"/>
          <c:showVal val="0"/>
          <c:showCatName val="0"/>
          <c:showSerName val="0"/>
          <c:showPercent val="0"/>
          <c:showBubbleSize val="0"/>
        </c:dLbls>
        <c:gapWidth val="40"/>
        <c:axId val="649793056"/>
        <c:axId val="649789528"/>
      </c:barChart>
      <c:catAx>
        <c:axId val="649793056"/>
        <c:scaling>
          <c:orientation val="minMax"/>
        </c:scaling>
        <c:delete val="0"/>
        <c:axPos val="b"/>
        <c:numFmt formatCode="General" sourceLinked="1"/>
        <c:majorTickMark val="cross"/>
        <c:minorTickMark val="none"/>
        <c:tickLblPos val="low"/>
        <c:spPr>
          <a:noFill/>
          <a:ln w="6350">
            <a:solidFill>
              <a:srgbClr val="000000"/>
            </a:solidFill>
            <a:prstDash val="solid"/>
          </a:ln>
        </c:spPr>
        <c:txPr>
          <a:bodyPr rot="0" vert="horz"/>
          <a:lstStyle/>
          <a:p>
            <a:pPr>
              <a:defRPr sz="800"/>
            </a:pPr>
            <a:endParaRPr lang="es-MX"/>
          </a:p>
        </c:txPr>
        <c:crossAx val="649789528"/>
        <c:crosses val="autoZero"/>
        <c:auto val="1"/>
        <c:lblAlgn val="ctr"/>
        <c:lblOffset val="100"/>
        <c:tickLblSkip val="1"/>
        <c:tickMarkSkip val="12"/>
        <c:noMultiLvlLbl val="1"/>
      </c:catAx>
      <c:valAx>
        <c:axId val="649789528"/>
        <c:scaling>
          <c:orientation val="minMax"/>
          <c:max val="60"/>
          <c:min val="30"/>
        </c:scaling>
        <c:delete val="0"/>
        <c:axPos val="l"/>
        <c:numFmt formatCode="0" sourceLinked="0"/>
        <c:majorTickMark val="out"/>
        <c:minorTickMark val="none"/>
        <c:tickLblPos val="nextTo"/>
        <c:spPr>
          <a:noFill/>
          <a:ln w="6350">
            <a:solidFill>
              <a:srgbClr val="000000"/>
            </a:solidFill>
            <a:prstDash val="solid"/>
          </a:ln>
        </c:spPr>
        <c:txPr>
          <a:bodyPr rot="0" vert="horz"/>
          <a:lstStyle/>
          <a:p>
            <a:pPr>
              <a:defRPr sz="800"/>
            </a:pPr>
            <a:endParaRPr lang="es-MX"/>
          </a:p>
        </c:txPr>
        <c:crossAx val="649793056"/>
        <c:crosses val="autoZero"/>
        <c:crossBetween val="between"/>
        <c:majorUnit val="10"/>
      </c:valAx>
      <c:spPr>
        <a:noFill/>
        <a:ln w="25400">
          <a:noFill/>
        </a:ln>
      </c:spPr>
    </c:plotArea>
    <c:plotVisOnly val="1"/>
    <c:dispBlanksAs val="gap"/>
    <c:showDLblsOverMax val="0"/>
  </c:chart>
  <c:spPr>
    <a:noFill/>
    <a:ln w="6350">
      <a:solidFill>
        <a:srgbClr val="000000"/>
      </a:solidFill>
      <a:prstDash val="solid"/>
    </a:ln>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D10364-046F-477E-BC99-CC2CB199A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20</TotalTime>
  <Pages>10</Pages>
  <Words>2468</Words>
  <Characters>13580</Characters>
  <Application>Microsoft Office Word</Application>
  <DocSecurity>0</DocSecurity>
  <Lines>113</Lines>
  <Paragraphs>32</Paragraphs>
  <ScaleCrop>false</ScaleCrop>
  <HeadingPairs>
    <vt:vector size="2" baseType="variant">
      <vt:variant>
        <vt:lpstr>Título</vt:lpstr>
      </vt:variant>
      <vt:variant>
        <vt:i4>1</vt:i4>
      </vt:variant>
    </vt:vector>
  </HeadingPairs>
  <TitlesOfParts>
    <vt:vector size="1" baseType="lpstr">
      <vt:lpstr>Comunicado de Prensa. Indicador de Pedidos Manufactureros</vt:lpstr>
    </vt:vector>
  </TitlesOfParts>
  <Company>INEGI</Company>
  <LinksUpToDate>false</LinksUpToDate>
  <CharactersWithSpaces>16016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 de Pedidos Manufactureros</dc:title>
  <dc:creator>INEGI</dc:creator>
  <cp:keywords>Opinión Empresa Expectativas Indicador Pedidos</cp:keywords>
  <cp:lastModifiedBy>GUILLEN MEDINA MOISES</cp:lastModifiedBy>
  <cp:revision>21</cp:revision>
  <cp:lastPrinted>2022-10-31T18:08:00Z</cp:lastPrinted>
  <dcterms:created xsi:type="dcterms:W3CDTF">2023-01-02T19:34:00Z</dcterms:created>
  <dcterms:modified xsi:type="dcterms:W3CDTF">2023-01-03T00:00:00Z</dcterms:modified>
  <cp:category>Encuesta Mensual de Opinión Empresarial (EMOE)</cp:category>
  <cp:version>1</cp:version>
</cp:coreProperties>
</file>