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9E949" w14:textId="1747264D" w:rsidR="00D67595" w:rsidRDefault="000F788C" w:rsidP="0071288B">
      <w:pPr>
        <w:pStyle w:val="Ttulo2"/>
        <w:spacing w:before="0"/>
        <w:rPr>
          <w:color w:val="auto"/>
          <w:spacing w:val="20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BA98D4" wp14:editId="3F37A5C4">
                <wp:simplePos x="0" y="0"/>
                <wp:positionH relativeFrom="column">
                  <wp:posOffset>3157220</wp:posOffset>
                </wp:positionH>
                <wp:positionV relativeFrom="paragraph">
                  <wp:posOffset>0</wp:posOffset>
                </wp:positionV>
                <wp:extent cx="3076575" cy="266700"/>
                <wp:effectExtent l="0" t="0" r="9525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DFB48" w14:textId="5C7F264E" w:rsidR="000F788C" w:rsidRPr="003D4E37" w:rsidRDefault="000F788C" w:rsidP="000F788C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28 de abril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A98D4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8.6pt;margin-top:0;width:242.2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" stroked="f">
                <v:textbox>
                  <w:txbxContent>
                    <w:p w14:paraId="7C4DFB48" w14:textId="5C7F264E" w:rsidR="000F788C" w:rsidRPr="003D4E37" w:rsidRDefault="000F788C" w:rsidP="000F788C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28 de abril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308DB5" w14:textId="11DAF073" w:rsidR="00D67595" w:rsidRDefault="00D67595" w:rsidP="0071288B">
      <w:pPr>
        <w:pStyle w:val="Ttulo2"/>
        <w:spacing w:before="0"/>
        <w:rPr>
          <w:color w:val="auto"/>
          <w:spacing w:val="20"/>
          <w:sz w:val="24"/>
          <w:szCs w:val="24"/>
        </w:rPr>
      </w:pPr>
    </w:p>
    <w:p w14:paraId="134A4AEE" w14:textId="77777777" w:rsidR="00D67595" w:rsidRDefault="00D67595" w:rsidP="0071288B">
      <w:pPr>
        <w:pStyle w:val="Ttulo2"/>
        <w:spacing w:before="0"/>
        <w:rPr>
          <w:color w:val="auto"/>
          <w:spacing w:val="20"/>
          <w:sz w:val="24"/>
          <w:szCs w:val="24"/>
        </w:rPr>
      </w:pPr>
    </w:p>
    <w:p w14:paraId="3FEBECBD" w14:textId="4C59276C" w:rsidR="0010664E" w:rsidRPr="000865CA" w:rsidRDefault="00B834C7" w:rsidP="00B02B25">
      <w:pPr>
        <w:pStyle w:val="Ttulo2"/>
        <w:spacing w:before="0"/>
        <w:ind w:right="-375"/>
        <w:rPr>
          <w:color w:val="auto"/>
          <w:spacing w:val="20"/>
          <w:sz w:val="24"/>
          <w:szCs w:val="24"/>
        </w:rPr>
      </w:pPr>
      <w:r w:rsidRPr="000865CA">
        <w:rPr>
          <w:color w:val="auto"/>
          <w:spacing w:val="20"/>
          <w:sz w:val="24"/>
          <w:szCs w:val="24"/>
        </w:rPr>
        <w:t xml:space="preserve">ESTIMACIÓN OPORTUNA </w:t>
      </w:r>
      <w:r w:rsidR="00B52824" w:rsidRPr="000865CA">
        <w:rPr>
          <w:color w:val="auto"/>
          <w:spacing w:val="20"/>
          <w:sz w:val="24"/>
          <w:szCs w:val="24"/>
        </w:rPr>
        <w:t>DEL</w:t>
      </w:r>
      <w:r w:rsidR="00271F6D" w:rsidRPr="000865CA">
        <w:rPr>
          <w:color w:val="auto"/>
          <w:spacing w:val="20"/>
          <w:sz w:val="24"/>
          <w:szCs w:val="24"/>
        </w:rPr>
        <w:t xml:space="preserve"> </w:t>
      </w:r>
    </w:p>
    <w:p w14:paraId="58E5E979" w14:textId="05AAF981" w:rsidR="00B52824" w:rsidRPr="000865CA" w:rsidRDefault="00B834C7" w:rsidP="00B02B25">
      <w:pPr>
        <w:pStyle w:val="Ttulo2"/>
        <w:spacing w:before="0"/>
        <w:ind w:right="-375"/>
        <w:rPr>
          <w:color w:val="auto"/>
          <w:sz w:val="24"/>
          <w:szCs w:val="24"/>
        </w:rPr>
      </w:pPr>
      <w:r w:rsidRPr="000865CA">
        <w:rPr>
          <w:color w:val="auto"/>
          <w:spacing w:val="20"/>
          <w:sz w:val="24"/>
          <w:szCs w:val="24"/>
        </w:rPr>
        <w:t>PRODUCTO INTERNO BRUTO</w:t>
      </w:r>
      <w:r w:rsidR="001076F8" w:rsidRPr="000865CA">
        <w:rPr>
          <w:rStyle w:val="Refdenotaalpie"/>
          <w:b/>
          <w:sz w:val="24"/>
          <w:szCs w:val="24"/>
        </w:rPr>
        <w:footnoteReference w:id="2"/>
      </w:r>
      <w:r w:rsidRPr="000865CA">
        <w:rPr>
          <w:color w:val="auto"/>
          <w:sz w:val="24"/>
          <w:szCs w:val="24"/>
        </w:rPr>
        <w:t xml:space="preserve"> </w:t>
      </w:r>
    </w:p>
    <w:p w14:paraId="073AA67F" w14:textId="67D4F493" w:rsidR="00B834C7" w:rsidRPr="000865CA" w:rsidRDefault="004C0873" w:rsidP="00B02B25">
      <w:pPr>
        <w:pStyle w:val="Ttulo2"/>
        <w:spacing w:before="0"/>
        <w:ind w:right="-375"/>
        <w:rPr>
          <w:smallCaps/>
          <w:color w:val="auto"/>
          <w:sz w:val="24"/>
          <w:szCs w:val="24"/>
        </w:rPr>
      </w:pPr>
      <w:r w:rsidRPr="000865CA">
        <w:rPr>
          <w:smallCaps/>
          <w:color w:val="auto"/>
          <w:sz w:val="24"/>
          <w:szCs w:val="24"/>
        </w:rPr>
        <w:t>cuarto trimestre de 2022</w:t>
      </w:r>
    </w:p>
    <w:p w14:paraId="7CAED8BC" w14:textId="24294722" w:rsidR="005457E0" w:rsidRPr="005D1C99" w:rsidRDefault="00AB2051" w:rsidP="00B02B25">
      <w:pPr>
        <w:pStyle w:val="bullet"/>
        <w:numPr>
          <w:ilvl w:val="0"/>
          <w:numId w:val="0"/>
        </w:numPr>
        <w:tabs>
          <w:tab w:val="left" w:pos="1701"/>
        </w:tabs>
        <w:ind w:left="-284" w:right="-233"/>
        <w:rPr>
          <w:b w:val="0"/>
          <w:bCs/>
          <w:color w:val="auto"/>
          <w:sz w:val="24"/>
          <w:szCs w:val="24"/>
          <w:lang w:val="es-MX"/>
        </w:rPr>
      </w:pPr>
      <w:bookmarkStart w:id="0" w:name="_Hlk125989025"/>
      <w:bookmarkStart w:id="1" w:name="_Hlk125988875"/>
      <w:r w:rsidRPr="00D67595">
        <w:rPr>
          <w:b w:val="0"/>
          <w:bCs/>
          <w:color w:val="auto"/>
          <w:sz w:val="24"/>
          <w:szCs w:val="24"/>
        </w:rPr>
        <w:t xml:space="preserve">En el </w:t>
      </w:r>
      <w:r w:rsidR="0057055D" w:rsidRPr="00D67595">
        <w:rPr>
          <w:b w:val="0"/>
          <w:bCs/>
          <w:color w:val="auto"/>
          <w:sz w:val="24"/>
          <w:szCs w:val="24"/>
        </w:rPr>
        <w:t xml:space="preserve">cuarto </w:t>
      </w:r>
      <w:r w:rsidRPr="00D67595">
        <w:rPr>
          <w:b w:val="0"/>
          <w:bCs/>
          <w:color w:val="auto"/>
          <w:sz w:val="24"/>
          <w:szCs w:val="24"/>
        </w:rPr>
        <w:t>trimestre</w:t>
      </w:r>
      <w:r w:rsidR="00454C88" w:rsidRPr="00D67595">
        <w:rPr>
          <w:b w:val="0"/>
          <w:bCs/>
          <w:color w:val="auto"/>
          <w:sz w:val="24"/>
          <w:szCs w:val="24"/>
        </w:rPr>
        <w:t xml:space="preserve"> </w:t>
      </w:r>
      <w:r w:rsidRPr="00D67595">
        <w:rPr>
          <w:b w:val="0"/>
          <w:bCs/>
          <w:color w:val="auto"/>
          <w:sz w:val="24"/>
          <w:szCs w:val="24"/>
        </w:rPr>
        <w:t>de 202</w:t>
      </w:r>
      <w:r w:rsidR="00C73678" w:rsidRPr="00D67595">
        <w:rPr>
          <w:b w:val="0"/>
          <w:bCs/>
          <w:color w:val="auto"/>
          <w:sz w:val="24"/>
          <w:szCs w:val="24"/>
        </w:rPr>
        <w:t>2</w:t>
      </w:r>
      <w:r w:rsidRPr="00D67595">
        <w:rPr>
          <w:b w:val="0"/>
          <w:bCs/>
          <w:color w:val="auto"/>
          <w:sz w:val="24"/>
          <w:szCs w:val="24"/>
        </w:rPr>
        <w:t xml:space="preserve"> y con cifras ajustadas por estacionalidad</w:t>
      </w:r>
      <w:r w:rsidR="009C6C22" w:rsidRPr="00D67595">
        <w:rPr>
          <w:b w:val="0"/>
          <w:bCs/>
          <w:color w:val="auto"/>
          <w:sz w:val="24"/>
          <w:szCs w:val="24"/>
        </w:rPr>
        <w:t>,</w:t>
      </w:r>
      <w:r w:rsidRPr="00D67595">
        <w:rPr>
          <w:rStyle w:val="Refdenotaalpie"/>
          <w:b/>
          <w:bCs/>
          <w:color w:val="000000" w:themeColor="text1"/>
          <w:sz w:val="24"/>
          <w:szCs w:val="24"/>
        </w:rPr>
        <w:footnoteReference w:id="3"/>
      </w:r>
      <w:r w:rsidRPr="00D67595">
        <w:rPr>
          <w:b w:val="0"/>
          <w:bCs/>
          <w:color w:val="auto"/>
          <w:sz w:val="24"/>
          <w:szCs w:val="24"/>
        </w:rPr>
        <w:t xml:space="preserve"> los </w:t>
      </w:r>
      <w:r w:rsidR="00454C88" w:rsidRPr="00D67595">
        <w:rPr>
          <w:b w:val="0"/>
          <w:bCs/>
          <w:color w:val="auto"/>
          <w:sz w:val="24"/>
          <w:szCs w:val="24"/>
        </w:rPr>
        <w:t xml:space="preserve">resultados de la Estimación </w:t>
      </w:r>
      <w:r w:rsidR="004316A6" w:rsidRPr="00D67595">
        <w:rPr>
          <w:b w:val="0"/>
          <w:bCs/>
          <w:color w:val="auto"/>
          <w:sz w:val="24"/>
          <w:szCs w:val="24"/>
        </w:rPr>
        <w:t>O</w:t>
      </w:r>
      <w:r w:rsidR="00454C88" w:rsidRPr="00D67595">
        <w:rPr>
          <w:b w:val="0"/>
          <w:bCs/>
          <w:color w:val="auto"/>
          <w:sz w:val="24"/>
          <w:szCs w:val="24"/>
        </w:rPr>
        <w:t xml:space="preserve">portuna del Producto Interno Bruto Trimestral </w:t>
      </w:r>
      <w:r w:rsidR="002D3DFB" w:rsidRPr="00D67595">
        <w:rPr>
          <w:b w:val="0"/>
          <w:bCs/>
          <w:color w:val="auto"/>
          <w:sz w:val="24"/>
          <w:szCs w:val="24"/>
        </w:rPr>
        <w:t xml:space="preserve">(EOPIBT) </w:t>
      </w:r>
      <w:r w:rsidRPr="00D67595">
        <w:rPr>
          <w:b w:val="0"/>
          <w:bCs/>
          <w:color w:val="auto"/>
          <w:sz w:val="24"/>
          <w:szCs w:val="24"/>
        </w:rPr>
        <w:t xml:space="preserve">muestran un </w:t>
      </w:r>
      <w:r w:rsidR="007F1BF0" w:rsidRPr="00D67595">
        <w:rPr>
          <w:b w:val="0"/>
          <w:bCs/>
          <w:color w:val="auto"/>
          <w:sz w:val="24"/>
          <w:szCs w:val="24"/>
        </w:rPr>
        <w:t>aumento</w:t>
      </w:r>
      <w:r w:rsidR="00C0681C" w:rsidRPr="00D67595">
        <w:rPr>
          <w:b w:val="0"/>
          <w:bCs/>
          <w:color w:val="auto"/>
          <w:sz w:val="24"/>
          <w:szCs w:val="24"/>
        </w:rPr>
        <w:t xml:space="preserve"> </w:t>
      </w:r>
      <w:r w:rsidR="00C73678" w:rsidRPr="00D67595">
        <w:rPr>
          <w:b w:val="0"/>
          <w:bCs/>
          <w:color w:val="auto"/>
          <w:sz w:val="24"/>
          <w:szCs w:val="24"/>
        </w:rPr>
        <w:t>trimestral</w:t>
      </w:r>
      <w:r w:rsidR="00865AA6" w:rsidRPr="00D67595">
        <w:rPr>
          <w:b w:val="0"/>
          <w:bCs/>
          <w:color w:val="auto"/>
          <w:sz w:val="24"/>
          <w:szCs w:val="24"/>
        </w:rPr>
        <w:t xml:space="preserve"> de </w:t>
      </w:r>
      <w:r w:rsidR="00595B43" w:rsidRPr="00D67595">
        <w:rPr>
          <w:b w:val="0"/>
          <w:bCs/>
          <w:color w:val="auto"/>
          <w:sz w:val="24"/>
          <w:szCs w:val="24"/>
        </w:rPr>
        <w:t>0.4</w:t>
      </w:r>
      <w:r w:rsidR="00865AA6" w:rsidRPr="00D67595">
        <w:rPr>
          <w:b w:val="0"/>
          <w:bCs/>
          <w:color w:val="auto"/>
          <w:sz w:val="24"/>
          <w:szCs w:val="24"/>
        </w:rPr>
        <w:t xml:space="preserve"> %</w:t>
      </w:r>
      <w:r w:rsidR="00C73678" w:rsidRPr="00D67595">
        <w:rPr>
          <w:b w:val="0"/>
          <w:bCs/>
          <w:color w:val="auto"/>
          <w:sz w:val="24"/>
          <w:szCs w:val="24"/>
        </w:rPr>
        <w:t xml:space="preserve"> en términos reales</w:t>
      </w:r>
      <w:r w:rsidR="00865AA6" w:rsidRPr="00D67595">
        <w:rPr>
          <w:b w:val="0"/>
          <w:bCs/>
          <w:color w:val="auto"/>
          <w:sz w:val="24"/>
          <w:szCs w:val="24"/>
        </w:rPr>
        <w:t>.</w:t>
      </w:r>
      <w:r w:rsidR="00520A08" w:rsidRPr="00D67595">
        <w:rPr>
          <w:rStyle w:val="Refdenotaalpie"/>
          <w:b/>
          <w:bCs/>
          <w:color w:val="000000" w:themeColor="text1"/>
          <w:sz w:val="24"/>
          <w:szCs w:val="24"/>
        </w:rPr>
        <w:footnoteReference w:id="4"/>
      </w:r>
    </w:p>
    <w:bookmarkEnd w:id="0"/>
    <w:p w14:paraId="5ABD8F12" w14:textId="4ED9C7E8" w:rsidR="00454C88" w:rsidRDefault="00E0788D" w:rsidP="00B02B25">
      <w:pPr>
        <w:pStyle w:val="bullet"/>
        <w:numPr>
          <w:ilvl w:val="0"/>
          <w:numId w:val="0"/>
        </w:numPr>
        <w:ind w:left="-284" w:right="-233"/>
        <w:rPr>
          <w:b w:val="0"/>
          <w:bCs/>
          <w:color w:val="auto"/>
          <w:sz w:val="24"/>
          <w:szCs w:val="24"/>
        </w:rPr>
      </w:pPr>
      <w:r w:rsidRPr="00D67595">
        <w:rPr>
          <w:b w:val="0"/>
          <w:bCs/>
          <w:color w:val="auto"/>
          <w:sz w:val="24"/>
          <w:szCs w:val="24"/>
        </w:rPr>
        <w:t>A tasa trimestral,</w:t>
      </w:r>
      <w:r w:rsidR="00AB2051" w:rsidRPr="00D67595">
        <w:rPr>
          <w:b w:val="0"/>
          <w:bCs/>
          <w:color w:val="auto"/>
          <w:sz w:val="24"/>
          <w:szCs w:val="24"/>
        </w:rPr>
        <w:t xml:space="preserve"> </w:t>
      </w:r>
      <w:r w:rsidR="008B0B7B" w:rsidRPr="00D67595">
        <w:rPr>
          <w:b w:val="0"/>
          <w:bCs/>
          <w:color w:val="auto"/>
          <w:sz w:val="24"/>
          <w:szCs w:val="24"/>
        </w:rPr>
        <w:t>el P</w:t>
      </w:r>
      <w:r w:rsidR="00C60B95" w:rsidRPr="00D67595">
        <w:rPr>
          <w:b w:val="0"/>
          <w:bCs/>
          <w:color w:val="auto"/>
          <w:sz w:val="24"/>
          <w:szCs w:val="24"/>
        </w:rPr>
        <w:t>I</w:t>
      </w:r>
      <w:r w:rsidR="008B0B7B" w:rsidRPr="00D67595">
        <w:rPr>
          <w:b w:val="0"/>
          <w:bCs/>
          <w:color w:val="auto"/>
          <w:sz w:val="24"/>
          <w:szCs w:val="24"/>
        </w:rPr>
        <w:t xml:space="preserve">B </w:t>
      </w:r>
      <w:r w:rsidR="00C73678" w:rsidRPr="00D67595">
        <w:rPr>
          <w:b w:val="0"/>
          <w:bCs/>
          <w:color w:val="auto"/>
          <w:sz w:val="24"/>
          <w:szCs w:val="24"/>
        </w:rPr>
        <w:t xml:space="preserve">oportuno </w:t>
      </w:r>
      <w:r w:rsidR="00992032" w:rsidRPr="00D67595">
        <w:rPr>
          <w:b w:val="0"/>
          <w:bCs/>
          <w:color w:val="auto"/>
          <w:sz w:val="24"/>
          <w:szCs w:val="24"/>
        </w:rPr>
        <w:t xml:space="preserve">de </w:t>
      </w:r>
      <w:r w:rsidR="00454C88" w:rsidRPr="00D67595">
        <w:rPr>
          <w:b w:val="0"/>
          <w:bCs/>
          <w:color w:val="auto"/>
          <w:sz w:val="24"/>
          <w:szCs w:val="24"/>
        </w:rPr>
        <w:t xml:space="preserve">las </w:t>
      </w:r>
      <w:r w:rsidR="00BF08AB" w:rsidRPr="00D67595">
        <w:rPr>
          <w:b w:val="0"/>
          <w:bCs/>
          <w:color w:val="auto"/>
          <w:sz w:val="24"/>
          <w:szCs w:val="24"/>
        </w:rPr>
        <w:t>a</w:t>
      </w:r>
      <w:r w:rsidR="00454C88" w:rsidRPr="00D67595">
        <w:rPr>
          <w:b w:val="0"/>
          <w:bCs/>
          <w:color w:val="auto"/>
          <w:sz w:val="24"/>
          <w:szCs w:val="24"/>
        </w:rPr>
        <w:t xml:space="preserve">ctividades </w:t>
      </w:r>
      <w:r w:rsidR="006D7FFD" w:rsidRPr="00D67595">
        <w:rPr>
          <w:b w:val="0"/>
          <w:bCs/>
          <w:color w:val="auto"/>
          <w:sz w:val="24"/>
          <w:szCs w:val="24"/>
        </w:rPr>
        <w:t>primarias</w:t>
      </w:r>
      <w:r w:rsidR="00EF0435" w:rsidRPr="00D67595">
        <w:rPr>
          <w:b w:val="0"/>
          <w:bCs/>
          <w:color w:val="auto"/>
          <w:sz w:val="24"/>
          <w:szCs w:val="24"/>
        </w:rPr>
        <w:t xml:space="preserve"> </w:t>
      </w:r>
      <w:r w:rsidR="00A3243A" w:rsidRPr="00D67595">
        <w:rPr>
          <w:b w:val="0"/>
          <w:bCs/>
          <w:color w:val="auto"/>
          <w:sz w:val="24"/>
          <w:szCs w:val="24"/>
        </w:rPr>
        <w:t xml:space="preserve">avanzó </w:t>
      </w:r>
      <w:r w:rsidR="009D0122" w:rsidRPr="00D67595">
        <w:rPr>
          <w:b w:val="0"/>
          <w:bCs/>
          <w:sz w:val="24"/>
          <w:szCs w:val="24"/>
        </w:rPr>
        <w:br/>
      </w:r>
      <w:r w:rsidR="00595B43" w:rsidRPr="00D67595">
        <w:rPr>
          <w:b w:val="0"/>
          <w:bCs/>
          <w:color w:val="auto"/>
          <w:sz w:val="24"/>
          <w:szCs w:val="24"/>
        </w:rPr>
        <w:t>2</w:t>
      </w:r>
      <w:r w:rsidR="006D7FFD" w:rsidRPr="00D67595">
        <w:rPr>
          <w:b w:val="0"/>
          <w:bCs/>
          <w:color w:val="auto"/>
          <w:sz w:val="24"/>
          <w:szCs w:val="24"/>
        </w:rPr>
        <w:t xml:space="preserve"> </w:t>
      </w:r>
      <w:r w:rsidR="0AF78907" w:rsidRPr="00D67595">
        <w:rPr>
          <w:b w:val="0"/>
          <w:bCs/>
          <w:color w:val="auto"/>
          <w:sz w:val="24"/>
          <w:szCs w:val="24"/>
        </w:rPr>
        <w:t>%</w:t>
      </w:r>
      <w:r w:rsidR="00CB10C9" w:rsidRPr="00D67595">
        <w:rPr>
          <w:b w:val="0"/>
          <w:bCs/>
          <w:color w:val="auto"/>
          <w:sz w:val="24"/>
          <w:szCs w:val="24"/>
        </w:rPr>
        <w:t>;</w:t>
      </w:r>
      <w:r w:rsidR="00992032" w:rsidRPr="00D67595">
        <w:rPr>
          <w:b w:val="0"/>
          <w:bCs/>
          <w:color w:val="auto"/>
          <w:sz w:val="24"/>
          <w:szCs w:val="24"/>
        </w:rPr>
        <w:t xml:space="preserve"> </w:t>
      </w:r>
      <w:r w:rsidR="00BF4D2A" w:rsidRPr="00D67595">
        <w:rPr>
          <w:b w:val="0"/>
          <w:bCs/>
          <w:color w:val="auto"/>
          <w:sz w:val="24"/>
          <w:szCs w:val="24"/>
        </w:rPr>
        <w:t>el de</w:t>
      </w:r>
      <w:r w:rsidR="007F1BF0" w:rsidRPr="00D67595">
        <w:rPr>
          <w:b w:val="0"/>
          <w:bCs/>
          <w:color w:val="auto"/>
          <w:sz w:val="24"/>
          <w:szCs w:val="24"/>
        </w:rPr>
        <w:t xml:space="preserve"> </w:t>
      </w:r>
      <w:r w:rsidR="00BB3CAF" w:rsidRPr="00D67595">
        <w:rPr>
          <w:b w:val="0"/>
          <w:bCs/>
          <w:color w:val="auto"/>
          <w:sz w:val="24"/>
          <w:szCs w:val="24"/>
        </w:rPr>
        <w:t xml:space="preserve">las </w:t>
      </w:r>
      <w:r w:rsidR="00595B43" w:rsidRPr="00D67595">
        <w:rPr>
          <w:b w:val="0"/>
          <w:bCs/>
          <w:color w:val="auto"/>
          <w:sz w:val="24"/>
          <w:szCs w:val="24"/>
        </w:rPr>
        <w:t>secundarias</w:t>
      </w:r>
      <w:r w:rsidR="006D7FFD" w:rsidRPr="00D67595">
        <w:rPr>
          <w:b w:val="0"/>
          <w:bCs/>
          <w:color w:val="auto"/>
          <w:sz w:val="24"/>
          <w:szCs w:val="24"/>
        </w:rPr>
        <w:t xml:space="preserve">, </w:t>
      </w:r>
      <w:r w:rsidR="00595B43" w:rsidRPr="00D67595">
        <w:rPr>
          <w:b w:val="0"/>
          <w:bCs/>
          <w:color w:val="auto"/>
          <w:sz w:val="24"/>
          <w:szCs w:val="24"/>
        </w:rPr>
        <w:t>0.4</w:t>
      </w:r>
      <w:r w:rsidR="006D7FFD" w:rsidRPr="00D67595">
        <w:rPr>
          <w:b w:val="0"/>
          <w:bCs/>
          <w:color w:val="auto"/>
          <w:sz w:val="24"/>
          <w:szCs w:val="24"/>
        </w:rPr>
        <w:t xml:space="preserve"> %</w:t>
      </w:r>
      <w:r w:rsidR="007F1BF0" w:rsidRPr="00D67595">
        <w:rPr>
          <w:b w:val="0"/>
          <w:bCs/>
          <w:color w:val="auto"/>
          <w:sz w:val="24"/>
          <w:szCs w:val="24"/>
        </w:rPr>
        <w:t xml:space="preserve"> </w:t>
      </w:r>
      <w:r w:rsidR="009C6C22" w:rsidRPr="00D67595">
        <w:rPr>
          <w:b w:val="0"/>
          <w:bCs/>
          <w:color w:val="auto"/>
          <w:sz w:val="24"/>
          <w:szCs w:val="24"/>
        </w:rPr>
        <w:t xml:space="preserve">y </w:t>
      </w:r>
      <w:r w:rsidR="006D7FFD" w:rsidRPr="00D67595">
        <w:rPr>
          <w:b w:val="0"/>
          <w:bCs/>
          <w:color w:val="auto"/>
          <w:sz w:val="24"/>
          <w:szCs w:val="24"/>
        </w:rPr>
        <w:t xml:space="preserve">el de las </w:t>
      </w:r>
      <w:r w:rsidR="00595B43" w:rsidRPr="00D67595">
        <w:rPr>
          <w:b w:val="0"/>
          <w:bCs/>
          <w:color w:val="auto"/>
          <w:sz w:val="24"/>
          <w:szCs w:val="24"/>
        </w:rPr>
        <w:t>terciarias,</w:t>
      </w:r>
      <w:r w:rsidR="00A3243A" w:rsidRPr="00D67595">
        <w:rPr>
          <w:b w:val="0"/>
          <w:bCs/>
          <w:color w:val="auto"/>
          <w:sz w:val="24"/>
          <w:szCs w:val="24"/>
        </w:rPr>
        <w:t xml:space="preserve"> 0</w:t>
      </w:r>
      <w:r w:rsidR="007F1BF0" w:rsidRPr="00D67595">
        <w:rPr>
          <w:b w:val="0"/>
          <w:bCs/>
          <w:color w:val="auto"/>
          <w:sz w:val="24"/>
          <w:szCs w:val="24"/>
        </w:rPr>
        <w:t>.</w:t>
      </w:r>
      <w:r w:rsidR="00595B43" w:rsidRPr="00D67595">
        <w:rPr>
          <w:b w:val="0"/>
          <w:bCs/>
          <w:color w:val="auto"/>
          <w:sz w:val="24"/>
          <w:szCs w:val="24"/>
        </w:rPr>
        <w:t>2</w:t>
      </w:r>
      <w:r w:rsidR="008E5A5F" w:rsidRPr="00D67595">
        <w:rPr>
          <w:b w:val="0"/>
          <w:bCs/>
          <w:color w:val="auto"/>
          <w:sz w:val="24"/>
          <w:szCs w:val="24"/>
        </w:rPr>
        <w:t xml:space="preserve"> </w:t>
      </w:r>
      <w:r w:rsidR="6DCE5F65" w:rsidRPr="00D67595">
        <w:rPr>
          <w:b w:val="0"/>
          <w:bCs/>
          <w:color w:val="auto"/>
          <w:sz w:val="24"/>
          <w:szCs w:val="24"/>
        </w:rPr>
        <w:t>%</w:t>
      </w:r>
      <w:r w:rsidR="00AC53B1" w:rsidRPr="00D67595">
        <w:rPr>
          <w:b w:val="0"/>
          <w:bCs/>
          <w:color w:val="auto"/>
          <w:sz w:val="24"/>
          <w:szCs w:val="24"/>
        </w:rPr>
        <w:t xml:space="preserve"> en el</w:t>
      </w:r>
      <w:r w:rsidR="00961D4F" w:rsidRPr="00D67595">
        <w:rPr>
          <w:b w:val="0"/>
          <w:bCs/>
          <w:color w:val="auto"/>
          <w:sz w:val="24"/>
          <w:szCs w:val="24"/>
        </w:rPr>
        <w:t xml:space="preserve"> </w:t>
      </w:r>
      <w:r w:rsidR="0057055D" w:rsidRPr="00D67595">
        <w:rPr>
          <w:b w:val="0"/>
          <w:bCs/>
          <w:color w:val="auto"/>
          <w:sz w:val="24"/>
          <w:szCs w:val="24"/>
        </w:rPr>
        <w:t xml:space="preserve">cuarto </w:t>
      </w:r>
      <w:r w:rsidR="00642B3F" w:rsidRPr="00D67595">
        <w:rPr>
          <w:b w:val="0"/>
          <w:bCs/>
          <w:color w:val="auto"/>
          <w:sz w:val="24"/>
          <w:szCs w:val="24"/>
        </w:rPr>
        <w:t xml:space="preserve">trimestre </w:t>
      </w:r>
      <w:r w:rsidR="00BF08AB" w:rsidRPr="00D67595">
        <w:rPr>
          <w:b w:val="0"/>
          <w:bCs/>
          <w:color w:val="auto"/>
          <w:sz w:val="24"/>
          <w:szCs w:val="24"/>
        </w:rPr>
        <w:t>de 202</w:t>
      </w:r>
      <w:r w:rsidR="00C73678" w:rsidRPr="00D67595">
        <w:rPr>
          <w:b w:val="0"/>
          <w:bCs/>
          <w:color w:val="auto"/>
          <w:sz w:val="24"/>
          <w:szCs w:val="24"/>
        </w:rPr>
        <w:t>2</w:t>
      </w:r>
      <w:r w:rsidR="00454C88" w:rsidRPr="00D67595">
        <w:rPr>
          <w:b w:val="0"/>
          <w:bCs/>
          <w:color w:val="auto"/>
          <w:sz w:val="24"/>
          <w:szCs w:val="24"/>
        </w:rPr>
        <w:t>.</w:t>
      </w:r>
      <w:r w:rsidR="00040160" w:rsidRPr="00D67595">
        <w:rPr>
          <w:b w:val="0"/>
          <w:bCs/>
          <w:color w:val="auto"/>
          <w:sz w:val="24"/>
          <w:szCs w:val="24"/>
        </w:rPr>
        <w:t xml:space="preserve"> </w:t>
      </w:r>
    </w:p>
    <w:p w14:paraId="13D6EBAC" w14:textId="77777777" w:rsidR="00D67595" w:rsidRDefault="00D67595" w:rsidP="00D67595">
      <w:pPr>
        <w:pStyle w:val="bullet"/>
        <w:numPr>
          <w:ilvl w:val="0"/>
          <w:numId w:val="0"/>
        </w:numPr>
        <w:ind w:left="-284" w:right="-517"/>
        <w:rPr>
          <w:b w:val="0"/>
          <w:bCs/>
          <w:color w:val="auto"/>
          <w:sz w:val="24"/>
          <w:szCs w:val="24"/>
        </w:rPr>
      </w:pPr>
    </w:p>
    <w:p w14:paraId="008BCF06" w14:textId="77777777" w:rsidR="00D67595" w:rsidRPr="00230D75" w:rsidRDefault="00D67595" w:rsidP="00D67595">
      <w:pPr>
        <w:pStyle w:val="Textoindependiente"/>
        <w:jc w:val="center"/>
        <w:rPr>
          <w:b/>
          <w:smallCaps/>
          <w:sz w:val="22"/>
          <w:szCs w:val="22"/>
        </w:rPr>
      </w:pPr>
      <w:r w:rsidRPr="00230D75">
        <w:rPr>
          <w:b/>
          <w:smallCaps/>
          <w:sz w:val="22"/>
          <w:szCs w:val="22"/>
        </w:rPr>
        <w:t xml:space="preserve">Estimación Oportuna del Producto Interno Bruto </w:t>
      </w:r>
      <w:r>
        <w:rPr>
          <w:b/>
          <w:smallCaps/>
          <w:sz w:val="22"/>
          <w:szCs w:val="22"/>
        </w:rPr>
        <w:t>Trimestral</w:t>
      </w:r>
    </w:p>
    <w:p w14:paraId="0E91D20E" w14:textId="77777777" w:rsidR="00D67595" w:rsidRPr="00230D75" w:rsidRDefault="00D67595" w:rsidP="00D67595">
      <w:pPr>
        <w:pStyle w:val="Textoindependiente"/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cuarto </w:t>
      </w:r>
      <w:r w:rsidRPr="00230D75">
        <w:rPr>
          <w:b/>
          <w:smallCaps/>
          <w:sz w:val="22"/>
          <w:szCs w:val="22"/>
        </w:rPr>
        <w:t>trimestre de 202</w:t>
      </w:r>
      <w:r>
        <w:rPr>
          <w:b/>
          <w:smallCaps/>
          <w:sz w:val="22"/>
          <w:szCs w:val="22"/>
        </w:rPr>
        <w:t>2</w:t>
      </w:r>
    </w:p>
    <w:p w14:paraId="0B341FC5" w14:textId="77777777" w:rsidR="00D67595" w:rsidRDefault="00D67595" w:rsidP="00D67595">
      <w:pPr>
        <w:pStyle w:val="Textoindependiente"/>
        <w:jc w:val="center"/>
        <w:rPr>
          <w:rFonts w:cs="Arial"/>
          <w:b/>
          <w:smallCaps/>
          <w:color w:val="auto"/>
          <w:sz w:val="22"/>
          <w:szCs w:val="22"/>
        </w:rPr>
      </w:pPr>
      <w:r w:rsidRPr="00230D75">
        <w:rPr>
          <w:b/>
          <w:smallCaps/>
          <w:sz w:val="22"/>
          <w:szCs w:val="22"/>
        </w:rPr>
        <w:t xml:space="preserve">cifras desestacionalizadas </w:t>
      </w:r>
    </w:p>
    <w:tbl>
      <w:tblPr>
        <w:tblW w:w="7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1758"/>
        <w:gridCol w:w="1758"/>
        <w:gridCol w:w="1758"/>
      </w:tblGrid>
      <w:tr w:rsidR="00D67595" w:rsidRPr="004B5894" w14:paraId="45054E61" w14:textId="77777777" w:rsidTr="00517035">
        <w:trPr>
          <w:trHeight w:val="344"/>
          <w:jc w:val="center"/>
        </w:trPr>
        <w:tc>
          <w:tcPr>
            <w:tcW w:w="23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9B37599" w14:textId="77777777" w:rsidR="00D67595" w:rsidRPr="004A352E" w:rsidRDefault="00D67595" w:rsidP="00517035">
            <w:pPr>
              <w:widowControl/>
              <w:ind w:left="-85"/>
              <w:jc w:val="center"/>
              <w:rPr>
                <w:rFonts w:cs="Arial"/>
                <w:snapToGrid/>
                <w:sz w:val="16"/>
                <w:lang w:val="es-MX" w:eastAsia="es-MX"/>
              </w:rPr>
            </w:pPr>
            <w:r w:rsidRPr="004A352E">
              <w:rPr>
                <w:rFonts w:cs="Arial"/>
                <w:snapToGrid/>
                <w:sz w:val="16"/>
                <w:lang w:val="es-MX" w:eastAsia="es-MX"/>
              </w:rPr>
              <w:t>Concepto</w:t>
            </w:r>
          </w:p>
        </w:tc>
        <w:tc>
          <w:tcPr>
            <w:tcW w:w="3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4B34ECB" w14:textId="77777777" w:rsidR="00D67595" w:rsidRPr="004A352E" w:rsidRDefault="00D67595" w:rsidP="00517035">
            <w:pPr>
              <w:widowControl/>
              <w:jc w:val="center"/>
              <w:rPr>
                <w:rFonts w:cs="Arial"/>
                <w:snapToGrid/>
                <w:sz w:val="16"/>
                <w:lang w:val="es-MX" w:eastAsia="es-MX"/>
              </w:rPr>
            </w:pPr>
            <w:r w:rsidRPr="004A352E">
              <w:rPr>
                <w:rFonts w:cs="Arial"/>
                <w:snapToGrid/>
                <w:sz w:val="16"/>
                <w:lang w:val="es-MX" w:eastAsia="es-MX"/>
              </w:rPr>
              <w:t xml:space="preserve">Variación </w:t>
            </w:r>
            <w:r>
              <w:rPr>
                <w:rFonts w:cs="Arial"/>
                <w:snapToGrid/>
                <w:sz w:val="16"/>
                <w:lang w:val="es-MX" w:eastAsia="es-MX"/>
              </w:rPr>
              <w:t>porcentual</w:t>
            </w:r>
            <w:r w:rsidRPr="004A352E">
              <w:rPr>
                <w:rFonts w:cs="Arial"/>
                <w:snapToGrid/>
                <w:sz w:val="16"/>
                <w:lang w:val="es-MX" w:eastAsia="es-MX"/>
              </w:rPr>
              <w:t xml:space="preserve"> real respecto</w:t>
            </w:r>
            <w:r>
              <w:rPr>
                <w:rFonts w:cs="Arial"/>
                <w:snapToGrid/>
                <w:sz w:val="16"/>
                <w:lang w:val="es-MX" w:eastAsia="es-MX"/>
              </w:rPr>
              <w:t xml:space="preserve"> al</w:t>
            </w:r>
            <w:r w:rsidRPr="004A352E">
              <w:rPr>
                <w:rFonts w:cs="Arial"/>
                <w:snapToGrid/>
                <w:sz w:val="16"/>
                <w:lang w:val="es-MX" w:eastAsia="es-MX"/>
              </w:rPr>
              <w:t>:</w:t>
            </w:r>
          </w:p>
        </w:tc>
        <w:tc>
          <w:tcPr>
            <w:tcW w:w="17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DE27DEB" w14:textId="77777777" w:rsidR="00D67595" w:rsidRPr="004A352E" w:rsidRDefault="00D67595" w:rsidP="00517035">
            <w:pPr>
              <w:widowControl/>
              <w:jc w:val="center"/>
              <w:rPr>
                <w:rFonts w:cs="Arial"/>
                <w:snapToGrid/>
                <w:sz w:val="16"/>
                <w:lang w:val="es-MX" w:eastAsia="es-MX"/>
              </w:rPr>
            </w:pPr>
            <w:r>
              <w:rPr>
                <w:rFonts w:cs="Arial"/>
                <w:snapToGrid/>
                <w:sz w:val="16"/>
                <w:lang w:val="es-MX" w:eastAsia="es-MX"/>
              </w:rPr>
              <w:t>Variación porcentual anual</w:t>
            </w:r>
            <w:r>
              <w:rPr>
                <w:rFonts w:cs="Arial"/>
                <w:snapToGrid/>
                <w:sz w:val="16"/>
                <w:lang w:val="es-MX" w:eastAsia="es-MX"/>
              </w:rPr>
              <w:br/>
              <w:t>2022 vs. 2021</w:t>
            </w:r>
          </w:p>
        </w:tc>
      </w:tr>
      <w:tr w:rsidR="00D67595" w:rsidRPr="004B5894" w14:paraId="204ABD3D" w14:textId="77777777" w:rsidTr="00517035">
        <w:trPr>
          <w:trHeight w:val="454"/>
          <w:jc w:val="center"/>
        </w:trPr>
        <w:tc>
          <w:tcPr>
            <w:tcW w:w="23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79CA6F1" w14:textId="77777777" w:rsidR="00D67595" w:rsidRPr="004A352E" w:rsidRDefault="00D67595" w:rsidP="00517035">
            <w:pPr>
              <w:widowControl/>
              <w:ind w:left="-85"/>
              <w:jc w:val="center"/>
              <w:rPr>
                <w:rFonts w:cs="Arial"/>
                <w:snapToGrid/>
                <w:sz w:val="16"/>
                <w:lang w:val="es-MX" w:eastAsia="es-MX"/>
              </w:rPr>
            </w:pPr>
          </w:p>
        </w:tc>
        <w:tc>
          <w:tcPr>
            <w:tcW w:w="17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FBD653C" w14:textId="77777777" w:rsidR="00D67595" w:rsidRPr="004A352E" w:rsidRDefault="00D67595" w:rsidP="00517035">
            <w:pPr>
              <w:widowControl/>
              <w:jc w:val="center"/>
              <w:rPr>
                <w:rFonts w:cs="Arial"/>
                <w:snapToGrid/>
                <w:sz w:val="16"/>
                <w:lang w:val="es-MX" w:eastAsia="es-MX"/>
              </w:rPr>
            </w:pPr>
            <w:r>
              <w:rPr>
                <w:rFonts w:cs="Arial"/>
                <w:snapToGrid/>
                <w:sz w:val="16"/>
                <w:lang w:val="es-MX" w:eastAsia="es-MX"/>
              </w:rPr>
              <w:t>T</w:t>
            </w:r>
            <w:r w:rsidRPr="004A352E">
              <w:rPr>
                <w:rFonts w:cs="Arial"/>
                <w:snapToGrid/>
                <w:sz w:val="16"/>
                <w:lang w:val="es-MX" w:eastAsia="es-MX"/>
              </w:rPr>
              <w:t>rimestre previo</w:t>
            </w:r>
          </w:p>
        </w:tc>
        <w:tc>
          <w:tcPr>
            <w:tcW w:w="17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FE1880A" w14:textId="77777777" w:rsidR="00D67595" w:rsidRPr="004A352E" w:rsidRDefault="00D67595" w:rsidP="00517035">
            <w:pPr>
              <w:widowControl/>
              <w:jc w:val="center"/>
              <w:rPr>
                <w:rFonts w:cs="Arial"/>
                <w:snapToGrid/>
                <w:sz w:val="16"/>
                <w:lang w:val="es-MX" w:eastAsia="es-MX"/>
              </w:rPr>
            </w:pPr>
            <w:r>
              <w:rPr>
                <w:rFonts w:cs="Arial"/>
                <w:snapToGrid/>
                <w:sz w:val="16"/>
                <w:lang w:val="es-MX" w:eastAsia="es-MX"/>
              </w:rPr>
              <w:t>Mismo</w:t>
            </w:r>
            <w:r w:rsidRPr="004A352E">
              <w:rPr>
                <w:rFonts w:cs="Arial"/>
                <w:snapToGrid/>
                <w:sz w:val="16"/>
                <w:lang w:val="es-MX" w:eastAsia="es-MX"/>
              </w:rPr>
              <w:t xml:space="preserve"> trimestre </w:t>
            </w:r>
          </w:p>
          <w:p w14:paraId="7A2CA7EB" w14:textId="77777777" w:rsidR="00D67595" w:rsidRPr="004A352E" w:rsidRDefault="00D67595" w:rsidP="00517035">
            <w:pPr>
              <w:widowControl/>
              <w:jc w:val="center"/>
              <w:rPr>
                <w:rFonts w:cs="Arial"/>
                <w:snapToGrid/>
                <w:sz w:val="16"/>
                <w:lang w:val="es-MX" w:eastAsia="es-MX"/>
              </w:rPr>
            </w:pPr>
            <w:r w:rsidRPr="004A352E">
              <w:rPr>
                <w:rFonts w:cs="Arial"/>
                <w:snapToGrid/>
                <w:sz w:val="16"/>
                <w:lang w:val="es-MX" w:eastAsia="es-MX"/>
              </w:rPr>
              <w:t>de 2021</w:t>
            </w:r>
          </w:p>
        </w:tc>
        <w:tc>
          <w:tcPr>
            <w:tcW w:w="17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E32DCBB" w14:textId="77777777" w:rsidR="00D67595" w:rsidRPr="004A352E" w:rsidRDefault="00D67595" w:rsidP="00517035">
            <w:pPr>
              <w:widowControl/>
              <w:jc w:val="center"/>
              <w:rPr>
                <w:rFonts w:cs="Arial"/>
                <w:snapToGrid/>
                <w:sz w:val="16"/>
                <w:lang w:val="es-MX" w:eastAsia="es-MX"/>
              </w:rPr>
            </w:pPr>
          </w:p>
        </w:tc>
      </w:tr>
      <w:tr w:rsidR="00D67595" w:rsidRPr="004B5894" w14:paraId="079BB95B" w14:textId="77777777" w:rsidTr="00517035">
        <w:trPr>
          <w:trHeight w:val="283"/>
          <w:jc w:val="center"/>
        </w:trPr>
        <w:tc>
          <w:tcPr>
            <w:tcW w:w="236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E4A95B0" w14:textId="77777777" w:rsidR="00D67595" w:rsidRPr="00294709" w:rsidRDefault="00D67595" w:rsidP="00517035">
            <w:pPr>
              <w:widowControl/>
              <w:rPr>
                <w:rFonts w:cs="Arial"/>
                <w:b/>
                <w:bCs/>
                <w:snapToGrid/>
                <w:color w:val="000000"/>
                <w:sz w:val="16"/>
                <w:lang w:val="es-MX" w:eastAsia="es-MX"/>
              </w:rPr>
            </w:pPr>
            <w:r w:rsidRPr="00294709">
              <w:rPr>
                <w:rFonts w:cs="Arial"/>
                <w:b/>
                <w:bCs/>
                <w:snapToGrid/>
                <w:color w:val="000000"/>
                <w:sz w:val="16"/>
                <w:lang w:val="es-MX" w:eastAsia="es-MX"/>
              </w:rPr>
              <w:t xml:space="preserve">PIB </w:t>
            </w:r>
            <w:r>
              <w:rPr>
                <w:rFonts w:cs="Arial"/>
                <w:b/>
                <w:bCs/>
                <w:snapToGrid/>
                <w:color w:val="000000"/>
                <w:sz w:val="16"/>
                <w:lang w:val="es-MX" w:eastAsia="es-MX"/>
              </w:rPr>
              <w:t>oportuno</w:t>
            </w:r>
          </w:p>
        </w:tc>
        <w:tc>
          <w:tcPr>
            <w:tcW w:w="17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E5D7A8C" w14:textId="77777777" w:rsidR="00D67595" w:rsidRPr="006055B7" w:rsidRDefault="00D67595" w:rsidP="00517035">
            <w:pPr>
              <w:widowControl/>
              <w:ind w:right="680"/>
              <w:jc w:val="right"/>
              <w:rPr>
                <w:rFonts w:cs="Arial"/>
                <w:b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b/>
                <w:snapToGrid/>
                <w:color w:val="000000"/>
                <w:sz w:val="16"/>
                <w:szCs w:val="15"/>
                <w:lang w:val="es-MX" w:eastAsia="es-MX"/>
              </w:rPr>
              <w:t>0.4</w:t>
            </w:r>
          </w:p>
        </w:tc>
        <w:tc>
          <w:tcPr>
            <w:tcW w:w="17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3331F35" w14:textId="77777777" w:rsidR="00D67595" w:rsidRPr="006055B7" w:rsidRDefault="00D67595" w:rsidP="00517035">
            <w:pPr>
              <w:widowControl/>
              <w:ind w:right="680"/>
              <w:jc w:val="right"/>
              <w:rPr>
                <w:rFonts w:cs="Arial"/>
                <w:b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b/>
                <w:snapToGrid/>
                <w:color w:val="000000"/>
                <w:sz w:val="16"/>
                <w:szCs w:val="15"/>
                <w:lang w:val="es-MX" w:eastAsia="es-MX"/>
              </w:rPr>
              <w:t>3.6</w:t>
            </w:r>
          </w:p>
        </w:tc>
        <w:tc>
          <w:tcPr>
            <w:tcW w:w="17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B40FFA1" w14:textId="77777777" w:rsidR="00D67595" w:rsidRPr="006055B7" w:rsidRDefault="00D67595" w:rsidP="00517035">
            <w:pPr>
              <w:widowControl/>
              <w:ind w:right="680"/>
              <w:jc w:val="right"/>
              <w:rPr>
                <w:rFonts w:cs="Arial"/>
                <w:b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b/>
                <w:snapToGrid/>
                <w:color w:val="000000"/>
                <w:sz w:val="16"/>
                <w:szCs w:val="15"/>
                <w:lang w:val="es-MX" w:eastAsia="es-MX"/>
              </w:rPr>
              <w:t>3.0</w:t>
            </w:r>
          </w:p>
        </w:tc>
      </w:tr>
      <w:tr w:rsidR="00D67595" w:rsidRPr="004B5894" w14:paraId="3F14E24C" w14:textId="77777777" w:rsidTr="00517035">
        <w:trPr>
          <w:trHeight w:val="283"/>
          <w:jc w:val="center"/>
        </w:trPr>
        <w:tc>
          <w:tcPr>
            <w:tcW w:w="236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C2280E4" w14:textId="77777777" w:rsidR="00D67595" w:rsidRPr="00294709" w:rsidRDefault="00D67595" w:rsidP="00517035">
            <w:pPr>
              <w:widowControl/>
              <w:ind w:left="57"/>
              <w:rPr>
                <w:rFonts w:cs="Arial"/>
                <w:snapToGrid/>
                <w:color w:val="000000"/>
                <w:sz w:val="16"/>
                <w:lang w:val="es-MX" w:eastAsia="es-MX"/>
              </w:rPr>
            </w:pPr>
            <w:r w:rsidRPr="00294709">
              <w:rPr>
                <w:rFonts w:cs="Arial"/>
                <w:snapToGrid/>
                <w:color w:val="000000"/>
                <w:sz w:val="16"/>
                <w:lang w:val="es-MX" w:eastAsia="es-MX"/>
              </w:rPr>
              <w:t xml:space="preserve">Actividades </w:t>
            </w:r>
            <w:r>
              <w:rPr>
                <w:rFonts w:cs="Arial"/>
                <w:snapToGrid/>
                <w:color w:val="000000"/>
                <w:sz w:val="16"/>
                <w:lang w:val="es-MX" w:eastAsia="es-MX"/>
              </w:rPr>
              <w:t>p</w:t>
            </w:r>
            <w:r w:rsidRPr="00294709">
              <w:rPr>
                <w:rFonts w:cs="Arial"/>
                <w:snapToGrid/>
                <w:color w:val="000000"/>
                <w:sz w:val="16"/>
                <w:lang w:val="es-MX" w:eastAsia="es-MX"/>
              </w:rPr>
              <w:t xml:space="preserve">rimarias </w:t>
            </w:r>
          </w:p>
        </w:tc>
        <w:tc>
          <w:tcPr>
            <w:tcW w:w="17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2B7AACE" w14:textId="77777777" w:rsidR="00D67595" w:rsidRPr="006055B7" w:rsidRDefault="00D67595" w:rsidP="00517035">
            <w:pPr>
              <w:widowControl/>
              <w:ind w:right="680"/>
              <w:jc w:val="right"/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  <w:t>2.0</w:t>
            </w:r>
          </w:p>
        </w:tc>
        <w:tc>
          <w:tcPr>
            <w:tcW w:w="17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B2083F7" w14:textId="77777777" w:rsidR="00D67595" w:rsidRPr="006055B7" w:rsidRDefault="00D67595" w:rsidP="00517035">
            <w:pPr>
              <w:widowControl/>
              <w:ind w:right="680"/>
              <w:jc w:val="right"/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  <w:t>6.3</w:t>
            </w:r>
          </w:p>
        </w:tc>
        <w:tc>
          <w:tcPr>
            <w:tcW w:w="17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973807B" w14:textId="77777777" w:rsidR="00D67595" w:rsidRPr="006055B7" w:rsidRDefault="00D67595" w:rsidP="00517035">
            <w:pPr>
              <w:widowControl/>
              <w:ind w:right="680"/>
              <w:jc w:val="right"/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  <w:t>2.8</w:t>
            </w:r>
          </w:p>
        </w:tc>
      </w:tr>
      <w:tr w:rsidR="00D67595" w:rsidRPr="004B5894" w14:paraId="2159E8E1" w14:textId="77777777" w:rsidTr="00517035">
        <w:trPr>
          <w:trHeight w:val="283"/>
          <w:jc w:val="center"/>
        </w:trPr>
        <w:tc>
          <w:tcPr>
            <w:tcW w:w="236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F3A61DE" w14:textId="77777777" w:rsidR="00D67595" w:rsidRPr="00294709" w:rsidRDefault="00D67595" w:rsidP="00517035">
            <w:pPr>
              <w:widowControl/>
              <w:ind w:left="57"/>
              <w:rPr>
                <w:rFonts w:cs="Arial"/>
                <w:snapToGrid/>
                <w:color w:val="000000"/>
                <w:sz w:val="16"/>
                <w:lang w:val="es-MX" w:eastAsia="es-MX"/>
              </w:rPr>
            </w:pPr>
            <w:r w:rsidRPr="00294709">
              <w:rPr>
                <w:rFonts w:cs="Arial"/>
                <w:snapToGrid/>
                <w:color w:val="000000"/>
                <w:sz w:val="16"/>
                <w:lang w:val="es-MX" w:eastAsia="es-MX"/>
              </w:rPr>
              <w:t xml:space="preserve">Actividades </w:t>
            </w:r>
            <w:r>
              <w:rPr>
                <w:rFonts w:cs="Arial"/>
                <w:snapToGrid/>
                <w:color w:val="000000"/>
                <w:sz w:val="16"/>
                <w:lang w:val="es-MX" w:eastAsia="es-MX"/>
              </w:rPr>
              <w:t>s</w:t>
            </w:r>
            <w:r w:rsidRPr="00294709">
              <w:rPr>
                <w:rFonts w:cs="Arial"/>
                <w:snapToGrid/>
                <w:color w:val="000000"/>
                <w:sz w:val="16"/>
                <w:lang w:val="es-MX" w:eastAsia="es-MX"/>
              </w:rPr>
              <w:t xml:space="preserve">ecundarias </w:t>
            </w:r>
          </w:p>
        </w:tc>
        <w:tc>
          <w:tcPr>
            <w:tcW w:w="17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DC9367A" w14:textId="77777777" w:rsidR="00D67595" w:rsidRPr="006055B7" w:rsidRDefault="00D67595" w:rsidP="00517035">
            <w:pPr>
              <w:widowControl/>
              <w:ind w:right="680"/>
              <w:jc w:val="right"/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  <w:t>0.4</w:t>
            </w:r>
          </w:p>
        </w:tc>
        <w:tc>
          <w:tcPr>
            <w:tcW w:w="17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B3B9BF8" w14:textId="77777777" w:rsidR="00D67595" w:rsidRPr="006055B7" w:rsidRDefault="00D67595" w:rsidP="00517035">
            <w:pPr>
              <w:widowControl/>
              <w:ind w:right="680"/>
              <w:jc w:val="right"/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  <w:t>3.0</w:t>
            </w:r>
          </w:p>
        </w:tc>
        <w:tc>
          <w:tcPr>
            <w:tcW w:w="17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8DB5508" w14:textId="77777777" w:rsidR="00D67595" w:rsidRPr="006055B7" w:rsidRDefault="00D67595" w:rsidP="00517035">
            <w:pPr>
              <w:widowControl/>
              <w:ind w:right="680"/>
              <w:jc w:val="right"/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  <w:t>3.2</w:t>
            </w:r>
          </w:p>
        </w:tc>
      </w:tr>
      <w:tr w:rsidR="00D67595" w:rsidRPr="004B5894" w14:paraId="7D1055E8" w14:textId="77777777" w:rsidTr="00517035">
        <w:trPr>
          <w:trHeight w:val="283"/>
          <w:jc w:val="center"/>
        </w:trPr>
        <w:tc>
          <w:tcPr>
            <w:tcW w:w="236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147B278" w14:textId="77777777" w:rsidR="00D67595" w:rsidRPr="00294709" w:rsidRDefault="00D67595" w:rsidP="00517035">
            <w:pPr>
              <w:widowControl/>
              <w:ind w:left="57"/>
              <w:rPr>
                <w:rFonts w:cs="Arial"/>
                <w:snapToGrid/>
                <w:color w:val="000000"/>
                <w:sz w:val="16"/>
                <w:lang w:val="es-MX" w:eastAsia="es-MX"/>
              </w:rPr>
            </w:pPr>
            <w:r w:rsidRPr="00294709">
              <w:rPr>
                <w:rFonts w:cs="Arial"/>
                <w:snapToGrid/>
                <w:color w:val="000000"/>
                <w:sz w:val="16"/>
                <w:lang w:val="es-MX" w:eastAsia="es-MX"/>
              </w:rPr>
              <w:t xml:space="preserve">Actividades </w:t>
            </w:r>
            <w:r>
              <w:rPr>
                <w:rFonts w:cs="Arial"/>
                <w:snapToGrid/>
                <w:color w:val="000000"/>
                <w:sz w:val="16"/>
                <w:lang w:val="es-MX" w:eastAsia="es-MX"/>
              </w:rPr>
              <w:t>t</w:t>
            </w:r>
            <w:r w:rsidRPr="00294709">
              <w:rPr>
                <w:rFonts w:cs="Arial"/>
                <w:snapToGrid/>
                <w:color w:val="000000"/>
                <w:sz w:val="16"/>
                <w:lang w:val="es-MX" w:eastAsia="es-MX"/>
              </w:rPr>
              <w:t xml:space="preserve">erciarias </w:t>
            </w:r>
          </w:p>
        </w:tc>
        <w:tc>
          <w:tcPr>
            <w:tcW w:w="17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69657F3" w14:textId="77777777" w:rsidR="00D67595" w:rsidRPr="006055B7" w:rsidRDefault="00D67595" w:rsidP="00517035">
            <w:pPr>
              <w:widowControl/>
              <w:ind w:right="680"/>
              <w:jc w:val="right"/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  <w:t>0.2</w:t>
            </w:r>
          </w:p>
        </w:tc>
        <w:tc>
          <w:tcPr>
            <w:tcW w:w="17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0B8BB26" w14:textId="77777777" w:rsidR="00D67595" w:rsidRPr="006055B7" w:rsidRDefault="00D67595" w:rsidP="00517035">
            <w:pPr>
              <w:widowControl/>
              <w:ind w:right="680"/>
              <w:jc w:val="right"/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  <w:t>3.6</w:t>
            </w:r>
          </w:p>
        </w:tc>
        <w:tc>
          <w:tcPr>
            <w:tcW w:w="17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F091A5" w14:textId="77777777" w:rsidR="00D67595" w:rsidRPr="006055B7" w:rsidRDefault="00D67595" w:rsidP="00517035">
            <w:pPr>
              <w:widowControl/>
              <w:ind w:right="680"/>
              <w:jc w:val="right"/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  <w:t>2.7</w:t>
            </w:r>
          </w:p>
        </w:tc>
      </w:tr>
    </w:tbl>
    <w:p w14:paraId="76BCA5DB" w14:textId="77777777" w:rsidR="00D67595" w:rsidRDefault="00D67595" w:rsidP="005D1C99">
      <w:pPr>
        <w:pStyle w:val="bullet"/>
        <w:numPr>
          <w:ilvl w:val="0"/>
          <w:numId w:val="0"/>
        </w:numPr>
        <w:tabs>
          <w:tab w:val="left" w:pos="993"/>
          <w:tab w:val="left" w:pos="8222"/>
        </w:tabs>
        <w:spacing w:before="0"/>
        <w:ind w:left="993" w:right="760" w:hanging="142"/>
        <w:rPr>
          <w:rFonts w:cs="Arial"/>
          <w:b w:val="0"/>
          <w:color w:val="000000" w:themeColor="text1"/>
          <w:sz w:val="16"/>
          <w:szCs w:val="16"/>
          <w:lang w:val="es-MX"/>
        </w:rPr>
      </w:pPr>
      <w:r w:rsidRPr="00A0204E">
        <w:rPr>
          <w:rFonts w:cs="Arial"/>
          <w:b w:val="0"/>
          <w:color w:val="000000" w:themeColor="text1"/>
          <w:sz w:val="16"/>
          <w:szCs w:val="16"/>
          <w:lang w:val="es-MX"/>
        </w:rPr>
        <w:t xml:space="preserve">Notas: Cifras </w:t>
      </w:r>
      <w:r>
        <w:rPr>
          <w:rFonts w:cs="Arial"/>
          <w:b w:val="0"/>
          <w:color w:val="000000" w:themeColor="text1"/>
          <w:sz w:val="16"/>
          <w:szCs w:val="16"/>
          <w:lang w:val="es-MX"/>
        </w:rPr>
        <w:t>o</w:t>
      </w:r>
      <w:r w:rsidRPr="00A0204E">
        <w:rPr>
          <w:rFonts w:cs="Arial"/>
          <w:b w:val="0"/>
          <w:color w:val="000000" w:themeColor="text1"/>
          <w:sz w:val="16"/>
          <w:szCs w:val="16"/>
          <w:lang w:val="es-MX"/>
        </w:rPr>
        <w:t>portunas. La estimación oportuna no re</w:t>
      </w:r>
      <w:r>
        <w:rPr>
          <w:rFonts w:cs="Arial"/>
          <w:b w:val="0"/>
          <w:color w:val="000000" w:themeColor="text1"/>
          <w:sz w:val="16"/>
          <w:szCs w:val="16"/>
          <w:lang w:val="es-MX"/>
        </w:rPr>
        <w:t>e</w:t>
      </w:r>
      <w:r w:rsidRPr="00A0204E">
        <w:rPr>
          <w:rFonts w:cs="Arial"/>
          <w:b w:val="0"/>
          <w:color w:val="000000" w:themeColor="text1"/>
          <w:sz w:val="16"/>
          <w:szCs w:val="16"/>
          <w:lang w:val="es-MX"/>
        </w:rPr>
        <w:t>mplaza la estimación</w:t>
      </w:r>
      <w:r>
        <w:rPr>
          <w:rFonts w:cs="Arial"/>
          <w:b w:val="0"/>
          <w:color w:val="000000" w:themeColor="text1"/>
          <w:sz w:val="16"/>
          <w:szCs w:val="16"/>
          <w:lang w:val="es-MX"/>
        </w:rPr>
        <w:t xml:space="preserve"> </w:t>
      </w:r>
      <w:r w:rsidRPr="00A0204E">
        <w:rPr>
          <w:rFonts w:cs="Arial"/>
          <w:b w:val="0"/>
          <w:color w:val="000000" w:themeColor="text1"/>
          <w:sz w:val="16"/>
          <w:szCs w:val="16"/>
          <w:lang w:val="es-MX"/>
        </w:rPr>
        <w:t>tradicional.</w:t>
      </w:r>
    </w:p>
    <w:p w14:paraId="3E33B713" w14:textId="77777777" w:rsidR="00D67595" w:rsidRDefault="00D67595" w:rsidP="005D1C99">
      <w:pPr>
        <w:pStyle w:val="bullet"/>
        <w:numPr>
          <w:ilvl w:val="0"/>
          <w:numId w:val="0"/>
        </w:numPr>
        <w:tabs>
          <w:tab w:val="left" w:pos="993"/>
          <w:tab w:val="left" w:pos="8222"/>
        </w:tabs>
        <w:spacing w:before="0"/>
        <w:ind w:left="993" w:right="760" w:hanging="142"/>
        <w:rPr>
          <w:rFonts w:cs="Arial"/>
          <w:b w:val="0"/>
          <w:color w:val="auto"/>
          <w:sz w:val="16"/>
        </w:rPr>
      </w:pPr>
      <w:r w:rsidRPr="009570BB">
        <w:rPr>
          <w:rFonts w:cs="Arial"/>
          <w:b w:val="0"/>
          <w:color w:val="auto"/>
          <w:sz w:val="16"/>
        </w:rPr>
        <w:t>La serie desestacionalizada de</w:t>
      </w:r>
      <w:r>
        <w:rPr>
          <w:rFonts w:cs="Arial"/>
          <w:b w:val="0"/>
          <w:color w:val="auto"/>
          <w:sz w:val="16"/>
        </w:rPr>
        <w:t>l</w:t>
      </w:r>
      <w:r w:rsidRPr="009570BB">
        <w:rPr>
          <w:rFonts w:cs="Arial"/>
          <w:b w:val="0"/>
          <w:color w:val="auto"/>
          <w:sz w:val="16"/>
        </w:rPr>
        <w:t xml:space="preserve"> </w:t>
      </w:r>
      <w:r>
        <w:rPr>
          <w:rFonts w:cs="Arial"/>
          <w:b w:val="0"/>
          <w:color w:val="auto"/>
          <w:sz w:val="16"/>
        </w:rPr>
        <w:t>agregado</w:t>
      </w:r>
      <w:r w:rsidRPr="009570BB">
        <w:rPr>
          <w:rFonts w:cs="Arial"/>
          <w:b w:val="0"/>
          <w:color w:val="auto"/>
          <w:sz w:val="16"/>
        </w:rPr>
        <w:t xml:space="preserve"> se calcula de manera independiente a la de sus</w:t>
      </w:r>
      <w:r>
        <w:rPr>
          <w:rFonts w:cs="Arial"/>
          <w:b w:val="0"/>
          <w:color w:val="auto"/>
          <w:sz w:val="16"/>
        </w:rPr>
        <w:t xml:space="preserve"> </w:t>
      </w:r>
      <w:r w:rsidRPr="009570BB">
        <w:rPr>
          <w:rFonts w:cs="Arial"/>
          <w:b w:val="0"/>
          <w:color w:val="auto"/>
          <w:sz w:val="16"/>
        </w:rPr>
        <w:t>componentes.</w:t>
      </w:r>
    </w:p>
    <w:p w14:paraId="610318C2" w14:textId="77777777" w:rsidR="00D67595" w:rsidRDefault="00D67595" w:rsidP="005D1C99">
      <w:pPr>
        <w:widowControl/>
        <w:tabs>
          <w:tab w:val="left" w:pos="993"/>
          <w:tab w:val="left" w:pos="8222"/>
        </w:tabs>
        <w:ind w:left="993" w:right="1610" w:hanging="142"/>
        <w:jc w:val="both"/>
        <w:rPr>
          <w:rFonts w:cs="Arial"/>
          <w:color w:val="000000" w:themeColor="text1"/>
          <w:sz w:val="16"/>
          <w:szCs w:val="16"/>
        </w:rPr>
      </w:pPr>
      <w:r w:rsidRPr="004C5D14">
        <w:rPr>
          <w:rFonts w:cs="Arial"/>
          <w:color w:val="000000" w:themeColor="text1"/>
          <w:sz w:val="16"/>
          <w:szCs w:val="16"/>
        </w:rPr>
        <w:t>Fuente: INEGI</w:t>
      </w:r>
    </w:p>
    <w:p w14:paraId="2DF8D4E8" w14:textId="77777777" w:rsidR="00D67595" w:rsidRPr="00D67595" w:rsidRDefault="00D67595" w:rsidP="00D67595">
      <w:pPr>
        <w:pStyle w:val="bullet"/>
        <w:numPr>
          <w:ilvl w:val="0"/>
          <w:numId w:val="0"/>
        </w:numPr>
        <w:ind w:left="-284" w:right="-517"/>
        <w:rPr>
          <w:b w:val="0"/>
          <w:bCs/>
          <w:color w:val="auto"/>
          <w:sz w:val="24"/>
          <w:szCs w:val="24"/>
        </w:rPr>
      </w:pPr>
    </w:p>
    <w:p w14:paraId="1789864D" w14:textId="44B8C2C0" w:rsidR="00C73678" w:rsidRPr="00D67595" w:rsidRDefault="00695E68" w:rsidP="00B02B25">
      <w:pPr>
        <w:pStyle w:val="bullet"/>
        <w:numPr>
          <w:ilvl w:val="0"/>
          <w:numId w:val="0"/>
        </w:numPr>
        <w:spacing w:after="240"/>
        <w:ind w:left="-284" w:right="-233"/>
        <w:rPr>
          <w:b w:val="0"/>
          <w:bCs/>
          <w:color w:val="auto"/>
          <w:sz w:val="24"/>
          <w:szCs w:val="24"/>
        </w:rPr>
      </w:pPr>
      <w:r w:rsidRPr="00D67595">
        <w:rPr>
          <w:b w:val="0"/>
          <w:bCs/>
          <w:color w:val="auto"/>
          <w:sz w:val="24"/>
          <w:szCs w:val="24"/>
        </w:rPr>
        <w:t xml:space="preserve">En el trimestre </w:t>
      </w:r>
      <w:r w:rsidR="00C65CC1" w:rsidRPr="00D67595">
        <w:rPr>
          <w:b w:val="0"/>
          <w:bCs/>
          <w:color w:val="auto"/>
          <w:sz w:val="24"/>
          <w:szCs w:val="24"/>
        </w:rPr>
        <w:t>de referencia</w:t>
      </w:r>
      <w:r w:rsidRPr="00D67595">
        <w:rPr>
          <w:b w:val="0"/>
          <w:bCs/>
          <w:color w:val="auto"/>
          <w:sz w:val="24"/>
          <w:szCs w:val="24"/>
        </w:rPr>
        <w:t>, a</w:t>
      </w:r>
      <w:r w:rsidR="000267F0" w:rsidRPr="00D67595">
        <w:rPr>
          <w:b w:val="0"/>
          <w:bCs/>
          <w:color w:val="auto"/>
          <w:sz w:val="24"/>
          <w:szCs w:val="24"/>
        </w:rPr>
        <w:t xml:space="preserve"> tasa</w:t>
      </w:r>
      <w:r w:rsidR="00454C88" w:rsidRPr="00D67595">
        <w:rPr>
          <w:b w:val="0"/>
          <w:bCs/>
          <w:color w:val="auto"/>
          <w:sz w:val="24"/>
          <w:szCs w:val="24"/>
        </w:rPr>
        <w:t xml:space="preserve"> anual</w:t>
      </w:r>
      <w:r w:rsidR="0020043A" w:rsidRPr="00D67595">
        <w:rPr>
          <w:b w:val="0"/>
          <w:bCs/>
          <w:color w:val="auto"/>
          <w:sz w:val="24"/>
          <w:szCs w:val="24"/>
        </w:rPr>
        <w:t xml:space="preserve"> y con series ajustadas estacionalmente</w:t>
      </w:r>
      <w:r w:rsidR="00865AA6" w:rsidRPr="00D67595">
        <w:rPr>
          <w:b w:val="0"/>
          <w:bCs/>
          <w:color w:val="auto"/>
          <w:sz w:val="24"/>
          <w:szCs w:val="24"/>
        </w:rPr>
        <w:t>,</w:t>
      </w:r>
      <w:r w:rsidR="00454C88" w:rsidRPr="00D67595">
        <w:rPr>
          <w:b w:val="0"/>
          <w:bCs/>
          <w:color w:val="auto"/>
          <w:sz w:val="24"/>
          <w:szCs w:val="24"/>
        </w:rPr>
        <w:t xml:space="preserve"> la </w:t>
      </w:r>
      <w:r w:rsidR="009D0122" w:rsidRPr="00D67595">
        <w:rPr>
          <w:b w:val="0"/>
          <w:bCs/>
          <w:color w:val="auto"/>
          <w:sz w:val="24"/>
          <w:szCs w:val="24"/>
        </w:rPr>
        <w:t>e</w:t>
      </w:r>
      <w:r w:rsidR="00454C88" w:rsidRPr="00D67595">
        <w:rPr>
          <w:b w:val="0"/>
          <w:bCs/>
          <w:color w:val="auto"/>
          <w:sz w:val="24"/>
          <w:szCs w:val="24"/>
        </w:rPr>
        <w:t xml:space="preserve">stimación </w:t>
      </w:r>
      <w:r w:rsidR="009D0122" w:rsidRPr="00D67595">
        <w:rPr>
          <w:b w:val="0"/>
          <w:bCs/>
          <w:color w:val="auto"/>
          <w:sz w:val="24"/>
          <w:szCs w:val="24"/>
        </w:rPr>
        <w:t>o</w:t>
      </w:r>
      <w:r w:rsidR="00454C88" w:rsidRPr="00D67595">
        <w:rPr>
          <w:b w:val="0"/>
          <w:bCs/>
          <w:color w:val="auto"/>
          <w:sz w:val="24"/>
          <w:szCs w:val="24"/>
        </w:rPr>
        <w:t xml:space="preserve">portuna del </w:t>
      </w:r>
      <w:r w:rsidR="009D0122" w:rsidRPr="00D67595">
        <w:rPr>
          <w:b w:val="0"/>
          <w:bCs/>
          <w:color w:val="auto"/>
          <w:sz w:val="24"/>
          <w:szCs w:val="24"/>
        </w:rPr>
        <w:t>PIB</w:t>
      </w:r>
      <w:r w:rsidR="00992032" w:rsidRPr="00D67595">
        <w:rPr>
          <w:b w:val="0"/>
          <w:bCs/>
          <w:color w:val="auto"/>
          <w:sz w:val="24"/>
          <w:szCs w:val="24"/>
        </w:rPr>
        <w:t xml:space="preserve"> </w:t>
      </w:r>
      <w:r w:rsidR="00A576EC" w:rsidRPr="00D67595">
        <w:rPr>
          <w:b w:val="0"/>
          <w:bCs/>
          <w:color w:val="auto"/>
          <w:sz w:val="24"/>
          <w:szCs w:val="24"/>
        </w:rPr>
        <w:t>ascendió</w:t>
      </w:r>
      <w:r w:rsidR="00DE4DF1" w:rsidRPr="00D67595">
        <w:rPr>
          <w:b w:val="0"/>
          <w:bCs/>
          <w:color w:val="auto"/>
          <w:sz w:val="24"/>
          <w:szCs w:val="24"/>
        </w:rPr>
        <w:t xml:space="preserve"> </w:t>
      </w:r>
      <w:r w:rsidR="00595B43" w:rsidRPr="00D67595">
        <w:rPr>
          <w:b w:val="0"/>
          <w:bCs/>
          <w:color w:val="auto"/>
          <w:sz w:val="24"/>
          <w:szCs w:val="24"/>
        </w:rPr>
        <w:t>3.6</w:t>
      </w:r>
      <w:r w:rsidR="006D7FFD" w:rsidRPr="00D67595">
        <w:rPr>
          <w:b w:val="0"/>
          <w:bCs/>
          <w:color w:val="auto"/>
          <w:sz w:val="24"/>
          <w:szCs w:val="24"/>
        </w:rPr>
        <w:t> </w:t>
      </w:r>
      <w:r w:rsidR="00DE4DF1" w:rsidRPr="00D67595">
        <w:rPr>
          <w:b w:val="0"/>
          <w:bCs/>
          <w:color w:val="auto"/>
          <w:sz w:val="24"/>
          <w:szCs w:val="24"/>
        </w:rPr>
        <w:t>%</w:t>
      </w:r>
      <w:r w:rsidR="00CB10C9" w:rsidRPr="00D67595">
        <w:rPr>
          <w:b w:val="0"/>
          <w:bCs/>
          <w:color w:val="auto"/>
          <w:sz w:val="24"/>
          <w:szCs w:val="24"/>
        </w:rPr>
        <w:t xml:space="preserve"> </w:t>
      </w:r>
      <w:r w:rsidR="00DE4DF1" w:rsidRPr="00D67595">
        <w:rPr>
          <w:b w:val="0"/>
          <w:bCs/>
          <w:color w:val="auto"/>
          <w:sz w:val="24"/>
          <w:szCs w:val="24"/>
        </w:rPr>
        <w:t>en términos reales</w:t>
      </w:r>
      <w:r w:rsidR="00454C88" w:rsidRPr="00D67595">
        <w:rPr>
          <w:b w:val="0"/>
          <w:bCs/>
          <w:color w:val="auto"/>
          <w:sz w:val="24"/>
          <w:szCs w:val="24"/>
        </w:rPr>
        <w:t xml:space="preserve">. </w:t>
      </w:r>
      <w:r w:rsidRPr="00D67595">
        <w:rPr>
          <w:b w:val="0"/>
          <w:bCs/>
          <w:color w:val="auto"/>
          <w:sz w:val="24"/>
          <w:szCs w:val="24"/>
        </w:rPr>
        <w:t>Por actividad económica, los incrementos fueron</w:t>
      </w:r>
      <w:r w:rsidR="00CB10C9" w:rsidRPr="00D67595">
        <w:rPr>
          <w:b w:val="0"/>
          <w:bCs/>
          <w:color w:val="auto"/>
          <w:sz w:val="24"/>
          <w:szCs w:val="24"/>
        </w:rPr>
        <w:t>:</w:t>
      </w:r>
      <w:r w:rsidRPr="00D67595">
        <w:rPr>
          <w:b w:val="0"/>
          <w:bCs/>
          <w:color w:val="auto"/>
          <w:sz w:val="24"/>
          <w:szCs w:val="24"/>
        </w:rPr>
        <w:t xml:space="preserve"> </w:t>
      </w:r>
      <w:r w:rsidR="00595B43" w:rsidRPr="00D67595">
        <w:rPr>
          <w:b w:val="0"/>
          <w:bCs/>
          <w:color w:val="auto"/>
          <w:sz w:val="24"/>
          <w:szCs w:val="24"/>
        </w:rPr>
        <w:t>6</w:t>
      </w:r>
      <w:r w:rsidR="00A3243A" w:rsidRPr="00D67595">
        <w:rPr>
          <w:b w:val="0"/>
          <w:bCs/>
          <w:color w:val="auto"/>
          <w:sz w:val="24"/>
          <w:szCs w:val="24"/>
        </w:rPr>
        <w:t>.3</w:t>
      </w:r>
      <w:r w:rsidR="00CB094B" w:rsidRPr="00D67595">
        <w:rPr>
          <w:b w:val="0"/>
          <w:bCs/>
          <w:color w:val="auto"/>
          <w:sz w:val="24"/>
          <w:szCs w:val="24"/>
        </w:rPr>
        <w:t> </w:t>
      </w:r>
      <w:r w:rsidRPr="00D67595">
        <w:rPr>
          <w:b w:val="0"/>
          <w:bCs/>
          <w:color w:val="auto"/>
          <w:sz w:val="24"/>
          <w:szCs w:val="24"/>
        </w:rPr>
        <w:t xml:space="preserve">% en las actividades </w:t>
      </w:r>
      <w:r w:rsidR="00595B43" w:rsidRPr="00D67595">
        <w:rPr>
          <w:b w:val="0"/>
          <w:bCs/>
          <w:color w:val="auto"/>
          <w:sz w:val="24"/>
          <w:szCs w:val="24"/>
        </w:rPr>
        <w:t>primarias</w:t>
      </w:r>
      <w:r w:rsidR="29F68746" w:rsidRPr="00D67595">
        <w:rPr>
          <w:b w:val="0"/>
          <w:bCs/>
          <w:color w:val="auto"/>
          <w:sz w:val="24"/>
          <w:szCs w:val="24"/>
        </w:rPr>
        <w:t>,</w:t>
      </w:r>
      <w:r w:rsidRPr="00D67595">
        <w:rPr>
          <w:b w:val="0"/>
          <w:bCs/>
          <w:color w:val="auto"/>
          <w:sz w:val="24"/>
          <w:szCs w:val="24"/>
        </w:rPr>
        <w:t xml:space="preserve"> </w:t>
      </w:r>
      <w:r w:rsidR="00595B43" w:rsidRPr="00D67595">
        <w:rPr>
          <w:b w:val="0"/>
          <w:bCs/>
          <w:color w:val="auto"/>
          <w:sz w:val="24"/>
          <w:szCs w:val="24"/>
        </w:rPr>
        <w:t>3.6</w:t>
      </w:r>
      <w:r w:rsidR="008E5A5F" w:rsidRPr="00D67595">
        <w:rPr>
          <w:b w:val="0"/>
          <w:bCs/>
          <w:color w:val="auto"/>
          <w:sz w:val="24"/>
          <w:szCs w:val="24"/>
        </w:rPr>
        <w:t xml:space="preserve"> </w:t>
      </w:r>
      <w:r w:rsidRPr="00D67595">
        <w:rPr>
          <w:b w:val="0"/>
          <w:bCs/>
          <w:color w:val="auto"/>
          <w:sz w:val="24"/>
          <w:szCs w:val="24"/>
        </w:rPr>
        <w:t xml:space="preserve">% en las </w:t>
      </w:r>
      <w:r w:rsidR="00595B43" w:rsidRPr="00D67595">
        <w:rPr>
          <w:b w:val="0"/>
          <w:bCs/>
          <w:color w:val="auto"/>
          <w:sz w:val="24"/>
          <w:szCs w:val="24"/>
        </w:rPr>
        <w:t>terciarias</w:t>
      </w:r>
      <w:r w:rsidRPr="00D67595">
        <w:rPr>
          <w:b w:val="0"/>
          <w:bCs/>
          <w:color w:val="auto"/>
          <w:sz w:val="24"/>
          <w:szCs w:val="24"/>
        </w:rPr>
        <w:t xml:space="preserve"> y </w:t>
      </w:r>
      <w:r w:rsidR="006D7FFD" w:rsidRPr="00D67595">
        <w:rPr>
          <w:b w:val="0"/>
          <w:bCs/>
          <w:color w:val="auto"/>
          <w:sz w:val="24"/>
          <w:szCs w:val="24"/>
        </w:rPr>
        <w:t>3</w:t>
      </w:r>
      <w:r w:rsidR="00CB10C9" w:rsidRPr="00D67595">
        <w:rPr>
          <w:b w:val="0"/>
          <w:bCs/>
          <w:color w:val="auto"/>
          <w:sz w:val="24"/>
          <w:szCs w:val="24"/>
        </w:rPr>
        <w:t> </w:t>
      </w:r>
      <w:r w:rsidRPr="00D67595">
        <w:rPr>
          <w:b w:val="0"/>
          <w:bCs/>
          <w:color w:val="auto"/>
          <w:sz w:val="24"/>
          <w:szCs w:val="24"/>
        </w:rPr>
        <w:t xml:space="preserve">% en las </w:t>
      </w:r>
      <w:r w:rsidR="00595B43" w:rsidRPr="00D67595">
        <w:rPr>
          <w:b w:val="0"/>
          <w:bCs/>
          <w:color w:val="auto"/>
          <w:sz w:val="24"/>
          <w:szCs w:val="24"/>
        </w:rPr>
        <w:t>secundarias.</w:t>
      </w:r>
    </w:p>
    <w:p w14:paraId="04D14D0C" w14:textId="5DC5A489" w:rsidR="001C41DB" w:rsidRDefault="001C41DB" w:rsidP="00B02B25">
      <w:pPr>
        <w:pStyle w:val="bullet"/>
        <w:numPr>
          <w:ilvl w:val="0"/>
          <w:numId w:val="0"/>
        </w:numPr>
        <w:spacing w:after="240"/>
        <w:ind w:left="-284" w:right="-233"/>
        <w:rPr>
          <w:b w:val="0"/>
          <w:bCs/>
          <w:color w:val="auto"/>
          <w:sz w:val="24"/>
          <w:szCs w:val="24"/>
        </w:rPr>
      </w:pPr>
      <w:r w:rsidRPr="00D67595">
        <w:rPr>
          <w:b w:val="0"/>
          <w:bCs/>
          <w:color w:val="auto"/>
          <w:sz w:val="24"/>
          <w:szCs w:val="24"/>
        </w:rPr>
        <w:t>En 2022</w:t>
      </w:r>
      <w:r w:rsidR="00DE4DF1" w:rsidRPr="00D67595">
        <w:rPr>
          <w:b w:val="0"/>
          <w:bCs/>
          <w:color w:val="auto"/>
          <w:sz w:val="24"/>
          <w:szCs w:val="24"/>
        </w:rPr>
        <w:t xml:space="preserve"> y con series desestacionalizadas</w:t>
      </w:r>
      <w:r w:rsidRPr="00D67595">
        <w:rPr>
          <w:b w:val="0"/>
          <w:bCs/>
          <w:color w:val="auto"/>
          <w:sz w:val="24"/>
          <w:szCs w:val="24"/>
        </w:rPr>
        <w:t xml:space="preserve">, el PIB oportuno </w:t>
      </w:r>
      <w:r w:rsidR="006D7FFD" w:rsidRPr="00D67595">
        <w:rPr>
          <w:b w:val="0"/>
          <w:bCs/>
          <w:color w:val="auto"/>
          <w:sz w:val="24"/>
          <w:szCs w:val="24"/>
        </w:rPr>
        <w:t>creció</w:t>
      </w:r>
      <w:r w:rsidRPr="00D67595">
        <w:rPr>
          <w:b w:val="0"/>
          <w:bCs/>
          <w:color w:val="auto"/>
          <w:sz w:val="24"/>
          <w:szCs w:val="24"/>
        </w:rPr>
        <w:t xml:space="preserve"> </w:t>
      </w:r>
      <w:r w:rsidR="005348E2" w:rsidRPr="00D67595">
        <w:rPr>
          <w:b w:val="0"/>
          <w:bCs/>
          <w:color w:val="auto"/>
          <w:sz w:val="24"/>
          <w:szCs w:val="24"/>
        </w:rPr>
        <w:t>3</w:t>
      </w:r>
      <w:r w:rsidR="00DE4DF1" w:rsidRPr="00D67595">
        <w:rPr>
          <w:b w:val="0"/>
          <w:bCs/>
          <w:color w:val="auto"/>
          <w:sz w:val="24"/>
          <w:szCs w:val="24"/>
        </w:rPr>
        <w:t xml:space="preserve"> </w:t>
      </w:r>
      <w:r w:rsidRPr="00D67595">
        <w:rPr>
          <w:b w:val="0"/>
          <w:bCs/>
          <w:color w:val="auto"/>
          <w:sz w:val="24"/>
          <w:szCs w:val="24"/>
        </w:rPr>
        <w:t xml:space="preserve">% </w:t>
      </w:r>
      <w:r w:rsidR="00DE4DF1" w:rsidRPr="00D67595">
        <w:rPr>
          <w:b w:val="0"/>
          <w:bCs/>
          <w:color w:val="auto"/>
          <w:sz w:val="24"/>
          <w:szCs w:val="24"/>
        </w:rPr>
        <w:t>a tasa anual</w:t>
      </w:r>
      <w:r w:rsidRPr="00D67595">
        <w:rPr>
          <w:b w:val="0"/>
          <w:bCs/>
          <w:color w:val="auto"/>
          <w:sz w:val="24"/>
          <w:szCs w:val="24"/>
        </w:rPr>
        <w:t>.</w:t>
      </w:r>
    </w:p>
    <w:p w14:paraId="4435F172" w14:textId="77777777" w:rsidR="00B02B25" w:rsidRDefault="00B02B25" w:rsidP="000F788C">
      <w:pPr>
        <w:pStyle w:val="p0"/>
        <w:spacing w:before="180"/>
        <w:ind w:hanging="284"/>
        <w:rPr>
          <w:rFonts w:ascii="Arial Negrita" w:hAnsi="Arial Negrita"/>
          <w:b/>
          <w:iCs/>
          <w:smallCaps/>
          <w:color w:val="auto"/>
        </w:rPr>
      </w:pPr>
    </w:p>
    <w:p w14:paraId="5E98718F" w14:textId="56E4CE73" w:rsidR="002D2465" w:rsidRDefault="002D2465" w:rsidP="002D2465">
      <w:pPr>
        <w:pStyle w:val="bullet"/>
        <w:numPr>
          <w:ilvl w:val="0"/>
          <w:numId w:val="0"/>
        </w:numPr>
        <w:shd w:val="clear" w:color="auto" w:fill="FFFFFF" w:themeFill="background1"/>
        <w:tabs>
          <w:tab w:val="left" w:pos="708"/>
        </w:tabs>
        <w:spacing w:before="100" w:beforeAutospacing="1" w:after="480"/>
        <w:ind w:left="-284" w:right="49"/>
        <w:rPr>
          <w:rFonts w:cs="Arial"/>
          <w:b w:val="0"/>
          <w:snapToGrid/>
          <w:color w:val="000000" w:themeColor="text1"/>
          <w:sz w:val="24"/>
          <w:szCs w:val="24"/>
        </w:rPr>
      </w:pPr>
      <w:r>
        <w:rPr>
          <w:rFonts w:cs="Arial"/>
          <w:b w:val="0"/>
          <w:color w:val="000000" w:themeColor="text1"/>
          <w:sz w:val="24"/>
          <w:szCs w:val="24"/>
        </w:rPr>
        <w:lastRenderedPageBreak/>
        <w:t xml:space="preserve">Cabe señalar que las estimaciones oportunas proporcionadas en este comunicado podrían cambiar respecto a las cifras generadas para el PIB trimestral tradicional, las cuales se </w:t>
      </w:r>
      <w:r>
        <w:rPr>
          <w:rFonts w:cs="Arial"/>
          <w:b w:val="0"/>
          <w:color w:val="000000" w:themeColor="text1"/>
          <w:sz w:val="24"/>
          <w:szCs w:val="24"/>
          <w:shd w:val="clear" w:color="auto" w:fill="FFFFFF" w:themeFill="background1"/>
        </w:rPr>
        <w:t>publicarán el próximo 24 de febrero de 2023.</w:t>
      </w:r>
    </w:p>
    <w:p w14:paraId="2F4636DD" w14:textId="647C8A43" w:rsidR="00D67595" w:rsidRPr="00D67595" w:rsidRDefault="00D67595" w:rsidP="00B02B25">
      <w:pPr>
        <w:pStyle w:val="p0"/>
        <w:spacing w:before="180"/>
        <w:ind w:right="-233" w:hanging="284"/>
        <w:rPr>
          <w:rFonts w:ascii="Arial Negrita" w:hAnsi="Arial Negrita"/>
          <w:b/>
          <w:iCs/>
          <w:smallCaps/>
          <w:color w:val="auto"/>
        </w:rPr>
      </w:pPr>
      <w:r w:rsidRPr="00D67595">
        <w:rPr>
          <w:rFonts w:ascii="Arial Negrita" w:hAnsi="Arial Negrita"/>
          <w:b/>
          <w:iCs/>
          <w:smallCaps/>
          <w:color w:val="auto"/>
        </w:rPr>
        <w:t>Nota al usuario</w:t>
      </w:r>
    </w:p>
    <w:p w14:paraId="33B37CCD" w14:textId="77777777" w:rsidR="00D67595" w:rsidRPr="007346F4" w:rsidRDefault="00D67595" w:rsidP="00B02B25">
      <w:pPr>
        <w:pStyle w:val="Default"/>
        <w:spacing w:before="240"/>
        <w:ind w:left="-284" w:right="-233"/>
        <w:jc w:val="both"/>
        <w:rPr>
          <w:color w:val="auto"/>
        </w:rPr>
      </w:pPr>
      <w:r w:rsidRPr="00664088">
        <w:t>La tasa de no respuesta en la captación de las encuestas económicas que se consideraron para la EOPIBT,</w:t>
      </w:r>
      <w:r w:rsidRPr="00664088">
        <w:rPr>
          <w:rStyle w:val="Refdenotaalpie"/>
          <w:b w:val="0"/>
          <w:bCs/>
          <w:sz w:val="24"/>
          <w:szCs w:val="28"/>
        </w:rPr>
        <w:footnoteReference w:id="5"/>
      </w:r>
      <w:r w:rsidRPr="00664088">
        <w:t xml:space="preserve"> en </w:t>
      </w:r>
      <w:r>
        <w:t>octubre</w:t>
      </w:r>
      <w:r w:rsidRPr="00664088">
        <w:t xml:space="preserve"> y </w:t>
      </w:r>
      <w:r>
        <w:t xml:space="preserve">noviembre </w:t>
      </w:r>
      <w:r w:rsidRPr="00664088">
        <w:t>de 2022, registró porcentajes apropiados de acuerdo con el diseño estadístico de las muestras. Asimismo, la captación de estadísticas, de los registros administrativos y los datos primarios que divulga el Instituto Nacional de Estadística y Geografía (</w:t>
      </w:r>
      <w:r w:rsidRPr="00664088">
        <w:rPr>
          <w:color w:val="auto"/>
        </w:rPr>
        <w:t>INEGI)</w:t>
      </w:r>
      <w:r w:rsidRPr="00664088">
        <w:t xml:space="preserve"> permitió la generación de estadísticas con niveles altos de cobertura y precisión para la generación de los modelos de estimación de </w:t>
      </w:r>
      <w:r>
        <w:t>dici</w:t>
      </w:r>
      <w:r w:rsidRPr="00664088">
        <w:t xml:space="preserve">embre de 2022. </w:t>
      </w:r>
      <w:r w:rsidRPr="00664088">
        <w:rPr>
          <w:color w:val="auto"/>
        </w:rPr>
        <w:t>Para las actividades agropecuarias, de servicios financieros y del gobierno se incluyeron los registros administrativos provenientes de las empresas y Unidades del Estado que se recibieron oportunamente vía correo electrónico y por internet.</w:t>
      </w:r>
    </w:p>
    <w:p w14:paraId="1FF5AEF9" w14:textId="239545B1" w:rsidR="00D67595" w:rsidRDefault="00D67595" w:rsidP="00D67595">
      <w:pPr>
        <w:pStyle w:val="bullet"/>
        <w:numPr>
          <w:ilvl w:val="0"/>
          <w:numId w:val="0"/>
        </w:numPr>
        <w:spacing w:after="240"/>
        <w:ind w:left="-284" w:right="-517"/>
        <w:rPr>
          <w:b w:val="0"/>
          <w:bCs/>
          <w:color w:val="auto"/>
          <w:sz w:val="24"/>
          <w:szCs w:val="24"/>
          <w:lang w:val="es-ES"/>
        </w:rPr>
      </w:pPr>
    </w:p>
    <w:p w14:paraId="309F5711" w14:textId="6BDBF0C1" w:rsidR="00D67595" w:rsidRDefault="00D67595" w:rsidP="00D67595">
      <w:pPr>
        <w:pStyle w:val="bullet"/>
        <w:numPr>
          <w:ilvl w:val="0"/>
          <w:numId w:val="0"/>
        </w:numPr>
        <w:spacing w:after="240"/>
        <w:ind w:left="-284" w:right="-517"/>
        <w:rPr>
          <w:b w:val="0"/>
          <w:bCs/>
          <w:color w:val="auto"/>
          <w:sz w:val="24"/>
          <w:szCs w:val="24"/>
          <w:lang w:val="es-ES"/>
        </w:rPr>
      </w:pPr>
    </w:p>
    <w:p w14:paraId="6FB00430" w14:textId="4E9D8AD1" w:rsidR="00D67595" w:rsidRDefault="00D67595" w:rsidP="00D67595">
      <w:pPr>
        <w:pStyle w:val="bullet"/>
        <w:numPr>
          <w:ilvl w:val="0"/>
          <w:numId w:val="0"/>
        </w:numPr>
        <w:spacing w:after="240"/>
        <w:ind w:left="-284" w:right="-517"/>
        <w:rPr>
          <w:b w:val="0"/>
          <w:bCs/>
          <w:color w:val="auto"/>
          <w:sz w:val="24"/>
          <w:szCs w:val="24"/>
          <w:lang w:val="es-ES"/>
        </w:rPr>
      </w:pPr>
    </w:p>
    <w:p w14:paraId="0CE344A1" w14:textId="05CC79A8" w:rsidR="00D67595" w:rsidRDefault="00D67595" w:rsidP="00D67595">
      <w:pPr>
        <w:pStyle w:val="bullet"/>
        <w:numPr>
          <w:ilvl w:val="0"/>
          <w:numId w:val="0"/>
        </w:numPr>
        <w:spacing w:after="240"/>
        <w:ind w:left="-284" w:right="-517"/>
        <w:rPr>
          <w:b w:val="0"/>
          <w:bCs/>
          <w:color w:val="auto"/>
          <w:sz w:val="24"/>
          <w:szCs w:val="24"/>
          <w:lang w:val="es-ES"/>
        </w:rPr>
      </w:pPr>
    </w:p>
    <w:p w14:paraId="1063D91B" w14:textId="2DD4ECFB" w:rsidR="00D67595" w:rsidRDefault="00D67595" w:rsidP="00D67595">
      <w:pPr>
        <w:pStyle w:val="bullet"/>
        <w:numPr>
          <w:ilvl w:val="0"/>
          <w:numId w:val="0"/>
        </w:numPr>
        <w:spacing w:after="240"/>
        <w:ind w:left="-284" w:right="-517"/>
        <w:rPr>
          <w:b w:val="0"/>
          <w:bCs/>
          <w:color w:val="auto"/>
          <w:sz w:val="24"/>
          <w:szCs w:val="24"/>
          <w:lang w:val="es-ES"/>
        </w:rPr>
      </w:pPr>
    </w:p>
    <w:p w14:paraId="5C9411D4" w14:textId="377CD825" w:rsidR="00D636B3" w:rsidRDefault="00D636B3" w:rsidP="00D67595">
      <w:pPr>
        <w:pStyle w:val="bullet"/>
        <w:numPr>
          <w:ilvl w:val="0"/>
          <w:numId w:val="0"/>
        </w:numPr>
        <w:spacing w:after="240"/>
        <w:ind w:left="-284" w:right="-517"/>
        <w:rPr>
          <w:b w:val="0"/>
          <w:bCs/>
          <w:color w:val="auto"/>
          <w:sz w:val="24"/>
          <w:szCs w:val="24"/>
          <w:lang w:val="es-ES"/>
        </w:rPr>
      </w:pPr>
    </w:p>
    <w:p w14:paraId="4B7CCD05" w14:textId="77777777" w:rsidR="00D636B3" w:rsidRDefault="00D636B3" w:rsidP="00D67595">
      <w:pPr>
        <w:pStyle w:val="bullet"/>
        <w:numPr>
          <w:ilvl w:val="0"/>
          <w:numId w:val="0"/>
        </w:numPr>
        <w:spacing w:after="240"/>
        <w:ind w:left="-284" w:right="-517"/>
        <w:rPr>
          <w:b w:val="0"/>
          <w:bCs/>
          <w:color w:val="auto"/>
          <w:sz w:val="24"/>
          <w:szCs w:val="24"/>
          <w:lang w:val="es-ES"/>
        </w:rPr>
      </w:pPr>
    </w:p>
    <w:p w14:paraId="6C0A04B2" w14:textId="576300DF" w:rsidR="00D67595" w:rsidRDefault="00D67595" w:rsidP="00D67595">
      <w:pPr>
        <w:pStyle w:val="bullet"/>
        <w:numPr>
          <w:ilvl w:val="0"/>
          <w:numId w:val="0"/>
        </w:numPr>
        <w:spacing w:after="240"/>
        <w:ind w:left="-284" w:right="-517"/>
        <w:rPr>
          <w:b w:val="0"/>
          <w:bCs/>
          <w:color w:val="auto"/>
          <w:sz w:val="24"/>
          <w:szCs w:val="24"/>
          <w:lang w:val="es-ES"/>
        </w:rPr>
      </w:pPr>
    </w:p>
    <w:p w14:paraId="0296D17B" w14:textId="77777777" w:rsidR="00D67595" w:rsidRPr="00D67595" w:rsidRDefault="00D67595" w:rsidP="00D67595">
      <w:pPr>
        <w:pStyle w:val="bullet"/>
        <w:numPr>
          <w:ilvl w:val="0"/>
          <w:numId w:val="0"/>
        </w:numPr>
        <w:spacing w:after="240"/>
        <w:ind w:left="-284" w:right="-517"/>
        <w:rPr>
          <w:b w:val="0"/>
          <w:bCs/>
          <w:color w:val="auto"/>
          <w:sz w:val="24"/>
          <w:szCs w:val="24"/>
          <w:lang w:val="es-ES"/>
        </w:rPr>
      </w:pPr>
    </w:p>
    <w:p w14:paraId="1A298E3D" w14:textId="77777777" w:rsidR="00D67595" w:rsidRPr="00AD7286" w:rsidRDefault="00D67595" w:rsidP="00D67595">
      <w:pPr>
        <w:pStyle w:val="NormalWeb"/>
        <w:ind w:left="-426" w:right="-518"/>
        <w:contextualSpacing/>
        <w:jc w:val="center"/>
        <w:rPr>
          <w:sz w:val="22"/>
          <w:szCs w:val="22"/>
          <w:lang w:val="es-ES_tradnl"/>
        </w:rPr>
      </w:pPr>
      <w:r w:rsidRPr="00AD7286">
        <w:rPr>
          <w:sz w:val="22"/>
          <w:szCs w:val="22"/>
          <w:lang w:val="es-ES_tradnl"/>
        </w:rPr>
        <w:t xml:space="preserve">Para consultas de medios y periodistas, escribir a: </w:t>
      </w:r>
      <w:hyperlink r:id="rId8" w:history="1">
        <w:r w:rsidRPr="0007086C">
          <w:rPr>
            <w:rStyle w:val="Hipervnculo"/>
            <w:sz w:val="22"/>
            <w:szCs w:val="22"/>
            <w:lang w:val="es-ES_tradnl"/>
          </w:rPr>
          <w:t>comunicacionsocial@inegi.org.mx</w:t>
        </w:r>
      </w:hyperlink>
      <w:r>
        <w:rPr>
          <w:sz w:val="22"/>
          <w:szCs w:val="22"/>
          <w:lang w:val="es-ES_tradnl"/>
        </w:rPr>
        <w:t xml:space="preserve"> </w:t>
      </w:r>
      <w:r w:rsidRPr="00AD7286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 xml:space="preserve">  </w:t>
      </w:r>
    </w:p>
    <w:p w14:paraId="474278E0" w14:textId="77777777" w:rsidR="00D67595" w:rsidRDefault="00D67595" w:rsidP="00D6759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  <w:lang w:val="es-ES_tradnl"/>
        </w:rPr>
      </w:pPr>
      <w:r w:rsidRPr="00AD7286">
        <w:rPr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sz w:val="22"/>
          <w:szCs w:val="22"/>
          <w:lang w:val="es-ES_tradnl"/>
        </w:rPr>
        <w:t>exts</w:t>
      </w:r>
      <w:proofErr w:type="spellEnd"/>
      <w:r w:rsidRPr="00AD7286">
        <w:rPr>
          <w:sz w:val="22"/>
          <w:szCs w:val="22"/>
          <w:lang w:val="es-ES_tradnl"/>
        </w:rPr>
        <w:t>. 321064, 321134 y 321241</w:t>
      </w:r>
    </w:p>
    <w:p w14:paraId="5C24047D" w14:textId="77777777" w:rsidR="00D67595" w:rsidRPr="00653B38" w:rsidRDefault="00D67595" w:rsidP="00D67595">
      <w:pPr>
        <w:pStyle w:val="NormalWeb"/>
        <w:spacing w:before="0" w:beforeAutospacing="0" w:after="0" w:afterAutospacing="0"/>
        <w:ind w:left="-426" w:right="-518"/>
        <w:contextualSpacing/>
        <w:jc w:val="center"/>
      </w:pPr>
    </w:p>
    <w:p w14:paraId="6CCD0474" w14:textId="77777777" w:rsidR="00D67595" w:rsidRPr="00E42BFD" w:rsidRDefault="00D67595" w:rsidP="00D6759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  <w:r w:rsidRPr="00E42BFD">
        <w:rPr>
          <w:sz w:val="22"/>
          <w:szCs w:val="22"/>
        </w:rPr>
        <w:t>Dirección de Atención a Medios / Dirección General Adjunta de Comunicación</w:t>
      </w:r>
    </w:p>
    <w:p w14:paraId="1030B634" w14:textId="77777777" w:rsidR="00D67595" w:rsidRPr="000C3230" w:rsidRDefault="00D67595" w:rsidP="00D67595">
      <w:pPr>
        <w:pStyle w:val="NormalWeb"/>
        <w:spacing w:before="0" w:beforeAutospacing="0" w:after="0" w:afterAutospacing="0"/>
        <w:ind w:left="-426" w:right="-518"/>
        <w:contextualSpacing/>
        <w:jc w:val="center"/>
      </w:pPr>
    </w:p>
    <w:p w14:paraId="0DD220E5" w14:textId="77777777" w:rsidR="00D636B3" w:rsidRDefault="00D67595" w:rsidP="00D67595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D636B3" w:rsidSect="00DC5B1B">
          <w:headerReference w:type="default" r:id="rId9"/>
          <w:footerReference w:type="default" r:id="rId10"/>
          <w:endnotePr>
            <w:numFmt w:val="decimal"/>
          </w:endnotePr>
          <w:pgSz w:w="12242" w:h="15842" w:code="1"/>
          <w:pgMar w:top="2495" w:right="1418" w:bottom="1134" w:left="1418" w:header="624" w:footer="624" w:gutter="0"/>
          <w:cols w:space="720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721A1C9D" wp14:editId="6EC8981C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0806BBA" wp14:editId="79B1744A">
            <wp:extent cx="365760" cy="365760"/>
            <wp:effectExtent l="0" t="0" r="0" b="0"/>
            <wp:docPr id="6" name="Imagen 6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7C74427" wp14:editId="228E5D05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A933BEB" wp14:editId="0D6E7B91">
            <wp:extent cx="365760" cy="365760"/>
            <wp:effectExtent l="0" t="0" r="0" b="0"/>
            <wp:docPr id="5" name="Imagen 5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6287314E" wp14:editId="777B700C">
            <wp:extent cx="2286000" cy="274320"/>
            <wp:effectExtent l="0" t="0" r="0" b="0"/>
            <wp:docPr id="33" name="Imagen 3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A9746" w14:textId="77777777" w:rsidR="00D67595" w:rsidRPr="008F0992" w:rsidRDefault="00D67595" w:rsidP="00D67595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592D77AA" w14:textId="6CE7F295" w:rsidR="00D67595" w:rsidRDefault="00D67595" w:rsidP="00D67595">
      <w:pPr>
        <w:pStyle w:val="bullet"/>
        <w:numPr>
          <w:ilvl w:val="0"/>
          <w:numId w:val="0"/>
        </w:numPr>
        <w:spacing w:after="240"/>
        <w:ind w:left="-284" w:right="-517"/>
        <w:rPr>
          <w:b w:val="0"/>
          <w:bCs/>
          <w:color w:val="auto"/>
          <w:sz w:val="24"/>
          <w:szCs w:val="24"/>
        </w:rPr>
      </w:pPr>
    </w:p>
    <w:p w14:paraId="19522FF3" w14:textId="77777777" w:rsidR="00B02B25" w:rsidRPr="00D67595" w:rsidRDefault="00B02B25" w:rsidP="00B02B25">
      <w:pPr>
        <w:pStyle w:val="bullet"/>
        <w:numPr>
          <w:ilvl w:val="0"/>
          <w:numId w:val="0"/>
        </w:numPr>
        <w:spacing w:after="240"/>
        <w:ind w:left="-284" w:right="283"/>
        <w:rPr>
          <w:b w:val="0"/>
          <w:bCs/>
          <w:color w:val="auto"/>
          <w:sz w:val="24"/>
          <w:szCs w:val="24"/>
        </w:rPr>
      </w:pPr>
    </w:p>
    <w:p w14:paraId="01AF6090" w14:textId="77777777" w:rsidR="00D636B3" w:rsidRPr="002A470D" w:rsidRDefault="00D636B3" w:rsidP="00B02B25">
      <w:pPr>
        <w:pStyle w:val="Profesin"/>
        <w:ind w:right="283"/>
        <w:outlineLvl w:val="0"/>
        <w:rPr>
          <w:sz w:val="24"/>
          <w:szCs w:val="24"/>
          <w:lang w:val="es-MX"/>
        </w:rPr>
      </w:pPr>
      <w:bookmarkStart w:id="2" w:name="_Hlk125989364"/>
      <w:bookmarkEnd w:id="1"/>
      <w:r w:rsidRPr="002A470D">
        <w:rPr>
          <w:sz w:val="24"/>
          <w:szCs w:val="24"/>
          <w:lang w:val="es-MX"/>
        </w:rPr>
        <w:t>ANEXO</w:t>
      </w:r>
    </w:p>
    <w:p w14:paraId="40181A74" w14:textId="328F0DE2" w:rsidR="00D636B3" w:rsidRDefault="00D636B3" w:rsidP="00B02B25">
      <w:pPr>
        <w:pStyle w:val="Profesin"/>
        <w:spacing w:before="360"/>
        <w:ind w:right="283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7BBF7E17" w14:textId="77777777" w:rsidR="000F788C" w:rsidRPr="00467763" w:rsidRDefault="000F788C" w:rsidP="00B02B25">
      <w:pPr>
        <w:pStyle w:val="bullet"/>
        <w:numPr>
          <w:ilvl w:val="0"/>
          <w:numId w:val="0"/>
        </w:numPr>
        <w:spacing w:before="600"/>
        <w:ind w:left="-284" w:right="283"/>
        <w:rPr>
          <w:iCs/>
          <w:smallCaps/>
          <w:color w:val="auto"/>
        </w:rPr>
      </w:pPr>
      <w:r w:rsidRPr="00467763">
        <w:rPr>
          <w:iCs/>
          <w:smallCaps/>
          <w:color w:val="auto"/>
        </w:rPr>
        <w:t>Principales resultados</w:t>
      </w:r>
    </w:p>
    <w:p w14:paraId="7C5531BC" w14:textId="77777777" w:rsidR="000F788C" w:rsidRPr="00467763" w:rsidRDefault="000F788C" w:rsidP="00B02B25">
      <w:pPr>
        <w:pStyle w:val="bullet"/>
        <w:numPr>
          <w:ilvl w:val="0"/>
          <w:numId w:val="0"/>
        </w:numPr>
        <w:ind w:left="-284" w:right="283"/>
        <w:rPr>
          <w:iCs/>
          <w:color w:val="auto"/>
        </w:rPr>
      </w:pPr>
      <w:r w:rsidRPr="00467763">
        <w:rPr>
          <w:iCs/>
          <w:color w:val="auto"/>
        </w:rPr>
        <w:t>Cifras desestacionalizadas</w:t>
      </w:r>
    </w:p>
    <w:p w14:paraId="6B620363" w14:textId="77777777" w:rsidR="000F788C" w:rsidRDefault="000F788C" w:rsidP="00B02B25">
      <w:pPr>
        <w:widowControl/>
        <w:spacing w:before="240"/>
        <w:ind w:left="-284" w:right="283"/>
        <w:jc w:val="both"/>
      </w:pPr>
      <w:r>
        <w:t>En</w:t>
      </w:r>
      <w:r w:rsidRPr="00D836E5">
        <w:t xml:space="preserve"> el </w:t>
      </w:r>
      <w:r>
        <w:t>cuarto trimestre de 2022</w:t>
      </w:r>
      <w:r w:rsidRPr="00D836E5">
        <w:t xml:space="preserve"> </w:t>
      </w:r>
      <w:r>
        <w:t>y c</w:t>
      </w:r>
      <w:r w:rsidRPr="00D836E5">
        <w:t>on datos desestacionalizados</w:t>
      </w:r>
      <w:r>
        <w:t>,</w:t>
      </w:r>
      <w:r w:rsidRPr="00D836E5">
        <w:t xml:space="preserve"> la </w:t>
      </w:r>
      <w:r>
        <w:t>E</w:t>
      </w:r>
      <w:r w:rsidRPr="00D836E5">
        <w:t xml:space="preserve">stimación </w:t>
      </w:r>
      <w:r>
        <w:t>O</w:t>
      </w:r>
      <w:r w:rsidRPr="00D836E5">
        <w:t xml:space="preserve">portuna del Producto Interno Bruto Trimestral </w:t>
      </w:r>
      <w:r>
        <w:t>(</w:t>
      </w:r>
      <w:r w:rsidRPr="004209C7">
        <w:t>EOPIBT)</w:t>
      </w:r>
      <w:r w:rsidRPr="00D836E5">
        <w:t xml:space="preserve"> </w:t>
      </w:r>
      <w:r>
        <w:t>aumentó 0.4 % a tasa trimestral</w:t>
      </w:r>
      <w:r w:rsidRPr="00D836E5">
        <w:t>.</w:t>
      </w:r>
      <w:r w:rsidRPr="004C4ABF">
        <w:t xml:space="preserve"> </w:t>
      </w:r>
    </w:p>
    <w:p w14:paraId="2A28E42D" w14:textId="77777777" w:rsidR="000F788C" w:rsidRDefault="000F788C" w:rsidP="00B02B25">
      <w:pPr>
        <w:widowControl/>
        <w:spacing w:before="240"/>
        <w:ind w:left="-284" w:right="283"/>
        <w:jc w:val="both"/>
      </w:pPr>
      <w:r w:rsidRPr="007F1BF0">
        <w:t xml:space="preserve">Por componente y a tasa trimestral, </w:t>
      </w:r>
      <w:r>
        <w:t xml:space="preserve">el PIB oportuno de </w:t>
      </w:r>
      <w:r w:rsidRPr="00B834C7">
        <w:t xml:space="preserve">las </w:t>
      </w:r>
      <w:r>
        <w:t>a</w:t>
      </w:r>
      <w:r w:rsidRPr="00B834C7">
        <w:t xml:space="preserve">ctividades </w:t>
      </w:r>
      <w:r>
        <w:t>primarias avanzó 2 %; el de las secundarias, 0.4 % y el de las terciarias, 0.2 % en el cuarto trimestre de 2022</w:t>
      </w:r>
      <w:r w:rsidRPr="00B834C7">
        <w:t>.</w:t>
      </w:r>
      <w:r w:rsidRPr="000E323E">
        <w:t xml:space="preserve"> </w:t>
      </w:r>
    </w:p>
    <w:p w14:paraId="7DC66BE2" w14:textId="77777777" w:rsidR="000F788C" w:rsidRDefault="000F788C" w:rsidP="00B02B25">
      <w:pPr>
        <w:widowControl/>
        <w:spacing w:before="240"/>
        <w:ind w:left="-284" w:right="283"/>
        <w:jc w:val="both"/>
      </w:pPr>
      <w:r>
        <w:t>E</w:t>
      </w:r>
      <w:r w:rsidRPr="00B834C7">
        <w:t xml:space="preserve">n el </w:t>
      </w:r>
      <w:r>
        <w:t>trimestre de referencia, a tasa</w:t>
      </w:r>
      <w:r w:rsidRPr="00B834C7">
        <w:t xml:space="preserve"> anual</w:t>
      </w:r>
      <w:r>
        <w:t xml:space="preserve"> y con series ajustadas estacionalmente,</w:t>
      </w:r>
      <w:r w:rsidRPr="00B834C7">
        <w:t xml:space="preserve"> la </w:t>
      </w:r>
      <w:r>
        <w:t>e</w:t>
      </w:r>
      <w:r w:rsidRPr="00B834C7">
        <w:t xml:space="preserve">stimación </w:t>
      </w:r>
      <w:r>
        <w:t>o</w:t>
      </w:r>
      <w:r w:rsidRPr="00B834C7">
        <w:t xml:space="preserve">portuna del </w:t>
      </w:r>
      <w:r>
        <w:t>PIB ascendió 3.6 % en términos reales</w:t>
      </w:r>
      <w:r w:rsidRPr="00B834C7">
        <w:t xml:space="preserve">. </w:t>
      </w:r>
      <w:r w:rsidRPr="00695E68">
        <w:t>Por actividad económica, los incrementos fueron</w:t>
      </w:r>
      <w:r>
        <w:t>:</w:t>
      </w:r>
      <w:r w:rsidRPr="00695E68">
        <w:t xml:space="preserve"> </w:t>
      </w:r>
      <w:r>
        <w:t xml:space="preserve">6.3 </w:t>
      </w:r>
      <w:r w:rsidRPr="00695E68">
        <w:t xml:space="preserve">% en las </w:t>
      </w:r>
      <w:r>
        <w:t>primarias</w:t>
      </w:r>
      <w:r w:rsidRPr="00695E68">
        <w:t xml:space="preserve">, </w:t>
      </w:r>
      <w:r>
        <w:t xml:space="preserve">3.6 </w:t>
      </w:r>
      <w:r w:rsidRPr="00695E68">
        <w:t xml:space="preserve">% en las </w:t>
      </w:r>
      <w:r>
        <w:t xml:space="preserve">terciarias </w:t>
      </w:r>
      <w:r w:rsidRPr="00695E68">
        <w:t xml:space="preserve">y </w:t>
      </w:r>
      <w:r>
        <w:t xml:space="preserve">3 </w:t>
      </w:r>
      <w:r w:rsidRPr="00695E68">
        <w:t xml:space="preserve">% en las </w:t>
      </w:r>
      <w:r>
        <w:t>secundarias</w:t>
      </w:r>
      <w:r w:rsidRPr="00695E68">
        <w:t>.</w:t>
      </w:r>
    </w:p>
    <w:p w14:paraId="4025BFA1" w14:textId="77777777" w:rsidR="000F788C" w:rsidRPr="00463454" w:rsidRDefault="000F788C" w:rsidP="009A5EEC">
      <w:pPr>
        <w:pStyle w:val="Textoindependiente"/>
        <w:spacing w:before="360"/>
        <w:ind w:left="-284"/>
        <w:jc w:val="center"/>
        <w:rPr>
          <w:bCs/>
          <w:sz w:val="20"/>
        </w:rPr>
      </w:pPr>
      <w:r w:rsidRPr="00463454">
        <w:rPr>
          <w:bCs/>
          <w:sz w:val="20"/>
        </w:rPr>
        <w:t>Cuadro 1</w:t>
      </w:r>
    </w:p>
    <w:p w14:paraId="03354727" w14:textId="77777777" w:rsidR="000F788C" w:rsidRPr="00230D75" w:rsidRDefault="000F788C" w:rsidP="000F788C">
      <w:pPr>
        <w:pStyle w:val="Textoindependiente"/>
        <w:jc w:val="center"/>
        <w:rPr>
          <w:b/>
          <w:smallCaps/>
          <w:sz w:val="22"/>
          <w:szCs w:val="22"/>
        </w:rPr>
      </w:pPr>
      <w:r w:rsidRPr="00230D75">
        <w:rPr>
          <w:b/>
          <w:smallCaps/>
          <w:sz w:val="22"/>
          <w:szCs w:val="22"/>
        </w:rPr>
        <w:t xml:space="preserve">Estimación Oportuna del Producto Interno Bruto </w:t>
      </w:r>
      <w:r>
        <w:rPr>
          <w:b/>
          <w:smallCaps/>
          <w:sz w:val="22"/>
          <w:szCs w:val="22"/>
        </w:rPr>
        <w:t>Trimestral</w:t>
      </w:r>
    </w:p>
    <w:p w14:paraId="2DF75778" w14:textId="77777777" w:rsidR="000F788C" w:rsidRPr="00230D75" w:rsidRDefault="000F788C" w:rsidP="000F788C">
      <w:pPr>
        <w:pStyle w:val="Textoindependiente"/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cuarto </w:t>
      </w:r>
      <w:r w:rsidRPr="00230D75">
        <w:rPr>
          <w:b/>
          <w:smallCaps/>
          <w:sz w:val="22"/>
          <w:szCs w:val="22"/>
        </w:rPr>
        <w:t>trimestre de 202</w:t>
      </w:r>
      <w:r>
        <w:rPr>
          <w:b/>
          <w:smallCaps/>
          <w:sz w:val="22"/>
          <w:szCs w:val="22"/>
        </w:rPr>
        <w:t>2</w:t>
      </w:r>
    </w:p>
    <w:p w14:paraId="04E36832" w14:textId="77777777" w:rsidR="000F788C" w:rsidRDefault="000F788C" w:rsidP="000F788C">
      <w:pPr>
        <w:pStyle w:val="Textoindependiente"/>
        <w:jc w:val="center"/>
        <w:rPr>
          <w:rFonts w:cs="Arial"/>
          <w:b/>
          <w:smallCaps/>
          <w:color w:val="auto"/>
          <w:sz w:val="22"/>
          <w:szCs w:val="22"/>
        </w:rPr>
      </w:pPr>
      <w:r w:rsidRPr="00230D75">
        <w:rPr>
          <w:b/>
          <w:smallCaps/>
          <w:sz w:val="22"/>
          <w:szCs w:val="22"/>
        </w:rPr>
        <w:t xml:space="preserve">cifras desestacionalizadas </w:t>
      </w:r>
    </w:p>
    <w:tbl>
      <w:tblPr>
        <w:tblW w:w="7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1758"/>
        <w:gridCol w:w="1758"/>
        <w:gridCol w:w="1758"/>
      </w:tblGrid>
      <w:tr w:rsidR="000F788C" w:rsidRPr="004B5894" w14:paraId="690765FA" w14:textId="77777777" w:rsidTr="00517035">
        <w:trPr>
          <w:trHeight w:val="344"/>
          <w:jc w:val="center"/>
        </w:trPr>
        <w:tc>
          <w:tcPr>
            <w:tcW w:w="23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321093A" w14:textId="77777777" w:rsidR="000F788C" w:rsidRPr="004A352E" w:rsidRDefault="000F788C" w:rsidP="00517035">
            <w:pPr>
              <w:widowControl/>
              <w:ind w:left="-85"/>
              <w:jc w:val="center"/>
              <w:rPr>
                <w:rFonts w:cs="Arial"/>
                <w:snapToGrid/>
                <w:sz w:val="16"/>
                <w:lang w:val="es-MX" w:eastAsia="es-MX"/>
              </w:rPr>
            </w:pPr>
            <w:r w:rsidRPr="004A352E">
              <w:rPr>
                <w:rFonts w:cs="Arial"/>
                <w:snapToGrid/>
                <w:sz w:val="16"/>
                <w:lang w:val="es-MX" w:eastAsia="es-MX"/>
              </w:rPr>
              <w:t>Concepto</w:t>
            </w:r>
          </w:p>
        </w:tc>
        <w:tc>
          <w:tcPr>
            <w:tcW w:w="3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56BBF5A" w14:textId="77777777" w:rsidR="000F788C" w:rsidRPr="004A352E" w:rsidRDefault="000F788C" w:rsidP="00517035">
            <w:pPr>
              <w:widowControl/>
              <w:jc w:val="center"/>
              <w:rPr>
                <w:rFonts w:cs="Arial"/>
                <w:snapToGrid/>
                <w:sz w:val="16"/>
                <w:lang w:val="es-MX" w:eastAsia="es-MX"/>
              </w:rPr>
            </w:pPr>
            <w:r w:rsidRPr="004A352E">
              <w:rPr>
                <w:rFonts w:cs="Arial"/>
                <w:snapToGrid/>
                <w:sz w:val="16"/>
                <w:lang w:val="es-MX" w:eastAsia="es-MX"/>
              </w:rPr>
              <w:t xml:space="preserve">Variación </w:t>
            </w:r>
            <w:r>
              <w:rPr>
                <w:rFonts w:cs="Arial"/>
                <w:snapToGrid/>
                <w:sz w:val="16"/>
                <w:lang w:val="es-MX" w:eastAsia="es-MX"/>
              </w:rPr>
              <w:t>porcentual</w:t>
            </w:r>
            <w:r w:rsidRPr="004A352E">
              <w:rPr>
                <w:rFonts w:cs="Arial"/>
                <w:snapToGrid/>
                <w:sz w:val="16"/>
                <w:lang w:val="es-MX" w:eastAsia="es-MX"/>
              </w:rPr>
              <w:t xml:space="preserve"> real respecto</w:t>
            </w:r>
            <w:r>
              <w:rPr>
                <w:rFonts w:cs="Arial"/>
                <w:snapToGrid/>
                <w:sz w:val="16"/>
                <w:lang w:val="es-MX" w:eastAsia="es-MX"/>
              </w:rPr>
              <w:t xml:space="preserve"> al</w:t>
            </w:r>
            <w:r w:rsidRPr="004A352E">
              <w:rPr>
                <w:rFonts w:cs="Arial"/>
                <w:snapToGrid/>
                <w:sz w:val="16"/>
                <w:lang w:val="es-MX" w:eastAsia="es-MX"/>
              </w:rPr>
              <w:t>:</w:t>
            </w:r>
          </w:p>
        </w:tc>
        <w:tc>
          <w:tcPr>
            <w:tcW w:w="17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198ABE6" w14:textId="77777777" w:rsidR="000F788C" w:rsidRPr="004A352E" w:rsidRDefault="000F788C" w:rsidP="00517035">
            <w:pPr>
              <w:widowControl/>
              <w:jc w:val="center"/>
              <w:rPr>
                <w:rFonts w:cs="Arial"/>
                <w:snapToGrid/>
                <w:sz w:val="16"/>
                <w:lang w:val="es-MX" w:eastAsia="es-MX"/>
              </w:rPr>
            </w:pPr>
            <w:r>
              <w:rPr>
                <w:rFonts w:cs="Arial"/>
                <w:snapToGrid/>
                <w:sz w:val="16"/>
                <w:lang w:val="es-MX" w:eastAsia="es-MX"/>
              </w:rPr>
              <w:t>Variación porcentual anual</w:t>
            </w:r>
            <w:r>
              <w:rPr>
                <w:rFonts w:cs="Arial"/>
                <w:snapToGrid/>
                <w:sz w:val="16"/>
                <w:lang w:val="es-MX" w:eastAsia="es-MX"/>
              </w:rPr>
              <w:br/>
              <w:t>2022 vs. 2021</w:t>
            </w:r>
          </w:p>
        </w:tc>
      </w:tr>
      <w:tr w:rsidR="000F788C" w:rsidRPr="004B5894" w14:paraId="0513BCB8" w14:textId="77777777" w:rsidTr="00517035">
        <w:trPr>
          <w:trHeight w:val="454"/>
          <w:jc w:val="center"/>
        </w:trPr>
        <w:tc>
          <w:tcPr>
            <w:tcW w:w="23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BE01657" w14:textId="77777777" w:rsidR="000F788C" w:rsidRPr="004A352E" w:rsidRDefault="000F788C" w:rsidP="00517035">
            <w:pPr>
              <w:widowControl/>
              <w:ind w:left="-85"/>
              <w:jc w:val="center"/>
              <w:rPr>
                <w:rFonts w:cs="Arial"/>
                <w:snapToGrid/>
                <w:sz w:val="16"/>
                <w:lang w:val="es-MX" w:eastAsia="es-MX"/>
              </w:rPr>
            </w:pPr>
          </w:p>
        </w:tc>
        <w:tc>
          <w:tcPr>
            <w:tcW w:w="17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EC5DE5F" w14:textId="77777777" w:rsidR="000F788C" w:rsidRPr="004A352E" w:rsidRDefault="000F788C" w:rsidP="00517035">
            <w:pPr>
              <w:widowControl/>
              <w:jc w:val="center"/>
              <w:rPr>
                <w:rFonts w:cs="Arial"/>
                <w:snapToGrid/>
                <w:sz w:val="16"/>
                <w:lang w:val="es-MX" w:eastAsia="es-MX"/>
              </w:rPr>
            </w:pPr>
            <w:r>
              <w:rPr>
                <w:rFonts w:cs="Arial"/>
                <w:snapToGrid/>
                <w:sz w:val="16"/>
                <w:lang w:val="es-MX" w:eastAsia="es-MX"/>
              </w:rPr>
              <w:t>T</w:t>
            </w:r>
            <w:r w:rsidRPr="004A352E">
              <w:rPr>
                <w:rFonts w:cs="Arial"/>
                <w:snapToGrid/>
                <w:sz w:val="16"/>
                <w:lang w:val="es-MX" w:eastAsia="es-MX"/>
              </w:rPr>
              <w:t>rimestre previo</w:t>
            </w:r>
          </w:p>
        </w:tc>
        <w:tc>
          <w:tcPr>
            <w:tcW w:w="17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7F0C963" w14:textId="77777777" w:rsidR="000F788C" w:rsidRPr="004A352E" w:rsidRDefault="000F788C" w:rsidP="00517035">
            <w:pPr>
              <w:widowControl/>
              <w:jc w:val="center"/>
              <w:rPr>
                <w:rFonts w:cs="Arial"/>
                <w:snapToGrid/>
                <w:sz w:val="16"/>
                <w:lang w:val="es-MX" w:eastAsia="es-MX"/>
              </w:rPr>
            </w:pPr>
            <w:r>
              <w:rPr>
                <w:rFonts w:cs="Arial"/>
                <w:snapToGrid/>
                <w:sz w:val="16"/>
                <w:lang w:val="es-MX" w:eastAsia="es-MX"/>
              </w:rPr>
              <w:t>Mismo</w:t>
            </w:r>
            <w:r w:rsidRPr="004A352E">
              <w:rPr>
                <w:rFonts w:cs="Arial"/>
                <w:snapToGrid/>
                <w:sz w:val="16"/>
                <w:lang w:val="es-MX" w:eastAsia="es-MX"/>
              </w:rPr>
              <w:t xml:space="preserve"> trimestre </w:t>
            </w:r>
          </w:p>
          <w:p w14:paraId="7B6AC3DC" w14:textId="77777777" w:rsidR="000F788C" w:rsidRPr="004A352E" w:rsidRDefault="000F788C" w:rsidP="00517035">
            <w:pPr>
              <w:widowControl/>
              <w:jc w:val="center"/>
              <w:rPr>
                <w:rFonts w:cs="Arial"/>
                <w:snapToGrid/>
                <w:sz w:val="16"/>
                <w:lang w:val="es-MX" w:eastAsia="es-MX"/>
              </w:rPr>
            </w:pPr>
            <w:r w:rsidRPr="004A352E">
              <w:rPr>
                <w:rFonts w:cs="Arial"/>
                <w:snapToGrid/>
                <w:sz w:val="16"/>
                <w:lang w:val="es-MX" w:eastAsia="es-MX"/>
              </w:rPr>
              <w:t>de 2021</w:t>
            </w:r>
          </w:p>
        </w:tc>
        <w:tc>
          <w:tcPr>
            <w:tcW w:w="17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9E8DA83" w14:textId="77777777" w:rsidR="000F788C" w:rsidRPr="004A352E" w:rsidRDefault="000F788C" w:rsidP="00517035">
            <w:pPr>
              <w:widowControl/>
              <w:jc w:val="center"/>
              <w:rPr>
                <w:rFonts w:cs="Arial"/>
                <w:snapToGrid/>
                <w:sz w:val="16"/>
                <w:lang w:val="es-MX" w:eastAsia="es-MX"/>
              </w:rPr>
            </w:pPr>
          </w:p>
        </w:tc>
      </w:tr>
      <w:tr w:rsidR="000F788C" w:rsidRPr="004B5894" w14:paraId="04319CC2" w14:textId="77777777" w:rsidTr="00517035">
        <w:trPr>
          <w:trHeight w:val="283"/>
          <w:jc w:val="center"/>
        </w:trPr>
        <w:tc>
          <w:tcPr>
            <w:tcW w:w="236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13B8C40" w14:textId="77777777" w:rsidR="000F788C" w:rsidRPr="00294709" w:rsidRDefault="000F788C" w:rsidP="00517035">
            <w:pPr>
              <w:widowControl/>
              <w:rPr>
                <w:rFonts w:cs="Arial"/>
                <w:b/>
                <w:bCs/>
                <w:snapToGrid/>
                <w:color w:val="000000"/>
                <w:sz w:val="16"/>
                <w:lang w:val="es-MX" w:eastAsia="es-MX"/>
              </w:rPr>
            </w:pPr>
            <w:r w:rsidRPr="00294709">
              <w:rPr>
                <w:rFonts w:cs="Arial"/>
                <w:b/>
                <w:bCs/>
                <w:snapToGrid/>
                <w:color w:val="000000"/>
                <w:sz w:val="16"/>
                <w:lang w:val="es-MX" w:eastAsia="es-MX"/>
              </w:rPr>
              <w:t xml:space="preserve">PIB </w:t>
            </w:r>
            <w:r>
              <w:rPr>
                <w:rFonts w:cs="Arial"/>
                <w:b/>
                <w:bCs/>
                <w:snapToGrid/>
                <w:color w:val="000000"/>
                <w:sz w:val="16"/>
                <w:lang w:val="es-MX" w:eastAsia="es-MX"/>
              </w:rPr>
              <w:t>oportuno</w:t>
            </w:r>
          </w:p>
        </w:tc>
        <w:tc>
          <w:tcPr>
            <w:tcW w:w="17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4804FF0" w14:textId="77777777" w:rsidR="000F788C" w:rsidRPr="006055B7" w:rsidRDefault="000F788C" w:rsidP="00517035">
            <w:pPr>
              <w:widowControl/>
              <w:ind w:right="680"/>
              <w:jc w:val="right"/>
              <w:rPr>
                <w:rFonts w:cs="Arial"/>
                <w:b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b/>
                <w:snapToGrid/>
                <w:color w:val="000000"/>
                <w:sz w:val="16"/>
                <w:szCs w:val="15"/>
                <w:lang w:val="es-MX" w:eastAsia="es-MX"/>
              </w:rPr>
              <w:t>0.4</w:t>
            </w:r>
          </w:p>
        </w:tc>
        <w:tc>
          <w:tcPr>
            <w:tcW w:w="17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987781E" w14:textId="77777777" w:rsidR="000F788C" w:rsidRPr="006055B7" w:rsidRDefault="000F788C" w:rsidP="00517035">
            <w:pPr>
              <w:widowControl/>
              <w:ind w:right="680"/>
              <w:jc w:val="right"/>
              <w:rPr>
                <w:rFonts w:cs="Arial"/>
                <w:b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b/>
                <w:snapToGrid/>
                <w:color w:val="000000"/>
                <w:sz w:val="16"/>
                <w:szCs w:val="15"/>
                <w:lang w:val="es-MX" w:eastAsia="es-MX"/>
              </w:rPr>
              <w:t>3.6</w:t>
            </w:r>
          </w:p>
        </w:tc>
        <w:tc>
          <w:tcPr>
            <w:tcW w:w="17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D17C6C7" w14:textId="77777777" w:rsidR="000F788C" w:rsidRPr="006055B7" w:rsidRDefault="000F788C" w:rsidP="00517035">
            <w:pPr>
              <w:widowControl/>
              <w:ind w:right="680"/>
              <w:jc w:val="right"/>
              <w:rPr>
                <w:rFonts w:cs="Arial"/>
                <w:b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b/>
                <w:snapToGrid/>
                <w:color w:val="000000"/>
                <w:sz w:val="16"/>
                <w:szCs w:val="15"/>
                <w:lang w:val="es-MX" w:eastAsia="es-MX"/>
              </w:rPr>
              <w:t>3.0</w:t>
            </w:r>
          </w:p>
        </w:tc>
      </w:tr>
      <w:tr w:rsidR="000F788C" w:rsidRPr="004B5894" w14:paraId="7792A413" w14:textId="77777777" w:rsidTr="00517035">
        <w:trPr>
          <w:trHeight w:val="283"/>
          <w:jc w:val="center"/>
        </w:trPr>
        <w:tc>
          <w:tcPr>
            <w:tcW w:w="236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E57777E" w14:textId="77777777" w:rsidR="000F788C" w:rsidRPr="00294709" w:rsidRDefault="000F788C" w:rsidP="00517035">
            <w:pPr>
              <w:widowControl/>
              <w:ind w:left="57"/>
              <w:rPr>
                <w:rFonts w:cs="Arial"/>
                <w:snapToGrid/>
                <w:color w:val="000000"/>
                <w:sz w:val="16"/>
                <w:lang w:val="es-MX" w:eastAsia="es-MX"/>
              </w:rPr>
            </w:pPr>
            <w:r w:rsidRPr="00294709">
              <w:rPr>
                <w:rFonts w:cs="Arial"/>
                <w:snapToGrid/>
                <w:color w:val="000000"/>
                <w:sz w:val="16"/>
                <w:lang w:val="es-MX" w:eastAsia="es-MX"/>
              </w:rPr>
              <w:t xml:space="preserve">Actividades </w:t>
            </w:r>
            <w:r>
              <w:rPr>
                <w:rFonts w:cs="Arial"/>
                <w:snapToGrid/>
                <w:color w:val="000000"/>
                <w:sz w:val="16"/>
                <w:lang w:val="es-MX" w:eastAsia="es-MX"/>
              </w:rPr>
              <w:t>p</w:t>
            </w:r>
            <w:r w:rsidRPr="00294709">
              <w:rPr>
                <w:rFonts w:cs="Arial"/>
                <w:snapToGrid/>
                <w:color w:val="000000"/>
                <w:sz w:val="16"/>
                <w:lang w:val="es-MX" w:eastAsia="es-MX"/>
              </w:rPr>
              <w:t xml:space="preserve">rimarias </w:t>
            </w:r>
          </w:p>
        </w:tc>
        <w:tc>
          <w:tcPr>
            <w:tcW w:w="17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C9025BD" w14:textId="77777777" w:rsidR="000F788C" w:rsidRPr="006055B7" w:rsidRDefault="000F788C" w:rsidP="00517035">
            <w:pPr>
              <w:widowControl/>
              <w:ind w:right="680"/>
              <w:jc w:val="right"/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  <w:t>2.0</w:t>
            </w:r>
          </w:p>
        </w:tc>
        <w:tc>
          <w:tcPr>
            <w:tcW w:w="17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104C55C" w14:textId="77777777" w:rsidR="000F788C" w:rsidRPr="006055B7" w:rsidRDefault="000F788C" w:rsidP="00517035">
            <w:pPr>
              <w:widowControl/>
              <w:ind w:right="680"/>
              <w:jc w:val="right"/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  <w:t>6.3</w:t>
            </w:r>
          </w:p>
        </w:tc>
        <w:tc>
          <w:tcPr>
            <w:tcW w:w="17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F144471" w14:textId="77777777" w:rsidR="000F788C" w:rsidRPr="006055B7" w:rsidRDefault="000F788C" w:rsidP="00517035">
            <w:pPr>
              <w:widowControl/>
              <w:ind w:right="680"/>
              <w:jc w:val="right"/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  <w:t>2.8</w:t>
            </w:r>
          </w:p>
        </w:tc>
      </w:tr>
      <w:tr w:rsidR="000F788C" w:rsidRPr="004B5894" w14:paraId="6421B317" w14:textId="77777777" w:rsidTr="00517035">
        <w:trPr>
          <w:trHeight w:val="283"/>
          <w:jc w:val="center"/>
        </w:trPr>
        <w:tc>
          <w:tcPr>
            <w:tcW w:w="236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FAD6503" w14:textId="77777777" w:rsidR="000F788C" w:rsidRPr="00294709" w:rsidRDefault="000F788C" w:rsidP="00517035">
            <w:pPr>
              <w:widowControl/>
              <w:ind w:left="57"/>
              <w:rPr>
                <w:rFonts w:cs="Arial"/>
                <w:snapToGrid/>
                <w:color w:val="000000"/>
                <w:sz w:val="16"/>
                <w:lang w:val="es-MX" w:eastAsia="es-MX"/>
              </w:rPr>
            </w:pPr>
            <w:r w:rsidRPr="00294709">
              <w:rPr>
                <w:rFonts w:cs="Arial"/>
                <w:snapToGrid/>
                <w:color w:val="000000"/>
                <w:sz w:val="16"/>
                <w:lang w:val="es-MX" w:eastAsia="es-MX"/>
              </w:rPr>
              <w:t xml:space="preserve">Actividades </w:t>
            </w:r>
            <w:r>
              <w:rPr>
                <w:rFonts w:cs="Arial"/>
                <w:snapToGrid/>
                <w:color w:val="000000"/>
                <w:sz w:val="16"/>
                <w:lang w:val="es-MX" w:eastAsia="es-MX"/>
              </w:rPr>
              <w:t>s</w:t>
            </w:r>
            <w:r w:rsidRPr="00294709">
              <w:rPr>
                <w:rFonts w:cs="Arial"/>
                <w:snapToGrid/>
                <w:color w:val="000000"/>
                <w:sz w:val="16"/>
                <w:lang w:val="es-MX" w:eastAsia="es-MX"/>
              </w:rPr>
              <w:t xml:space="preserve">ecundarias </w:t>
            </w:r>
          </w:p>
        </w:tc>
        <w:tc>
          <w:tcPr>
            <w:tcW w:w="17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A090486" w14:textId="77777777" w:rsidR="000F788C" w:rsidRPr="006055B7" w:rsidRDefault="000F788C" w:rsidP="00517035">
            <w:pPr>
              <w:widowControl/>
              <w:ind w:right="680"/>
              <w:jc w:val="right"/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  <w:t>0.4</w:t>
            </w:r>
          </w:p>
        </w:tc>
        <w:tc>
          <w:tcPr>
            <w:tcW w:w="17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6FF59C0" w14:textId="77777777" w:rsidR="000F788C" w:rsidRPr="006055B7" w:rsidRDefault="000F788C" w:rsidP="00517035">
            <w:pPr>
              <w:widowControl/>
              <w:ind w:right="680"/>
              <w:jc w:val="right"/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  <w:t>3.0</w:t>
            </w:r>
          </w:p>
        </w:tc>
        <w:tc>
          <w:tcPr>
            <w:tcW w:w="17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D23091F" w14:textId="77777777" w:rsidR="000F788C" w:rsidRPr="006055B7" w:rsidRDefault="000F788C" w:rsidP="00517035">
            <w:pPr>
              <w:widowControl/>
              <w:ind w:right="680"/>
              <w:jc w:val="right"/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  <w:t>3.2</w:t>
            </w:r>
          </w:p>
        </w:tc>
      </w:tr>
      <w:tr w:rsidR="000F788C" w:rsidRPr="004B5894" w14:paraId="6A2FF8F6" w14:textId="77777777" w:rsidTr="00517035">
        <w:trPr>
          <w:trHeight w:val="283"/>
          <w:jc w:val="center"/>
        </w:trPr>
        <w:tc>
          <w:tcPr>
            <w:tcW w:w="236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BE06879" w14:textId="77777777" w:rsidR="000F788C" w:rsidRPr="00294709" w:rsidRDefault="000F788C" w:rsidP="00517035">
            <w:pPr>
              <w:widowControl/>
              <w:ind w:left="57"/>
              <w:rPr>
                <w:rFonts w:cs="Arial"/>
                <w:snapToGrid/>
                <w:color w:val="000000"/>
                <w:sz w:val="16"/>
                <w:lang w:val="es-MX" w:eastAsia="es-MX"/>
              </w:rPr>
            </w:pPr>
            <w:r w:rsidRPr="00294709">
              <w:rPr>
                <w:rFonts w:cs="Arial"/>
                <w:snapToGrid/>
                <w:color w:val="000000"/>
                <w:sz w:val="16"/>
                <w:lang w:val="es-MX" w:eastAsia="es-MX"/>
              </w:rPr>
              <w:t xml:space="preserve">Actividades </w:t>
            </w:r>
            <w:r>
              <w:rPr>
                <w:rFonts w:cs="Arial"/>
                <w:snapToGrid/>
                <w:color w:val="000000"/>
                <w:sz w:val="16"/>
                <w:lang w:val="es-MX" w:eastAsia="es-MX"/>
              </w:rPr>
              <w:t>t</w:t>
            </w:r>
            <w:r w:rsidRPr="00294709">
              <w:rPr>
                <w:rFonts w:cs="Arial"/>
                <w:snapToGrid/>
                <w:color w:val="000000"/>
                <w:sz w:val="16"/>
                <w:lang w:val="es-MX" w:eastAsia="es-MX"/>
              </w:rPr>
              <w:t xml:space="preserve">erciarias </w:t>
            </w:r>
          </w:p>
        </w:tc>
        <w:tc>
          <w:tcPr>
            <w:tcW w:w="17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B14D21B" w14:textId="77777777" w:rsidR="000F788C" w:rsidRPr="006055B7" w:rsidRDefault="000F788C" w:rsidP="00517035">
            <w:pPr>
              <w:widowControl/>
              <w:ind w:right="680"/>
              <w:jc w:val="right"/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  <w:t>0.2</w:t>
            </w:r>
          </w:p>
        </w:tc>
        <w:tc>
          <w:tcPr>
            <w:tcW w:w="17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8CD423C" w14:textId="77777777" w:rsidR="000F788C" w:rsidRPr="006055B7" w:rsidRDefault="000F788C" w:rsidP="00517035">
            <w:pPr>
              <w:widowControl/>
              <w:ind w:right="680"/>
              <w:jc w:val="right"/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  <w:t>3.6</w:t>
            </w:r>
          </w:p>
        </w:tc>
        <w:tc>
          <w:tcPr>
            <w:tcW w:w="17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72A4FB" w14:textId="77777777" w:rsidR="000F788C" w:rsidRPr="006055B7" w:rsidRDefault="000F788C" w:rsidP="00517035">
            <w:pPr>
              <w:widowControl/>
              <w:ind w:right="680"/>
              <w:jc w:val="right"/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</w:pPr>
            <w:r>
              <w:rPr>
                <w:rFonts w:cs="Arial"/>
                <w:snapToGrid/>
                <w:color w:val="000000"/>
                <w:sz w:val="16"/>
                <w:szCs w:val="15"/>
                <w:lang w:val="es-MX" w:eastAsia="es-MX"/>
              </w:rPr>
              <w:t>2.7</w:t>
            </w:r>
          </w:p>
        </w:tc>
      </w:tr>
    </w:tbl>
    <w:p w14:paraId="4D6EF605" w14:textId="77777777" w:rsidR="000F788C" w:rsidRDefault="000F788C" w:rsidP="005D1C99">
      <w:pPr>
        <w:pStyle w:val="bullet"/>
        <w:numPr>
          <w:ilvl w:val="0"/>
          <w:numId w:val="0"/>
        </w:numPr>
        <w:tabs>
          <w:tab w:val="left" w:pos="8222"/>
        </w:tabs>
        <w:spacing w:before="0"/>
        <w:ind w:left="993" w:right="760" w:firstLine="141"/>
        <w:rPr>
          <w:rFonts w:cs="Arial"/>
          <w:b w:val="0"/>
          <w:color w:val="000000" w:themeColor="text1"/>
          <w:sz w:val="16"/>
          <w:szCs w:val="16"/>
          <w:lang w:val="es-MX"/>
        </w:rPr>
      </w:pPr>
      <w:r w:rsidRPr="00A0204E">
        <w:rPr>
          <w:rFonts w:cs="Arial"/>
          <w:b w:val="0"/>
          <w:color w:val="000000" w:themeColor="text1"/>
          <w:sz w:val="16"/>
          <w:szCs w:val="16"/>
          <w:lang w:val="es-MX"/>
        </w:rPr>
        <w:t xml:space="preserve">Notas: Cifras </w:t>
      </w:r>
      <w:r>
        <w:rPr>
          <w:rFonts w:cs="Arial"/>
          <w:b w:val="0"/>
          <w:color w:val="000000" w:themeColor="text1"/>
          <w:sz w:val="16"/>
          <w:szCs w:val="16"/>
          <w:lang w:val="es-MX"/>
        </w:rPr>
        <w:t>o</w:t>
      </w:r>
      <w:r w:rsidRPr="00A0204E">
        <w:rPr>
          <w:rFonts w:cs="Arial"/>
          <w:b w:val="0"/>
          <w:color w:val="000000" w:themeColor="text1"/>
          <w:sz w:val="16"/>
          <w:szCs w:val="16"/>
          <w:lang w:val="es-MX"/>
        </w:rPr>
        <w:t>portunas. La estimación oportuna no re</w:t>
      </w:r>
      <w:r>
        <w:rPr>
          <w:rFonts w:cs="Arial"/>
          <w:b w:val="0"/>
          <w:color w:val="000000" w:themeColor="text1"/>
          <w:sz w:val="16"/>
          <w:szCs w:val="16"/>
          <w:lang w:val="es-MX"/>
        </w:rPr>
        <w:t>e</w:t>
      </w:r>
      <w:r w:rsidRPr="00A0204E">
        <w:rPr>
          <w:rFonts w:cs="Arial"/>
          <w:b w:val="0"/>
          <w:color w:val="000000" w:themeColor="text1"/>
          <w:sz w:val="16"/>
          <w:szCs w:val="16"/>
          <w:lang w:val="es-MX"/>
        </w:rPr>
        <w:t>mplaza la estimación</w:t>
      </w:r>
      <w:r>
        <w:rPr>
          <w:rFonts w:cs="Arial"/>
          <w:b w:val="0"/>
          <w:color w:val="000000" w:themeColor="text1"/>
          <w:sz w:val="16"/>
          <w:szCs w:val="16"/>
          <w:lang w:val="es-MX"/>
        </w:rPr>
        <w:t xml:space="preserve"> </w:t>
      </w:r>
      <w:r w:rsidRPr="00A0204E">
        <w:rPr>
          <w:rFonts w:cs="Arial"/>
          <w:b w:val="0"/>
          <w:color w:val="000000" w:themeColor="text1"/>
          <w:sz w:val="16"/>
          <w:szCs w:val="16"/>
          <w:lang w:val="es-MX"/>
        </w:rPr>
        <w:t>tradicional.</w:t>
      </w:r>
    </w:p>
    <w:p w14:paraId="34E0F2F0" w14:textId="77777777" w:rsidR="000F788C" w:rsidRDefault="000F788C" w:rsidP="005D1C99">
      <w:pPr>
        <w:pStyle w:val="bullet"/>
        <w:numPr>
          <w:ilvl w:val="0"/>
          <w:numId w:val="0"/>
        </w:numPr>
        <w:tabs>
          <w:tab w:val="left" w:pos="8222"/>
        </w:tabs>
        <w:spacing w:before="0"/>
        <w:ind w:left="993" w:right="760" w:firstLine="141"/>
        <w:rPr>
          <w:rFonts w:cs="Arial"/>
          <w:b w:val="0"/>
          <w:color w:val="auto"/>
          <w:sz w:val="16"/>
        </w:rPr>
      </w:pPr>
      <w:r w:rsidRPr="009570BB">
        <w:rPr>
          <w:rFonts w:cs="Arial"/>
          <w:b w:val="0"/>
          <w:color w:val="auto"/>
          <w:sz w:val="16"/>
        </w:rPr>
        <w:t>La serie desestacionalizada de</w:t>
      </w:r>
      <w:r>
        <w:rPr>
          <w:rFonts w:cs="Arial"/>
          <w:b w:val="0"/>
          <w:color w:val="auto"/>
          <w:sz w:val="16"/>
        </w:rPr>
        <w:t>l</w:t>
      </w:r>
      <w:r w:rsidRPr="009570BB">
        <w:rPr>
          <w:rFonts w:cs="Arial"/>
          <w:b w:val="0"/>
          <w:color w:val="auto"/>
          <w:sz w:val="16"/>
        </w:rPr>
        <w:t xml:space="preserve"> </w:t>
      </w:r>
      <w:r>
        <w:rPr>
          <w:rFonts w:cs="Arial"/>
          <w:b w:val="0"/>
          <w:color w:val="auto"/>
          <w:sz w:val="16"/>
        </w:rPr>
        <w:t>agregado</w:t>
      </w:r>
      <w:r w:rsidRPr="009570BB">
        <w:rPr>
          <w:rFonts w:cs="Arial"/>
          <w:b w:val="0"/>
          <w:color w:val="auto"/>
          <w:sz w:val="16"/>
        </w:rPr>
        <w:t xml:space="preserve"> se calcula de manera independiente a la de sus</w:t>
      </w:r>
      <w:r>
        <w:rPr>
          <w:rFonts w:cs="Arial"/>
          <w:b w:val="0"/>
          <w:color w:val="auto"/>
          <w:sz w:val="16"/>
        </w:rPr>
        <w:t xml:space="preserve"> </w:t>
      </w:r>
      <w:r w:rsidRPr="009570BB">
        <w:rPr>
          <w:rFonts w:cs="Arial"/>
          <w:b w:val="0"/>
          <w:color w:val="auto"/>
          <w:sz w:val="16"/>
        </w:rPr>
        <w:t>componentes.</w:t>
      </w:r>
    </w:p>
    <w:p w14:paraId="34D4A1DA" w14:textId="77777777" w:rsidR="000F788C" w:rsidRDefault="000F788C" w:rsidP="005D1C99">
      <w:pPr>
        <w:widowControl/>
        <w:tabs>
          <w:tab w:val="left" w:pos="8222"/>
        </w:tabs>
        <w:ind w:left="993" w:right="1610" w:firstLine="141"/>
        <w:jc w:val="both"/>
        <w:rPr>
          <w:rFonts w:cs="Arial"/>
          <w:color w:val="000000" w:themeColor="text1"/>
          <w:sz w:val="16"/>
          <w:szCs w:val="16"/>
        </w:rPr>
      </w:pPr>
      <w:r w:rsidRPr="004C5D14">
        <w:rPr>
          <w:rFonts w:cs="Arial"/>
          <w:color w:val="000000" w:themeColor="text1"/>
          <w:sz w:val="16"/>
          <w:szCs w:val="16"/>
        </w:rPr>
        <w:t>Fuente: INEGI</w:t>
      </w:r>
    </w:p>
    <w:p w14:paraId="5C51F8AB" w14:textId="68CDAAED" w:rsidR="000F788C" w:rsidRDefault="000F788C" w:rsidP="00B02B25">
      <w:pPr>
        <w:pStyle w:val="bullet"/>
        <w:numPr>
          <w:ilvl w:val="0"/>
          <w:numId w:val="0"/>
        </w:numPr>
        <w:ind w:left="-284" w:right="-91"/>
        <w:rPr>
          <w:b w:val="0"/>
          <w:color w:val="auto"/>
          <w:sz w:val="24"/>
          <w:szCs w:val="24"/>
        </w:rPr>
      </w:pPr>
      <w:r w:rsidRPr="1CBFC785">
        <w:rPr>
          <w:b w:val="0"/>
          <w:color w:val="auto"/>
          <w:sz w:val="24"/>
          <w:szCs w:val="24"/>
        </w:rPr>
        <w:t>En 2022 y con series desestacionalizadas, el PIB oportuno creció 3 % a tasa anual.</w:t>
      </w:r>
    </w:p>
    <w:p w14:paraId="3523327B" w14:textId="77777777" w:rsidR="000F788C" w:rsidRDefault="000F788C">
      <w:pPr>
        <w:widowControl/>
        <w:rPr>
          <w:szCs w:val="24"/>
        </w:rPr>
      </w:pPr>
      <w:r>
        <w:rPr>
          <w:b/>
          <w:szCs w:val="24"/>
        </w:rPr>
        <w:br w:type="page"/>
      </w:r>
    </w:p>
    <w:p w14:paraId="4FBD951B" w14:textId="77777777" w:rsidR="000F788C" w:rsidRPr="00DE7CB6" w:rsidRDefault="000F788C" w:rsidP="00B02B25">
      <w:pPr>
        <w:pStyle w:val="bullet"/>
        <w:numPr>
          <w:ilvl w:val="0"/>
          <w:numId w:val="0"/>
        </w:numPr>
        <w:spacing w:before="360"/>
        <w:ind w:left="284" w:right="283"/>
        <w:rPr>
          <w:iCs/>
          <w:color w:val="auto"/>
        </w:rPr>
      </w:pPr>
      <w:r w:rsidRPr="00DE7CB6">
        <w:rPr>
          <w:iCs/>
          <w:color w:val="auto"/>
        </w:rPr>
        <w:lastRenderedPageBreak/>
        <w:t>Cifras originales</w:t>
      </w:r>
    </w:p>
    <w:p w14:paraId="370E169C" w14:textId="77777777" w:rsidR="000F788C" w:rsidRPr="00DC6F94" w:rsidRDefault="000F788C" w:rsidP="00B02B25">
      <w:pPr>
        <w:pStyle w:val="bullet"/>
        <w:numPr>
          <w:ilvl w:val="0"/>
          <w:numId w:val="0"/>
        </w:numPr>
        <w:ind w:left="-284" w:right="283"/>
        <w:rPr>
          <w:b w:val="0"/>
          <w:i/>
          <w:color w:val="auto"/>
          <w:sz w:val="24"/>
          <w:szCs w:val="24"/>
        </w:rPr>
      </w:pPr>
      <w:r w:rsidRPr="005E3FC4">
        <w:rPr>
          <w:b w:val="0"/>
          <w:color w:val="auto"/>
          <w:sz w:val="24"/>
        </w:rPr>
        <w:t xml:space="preserve">En el siguiente cuadro </w:t>
      </w:r>
      <w:r>
        <w:rPr>
          <w:b w:val="0"/>
          <w:color w:val="auto"/>
          <w:sz w:val="24"/>
        </w:rPr>
        <w:t>se muestran</w:t>
      </w:r>
      <w:r w:rsidRPr="005E3FC4">
        <w:rPr>
          <w:b w:val="0"/>
          <w:color w:val="auto"/>
          <w:sz w:val="24"/>
        </w:rPr>
        <w:t xml:space="preserve"> los resultados </w:t>
      </w:r>
      <w:r>
        <w:rPr>
          <w:b w:val="0"/>
          <w:color w:val="auto"/>
          <w:sz w:val="24"/>
        </w:rPr>
        <w:t xml:space="preserve">con cifras originales </w:t>
      </w:r>
      <w:r w:rsidRPr="005E3FC4">
        <w:rPr>
          <w:b w:val="0"/>
          <w:color w:val="auto"/>
          <w:sz w:val="24"/>
        </w:rPr>
        <w:t>de</w:t>
      </w:r>
      <w:r>
        <w:rPr>
          <w:b w:val="0"/>
          <w:color w:val="auto"/>
          <w:sz w:val="24"/>
        </w:rPr>
        <w:t>l PIB por actividad económica y su</w:t>
      </w:r>
      <w:r w:rsidRPr="005E3FC4">
        <w:rPr>
          <w:b w:val="0"/>
          <w:color w:val="auto"/>
          <w:sz w:val="24"/>
        </w:rPr>
        <w:t xml:space="preserve"> </w:t>
      </w:r>
      <w:r>
        <w:rPr>
          <w:b w:val="0"/>
          <w:color w:val="auto"/>
          <w:sz w:val="24"/>
        </w:rPr>
        <w:t>e</w:t>
      </w:r>
      <w:r w:rsidRPr="005E3FC4">
        <w:rPr>
          <w:b w:val="0"/>
          <w:color w:val="auto"/>
          <w:sz w:val="24"/>
        </w:rPr>
        <w:t xml:space="preserve">stimación </w:t>
      </w:r>
      <w:r>
        <w:rPr>
          <w:b w:val="0"/>
          <w:color w:val="auto"/>
          <w:sz w:val="24"/>
        </w:rPr>
        <w:t>o</w:t>
      </w:r>
      <w:r w:rsidRPr="005E3FC4">
        <w:rPr>
          <w:b w:val="0"/>
          <w:color w:val="auto"/>
          <w:sz w:val="24"/>
        </w:rPr>
        <w:t xml:space="preserve">portuna </w:t>
      </w:r>
      <w:r>
        <w:rPr>
          <w:b w:val="0"/>
          <w:color w:val="auto"/>
          <w:sz w:val="24"/>
        </w:rPr>
        <w:t>para el cuarto trimestre de 2022.</w:t>
      </w:r>
    </w:p>
    <w:p w14:paraId="3286246E" w14:textId="77777777" w:rsidR="000F788C" w:rsidRPr="00230D75" w:rsidRDefault="000F788C" w:rsidP="000F788C">
      <w:pPr>
        <w:pStyle w:val="bullet"/>
        <w:numPr>
          <w:ilvl w:val="0"/>
          <w:numId w:val="0"/>
        </w:numPr>
        <w:spacing w:before="360"/>
        <w:ind w:right="0"/>
        <w:jc w:val="center"/>
        <w:rPr>
          <w:b w:val="0"/>
          <w:bCs/>
          <w:color w:val="auto"/>
          <w:sz w:val="20"/>
        </w:rPr>
      </w:pPr>
      <w:r w:rsidRPr="00230D75">
        <w:rPr>
          <w:b w:val="0"/>
          <w:bCs/>
          <w:color w:val="auto"/>
          <w:sz w:val="20"/>
        </w:rPr>
        <w:t>Cuadro 2</w:t>
      </w:r>
    </w:p>
    <w:p w14:paraId="5F306DEB" w14:textId="77777777" w:rsidR="000F788C" w:rsidRPr="00BB1B5E" w:rsidRDefault="000F788C" w:rsidP="000F788C">
      <w:pPr>
        <w:pStyle w:val="bullet"/>
        <w:numPr>
          <w:ilvl w:val="0"/>
          <w:numId w:val="0"/>
        </w:numPr>
        <w:spacing w:before="0"/>
        <w:ind w:right="0"/>
        <w:jc w:val="center"/>
        <w:rPr>
          <w:rFonts w:cs="Arial"/>
          <w:smallCaps/>
          <w:color w:val="auto"/>
          <w:szCs w:val="22"/>
        </w:rPr>
      </w:pPr>
      <w:r w:rsidRPr="00BB1B5E">
        <w:rPr>
          <w:rFonts w:cs="Arial"/>
          <w:smallCaps/>
          <w:color w:val="auto"/>
          <w:szCs w:val="22"/>
        </w:rPr>
        <w:t>Producto Interno Bruto</w:t>
      </w:r>
      <w:r>
        <w:rPr>
          <w:rFonts w:cs="Arial"/>
          <w:smallCaps/>
          <w:color w:val="auto"/>
          <w:szCs w:val="22"/>
        </w:rPr>
        <w:t xml:space="preserve"> Trimestral</w:t>
      </w:r>
    </w:p>
    <w:p w14:paraId="5FF5C808" w14:textId="77777777" w:rsidR="000F788C" w:rsidRDefault="000F788C" w:rsidP="000F788C">
      <w:pPr>
        <w:pStyle w:val="bullet"/>
        <w:numPr>
          <w:ilvl w:val="0"/>
          <w:numId w:val="0"/>
        </w:numPr>
        <w:spacing w:before="0"/>
        <w:ind w:right="0"/>
        <w:jc w:val="center"/>
        <w:rPr>
          <w:rFonts w:cs="Arial"/>
          <w:b w:val="0"/>
          <w:bCs/>
          <w:snapToGrid/>
          <w:color w:val="000000" w:themeColor="text1"/>
          <w:sz w:val="18"/>
          <w:lang w:val="es-MX" w:eastAsia="es-MX"/>
        </w:rPr>
      </w:pPr>
      <w:r>
        <w:rPr>
          <w:rFonts w:cs="Arial"/>
          <w:b w:val="0"/>
          <w:bCs/>
          <w:snapToGrid/>
          <w:color w:val="000000" w:themeColor="text1"/>
          <w:sz w:val="18"/>
          <w:lang w:val="es-MX" w:eastAsia="es-MX"/>
        </w:rPr>
        <w:t>(</w:t>
      </w:r>
      <w:r w:rsidRPr="00752485">
        <w:rPr>
          <w:rFonts w:cs="Arial"/>
          <w:b w:val="0"/>
          <w:bCs/>
          <w:snapToGrid/>
          <w:color w:val="000000" w:themeColor="text1"/>
          <w:sz w:val="18"/>
          <w:lang w:val="es-MX" w:eastAsia="es-MX"/>
        </w:rPr>
        <w:t xml:space="preserve">Variación </w:t>
      </w:r>
      <w:r>
        <w:rPr>
          <w:rFonts w:cs="Arial"/>
          <w:b w:val="0"/>
          <w:bCs/>
          <w:snapToGrid/>
          <w:color w:val="000000" w:themeColor="text1"/>
          <w:sz w:val="18"/>
          <w:lang w:val="es-MX" w:eastAsia="es-MX"/>
        </w:rPr>
        <w:t>porcentual anual)</w:t>
      </w:r>
    </w:p>
    <w:tbl>
      <w:tblPr>
        <w:tblStyle w:val="Tablaconcuadrcula"/>
        <w:tblW w:w="7637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0F788C" w:rsidRPr="007F656F" w14:paraId="0F31B385" w14:textId="77777777" w:rsidTr="00517035">
        <w:trPr>
          <w:trHeight w:val="179"/>
          <w:jc w:val="center"/>
        </w:trPr>
        <w:tc>
          <w:tcPr>
            <w:tcW w:w="1973" w:type="dxa"/>
            <w:vMerge w:val="restart"/>
            <w:tcBorders>
              <w:top w:val="double" w:sz="4" w:space="0" w:color="000000"/>
              <w:bottom w:val="nil"/>
              <w:right w:val="double" w:sz="4" w:space="0" w:color="000000"/>
            </w:tcBorders>
            <w:shd w:val="clear" w:color="auto" w:fill="D6E3BC" w:themeFill="accent3" w:themeFillTint="66"/>
            <w:vAlign w:val="center"/>
          </w:tcPr>
          <w:p w14:paraId="7307B7D1" w14:textId="77777777" w:rsidR="000F788C" w:rsidRPr="004A352E" w:rsidRDefault="000F788C" w:rsidP="00517035">
            <w:pPr>
              <w:widowControl/>
              <w:jc w:val="center"/>
              <w:rPr>
                <w:rFonts w:cs="Arial"/>
                <w:snapToGrid/>
                <w:sz w:val="16"/>
                <w:szCs w:val="14"/>
                <w:lang w:val="es-MX" w:eastAsia="es-MX"/>
              </w:rPr>
            </w:pPr>
            <w:r w:rsidRPr="004A352E">
              <w:rPr>
                <w:rFonts w:cs="Arial"/>
                <w:snapToGrid/>
                <w:sz w:val="16"/>
                <w:szCs w:val="14"/>
                <w:lang w:val="es-MX" w:eastAsia="es-MX"/>
              </w:rPr>
              <w:t>Concepto</w:t>
            </w:r>
          </w:p>
        </w:tc>
        <w:tc>
          <w:tcPr>
            <w:tcW w:w="212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6E3BC" w:themeFill="accent3" w:themeFillTint="66"/>
            <w:vAlign w:val="center"/>
          </w:tcPr>
          <w:p w14:paraId="0A23AFC3" w14:textId="77777777" w:rsidR="000F788C" w:rsidRPr="004A352E" w:rsidRDefault="000F788C" w:rsidP="00517035">
            <w:pPr>
              <w:widowControl/>
              <w:spacing w:before="60" w:after="60"/>
              <w:jc w:val="center"/>
              <w:rPr>
                <w:rFonts w:cs="Arial"/>
                <w:snapToGrid/>
                <w:sz w:val="16"/>
                <w:szCs w:val="14"/>
                <w:lang w:val="es-MX" w:eastAsia="es-MX"/>
              </w:rPr>
            </w:pPr>
            <w:r w:rsidRPr="004A352E">
              <w:rPr>
                <w:rFonts w:cs="Arial"/>
                <w:snapToGrid/>
                <w:sz w:val="16"/>
                <w:szCs w:val="14"/>
                <w:lang w:val="es-MX" w:eastAsia="es-MX"/>
              </w:rPr>
              <w:t>2021</w:t>
            </w:r>
          </w:p>
        </w:tc>
        <w:tc>
          <w:tcPr>
            <w:tcW w:w="3540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6E3BC" w:themeFill="accent3" w:themeFillTint="66"/>
            <w:vAlign w:val="center"/>
          </w:tcPr>
          <w:p w14:paraId="161A6F6F" w14:textId="77777777" w:rsidR="000F788C" w:rsidRPr="004A352E" w:rsidRDefault="000F788C" w:rsidP="00517035">
            <w:pPr>
              <w:widowControl/>
              <w:spacing w:before="60" w:after="60"/>
              <w:jc w:val="center"/>
              <w:rPr>
                <w:rFonts w:cs="Arial"/>
                <w:snapToGrid/>
                <w:sz w:val="16"/>
                <w:szCs w:val="14"/>
                <w:lang w:val="es-MX" w:eastAsia="es-MX"/>
              </w:rPr>
            </w:pPr>
            <w:r w:rsidRPr="004A352E">
              <w:rPr>
                <w:rFonts w:cs="Arial"/>
                <w:snapToGrid/>
                <w:sz w:val="16"/>
                <w:szCs w:val="14"/>
                <w:lang w:val="es-MX" w:eastAsia="es-MX"/>
              </w:rPr>
              <w:t>2022</w:t>
            </w:r>
            <w:r w:rsidRPr="00114A83">
              <w:rPr>
                <w:rFonts w:cs="Arial"/>
                <w:snapToGrid/>
                <w:color w:val="000000" w:themeColor="text1"/>
                <w:sz w:val="16"/>
                <w:szCs w:val="14"/>
                <w:vertAlign w:val="superscript"/>
                <w:lang w:val="es-MX" w:eastAsia="es-MX"/>
              </w:rPr>
              <w:t>P/</w:t>
            </w:r>
          </w:p>
        </w:tc>
      </w:tr>
      <w:tr w:rsidR="000F788C" w:rsidRPr="00524356" w14:paraId="64B64B63" w14:textId="77777777" w:rsidTr="00517035">
        <w:trPr>
          <w:trHeight w:val="283"/>
          <w:jc w:val="center"/>
        </w:trPr>
        <w:tc>
          <w:tcPr>
            <w:tcW w:w="1973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  <w:shd w:val="clear" w:color="auto" w:fill="D6E3BC" w:themeFill="accent3" w:themeFillTint="66"/>
          </w:tcPr>
          <w:p w14:paraId="00C09FA8" w14:textId="77777777" w:rsidR="000F788C" w:rsidRPr="004A352E" w:rsidRDefault="000F788C" w:rsidP="00517035">
            <w:pPr>
              <w:pStyle w:val="p0"/>
              <w:rPr>
                <w:sz w:val="16"/>
                <w:szCs w:val="14"/>
              </w:rPr>
            </w:pP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6E3BC" w:themeFill="accent3" w:themeFillTint="66"/>
            <w:vAlign w:val="center"/>
          </w:tcPr>
          <w:p w14:paraId="78B99531" w14:textId="77777777" w:rsidR="000F788C" w:rsidRPr="004A352E" w:rsidRDefault="000F788C" w:rsidP="00517035">
            <w:pPr>
              <w:pStyle w:val="p0"/>
              <w:spacing w:before="20"/>
              <w:jc w:val="center"/>
              <w:rPr>
                <w:color w:val="auto"/>
                <w:sz w:val="16"/>
                <w:szCs w:val="14"/>
              </w:rPr>
            </w:pPr>
            <w:r w:rsidRPr="004A352E">
              <w:rPr>
                <w:color w:val="auto"/>
                <w:sz w:val="16"/>
                <w:szCs w:val="14"/>
              </w:rPr>
              <w:t>III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6E3BC" w:themeFill="accent3" w:themeFillTint="66"/>
            <w:vAlign w:val="center"/>
          </w:tcPr>
          <w:p w14:paraId="029D7C9B" w14:textId="77777777" w:rsidR="000F788C" w:rsidRPr="004A352E" w:rsidRDefault="000F788C" w:rsidP="00517035">
            <w:pPr>
              <w:pStyle w:val="p0"/>
              <w:spacing w:before="20"/>
              <w:jc w:val="center"/>
              <w:rPr>
                <w:color w:val="auto"/>
                <w:sz w:val="16"/>
                <w:szCs w:val="14"/>
              </w:rPr>
            </w:pPr>
            <w:r w:rsidRPr="004A352E">
              <w:rPr>
                <w:color w:val="auto"/>
                <w:sz w:val="16"/>
                <w:szCs w:val="14"/>
              </w:rPr>
              <w:t>IV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6E3BC" w:themeFill="accent3" w:themeFillTint="66"/>
            <w:vAlign w:val="center"/>
          </w:tcPr>
          <w:p w14:paraId="6EC1F270" w14:textId="77777777" w:rsidR="000F788C" w:rsidRPr="004A352E" w:rsidRDefault="000F788C" w:rsidP="00517035">
            <w:pPr>
              <w:pStyle w:val="p0"/>
              <w:spacing w:before="20"/>
              <w:jc w:val="center"/>
              <w:rPr>
                <w:color w:val="auto"/>
                <w:sz w:val="16"/>
                <w:szCs w:val="14"/>
              </w:rPr>
            </w:pPr>
            <w:r w:rsidRPr="004A352E">
              <w:rPr>
                <w:color w:val="auto"/>
                <w:sz w:val="16"/>
                <w:szCs w:val="14"/>
              </w:rPr>
              <w:t>Anual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6E3BC" w:themeFill="accent3" w:themeFillTint="66"/>
            <w:vAlign w:val="center"/>
          </w:tcPr>
          <w:p w14:paraId="217EB25F" w14:textId="77777777" w:rsidR="000F788C" w:rsidRPr="004A352E" w:rsidRDefault="000F788C" w:rsidP="00517035">
            <w:pPr>
              <w:pStyle w:val="p0"/>
              <w:spacing w:before="20"/>
              <w:jc w:val="center"/>
              <w:rPr>
                <w:color w:val="auto"/>
                <w:sz w:val="16"/>
                <w:szCs w:val="14"/>
              </w:rPr>
            </w:pPr>
            <w:r w:rsidRPr="004A352E">
              <w:rPr>
                <w:color w:val="auto"/>
                <w:sz w:val="16"/>
                <w:szCs w:val="14"/>
              </w:rPr>
              <w:t>I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6E3BC" w:themeFill="accent3" w:themeFillTint="66"/>
            <w:vAlign w:val="center"/>
          </w:tcPr>
          <w:p w14:paraId="148D9E7C" w14:textId="77777777" w:rsidR="000F788C" w:rsidRPr="004A352E" w:rsidRDefault="000F788C" w:rsidP="00517035">
            <w:pPr>
              <w:pStyle w:val="p0"/>
              <w:spacing w:before="20"/>
              <w:jc w:val="center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II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6E3BC" w:themeFill="accent3" w:themeFillTint="66"/>
            <w:vAlign w:val="center"/>
          </w:tcPr>
          <w:p w14:paraId="1805C8D3" w14:textId="77777777" w:rsidR="000F788C" w:rsidRDefault="000F788C" w:rsidP="00517035">
            <w:pPr>
              <w:pStyle w:val="p0"/>
              <w:spacing w:before="20"/>
              <w:jc w:val="center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III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6E3BC" w:themeFill="accent3" w:themeFillTint="66"/>
            <w:vAlign w:val="center"/>
          </w:tcPr>
          <w:p w14:paraId="30F60EF6" w14:textId="77777777" w:rsidR="000F788C" w:rsidRPr="004A352E" w:rsidRDefault="000F788C" w:rsidP="00517035">
            <w:pPr>
              <w:pStyle w:val="p0"/>
              <w:spacing w:before="20"/>
              <w:jc w:val="center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IV*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6E3BC" w:themeFill="accent3" w:themeFillTint="66"/>
          </w:tcPr>
          <w:p w14:paraId="6AA8B1B5" w14:textId="77777777" w:rsidR="000F788C" w:rsidRDefault="000F788C" w:rsidP="00517035">
            <w:pPr>
              <w:pStyle w:val="p0"/>
              <w:spacing w:before="20"/>
              <w:jc w:val="center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Anual*</w:t>
            </w:r>
          </w:p>
        </w:tc>
      </w:tr>
      <w:tr w:rsidR="000F788C" w:rsidRPr="00524356" w14:paraId="0F7EC794" w14:textId="77777777" w:rsidTr="00517035">
        <w:trPr>
          <w:trHeight w:val="283"/>
          <w:jc w:val="center"/>
        </w:trPr>
        <w:tc>
          <w:tcPr>
            <w:tcW w:w="1973" w:type="dxa"/>
            <w:tcBorders>
              <w:top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4076FE9D" w14:textId="77777777" w:rsidR="000F788C" w:rsidRPr="007B5847" w:rsidRDefault="000F788C" w:rsidP="00517035">
            <w:pPr>
              <w:widowControl/>
              <w:rPr>
                <w:rFonts w:cs="Arial"/>
                <w:b/>
                <w:bCs/>
                <w:snapToGrid/>
                <w:color w:val="000000"/>
                <w:sz w:val="16"/>
                <w:szCs w:val="18"/>
                <w:lang w:val="es-MX" w:eastAsia="es-MX"/>
              </w:rPr>
            </w:pPr>
            <w:r w:rsidRPr="007B5847">
              <w:rPr>
                <w:rFonts w:cs="Arial"/>
                <w:b/>
                <w:bCs/>
                <w:snapToGrid/>
                <w:color w:val="000000"/>
                <w:sz w:val="16"/>
                <w:szCs w:val="18"/>
                <w:lang w:val="es-MX" w:eastAsia="es-MX"/>
              </w:rPr>
              <w:t xml:space="preserve">PIB </w:t>
            </w:r>
            <w:r>
              <w:rPr>
                <w:rFonts w:cs="Arial"/>
                <w:b/>
                <w:bCs/>
                <w:snapToGrid/>
                <w:color w:val="000000"/>
                <w:sz w:val="16"/>
                <w:szCs w:val="18"/>
                <w:lang w:val="es-MX" w:eastAsia="es-MX"/>
              </w:rPr>
              <w:t>t</w:t>
            </w:r>
            <w:r w:rsidRPr="007B5847">
              <w:rPr>
                <w:rFonts w:cs="Arial"/>
                <w:b/>
                <w:bCs/>
                <w:snapToGrid/>
                <w:color w:val="000000"/>
                <w:sz w:val="16"/>
                <w:szCs w:val="18"/>
                <w:lang w:val="es-MX" w:eastAsia="es-MX"/>
              </w:rPr>
              <w:t xml:space="preserve">otal </w:t>
            </w:r>
          </w:p>
        </w:tc>
        <w:tc>
          <w:tcPr>
            <w:tcW w:w="70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012AB39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b/>
                <w:color w:val="auto"/>
                <w:sz w:val="16"/>
                <w:szCs w:val="14"/>
              </w:rPr>
            </w:pPr>
            <w:r w:rsidRPr="006055B7">
              <w:rPr>
                <w:b/>
                <w:color w:val="auto"/>
                <w:sz w:val="16"/>
                <w:szCs w:val="14"/>
              </w:rPr>
              <w:t>4.</w:t>
            </w:r>
            <w:r>
              <w:rPr>
                <w:b/>
                <w:color w:val="auto"/>
                <w:sz w:val="16"/>
                <w:szCs w:val="14"/>
              </w:rPr>
              <w:t>3</w:t>
            </w:r>
          </w:p>
        </w:tc>
        <w:tc>
          <w:tcPr>
            <w:tcW w:w="70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573F698B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b/>
                <w:color w:val="auto"/>
                <w:sz w:val="16"/>
                <w:szCs w:val="14"/>
              </w:rPr>
            </w:pPr>
            <w:r w:rsidRPr="006055B7">
              <w:rPr>
                <w:b/>
                <w:color w:val="auto"/>
                <w:sz w:val="16"/>
                <w:szCs w:val="14"/>
              </w:rPr>
              <w:t>1.</w:t>
            </w:r>
            <w:r>
              <w:rPr>
                <w:b/>
                <w:color w:val="auto"/>
                <w:sz w:val="16"/>
                <w:szCs w:val="14"/>
              </w:rPr>
              <w:t>0</w:t>
            </w:r>
          </w:p>
        </w:tc>
        <w:tc>
          <w:tcPr>
            <w:tcW w:w="708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36C0F068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b/>
                <w:color w:val="auto"/>
                <w:sz w:val="16"/>
                <w:szCs w:val="14"/>
              </w:rPr>
            </w:pPr>
            <w:r w:rsidRPr="006055B7">
              <w:rPr>
                <w:b/>
                <w:color w:val="auto"/>
                <w:sz w:val="16"/>
                <w:szCs w:val="14"/>
              </w:rPr>
              <w:t>4.</w:t>
            </w:r>
            <w:r>
              <w:rPr>
                <w:b/>
                <w:color w:val="auto"/>
                <w:sz w:val="16"/>
                <w:szCs w:val="14"/>
              </w:rPr>
              <w:t>7</w:t>
            </w:r>
          </w:p>
        </w:tc>
        <w:tc>
          <w:tcPr>
            <w:tcW w:w="70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22D3A9BD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b/>
                <w:color w:val="auto"/>
                <w:sz w:val="16"/>
                <w:szCs w:val="14"/>
              </w:rPr>
            </w:pPr>
            <w:r w:rsidRPr="006055B7">
              <w:rPr>
                <w:b/>
                <w:color w:val="auto"/>
                <w:sz w:val="16"/>
                <w:szCs w:val="14"/>
              </w:rPr>
              <w:t>1.</w:t>
            </w:r>
            <w:r>
              <w:rPr>
                <w:b/>
                <w:color w:val="auto"/>
                <w:sz w:val="16"/>
                <w:szCs w:val="14"/>
              </w:rPr>
              <w:t>8</w:t>
            </w:r>
          </w:p>
        </w:tc>
        <w:tc>
          <w:tcPr>
            <w:tcW w:w="70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2D2376FA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b/>
                <w:color w:val="auto"/>
                <w:sz w:val="16"/>
                <w:szCs w:val="14"/>
              </w:rPr>
            </w:pPr>
            <w:r>
              <w:rPr>
                <w:b/>
                <w:color w:val="auto"/>
                <w:sz w:val="16"/>
                <w:szCs w:val="14"/>
              </w:rPr>
              <w:t>2.4</w:t>
            </w:r>
          </w:p>
        </w:tc>
        <w:tc>
          <w:tcPr>
            <w:tcW w:w="70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4981AF4" w14:textId="77777777" w:rsidR="000F788C" w:rsidRDefault="000F788C" w:rsidP="00517035">
            <w:pPr>
              <w:pStyle w:val="p0"/>
              <w:spacing w:before="0"/>
              <w:ind w:right="170"/>
              <w:jc w:val="right"/>
              <w:rPr>
                <w:b/>
                <w:color w:val="auto"/>
                <w:sz w:val="16"/>
                <w:szCs w:val="14"/>
              </w:rPr>
            </w:pPr>
            <w:r>
              <w:rPr>
                <w:b/>
                <w:color w:val="auto"/>
                <w:sz w:val="16"/>
                <w:szCs w:val="14"/>
              </w:rPr>
              <w:t>4.3</w:t>
            </w:r>
          </w:p>
        </w:tc>
        <w:tc>
          <w:tcPr>
            <w:tcW w:w="70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1A4EDD15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b/>
                <w:color w:val="auto"/>
                <w:sz w:val="16"/>
                <w:szCs w:val="14"/>
              </w:rPr>
            </w:pPr>
            <w:r>
              <w:rPr>
                <w:b/>
                <w:color w:val="auto"/>
                <w:sz w:val="16"/>
                <w:szCs w:val="14"/>
              </w:rPr>
              <w:t>3.5</w:t>
            </w:r>
          </w:p>
        </w:tc>
        <w:tc>
          <w:tcPr>
            <w:tcW w:w="708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5E842B52" w14:textId="77777777" w:rsidR="000F788C" w:rsidRDefault="000F788C" w:rsidP="00517035">
            <w:pPr>
              <w:pStyle w:val="p0"/>
              <w:spacing w:before="0"/>
              <w:ind w:right="170"/>
              <w:jc w:val="right"/>
              <w:rPr>
                <w:b/>
                <w:color w:val="auto"/>
                <w:sz w:val="16"/>
                <w:szCs w:val="14"/>
              </w:rPr>
            </w:pPr>
            <w:r>
              <w:rPr>
                <w:b/>
                <w:color w:val="auto"/>
                <w:sz w:val="16"/>
                <w:szCs w:val="14"/>
              </w:rPr>
              <w:t>3.0</w:t>
            </w:r>
          </w:p>
        </w:tc>
      </w:tr>
      <w:tr w:rsidR="000F788C" w:rsidRPr="00524356" w14:paraId="149B2730" w14:textId="77777777" w:rsidTr="00517035">
        <w:trPr>
          <w:trHeight w:val="283"/>
          <w:jc w:val="center"/>
        </w:trPr>
        <w:tc>
          <w:tcPr>
            <w:tcW w:w="1973" w:type="dxa"/>
            <w:tcBorders>
              <w:top w:val="nil"/>
              <w:bottom w:val="nil"/>
              <w:right w:val="double" w:sz="4" w:space="0" w:color="000000"/>
            </w:tcBorders>
            <w:vAlign w:val="center"/>
          </w:tcPr>
          <w:p w14:paraId="0DBB23A1" w14:textId="77777777" w:rsidR="000F788C" w:rsidRPr="007B5847" w:rsidRDefault="000F788C" w:rsidP="00517035">
            <w:pPr>
              <w:widowControl/>
              <w:ind w:left="57" w:right="-57"/>
              <w:rPr>
                <w:rFonts w:cs="Arial"/>
                <w:bCs/>
                <w:snapToGrid/>
                <w:color w:val="000000"/>
                <w:sz w:val="16"/>
                <w:szCs w:val="18"/>
                <w:lang w:val="es-MX" w:eastAsia="es-MX"/>
              </w:rPr>
            </w:pPr>
            <w:r w:rsidRPr="00E90A44">
              <w:rPr>
                <w:rFonts w:cs="Arial"/>
                <w:snapToGrid/>
                <w:color w:val="000000"/>
                <w:sz w:val="16"/>
                <w:szCs w:val="18"/>
                <w:lang w:val="es-MX" w:eastAsia="es-MX"/>
              </w:rPr>
              <w:t xml:space="preserve">Actividades </w:t>
            </w:r>
            <w:r>
              <w:rPr>
                <w:rFonts w:cs="Arial"/>
                <w:bCs/>
                <w:snapToGrid/>
                <w:color w:val="000000"/>
                <w:sz w:val="16"/>
                <w:szCs w:val="18"/>
                <w:lang w:val="es-MX" w:eastAsia="es-MX"/>
              </w:rPr>
              <w:t>p</w:t>
            </w:r>
            <w:r w:rsidRPr="007B5847">
              <w:rPr>
                <w:rFonts w:cs="Arial"/>
                <w:bCs/>
                <w:snapToGrid/>
                <w:color w:val="000000"/>
                <w:sz w:val="16"/>
                <w:szCs w:val="18"/>
                <w:lang w:val="es-MX" w:eastAsia="es-MX"/>
              </w:rPr>
              <w:t xml:space="preserve">rimarias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28711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-0.1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47E20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3.7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3937817E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 w:rsidRPr="006055B7">
              <w:rPr>
                <w:color w:val="auto"/>
                <w:sz w:val="16"/>
                <w:szCs w:val="14"/>
              </w:rPr>
              <w:t>2.</w:t>
            </w:r>
            <w:r>
              <w:rPr>
                <w:color w:val="auto"/>
                <w:sz w:val="16"/>
                <w:szCs w:val="1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F9FF5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-0.2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84408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1.0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6D26E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3.6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3928A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6.6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6898408" w14:textId="77777777" w:rsidR="000F788C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3.0</w:t>
            </w:r>
          </w:p>
        </w:tc>
      </w:tr>
      <w:tr w:rsidR="000F788C" w:rsidRPr="00524356" w14:paraId="6D1B889B" w14:textId="77777777" w:rsidTr="00517035">
        <w:trPr>
          <w:trHeight w:val="283"/>
          <w:jc w:val="center"/>
        </w:trPr>
        <w:tc>
          <w:tcPr>
            <w:tcW w:w="1973" w:type="dxa"/>
            <w:tcBorders>
              <w:top w:val="nil"/>
              <w:bottom w:val="nil"/>
              <w:right w:val="double" w:sz="4" w:space="0" w:color="000000"/>
            </w:tcBorders>
            <w:vAlign w:val="center"/>
          </w:tcPr>
          <w:p w14:paraId="1F3B0EB7" w14:textId="77777777" w:rsidR="000F788C" w:rsidRPr="006055B7" w:rsidRDefault="000F788C" w:rsidP="00517035">
            <w:pPr>
              <w:widowControl/>
              <w:ind w:left="57" w:right="-57"/>
              <w:rPr>
                <w:rFonts w:cs="Arial"/>
                <w:bCs/>
                <w:snapToGrid/>
                <w:color w:val="000000"/>
                <w:sz w:val="16"/>
                <w:szCs w:val="18"/>
                <w:lang w:val="es-MX" w:eastAsia="es-MX"/>
              </w:rPr>
            </w:pPr>
            <w:r w:rsidRPr="006055B7">
              <w:rPr>
                <w:rFonts w:cs="Arial"/>
                <w:bCs/>
                <w:snapToGrid/>
                <w:color w:val="000000"/>
                <w:sz w:val="16"/>
                <w:szCs w:val="18"/>
                <w:lang w:val="es-MX" w:eastAsia="es-MX"/>
              </w:rPr>
              <w:t xml:space="preserve">Actividades secundarias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057C0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3.5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32F5B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1.0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7DC57EC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5.4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5FCD5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3.0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17123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3.3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E2BEC" w14:textId="77777777" w:rsidR="000F788C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3.5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7DF44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3.0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34AD0813" w14:textId="77777777" w:rsidR="000F788C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3.2</w:t>
            </w:r>
          </w:p>
        </w:tc>
      </w:tr>
      <w:tr w:rsidR="000F788C" w:rsidRPr="00524356" w14:paraId="751DF947" w14:textId="77777777" w:rsidTr="00517035">
        <w:trPr>
          <w:trHeight w:val="283"/>
          <w:jc w:val="center"/>
        </w:trPr>
        <w:tc>
          <w:tcPr>
            <w:tcW w:w="1973" w:type="dxa"/>
            <w:tcBorders>
              <w:top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54549BFE" w14:textId="77777777" w:rsidR="000F788C" w:rsidRPr="006055B7" w:rsidRDefault="000F788C" w:rsidP="00517035">
            <w:pPr>
              <w:widowControl/>
              <w:ind w:left="57" w:right="-57"/>
              <w:rPr>
                <w:rFonts w:cs="Arial"/>
                <w:bCs/>
                <w:snapToGrid/>
                <w:color w:val="000000"/>
                <w:sz w:val="16"/>
                <w:szCs w:val="18"/>
                <w:lang w:val="es-MX" w:eastAsia="es-MX"/>
              </w:rPr>
            </w:pPr>
            <w:r w:rsidRPr="006055B7">
              <w:rPr>
                <w:rFonts w:cs="Arial"/>
                <w:bCs/>
                <w:snapToGrid/>
                <w:color w:val="000000"/>
                <w:sz w:val="16"/>
                <w:szCs w:val="18"/>
                <w:lang w:val="es-MX" w:eastAsia="es-MX"/>
              </w:rPr>
              <w:t xml:space="preserve">Actividades terciarias </w:t>
            </w:r>
          </w:p>
        </w:tc>
        <w:tc>
          <w:tcPr>
            <w:tcW w:w="708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14:paraId="4CF13883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 w:rsidRPr="006055B7">
              <w:rPr>
                <w:color w:val="auto"/>
                <w:sz w:val="16"/>
                <w:szCs w:val="14"/>
              </w:rPr>
              <w:t>4.</w:t>
            </w:r>
            <w:r>
              <w:rPr>
                <w:color w:val="auto"/>
                <w:sz w:val="16"/>
                <w:szCs w:val="1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14:paraId="5D11E03D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 w:rsidRPr="006055B7">
              <w:rPr>
                <w:color w:val="auto"/>
                <w:sz w:val="16"/>
                <w:szCs w:val="14"/>
              </w:rPr>
              <w:t>0.</w:t>
            </w:r>
            <w:r>
              <w:rPr>
                <w:color w:val="auto"/>
                <w:sz w:val="16"/>
                <w:szCs w:val="1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11D47E85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 w:rsidRPr="006055B7">
              <w:rPr>
                <w:color w:val="auto"/>
                <w:sz w:val="16"/>
                <w:szCs w:val="14"/>
              </w:rPr>
              <w:t>4.</w:t>
            </w:r>
            <w:r>
              <w:rPr>
                <w:color w:val="auto"/>
                <w:sz w:val="16"/>
                <w:szCs w:val="1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14:paraId="20067F8C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1.1</w:t>
            </w:r>
          </w:p>
        </w:tc>
        <w:tc>
          <w:tcPr>
            <w:tcW w:w="708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14:paraId="3457DF6C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1.8</w:t>
            </w:r>
          </w:p>
        </w:tc>
        <w:tc>
          <w:tcPr>
            <w:tcW w:w="708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14:paraId="2A23099A" w14:textId="77777777" w:rsidR="000F788C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4.5</w:t>
            </w:r>
          </w:p>
        </w:tc>
        <w:tc>
          <w:tcPr>
            <w:tcW w:w="708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14:paraId="1D342AD8" w14:textId="77777777" w:rsidR="000F788C" w:rsidRPr="006055B7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3.4</w:t>
            </w:r>
          </w:p>
        </w:tc>
        <w:tc>
          <w:tcPr>
            <w:tcW w:w="708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755C6866" w14:textId="77777777" w:rsidR="000F788C" w:rsidRDefault="000F788C" w:rsidP="00517035">
            <w:pPr>
              <w:pStyle w:val="p0"/>
              <w:spacing w:before="0"/>
              <w:ind w:right="170"/>
              <w:jc w:val="right"/>
              <w:rPr>
                <w:color w:val="auto"/>
                <w:sz w:val="16"/>
                <w:szCs w:val="14"/>
              </w:rPr>
            </w:pPr>
            <w:r>
              <w:rPr>
                <w:color w:val="auto"/>
                <w:sz w:val="16"/>
                <w:szCs w:val="14"/>
              </w:rPr>
              <w:t>2.7</w:t>
            </w:r>
          </w:p>
        </w:tc>
      </w:tr>
    </w:tbl>
    <w:p w14:paraId="19F10C1C" w14:textId="77777777" w:rsidR="000F788C" w:rsidRPr="009C6C22" w:rsidRDefault="000F788C" w:rsidP="005D1C99">
      <w:pPr>
        <w:pStyle w:val="p01"/>
        <w:keepLines w:val="0"/>
        <w:spacing w:before="0"/>
        <w:ind w:left="1008" w:right="1327" w:firstLine="126"/>
        <w:jc w:val="left"/>
        <w:outlineLvl w:val="0"/>
        <w:rPr>
          <w:rFonts w:ascii="Arial" w:hAnsi="Arial" w:cs="Arial"/>
          <w:color w:val="auto"/>
          <w:sz w:val="16"/>
          <w:szCs w:val="16"/>
          <w:lang w:val="es-MX"/>
        </w:rPr>
      </w:pPr>
      <w:r w:rsidRPr="009C6C22">
        <w:rPr>
          <w:rFonts w:ascii="Arial" w:hAnsi="Arial" w:cs="Arial"/>
          <w:color w:val="auto"/>
          <w:sz w:val="16"/>
          <w:szCs w:val="16"/>
          <w:vertAlign w:val="superscript"/>
        </w:rPr>
        <w:t>P/</w:t>
      </w:r>
      <w:r w:rsidRPr="009C6C22">
        <w:rPr>
          <w:rFonts w:ascii="Arial" w:hAnsi="Arial" w:cs="Arial"/>
          <w:color w:val="auto"/>
          <w:sz w:val="16"/>
          <w:szCs w:val="16"/>
          <w:lang w:val="es-MX"/>
        </w:rPr>
        <w:t xml:space="preserve"> Cifras preliminares</w:t>
      </w:r>
    </w:p>
    <w:p w14:paraId="4F6A56A0" w14:textId="77777777" w:rsidR="000F788C" w:rsidRPr="009C6C22" w:rsidRDefault="000F788C" w:rsidP="005D1C99">
      <w:pPr>
        <w:pStyle w:val="p01"/>
        <w:keepLines w:val="0"/>
        <w:spacing w:before="0"/>
        <w:ind w:left="1008" w:right="1327" w:firstLine="126"/>
        <w:jc w:val="left"/>
        <w:outlineLvl w:val="0"/>
        <w:rPr>
          <w:rFonts w:ascii="Arial" w:hAnsi="Arial" w:cs="Arial"/>
          <w:color w:val="auto"/>
          <w:sz w:val="16"/>
          <w:szCs w:val="16"/>
        </w:rPr>
      </w:pPr>
      <w:r w:rsidRPr="009C6C22">
        <w:rPr>
          <w:rFonts w:ascii="Arial" w:hAnsi="Arial" w:cs="Arial"/>
          <w:color w:val="auto"/>
          <w:sz w:val="16"/>
          <w:szCs w:val="16"/>
        </w:rPr>
        <w:t xml:space="preserve">* Cifras estimadas. </w:t>
      </w:r>
      <w:r w:rsidRPr="009C6C22">
        <w:rPr>
          <w:rFonts w:ascii="Arial" w:hAnsi="Arial" w:cs="Arial"/>
          <w:color w:val="auto"/>
          <w:sz w:val="16"/>
          <w:szCs w:val="16"/>
          <w:lang w:val="es-MX"/>
        </w:rPr>
        <w:t>La estimación oportuna no reemplaza la estimación tradicional.</w:t>
      </w:r>
    </w:p>
    <w:p w14:paraId="3D8A2AC4" w14:textId="77777777" w:rsidR="000F788C" w:rsidRPr="005E3FC4" w:rsidRDefault="000F788C" w:rsidP="005D1C99">
      <w:pPr>
        <w:pStyle w:val="p01"/>
        <w:keepLines w:val="0"/>
        <w:spacing w:before="0"/>
        <w:ind w:left="1008" w:firstLine="126"/>
        <w:jc w:val="left"/>
        <w:outlineLvl w:val="0"/>
        <w:rPr>
          <w:rFonts w:cs="Arial"/>
          <w:color w:val="auto"/>
          <w:sz w:val="16"/>
          <w:szCs w:val="16"/>
        </w:rPr>
      </w:pPr>
      <w:r w:rsidRPr="009C6C22">
        <w:rPr>
          <w:rFonts w:ascii="Arial" w:hAnsi="Arial" w:cs="Arial"/>
          <w:color w:val="auto"/>
          <w:sz w:val="16"/>
          <w:szCs w:val="16"/>
        </w:rPr>
        <w:t>Fuente: INEGI</w:t>
      </w:r>
    </w:p>
    <w:p w14:paraId="55FA50A7" w14:textId="77777777" w:rsidR="000F788C" w:rsidRDefault="000F788C" w:rsidP="000F788C">
      <w:pPr>
        <w:widowControl/>
        <w:rPr>
          <w:rFonts w:cs="Arial"/>
          <w:sz w:val="20"/>
          <w:lang w:val="es-MX"/>
        </w:rPr>
      </w:pPr>
    </w:p>
    <w:p w14:paraId="17174D41" w14:textId="77777777" w:rsidR="000F788C" w:rsidRDefault="000F788C" w:rsidP="000F788C">
      <w:pPr>
        <w:widowControl/>
        <w:rPr>
          <w:rFonts w:cs="Arial"/>
          <w:sz w:val="20"/>
          <w:lang w:val="es-MX"/>
        </w:rPr>
      </w:pPr>
    </w:p>
    <w:p w14:paraId="65D3EC9D" w14:textId="7EF4F992" w:rsidR="000F788C" w:rsidRPr="001C5E65" w:rsidRDefault="000F788C" w:rsidP="000F788C">
      <w:pPr>
        <w:widowControl/>
        <w:jc w:val="center"/>
        <w:rPr>
          <w:rFonts w:cs="Arial"/>
          <w:b/>
          <w:smallCaps/>
          <w:szCs w:val="22"/>
        </w:rPr>
      </w:pPr>
      <w:r>
        <w:rPr>
          <w:rFonts w:cs="Arial"/>
          <w:sz w:val="20"/>
          <w:lang w:val="es-MX"/>
        </w:rPr>
        <w:t>G</w:t>
      </w:r>
      <w:r w:rsidRPr="008C7F10">
        <w:rPr>
          <w:rFonts w:cs="Arial"/>
          <w:sz w:val="20"/>
          <w:lang w:val="es-MX"/>
        </w:rPr>
        <w:t>ráfica 1</w:t>
      </w:r>
    </w:p>
    <w:p w14:paraId="0E29408B" w14:textId="77777777" w:rsidR="000F788C" w:rsidRDefault="000F788C" w:rsidP="000F788C">
      <w:pPr>
        <w:pStyle w:val="bullet"/>
        <w:numPr>
          <w:ilvl w:val="0"/>
          <w:numId w:val="0"/>
        </w:numPr>
        <w:spacing w:before="0"/>
        <w:ind w:right="-91"/>
        <w:jc w:val="center"/>
        <w:rPr>
          <w:rFonts w:cs="Arial"/>
          <w:smallCaps/>
          <w:color w:val="auto"/>
          <w:szCs w:val="22"/>
        </w:rPr>
      </w:pPr>
      <w:r>
        <w:rPr>
          <w:rFonts w:cs="Arial"/>
          <w:smallCaps/>
          <w:color w:val="auto"/>
          <w:szCs w:val="22"/>
        </w:rPr>
        <w:t>Estimación Oportuna del Producto Interno Bruto Trimestral</w:t>
      </w:r>
    </w:p>
    <w:p w14:paraId="5F9DD17C" w14:textId="77777777" w:rsidR="000F788C" w:rsidRDefault="000F788C" w:rsidP="000F788C">
      <w:pPr>
        <w:pStyle w:val="bullet"/>
        <w:numPr>
          <w:ilvl w:val="0"/>
          <w:numId w:val="0"/>
        </w:numPr>
        <w:spacing w:before="0"/>
        <w:ind w:right="-91"/>
        <w:jc w:val="center"/>
        <w:rPr>
          <w:rFonts w:cs="Arial"/>
          <w:smallCaps/>
          <w:color w:val="auto"/>
        </w:rPr>
      </w:pPr>
      <w:r w:rsidRPr="6C522411">
        <w:rPr>
          <w:rFonts w:cs="Arial"/>
          <w:smallCaps/>
          <w:color w:val="auto"/>
        </w:rPr>
        <w:t>cuarto trimestre de 2022</w:t>
      </w:r>
    </w:p>
    <w:p w14:paraId="447A7CB4" w14:textId="77777777" w:rsidR="000F788C" w:rsidRPr="00064308" w:rsidRDefault="000F788C" w:rsidP="000F788C">
      <w:pPr>
        <w:pStyle w:val="p01"/>
        <w:keepLines w:val="0"/>
        <w:spacing w:before="0"/>
        <w:jc w:val="center"/>
        <w:outlineLvl w:val="0"/>
        <w:rPr>
          <w:rFonts w:ascii="Arial" w:hAnsi="Arial"/>
          <w:snapToGrid w:val="0"/>
          <w:color w:val="auto"/>
          <w:sz w:val="20"/>
        </w:rPr>
      </w:pPr>
      <w:r w:rsidRPr="00BF02A7">
        <w:rPr>
          <w:rFonts w:ascii="Arial" w:hAnsi="Arial"/>
          <w:snapToGrid w:val="0"/>
          <w:color w:val="auto"/>
          <w:sz w:val="18"/>
        </w:rPr>
        <w:t xml:space="preserve">(Variación porcentual </w:t>
      </w:r>
      <w:r>
        <w:rPr>
          <w:rFonts w:ascii="Arial" w:hAnsi="Arial"/>
          <w:snapToGrid w:val="0"/>
          <w:color w:val="auto"/>
          <w:sz w:val="18"/>
        </w:rPr>
        <w:t>anual</w:t>
      </w:r>
      <w:r w:rsidRPr="00BF02A7">
        <w:rPr>
          <w:rFonts w:ascii="Arial" w:hAnsi="Arial"/>
          <w:snapToGrid w:val="0"/>
          <w:color w:val="auto"/>
          <w:sz w:val="18"/>
        </w:rPr>
        <w:t>)</w:t>
      </w:r>
      <w:r w:rsidRPr="00064308">
        <w:rPr>
          <w:rFonts w:ascii="Arial" w:hAnsi="Arial"/>
          <w:snapToGrid w:val="0"/>
          <w:color w:val="auto"/>
          <w:sz w:val="20"/>
        </w:rPr>
        <w:t xml:space="preserve"> </w:t>
      </w:r>
    </w:p>
    <w:p w14:paraId="2A0EEC7E" w14:textId="77777777" w:rsidR="000F788C" w:rsidRDefault="000F788C" w:rsidP="000F788C">
      <w:pPr>
        <w:pStyle w:val="p0"/>
        <w:spacing w:before="0"/>
        <w:jc w:val="center"/>
        <w:rPr>
          <w:b/>
          <w:i/>
          <w:color w:val="auto"/>
        </w:rPr>
      </w:pPr>
      <w:r>
        <w:rPr>
          <w:noProof/>
          <w:snapToGrid/>
        </w:rPr>
        <w:drawing>
          <wp:inline distT="0" distB="0" distL="0" distR="0" wp14:anchorId="737DCB93" wp14:editId="3BF7B36C">
            <wp:extent cx="4464000" cy="2772000"/>
            <wp:effectExtent l="0" t="0" r="13335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9937538" w14:textId="77777777" w:rsidR="000F788C" w:rsidRPr="009F3FFD" w:rsidRDefault="000F788C" w:rsidP="000F788C">
      <w:pPr>
        <w:pStyle w:val="p01"/>
        <w:keepLines w:val="0"/>
        <w:spacing w:before="0"/>
        <w:ind w:left="720" w:firstLine="720"/>
        <w:jc w:val="left"/>
        <w:outlineLvl w:val="0"/>
        <w:rPr>
          <w:rFonts w:ascii="Arial" w:hAnsi="Arial" w:cs="Arial"/>
          <w:color w:val="auto"/>
          <w:sz w:val="16"/>
          <w:szCs w:val="16"/>
        </w:rPr>
      </w:pPr>
      <w:r w:rsidRPr="009F3FFD">
        <w:rPr>
          <w:rFonts w:ascii="Arial" w:hAnsi="Arial" w:cs="Arial"/>
          <w:color w:val="auto"/>
          <w:sz w:val="16"/>
          <w:szCs w:val="16"/>
        </w:rPr>
        <w:t>Fuente: INEGI</w:t>
      </w:r>
    </w:p>
    <w:p w14:paraId="544DAA40" w14:textId="77777777" w:rsidR="000F788C" w:rsidRDefault="000F788C">
      <w:pPr>
        <w:widowControl/>
        <w:rPr>
          <w:rFonts w:cs="Arial"/>
          <w:sz w:val="20"/>
          <w:lang w:val="es-MX"/>
        </w:rPr>
      </w:pPr>
      <w:r>
        <w:rPr>
          <w:rFonts w:cs="Arial"/>
          <w:b/>
          <w:sz w:val="20"/>
          <w:lang w:val="es-MX"/>
        </w:rPr>
        <w:br w:type="page"/>
      </w:r>
    </w:p>
    <w:p w14:paraId="490497D8" w14:textId="5A1E37C0" w:rsidR="000F788C" w:rsidRPr="001C5E65" w:rsidRDefault="000F788C" w:rsidP="000F788C">
      <w:pPr>
        <w:pStyle w:val="bullet"/>
        <w:numPr>
          <w:ilvl w:val="0"/>
          <w:numId w:val="0"/>
        </w:numPr>
        <w:spacing w:before="360"/>
        <w:ind w:right="-91"/>
        <w:jc w:val="center"/>
        <w:rPr>
          <w:rFonts w:cs="Arial"/>
          <w:b w:val="0"/>
          <w:smallCaps/>
          <w:color w:val="auto"/>
          <w:szCs w:val="22"/>
        </w:rPr>
      </w:pPr>
      <w:r w:rsidRPr="008C7F10">
        <w:rPr>
          <w:rFonts w:cs="Arial"/>
          <w:b w:val="0"/>
          <w:color w:val="auto"/>
          <w:sz w:val="20"/>
          <w:lang w:val="es-MX"/>
        </w:rPr>
        <w:lastRenderedPageBreak/>
        <w:t>Gráfica 2</w:t>
      </w:r>
    </w:p>
    <w:p w14:paraId="504223A4" w14:textId="77777777" w:rsidR="000F788C" w:rsidRDefault="000F788C" w:rsidP="000F788C">
      <w:pPr>
        <w:pStyle w:val="bullet"/>
        <w:numPr>
          <w:ilvl w:val="0"/>
          <w:numId w:val="0"/>
        </w:numPr>
        <w:spacing w:before="0"/>
        <w:ind w:right="-91"/>
        <w:jc w:val="center"/>
        <w:rPr>
          <w:rFonts w:cs="Arial"/>
          <w:smallCaps/>
          <w:color w:val="auto"/>
        </w:rPr>
      </w:pPr>
      <w:r w:rsidRPr="1EC6691A">
        <w:rPr>
          <w:rFonts w:cs="Arial"/>
          <w:smallCaps/>
          <w:color w:val="auto"/>
        </w:rPr>
        <w:t>Producto Interno Bruto Trimestral</w:t>
      </w:r>
    </w:p>
    <w:p w14:paraId="145E332E" w14:textId="77777777" w:rsidR="000F788C" w:rsidRDefault="000F788C" w:rsidP="000F788C">
      <w:pPr>
        <w:pStyle w:val="bullet"/>
        <w:numPr>
          <w:ilvl w:val="0"/>
          <w:numId w:val="0"/>
        </w:numPr>
        <w:spacing w:before="0"/>
        <w:ind w:right="-91"/>
        <w:jc w:val="center"/>
        <w:rPr>
          <w:b w:val="0"/>
          <w:color w:val="auto"/>
          <w:sz w:val="20"/>
        </w:rPr>
      </w:pPr>
      <w:r w:rsidRPr="00BF02A7">
        <w:rPr>
          <w:b w:val="0"/>
          <w:color w:val="auto"/>
          <w:sz w:val="18"/>
        </w:rPr>
        <w:t xml:space="preserve">(Variación porcentual </w:t>
      </w:r>
      <w:r>
        <w:rPr>
          <w:b w:val="0"/>
          <w:color w:val="auto"/>
          <w:sz w:val="18"/>
        </w:rPr>
        <w:t>anual</w:t>
      </w:r>
      <w:r w:rsidRPr="00BF02A7">
        <w:rPr>
          <w:b w:val="0"/>
          <w:color w:val="auto"/>
          <w:sz w:val="18"/>
        </w:rPr>
        <w:t>)</w:t>
      </w:r>
    </w:p>
    <w:p w14:paraId="7CDE3510" w14:textId="77777777" w:rsidR="000F788C" w:rsidRDefault="000F788C" w:rsidP="000F788C">
      <w:pPr>
        <w:pStyle w:val="bullet"/>
        <w:numPr>
          <w:ilvl w:val="0"/>
          <w:numId w:val="0"/>
        </w:numPr>
        <w:spacing w:before="0"/>
        <w:ind w:right="-91"/>
        <w:jc w:val="center"/>
        <w:rPr>
          <w:rFonts w:cs="Arial"/>
          <w:b w:val="0"/>
          <w:bCs/>
          <w:color w:val="auto"/>
          <w:sz w:val="16"/>
          <w:szCs w:val="16"/>
        </w:rPr>
      </w:pPr>
      <w:r>
        <w:rPr>
          <w:noProof/>
          <w:snapToGrid/>
        </w:rPr>
        <w:drawing>
          <wp:inline distT="0" distB="0" distL="0" distR="0" wp14:anchorId="28AB1B2A" wp14:editId="473DE76F">
            <wp:extent cx="4464000" cy="2790000"/>
            <wp:effectExtent l="0" t="0" r="13335" b="1079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3A6A058" w14:textId="03346282" w:rsidR="000F788C" w:rsidRDefault="000F788C" w:rsidP="005D1C99">
      <w:pPr>
        <w:pStyle w:val="bullet"/>
        <w:numPr>
          <w:ilvl w:val="0"/>
          <w:numId w:val="0"/>
        </w:numPr>
        <w:spacing w:before="0"/>
        <w:ind w:left="1418" w:right="-91" w:firstLine="142"/>
        <w:jc w:val="left"/>
        <w:rPr>
          <w:b w:val="0"/>
          <w:i/>
          <w:color w:val="auto"/>
        </w:rPr>
      </w:pPr>
      <w:r w:rsidRPr="00274EAD">
        <w:rPr>
          <w:rFonts w:cs="Arial"/>
          <w:b w:val="0"/>
          <w:bCs/>
          <w:color w:val="auto"/>
          <w:sz w:val="16"/>
          <w:szCs w:val="16"/>
        </w:rPr>
        <w:t>Fuente: INEGI</w:t>
      </w:r>
    </w:p>
    <w:p w14:paraId="06829291" w14:textId="541628F3" w:rsidR="000F788C" w:rsidRPr="00B02B25" w:rsidRDefault="000F788C" w:rsidP="00B02B25">
      <w:pPr>
        <w:widowControl/>
        <w:ind w:left="-284" w:right="283"/>
        <w:rPr>
          <w:b/>
          <w:i/>
        </w:rPr>
      </w:pPr>
      <w:r>
        <w:rPr>
          <w:b/>
          <w:i/>
        </w:rPr>
        <w:br w:type="page"/>
      </w:r>
      <w:r w:rsidRPr="00DE7CB6">
        <w:rPr>
          <w:b/>
          <w:iCs/>
        </w:rPr>
        <w:lastRenderedPageBreak/>
        <w:t>Nota al usuario</w:t>
      </w:r>
    </w:p>
    <w:p w14:paraId="5A3D7048" w14:textId="77777777" w:rsidR="000F788C" w:rsidRPr="007346F4" w:rsidRDefault="000F788C" w:rsidP="00B02B25">
      <w:pPr>
        <w:pStyle w:val="Default"/>
        <w:spacing w:before="240"/>
        <w:ind w:left="-284" w:right="283"/>
        <w:jc w:val="both"/>
        <w:rPr>
          <w:color w:val="auto"/>
        </w:rPr>
      </w:pPr>
      <w:r w:rsidRPr="00664088">
        <w:t xml:space="preserve">La tasa de no respuesta en la captación de las encuestas económicas que se consideraron para la </w:t>
      </w:r>
      <w:bookmarkStart w:id="3" w:name="_Hlk102039114"/>
      <w:r w:rsidRPr="00664088">
        <w:t>EOPIBT</w:t>
      </w:r>
      <w:bookmarkEnd w:id="3"/>
      <w:r w:rsidRPr="00664088">
        <w:t>,</w:t>
      </w:r>
      <w:r w:rsidRPr="00664088">
        <w:rPr>
          <w:rStyle w:val="Refdenotaalpie"/>
          <w:b w:val="0"/>
          <w:bCs/>
          <w:sz w:val="24"/>
          <w:szCs w:val="28"/>
        </w:rPr>
        <w:footnoteReference w:id="6"/>
      </w:r>
      <w:r w:rsidRPr="00664088">
        <w:t xml:space="preserve"> en </w:t>
      </w:r>
      <w:r>
        <w:t>octubre</w:t>
      </w:r>
      <w:r w:rsidRPr="00664088">
        <w:t xml:space="preserve"> y </w:t>
      </w:r>
      <w:r>
        <w:t xml:space="preserve">noviembre </w:t>
      </w:r>
      <w:r w:rsidRPr="00664088">
        <w:t>de 2022, registró porcentajes apropiados de acuerdo con el diseño estadístico de las muestras. Asimismo, la captación de estadísticas, de los registros administrativos y los datos primarios que divulga el Instituto Nacional de Estadística y Geografía (</w:t>
      </w:r>
      <w:r w:rsidRPr="00664088">
        <w:rPr>
          <w:color w:val="auto"/>
        </w:rPr>
        <w:t>INEGI)</w:t>
      </w:r>
      <w:r w:rsidRPr="00664088">
        <w:t xml:space="preserve"> permitió la generación de estadísticas con niveles altos de cobertura y precisión para la generación de los modelos de estimación de </w:t>
      </w:r>
      <w:r>
        <w:t>dici</w:t>
      </w:r>
      <w:r w:rsidRPr="00664088">
        <w:t xml:space="preserve">embre de 2022. </w:t>
      </w:r>
      <w:r w:rsidRPr="00664088">
        <w:rPr>
          <w:color w:val="auto"/>
        </w:rPr>
        <w:t>Para las actividades agropecuarias, de servicios financieros y del gobierno se incluyeron los registros administrativos provenientes de las empresas y Unidades del Estado que se recibieron oportunamente vía correo electrónico y por internet.</w:t>
      </w:r>
    </w:p>
    <w:p w14:paraId="02096F6C" w14:textId="77777777" w:rsidR="000F788C" w:rsidRPr="00342882" w:rsidRDefault="000F788C" w:rsidP="00B02B25">
      <w:pPr>
        <w:pStyle w:val="p0"/>
        <w:keepLines w:val="0"/>
        <w:ind w:left="-284" w:right="283"/>
        <w:rPr>
          <w:b/>
          <w:i/>
          <w:color w:val="auto"/>
        </w:rPr>
      </w:pPr>
      <w:r w:rsidRPr="00342882">
        <w:rPr>
          <w:color w:val="auto"/>
        </w:rPr>
        <w:t xml:space="preserve">Las cifras desestacionalizadas y de tendencia-ciclo pueden estar sujetas a revisiones por el impacto de la emergencia sanitaria de la COVID-19. La estrategia que siguió el INEGI fue revisar cada serie de tiempo y analizar la necesidad de incluir algún tratamiento especial en los modelos de ajuste estacional para los meses de la contingencia, como el de </w:t>
      </w:r>
      <w:proofErr w:type="spellStart"/>
      <w:r>
        <w:rPr>
          <w:i/>
          <w:iCs/>
          <w:color w:val="auto"/>
        </w:rPr>
        <w:t>o</w:t>
      </w:r>
      <w:r w:rsidRPr="00342882">
        <w:rPr>
          <w:i/>
          <w:iCs/>
          <w:color w:val="auto"/>
        </w:rPr>
        <w:t>utliers</w:t>
      </w:r>
      <w:proofErr w:type="spellEnd"/>
      <w:r w:rsidRPr="00342882">
        <w:rPr>
          <w:color w:val="auto"/>
        </w:rPr>
        <w:t>. Lo anterior con el objetivo de que los grandes cambios en los datos originales no influyeran de manera desproporcionada en los factores estacionales utilizados.</w:t>
      </w:r>
    </w:p>
    <w:p w14:paraId="3F043FFA" w14:textId="77777777" w:rsidR="000F788C" w:rsidRPr="00722299" w:rsidRDefault="000F788C" w:rsidP="00B02B25">
      <w:pPr>
        <w:pStyle w:val="p0"/>
        <w:keepLines w:val="0"/>
        <w:spacing w:before="360"/>
        <w:ind w:left="-284" w:right="283"/>
        <w:rPr>
          <w:b/>
          <w:iCs/>
          <w:color w:val="auto"/>
        </w:rPr>
      </w:pPr>
      <w:r w:rsidRPr="00722299">
        <w:rPr>
          <w:b/>
          <w:iCs/>
          <w:color w:val="auto"/>
        </w:rPr>
        <w:t xml:space="preserve">Nota metodológica </w:t>
      </w:r>
    </w:p>
    <w:p w14:paraId="21172713" w14:textId="77777777" w:rsidR="000F788C" w:rsidRPr="005A3442" w:rsidRDefault="000F788C" w:rsidP="00B02B25">
      <w:pPr>
        <w:pStyle w:val="p0"/>
        <w:keepLines w:val="0"/>
        <w:ind w:left="-284" w:right="283"/>
        <w:rPr>
          <w:color w:val="auto"/>
        </w:rPr>
      </w:pPr>
      <w:r w:rsidRPr="005A3442">
        <w:rPr>
          <w:color w:val="auto"/>
        </w:rPr>
        <w:t xml:space="preserve">La estimación oportuna del PIB </w:t>
      </w:r>
      <w:r>
        <w:rPr>
          <w:color w:val="auto"/>
        </w:rPr>
        <w:t>T</w:t>
      </w:r>
      <w:r w:rsidRPr="005A3442">
        <w:rPr>
          <w:color w:val="auto"/>
        </w:rPr>
        <w:t>rimestral ofrece</w:t>
      </w:r>
      <w:r>
        <w:rPr>
          <w:color w:val="auto"/>
        </w:rPr>
        <w:t>,</w:t>
      </w:r>
      <w:r w:rsidRPr="005A3442">
        <w:rPr>
          <w:color w:val="auto"/>
        </w:rPr>
        <w:t xml:space="preserve"> en el corto plazo, una visión completa y coherente de la evolución de las actividades económicas del país para apoyar la toma de decisiones.</w:t>
      </w:r>
    </w:p>
    <w:p w14:paraId="1042D8CD" w14:textId="77777777" w:rsidR="000F788C" w:rsidRPr="005A3442" w:rsidRDefault="000F788C" w:rsidP="00B02B25">
      <w:pPr>
        <w:pStyle w:val="p0"/>
        <w:keepLines w:val="0"/>
        <w:ind w:left="-284" w:right="283"/>
        <w:rPr>
          <w:color w:val="auto"/>
        </w:rPr>
      </w:pPr>
      <w:r w:rsidRPr="005A3442">
        <w:rPr>
          <w:color w:val="auto"/>
        </w:rPr>
        <w:t>La metodología</w:t>
      </w:r>
      <w:r>
        <w:rPr>
          <w:color w:val="auto"/>
        </w:rPr>
        <w:t xml:space="preserve"> que presenta el INEGI para la estimación o</w:t>
      </w:r>
      <w:r w:rsidRPr="005A3442">
        <w:rPr>
          <w:color w:val="auto"/>
        </w:rPr>
        <w:t>portuna del PIB Trimestral de México utiliza información estadística oportuna de las fuentes directas (encuestas en establecimientos y en hogares</w:t>
      </w:r>
      <w:r w:rsidRPr="024D36DB">
        <w:rPr>
          <w:color w:val="auto"/>
        </w:rPr>
        <w:t xml:space="preserve"> </w:t>
      </w:r>
      <w:r w:rsidRPr="005A3442">
        <w:rPr>
          <w:color w:val="auto"/>
        </w:rPr>
        <w:t>y los registros administrativos de diversas dependencias de gobierno</w:t>
      </w:r>
      <w:r w:rsidRPr="70F8003A">
        <w:rPr>
          <w:color w:val="auto"/>
        </w:rPr>
        <w:t>)</w:t>
      </w:r>
      <w:r w:rsidRPr="144A1642">
        <w:rPr>
          <w:color w:val="auto"/>
        </w:rPr>
        <w:t xml:space="preserve"> </w:t>
      </w:r>
      <w:r w:rsidRPr="005A3442">
        <w:rPr>
          <w:color w:val="auto"/>
        </w:rPr>
        <w:t>y los cálculos de la información faltante</w:t>
      </w:r>
      <w:r>
        <w:rPr>
          <w:color w:val="auto"/>
        </w:rPr>
        <w:t xml:space="preserve">. Estos se </w:t>
      </w:r>
      <w:r w:rsidRPr="005A3442">
        <w:rPr>
          <w:color w:val="auto"/>
        </w:rPr>
        <w:t xml:space="preserve">hacen </w:t>
      </w:r>
      <w:r>
        <w:rPr>
          <w:color w:val="auto"/>
        </w:rPr>
        <w:t>mediante</w:t>
      </w:r>
      <w:r w:rsidRPr="0098674E">
        <w:rPr>
          <w:color w:val="auto"/>
        </w:rPr>
        <w:t xml:space="preserve"> modelos</w:t>
      </w:r>
      <w:r w:rsidRPr="005A3442">
        <w:rPr>
          <w:color w:val="auto"/>
        </w:rPr>
        <w:t xml:space="preserve"> econométricos para la integración del dato final. </w:t>
      </w:r>
      <w:r>
        <w:rPr>
          <w:color w:val="auto"/>
        </w:rPr>
        <w:t xml:space="preserve">Esta </w:t>
      </w:r>
      <w:r w:rsidRPr="005A3442">
        <w:rPr>
          <w:color w:val="auto"/>
        </w:rPr>
        <w:t xml:space="preserve">se </w:t>
      </w:r>
      <w:r>
        <w:rPr>
          <w:color w:val="auto"/>
        </w:rPr>
        <w:t>realiza conf</w:t>
      </w:r>
      <w:r w:rsidRPr="005A3442">
        <w:rPr>
          <w:color w:val="auto"/>
        </w:rPr>
        <w:t>orme a la metodología del Sistema de Cuenta</w:t>
      </w:r>
      <w:r>
        <w:rPr>
          <w:color w:val="auto"/>
        </w:rPr>
        <w:t>s</w:t>
      </w:r>
      <w:r w:rsidRPr="005A3442">
        <w:rPr>
          <w:color w:val="auto"/>
        </w:rPr>
        <w:t xml:space="preserve"> Nacionales de México (SCNM).</w:t>
      </w:r>
    </w:p>
    <w:p w14:paraId="6F83DC3A" w14:textId="77777777" w:rsidR="000F788C" w:rsidRPr="005A3442" w:rsidRDefault="000F788C" w:rsidP="00B02B25">
      <w:pPr>
        <w:pStyle w:val="p0"/>
        <w:keepLines w:val="0"/>
        <w:ind w:left="-284" w:right="283"/>
        <w:rPr>
          <w:color w:val="auto"/>
        </w:rPr>
      </w:pPr>
      <w:r w:rsidRPr="005A3442">
        <w:rPr>
          <w:color w:val="auto"/>
        </w:rPr>
        <w:t>Entre las virtudes de esta metodología está la precisión del dato estimado respecto al dato del cálculo tradicional. Esto se debe a que s</w:t>
      </w:r>
      <w:r>
        <w:rPr>
          <w:color w:val="auto"/>
        </w:rPr>
        <w:t>o</w:t>
      </w:r>
      <w:r w:rsidRPr="005A3442">
        <w:rPr>
          <w:color w:val="auto"/>
        </w:rPr>
        <w:t xml:space="preserve">lo estima una parte del trimestre de referencia (con cerca </w:t>
      </w:r>
      <w:r w:rsidRPr="0098674E">
        <w:rPr>
          <w:color w:val="auto"/>
        </w:rPr>
        <w:t>de 75</w:t>
      </w:r>
      <w:r>
        <w:rPr>
          <w:color w:val="auto"/>
        </w:rPr>
        <w:t xml:space="preserve"> </w:t>
      </w:r>
      <w:r w:rsidRPr="0098674E">
        <w:rPr>
          <w:color w:val="auto"/>
        </w:rPr>
        <w:t>%</w:t>
      </w:r>
      <w:r>
        <w:rPr>
          <w:color w:val="auto"/>
        </w:rPr>
        <w:t xml:space="preserve"> </w:t>
      </w:r>
      <w:r w:rsidRPr="0098674E">
        <w:rPr>
          <w:color w:val="auto"/>
        </w:rPr>
        <w:t xml:space="preserve">de información directa disponible) y a la rigurosa selección de los modelos que pronostican los datos faltantes. La estimación se hace a partir de las 621 clases de actividad que comprenden el </w:t>
      </w:r>
      <w:r>
        <w:rPr>
          <w:color w:val="auto"/>
        </w:rPr>
        <w:t>Indicador Global de la Actividad Económica (</w:t>
      </w:r>
      <w:r w:rsidRPr="0098674E">
        <w:rPr>
          <w:color w:val="auto"/>
        </w:rPr>
        <w:t>IGAE</w:t>
      </w:r>
      <w:r>
        <w:rPr>
          <w:color w:val="auto"/>
        </w:rPr>
        <w:t>)</w:t>
      </w:r>
      <w:r w:rsidRPr="0098674E">
        <w:rPr>
          <w:color w:val="auto"/>
        </w:rPr>
        <w:t xml:space="preserve"> y que se tienen, de manera mensual, disponibles</w:t>
      </w:r>
      <w:r w:rsidRPr="005A3442">
        <w:rPr>
          <w:color w:val="auto"/>
        </w:rPr>
        <w:t xml:space="preserve"> hasta el segundo mes del trimestre de referencia.</w:t>
      </w:r>
      <w:r>
        <w:rPr>
          <w:color w:val="auto"/>
        </w:rPr>
        <w:t xml:space="preserve"> Nótese </w:t>
      </w:r>
      <w:r w:rsidRPr="005A3442">
        <w:rPr>
          <w:color w:val="auto"/>
        </w:rPr>
        <w:t xml:space="preserve">que esta estimación no reemplaza </w:t>
      </w:r>
      <w:r>
        <w:rPr>
          <w:color w:val="auto"/>
        </w:rPr>
        <w:t>e</w:t>
      </w:r>
      <w:r w:rsidRPr="005A3442">
        <w:rPr>
          <w:color w:val="auto"/>
        </w:rPr>
        <w:t>l cálculo tradicional del PIB Trimestral.</w:t>
      </w:r>
    </w:p>
    <w:p w14:paraId="30A4A045" w14:textId="77777777" w:rsidR="000F788C" w:rsidRPr="005A3442" w:rsidRDefault="000F788C" w:rsidP="00B02B25">
      <w:pPr>
        <w:pStyle w:val="p0"/>
        <w:keepLines w:val="0"/>
        <w:ind w:left="-284" w:right="283"/>
        <w:rPr>
          <w:color w:val="auto"/>
        </w:rPr>
      </w:pPr>
      <w:r w:rsidRPr="005A3442">
        <w:rPr>
          <w:color w:val="auto"/>
        </w:rPr>
        <w:t>Los cálculos de corto plazo se alinean con las cifras anuales de las Cuentas de Bienes y Servicios, con excepción de la agricultura</w:t>
      </w:r>
      <w:r>
        <w:rPr>
          <w:color w:val="auto"/>
        </w:rPr>
        <w:t>. Se aplica</w:t>
      </w:r>
      <w:r w:rsidRPr="005A3442">
        <w:rPr>
          <w:color w:val="auto"/>
        </w:rPr>
        <w:t xml:space="preserve"> la técnica </w:t>
      </w:r>
      <w:r w:rsidRPr="002D5EDB">
        <w:rPr>
          <w:color w:val="auto"/>
        </w:rPr>
        <w:t xml:space="preserve">Denton </w:t>
      </w:r>
      <w:r w:rsidRPr="005A3442">
        <w:rPr>
          <w:color w:val="auto"/>
        </w:rPr>
        <w:t xml:space="preserve">a nivel de clase de </w:t>
      </w:r>
      <w:r w:rsidRPr="005A3442">
        <w:rPr>
          <w:color w:val="auto"/>
        </w:rPr>
        <w:lastRenderedPageBreak/>
        <w:t>actividad económica</w:t>
      </w:r>
      <w:r>
        <w:rPr>
          <w:color w:val="auto"/>
        </w:rPr>
        <w:t xml:space="preserve">. Esto evita que </w:t>
      </w:r>
      <w:r w:rsidRPr="005A3442">
        <w:rPr>
          <w:color w:val="auto"/>
        </w:rPr>
        <w:t>se interpreten de diferente manera resultados que pueden diferir por su grado de cobertura o por la fecha de su disponibilidad, pero nunca en su base conceptual.</w:t>
      </w:r>
    </w:p>
    <w:p w14:paraId="36A55301" w14:textId="77777777" w:rsidR="000F788C" w:rsidRDefault="000F788C" w:rsidP="00B02B25">
      <w:pPr>
        <w:pStyle w:val="p0"/>
        <w:keepLines w:val="0"/>
        <w:ind w:left="-284" w:right="283"/>
        <w:rPr>
          <w:color w:val="auto"/>
        </w:rPr>
      </w:pPr>
      <w:r w:rsidRPr="005A3442">
        <w:rPr>
          <w:color w:val="auto"/>
        </w:rPr>
        <w:t>Las principales fuentes de información para la estimación de los dos primeros meses del trimestre del PIB y las actividades que lo comprenden son: la Encuesta Mensual de la Industria Manufacturera</w:t>
      </w:r>
      <w:r>
        <w:rPr>
          <w:color w:val="auto"/>
        </w:rPr>
        <w:t xml:space="preserve"> (EMIM)</w:t>
      </w:r>
      <w:r w:rsidRPr="005A3442">
        <w:rPr>
          <w:color w:val="auto"/>
        </w:rPr>
        <w:t xml:space="preserve">, Encuesta Mensual sobre </w:t>
      </w:r>
      <w:r w:rsidRPr="00B03E31">
        <w:rPr>
          <w:color w:val="auto"/>
        </w:rPr>
        <w:t>Empresas</w:t>
      </w:r>
      <w:r w:rsidRPr="005A3442">
        <w:rPr>
          <w:color w:val="auto"/>
        </w:rPr>
        <w:t xml:space="preserve"> Comerciales</w:t>
      </w:r>
      <w:r>
        <w:rPr>
          <w:color w:val="auto"/>
        </w:rPr>
        <w:t xml:space="preserve"> (EMEC)</w:t>
      </w:r>
      <w:r w:rsidRPr="005A3442">
        <w:rPr>
          <w:color w:val="auto"/>
        </w:rPr>
        <w:t xml:space="preserve">, Estadística de la Industria </w:t>
      </w:r>
      <w:proofErr w:type="spellStart"/>
      <w:r w:rsidRPr="005A3442">
        <w:rPr>
          <w:color w:val="auto"/>
        </w:rPr>
        <w:t>Minerometalúrgica</w:t>
      </w:r>
      <w:proofErr w:type="spellEnd"/>
      <w:r>
        <w:rPr>
          <w:color w:val="auto"/>
        </w:rPr>
        <w:t xml:space="preserve"> (EIMM)</w:t>
      </w:r>
      <w:r w:rsidRPr="005A3442">
        <w:rPr>
          <w:color w:val="auto"/>
        </w:rPr>
        <w:t>, Encuesta Nacional de Empresas Constructoras</w:t>
      </w:r>
      <w:r>
        <w:rPr>
          <w:color w:val="auto"/>
        </w:rPr>
        <w:t xml:space="preserve"> (ENEC)</w:t>
      </w:r>
      <w:r w:rsidRPr="005A3442">
        <w:rPr>
          <w:color w:val="auto"/>
        </w:rPr>
        <w:t>, Encuesta Mensual de Servicios</w:t>
      </w:r>
      <w:r>
        <w:rPr>
          <w:color w:val="auto"/>
        </w:rPr>
        <w:t xml:space="preserve"> (EMS)</w:t>
      </w:r>
      <w:r w:rsidRPr="005A3442">
        <w:rPr>
          <w:color w:val="auto"/>
        </w:rPr>
        <w:t xml:space="preserve">, Registros Administrativos y Estadísticas </w:t>
      </w:r>
      <w:r>
        <w:rPr>
          <w:color w:val="auto"/>
        </w:rPr>
        <w:t>S</w:t>
      </w:r>
      <w:r w:rsidRPr="005A3442">
        <w:rPr>
          <w:color w:val="auto"/>
        </w:rPr>
        <w:t xml:space="preserve">ociodemográficas. Para el último mes se utilizan las encuestas de opinión y la información que se recibe de las fuentes anteriores con una oportunidad </w:t>
      </w:r>
      <w:r w:rsidRPr="0098674E">
        <w:rPr>
          <w:color w:val="auto"/>
        </w:rPr>
        <w:t>de 28 días</w:t>
      </w:r>
      <w:r w:rsidRPr="005A3442">
        <w:rPr>
          <w:color w:val="auto"/>
        </w:rPr>
        <w:t>.</w:t>
      </w:r>
    </w:p>
    <w:p w14:paraId="7F6E2254" w14:textId="77777777" w:rsidR="000F788C" w:rsidRPr="002B0159" w:rsidRDefault="000F788C" w:rsidP="00B02B25">
      <w:pPr>
        <w:pStyle w:val="p0"/>
        <w:keepLines w:val="0"/>
        <w:ind w:left="-284" w:right="283"/>
        <w:rPr>
          <w:color w:val="auto"/>
        </w:rPr>
      </w:pPr>
      <w:r w:rsidRPr="002B0159">
        <w:rPr>
          <w:color w:val="auto"/>
        </w:rPr>
        <w:t>La mayoría de las series económicas se ven afectadas por factores estacionales: efectos periódicos que se repiten cada año y cuyas causas son ajenas a la naturaleza económica de las series. Estas pueden ser: las festividades, meses más largos que otros, las vacaciones escolares, el clima y otras fluctuaciones estacionales como la elevada producción de juguetes en los meses previos a la Navidad.</w:t>
      </w:r>
    </w:p>
    <w:p w14:paraId="3F27EFF8" w14:textId="77777777" w:rsidR="000F788C" w:rsidRPr="002B0159" w:rsidRDefault="000F788C" w:rsidP="00B02B25">
      <w:pPr>
        <w:pStyle w:val="p0"/>
        <w:keepLines w:val="0"/>
        <w:ind w:left="-284" w:right="283"/>
        <w:rPr>
          <w:color w:val="auto"/>
        </w:rPr>
      </w:pPr>
      <w:r w:rsidRPr="002B0159">
        <w:rPr>
          <w:color w:val="auto"/>
        </w:rPr>
        <w:t xml:space="preserve">La desestacionalización o ajuste estacional de series económicas consiste en remover estas influencias </w:t>
      </w:r>
      <w:proofErr w:type="spellStart"/>
      <w:r w:rsidRPr="002B0159">
        <w:rPr>
          <w:color w:val="auto"/>
        </w:rPr>
        <w:t>intra-anuales</w:t>
      </w:r>
      <w:proofErr w:type="spellEnd"/>
      <w:r w:rsidRPr="002B0159">
        <w:rPr>
          <w:color w:val="auto"/>
        </w:rPr>
        <w:t xml:space="preserve"> periódicas: su presencia dificulta diagnosticar y describir el comportamiento de una serie económica, pues no permite comparar adecuadamente un determinado trimestre con el inmediato anterior. Analizar la serie desestacionalizada ayuda a realizar un mejor diagnóstico y pronóstico de su evolución, pues en el corto plazo, identifica la posible dirección de los movimientos que pudiera tener la variable en cuestión. </w:t>
      </w:r>
    </w:p>
    <w:p w14:paraId="7A2DD5E1" w14:textId="77777777" w:rsidR="000F788C" w:rsidRPr="002B0159" w:rsidRDefault="000F788C" w:rsidP="00B02B25">
      <w:pPr>
        <w:pStyle w:val="p0"/>
        <w:keepLines w:val="0"/>
        <w:ind w:left="-284" w:right="283"/>
        <w:rPr>
          <w:color w:val="auto"/>
        </w:rPr>
      </w:pPr>
      <w:r w:rsidRPr="002B0159">
        <w:rPr>
          <w:color w:val="auto"/>
        </w:rPr>
        <w:t>Las series originales se ajustan estacionalmente mediante el paquete estadístico X</w:t>
      </w:r>
      <w:r w:rsidRPr="002B0159">
        <w:rPr>
          <w:color w:val="auto"/>
        </w:rPr>
        <w:noBreakHyphen/>
        <w:t>13ARIMA-SEATS. Para conocer la metodología, consúltese la siguiente liga:</w:t>
      </w:r>
    </w:p>
    <w:p w14:paraId="4B73224E" w14:textId="77777777" w:rsidR="000F788C" w:rsidRPr="00342882" w:rsidRDefault="00000000" w:rsidP="00B02B25">
      <w:pPr>
        <w:ind w:left="-284" w:right="283"/>
        <w:jc w:val="both"/>
        <w:rPr>
          <w:rFonts w:ascii="Calibri" w:hAnsi="Calibri"/>
          <w:sz w:val="22"/>
          <w:lang w:eastAsia="en-US"/>
        </w:rPr>
      </w:pPr>
      <w:hyperlink r:id="rId23" w:history="1">
        <w:r w:rsidR="000F788C" w:rsidRPr="00D42805">
          <w:rPr>
            <w:rStyle w:val="Hipervnculo"/>
          </w:rPr>
          <w:t>https://www.inegi.org.mx/app/biblioteca/ficha.html?upc=702825099060</w:t>
        </w:r>
      </w:hyperlink>
    </w:p>
    <w:p w14:paraId="1AF7F70F" w14:textId="77777777" w:rsidR="000F788C" w:rsidRDefault="000F788C" w:rsidP="00B02B25">
      <w:pPr>
        <w:pStyle w:val="p0"/>
        <w:keepLines w:val="0"/>
        <w:ind w:left="-284" w:right="283"/>
        <w:rPr>
          <w:color w:val="auto"/>
        </w:rPr>
      </w:pPr>
      <w:r w:rsidRPr="003500D7">
        <w:rPr>
          <w:noProof/>
          <w:color w:val="auto"/>
        </w:rPr>
        <w:drawing>
          <wp:anchor distT="0" distB="0" distL="114300" distR="114300" simplePos="0" relativeHeight="251662336" behindDoc="0" locked="0" layoutInCell="1" allowOverlap="1" wp14:anchorId="2CE46A9D" wp14:editId="2E711E0F">
            <wp:simplePos x="0" y="0"/>
            <wp:positionH relativeFrom="leftMargin">
              <wp:posOffset>728980</wp:posOffset>
            </wp:positionH>
            <wp:positionV relativeFrom="paragraph">
              <wp:posOffset>675640</wp:posOffset>
            </wp:positionV>
            <wp:extent cx="171450" cy="171450"/>
            <wp:effectExtent l="0" t="0" r="0" b="0"/>
            <wp:wrapNone/>
            <wp:docPr id="2" name="Imagen 2" descr="http://www.inegi.org.mx/sistemas/bie/img/MetadatoC.GIF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tnMetaDID2951" descr="http://www.inegi.org.mx/sistemas/bie/img/MetadatoC.GIF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00D7">
        <w:rPr>
          <w:color w:val="auto"/>
        </w:rPr>
        <w:t xml:space="preserve">Las especificaciones de los modelos utilizados para realizar el ajuste estacional están disponibles en el Banco de Información Económica (BIE). Seleccione «Indicadores económicos de coyuntura, </w:t>
      </w:r>
      <w:r>
        <w:rPr>
          <w:color w:val="auto"/>
        </w:rPr>
        <w:t>Producto Interno Bruto</w:t>
      </w:r>
      <w:r w:rsidRPr="003500D7">
        <w:rPr>
          <w:color w:val="auto"/>
        </w:rPr>
        <w:t xml:space="preserve">» y vaya al ícono de información </w:t>
      </w:r>
      <w:r>
        <w:rPr>
          <w:color w:val="auto"/>
        </w:rPr>
        <w:br/>
        <w:t xml:space="preserve">    </w:t>
      </w:r>
      <w:r w:rsidRPr="003500D7">
        <w:rPr>
          <w:color w:val="auto"/>
        </w:rPr>
        <w:t xml:space="preserve"> correspondiente a las «series desestacionalizadas y de tendencia-ciclo».</w:t>
      </w:r>
    </w:p>
    <w:p w14:paraId="35CDC36E" w14:textId="77777777" w:rsidR="000F788C" w:rsidRPr="003500D7" w:rsidRDefault="000F788C" w:rsidP="00B02B25">
      <w:pPr>
        <w:pStyle w:val="p0"/>
        <w:keepLines w:val="0"/>
        <w:ind w:left="-284" w:right="283"/>
        <w:rPr>
          <w:color w:val="auto"/>
        </w:rPr>
      </w:pPr>
      <w:r w:rsidRPr="003500D7">
        <w:rPr>
          <w:color w:val="auto"/>
        </w:rPr>
        <w:t>Los datos que se reportan en este documento amplían la información que actualmente difunde el INEGI, la cual continuará generándose como parte de los resultados del SCNM, y se da a conocer en la fecha establecida en el Calendario de Difusión de Información Estadística y Geográfica y de Interés Nacional.</w:t>
      </w:r>
    </w:p>
    <w:p w14:paraId="31CF29A7" w14:textId="77777777" w:rsidR="000F788C" w:rsidRPr="00E12064" w:rsidRDefault="000F788C" w:rsidP="00B02B25">
      <w:pPr>
        <w:pStyle w:val="p0"/>
        <w:keepLines w:val="0"/>
        <w:ind w:left="-284" w:right="283"/>
      </w:pPr>
      <w:r w:rsidRPr="00541B47">
        <w:rPr>
          <w:color w:val="auto"/>
        </w:rPr>
        <w:t xml:space="preserve">Las series </w:t>
      </w:r>
      <w:r>
        <w:rPr>
          <w:color w:val="auto"/>
        </w:rPr>
        <w:t xml:space="preserve">del </w:t>
      </w:r>
      <w:r w:rsidRPr="004209C7">
        <w:rPr>
          <w:color w:val="auto"/>
        </w:rPr>
        <w:t xml:space="preserve">EOPIBT </w:t>
      </w:r>
      <w:r>
        <w:rPr>
          <w:color w:val="auto"/>
        </w:rPr>
        <w:t>pueden</w:t>
      </w:r>
      <w:r w:rsidRPr="00541B47">
        <w:rPr>
          <w:color w:val="auto"/>
        </w:rPr>
        <w:t xml:space="preserve"> </w:t>
      </w:r>
      <w:r>
        <w:rPr>
          <w:color w:val="auto"/>
        </w:rPr>
        <w:t>consultarse</w:t>
      </w:r>
      <w:r w:rsidRPr="00541B47">
        <w:rPr>
          <w:color w:val="auto"/>
        </w:rPr>
        <w:t xml:space="preserve"> en la sección PIB y Cuentas Nacionales de México y en el BIE, de la página del </w:t>
      </w:r>
      <w:r>
        <w:rPr>
          <w:color w:val="auto"/>
        </w:rPr>
        <w:t>INEGI:</w:t>
      </w:r>
      <w:r w:rsidRPr="00541B47">
        <w:rPr>
          <w:color w:val="auto"/>
        </w:rPr>
        <w:t xml:space="preserve"> </w:t>
      </w:r>
      <w:r w:rsidRPr="00AD5231">
        <w:rPr>
          <w:u w:val="single"/>
        </w:rPr>
        <w:t>https://www.inegi.org.mx</w:t>
      </w:r>
    </w:p>
    <w:bookmarkEnd w:id="2"/>
    <w:p w14:paraId="75777792" w14:textId="77777777" w:rsidR="000F788C" w:rsidRPr="000F788C" w:rsidRDefault="000F788C" w:rsidP="00B02B25">
      <w:pPr>
        <w:pStyle w:val="Profesin"/>
        <w:spacing w:before="360"/>
        <w:ind w:right="283"/>
        <w:jc w:val="both"/>
        <w:outlineLvl w:val="0"/>
        <w:rPr>
          <w:b w:val="0"/>
          <w:bCs/>
          <w:sz w:val="24"/>
          <w:szCs w:val="24"/>
        </w:rPr>
      </w:pPr>
    </w:p>
    <w:sectPr w:rsidR="000F788C" w:rsidRPr="000F788C" w:rsidSect="00D636B3">
      <w:headerReference w:type="default" r:id="rId26"/>
      <w:endnotePr>
        <w:numFmt w:val="decimal"/>
      </w:endnotePr>
      <w:type w:val="continuous"/>
      <w:pgSz w:w="12242" w:h="15842" w:code="1"/>
      <w:pgMar w:top="2495" w:right="902" w:bottom="1134" w:left="1418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B8D6A" w14:textId="77777777" w:rsidR="003E0F21" w:rsidRDefault="003E0F21">
      <w:r>
        <w:separator/>
      </w:r>
    </w:p>
  </w:endnote>
  <w:endnote w:type="continuationSeparator" w:id="0">
    <w:p w14:paraId="4BE66EC1" w14:textId="77777777" w:rsidR="003E0F21" w:rsidRDefault="003E0F21">
      <w:r>
        <w:continuationSeparator/>
      </w:r>
    </w:p>
  </w:endnote>
  <w:endnote w:type="continuationNotice" w:id="1">
    <w:p w14:paraId="77425FDA" w14:textId="77777777" w:rsidR="003E0F21" w:rsidRDefault="003E0F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egrita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211D" w14:textId="77777777" w:rsidR="004A55CE" w:rsidRPr="000F788C" w:rsidRDefault="004A55CE" w:rsidP="00B06AE9">
    <w:pPr>
      <w:pStyle w:val="Piedepgina"/>
      <w:jc w:val="center"/>
      <w:rPr>
        <w:color w:val="002060"/>
        <w:sz w:val="20"/>
      </w:rPr>
    </w:pPr>
    <w:r w:rsidRPr="000F788C">
      <w:rPr>
        <w:b/>
        <w:color w:val="002060"/>
        <w:sz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30EAD" w14:textId="77777777" w:rsidR="003E0F21" w:rsidRDefault="003E0F21">
      <w:r>
        <w:separator/>
      </w:r>
    </w:p>
  </w:footnote>
  <w:footnote w:type="continuationSeparator" w:id="0">
    <w:p w14:paraId="45BFA235" w14:textId="77777777" w:rsidR="003E0F21" w:rsidRDefault="003E0F21">
      <w:r>
        <w:continuationSeparator/>
      </w:r>
    </w:p>
  </w:footnote>
  <w:footnote w:type="continuationNotice" w:id="1">
    <w:p w14:paraId="260C61A8" w14:textId="77777777" w:rsidR="003E0F21" w:rsidRDefault="003E0F21"/>
  </w:footnote>
  <w:footnote w:id="2">
    <w:p w14:paraId="49C82661" w14:textId="3E8BEE9E" w:rsidR="001076F8" w:rsidRPr="00EB1998" w:rsidRDefault="001076F8" w:rsidP="00D636B3">
      <w:pPr>
        <w:pStyle w:val="Textonotapie"/>
        <w:ind w:left="-142" w:right="-517" w:hanging="142"/>
        <w:jc w:val="both"/>
        <w:rPr>
          <w:rFonts w:ascii="Arial" w:hAnsi="Arial" w:cs="Arial"/>
          <w:b/>
          <w:lang w:val="es-MX"/>
        </w:rPr>
      </w:pPr>
      <w:r w:rsidRPr="00EB1998">
        <w:rPr>
          <w:rStyle w:val="Refdenotaalpie"/>
          <w:rFonts w:ascii="Arial" w:hAnsi="Arial"/>
          <w:b w:val="0"/>
        </w:rPr>
        <w:footnoteRef/>
      </w:r>
      <w:r w:rsidRPr="00EB1998">
        <w:rPr>
          <w:rFonts w:ascii="Arial" w:hAnsi="Arial" w:cs="Arial"/>
          <w:b/>
          <w:sz w:val="16"/>
          <w:lang w:val="es-MX"/>
        </w:rPr>
        <w:tab/>
      </w:r>
      <w:r w:rsidRPr="00EB1998">
        <w:rPr>
          <w:rFonts w:ascii="Arial" w:hAnsi="Arial" w:cs="Arial"/>
          <w:sz w:val="16"/>
          <w:lang w:val="es-MX"/>
        </w:rPr>
        <w:t>Año base 2013</w:t>
      </w:r>
    </w:p>
  </w:footnote>
  <w:footnote w:id="3">
    <w:p w14:paraId="4ED3F0DB" w14:textId="3AD0052A" w:rsidR="00AB2051" w:rsidRPr="00A1525E" w:rsidRDefault="00AB2051" w:rsidP="00B02B25">
      <w:pPr>
        <w:pStyle w:val="Textonotapie"/>
        <w:ind w:left="-142" w:right="-233" w:hanging="142"/>
        <w:jc w:val="both"/>
        <w:rPr>
          <w:lang w:val="es-MX"/>
        </w:rPr>
      </w:pPr>
      <w:r w:rsidRPr="00EB1998">
        <w:rPr>
          <w:rStyle w:val="Refdenotaalpie"/>
          <w:rFonts w:ascii="Arial" w:hAnsi="Arial"/>
          <w:b w:val="0"/>
        </w:rPr>
        <w:footnoteRef/>
      </w:r>
      <w:r w:rsidRPr="00EB1998">
        <w:rPr>
          <w:rFonts w:ascii="Arial" w:hAnsi="Arial" w:cs="Arial"/>
          <w:b/>
          <w:sz w:val="16"/>
          <w:lang w:val="es-MX"/>
        </w:rPr>
        <w:tab/>
      </w:r>
      <w:r w:rsidRPr="00EB1998">
        <w:rPr>
          <w:rFonts w:ascii="Arial" w:hAnsi="Arial" w:cs="Arial"/>
          <w:sz w:val="16"/>
          <w:szCs w:val="16"/>
        </w:rPr>
        <w:t>La</w:t>
      </w:r>
      <w:r w:rsidRPr="002B7F1F">
        <w:rPr>
          <w:rFonts w:ascii="Arial" w:hAnsi="Arial" w:cs="Arial"/>
          <w:sz w:val="16"/>
          <w:szCs w:val="16"/>
        </w:rPr>
        <w:t xml:space="preserve"> mayoría de las series económicas se ven afectadas por factores estacionales</w:t>
      </w:r>
      <w:r>
        <w:rPr>
          <w:rFonts w:ascii="Arial" w:hAnsi="Arial" w:cs="Arial"/>
          <w:sz w:val="16"/>
          <w:szCs w:val="16"/>
        </w:rPr>
        <w:t xml:space="preserve"> y de calendario. El ajuste de l</w:t>
      </w:r>
      <w:r w:rsidR="00A821F1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 xml:space="preserve">s </w:t>
      </w:r>
      <w:r w:rsidR="00A821F1">
        <w:rPr>
          <w:rFonts w:ascii="Arial" w:hAnsi="Arial" w:cs="Arial"/>
          <w:sz w:val="16"/>
          <w:szCs w:val="16"/>
        </w:rPr>
        <w:t>datos</w:t>
      </w:r>
      <w:r>
        <w:rPr>
          <w:rFonts w:ascii="Arial" w:hAnsi="Arial" w:cs="Arial"/>
          <w:sz w:val="16"/>
          <w:szCs w:val="16"/>
        </w:rPr>
        <w:t xml:space="preserve"> por dichos factores permite obtener las cifras desestacionalizadas</w:t>
      </w:r>
      <w:r w:rsidR="00F403D9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="00F403D9">
        <w:rPr>
          <w:rFonts w:ascii="Arial" w:hAnsi="Arial" w:cs="Arial"/>
          <w:sz w:val="16"/>
          <w:szCs w:val="16"/>
        </w:rPr>
        <w:t>Su</w:t>
      </w:r>
      <w:r>
        <w:rPr>
          <w:rFonts w:ascii="Arial" w:hAnsi="Arial" w:cs="Arial"/>
          <w:sz w:val="16"/>
          <w:szCs w:val="16"/>
        </w:rPr>
        <w:t xml:space="preserve"> análisis </w:t>
      </w:r>
      <w:r w:rsidRPr="00C07AE5">
        <w:rPr>
          <w:rFonts w:ascii="Arial" w:hAnsi="Arial" w:cs="Arial"/>
          <w:sz w:val="16"/>
          <w:szCs w:val="16"/>
        </w:rPr>
        <w:t>ayuda a realizar un mejor diagnóstico de la evolución de la</w:t>
      </w:r>
      <w:r>
        <w:rPr>
          <w:rFonts w:ascii="Arial" w:hAnsi="Arial" w:cs="Arial"/>
          <w:sz w:val="16"/>
          <w:szCs w:val="16"/>
        </w:rPr>
        <w:t>s</w:t>
      </w:r>
      <w:r w:rsidRPr="00C07AE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variables.</w:t>
      </w:r>
    </w:p>
  </w:footnote>
  <w:footnote w:id="4">
    <w:p w14:paraId="5AD3822C" w14:textId="77777777" w:rsidR="00520A08" w:rsidRPr="00EB1998" w:rsidRDefault="00520A08" w:rsidP="00B02B25">
      <w:pPr>
        <w:pStyle w:val="Textonotapie"/>
        <w:ind w:left="-142" w:right="-233" w:hanging="142"/>
        <w:jc w:val="both"/>
        <w:rPr>
          <w:rFonts w:ascii="Arial" w:hAnsi="Arial" w:cs="Arial"/>
          <w:b/>
          <w:lang w:val="es-MX"/>
        </w:rPr>
      </w:pPr>
      <w:r w:rsidRPr="00EB1998">
        <w:rPr>
          <w:rStyle w:val="Refdenotaalpie"/>
          <w:rFonts w:ascii="Arial" w:hAnsi="Arial"/>
          <w:b w:val="0"/>
        </w:rPr>
        <w:footnoteRef/>
      </w:r>
      <w:r w:rsidRPr="00EB1998">
        <w:rPr>
          <w:rFonts w:ascii="Arial" w:hAnsi="Arial" w:cs="Arial"/>
          <w:b/>
          <w:sz w:val="16"/>
          <w:lang w:val="es-MX"/>
        </w:rPr>
        <w:tab/>
      </w:r>
      <w:r w:rsidRPr="00EB1998">
        <w:rPr>
          <w:rFonts w:ascii="Arial" w:hAnsi="Arial" w:cs="Arial"/>
          <w:sz w:val="16"/>
          <w:lang w:val="es-MX"/>
        </w:rPr>
        <w:t xml:space="preserve">Las cifras </w:t>
      </w:r>
      <w:r w:rsidRPr="00EB1998">
        <w:rPr>
          <w:rFonts w:ascii="Arial" w:hAnsi="Arial" w:cs="Arial"/>
          <w:sz w:val="16"/>
          <w:szCs w:val="24"/>
        </w:rPr>
        <w:t>preliminares, en series originales y desestacionalizadas, estarán disponibles aproximadamente 50 días después de t</w:t>
      </w:r>
      <w:r>
        <w:rPr>
          <w:rFonts w:ascii="Arial" w:hAnsi="Arial" w:cs="Arial"/>
          <w:sz w:val="16"/>
          <w:szCs w:val="24"/>
        </w:rPr>
        <w:t>erminado</w:t>
      </w:r>
      <w:r w:rsidRPr="00EB1998">
        <w:rPr>
          <w:rFonts w:ascii="Arial" w:hAnsi="Arial" w:cs="Arial"/>
          <w:sz w:val="16"/>
          <w:szCs w:val="24"/>
        </w:rPr>
        <w:t xml:space="preserve"> el trimestre en cuestión, de acuerdo con el Calendario de </w:t>
      </w:r>
      <w:r>
        <w:rPr>
          <w:rFonts w:ascii="Arial" w:hAnsi="Arial" w:cs="Arial"/>
          <w:sz w:val="16"/>
          <w:szCs w:val="24"/>
        </w:rPr>
        <w:t>D</w:t>
      </w:r>
      <w:r w:rsidRPr="00EB1998">
        <w:rPr>
          <w:rFonts w:ascii="Arial" w:hAnsi="Arial" w:cs="Arial"/>
          <w:sz w:val="16"/>
          <w:szCs w:val="24"/>
        </w:rPr>
        <w:t xml:space="preserve">ifusión de </w:t>
      </w:r>
      <w:r>
        <w:rPr>
          <w:rFonts w:ascii="Arial" w:hAnsi="Arial" w:cs="Arial"/>
          <w:sz w:val="16"/>
          <w:szCs w:val="24"/>
        </w:rPr>
        <w:t>I</w:t>
      </w:r>
      <w:r w:rsidRPr="00EB1998">
        <w:rPr>
          <w:rFonts w:ascii="Arial" w:hAnsi="Arial" w:cs="Arial"/>
          <w:sz w:val="16"/>
          <w:szCs w:val="24"/>
        </w:rPr>
        <w:t xml:space="preserve">nformación </w:t>
      </w:r>
      <w:r>
        <w:rPr>
          <w:rFonts w:ascii="Arial" w:hAnsi="Arial" w:cs="Arial"/>
          <w:sz w:val="16"/>
          <w:szCs w:val="24"/>
        </w:rPr>
        <w:t>E</w:t>
      </w:r>
      <w:r w:rsidRPr="00EB1998">
        <w:rPr>
          <w:rFonts w:ascii="Arial" w:hAnsi="Arial" w:cs="Arial"/>
          <w:sz w:val="16"/>
          <w:szCs w:val="24"/>
        </w:rPr>
        <w:t xml:space="preserve">stadística y </w:t>
      </w:r>
      <w:r>
        <w:rPr>
          <w:rFonts w:ascii="Arial" w:hAnsi="Arial" w:cs="Arial"/>
          <w:sz w:val="16"/>
          <w:szCs w:val="24"/>
        </w:rPr>
        <w:t>G</w:t>
      </w:r>
      <w:r w:rsidRPr="00EB1998">
        <w:rPr>
          <w:rFonts w:ascii="Arial" w:hAnsi="Arial" w:cs="Arial"/>
          <w:sz w:val="16"/>
          <w:szCs w:val="24"/>
        </w:rPr>
        <w:t>eográfica y de Interés Nacional del</w:t>
      </w:r>
      <w:r>
        <w:rPr>
          <w:rFonts w:ascii="Arial" w:hAnsi="Arial" w:cs="Arial"/>
          <w:sz w:val="16"/>
          <w:szCs w:val="24"/>
        </w:rPr>
        <w:t xml:space="preserve"> Instituto Nacional de Estadística y Geografía</w:t>
      </w:r>
      <w:r w:rsidRPr="00EB1998">
        <w:rPr>
          <w:rFonts w:ascii="Arial" w:hAnsi="Arial" w:cs="Arial"/>
          <w:sz w:val="16"/>
          <w:szCs w:val="24"/>
        </w:rPr>
        <w:t xml:space="preserve"> </w:t>
      </w:r>
      <w:r>
        <w:rPr>
          <w:rFonts w:ascii="Arial" w:hAnsi="Arial" w:cs="Arial"/>
          <w:sz w:val="16"/>
          <w:szCs w:val="24"/>
        </w:rPr>
        <w:t>(</w:t>
      </w:r>
      <w:r w:rsidRPr="00EB1998">
        <w:rPr>
          <w:rFonts w:ascii="Arial" w:hAnsi="Arial" w:cs="Arial"/>
          <w:sz w:val="16"/>
          <w:szCs w:val="24"/>
        </w:rPr>
        <w:t>INEGI</w:t>
      </w:r>
      <w:r>
        <w:rPr>
          <w:rFonts w:ascii="Arial" w:hAnsi="Arial" w:cs="Arial"/>
          <w:sz w:val="16"/>
          <w:szCs w:val="24"/>
        </w:rPr>
        <w:t>)</w:t>
      </w:r>
      <w:r w:rsidRPr="00EB1998">
        <w:rPr>
          <w:rFonts w:ascii="Arial" w:hAnsi="Arial" w:cs="Arial"/>
          <w:sz w:val="16"/>
          <w:szCs w:val="24"/>
        </w:rPr>
        <w:t>.</w:t>
      </w:r>
    </w:p>
  </w:footnote>
  <w:footnote w:id="5">
    <w:p w14:paraId="07C78703" w14:textId="77777777" w:rsidR="00D67595" w:rsidRPr="007346F4" w:rsidRDefault="00D67595" w:rsidP="00855CE4">
      <w:pPr>
        <w:pStyle w:val="Textonotapie"/>
        <w:ind w:left="-142" w:right="-233" w:hanging="142"/>
        <w:jc w:val="both"/>
        <w:rPr>
          <w:rFonts w:ascii="Arial" w:hAnsi="Arial" w:cs="Arial"/>
          <w:sz w:val="16"/>
          <w:szCs w:val="16"/>
        </w:rPr>
      </w:pPr>
      <w:r w:rsidRPr="007346F4">
        <w:rPr>
          <w:rStyle w:val="Refdenotaalpie"/>
          <w:rFonts w:ascii="Arial" w:hAnsi="Arial"/>
          <w:b w:val="0"/>
          <w:bCs/>
          <w:sz w:val="18"/>
          <w:szCs w:val="18"/>
        </w:rPr>
        <w:footnoteRef/>
      </w:r>
      <w:r w:rsidRPr="005241AE">
        <w:rPr>
          <w:sz w:val="18"/>
          <w:szCs w:val="18"/>
        </w:rPr>
        <w:t xml:space="preserve"> </w:t>
      </w:r>
      <w:r w:rsidRPr="007346F4">
        <w:rPr>
          <w:rFonts w:ascii="Arial" w:hAnsi="Arial" w:cs="Arial"/>
          <w:sz w:val="16"/>
          <w:szCs w:val="16"/>
        </w:rPr>
        <w:t>Encuesta Nacional de Empresas Constructoras (ENEC), Encuesta Mensual de la Industria Manufacturera (EMIM), Encuesta Mensual sobre Empresas Comerciales (EMEC) y Encuesta Mensual de Servicios (EMS).</w:t>
      </w:r>
    </w:p>
  </w:footnote>
  <w:footnote w:id="6">
    <w:p w14:paraId="505095D2" w14:textId="5F06ED1D" w:rsidR="000F788C" w:rsidRPr="007346F4" w:rsidRDefault="000F788C" w:rsidP="005D1C99">
      <w:pPr>
        <w:pStyle w:val="Textonotapie"/>
        <w:ind w:left="-142" w:right="283" w:hanging="142"/>
        <w:jc w:val="both"/>
        <w:rPr>
          <w:rFonts w:ascii="Arial" w:hAnsi="Arial" w:cs="Arial"/>
          <w:sz w:val="16"/>
          <w:szCs w:val="16"/>
        </w:rPr>
      </w:pPr>
      <w:r w:rsidRPr="007346F4">
        <w:rPr>
          <w:rStyle w:val="Refdenotaalpie"/>
          <w:rFonts w:ascii="Arial" w:hAnsi="Arial"/>
          <w:b w:val="0"/>
          <w:bCs/>
          <w:sz w:val="18"/>
          <w:szCs w:val="18"/>
        </w:rPr>
        <w:footnoteRef/>
      </w:r>
      <w:r w:rsidRPr="005241AE">
        <w:rPr>
          <w:sz w:val="18"/>
          <w:szCs w:val="18"/>
        </w:rPr>
        <w:t xml:space="preserve"> </w:t>
      </w:r>
      <w:r w:rsidRPr="007346F4">
        <w:rPr>
          <w:rFonts w:ascii="Arial" w:hAnsi="Arial" w:cs="Arial"/>
          <w:sz w:val="16"/>
          <w:szCs w:val="16"/>
        </w:rPr>
        <w:t xml:space="preserve">Encuesta Nacional de Empresas Constructoras (ENEC), Encuesta Mensual de la Industria Manufacturera (EMIM), Encuesta Mensual sobre </w:t>
      </w:r>
      <w:r w:rsidR="005D1C99">
        <w:rPr>
          <w:rFonts w:ascii="Arial" w:hAnsi="Arial" w:cs="Arial"/>
          <w:sz w:val="16"/>
          <w:szCs w:val="16"/>
        </w:rPr>
        <w:t xml:space="preserve">  </w:t>
      </w:r>
      <w:r w:rsidRPr="007346F4">
        <w:rPr>
          <w:rFonts w:ascii="Arial" w:hAnsi="Arial" w:cs="Arial"/>
          <w:sz w:val="16"/>
          <w:szCs w:val="16"/>
        </w:rPr>
        <w:t>Empresas Comerciales (EMEC) y Encuesta Mensual de Servicios (EMS).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DB12B" w14:textId="77777777" w:rsidR="000865CA" w:rsidRPr="00306ECD" w:rsidRDefault="000865CA" w:rsidP="00B02B25">
    <w:pPr>
      <w:pStyle w:val="Encabezado"/>
      <w:framePr w:w="4663" w:h="1341" w:hRule="exact" w:hSpace="141" w:vSpace="141" w:wrap="auto" w:vAnchor="page" w:hAnchor="page" w:x="6745" w:y="751"/>
      <w:ind w:left="-142" w:right="255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71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2CB2795E" w14:textId="77777777" w:rsidR="000865CA" w:rsidRPr="00306ECD" w:rsidRDefault="000865CA" w:rsidP="00B02B25">
    <w:pPr>
      <w:pStyle w:val="Encabezado"/>
      <w:framePr w:w="4663" w:h="1341" w:hRule="exact" w:hSpace="141" w:vSpace="141" w:wrap="auto" w:vAnchor="page" w:hAnchor="page" w:x="6745" w:y="751"/>
      <w:ind w:left="-567" w:right="255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31 DE ENERO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55E6CE35" w14:textId="2AEE4A53" w:rsidR="000865CA" w:rsidRPr="00F22E89" w:rsidRDefault="000865CA" w:rsidP="00B02B25">
    <w:pPr>
      <w:pStyle w:val="Encabezado"/>
      <w:framePr w:w="4663" w:h="1341" w:hRule="exact" w:hSpace="141" w:vSpace="141" w:wrap="auto" w:vAnchor="page" w:hAnchor="page" w:x="6745" w:y="751"/>
      <w:ind w:left="-567" w:right="255"/>
      <w:jc w:val="right"/>
      <w:rPr>
        <w:b/>
        <w:color w:val="002060"/>
      </w:rPr>
    </w:pPr>
    <w:r w:rsidRPr="00F22E89">
      <w:rPr>
        <w:b/>
        <w:color w:val="002060"/>
      </w:rPr>
      <w:t xml:space="preserve">PÁGINA </w:t>
    </w:r>
    <w:r w:rsidRPr="00F22E89">
      <w:rPr>
        <w:b/>
        <w:color w:val="002060"/>
      </w:rPr>
      <w:fldChar w:fldCharType="begin"/>
    </w:r>
    <w:r w:rsidRPr="00F22E89">
      <w:rPr>
        <w:b/>
        <w:color w:val="002060"/>
      </w:rPr>
      <w:instrText xml:space="preserve"> PAGE  \* Arabic </w:instrText>
    </w:r>
    <w:r w:rsidRPr="00F22E89">
      <w:rPr>
        <w:b/>
        <w:color w:val="002060"/>
      </w:rPr>
      <w:fldChar w:fldCharType="separate"/>
    </w:r>
    <w:r>
      <w:rPr>
        <w:b/>
        <w:color w:val="002060"/>
      </w:rPr>
      <w:t>1</w:t>
    </w:r>
    <w:r w:rsidRPr="00F22E89">
      <w:rPr>
        <w:b/>
        <w:color w:val="002060"/>
      </w:rPr>
      <w:fldChar w:fldCharType="end"/>
    </w:r>
    <w:r w:rsidRPr="00F22E89">
      <w:rPr>
        <w:b/>
        <w:color w:val="002060"/>
      </w:rPr>
      <w:t>/</w:t>
    </w:r>
    <w:r w:rsidR="00D636B3">
      <w:rPr>
        <w:b/>
        <w:color w:val="002060"/>
      </w:rPr>
      <w:t>7</w:t>
    </w:r>
  </w:p>
  <w:p w14:paraId="1281B6E6" w14:textId="77777777" w:rsidR="000865CA" w:rsidRDefault="000865CA" w:rsidP="00D67595">
    <w:pPr>
      <w:pStyle w:val="Encabezado"/>
      <w:framePr w:w="4663" w:h="1341" w:hRule="exact" w:hSpace="141" w:vSpace="141" w:wrap="auto" w:vAnchor="page" w:hAnchor="page" w:x="6745" w:y="751"/>
      <w:ind w:right="49"/>
      <w:jc w:val="center"/>
    </w:pPr>
  </w:p>
  <w:p w14:paraId="390B5506" w14:textId="2458EC7F" w:rsidR="00271F6D" w:rsidRDefault="00271F6D" w:rsidP="000F788C">
    <w:pPr>
      <w:pStyle w:val="Encabezado"/>
      <w:ind w:hanging="284"/>
    </w:pPr>
    <w:r>
      <w:rPr>
        <w:noProof/>
        <w:lang w:val="es-MX" w:eastAsia="es-MX"/>
      </w:rPr>
      <w:drawing>
        <wp:inline distT="0" distB="0" distL="0" distR="0" wp14:anchorId="31CE9B4A" wp14:editId="26D56282">
          <wp:extent cx="828000" cy="828000"/>
          <wp:effectExtent l="0" t="0" r="0" b="0"/>
          <wp:docPr id="7" name="Imagen 7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E4A45" w14:textId="4076F2B1" w:rsidR="00D636B3" w:rsidRDefault="00D636B3" w:rsidP="00B06AE9">
    <w:pPr>
      <w:pStyle w:val="Encabezado"/>
    </w:pPr>
    <w:r>
      <w:rPr>
        <w:noProof/>
        <w:lang w:val="es-MX" w:eastAsia="es-MX"/>
      </w:rPr>
      <w:t xml:space="preserve">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18F420EB" wp14:editId="689FA7C4">
          <wp:extent cx="828000" cy="828000"/>
          <wp:effectExtent l="0" t="0" r="0" b="0"/>
          <wp:docPr id="12" name="Imagen 12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F6154"/>
    <w:multiLevelType w:val="hybridMultilevel"/>
    <w:tmpl w:val="F8C2B67C"/>
    <w:lvl w:ilvl="0" w:tplc="0C0A000F">
      <w:start w:val="1"/>
      <w:numFmt w:val="decimal"/>
      <w:lvlText w:val="%1.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1" w:tplc="EE9A14EA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hint="default"/>
      </w:rPr>
    </w:lvl>
    <w:lvl w:ilvl="2" w:tplc="9E268D0A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370071DA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10CA57F8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hint="default"/>
      </w:rPr>
    </w:lvl>
    <w:lvl w:ilvl="5" w:tplc="265CFD90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329CE5B0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55307596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hint="default"/>
      </w:rPr>
    </w:lvl>
    <w:lvl w:ilvl="8" w:tplc="90BC1C8A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2" w15:restartNumberingAfterBreak="0">
    <w:nsid w:val="032E1C26"/>
    <w:multiLevelType w:val="hybridMultilevel"/>
    <w:tmpl w:val="135E4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53D73"/>
    <w:multiLevelType w:val="singleLevel"/>
    <w:tmpl w:val="AB6E1324"/>
    <w:lvl w:ilvl="0"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4" w15:restartNumberingAfterBreak="0">
    <w:nsid w:val="0CEB3457"/>
    <w:multiLevelType w:val="singleLevel"/>
    <w:tmpl w:val="A0EE693E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30"/>
      </w:rPr>
    </w:lvl>
  </w:abstractNum>
  <w:abstractNum w:abstractNumId="5" w15:restartNumberingAfterBreak="0">
    <w:nsid w:val="0EA577A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E51F9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FEE5E2F"/>
    <w:multiLevelType w:val="singleLevel"/>
    <w:tmpl w:val="AB6E1324"/>
    <w:lvl w:ilvl="0"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8" w15:restartNumberingAfterBreak="0">
    <w:nsid w:val="14DD10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DA2C5D"/>
    <w:multiLevelType w:val="singleLevel"/>
    <w:tmpl w:val="AB6E1324"/>
    <w:lvl w:ilvl="0"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10" w15:restartNumberingAfterBreak="0">
    <w:nsid w:val="19C67FD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AF561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EAF5E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6743E34"/>
    <w:multiLevelType w:val="singleLevel"/>
    <w:tmpl w:val="AB6E1324"/>
    <w:lvl w:ilvl="0"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14" w15:restartNumberingAfterBreak="0">
    <w:nsid w:val="382931C1"/>
    <w:multiLevelType w:val="hybridMultilevel"/>
    <w:tmpl w:val="D04C7B3A"/>
    <w:lvl w:ilvl="0" w:tplc="9F307A02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1" w:tplc="3EC69A4A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hint="default"/>
      </w:rPr>
    </w:lvl>
    <w:lvl w:ilvl="2" w:tplc="96084CCA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5D2CBF9A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8F64AC0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hint="default"/>
      </w:rPr>
    </w:lvl>
    <w:lvl w:ilvl="5" w:tplc="0D607026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C45EBF0E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D24A3FE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hint="default"/>
      </w:rPr>
    </w:lvl>
    <w:lvl w:ilvl="8" w:tplc="D5F828E4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5" w15:restartNumberingAfterBreak="0">
    <w:nsid w:val="4FF23182"/>
    <w:multiLevelType w:val="singleLevel"/>
    <w:tmpl w:val="AB6E1324"/>
    <w:lvl w:ilvl="0"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16" w15:restartNumberingAfterBreak="0">
    <w:nsid w:val="51FB40AD"/>
    <w:multiLevelType w:val="singleLevel"/>
    <w:tmpl w:val="840EB14A"/>
    <w:lvl w:ilvl="0">
      <w:start w:val="1"/>
      <w:numFmt w:val="bullet"/>
      <w:pStyle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lang w:val="es-ES"/>
      </w:rPr>
    </w:lvl>
  </w:abstractNum>
  <w:abstractNum w:abstractNumId="17" w15:restartNumberingAfterBreak="0">
    <w:nsid w:val="6DAE7813"/>
    <w:multiLevelType w:val="hybridMultilevel"/>
    <w:tmpl w:val="9CC4BB0A"/>
    <w:lvl w:ilvl="0" w:tplc="080A000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6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8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03" w:hanging="360"/>
      </w:pPr>
      <w:rPr>
        <w:rFonts w:ascii="Wingdings" w:hAnsi="Wingdings" w:hint="default"/>
      </w:rPr>
    </w:lvl>
  </w:abstractNum>
  <w:abstractNum w:abstractNumId="18" w15:restartNumberingAfterBreak="0">
    <w:nsid w:val="767C5387"/>
    <w:multiLevelType w:val="hybridMultilevel"/>
    <w:tmpl w:val="59A0C8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74566"/>
    <w:multiLevelType w:val="hybridMultilevel"/>
    <w:tmpl w:val="5600A2FA"/>
    <w:lvl w:ilvl="0" w:tplc="080A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20" w15:restartNumberingAfterBreak="0">
    <w:nsid w:val="794927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2638641">
    <w:abstractNumId w:val="10"/>
  </w:num>
  <w:num w:numId="2" w16cid:durableId="662855385">
    <w:abstractNumId w:val="4"/>
  </w:num>
  <w:num w:numId="3" w16cid:durableId="1804613643">
    <w:abstractNumId w:val="11"/>
  </w:num>
  <w:num w:numId="4" w16cid:durableId="142476788">
    <w:abstractNumId w:val="15"/>
  </w:num>
  <w:num w:numId="5" w16cid:durableId="1131825010">
    <w:abstractNumId w:val="7"/>
  </w:num>
  <w:num w:numId="6" w16cid:durableId="598638282">
    <w:abstractNumId w:val="3"/>
  </w:num>
  <w:num w:numId="7" w16cid:durableId="1861233559">
    <w:abstractNumId w:val="9"/>
  </w:num>
  <w:num w:numId="8" w16cid:durableId="1539783183">
    <w:abstractNumId w:val="13"/>
  </w:num>
  <w:num w:numId="9" w16cid:durableId="403308545">
    <w:abstractNumId w:val="5"/>
  </w:num>
  <w:num w:numId="10" w16cid:durableId="1336496825">
    <w:abstractNumId w:val="8"/>
  </w:num>
  <w:num w:numId="11" w16cid:durableId="1758357323">
    <w:abstractNumId w:val="20"/>
  </w:num>
  <w:num w:numId="12" w16cid:durableId="1912305562">
    <w:abstractNumId w:val="6"/>
  </w:num>
  <w:num w:numId="13" w16cid:durableId="1623462157">
    <w:abstractNumId w:val="12"/>
  </w:num>
  <w:num w:numId="14" w16cid:durableId="176114186">
    <w:abstractNumId w:val="14"/>
  </w:num>
  <w:num w:numId="15" w16cid:durableId="13337528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410" w:hanging="360"/>
        </w:pPr>
        <w:rPr>
          <w:rFonts w:ascii="Symbol" w:hAnsi="Symbol" w:hint="default"/>
        </w:rPr>
      </w:lvl>
    </w:lvlOverride>
  </w:num>
  <w:num w:numId="16" w16cid:durableId="1884949890">
    <w:abstractNumId w:val="1"/>
  </w:num>
  <w:num w:numId="17" w16cid:durableId="1773282164">
    <w:abstractNumId w:val="17"/>
  </w:num>
  <w:num w:numId="18" w16cid:durableId="504635003">
    <w:abstractNumId w:val="2"/>
  </w:num>
  <w:num w:numId="19" w16cid:durableId="1588805954">
    <w:abstractNumId w:val="16"/>
  </w:num>
  <w:num w:numId="20" w16cid:durableId="1475634312">
    <w:abstractNumId w:val="16"/>
  </w:num>
  <w:num w:numId="21" w16cid:durableId="1816528813">
    <w:abstractNumId w:val="16"/>
  </w:num>
  <w:num w:numId="22" w16cid:durableId="1166550088">
    <w:abstractNumId w:val="16"/>
  </w:num>
  <w:num w:numId="23" w16cid:durableId="8136382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24" w16cid:durableId="1437942175">
    <w:abstractNumId w:val="16"/>
  </w:num>
  <w:num w:numId="25" w16cid:durableId="1794472224">
    <w:abstractNumId w:val="16"/>
  </w:num>
  <w:num w:numId="26" w16cid:durableId="329791484">
    <w:abstractNumId w:val="16"/>
  </w:num>
  <w:num w:numId="27" w16cid:durableId="1519196661">
    <w:abstractNumId w:val="16"/>
  </w:num>
  <w:num w:numId="28" w16cid:durableId="663630811">
    <w:abstractNumId w:val="18"/>
  </w:num>
  <w:num w:numId="29" w16cid:durableId="907690166">
    <w:abstractNumId w:val="19"/>
  </w:num>
  <w:num w:numId="30" w16cid:durableId="1497913883">
    <w:abstractNumId w:val="16"/>
  </w:num>
  <w:num w:numId="31" w16cid:durableId="247424837">
    <w:abstractNumId w:val="16"/>
  </w:num>
  <w:num w:numId="32" w16cid:durableId="1077745096">
    <w:abstractNumId w:val="16"/>
  </w:num>
  <w:num w:numId="33" w16cid:durableId="741831787">
    <w:abstractNumId w:val="16"/>
  </w:num>
  <w:num w:numId="34" w16cid:durableId="160128295">
    <w:abstractNumId w:val="16"/>
  </w:num>
  <w:num w:numId="35" w16cid:durableId="843471118">
    <w:abstractNumId w:val="16"/>
  </w:num>
  <w:num w:numId="36" w16cid:durableId="373578011">
    <w:abstractNumId w:val="16"/>
  </w:num>
  <w:num w:numId="37" w16cid:durableId="1651253748">
    <w:abstractNumId w:val="16"/>
  </w:num>
  <w:num w:numId="38" w16cid:durableId="429158316">
    <w:abstractNumId w:val="16"/>
  </w:num>
  <w:num w:numId="39" w16cid:durableId="1777171035">
    <w:abstractNumId w:val="16"/>
  </w:num>
  <w:num w:numId="40" w16cid:durableId="1736508953">
    <w:abstractNumId w:val="16"/>
  </w:num>
  <w:num w:numId="41" w16cid:durableId="465006629">
    <w:abstractNumId w:val="16"/>
  </w:num>
  <w:num w:numId="42" w16cid:durableId="678234734">
    <w:abstractNumId w:val="16"/>
  </w:num>
  <w:num w:numId="43" w16cid:durableId="115955937">
    <w:abstractNumId w:val="16"/>
  </w:num>
  <w:num w:numId="44" w16cid:durableId="889615317">
    <w:abstractNumId w:val="16"/>
  </w:num>
  <w:num w:numId="45" w16cid:durableId="1617785115">
    <w:abstractNumId w:val="16"/>
  </w:num>
  <w:num w:numId="46" w16cid:durableId="8791980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32"/>
    <w:rsid w:val="0000095D"/>
    <w:rsid w:val="00000B43"/>
    <w:rsid w:val="00000B7F"/>
    <w:rsid w:val="0000273F"/>
    <w:rsid w:val="00002743"/>
    <w:rsid w:val="00002C85"/>
    <w:rsid w:val="000031B0"/>
    <w:rsid w:val="00004215"/>
    <w:rsid w:val="000042EF"/>
    <w:rsid w:val="00004678"/>
    <w:rsid w:val="00004821"/>
    <w:rsid w:val="00004A7D"/>
    <w:rsid w:val="00004E4C"/>
    <w:rsid w:val="0000544E"/>
    <w:rsid w:val="00006462"/>
    <w:rsid w:val="00006881"/>
    <w:rsid w:val="00006D11"/>
    <w:rsid w:val="00007BFF"/>
    <w:rsid w:val="0001024B"/>
    <w:rsid w:val="00010A17"/>
    <w:rsid w:val="00010E74"/>
    <w:rsid w:val="00011964"/>
    <w:rsid w:val="00011D5B"/>
    <w:rsid w:val="00011F1A"/>
    <w:rsid w:val="00012228"/>
    <w:rsid w:val="00014EAF"/>
    <w:rsid w:val="00015BE5"/>
    <w:rsid w:val="00016611"/>
    <w:rsid w:val="0001677B"/>
    <w:rsid w:val="00017666"/>
    <w:rsid w:val="00020298"/>
    <w:rsid w:val="0002056D"/>
    <w:rsid w:val="00020A3F"/>
    <w:rsid w:val="00020F4E"/>
    <w:rsid w:val="00021C68"/>
    <w:rsid w:val="00022064"/>
    <w:rsid w:val="00022153"/>
    <w:rsid w:val="000224F6"/>
    <w:rsid w:val="00022907"/>
    <w:rsid w:val="00023E91"/>
    <w:rsid w:val="00023F1F"/>
    <w:rsid w:val="00024DA4"/>
    <w:rsid w:val="0002501B"/>
    <w:rsid w:val="000260FB"/>
    <w:rsid w:val="00026733"/>
    <w:rsid w:val="000267F0"/>
    <w:rsid w:val="0002692A"/>
    <w:rsid w:val="00031C3F"/>
    <w:rsid w:val="00032184"/>
    <w:rsid w:val="00032383"/>
    <w:rsid w:val="00032439"/>
    <w:rsid w:val="0003385F"/>
    <w:rsid w:val="00035555"/>
    <w:rsid w:val="000355F6"/>
    <w:rsid w:val="00036F4A"/>
    <w:rsid w:val="00036FBF"/>
    <w:rsid w:val="000371B4"/>
    <w:rsid w:val="000378C0"/>
    <w:rsid w:val="00037A49"/>
    <w:rsid w:val="00040160"/>
    <w:rsid w:val="00040A88"/>
    <w:rsid w:val="0004114E"/>
    <w:rsid w:val="000417B7"/>
    <w:rsid w:val="000417FC"/>
    <w:rsid w:val="000421BC"/>
    <w:rsid w:val="000431DE"/>
    <w:rsid w:val="0004368D"/>
    <w:rsid w:val="00043CA0"/>
    <w:rsid w:val="0004453C"/>
    <w:rsid w:val="0004493F"/>
    <w:rsid w:val="000453DC"/>
    <w:rsid w:val="00045F5B"/>
    <w:rsid w:val="000463BE"/>
    <w:rsid w:val="00046715"/>
    <w:rsid w:val="00046B8A"/>
    <w:rsid w:val="00047C6D"/>
    <w:rsid w:val="00050283"/>
    <w:rsid w:val="00050F12"/>
    <w:rsid w:val="00051AA5"/>
    <w:rsid w:val="00051CEE"/>
    <w:rsid w:val="00051E46"/>
    <w:rsid w:val="000535E0"/>
    <w:rsid w:val="00053780"/>
    <w:rsid w:val="000538E2"/>
    <w:rsid w:val="00053A68"/>
    <w:rsid w:val="00054FD6"/>
    <w:rsid w:val="0005576F"/>
    <w:rsid w:val="00055E5F"/>
    <w:rsid w:val="00056554"/>
    <w:rsid w:val="00057885"/>
    <w:rsid w:val="00057C43"/>
    <w:rsid w:val="000608A0"/>
    <w:rsid w:val="0006111A"/>
    <w:rsid w:val="00062558"/>
    <w:rsid w:val="00063D1D"/>
    <w:rsid w:val="00064294"/>
    <w:rsid w:val="000646E7"/>
    <w:rsid w:val="0006516A"/>
    <w:rsid w:val="00065DAB"/>
    <w:rsid w:val="00065F7A"/>
    <w:rsid w:val="00065FD1"/>
    <w:rsid w:val="00066103"/>
    <w:rsid w:val="000665D9"/>
    <w:rsid w:val="00066D7E"/>
    <w:rsid w:val="00066EB6"/>
    <w:rsid w:val="0006773F"/>
    <w:rsid w:val="00067BFC"/>
    <w:rsid w:val="00067FF9"/>
    <w:rsid w:val="00070209"/>
    <w:rsid w:val="000704BB"/>
    <w:rsid w:val="0007097B"/>
    <w:rsid w:val="000716D7"/>
    <w:rsid w:val="0007442D"/>
    <w:rsid w:val="00075A18"/>
    <w:rsid w:val="000762F8"/>
    <w:rsid w:val="00076D9C"/>
    <w:rsid w:val="00076DE1"/>
    <w:rsid w:val="000774AA"/>
    <w:rsid w:val="00077F01"/>
    <w:rsid w:val="00077F49"/>
    <w:rsid w:val="00081AC4"/>
    <w:rsid w:val="00081DAE"/>
    <w:rsid w:val="00082002"/>
    <w:rsid w:val="000822C4"/>
    <w:rsid w:val="00082918"/>
    <w:rsid w:val="000840A0"/>
    <w:rsid w:val="00084AB2"/>
    <w:rsid w:val="00084FD7"/>
    <w:rsid w:val="00085BD9"/>
    <w:rsid w:val="00085FDB"/>
    <w:rsid w:val="000865CA"/>
    <w:rsid w:val="00086740"/>
    <w:rsid w:val="00086A62"/>
    <w:rsid w:val="000904E6"/>
    <w:rsid w:val="0009082D"/>
    <w:rsid w:val="00091999"/>
    <w:rsid w:val="00092ACB"/>
    <w:rsid w:val="00092B83"/>
    <w:rsid w:val="00093F8F"/>
    <w:rsid w:val="000940A0"/>
    <w:rsid w:val="00094417"/>
    <w:rsid w:val="00094591"/>
    <w:rsid w:val="000945F4"/>
    <w:rsid w:val="0009491E"/>
    <w:rsid w:val="00094C91"/>
    <w:rsid w:val="000957B9"/>
    <w:rsid w:val="00095DC6"/>
    <w:rsid w:val="00095EE6"/>
    <w:rsid w:val="00097371"/>
    <w:rsid w:val="00097506"/>
    <w:rsid w:val="000A01BF"/>
    <w:rsid w:val="000A05A1"/>
    <w:rsid w:val="000A0B27"/>
    <w:rsid w:val="000A0B69"/>
    <w:rsid w:val="000A1174"/>
    <w:rsid w:val="000A1488"/>
    <w:rsid w:val="000A14B3"/>
    <w:rsid w:val="000A1890"/>
    <w:rsid w:val="000A1FFB"/>
    <w:rsid w:val="000A2A4E"/>
    <w:rsid w:val="000A3380"/>
    <w:rsid w:val="000A3A2B"/>
    <w:rsid w:val="000A3F3E"/>
    <w:rsid w:val="000A6470"/>
    <w:rsid w:val="000A65FD"/>
    <w:rsid w:val="000A7204"/>
    <w:rsid w:val="000A79E7"/>
    <w:rsid w:val="000A7F4C"/>
    <w:rsid w:val="000B09C5"/>
    <w:rsid w:val="000B0CE8"/>
    <w:rsid w:val="000B0EC9"/>
    <w:rsid w:val="000B139D"/>
    <w:rsid w:val="000B16EE"/>
    <w:rsid w:val="000B2120"/>
    <w:rsid w:val="000B3C5B"/>
    <w:rsid w:val="000B5D63"/>
    <w:rsid w:val="000B5E8A"/>
    <w:rsid w:val="000B6736"/>
    <w:rsid w:val="000B6AE5"/>
    <w:rsid w:val="000B7767"/>
    <w:rsid w:val="000B7BED"/>
    <w:rsid w:val="000C02F0"/>
    <w:rsid w:val="000C0467"/>
    <w:rsid w:val="000C0C8A"/>
    <w:rsid w:val="000C117A"/>
    <w:rsid w:val="000C1BE9"/>
    <w:rsid w:val="000C2136"/>
    <w:rsid w:val="000C2420"/>
    <w:rsid w:val="000C2684"/>
    <w:rsid w:val="000C2E47"/>
    <w:rsid w:val="000C3595"/>
    <w:rsid w:val="000C3C44"/>
    <w:rsid w:val="000C4460"/>
    <w:rsid w:val="000C55BE"/>
    <w:rsid w:val="000C5B89"/>
    <w:rsid w:val="000C5C25"/>
    <w:rsid w:val="000C648E"/>
    <w:rsid w:val="000C66BE"/>
    <w:rsid w:val="000C6E1B"/>
    <w:rsid w:val="000C72D9"/>
    <w:rsid w:val="000C7599"/>
    <w:rsid w:val="000C7999"/>
    <w:rsid w:val="000D08BB"/>
    <w:rsid w:val="000D0CC8"/>
    <w:rsid w:val="000D0E61"/>
    <w:rsid w:val="000D1A8E"/>
    <w:rsid w:val="000D3385"/>
    <w:rsid w:val="000D3BA0"/>
    <w:rsid w:val="000D52A0"/>
    <w:rsid w:val="000D52C1"/>
    <w:rsid w:val="000D53AE"/>
    <w:rsid w:val="000D5529"/>
    <w:rsid w:val="000D598D"/>
    <w:rsid w:val="000D5B24"/>
    <w:rsid w:val="000D6074"/>
    <w:rsid w:val="000D65E2"/>
    <w:rsid w:val="000D689B"/>
    <w:rsid w:val="000D71E0"/>
    <w:rsid w:val="000E0526"/>
    <w:rsid w:val="000E0A62"/>
    <w:rsid w:val="000E0B46"/>
    <w:rsid w:val="000E1443"/>
    <w:rsid w:val="000E1AF5"/>
    <w:rsid w:val="000E2A08"/>
    <w:rsid w:val="000E2C66"/>
    <w:rsid w:val="000E323E"/>
    <w:rsid w:val="000E3A78"/>
    <w:rsid w:val="000E3F2C"/>
    <w:rsid w:val="000E43D5"/>
    <w:rsid w:val="000E47D3"/>
    <w:rsid w:val="000E4CA4"/>
    <w:rsid w:val="000E70D1"/>
    <w:rsid w:val="000F0896"/>
    <w:rsid w:val="000F09D4"/>
    <w:rsid w:val="000F09F8"/>
    <w:rsid w:val="000F14B9"/>
    <w:rsid w:val="000F1608"/>
    <w:rsid w:val="000F1839"/>
    <w:rsid w:val="000F2966"/>
    <w:rsid w:val="000F3D4A"/>
    <w:rsid w:val="000F3F47"/>
    <w:rsid w:val="000F4540"/>
    <w:rsid w:val="000F4658"/>
    <w:rsid w:val="000F46A4"/>
    <w:rsid w:val="000F5879"/>
    <w:rsid w:val="000F5E17"/>
    <w:rsid w:val="000F5F3F"/>
    <w:rsid w:val="000F6657"/>
    <w:rsid w:val="000F682F"/>
    <w:rsid w:val="000F68F7"/>
    <w:rsid w:val="000F698B"/>
    <w:rsid w:val="000F788C"/>
    <w:rsid w:val="000F79B9"/>
    <w:rsid w:val="000F7B11"/>
    <w:rsid w:val="001003A7"/>
    <w:rsid w:val="00100CAD"/>
    <w:rsid w:val="00100FC4"/>
    <w:rsid w:val="00101A58"/>
    <w:rsid w:val="00101BCD"/>
    <w:rsid w:val="001034D4"/>
    <w:rsid w:val="00104419"/>
    <w:rsid w:val="00104C78"/>
    <w:rsid w:val="00104FCA"/>
    <w:rsid w:val="0010664E"/>
    <w:rsid w:val="00106F6E"/>
    <w:rsid w:val="001073D8"/>
    <w:rsid w:val="001076F8"/>
    <w:rsid w:val="00107921"/>
    <w:rsid w:val="0010797C"/>
    <w:rsid w:val="0011053D"/>
    <w:rsid w:val="00110B27"/>
    <w:rsid w:val="001115F7"/>
    <w:rsid w:val="001117A2"/>
    <w:rsid w:val="001137CE"/>
    <w:rsid w:val="00113FC9"/>
    <w:rsid w:val="0011434C"/>
    <w:rsid w:val="00114A83"/>
    <w:rsid w:val="0011559E"/>
    <w:rsid w:val="001156DE"/>
    <w:rsid w:val="0011585D"/>
    <w:rsid w:val="00115C1E"/>
    <w:rsid w:val="00116918"/>
    <w:rsid w:val="00116947"/>
    <w:rsid w:val="00116D5D"/>
    <w:rsid w:val="00116D8E"/>
    <w:rsid w:val="001173B5"/>
    <w:rsid w:val="00117B09"/>
    <w:rsid w:val="00117C54"/>
    <w:rsid w:val="00121D6C"/>
    <w:rsid w:val="001222A7"/>
    <w:rsid w:val="0012290F"/>
    <w:rsid w:val="00122D3B"/>
    <w:rsid w:val="00123379"/>
    <w:rsid w:val="001234A8"/>
    <w:rsid w:val="00123B68"/>
    <w:rsid w:val="00123E27"/>
    <w:rsid w:val="0012478A"/>
    <w:rsid w:val="00124A7D"/>
    <w:rsid w:val="00125C98"/>
    <w:rsid w:val="00126D65"/>
    <w:rsid w:val="00127101"/>
    <w:rsid w:val="001277D8"/>
    <w:rsid w:val="00131392"/>
    <w:rsid w:val="0013168C"/>
    <w:rsid w:val="00131E1A"/>
    <w:rsid w:val="001322B7"/>
    <w:rsid w:val="0013258E"/>
    <w:rsid w:val="00133E3A"/>
    <w:rsid w:val="00133E9C"/>
    <w:rsid w:val="0013459D"/>
    <w:rsid w:val="00135030"/>
    <w:rsid w:val="00135483"/>
    <w:rsid w:val="0013782A"/>
    <w:rsid w:val="00137E78"/>
    <w:rsid w:val="00140B6C"/>
    <w:rsid w:val="00141DAC"/>
    <w:rsid w:val="00142299"/>
    <w:rsid w:val="00143605"/>
    <w:rsid w:val="00143C27"/>
    <w:rsid w:val="0014557C"/>
    <w:rsid w:val="00145589"/>
    <w:rsid w:val="00145B63"/>
    <w:rsid w:val="00145FD2"/>
    <w:rsid w:val="001463C4"/>
    <w:rsid w:val="0014682B"/>
    <w:rsid w:val="0014693A"/>
    <w:rsid w:val="001471F3"/>
    <w:rsid w:val="0014725A"/>
    <w:rsid w:val="00147908"/>
    <w:rsid w:val="00151522"/>
    <w:rsid w:val="001515FD"/>
    <w:rsid w:val="00151680"/>
    <w:rsid w:val="00152105"/>
    <w:rsid w:val="0015270C"/>
    <w:rsid w:val="00152D39"/>
    <w:rsid w:val="00152E6E"/>
    <w:rsid w:val="00153366"/>
    <w:rsid w:val="0015373F"/>
    <w:rsid w:val="00154177"/>
    <w:rsid w:val="0015470D"/>
    <w:rsid w:val="00154C05"/>
    <w:rsid w:val="00154C3B"/>
    <w:rsid w:val="00155DB5"/>
    <w:rsid w:val="00156342"/>
    <w:rsid w:val="00156AAB"/>
    <w:rsid w:val="00156ABA"/>
    <w:rsid w:val="00156DF2"/>
    <w:rsid w:val="001579C2"/>
    <w:rsid w:val="00160412"/>
    <w:rsid w:val="001605E8"/>
    <w:rsid w:val="00160FAF"/>
    <w:rsid w:val="0016118C"/>
    <w:rsid w:val="00162FEB"/>
    <w:rsid w:val="00163512"/>
    <w:rsid w:val="00163561"/>
    <w:rsid w:val="00163A8E"/>
    <w:rsid w:val="00163ADE"/>
    <w:rsid w:val="00163B85"/>
    <w:rsid w:val="00163BA6"/>
    <w:rsid w:val="00164DA3"/>
    <w:rsid w:val="00165501"/>
    <w:rsid w:val="001659D7"/>
    <w:rsid w:val="00165E9D"/>
    <w:rsid w:val="0016690F"/>
    <w:rsid w:val="001672F0"/>
    <w:rsid w:val="0017122C"/>
    <w:rsid w:val="0017274E"/>
    <w:rsid w:val="001727A6"/>
    <w:rsid w:val="0017471D"/>
    <w:rsid w:val="00174978"/>
    <w:rsid w:val="00174AF1"/>
    <w:rsid w:val="00174CBB"/>
    <w:rsid w:val="0017503B"/>
    <w:rsid w:val="001755B3"/>
    <w:rsid w:val="0017620A"/>
    <w:rsid w:val="00176C91"/>
    <w:rsid w:val="00176CA7"/>
    <w:rsid w:val="0017782A"/>
    <w:rsid w:val="00181FA7"/>
    <w:rsid w:val="00182595"/>
    <w:rsid w:val="00182A73"/>
    <w:rsid w:val="00184160"/>
    <w:rsid w:val="0018416A"/>
    <w:rsid w:val="001842C5"/>
    <w:rsid w:val="00184D49"/>
    <w:rsid w:val="001855A5"/>
    <w:rsid w:val="001872D0"/>
    <w:rsid w:val="00187A97"/>
    <w:rsid w:val="00191DEB"/>
    <w:rsid w:val="00193057"/>
    <w:rsid w:val="00193ED8"/>
    <w:rsid w:val="001941AB"/>
    <w:rsid w:val="00194480"/>
    <w:rsid w:val="001951D5"/>
    <w:rsid w:val="001952C4"/>
    <w:rsid w:val="0019532A"/>
    <w:rsid w:val="00195865"/>
    <w:rsid w:val="001959B6"/>
    <w:rsid w:val="00195FEE"/>
    <w:rsid w:val="001960DA"/>
    <w:rsid w:val="00196671"/>
    <w:rsid w:val="001968B9"/>
    <w:rsid w:val="00197417"/>
    <w:rsid w:val="00197630"/>
    <w:rsid w:val="001A0B6A"/>
    <w:rsid w:val="001A0C5E"/>
    <w:rsid w:val="001A1299"/>
    <w:rsid w:val="001A1323"/>
    <w:rsid w:val="001A191D"/>
    <w:rsid w:val="001A25CF"/>
    <w:rsid w:val="001A354D"/>
    <w:rsid w:val="001A37FC"/>
    <w:rsid w:val="001A445D"/>
    <w:rsid w:val="001A4713"/>
    <w:rsid w:val="001A7309"/>
    <w:rsid w:val="001B2B81"/>
    <w:rsid w:val="001B3A22"/>
    <w:rsid w:val="001B40CD"/>
    <w:rsid w:val="001B44BA"/>
    <w:rsid w:val="001B47AA"/>
    <w:rsid w:val="001B4F13"/>
    <w:rsid w:val="001B54C5"/>
    <w:rsid w:val="001B57EF"/>
    <w:rsid w:val="001B6801"/>
    <w:rsid w:val="001B7483"/>
    <w:rsid w:val="001B7536"/>
    <w:rsid w:val="001B7C15"/>
    <w:rsid w:val="001C0881"/>
    <w:rsid w:val="001C0B53"/>
    <w:rsid w:val="001C0E25"/>
    <w:rsid w:val="001C16C3"/>
    <w:rsid w:val="001C174A"/>
    <w:rsid w:val="001C1DDC"/>
    <w:rsid w:val="001C1E2C"/>
    <w:rsid w:val="001C293A"/>
    <w:rsid w:val="001C2D93"/>
    <w:rsid w:val="001C2FAA"/>
    <w:rsid w:val="001C3DA9"/>
    <w:rsid w:val="001C41DB"/>
    <w:rsid w:val="001C4472"/>
    <w:rsid w:val="001C47A3"/>
    <w:rsid w:val="001C550E"/>
    <w:rsid w:val="001C5E65"/>
    <w:rsid w:val="001C5F5D"/>
    <w:rsid w:val="001C650B"/>
    <w:rsid w:val="001C66A6"/>
    <w:rsid w:val="001C6CD4"/>
    <w:rsid w:val="001C6FA7"/>
    <w:rsid w:val="001C7D21"/>
    <w:rsid w:val="001C7E8C"/>
    <w:rsid w:val="001D0373"/>
    <w:rsid w:val="001D0F1A"/>
    <w:rsid w:val="001D23B8"/>
    <w:rsid w:val="001D2489"/>
    <w:rsid w:val="001D285D"/>
    <w:rsid w:val="001D2B80"/>
    <w:rsid w:val="001D3DBA"/>
    <w:rsid w:val="001D4087"/>
    <w:rsid w:val="001D4C6B"/>
    <w:rsid w:val="001D51FE"/>
    <w:rsid w:val="001D5AB0"/>
    <w:rsid w:val="001D717C"/>
    <w:rsid w:val="001D7480"/>
    <w:rsid w:val="001E033D"/>
    <w:rsid w:val="001E037F"/>
    <w:rsid w:val="001E0480"/>
    <w:rsid w:val="001E04EB"/>
    <w:rsid w:val="001E1370"/>
    <w:rsid w:val="001E1EC8"/>
    <w:rsid w:val="001E288E"/>
    <w:rsid w:val="001E38C9"/>
    <w:rsid w:val="001E3B2F"/>
    <w:rsid w:val="001E40F0"/>
    <w:rsid w:val="001E4621"/>
    <w:rsid w:val="001E5654"/>
    <w:rsid w:val="001E5A00"/>
    <w:rsid w:val="001E5C9B"/>
    <w:rsid w:val="001E62CE"/>
    <w:rsid w:val="001E63B3"/>
    <w:rsid w:val="001E7565"/>
    <w:rsid w:val="001F0892"/>
    <w:rsid w:val="001F2519"/>
    <w:rsid w:val="001F2EE5"/>
    <w:rsid w:val="001F3CE5"/>
    <w:rsid w:val="001F421F"/>
    <w:rsid w:val="001F4249"/>
    <w:rsid w:val="001F462C"/>
    <w:rsid w:val="001F4AB0"/>
    <w:rsid w:val="001F4F7E"/>
    <w:rsid w:val="001F5242"/>
    <w:rsid w:val="001F562F"/>
    <w:rsid w:val="001F5A11"/>
    <w:rsid w:val="001F65DD"/>
    <w:rsid w:val="001F6D20"/>
    <w:rsid w:val="00200367"/>
    <w:rsid w:val="0020043A"/>
    <w:rsid w:val="00200449"/>
    <w:rsid w:val="0020081F"/>
    <w:rsid w:val="002008C3"/>
    <w:rsid w:val="00201B54"/>
    <w:rsid w:val="002023C7"/>
    <w:rsid w:val="002025F0"/>
    <w:rsid w:val="00203925"/>
    <w:rsid w:val="0020440D"/>
    <w:rsid w:val="00204627"/>
    <w:rsid w:val="0020475B"/>
    <w:rsid w:val="00204762"/>
    <w:rsid w:val="00205271"/>
    <w:rsid w:val="00205302"/>
    <w:rsid w:val="002056E1"/>
    <w:rsid w:val="002058BB"/>
    <w:rsid w:val="00205C16"/>
    <w:rsid w:val="00205D6F"/>
    <w:rsid w:val="00205EC7"/>
    <w:rsid w:val="0020717A"/>
    <w:rsid w:val="002107F6"/>
    <w:rsid w:val="00211056"/>
    <w:rsid w:val="0021228E"/>
    <w:rsid w:val="00212EAE"/>
    <w:rsid w:val="0021304F"/>
    <w:rsid w:val="002138EA"/>
    <w:rsid w:val="00213E5E"/>
    <w:rsid w:val="002146E9"/>
    <w:rsid w:val="00215360"/>
    <w:rsid w:val="002156F5"/>
    <w:rsid w:val="002162C6"/>
    <w:rsid w:val="002169BE"/>
    <w:rsid w:val="00216F97"/>
    <w:rsid w:val="00220359"/>
    <w:rsid w:val="00220A74"/>
    <w:rsid w:val="0022190B"/>
    <w:rsid w:val="00221C33"/>
    <w:rsid w:val="0022200C"/>
    <w:rsid w:val="002224F5"/>
    <w:rsid w:val="00223CFB"/>
    <w:rsid w:val="0022411B"/>
    <w:rsid w:val="002248CF"/>
    <w:rsid w:val="00224A11"/>
    <w:rsid w:val="00224D9E"/>
    <w:rsid w:val="00224EB0"/>
    <w:rsid w:val="00224FB2"/>
    <w:rsid w:val="00224FB9"/>
    <w:rsid w:val="00225A0A"/>
    <w:rsid w:val="00226C7F"/>
    <w:rsid w:val="00227AA2"/>
    <w:rsid w:val="00227E7E"/>
    <w:rsid w:val="00230D75"/>
    <w:rsid w:val="00231422"/>
    <w:rsid w:val="00231C99"/>
    <w:rsid w:val="00232764"/>
    <w:rsid w:val="00232820"/>
    <w:rsid w:val="00233847"/>
    <w:rsid w:val="00234774"/>
    <w:rsid w:val="002349F4"/>
    <w:rsid w:val="00235175"/>
    <w:rsid w:val="00235FA3"/>
    <w:rsid w:val="002360C7"/>
    <w:rsid w:val="00236C6C"/>
    <w:rsid w:val="0023784B"/>
    <w:rsid w:val="00237E1C"/>
    <w:rsid w:val="0024100A"/>
    <w:rsid w:val="00241403"/>
    <w:rsid w:val="002424D2"/>
    <w:rsid w:val="00242B5F"/>
    <w:rsid w:val="00242C77"/>
    <w:rsid w:val="002435A0"/>
    <w:rsid w:val="00244BD7"/>
    <w:rsid w:val="00244E84"/>
    <w:rsid w:val="00245082"/>
    <w:rsid w:val="0024559C"/>
    <w:rsid w:val="002459F7"/>
    <w:rsid w:val="00246053"/>
    <w:rsid w:val="002466AB"/>
    <w:rsid w:val="00246C58"/>
    <w:rsid w:val="002470F9"/>
    <w:rsid w:val="002471CB"/>
    <w:rsid w:val="00247E21"/>
    <w:rsid w:val="00247EA3"/>
    <w:rsid w:val="00250226"/>
    <w:rsid w:val="00250361"/>
    <w:rsid w:val="00250539"/>
    <w:rsid w:val="00250742"/>
    <w:rsid w:val="00250CC1"/>
    <w:rsid w:val="00250EAB"/>
    <w:rsid w:val="00251751"/>
    <w:rsid w:val="00252975"/>
    <w:rsid w:val="00252AEC"/>
    <w:rsid w:val="00252BD9"/>
    <w:rsid w:val="00253130"/>
    <w:rsid w:val="002547E9"/>
    <w:rsid w:val="00254DB3"/>
    <w:rsid w:val="00255291"/>
    <w:rsid w:val="00255713"/>
    <w:rsid w:val="00256396"/>
    <w:rsid w:val="0025719B"/>
    <w:rsid w:val="00257D9D"/>
    <w:rsid w:val="00257EBF"/>
    <w:rsid w:val="0026147C"/>
    <w:rsid w:val="00262B5A"/>
    <w:rsid w:val="00262D44"/>
    <w:rsid w:val="00263002"/>
    <w:rsid w:val="002630F9"/>
    <w:rsid w:val="00263FFB"/>
    <w:rsid w:val="00264275"/>
    <w:rsid w:val="0026446E"/>
    <w:rsid w:val="00264AA7"/>
    <w:rsid w:val="00264E1A"/>
    <w:rsid w:val="00265677"/>
    <w:rsid w:val="00266887"/>
    <w:rsid w:val="00266FF3"/>
    <w:rsid w:val="00267023"/>
    <w:rsid w:val="002675F1"/>
    <w:rsid w:val="002702AB"/>
    <w:rsid w:val="00270671"/>
    <w:rsid w:val="00270B53"/>
    <w:rsid w:val="00270D59"/>
    <w:rsid w:val="00271619"/>
    <w:rsid w:val="00271F6D"/>
    <w:rsid w:val="00272706"/>
    <w:rsid w:val="002733DA"/>
    <w:rsid w:val="00273B19"/>
    <w:rsid w:val="00274992"/>
    <w:rsid w:val="00274C21"/>
    <w:rsid w:val="00274EAD"/>
    <w:rsid w:val="002756D9"/>
    <w:rsid w:val="00277459"/>
    <w:rsid w:val="00280516"/>
    <w:rsid w:val="00280DCC"/>
    <w:rsid w:val="002811AB"/>
    <w:rsid w:val="00282498"/>
    <w:rsid w:val="002827BF"/>
    <w:rsid w:val="00282BA0"/>
    <w:rsid w:val="00282F0A"/>
    <w:rsid w:val="002838A3"/>
    <w:rsid w:val="002839A5"/>
    <w:rsid w:val="00284B57"/>
    <w:rsid w:val="002850AD"/>
    <w:rsid w:val="00285648"/>
    <w:rsid w:val="00285776"/>
    <w:rsid w:val="00286FAB"/>
    <w:rsid w:val="002870CD"/>
    <w:rsid w:val="0028741B"/>
    <w:rsid w:val="00287854"/>
    <w:rsid w:val="002906CF"/>
    <w:rsid w:val="00291AED"/>
    <w:rsid w:val="00291B26"/>
    <w:rsid w:val="00292FD6"/>
    <w:rsid w:val="002931C6"/>
    <w:rsid w:val="0029403F"/>
    <w:rsid w:val="00294709"/>
    <w:rsid w:val="0029570F"/>
    <w:rsid w:val="00296374"/>
    <w:rsid w:val="00297DA6"/>
    <w:rsid w:val="002A010C"/>
    <w:rsid w:val="002A0FCC"/>
    <w:rsid w:val="002A11AE"/>
    <w:rsid w:val="002A130B"/>
    <w:rsid w:val="002A193C"/>
    <w:rsid w:val="002A200D"/>
    <w:rsid w:val="002A2685"/>
    <w:rsid w:val="002A2ACD"/>
    <w:rsid w:val="002A2EBD"/>
    <w:rsid w:val="002A30E5"/>
    <w:rsid w:val="002A319B"/>
    <w:rsid w:val="002A395E"/>
    <w:rsid w:val="002A3BC6"/>
    <w:rsid w:val="002A3C7A"/>
    <w:rsid w:val="002A3E2D"/>
    <w:rsid w:val="002A5436"/>
    <w:rsid w:val="002A5908"/>
    <w:rsid w:val="002A5CBA"/>
    <w:rsid w:val="002A7BB4"/>
    <w:rsid w:val="002A7D9C"/>
    <w:rsid w:val="002A7E45"/>
    <w:rsid w:val="002B0159"/>
    <w:rsid w:val="002B0693"/>
    <w:rsid w:val="002B266D"/>
    <w:rsid w:val="002B2ED8"/>
    <w:rsid w:val="002B4D2B"/>
    <w:rsid w:val="002B5452"/>
    <w:rsid w:val="002B5511"/>
    <w:rsid w:val="002B612F"/>
    <w:rsid w:val="002B62C3"/>
    <w:rsid w:val="002B6B31"/>
    <w:rsid w:val="002B7440"/>
    <w:rsid w:val="002B77C7"/>
    <w:rsid w:val="002C06DB"/>
    <w:rsid w:val="002C0B9D"/>
    <w:rsid w:val="002C145F"/>
    <w:rsid w:val="002C159E"/>
    <w:rsid w:val="002C1ADA"/>
    <w:rsid w:val="002C2B36"/>
    <w:rsid w:val="002C2C06"/>
    <w:rsid w:val="002C2D0F"/>
    <w:rsid w:val="002C42FE"/>
    <w:rsid w:val="002C47F9"/>
    <w:rsid w:val="002C49C6"/>
    <w:rsid w:val="002C4C23"/>
    <w:rsid w:val="002C4D5A"/>
    <w:rsid w:val="002C4FDC"/>
    <w:rsid w:val="002C6220"/>
    <w:rsid w:val="002C6984"/>
    <w:rsid w:val="002C7CEE"/>
    <w:rsid w:val="002D0297"/>
    <w:rsid w:val="002D0776"/>
    <w:rsid w:val="002D095F"/>
    <w:rsid w:val="002D0B24"/>
    <w:rsid w:val="002D1EB2"/>
    <w:rsid w:val="002D2465"/>
    <w:rsid w:val="002D2BDF"/>
    <w:rsid w:val="002D32A6"/>
    <w:rsid w:val="002D3DFB"/>
    <w:rsid w:val="002D4026"/>
    <w:rsid w:val="002D5B11"/>
    <w:rsid w:val="002D5EDB"/>
    <w:rsid w:val="002D6429"/>
    <w:rsid w:val="002D674F"/>
    <w:rsid w:val="002D7483"/>
    <w:rsid w:val="002D7871"/>
    <w:rsid w:val="002E0016"/>
    <w:rsid w:val="002E05D1"/>
    <w:rsid w:val="002E0975"/>
    <w:rsid w:val="002E09D9"/>
    <w:rsid w:val="002E0D7C"/>
    <w:rsid w:val="002E16A8"/>
    <w:rsid w:val="002E1E42"/>
    <w:rsid w:val="002E338D"/>
    <w:rsid w:val="002E369C"/>
    <w:rsid w:val="002E38A7"/>
    <w:rsid w:val="002E3AEF"/>
    <w:rsid w:val="002E3E75"/>
    <w:rsid w:val="002E5C03"/>
    <w:rsid w:val="002E654D"/>
    <w:rsid w:val="002E666E"/>
    <w:rsid w:val="002E6992"/>
    <w:rsid w:val="002E69B1"/>
    <w:rsid w:val="002E6BF3"/>
    <w:rsid w:val="002E70A9"/>
    <w:rsid w:val="002F05D2"/>
    <w:rsid w:val="002F10D1"/>
    <w:rsid w:val="002F1AE8"/>
    <w:rsid w:val="002F1FB6"/>
    <w:rsid w:val="002F32B6"/>
    <w:rsid w:val="002F4B8A"/>
    <w:rsid w:val="002F54B1"/>
    <w:rsid w:val="002F5CBA"/>
    <w:rsid w:val="002F5D05"/>
    <w:rsid w:val="002F67FC"/>
    <w:rsid w:val="002F6CDC"/>
    <w:rsid w:val="002F7030"/>
    <w:rsid w:val="002F7084"/>
    <w:rsid w:val="002F71B9"/>
    <w:rsid w:val="002F7827"/>
    <w:rsid w:val="002F7886"/>
    <w:rsid w:val="00300CEC"/>
    <w:rsid w:val="00300F90"/>
    <w:rsid w:val="00301365"/>
    <w:rsid w:val="00301736"/>
    <w:rsid w:val="003017C9"/>
    <w:rsid w:val="003017F3"/>
    <w:rsid w:val="003019B3"/>
    <w:rsid w:val="00302B98"/>
    <w:rsid w:val="0030314C"/>
    <w:rsid w:val="00303261"/>
    <w:rsid w:val="0030365C"/>
    <w:rsid w:val="00303D92"/>
    <w:rsid w:val="0030466A"/>
    <w:rsid w:val="003047C8"/>
    <w:rsid w:val="00304C07"/>
    <w:rsid w:val="00304EEF"/>
    <w:rsid w:val="003051F6"/>
    <w:rsid w:val="00305A21"/>
    <w:rsid w:val="00305ACD"/>
    <w:rsid w:val="00305B60"/>
    <w:rsid w:val="003060E8"/>
    <w:rsid w:val="003064AC"/>
    <w:rsid w:val="003071C4"/>
    <w:rsid w:val="003072D8"/>
    <w:rsid w:val="003078AC"/>
    <w:rsid w:val="003078BC"/>
    <w:rsid w:val="00310117"/>
    <w:rsid w:val="00310639"/>
    <w:rsid w:val="003123B1"/>
    <w:rsid w:val="003126FC"/>
    <w:rsid w:val="00312F79"/>
    <w:rsid w:val="00313D69"/>
    <w:rsid w:val="00314084"/>
    <w:rsid w:val="00314695"/>
    <w:rsid w:val="00314909"/>
    <w:rsid w:val="00314BB8"/>
    <w:rsid w:val="00314FD2"/>
    <w:rsid w:val="0031533D"/>
    <w:rsid w:val="00315DFC"/>
    <w:rsid w:val="003160CB"/>
    <w:rsid w:val="0031638A"/>
    <w:rsid w:val="00316405"/>
    <w:rsid w:val="003165DA"/>
    <w:rsid w:val="00320B4C"/>
    <w:rsid w:val="00321671"/>
    <w:rsid w:val="0032169F"/>
    <w:rsid w:val="003217EB"/>
    <w:rsid w:val="00321EBD"/>
    <w:rsid w:val="0032269F"/>
    <w:rsid w:val="00322A57"/>
    <w:rsid w:val="00323DB6"/>
    <w:rsid w:val="00324510"/>
    <w:rsid w:val="0032465C"/>
    <w:rsid w:val="00325403"/>
    <w:rsid w:val="00325EE1"/>
    <w:rsid w:val="00326948"/>
    <w:rsid w:val="00326C03"/>
    <w:rsid w:val="0032723B"/>
    <w:rsid w:val="00327B6E"/>
    <w:rsid w:val="003301B9"/>
    <w:rsid w:val="00330C6A"/>
    <w:rsid w:val="00330E94"/>
    <w:rsid w:val="00330EEF"/>
    <w:rsid w:val="00332CB3"/>
    <w:rsid w:val="00333136"/>
    <w:rsid w:val="00333526"/>
    <w:rsid w:val="003355A5"/>
    <w:rsid w:val="003369A7"/>
    <w:rsid w:val="00337153"/>
    <w:rsid w:val="00337BF2"/>
    <w:rsid w:val="00340D98"/>
    <w:rsid w:val="00341785"/>
    <w:rsid w:val="00341B4F"/>
    <w:rsid w:val="00342351"/>
    <w:rsid w:val="00342882"/>
    <w:rsid w:val="0034311C"/>
    <w:rsid w:val="003436A1"/>
    <w:rsid w:val="00343806"/>
    <w:rsid w:val="0034408C"/>
    <w:rsid w:val="0034441B"/>
    <w:rsid w:val="0034499C"/>
    <w:rsid w:val="00344EEF"/>
    <w:rsid w:val="00345D63"/>
    <w:rsid w:val="00346F15"/>
    <w:rsid w:val="0034723F"/>
    <w:rsid w:val="00347C6B"/>
    <w:rsid w:val="00347CEC"/>
    <w:rsid w:val="003500D7"/>
    <w:rsid w:val="00350252"/>
    <w:rsid w:val="00350744"/>
    <w:rsid w:val="003508A7"/>
    <w:rsid w:val="00351B1F"/>
    <w:rsid w:val="00351E22"/>
    <w:rsid w:val="003557A5"/>
    <w:rsid w:val="00355AA0"/>
    <w:rsid w:val="0035665F"/>
    <w:rsid w:val="003568BD"/>
    <w:rsid w:val="00356EA1"/>
    <w:rsid w:val="003607BA"/>
    <w:rsid w:val="00361943"/>
    <w:rsid w:val="00361A86"/>
    <w:rsid w:val="00361EE6"/>
    <w:rsid w:val="00362342"/>
    <w:rsid w:val="00363945"/>
    <w:rsid w:val="00364164"/>
    <w:rsid w:val="0036434F"/>
    <w:rsid w:val="003648E6"/>
    <w:rsid w:val="00364DD1"/>
    <w:rsid w:val="003654CE"/>
    <w:rsid w:val="003666DE"/>
    <w:rsid w:val="0036725F"/>
    <w:rsid w:val="0036737B"/>
    <w:rsid w:val="00367F1E"/>
    <w:rsid w:val="00370BF7"/>
    <w:rsid w:val="003711A0"/>
    <w:rsid w:val="0037142D"/>
    <w:rsid w:val="00372AA8"/>
    <w:rsid w:val="00372BC2"/>
    <w:rsid w:val="00372D16"/>
    <w:rsid w:val="00373A0D"/>
    <w:rsid w:val="00373B78"/>
    <w:rsid w:val="003740AF"/>
    <w:rsid w:val="003749F9"/>
    <w:rsid w:val="00375105"/>
    <w:rsid w:val="003754DF"/>
    <w:rsid w:val="003756F0"/>
    <w:rsid w:val="003776A6"/>
    <w:rsid w:val="00377A2F"/>
    <w:rsid w:val="003800CE"/>
    <w:rsid w:val="003804D1"/>
    <w:rsid w:val="00380E3E"/>
    <w:rsid w:val="00381835"/>
    <w:rsid w:val="00382278"/>
    <w:rsid w:val="0038296A"/>
    <w:rsid w:val="00382BEA"/>
    <w:rsid w:val="00383B1E"/>
    <w:rsid w:val="00384033"/>
    <w:rsid w:val="00384567"/>
    <w:rsid w:val="00384C4B"/>
    <w:rsid w:val="00384C91"/>
    <w:rsid w:val="00385592"/>
    <w:rsid w:val="003862A1"/>
    <w:rsid w:val="00386B9D"/>
    <w:rsid w:val="00390474"/>
    <w:rsid w:val="00390E3D"/>
    <w:rsid w:val="003940F5"/>
    <w:rsid w:val="003942B3"/>
    <w:rsid w:val="00397686"/>
    <w:rsid w:val="003A0198"/>
    <w:rsid w:val="003A05F4"/>
    <w:rsid w:val="003A089B"/>
    <w:rsid w:val="003A0C22"/>
    <w:rsid w:val="003A11AC"/>
    <w:rsid w:val="003A1460"/>
    <w:rsid w:val="003A1926"/>
    <w:rsid w:val="003A2DDF"/>
    <w:rsid w:val="003A3B70"/>
    <w:rsid w:val="003A4479"/>
    <w:rsid w:val="003A5CCC"/>
    <w:rsid w:val="003A68A0"/>
    <w:rsid w:val="003A6ADB"/>
    <w:rsid w:val="003B03BE"/>
    <w:rsid w:val="003B0AD6"/>
    <w:rsid w:val="003B0DD8"/>
    <w:rsid w:val="003B1119"/>
    <w:rsid w:val="003B1425"/>
    <w:rsid w:val="003B1DD8"/>
    <w:rsid w:val="003B2BF2"/>
    <w:rsid w:val="003B2FDF"/>
    <w:rsid w:val="003B34C1"/>
    <w:rsid w:val="003B3F7C"/>
    <w:rsid w:val="003B4D0E"/>
    <w:rsid w:val="003B4E4C"/>
    <w:rsid w:val="003B5744"/>
    <w:rsid w:val="003B5EFC"/>
    <w:rsid w:val="003B64E5"/>
    <w:rsid w:val="003B6A09"/>
    <w:rsid w:val="003B6D92"/>
    <w:rsid w:val="003B7917"/>
    <w:rsid w:val="003C05A9"/>
    <w:rsid w:val="003C0CBC"/>
    <w:rsid w:val="003C0DD4"/>
    <w:rsid w:val="003C0E46"/>
    <w:rsid w:val="003C0F02"/>
    <w:rsid w:val="003C11B7"/>
    <w:rsid w:val="003C1AAB"/>
    <w:rsid w:val="003C208B"/>
    <w:rsid w:val="003C2468"/>
    <w:rsid w:val="003C268B"/>
    <w:rsid w:val="003C26DF"/>
    <w:rsid w:val="003C2BB9"/>
    <w:rsid w:val="003C2CEF"/>
    <w:rsid w:val="003C2D5E"/>
    <w:rsid w:val="003C379E"/>
    <w:rsid w:val="003C3A86"/>
    <w:rsid w:val="003C3D52"/>
    <w:rsid w:val="003C41E9"/>
    <w:rsid w:val="003C49C0"/>
    <w:rsid w:val="003C59D0"/>
    <w:rsid w:val="003C5A52"/>
    <w:rsid w:val="003C642A"/>
    <w:rsid w:val="003C6D35"/>
    <w:rsid w:val="003C6E13"/>
    <w:rsid w:val="003C7068"/>
    <w:rsid w:val="003C79D1"/>
    <w:rsid w:val="003D1CD5"/>
    <w:rsid w:val="003D2352"/>
    <w:rsid w:val="003D2E2E"/>
    <w:rsid w:val="003D38C7"/>
    <w:rsid w:val="003D4226"/>
    <w:rsid w:val="003D454B"/>
    <w:rsid w:val="003D4609"/>
    <w:rsid w:val="003D597A"/>
    <w:rsid w:val="003D5ABE"/>
    <w:rsid w:val="003D5D7E"/>
    <w:rsid w:val="003D6094"/>
    <w:rsid w:val="003D7ECB"/>
    <w:rsid w:val="003E0003"/>
    <w:rsid w:val="003E0538"/>
    <w:rsid w:val="003E0E64"/>
    <w:rsid w:val="003E0F21"/>
    <w:rsid w:val="003E21A3"/>
    <w:rsid w:val="003E5AB4"/>
    <w:rsid w:val="003E5B7F"/>
    <w:rsid w:val="003E6472"/>
    <w:rsid w:val="003E6CFE"/>
    <w:rsid w:val="003E78A4"/>
    <w:rsid w:val="003E7E9B"/>
    <w:rsid w:val="003F07C4"/>
    <w:rsid w:val="003F26EB"/>
    <w:rsid w:val="003F286D"/>
    <w:rsid w:val="003F3DDA"/>
    <w:rsid w:val="003F4213"/>
    <w:rsid w:val="003F454C"/>
    <w:rsid w:val="003F4A49"/>
    <w:rsid w:val="003F5517"/>
    <w:rsid w:val="003F5F95"/>
    <w:rsid w:val="003F61DF"/>
    <w:rsid w:val="003F6F7F"/>
    <w:rsid w:val="003F7972"/>
    <w:rsid w:val="003F7F13"/>
    <w:rsid w:val="0040094D"/>
    <w:rsid w:val="00400D22"/>
    <w:rsid w:val="0040115C"/>
    <w:rsid w:val="0040238B"/>
    <w:rsid w:val="00402C6E"/>
    <w:rsid w:val="00403622"/>
    <w:rsid w:val="00404F61"/>
    <w:rsid w:val="00406CAE"/>
    <w:rsid w:val="00407D79"/>
    <w:rsid w:val="00410113"/>
    <w:rsid w:val="00410A26"/>
    <w:rsid w:val="004113EA"/>
    <w:rsid w:val="0041140F"/>
    <w:rsid w:val="00411831"/>
    <w:rsid w:val="00411C84"/>
    <w:rsid w:val="00411E48"/>
    <w:rsid w:val="004128A9"/>
    <w:rsid w:val="00412A71"/>
    <w:rsid w:val="00414288"/>
    <w:rsid w:val="004149E3"/>
    <w:rsid w:val="00414C52"/>
    <w:rsid w:val="00414D41"/>
    <w:rsid w:val="00414D4F"/>
    <w:rsid w:val="00415642"/>
    <w:rsid w:val="004157C1"/>
    <w:rsid w:val="00416EF5"/>
    <w:rsid w:val="004209C7"/>
    <w:rsid w:val="00420D3A"/>
    <w:rsid w:val="00420FAA"/>
    <w:rsid w:val="00423301"/>
    <w:rsid w:val="0042396C"/>
    <w:rsid w:val="00423E11"/>
    <w:rsid w:val="00426210"/>
    <w:rsid w:val="004264D0"/>
    <w:rsid w:val="0042660A"/>
    <w:rsid w:val="004266CB"/>
    <w:rsid w:val="00426C76"/>
    <w:rsid w:val="0042702A"/>
    <w:rsid w:val="004271AE"/>
    <w:rsid w:val="00427339"/>
    <w:rsid w:val="00430446"/>
    <w:rsid w:val="00430F48"/>
    <w:rsid w:val="00431187"/>
    <w:rsid w:val="004312CE"/>
    <w:rsid w:val="00431471"/>
    <w:rsid w:val="004316A6"/>
    <w:rsid w:val="00432123"/>
    <w:rsid w:val="00432AB8"/>
    <w:rsid w:val="00432D29"/>
    <w:rsid w:val="004345E1"/>
    <w:rsid w:val="004348F2"/>
    <w:rsid w:val="0043529C"/>
    <w:rsid w:val="00435311"/>
    <w:rsid w:val="00435ABD"/>
    <w:rsid w:val="00435CE8"/>
    <w:rsid w:val="00435ED9"/>
    <w:rsid w:val="00436764"/>
    <w:rsid w:val="00436D19"/>
    <w:rsid w:val="00436E75"/>
    <w:rsid w:val="00436F4C"/>
    <w:rsid w:val="004372B2"/>
    <w:rsid w:val="00437B81"/>
    <w:rsid w:val="00437CE9"/>
    <w:rsid w:val="00440333"/>
    <w:rsid w:val="00440C7D"/>
    <w:rsid w:val="00440DB2"/>
    <w:rsid w:val="004416AE"/>
    <w:rsid w:val="00441C8E"/>
    <w:rsid w:val="00441E7E"/>
    <w:rsid w:val="0044275F"/>
    <w:rsid w:val="004438D7"/>
    <w:rsid w:val="00443B66"/>
    <w:rsid w:val="00444081"/>
    <w:rsid w:val="0044476B"/>
    <w:rsid w:val="00444FF6"/>
    <w:rsid w:val="00445596"/>
    <w:rsid w:val="004472C5"/>
    <w:rsid w:val="0045072C"/>
    <w:rsid w:val="00450A1D"/>
    <w:rsid w:val="00450FB4"/>
    <w:rsid w:val="00451893"/>
    <w:rsid w:val="00451908"/>
    <w:rsid w:val="0045354A"/>
    <w:rsid w:val="00454C74"/>
    <w:rsid w:val="00454C88"/>
    <w:rsid w:val="00454E0B"/>
    <w:rsid w:val="0045542B"/>
    <w:rsid w:val="00455FD3"/>
    <w:rsid w:val="004562E0"/>
    <w:rsid w:val="00457B8E"/>
    <w:rsid w:val="00460009"/>
    <w:rsid w:val="0046041A"/>
    <w:rsid w:val="004608C4"/>
    <w:rsid w:val="004616D5"/>
    <w:rsid w:val="00462700"/>
    <w:rsid w:val="00462F9D"/>
    <w:rsid w:val="004631B0"/>
    <w:rsid w:val="00463454"/>
    <w:rsid w:val="004635C1"/>
    <w:rsid w:val="00463896"/>
    <w:rsid w:val="0046434A"/>
    <w:rsid w:val="004646F6"/>
    <w:rsid w:val="0046476B"/>
    <w:rsid w:val="00464A2A"/>
    <w:rsid w:val="00464AE0"/>
    <w:rsid w:val="00464EA7"/>
    <w:rsid w:val="004660AB"/>
    <w:rsid w:val="00466947"/>
    <w:rsid w:val="00466DF3"/>
    <w:rsid w:val="00466F8E"/>
    <w:rsid w:val="00467763"/>
    <w:rsid w:val="00470194"/>
    <w:rsid w:val="00470A0A"/>
    <w:rsid w:val="00470CDC"/>
    <w:rsid w:val="00471966"/>
    <w:rsid w:val="00471D20"/>
    <w:rsid w:val="00472A29"/>
    <w:rsid w:val="00474197"/>
    <w:rsid w:val="0047428D"/>
    <w:rsid w:val="0047475A"/>
    <w:rsid w:val="00474BF0"/>
    <w:rsid w:val="00474F07"/>
    <w:rsid w:val="00475636"/>
    <w:rsid w:val="00475B90"/>
    <w:rsid w:val="00476753"/>
    <w:rsid w:val="00476B79"/>
    <w:rsid w:val="00477330"/>
    <w:rsid w:val="0047780A"/>
    <w:rsid w:val="00477C63"/>
    <w:rsid w:val="00477DA0"/>
    <w:rsid w:val="00480AFC"/>
    <w:rsid w:val="00480E28"/>
    <w:rsid w:val="004813A1"/>
    <w:rsid w:val="00482E6C"/>
    <w:rsid w:val="004834F3"/>
    <w:rsid w:val="004840CC"/>
    <w:rsid w:val="00484747"/>
    <w:rsid w:val="00484E27"/>
    <w:rsid w:val="00485190"/>
    <w:rsid w:val="0048557F"/>
    <w:rsid w:val="00485D93"/>
    <w:rsid w:val="004864BA"/>
    <w:rsid w:val="00486A37"/>
    <w:rsid w:val="0048781F"/>
    <w:rsid w:val="00491866"/>
    <w:rsid w:val="00492760"/>
    <w:rsid w:val="00493879"/>
    <w:rsid w:val="00494A1D"/>
    <w:rsid w:val="00495B96"/>
    <w:rsid w:val="004966FD"/>
    <w:rsid w:val="00496DB2"/>
    <w:rsid w:val="00497E00"/>
    <w:rsid w:val="00497EEB"/>
    <w:rsid w:val="004A01B4"/>
    <w:rsid w:val="004A04AE"/>
    <w:rsid w:val="004A06EA"/>
    <w:rsid w:val="004A082D"/>
    <w:rsid w:val="004A0903"/>
    <w:rsid w:val="004A1070"/>
    <w:rsid w:val="004A15A1"/>
    <w:rsid w:val="004A1EB7"/>
    <w:rsid w:val="004A1F76"/>
    <w:rsid w:val="004A2DB7"/>
    <w:rsid w:val="004A2FD1"/>
    <w:rsid w:val="004A352E"/>
    <w:rsid w:val="004A4CD4"/>
    <w:rsid w:val="004A55CE"/>
    <w:rsid w:val="004A57E5"/>
    <w:rsid w:val="004A623A"/>
    <w:rsid w:val="004B07AA"/>
    <w:rsid w:val="004B07DD"/>
    <w:rsid w:val="004B14FA"/>
    <w:rsid w:val="004B179F"/>
    <w:rsid w:val="004B367F"/>
    <w:rsid w:val="004B37B8"/>
    <w:rsid w:val="004B3E14"/>
    <w:rsid w:val="004B415E"/>
    <w:rsid w:val="004B44B0"/>
    <w:rsid w:val="004B469B"/>
    <w:rsid w:val="004B46BD"/>
    <w:rsid w:val="004B5902"/>
    <w:rsid w:val="004B5A07"/>
    <w:rsid w:val="004B6896"/>
    <w:rsid w:val="004B6984"/>
    <w:rsid w:val="004B73CD"/>
    <w:rsid w:val="004B73D8"/>
    <w:rsid w:val="004B75E7"/>
    <w:rsid w:val="004B7EA1"/>
    <w:rsid w:val="004C0873"/>
    <w:rsid w:val="004C0FFC"/>
    <w:rsid w:val="004C13D9"/>
    <w:rsid w:val="004C1A40"/>
    <w:rsid w:val="004C2120"/>
    <w:rsid w:val="004C215E"/>
    <w:rsid w:val="004C3128"/>
    <w:rsid w:val="004C31F9"/>
    <w:rsid w:val="004C33C5"/>
    <w:rsid w:val="004C3DCB"/>
    <w:rsid w:val="004C47B6"/>
    <w:rsid w:val="004C4ABF"/>
    <w:rsid w:val="004C4EFE"/>
    <w:rsid w:val="004C505A"/>
    <w:rsid w:val="004C5328"/>
    <w:rsid w:val="004C5D14"/>
    <w:rsid w:val="004C641F"/>
    <w:rsid w:val="004C66E3"/>
    <w:rsid w:val="004D0BFA"/>
    <w:rsid w:val="004D20B4"/>
    <w:rsid w:val="004D33FE"/>
    <w:rsid w:val="004D4743"/>
    <w:rsid w:val="004D4CF8"/>
    <w:rsid w:val="004D4FA5"/>
    <w:rsid w:val="004D523F"/>
    <w:rsid w:val="004D57C0"/>
    <w:rsid w:val="004D5A62"/>
    <w:rsid w:val="004D5CC0"/>
    <w:rsid w:val="004D6671"/>
    <w:rsid w:val="004D6A7C"/>
    <w:rsid w:val="004D71CA"/>
    <w:rsid w:val="004D7DFA"/>
    <w:rsid w:val="004E0891"/>
    <w:rsid w:val="004E0EE9"/>
    <w:rsid w:val="004E1AD6"/>
    <w:rsid w:val="004E2258"/>
    <w:rsid w:val="004E2936"/>
    <w:rsid w:val="004E293F"/>
    <w:rsid w:val="004E2992"/>
    <w:rsid w:val="004E2C52"/>
    <w:rsid w:val="004E2D37"/>
    <w:rsid w:val="004E321A"/>
    <w:rsid w:val="004E41E8"/>
    <w:rsid w:val="004E4E26"/>
    <w:rsid w:val="004E5A25"/>
    <w:rsid w:val="004E5C23"/>
    <w:rsid w:val="004E5C2A"/>
    <w:rsid w:val="004E7D40"/>
    <w:rsid w:val="004F1204"/>
    <w:rsid w:val="004F158A"/>
    <w:rsid w:val="004F190D"/>
    <w:rsid w:val="004F2057"/>
    <w:rsid w:val="004F21B6"/>
    <w:rsid w:val="004F21E0"/>
    <w:rsid w:val="004F238A"/>
    <w:rsid w:val="004F277A"/>
    <w:rsid w:val="004F2B70"/>
    <w:rsid w:val="004F2ED1"/>
    <w:rsid w:val="004F2F12"/>
    <w:rsid w:val="004F32F0"/>
    <w:rsid w:val="004F3960"/>
    <w:rsid w:val="004F4C36"/>
    <w:rsid w:val="004F4CAC"/>
    <w:rsid w:val="004F6A71"/>
    <w:rsid w:val="004F72BD"/>
    <w:rsid w:val="004F7638"/>
    <w:rsid w:val="004F7B3B"/>
    <w:rsid w:val="004F7CA8"/>
    <w:rsid w:val="00500541"/>
    <w:rsid w:val="0050108D"/>
    <w:rsid w:val="005011F5"/>
    <w:rsid w:val="005013C3"/>
    <w:rsid w:val="00501611"/>
    <w:rsid w:val="00501D3E"/>
    <w:rsid w:val="005026D0"/>
    <w:rsid w:val="00503893"/>
    <w:rsid w:val="00503D62"/>
    <w:rsid w:val="00503EFC"/>
    <w:rsid w:val="00504E55"/>
    <w:rsid w:val="0050596A"/>
    <w:rsid w:val="00505C12"/>
    <w:rsid w:val="00506152"/>
    <w:rsid w:val="005066F6"/>
    <w:rsid w:val="00507AA6"/>
    <w:rsid w:val="005101E2"/>
    <w:rsid w:val="00510633"/>
    <w:rsid w:val="0051087F"/>
    <w:rsid w:val="005112F4"/>
    <w:rsid w:val="00511843"/>
    <w:rsid w:val="00511B25"/>
    <w:rsid w:val="00512EF4"/>
    <w:rsid w:val="00512EF7"/>
    <w:rsid w:val="00513A2D"/>
    <w:rsid w:val="00513A35"/>
    <w:rsid w:val="00513D71"/>
    <w:rsid w:val="005147E0"/>
    <w:rsid w:val="00514AB6"/>
    <w:rsid w:val="0051584F"/>
    <w:rsid w:val="005161AA"/>
    <w:rsid w:val="00516344"/>
    <w:rsid w:val="005164F4"/>
    <w:rsid w:val="005169E7"/>
    <w:rsid w:val="00516C11"/>
    <w:rsid w:val="00516EA1"/>
    <w:rsid w:val="00517139"/>
    <w:rsid w:val="00517217"/>
    <w:rsid w:val="0051779D"/>
    <w:rsid w:val="00517BDE"/>
    <w:rsid w:val="00520A08"/>
    <w:rsid w:val="00521189"/>
    <w:rsid w:val="0052203E"/>
    <w:rsid w:val="00522BA0"/>
    <w:rsid w:val="0052322B"/>
    <w:rsid w:val="0052376B"/>
    <w:rsid w:val="00523933"/>
    <w:rsid w:val="0052399C"/>
    <w:rsid w:val="00523D11"/>
    <w:rsid w:val="00524356"/>
    <w:rsid w:val="005248AF"/>
    <w:rsid w:val="00525234"/>
    <w:rsid w:val="00527319"/>
    <w:rsid w:val="0052757F"/>
    <w:rsid w:val="005275BD"/>
    <w:rsid w:val="005279C9"/>
    <w:rsid w:val="00530039"/>
    <w:rsid w:val="0053018F"/>
    <w:rsid w:val="00530728"/>
    <w:rsid w:val="00531266"/>
    <w:rsid w:val="0053177C"/>
    <w:rsid w:val="0053212F"/>
    <w:rsid w:val="00532609"/>
    <w:rsid w:val="00532DD2"/>
    <w:rsid w:val="0053359D"/>
    <w:rsid w:val="0053384B"/>
    <w:rsid w:val="00533A64"/>
    <w:rsid w:val="00534000"/>
    <w:rsid w:val="005348E2"/>
    <w:rsid w:val="00536AFA"/>
    <w:rsid w:val="00536ECA"/>
    <w:rsid w:val="00541409"/>
    <w:rsid w:val="00541B47"/>
    <w:rsid w:val="005433D1"/>
    <w:rsid w:val="00543641"/>
    <w:rsid w:val="0054406E"/>
    <w:rsid w:val="005442CF"/>
    <w:rsid w:val="0054437B"/>
    <w:rsid w:val="0054498B"/>
    <w:rsid w:val="0054547D"/>
    <w:rsid w:val="005457E0"/>
    <w:rsid w:val="00545AFF"/>
    <w:rsid w:val="005462DA"/>
    <w:rsid w:val="00547F39"/>
    <w:rsid w:val="00550B22"/>
    <w:rsid w:val="00550BD2"/>
    <w:rsid w:val="00550D8F"/>
    <w:rsid w:val="00550FE3"/>
    <w:rsid w:val="00551A14"/>
    <w:rsid w:val="00552FD7"/>
    <w:rsid w:val="0055305D"/>
    <w:rsid w:val="00553061"/>
    <w:rsid w:val="00553238"/>
    <w:rsid w:val="005537FB"/>
    <w:rsid w:val="00553B11"/>
    <w:rsid w:val="00554164"/>
    <w:rsid w:val="0055470C"/>
    <w:rsid w:val="005564D5"/>
    <w:rsid w:val="00557764"/>
    <w:rsid w:val="00557CBB"/>
    <w:rsid w:val="00557DFB"/>
    <w:rsid w:val="00560236"/>
    <w:rsid w:val="0056030B"/>
    <w:rsid w:val="0056041A"/>
    <w:rsid w:val="00560786"/>
    <w:rsid w:val="00561451"/>
    <w:rsid w:val="0056212B"/>
    <w:rsid w:val="00562CAB"/>
    <w:rsid w:val="00562F08"/>
    <w:rsid w:val="00563E1D"/>
    <w:rsid w:val="0056486F"/>
    <w:rsid w:val="0056688D"/>
    <w:rsid w:val="00566E02"/>
    <w:rsid w:val="00567CF2"/>
    <w:rsid w:val="005700E4"/>
    <w:rsid w:val="005700EB"/>
    <w:rsid w:val="0057055D"/>
    <w:rsid w:val="00570A88"/>
    <w:rsid w:val="00570AD3"/>
    <w:rsid w:val="00570C56"/>
    <w:rsid w:val="00570E4B"/>
    <w:rsid w:val="00571094"/>
    <w:rsid w:val="0057122E"/>
    <w:rsid w:val="00572203"/>
    <w:rsid w:val="005722B3"/>
    <w:rsid w:val="00572AE8"/>
    <w:rsid w:val="005742E2"/>
    <w:rsid w:val="00574489"/>
    <w:rsid w:val="00574E79"/>
    <w:rsid w:val="005755AA"/>
    <w:rsid w:val="00575621"/>
    <w:rsid w:val="00576B4B"/>
    <w:rsid w:val="00576B53"/>
    <w:rsid w:val="00580F25"/>
    <w:rsid w:val="00580F60"/>
    <w:rsid w:val="005810BA"/>
    <w:rsid w:val="00583115"/>
    <w:rsid w:val="005831AC"/>
    <w:rsid w:val="005836A0"/>
    <w:rsid w:val="005839E2"/>
    <w:rsid w:val="00584320"/>
    <w:rsid w:val="00584B17"/>
    <w:rsid w:val="00584E51"/>
    <w:rsid w:val="0058512E"/>
    <w:rsid w:val="005854FD"/>
    <w:rsid w:val="0058555D"/>
    <w:rsid w:val="00585D34"/>
    <w:rsid w:val="0058659F"/>
    <w:rsid w:val="00586865"/>
    <w:rsid w:val="0058720B"/>
    <w:rsid w:val="005878DD"/>
    <w:rsid w:val="005912F3"/>
    <w:rsid w:val="005917F2"/>
    <w:rsid w:val="0059268E"/>
    <w:rsid w:val="00592C7E"/>
    <w:rsid w:val="00592F4E"/>
    <w:rsid w:val="005931C4"/>
    <w:rsid w:val="00593452"/>
    <w:rsid w:val="00593F3D"/>
    <w:rsid w:val="00593FC3"/>
    <w:rsid w:val="005944D8"/>
    <w:rsid w:val="00594CCB"/>
    <w:rsid w:val="00595B43"/>
    <w:rsid w:val="00595DF8"/>
    <w:rsid w:val="005966B4"/>
    <w:rsid w:val="00596D33"/>
    <w:rsid w:val="00597EBB"/>
    <w:rsid w:val="005A03EC"/>
    <w:rsid w:val="005A0790"/>
    <w:rsid w:val="005A0BCC"/>
    <w:rsid w:val="005A1885"/>
    <w:rsid w:val="005A1C93"/>
    <w:rsid w:val="005A207C"/>
    <w:rsid w:val="005A2537"/>
    <w:rsid w:val="005A2725"/>
    <w:rsid w:val="005A2B89"/>
    <w:rsid w:val="005A31D9"/>
    <w:rsid w:val="005A3442"/>
    <w:rsid w:val="005A374C"/>
    <w:rsid w:val="005A3894"/>
    <w:rsid w:val="005A3B00"/>
    <w:rsid w:val="005A4335"/>
    <w:rsid w:val="005A553E"/>
    <w:rsid w:val="005A5930"/>
    <w:rsid w:val="005A690F"/>
    <w:rsid w:val="005A6915"/>
    <w:rsid w:val="005A70CD"/>
    <w:rsid w:val="005A7178"/>
    <w:rsid w:val="005A7320"/>
    <w:rsid w:val="005A7688"/>
    <w:rsid w:val="005A7814"/>
    <w:rsid w:val="005A7AF7"/>
    <w:rsid w:val="005A7BC7"/>
    <w:rsid w:val="005A7DB7"/>
    <w:rsid w:val="005B00EE"/>
    <w:rsid w:val="005B03C2"/>
    <w:rsid w:val="005B06C5"/>
    <w:rsid w:val="005B145C"/>
    <w:rsid w:val="005B1CD1"/>
    <w:rsid w:val="005B20E3"/>
    <w:rsid w:val="005B27C8"/>
    <w:rsid w:val="005B28CE"/>
    <w:rsid w:val="005B2EA1"/>
    <w:rsid w:val="005B2FDD"/>
    <w:rsid w:val="005B3FC5"/>
    <w:rsid w:val="005B46BB"/>
    <w:rsid w:val="005B4B9E"/>
    <w:rsid w:val="005B72C2"/>
    <w:rsid w:val="005C00AD"/>
    <w:rsid w:val="005C0B83"/>
    <w:rsid w:val="005C0FDA"/>
    <w:rsid w:val="005C23FE"/>
    <w:rsid w:val="005C2FCB"/>
    <w:rsid w:val="005C31CD"/>
    <w:rsid w:val="005C361A"/>
    <w:rsid w:val="005C39DB"/>
    <w:rsid w:val="005C39E0"/>
    <w:rsid w:val="005C49C0"/>
    <w:rsid w:val="005C4A03"/>
    <w:rsid w:val="005C4DAB"/>
    <w:rsid w:val="005C4DE6"/>
    <w:rsid w:val="005C557E"/>
    <w:rsid w:val="005C56CD"/>
    <w:rsid w:val="005C64E0"/>
    <w:rsid w:val="005C785E"/>
    <w:rsid w:val="005C78F0"/>
    <w:rsid w:val="005D0519"/>
    <w:rsid w:val="005D0B70"/>
    <w:rsid w:val="005D0ED9"/>
    <w:rsid w:val="005D1083"/>
    <w:rsid w:val="005D139A"/>
    <w:rsid w:val="005D1C99"/>
    <w:rsid w:val="005D2234"/>
    <w:rsid w:val="005D3504"/>
    <w:rsid w:val="005D37EE"/>
    <w:rsid w:val="005D38FD"/>
    <w:rsid w:val="005D4EE7"/>
    <w:rsid w:val="005D5BC0"/>
    <w:rsid w:val="005D6D2D"/>
    <w:rsid w:val="005D6E55"/>
    <w:rsid w:val="005D7AD0"/>
    <w:rsid w:val="005E0A4B"/>
    <w:rsid w:val="005E108A"/>
    <w:rsid w:val="005E1212"/>
    <w:rsid w:val="005E12CC"/>
    <w:rsid w:val="005E1AEF"/>
    <w:rsid w:val="005E203A"/>
    <w:rsid w:val="005E3D6A"/>
    <w:rsid w:val="005E3FC4"/>
    <w:rsid w:val="005E4241"/>
    <w:rsid w:val="005E495F"/>
    <w:rsid w:val="005E4E0A"/>
    <w:rsid w:val="005F0583"/>
    <w:rsid w:val="005F0FE8"/>
    <w:rsid w:val="005F10C7"/>
    <w:rsid w:val="005F1825"/>
    <w:rsid w:val="005F1C8D"/>
    <w:rsid w:val="005F2242"/>
    <w:rsid w:val="005F2323"/>
    <w:rsid w:val="005F24F7"/>
    <w:rsid w:val="005F2874"/>
    <w:rsid w:val="005F44B8"/>
    <w:rsid w:val="005F4E66"/>
    <w:rsid w:val="005F593A"/>
    <w:rsid w:val="005F5BE0"/>
    <w:rsid w:val="005F6204"/>
    <w:rsid w:val="005F6EA2"/>
    <w:rsid w:val="005F71A0"/>
    <w:rsid w:val="005F74E5"/>
    <w:rsid w:val="00600970"/>
    <w:rsid w:val="00600C18"/>
    <w:rsid w:val="00600DB1"/>
    <w:rsid w:val="006030E3"/>
    <w:rsid w:val="00604C5D"/>
    <w:rsid w:val="0060516A"/>
    <w:rsid w:val="00605521"/>
    <w:rsid w:val="006055B7"/>
    <w:rsid w:val="006055D1"/>
    <w:rsid w:val="00605AF7"/>
    <w:rsid w:val="00606494"/>
    <w:rsid w:val="006066E6"/>
    <w:rsid w:val="006067FB"/>
    <w:rsid w:val="006069DB"/>
    <w:rsid w:val="00607060"/>
    <w:rsid w:val="006074F5"/>
    <w:rsid w:val="0060791E"/>
    <w:rsid w:val="00607DB2"/>
    <w:rsid w:val="00607EE6"/>
    <w:rsid w:val="00607F08"/>
    <w:rsid w:val="00610305"/>
    <w:rsid w:val="00610BEB"/>
    <w:rsid w:val="006117A1"/>
    <w:rsid w:val="00611854"/>
    <w:rsid w:val="006121B6"/>
    <w:rsid w:val="006127F1"/>
    <w:rsid w:val="006137F7"/>
    <w:rsid w:val="00613BA4"/>
    <w:rsid w:val="00615056"/>
    <w:rsid w:val="006150D5"/>
    <w:rsid w:val="00615F98"/>
    <w:rsid w:val="00617B33"/>
    <w:rsid w:val="00617DD6"/>
    <w:rsid w:val="0062029E"/>
    <w:rsid w:val="00620FB4"/>
    <w:rsid w:val="0062100B"/>
    <w:rsid w:val="0062118C"/>
    <w:rsid w:val="00621E29"/>
    <w:rsid w:val="00622578"/>
    <w:rsid w:val="006230EF"/>
    <w:rsid w:val="00623130"/>
    <w:rsid w:val="00623D7C"/>
    <w:rsid w:val="00625C53"/>
    <w:rsid w:val="00625F58"/>
    <w:rsid w:val="0062659A"/>
    <w:rsid w:val="006267F3"/>
    <w:rsid w:val="00626C5F"/>
    <w:rsid w:val="00627250"/>
    <w:rsid w:val="00627F10"/>
    <w:rsid w:val="00631A4A"/>
    <w:rsid w:val="00632CB2"/>
    <w:rsid w:val="00632F63"/>
    <w:rsid w:val="00633A8C"/>
    <w:rsid w:val="00633E58"/>
    <w:rsid w:val="0063430F"/>
    <w:rsid w:val="00636040"/>
    <w:rsid w:val="00636075"/>
    <w:rsid w:val="006367B0"/>
    <w:rsid w:val="00636F2F"/>
    <w:rsid w:val="00637F84"/>
    <w:rsid w:val="0064072A"/>
    <w:rsid w:val="0064078A"/>
    <w:rsid w:val="00640DF7"/>
    <w:rsid w:val="0064258D"/>
    <w:rsid w:val="00642B3F"/>
    <w:rsid w:val="0064312C"/>
    <w:rsid w:val="006437D1"/>
    <w:rsid w:val="00644084"/>
    <w:rsid w:val="0064465A"/>
    <w:rsid w:val="00644753"/>
    <w:rsid w:val="006502A9"/>
    <w:rsid w:val="00650C57"/>
    <w:rsid w:val="0065155B"/>
    <w:rsid w:val="00651924"/>
    <w:rsid w:val="0065250A"/>
    <w:rsid w:val="006527EE"/>
    <w:rsid w:val="00652A1A"/>
    <w:rsid w:val="00653061"/>
    <w:rsid w:val="006533E4"/>
    <w:rsid w:val="0065362B"/>
    <w:rsid w:val="00653B08"/>
    <w:rsid w:val="0065455E"/>
    <w:rsid w:val="00655B25"/>
    <w:rsid w:val="006573AD"/>
    <w:rsid w:val="006579AB"/>
    <w:rsid w:val="00657ACC"/>
    <w:rsid w:val="0066042E"/>
    <w:rsid w:val="006622ED"/>
    <w:rsid w:val="00662B33"/>
    <w:rsid w:val="00663848"/>
    <w:rsid w:val="00663A45"/>
    <w:rsid w:val="00663E20"/>
    <w:rsid w:val="00663E24"/>
    <w:rsid w:val="00663E52"/>
    <w:rsid w:val="00664088"/>
    <w:rsid w:val="00664412"/>
    <w:rsid w:val="00667F95"/>
    <w:rsid w:val="00670099"/>
    <w:rsid w:val="006701D0"/>
    <w:rsid w:val="00670395"/>
    <w:rsid w:val="006722F3"/>
    <w:rsid w:val="0067437C"/>
    <w:rsid w:val="006746FC"/>
    <w:rsid w:val="00674FC1"/>
    <w:rsid w:val="00675004"/>
    <w:rsid w:val="00675B56"/>
    <w:rsid w:val="00676E43"/>
    <w:rsid w:val="006779B9"/>
    <w:rsid w:val="00681209"/>
    <w:rsid w:val="006819A5"/>
    <w:rsid w:val="00682DD9"/>
    <w:rsid w:val="00683118"/>
    <w:rsid w:val="006840C4"/>
    <w:rsid w:val="006847DD"/>
    <w:rsid w:val="00684BC9"/>
    <w:rsid w:val="0068542E"/>
    <w:rsid w:val="00686624"/>
    <w:rsid w:val="00687B5C"/>
    <w:rsid w:val="00691C4E"/>
    <w:rsid w:val="0069304D"/>
    <w:rsid w:val="006937A9"/>
    <w:rsid w:val="00694362"/>
    <w:rsid w:val="00694975"/>
    <w:rsid w:val="00694CCA"/>
    <w:rsid w:val="00695AB9"/>
    <w:rsid w:val="00695E68"/>
    <w:rsid w:val="006961C9"/>
    <w:rsid w:val="0069623B"/>
    <w:rsid w:val="00696C93"/>
    <w:rsid w:val="00696E69"/>
    <w:rsid w:val="00696F97"/>
    <w:rsid w:val="00697CA3"/>
    <w:rsid w:val="006A0138"/>
    <w:rsid w:val="006A013F"/>
    <w:rsid w:val="006A03F8"/>
    <w:rsid w:val="006A0425"/>
    <w:rsid w:val="006A04BB"/>
    <w:rsid w:val="006A204E"/>
    <w:rsid w:val="006A3CE8"/>
    <w:rsid w:val="006A3E7D"/>
    <w:rsid w:val="006A423B"/>
    <w:rsid w:val="006A51C0"/>
    <w:rsid w:val="006A51DA"/>
    <w:rsid w:val="006A607E"/>
    <w:rsid w:val="006A7A6F"/>
    <w:rsid w:val="006B018B"/>
    <w:rsid w:val="006B0FC3"/>
    <w:rsid w:val="006B13DA"/>
    <w:rsid w:val="006B181A"/>
    <w:rsid w:val="006B1DED"/>
    <w:rsid w:val="006B20DD"/>
    <w:rsid w:val="006B2A22"/>
    <w:rsid w:val="006B32C8"/>
    <w:rsid w:val="006B3F32"/>
    <w:rsid w:val="006B433C"/>
    <w:rsid w:val="006B4590"/>
    <w:rsid w:val="006B45FA"/>
    <w:rsid w:val="006B507A"/>
    <w:rsid w:val="006B532A"/>
    <w:rsid w:val="006B742D"/>
    <w:rsid w:val="006B7E89"/>
    <w:rsid w:val="006C056A"/>
    <w:rsid w:val="006C0C2F"/>
    <w:rsid w:val="006C1138"/>
    <w:rsid w:val="006C12C9"/>
    <w:rsid w:val="006C1CE1"/>
    <w:rsid w:val="006C1EF4"/>
    <w:rsid w:val="006C28EB"/>
    <w:rsid w:val="006C4490"/>
    <w:rsid w:val="006C4541"/>
    <w:rsid w:val="006C45AB"/>
    <w:rsid w:val="006C572F"/>
    <w:rsid w:val="006C5E86"/>
    <w:rsid w:val="006C6016"/>
    <w:rsid w:val="006C6B2D"/>
    <w:rsid w:val="006C76B1"/>
    <w:rsid w:val="006C7ED9"/>
    <w:rsid w:val="006D0932"/>
    <w:rsid w:val="006D09E3"/>
    <w:rsid w:val="006D2107"/>
    <w:rsid w:val="006D21C8"/>
    <w:rsid w:val="006D243A"/>
    <w:rsid w:val="006D2621"/>
    <w:rsid w:val="006D2E69"/>
    <w:rsid w:val="006D39DF"/>
    <w:rsid w:val="006D46DD"/>
    <w:rsid w:val="006D4830"/>
    <w:rsid w:val="006D4C38"/>
    <w:rsid w:val="006D51B1"/>
    <w:rsid w:val="006D603B"/>
    <w:rsid w:val="006D61BD"/>
    <w:rsid w:val="006D630F"/>
    <w:rsid w:val="006D6543"/>
    <w:rsid w:val="006D686E"/>
    <w:rsid w:val="006D6D79"/>
    <w:rsid w:val="006D766C"/>
    <w:rsid w:val="006D7FFD"/>
    <w:rsid w:val="006E075F"/>
    <w:rsid w:val="006E07CE"/>
    <w:rsid w:val="006E28B2"/>
    <w:rsid w:val="006E3293"/>
    <w:rsid w:val="006E32FF"/>
    <w:rsid w:val="006E4801"/>
    <w:rsid w:val="006E4F98"/>
    <w:rsid w:val="006E534E"/>
    <w:rsid w:val="006E5797"/>
    <w:rsid w:val="006E5FD1"/>
    <w:rsid w:val="006F049A"/>
    <w:rsid w:val="006F0B47"/>
    <w:rsid w:val="006F0EF9"/>
    <w:rsid w:val="006F2EB0"/>
    <w:rsid w:val="006F34B5"/>
    <w:rsid w:val="006F365B"/>
    <w:rsid w:val="006F42A2"/>
    <w:rsid w:val="006F4570"/>
    <w:rsid w:val="006F48F0"/>
    <w:rsid w:val="006F4C76"/>
    <w:rsid w:val="006F4D99"/>
    <w:rsid w:val="006F54CA"/>
    <w:rsid w:val="006F550A"/>
    <w:rsid w:val="006F59CE"/>
    <w:rsid w:val="006F5B68"/>
    <w:rsid w:val="006F5FEC"/>
    <w:rsid w:val="006F65B7"/>
    <w:rsid w:val="006F679A"/>
    <w:rsid w:val="006F6DCA"/>
    <w:rsid w:val="006F7EF0"/>
    <w:rsid w:val="00700F08"/>
    <w:rsid w:val="00700FAA"/>
    <w:rsid w:val="00701130"/>
    <w:rsid w:val="00701AC8"/>
    <w:rsid w:val="007023C4"/>
    <w:rsid w:val="00702E27"/>
    <w:rsid w:val="00703A0C"/>
    <w:rsid w:val="00704792"/>
    <w:rsid w:val="00704E13"/>
    <w:rsid w:val="007053FC"/>
    <w:rsid w:val="00706053"/>
    <w:rsid w:val="0070678A"/>
    <w:rsid w:val="00706A2F"/>
    <w:rsid w:val="007101B0"/>
    <w:rsid w:val="00711666"/>
    <w:rsid w:val="00711A23"/>
    <w:rsid w:val="00711DEC"/>
    <w:rsid w:val="0071250D"/>
    <w:rsid w:val="0071288B"/>
    <w:rsid w:val="00712CE6"/>
    <w:rsid w:val="00713B2F"/>
    <w:rsid w:val="00713D23"/>
    <w:rsid w:val="00713F1B"/>
    <w:rsid w:val="00715850"/>
    <w:rsid w:val="00715B30"/>
    <w:rsid w:val="00715EC4"/>
    <w:rsid w:val="0071650C"/>
    <w:rsid w:val="007204A4"/>
    <w:rsid w:val="00720BB1"/>
    <w:rsid w:val="00721FE0"/>
    <w:rsid w:val="00722299"/>
    <w:rsid w:val="007241D6"/>
    <w:rsid w:val="0072433D"/>
    <w:rsid w:val="00724DAC"/>
    <w:rsid w:val="0072547D"/>
    <w:rsid w:val="007257B2"/>
    <w:rsid w:val="007258D6"/>
    <w:rsid w:val="00727395"/>
    <w:rsid w:val="0072754A"/>
    <w:rsid w:val="00727717"/>
    <w:rsid w:val="007308B4"/>
    <w:rsid w:val="00730EBC"/>
    <w:rsid w:val="00732F75"/>
    <w:rsid w:val="007337FE"/>
    <w:rsid w:val="007346F4"/>
    <w:rsid w:val="007350FE"/>
    <w:rsid w:val="00735958"/>
    <w:rsid w:val="00735FD9"/>
    <w:rsid w:val="00736039"/>
    <w:rsid w:val="0073614A"/>
    <w:rsid w:val="00736321"/>
    <w:rsid w:val="0073664C"/>
    <w:rsid w:val="00736975"/>
    <w:rsid w:val="007374DC"/>
    <w:rsid w:val="00740823"/>
    <w:rsid w:val="00740E5D"/>
    <w:rsid w:val="007412A8"/>
    <w:rsid w:val="00741613"/>
    <w:rsid w:val="00743186"/>
    <w:rsid w:val="00743284"/>
    <w:rsid w:val="007439C5"/>
    <w:rsid w:val="00743E85"/>
    <w:rsid w:val="007449C3"/>
    <w:rsid w:val="0074566D"/>
    <w:rsid w:val="00745B2F"/>
    <w:rsid w:val="007460EF"/>
    <w:rsid w:val="00746325"/>
    <w:rsid w:val="007474DC"/>
    <w:rsid w:val="00747633"/>
    <w:rsid w:val="007478BB"/>
    <w:rsid w:val="00750C04"/>
    <w:rsid w:val="007510CC"/>
    <w:rsid w:val="00751F92"/>
    <w:rsid w:val="00752022"/>
    <w:rsid w:val="00752485"/>
    <w:rsid w:val="00752DBF"/>
    <w:rsid w:val="00752F45"/>
    <w:rsid w:val="007532EA"/>
    <w:rsid w:val="00754959"/>
    <w:rsid w:val="00755472"/>
    <w:rsid w:val="00755735"/>
    <w:rsid w:val="00755B90"/>
    <w:rsid w:val="00756E31"/>
    <w:rsid w:val="007571D0"/>
    <w:rsid w:val="007604E5"/>
    <w:rsid w:val="007611B6"/>
    <w:rsid w:val="00761FA1"/>
    <w:rsid w:val="00762802"/>
    <w:rsid w:val="007629FC"/>
    <w:rsid w:val="00762CEA"/>
    <w:rsid w:val="00762E85"/>
    <w:rsid w:val="007643A1"/>
    <w:rsid w:val="007666CA"/>
    <w:rsid w:val="007668A2"/>
    <w:rsid w:val="0077086A"/>
    <w:rsid w:val="00771EE3"/>
    <w:rsid w:val="007721F2"/>
    <w:rsid w:val="007723EF"/>
    <w:rsid w:val="00772472"/>
    <w:rsid w:val="007726AC"/>
    <w:rsid w:val="00773701"/>
    <w:rsid w:val="00774A8E"/>
    <w:rsid w:val="007758E9"/>
    <w:rsid w:val="007759A3"/>
    <w:rsid w:val="00775D92"/>
    <w:rsid w:val="007802A0"/>
    <w:rsid w:val="00780366"/>
    <w:rsid w:val="00780411"/>
    <w:rsid w:val="007806B1"/>
    <w:rsid w:val="0078074B"/>
    <w:rsid w:val="00780B2D"/>
    <w:rsid w:val="007813EB"/>
    <w:rsid w:val="007826BC"/>
    <w:rsid w:val="007827D6"/>
    <w:rsid w:val="00782BC4"/>
    <w:rsid w:val="007832A3"/>
    <w:rsid w:val="007832AE"/>
    <w:rsid w:val="00783C8B"/>
    <w:rsid w:val="007845C3"/>
    <w:rsid w:val="0078707D"/>
    <w:rsid w:val="0078723F"/>
    <w:rsid w:val="00787848"/>
    <w:rsid w:val="00790252"/>
    <w:rsid w:val="00790628"/>
    <w:rsid w:val="00790677"/>
    <w:rsid w:val="0079123A"/>
    <w:rsid w:val="00791AC1"/>
    <w:rsid w:val="00792310"/>
    <w:rsid w:val="007924D8"/>
    <w:rsid w:val="00792D61"/>
    <w:rsid w:val="00794337"/>
    <w:rsid w:val="00794C9B"/>
    <w:rsid w:val="00794D61"/>
    <w:rsid w:val="00794EAF"/>
    <w:rsid w:val="007956FA"/>
    <w:rsid w:val="00796042"/>
    <w:rsid w:val="00796172"/>
    <w:rsid w:val="0079635D"/>
    <w:rsid w:val="00796733"/>
    <w:rsid w:val="007972EF"/>
    <w:rsid w:val="00797483"/>
    <w:rsid w:val="0079777D"/>
    <w:rsid w:val="00797B1F"/>
    <w:rsid w:val="007A074A"/>
    <w:rsid w:val="007A15FE"/>
    <w:rsid w:val="007A19EC"/>
    <w:rsid w:val="007A1B23"/>
    <w:rsid w:val="007A1FED"/>
    <w:rsid w:val="007A2330"/>
    <w:rsid w:val="007A274F"/>
    <w:rsid w:val="007A2853"/>
    <w:rsid w:val="007A2930"/>
    <w:rsid w:val="007A334E"/>
    <w:rsid w:val="007A3B68"/>
    <w:rsid w:val="007A3D45"/>
    <w:rsid w:val="007A5CDB"/>
    <w:rsid w:val="007B0385"/>
    <w:rsid w:val="007B0CFC"/>
    <w:rsid w:val="007B2474"/>
    <w:rsid w:val="007B4836"/>
    <w:rsid w:val="007B49B2"/>
    <w:rsid w:val="007B539E"/>
    <w:rsid w:val="007B5847"/>
    <w:rsid w:val="007B74AD"/>
    <w:rsid w:val="007B792A"/>
    <w:rsid w:val="007B7B64"/>
    <w:rsid w:val="007C014F"/>
    <w:rsid w:val="007C02BB"/>
    <w:rsid w:val="007C1564"/>
    <w:rsid w:val="007C232A"/>
    <w:rsid w:val="007C2C95"/>
    <w:rsid w:val="007C3D6F"/>
    <w:rsid w:val="007C50D5"/>
    <w:rsid w:val="007C538D"/>
    <w:rsid w:val="007C5BD9"/>
    <w:rsid w:val="007C631D"/>
    <w:rsid w:val="007C670A"/>
    <w:rsid w:val="007C68EA"/>
    <w:rsid w:val="007C6A96"/>
    <w:rsid w:val="007C7A5E"/>
    <w:rsid w:val="007D03E5"/>
    <w:rsid w:val="007D056D"/>
    <w:rsid w:val="007D13A3"/>
    <w:rsid w:val="007D1C13"/>
    <w:rsid w:val="007D1FB1"/>
    <w:rsid w:val="007D1FB9"/>
    <w:rsid w:val="007D4DBE"/>
    <w:rsid w:val="007D646D"/>
    <w:rsid w:val="007D6533"/>
    <w:rsid w:val="007D68E5"/>
    <w:rsid w:val="007D6F65"/>
    <w:rsid w:val="007D722B"/>
    <w:rsid w:val="007D7812"/>
    <w:rsid w:val="007D78F4"/>
    <w:rsid w:val="007D7B86"/>
    <w:rsid w:val="007D7BAE"/>
    <w:rsid w:val="007E0AB8"/>
    <w:rsid w:val="007E179D"/>
    <w:rsid w:val="007E1952"/>
    <w:rsid w:val="007E20BF"/>
    <w:rsid w:val="007E312B"/>
    <w:rsid w:val="007E464F"/>
    <w:rsid w:val="007E4E58"/>
    <w:rsid w:val="007E5C33"/>
    <w:rsid w:val="007E7338"/>
    <w:rsid w:val="007E74B0"/>
    <w:rsid w:val="007E757C"/>
    <w:rsid w:val="007E7CFD"/>
    <w:rsid w:val="007F0801"/>
    <w:rsid w:val="007F097A"/>
    <w:rsid w:val="007F103D"/>
    <w:rsid w:val="007F120B"/>
    <w:rsid w:val="007F14AD"/>
    <w:rsid w:val="007F18D2"/>
    <w:rsid w:val="007F1BF0"/>
    <w:rsid w:val="007F1E23"/>
    <w:rsid w:val="007F1EE8"/>
    <w:rsid w:val="007F2527"/>
    <w:rsid w:val="007F27DB"/>
    <w:rsid w:val="007F2E6C"/>
    <w:rsid w:val="007F2F67"/>
    <w:rsid w:val="007F33C3"/>
    <w:rsid w:val="007F4398"/>
    <w:rsid w:val="007F485F"/>
    <w:rsid w:val="007F4944"/>
    <w:rsid w:val="007F4C82"/>
    <w:rsid w:val="007F4CA3"/>
    <w:rsid w:val="007F5F56"/>
    <w:rsid w:val="007F632D"/>
    <w:rsid w:val="007F659A"/>
    <w:rsid w:val="007F6D0D"/>
    <w:rsid w:val="007F777C"/>
    <w:rsid w:val="007F7B7B"/>
    <w:rsid w:val="007F7F07"/>
    <w:rsid w:val="00800997"/>
    <w:rsid w:val="00800B8D"/>
    <w:rsid w:val="00800F4A"/>
    <w:rsid w:val="0080181F"/>
    <w:rsid w:val="008018B9"/>
    <w:rsid w:val="00802742"/>
    <w:rsid w:val="008037C0"/>
    <w:rsid w:val="00803CD7"/>
    <w:rsid w:val="00805B04"/>
    <w:rsid w:val="00807CE4"/>
    <w:rsid w:val="0081079D"/>
    <w:rsid w:val="008107ED"/>
    <w:rsid w:val="008108E6"/>
    <w:rsid w:val="00810D0B"/>
    <w:rsid w:val="00811E07"/>
    <w:rsid w:val="008123AD"/>
    <w:rsid w:val="0081290E"/>
    <w:rsid w:val="00813B73"/>
    <w:rsid w:val="00814593"/>
    <w:rsid w:val="008154C7"/>
    <w:rsid w:val="00815DFD"/>
    <w:rsid w:val="00816A34"/>
    <w:rsid w:val="008176A5"/>
    <w:rsid w:val="008179DA"/>
    <w:rsid w:val="0082062B"/>
    <w:rsid w:val="00820E64"/>
    <w:rsid w:val="00821438"/>
    <w:rsid w:val="00821473"/>
    <w:rsid w:val="00821D7B"/>
    <w:rsid w:val="00823A4A"/>
    <w:rsid w:val="00823BBF"/>
    <w:rsid w:val="00823ED4"/>
    <w:rsid w:val="00824250"/>
    <w:rsid w:val="00824F7D"/>
    <w:rsid w:val="00825DB6"/>
    <w:rsid w:val="0082654E"/>
    <w:rsid w:val="008266A4"/>
    <w:rsid w:val="00827150"/>
    <w:rsid w:val="0083018E"/>
    <w:rsid w:val="008302E6"/>
    <w:rsid w:val="008305ED"/>
    <w:rsid w:val="00830ECC"/>
    <w:rsid w:val="008327AF"/>
    <w:rsid w:val="00832EFA"/>
    <w:rsid w:val="00833214"/>
    <w:rsid w:val="008332A1"/>
    <w:rsid w:val="008343AB"/>
    <w:rsid w:val="00834422"/>
    <w:rsid w:val="0083481E"/>
    <w:rsid w:val="00835077"/>
    <w:rsid w:val="00835EBD"/>
    <w:rsid w:val="008361BD"/>
    <w:rsid w:val="00836AB3"/>
    <w:rsid w:val="00836CBE"/>
    <w:rsid w:val="008377AB"/>
    <w:rsid w:val="00837C13"/>
    <w:rsid w:val="00837D77"/>
    <w:rsid w:val="00837F6A"/>
    <w:rsid w:val="00842C66"/>
    <w:rsid w:val="00844753"/>
    <w:rsid w:val="00844FDF"/>
    <w:rsid w:val="0084527E"/>
    <w:rsid w:val="0084664C"/>
    <w:rsid w:val="008469A7"/>
    <w:rsid w:val="00846B9A"/>
    <w:rsid w:val="00846F17"/>
    <w:rsid w:val="00847017"/>
    <w:rsid w:val="008472C9"/>
    <w:rsid w:val="0084752F"/>
    <w:rsid w:val="008477DE"/>
    <w:rsid w:val="00847A47"/>
    <w:rsid w:val="00847B6F"/>
    <w:rsid w:val="00847CE2"/>
    <w:rsid w:val="0085040A"/>
    <w:rsid w:val="00850574"/>
    <w:rsid w:val="00850902"/>
    <w:rsid w:val="0085151E"/>
    <w:rsid w:val="00851E37"/>
    <w:rsid w:val="00852456"/>
    <w:rsid w:val="008529BD"/>
    <w:rsid w:val="008529C5"/>
    <w:rsid w:val="00852E45"/>
    <w:rsid w:val="00854171"/>
    <w:rsid w:val="00854398"/>
    <w:rsid w:val="008543E4"/>
    <w:rsid w:val="00854646"/>
    <w:rsid w:val="00855CE4"/>
    <w:rsid w:val="00856BDD"/>
    <w:rsid w:val="00856C9C"/>
    <w:rsid w:val="008579C6"/>
    <w:rsid w:val="008602B4"/>
    <w:rsid w:val="008605B6"/>
    <w:rsid w:val="00861B8C"/>
    <w:rsid w:val="00862EC8"/>
    <w:rsid w:val="00863772"/>
    <w:rsid w:val="00863D05"/>
    <w:rsid w:val="008644ED"/>
    <w:rsid w:val="00865399"/>
    <w:rsid w:val="00865706"/>
    <w:rsid w:val="00865AA6"/>
    <w:rsid w:val="00865BBE"/>
    <w:rsid w:val="00866157"/>
    <w:rsid w:val="00866B35"/>
    <w:rsid w:val="00867334"/>
    <w:rsid w:val="00867609"/>
    <w:rsid w:val="008701D9"/>
    <w:rsid w:val="00870318"/>
    <w:rsid w:val="00870C8A"/>
    <w:rsid w:val="00871BE4"/>
    <w:rsid w:val="0087222B"/>
    <w:rsid w:val="00873160"/>
    <w:rsid w:val="00875838"/>
    <w:rsid w:val="00876252"/>
    <w:rsid w:val="00876357"/>
    <w:rsid w:val="00877F0B"/>
    <w:rsid w:val="008804C4"/>
    <w:rsid w:val="008808F0"/>
    <w:rsid w:val="00880F11"/>
    <w:rsid w:val="008811CF"/>
    <w:rsid w:val="0088183E"/>
    <w:rsid w:val="00881B2D"/>
    <w:rsid w:val="0088231B"/>
    <w:rsid w:val="00883B32"/>
    <w:rsid w:val="00884574"/>
    <w:rsid w:val="0088484E"/>
    <w:rsid w:val="00885514"/>
    <w:rsid w:val="00885D63"/>
    <w:rsid w:val="0088683E"/>
    <w:rsid w:val="008868F1"/>
    <w:rsid w:val="0088690E"/>
    <w:rsid w:val="00887337"/>
    <w:rsid w:val="00887A2A"/>
    <w:rsid w:val="00887CDE"/>
    <w:rsid w:val="00891379"/>
    <w:rsid w:val="008916D6"/>
    <w:rsid w:val="00893483"/>
    <w:rsid w:val="00893749"/>
    <w:rsid w:val="00893A2D"/>
    <w:rsid w:val="00893F7F"/>
    <w:rsid w:val="00894572"/>
    <w:rsid w:val="00894D25"/>
    <w:rsid w:val="00894F3D"/>
    <w:rsid w:val="0089540A"/>
    <w:rsid w:val="00896124"/>
    <w:rsid w:val="00896CC2"/>
    <w:rsid w:val="0089796E"/>
    <w:rsid w:val="008A02D5"/>
    <w:rsid w:val="008A0977"/>
    <w:rsid w:val="008A09D6"/>
    <w:rsid w:val="008A19CB"/>
    <w:rsid w:val="008A2816"/>
    <w:rsid w:val="008A2923"/>
    <w:rsid w:val="008A2C0F"/>
    <w:rsid w:val="008A3A6E"/>
    <w:rsid w:val="008A44AE"/>
    <w:rsid w:val="008A55A1"/>
    <w:rsid w:val="008A5AC7"/>
    <w:rsid w:val="008A5FE2"/>
    <w:rsid w:val="008A60D9"/>
    <w:rsid w:val="008A616A"/>
    <w:rsid w:val="008A62A1"/>
    <w:rsid w:val="008A6D03"/>
    <w:rsid w:val="008B002C"/>
    <w:rsid w:val="008B0742"/>
    <w:rsid w:val="008B0B7B"/>
    <w:rsid w:val="008B12D5"/>
    <w:rsid w:val="008B133B"/>
    <w:rsid w:val="008B2BB1"/>
    <w:rsid w:val="008B2DAA"/>
    <w:rsid w:val="008B302F"/>
    <w:rsid w:val="008B35D5"/>
    <w:rsid w:val="008B37F3"/>
    <w:rsid w:val="008B3AB6"/>
    <w:rsid w:val="008B407D"/>
    <w:rsid w:val="008B47C2"/>
    <w:rsid w:val="008B4B15"/>
    <w:rsid w:val="008B4D37"/>
    <w:rsid w:val="008B5024"/>
    <w:rsid w:val="008B52D6"/>
    <w:rsid w:val="008B5509"/>
    <w:rsid w:val="008B7324"/>
    <w:rsid w:val="008B759F"/>
    <w:rsid w:val="008B7AF1"/>
    <w:rsid w:val="008C057A"/>
    <w:rsid w:val="008C0D65"/>
    <w:rsid w:val="008C2AFF"/>
    <w:rsid w:val="008C2BF9"/>
    <w:rsid w:val="008C32D6"/>
    <w:rsid w:val="008C39AB"/>
    <w:rsid w:val="008C3B91"/>
    <w:rsid w:val="008C4A22"/>
    <w:rsid w:val="008C4A93"/>
    <w:rsid w:val="008C4D23"/>
    <w:rsid w:val="008C4F4A"/>
    <w:rsid w:val="008C51ED"/>
    <w:rsid w:val="008C535F"/>
    <w:rsid w:val="008C62CF"/>
    <w:rsid w:val="008C6AB6"/>
    <w:rsid w:val="008C6DC4"/>
    <w:rsid w:val="008C73F3"/>
    <w:rsid w:val="008C7479"/>
    <w:rsid w:val="008C781B"/>
    <w:rsid w:val="008C7872"/>
    <w:rsid w:val="008C7F10"/>
    <w:rsid w:val="008D02FE"/>
    <w:rsid w:val="008D0690"/>
    <w:rsid w:val="008D0916"/>
    <w:rsid w:val="008D0C4B"/>
    <w:rsid w:val="008D13DB"/>
    <w:rsid w:val="008D25E0"/>
    <w:rsid w:val="008D299F"/>
    <w:rsid w:val="008D3546"/>
    <w:rsid w:val="008D3A9D"/>
    <w:rsid w:val="008D3B09"/>
    <w:rsid w:val="008D4121"/>
    <w:rsid w:val="008D416C"/>
    <w:rsid w:val="008D4D10"/>
    <w:rsid w:val="008D5653"/>
    <w:rsid w:val="008D6066"/>
    <w:rsid w:val="008D668E"/>
    <w:rsid w:val="008D6E0E"/>
    <w:rsid w:val="008D773F"/>
    <w:rsid w:val="008E00D2"/>
    <w:rsid w:val="008E03EF"/>
    <w:rsid w:val="008E0F46"/>
    <w:rsid w:val="008E1912"/>
    <w:rsid w:val="008E19BA"/>
    <w:rsid w:val="008E1EBC"/>
    <w:rsid w:val="008E361B"/>
    <w:rsid w:val="008E3634"/>
    <w:rsid w:val="008E3766"/>
    <w:rsid w:val="008E3893"/>
    <w:rsid w:val="008E45CB"/>
    <w:rsid w:val="008E4E78"/>
    <w:rsid w:val="008E5A5F"/>
    <w:rsid w:val="008E6AF5"/>
    <w:rsid w:val="008E75E1"/>
    <w:rsid w:val="008E77AC"/>
    <w:rsid w:val="008F004C"/>
    <w:rsid w:val="008F0900"/>
    <w:rsid w:val="008F1E42"/>
    <w:rsid w:val="008F1F2F"/>
    <w:rsid w:val="008F20D7"/>
    <w:rsid w:val="008F2114"/>
    <w:rsid w:val="008F384F"/>
    <w:rsid w:val="008F4604"/>
    <w:rsid w:val="008F57F0"/>
    <w:rsid w:val="008F5EA2"/>
    <w:rsid w:val="008F692E"/>
    <w:rsid w:val="008F6C48"/>
    <w:rsid w:val="008F78C8"/>
    <w:rsid w:val="009007EF"/>
    <w:rsid w:val="009008D5"/>
    <w:rsid w:val="009009C6"/>
    <w:rsid w:val="00900B71"/>
    <w:rsid w:val="00900E95"/>
    <w:rsid w:val="0090166F"/>
    <w:rsid w:val="009026BB"/>
    <w:rsid w:val="00902C5E"/>
    <w:rsid w:val="00903027"/>
    <w:rsid w:val="00903418"/>
    <w:rsid w:val="0090418B"/>
    <w:rsid w:val="00904238"/>
    <w:rsid w:val="00904B6B"/>
    <w:rsid w:val="00904E5F"/>
    <w:rsid w:val="00905787"/>
    <w:rsid w:val="0090672B"/>
    <w:rsid w:val="00906E99"/>
    <w:rsid w:val="009075E8"/>
    <w:rsid w:val="009104C4"/>
    <w:rsid w:val="00911615"/>
    <w:rsid w:val="00911663"/>
    <w:rsid w:val="00911784"/>
    <w:rsid w:val="0091199C"/>
    <w:rsid w:val="009121E7"/>
    <w:rsid w:val="00912C62"/>
    <w:rsid w:val="0091362E"/>
    <w:rsid w:val="009141CB"/>
    <w:rsid w:val="00914978"/>
    <w:rsid w:val="00914B54"/>
    <w:rsid w:val="00914FE9"/>
    <w:rsid w:val="0091582B"/>
    <w:rsid w:val="00915F5C"/>
    <w:rsid w:val="009167E8"/>
    <w:rsid w:val="00920FE1"/>
    <w:rsid w:val="009217C5"/>
    <w:rsid w:val="00921E08"/>
    <w:rsid w:val="0092207B"/>
    <w:rsid w:val="009222DB"/>
    <w:rsid w:val="009226DC"/>
    <w:rsid w:val="00922C8C"/>
    <w:rsid w:val="00924742"/>
    <w:rsid w:val="0092497E"/>
    <w:rsid w:val="00925194"/>
    <w:rsid w:val="00925E4E"/>
    <w:rsid w:val="009268AB"/>
    <w:rsid w:val="00927E5A"/>
    <w:rsid w:val="00930DED"/>
    <w:rsid w:val="00931600"/>
    <w:rsid w:val="00931959"/>
    <w:rsid w:val="00931ACC"/>
    <w:rsid w:val="0093252C"/>
    <w:rsid w:val="00933086"/>
    <w:rsid w:val="0093343B"/>
    <w:rsid w:val="00933C56"/>
    <w:rsid w:val="00935370"/>
    <w:rsid w:val="0093550D"/>
    <w:rsid w:val="009356D6"/>
    <w:rsid w:val="009357E9"/>
    <w:rsid w:val="00935A88"/>
    <w:rsid w:val="00936683"/>
    <w:rsid w:val="0093747A"/>
    <w:rsid w:val="009376C4"/>
    <w:rsid w:val="0094006D"/>
    <w:rsid w:val="00941943"/>
    <w:rsid w:val="009444B6"/>
    <w:rsid w:val="00944803"/>
    <w:rsid w:val="00944F0A"/>
    <w:rsid w:val="00945039"/>
    <w:rsid w:val="009465F2"/>
    <w:rsid w:val="00946F8B"/>
    <w:rsid w:val="00947EF0"/>
    <w:rsid w:val="009503F3"/>
    <w:rsid w:val="00950D29"/>
    <w:rsid w:val="009512DE"/>
    <w:rsid w:val="00951809"/>
    <w:rsid w:val="00951AC9"/>
    <w:rsid w:val="00951C7D"/>
    <w:rsid w:val="009539DB"/>
    <w:rsid w:val="00956926"/>
    <w:rsid w:val="00956F1C"/>
    <w:rsid w:val="00956FB6"/>
    <w:rsid w:val="00957400"/>
    <w:rsid w:val="00960176"/>
    <w:rsid w:val="00960879"/>
    <w:rsid w:val="00960E1C"/>
    <w:rsid w:val="0096144D"/>
    <w:rsid w:val="009614B5"/>
    <w:rsid w:val="00961587"/>
    <w:rsid w:val="00961D4F"/>
    <w:rsid w:val="009623EB"/>
    <w:rsid w:val="00962AB5"/>
    <w:rsid w:val="00963601"/>
    <w:rsid w:val="009644CD"/>
    <w:rsid w:val="0096534B"/>
    <w:rsid w:val="00967EDF"/>
    <w:rsid w:val="0097207D"/>
    <w:rsid w:val="00973C51"/>
    <w:rsid w:val="00973CC9"/>
    <w:rsid w:val="00974448"/>
    <w:rsid w:val="0097455F"/>
    <w:rsid w:val="00974EB2"/>
    <w:rsid w:val="009750C7"/>
    <w:rsid w:val="009751AD"/>
    <w:rsid w:val="00975B29"/>
    <w:rsid w:val="00976B06"/>
    <w:rsid w:val="00976FC2"/>
    <w:rsid w:val="0097702C"/>
    <w:rsid w:val="009770FE"/>
    <w:rsid w:val="00977DED"/>
    <w:rsid w:val="00980EE7"/>
    <w:rsid w:val="00981052"/>
    <w:rsid w:val="009814C1"/>
    <w:rsid w:val="009814E1"/>
    <w:rsid w:val="00981A18"/>
    <w:rsid w:val="00981C07"/>
    <w:rsid w:val="00982D0B"/>
    <w:rsid w:val="00983B18"/>
    <w:rsid w:val="00983FA0"/>
    <w:rsid w:val="009848EA"/>
    <w:rsid w:val="00984B61"/>
    <w:rsid w:val="009851E1"/>
    <w:rsid w:val="0098572C"/>
    <w:rsid w:val="00985B85"/>
    <w:rsid w:val="00986BF4"/>
    <w:rsid w:val="0098740D"/>
    <w:rsid w:val="0098773B"/>
    <w:rsid w:val="00987C1F"/>
    <w:rsid w:val="009910DB"/>
    <w:rsid w:val="00992032"/>
    <w:rsid w:val="00992BA2"/>
    <w:rsid w:val="009938CE"/>
    <w:rsid w:val="00993C79"/>
    <w:rsid w:val="0099458F"/>
    <w:rsid w:val="0099476B"/>
    <w:rsid w:val="009949D1"/>
    <w:rsid w:val="0099676F"/>
    <w:rsid w:val="009967D2"/>
    <w:rsid w:val="00997338"/>
    <w:rsid w:val="00997579"/>
    <w:rsid w:val="009A012E"/>
    <w:rsid w:val="009A0C1F"/>
    <w:rsid w:val="009A1815"/>
    <w:rsid w:val="009A26D3"/>
    <w:rsid w:val="009A3275"/>
    <w:rsid w:val="009A3850"/>
    <w:rsid w:val="009A4350"/>
    <w:rsid w:val="009A5EEC"/>
    <w:rsid w:val="009A7355"/>
    <w:rsid w:val="009A73D5"/>
    <w:rsid w:val="009B02A3"/>
    <w:rsid w:val="009B09DF"/>
    <w:rsid w:val="009B0DCB"/>
    <w:rsid w:val="009B1905"/>
    <w:rsid w:val="009B1FB8"/>
    <w:rsid w:val="009B2060"/>
    <w:rsid w:val="009B250D"/>
    <w:rsid w:val="009B34E5"/>
    <w:rsid w:val="009B4A7A"/>
    <w:rsid w:val="009B5018"/>
    <w:rsid w:val="009B5986"/>
    <w:rsid w:val="009B5A45"/>
    <w:rsid w:val="009B5A47"/>
    <w:rsid w:val="009B71DD"/>
    <w:rsid w:val="009B7888"/>
    <w:rsid w:val="009C0249"/>
    <w:rsid w:val="009C0651"/>
    <w:rsid w:val="009C0C9C"/>
    <w:rsid w:val="009C103B"/>
    <w:rsid w:val="009C12E0"/>
    <w:rsid w:val="009C17C2"/>
    <w:rsid w:val="009C1837"/>
    <w:rsid w:val="009C1A14"/>
    <w:rsid w:val="009C1ECB"/>
    <w:rsid w:val="009C294F"/>
    <w:rsid w:val="009C2D8E"/>
    <w:rsid w:val="009C357D"/>
    <w:rsid w:val="009C3CFC"/>
    <w:rsid w:val="009C421E"/>
    <w:rsid w:val="009C447D"/>
    <w:rsid w:val="009C4BE7"/>
    <w:rsid w:val="009C4EDA"/>
    <w:rsid w:val="009C518C"/>
    <w:rsid w:val="009C63EA"/>
    <w:rsid w:val="009C63EB"/>
    <w:rsid w:val="009C6C22"/>
    <w:rsid w:val="009C6F9B"/>
    <w:rsid w:val="009C75A6"/>
    <w:rsid w:val="009C7A3D"/>
    <w:rsid w:val="009D0122"/>
    <w:rsid w:val="009D0835"/>
    <w:rsid w:val="009D196A"/>
    <w:rsid w:val="009D1D6B"/>
    <w:rsid w:val="009D22CA"/>
    <w:rsid w:val="009D27D5"/>
    <w:rsid w:val="009D29BA"/>
    <w:rsid w:val="009D36C5"/>
    <w:rsid w:val="009D3E8A"/>
    <w:rsid w:val="009D42E3"/>
    <w:rsid w:val="009D4823"/>
    <w:rsid w:val="009D49D4"/>
    <w:rsid w:val="009D5386"/>
    <w:rsid w:val="009D5637"/>
    <w:rsid w:val="009D6E87"/>
    <w:rsid w:val="009D71FD"/>
    <w:rsid w:val="009D7925"/>
    <w:rsid w:val="009D7C64"/>
    <w:rsid w:val="009D7E9E"/>
    <w:rsid w:val="009E01F5"/>
    <w:rsid w:val="009E0412"/>
    <w:rsid w:val="009E054F"/>
    <w:rsid w:val="009E09C3"/>
    <w:rsid w:val="009E0C0C"/>
    <w:rsid w:val="009E0E9E"/>
    <w:rsid w:val="009E1E14"/>
    <w:rsid w:val="009E2780"/>
    <w:rsid w:val="009E27C1"/>
    <w:rsid w:val="009E484F"/>
    <w:rsid w:val="009F00AF"/>
    <w:rsid w:val="009F00CB"/>
    <w:rsid w:val="009F07BD"/>
    <w:rsid w:val="009F0CBE"/>
    <w:rsid w:val="009F1721"/>
    <w:rsid w:val="009F1F34"/>
    <w:rsid w:val="009F2171"/>
    <w:rsid w:val="009F22AB"/>
    <w:rsid w:val="009F2A80"/>
    <w:rsid w:val="009F3FFD"/>
    <w:rsid w:val="009F45DE"/>
    <w:rsid w:val="009F6532"/>
    <w:rsid w:val="009F6D7C"/>
    <w:rsid w:val="009F7679"/>
    <w:rsid w:val="009F7CAD"/>
    <w:rsid w:val="00A00A68"/>
    <w:rsid w:val="00A00AE4"/>
    <w:rsid w:val="00A0204E"/>
    <w:rsid w:val="00A04322"/>
    <w:rsid w:val="00A050BD"/>
    <w:rsid w:val="00A06E5A"/>
    <w:rsid w:val="00A0708C"/>
    <w:rsid w:val="00A07227"/>
    <w:rsid w:val="00A0751B"/>
    <w:rsid w:val="00A079C7"/>
    <w:rsid w:val="00A10743"/>
    <w:rsid w:val="00A11B9A"/>
    <w:rsid w:val="00A11C09"/>
    <w:rsid w:val="00A11D52"/>
    <w:rsid w:val="00A12127"/>
    <w:rsid w:val="00A1278C"/>
    <w:rsid w:val="00A12E37"/>
    <w:rsid w:val="00A133B5"/>
    <w:rsid w:val="00A13668"/>
    <w:rsid w:val="00A1394A"/>
    <w:rsid w:val="00A13A11"/>
    <w:rsid w:val="00A1407C"/>
    <w:rsid w:val="00A14C78"/>
    <w:rsid w:val="00A14EB8"/>
    <w:rsid w:val="00A17318"/>
    <w:rsid w:val="00A1743E"/>
    <w:rsid w:val="00A20699"/>
    <w:rsid w:val="00A21968"/>
    <w:rsid w:val="00A21D03"/>
    <w:rsid w:val="00A22155"/>
    <w:rsid w:val="00A221A7"/>
    <w:rsid w:val="00A23BD0"/>
    <w:rsid w:val="00A24066"/>
    <w:rsid w:val="00A2502E"/>
    <w:rsid w:val="00A25073"/>
    <w:rsid w:val="00A2543D"/>
    <w:rsid w:val="00A26C45"/>
    <w:rsid w:val="00A3021B"/>
    <w:rsid w:val="00A30889"/>
    <w:rsid w:val="00A323EB"/>
    <w:rsid w:val="00A3243A"/>
    <w:rsid w:val="00A32839"/>
    <w:rsid w:val="00A32AA6"/>
    <w:rsid w:val="00A33694"/>
    <w:rsid w:val="00A33794"/>
    <w:rsid w:val="00A33F68"/>
    <w:rsid w:val="00A34764"/>
    <w:rsid w:val="00A34F88"/>
    <w:rsid w:val="00A35DB7"/>
    <w:rsid w:val="00A365B9"/>
    <w:rsid w:val="00A37C63"/>
    <w:rsid w:val="00A4047A"/>
    <w:rsid w:val="00A40EEA"/>
    <w:rsid w:val="00A41531"/>
    <w:rsid w:val="00A42283"/>
    <w:rsid w:val="00A4228B"/>
    <w:rsid w:val="00A43630"/>
    <w:rsid w:val="00A437C3"/>
    <w:rsid w:val="00A45421"/>
    <w:rsid w:val="00A45E5B"/>
    <w:rsid w:val="00A470E1"/>
    <w:rsid w:val="00A47B09"/>
    <w:rsid w:val="00A50380"/>
    <w:rsid w:val="00A50557"/>
    <w:rsid w:val="00A50DC8"/>
    <w:rsid w:val="00A50F13"/>
    <w:rsid w:val="00A537D0"/>
    <w:rsid w:val="00A57241"/>
    <w:rsid w:val="00A57412"/>
    <w:rsid w:val="00A576EC"/>
    <w:rsid w:val="00A60100"/>
    <w:rsid w:val="00A60220"/>
    <w:rsid w:val="00A60273"/>
    <w:rsid w:val="00A61E82"/>
    <w:rsid w:val="00A624D2"/>
    <w:rsid w:val="00A624D3"/>
    <w:rsid w:val="00A63C81"/>
    <w:rsid w:val="00A6445C"/>
    <w:rsid w:val="00A649C7"/>
    <w:rsid w:val="00A64A18"/>
    <w:rsid w:val="00A64DD5"/>
    <w:rsid w:val="00A6532A"/>
    <w:rsid w:val="00A65AB3"/>
    <w:rsid w:val="00A65D0E"/>
    <w:rsid w:val="00A66A54"/>
    <w:rsid w:val="00A675EB"/>
    <w:rsid w:val="00A677BA"/>
    <w:rsid w:val="00A67E64"/>
    <w:rsid w:val="00A67EDC"/>
    <w:rsid w:val="00A7072F"/>
    <w:rsid w:val="00A70E2A"/>
    <w:rsid w:val="00A70EC5"/>
    <w:rsid w:val="00A7182F"/>
    <w:rsid w:val="00A71A4B"/>
    <w:rsid w:val="00A73611"/>
    <w:rsid w:val="00A7369F"/>
    <w:rsid w:val="00A74255"/>
    <w:rsid w:val="00A74306"/>
    <w:rsid w:val="00A74CA8"/>
    <w:rsid w:val="00A7507B"/>
    <w:rsid w:val="00A75A26"/>
    <w:rsid w:val="00A76A5B"/>
    <w:rsid w:val="00A76CDC"/>
    <w:rsid w:val="00A77B29"/>
    <w:rsid w:val="00A80E1E"/>
    <w:rsid w:val="00A813F0"/>
    <w:rsid w:val="00A821F1"/>
    <w:rsid w:val="00A8232F"/>
    <w:rsid w:val="00A82402"/>
    <w:rsid w:val="00A82556"/>
    <w:rsid w:val="00A828D0"/>
    <w:rsid w:val="00A82EC1"/>
    <w:rsid w:val="00A838E9"/>
    <w:rsid w:val="00A84EE7"/>
    <w:rsid w:val="00A855D7"/>
    <w:rsid w:val="00A85C16"/>
    <w:rsid w:val="00A85D11"/>
    <w:rsid w:val="00A90031"/>
    <w:rsid w:val="00A900DF"/>
    <w:rsid w:val="00A90345"/>
    <w:rsid w:val="00A9156D"/>
    <w:rsid w:val="00A917CF"/>
    <w:rsid w:val="00A91D26"/>
    <w:rsid w:val="00A91DBC"/>
    <w:rsid w:val="00A91DE5"/>
    <w:rsid w:val="00A922FF"/>
    <w:rsid w:val="00A9234C"/>
    <w:rsid w:val="00A923FB"/>
    <w:rsid w:val="00A92BB0"/>
    <w:rsid w:val="00A94178"/>
    <w:rsid w:val="00A946EA"/>
    <w:rsid w:val="00A95B33"/>
    <w:rsid w:val="00A95DA6"/>
    <w:rsid w:val="00A96A1D"/>
    <w:rsid w:val="00A97888"/>
    <w:rsid w:val="00AA040A"/>
    <w:rsid w:val="00AA0467"/>
    <w:rsid w:val="00AA108D"/>
    <w:rsid w:val="00AA1B1D"/>
    <w:rsid w:val="00AA1F30"/>
    <w:rsid w:val="00AA2143"/>
    <w:rsid w:val="00AA2381"/>
    <w:rsid w:val="00AA23E3"/>
    <w:rsid w:val="00AA277E"/>
    <w:rsid w:val="00AA2B7A"/>
    <w:rsid w:val="00AA35C7"/>
    <w:rsid w:val="00AA35D7"/>
    <w:rsid w:val="00AA4BA3"/>
    <w:rsid w:val="00AA5BB4"/>
    <w:rsid w:val="00AA6101"/>
    <w:rsid w:val="00AA795D"/>
    <w:rsid w:val="00AB0B4D"/>
    <w:rsid w:val="00AB0C5C"/>
    <w:rsid w:val="00AB0EBB"/>
    <w:rsid w:val="00AB1143"/>
    <w:rsid w:val="00AB1165"/>
    <w:rsid w:val="00AB148B"/>
    <w:rsid w:val="00AB1B63"/>
    <w:rsid w:val="00AB2051"/>
    <w:rsid w:val="00AB22B9"/>
    <w:rsid w:val="00AB2852"/>
    <w:rsid w:val="00AB2E3E"/>
    <w:rsid w:val="00AB30C1"/>
    <w:rsid w:val="00AB37AE"/>
    <w:rsid w:val="00AB65B0"/>
    <w:rsid w:val="00AB6DE8"/>
    <w:rsid w:val="00AC06E2"/>
    <w:rsid w:val="00AC0DC9"/>
    <w:rsid w:val="00AC1BDC"/>
    <w:rsid w:val="00AC27AA"/>
    <w:rsid w:val="00AC3BC8"/>
    <w:rsid w:val="00AC4071"/>
    <w:rsid w:val="00AC4978"/>
    <w:rsid w:val="00AC5255"/>
    <w:rsid w:val="00AC53B1"/>
    <w:rsid w:val="00AC5737"/>
    <w:rsid w:val="00AC57B7"/>
    <w:rsid w:val="00AC58E1"/>
    <w:rsid w:val="00AC5A68"/>
    <w:rsid w:val="00AC5CD8"/>
    <w:rsid w:val="00AC6330"/>
    <w:rsid w:val="00AD01AD"/>
    <w:rsid w:val="00AD0660"/>
    <w:rsid w:val="00AD0742"/>
    <w:rsid w:val="00AD0B98"/>
    <w:rsid w:val="00AD0E14"/>
    <w:rsid w:val="00AD1FF0"/>
    <w:rsid w:val="00AD22B9"/>
    <w:rsid w:val="00AD3945"/>
    <w:rsid w:val="00AD4040"/>
    <w:rsid w:val="00AD43DB"/>
    <w:rsid w:val="00AD5231"/>
    <w:rsid w:val="00AD5435"/>
    <w:rsid w:val="00AD636F"/>
    <w:rsid w:val="00AD6BD2"/>
    <w:rsid w:val="00AD6DA1"/>
    <w:rsid w:val="00AD7621"/>
    <w:rsid w:val="00AD79EB"/>
    <w:rsid w:val="00AD7DB6"/>
    <w:rsid w:val="00AE0143"/>
    <w:rsid w:val="00AE0AFE"/>
    <w:rsid w:val="00AE1487"/>
    <w:rsid w:val="00AE1771"/>
    <w:rsid w:val="00AE1DF4"/>
    <w:rsid w:val="00AE247C"/>
    <w:rsid w:val="00AE278F"/>
    <w:rsid w:val="00AE3384"/>
    <w:rsid w:val="00AE3641"/>
    <w:rsid w:val="00AE37F6"/>
    <w:rsid w:val="00AE42FA"/>
    <w:rsid w:val="00AE46F9"/>
    <w:rsid w:val="00AE523D"/>
    <w:rsid w:val="00AE5C2B"/>
    <w:rsid w:val="00AE5E6A"/>
    <w:rsid w:val="00AE62EC"/>
    <w:rsid w:val="00AE670A"/>
    <w:rsid w:val="00AE7397"/>
    <w:rsid w:val="00AF0436"/>
    <w:rsid w:val="00AF11FA"/>
    <w:rsid w:val="00AF1431"/>
    <w:rsid w:val="00AF1633"/>
    <w:rsid w:val="00AF184D"/>
    <w:rsid w:val="00AF2911"/>
    <w:rsid w:val="00AF2D33"/>
    <w:rsid w:val="00AF30F3"/>
    <w:rsid w:val="00AF4AB5"/>
    <w:rsid w:val="00AF56A9"/>
    <w:rsid w:val="00AF5C10"/>
    <w:rsid w:val="00AF5E4E"/>
    <w:rsid w:val="00AF631B"/>
    <w:rsid w:val="00AF6384"/>
    <w:rsid w:val="00AF6D57"/>
    <w:rsid w:val="00AF6E55"/>
    <w:rsid w:val="00AF7792"/>
    <w:rsid w:val="00AF79C9"/>
    <w:rsid w:val="00AF7EC9"/>
    <w:rsid w:val="00AF7F1D"/>
    <w:rsid w:val="00B0097B"/>
    <w:rsid w:val="00B02B25"/>
    <w:rsid w:val="00B0357C"/>
    <w:rsid w:val="00B038D9"/>
    <w:rsid w:val="00B03B12"/>
    <w:rsid w:val="00B03B42"/>
    <w:rsid w:val="00B03E31"/>
    <w:rsid w:val="00B04013"/>
    <w:rsid w:val="00B04401"/>
    <w:rsid w:val="00B04EC6"/>
    <w:rsid w:val="00B04F60"/>
    <w:rsid w:val="00B05729"/>
    <w:rsid w:val="00B05A43"/>
    <w:rsid w:val="00B06AE9"/>
    <w:rsid w:val="00B06D54"/>
    <w:rsid w:val="00B0713E"/>
    <w:rsid w:val="00B105A5"/>
    <w:rsid w:val="00B107C4"/>
    <w:rsid w:val="00B10EEB"/>
    <w:rsid w:val="00B11A5A"/>
    <w:rsid w:val="00B1248E"/>
    <w:rsid w:val="00B126DF"/>
    <w:rsid w:val="00B14340"/>
    <w:rsid w:val="00B17032"/>
    <w:rsid w:val="00B17536"/>
    <w:rsid w:val="00B17F6E"/>
    <w:rsid w:val="00B20DC5"/>
    <w:rsid w:val="00B20E97"/>
    <w:rsid w:val="00B228D2"/>
    <w:rsid w:val="00B229F8"/>
    <w:rsid w:val="00B23821"/>
    <w:rsid w:val="00B23967"/>
    <w:rsid w:val="00B23BFF"/>
    <w:rsid w:val="00B248D2"/>
    <w:rsid w:val="00B24917"/>
    <w:rsid w:val="00B257FE"/>
    <w:rsid w:val="00B25993"/>
    <w:rsid w:val="00B25D9D"/>
    <w:rsid w:val="00B30C58"/>
    <w:rsid w:val="00B33BB1"/>
    <w:rsid w:val="00B34888"/>
    <w:rsid w:val="00B34A54"/>
    <w:rsid w:val="00B35528"/>
    <w:rsid w:val="00B35D8E"/>
    <w:rsid w:val="00B36BFF"/>
    <w:rsid w:val="00B371FB"/>
    <w:rsid w:val="00B3723E"/>
    <w:rsid w:val="00B373E8"/>
    <w:rsid w:val="00B40FD7"/>
    <w:rsid w:val="00B41353"/>
    <w:rsid w:val="00B414D0"/>
    <w:rsid w:val="00B41B6D"/>
    <w:rsid w:val="00B42CA5"/>
    <w:rsid w:val="00B42F23"/>
    <w:rsid w:val="00B43036"/>
    <w:rsid w:val="00B4314C"/>
    <w:rsid w:val="00B432A2"/>
    <w:rsid w:val="00B442A0"/>
    <w:rsid w:val="00B44898"/>
    <w:rsid w:val="00B452D4"/>
    <w:rsid w:val="00B4562D"/>
    <w:rsid w:val="00B45AF0"/>
    <w:rsid w:val="00B45B7F"/>
    <w:rsid w:val="00B46382"/>
    <w:rsid w:val="00B4691C"/>
    <w:rsid w:val="00B46A17"/>
    <w:rsid w:val="00B46AA9"/>
    <w:rsid w:val="00B50BA0"/>
    <w:rsid w:val="00B51E11"/>
    <w:rsid w:val="00B52824"/>
    <w:rsid w:val="00B545FD"/>
    <w:rsid w:val="00B549A4"/>
    <w:rsid w:val="00B54A16"/>
    <w:rsid w:val="00B54BE8"/>
    <w:rsid w:val="00B54F30"/>
    <w:rsid w:val="00B55267"/>
    <w:rsid w:val="00B55904"/>
    <w:rsid w:val="00B577E4"/>
    <w:rsid w:val="00B5798D"/>
    <w:rsid w:val="00B604CA"/>
    <w:rsid w:val="00B604F0"/>
    <w:rsid w:val="00B60F68"/>
    <w:rsid w:val="00B60F85"/>
    <w:rsid w:val="00B611A0"/>
    <w:rsid w:val="00B61341"/>
    <w:rsid w:val="00B61455"/>
    <w:rsid w:val="00B62596"/>
    <w:rsid w:val="00B6298C"/>
    <w:rsid w:val="00B62A45"/>
    <w:rsid w:val="00B6345F"/>
    <w:rsid w:val="00B639C4"/>
    <w:rsid w:val="00B63B63"/>
    <w:rsid w:val="00B63E15"/>
    <w:rsid w:val="00B63E8D"/>
    <w:rsid w:val="00B6440F"/>
    <w:rsid w:val="00B64E70"/>
    <w:rsid w:val="00B65619"/>
    <w:rsid w:val="00B67BE9"/>
    <w:rsid w:val="00B70532"/>
    <w:rsid w:val="00B71105"/>
    <w:rsid w:val="00B725EC"/>
    <w:rsid w:val="00B72AEB"/>
    <w:rsid w:val="00B739C4"/>
    <w:rsid w:val="00B73F25"/>
    <w:rsid w:val="00B741B2"/>
    <w:rsid w:val="00B744A2"/>
    <w:rsid w:val="00B74CCB"/>
    <w:rsid w:val="00B74F96"/>
    <w:rsid w:val="00B74FE8"/>
    <w:rsid w:val="00B75047"/>
    <w:rsid w:val="00B75E1A"/>
    <w:rsid w:val="00B768AB"/>
    <w:rsid w:val="00B77712"/>
    <w:rsid w:val="00B7773B"/>
    <w:rsid w:val="00B77843"/>
    <w:rsid w:val="00B77FAA"/>
    <w:rsid w:val="00B80413"/>
    <w:rsid w:val="00B8050A"/>
    <w:rsid w:val="00B8151D"/>
    <w:rsid w:val="00B81D08"/>
    <w:rsid w:val="00B834C7"/>
    <w:rsid w:val="00B83D45"/>
    <w:rsid w:val="00B84363"/>
    <w:rsid w:val="00B85C39"/>
    <w:rsid w:val="00B8621B"/>
    <w:rsid w:val="00B864DE"/>
    <w:rsid w:val="00B868E3"/>
    <w:rsid w:val="00B86D85"/>
    <w:rsid w:val="00B86E1A"/>
    <w:rsid w:val="00B8732C"/>
    <w:rsid w:val="00B91601"/>
    <w:rsid w:val="00B91D73"/>
    <w:rsid w:val="00B92EF3"/>
    <w:rsid w:val="00B92F81"/>
    <w:rsid w:val="00B9313F"/>
    <w:rsid w:val="00B93AC6"/>
    <w:rsid w:val="00B947A5"/>
    <w:rsid w:val="00B9563E"/>
    <w:rsid w:val="00B95D31"/>
    <w:rsid w:val="00B95F14"/>
    <w:rsid w:val="00B9626B"/>
    <w:rsid w:val="00BA12B1"/>
    <w:rsid w:val="00BA1611"/>
    <w:rsid w:val="00BA1694"/>
    <w:rsid w:val="00BA1D5E"/>
    <w:rsid w:val="00BA23AC"/>
    <w:rsid w:val="00BA23E6"/>
    <w:rsid w:val="00BA29F1"/>
    <w:rsid w:val="00BA2B17"/>
    <w:rsid w:val="00BA2F17"/>
    <w:rsid w:val="00BA3F13"/>
    <w:rsid w:val="00BA514D"/>
    <w:rsid w:val="00BA6B74"/>
    <w:rsid w:val="00BA799A"/>
    <w:rsid w:val="00BA7E4E"/>
    <w:rsid w:val="00BB02E1"/>
    <w:rsid w:val="00BB1672"/>
    <w:rsid w:val="00BB1720"/>
    <w:rsid w:val="00BB181D"/>
    <w:rsid w:val="00BB1A73"/>
    <w:rsid w:val="00BB1B5E"/>
    <w:rsid w:val="00BB1DD5"/>
    <w:rsid w:val="00BB1E16"/>
    <w:rsid w:val="00BB37BE"/>
    <w:rsid w:val="00BB3CAF"/>
    <w:rsid w:val="00BB488D"/>
    <w:rsid w:val="00BB559A"/>
    <w:rsid w:val="00BB69CF"/>
    <w:rsid w:val="00BB711D"/>
    <w:rsid w:val="00BB737D"/>
    <w:rsid w:val="00BB7DBE"/>
    <w:rsid w:val="00BB7E44"/>
    <w:rsid w:val="00BC0116"/>
    <w:rsid w:val="00BC100F"/>
    <w:rsid w:val="00BC11EC"/>
    <w:rsid w:val="00BC21DE"/>
    <w:rsid w:val="00BC2269"/>
    <w:rsid w:val="00BC33FC"/>
    <w:rsid w:val="00BC40B1"/>
    <w:rsid w:val="00BC4F6A"/>
    <w:rsid w:val="00BC509B"/>
    <w:rsid w:val="00BC64AE"/>
    <w:rsid w:val="00BC6BDB"/>
    <w:rsid w:val="00BC7EB4"/>
    <w:rsid w:val="00BD0ABB"/>
    <w:rsid w:val="00BD0EDA"/>
    <w:rsid w:val="00BD0F13"/>
    <w:rsid w:val="00BD16ED"/>
    <w:rsid w:val="00BD27D1"/>
    <w:rsid w:val="00BD309B"/>
    <w:rsid w:val="00BD346D"/>
    <w:rsid w:val="00BD49BC"/>
    <w:rsid w:val="00BD4A08"/>
    <w:rsid w:val="00BD5700"/>
    <w:rsid w:val="00BD691D"/>
    <w:rsid w:val="00BD709C"/>
    <w:rsid w:val="00BD741E"/>
    <w:rsid w:val="00BD752B"/>
    <w:rsid w:val="00BD7AB3"/>
    <w:rsid w:val="00BD7F9B"/>
    <w:rsid w:val="00BE0493"/>
    <w:rsid w:val="00BE0544"/>
    <w:rsid w:val="00BE0849"/>
    <w:rsid w:val="00BE143A"/>
    <w:rsid w:val="00BE1FB9"/>
    <w:rsid w:val="00BE2799"/>
    <w:rsid w:val="00BE28FC"/>
    <w:rsid w:val="00BE3F99"/>
    <w:rsid w:val="00BE4745"/>
    <w:rsid w:val="00BE49C7"/>
    <w:rsid w:val="00BE6464"/>
    <w:rsid w:val="00BE6D77"/>
    <w:rsid w:val="00BE70CE"/>
    <w:rsid w:val="00BF02A7"/>
    <w:rsid w:val="00BF08AB"/>
    <w:rsid w:val="00BF1092"/>
    <w:rsid w:val="00BF2B88"/>
    <w:rsid w:val="00BF337F"/>
    <w:rsid w:val="00BF344B"/>
    <w:rsid w:val="00BF41AB"/>
    <w:rsid w:val="00BF4B02"/>
    <w:rsid w:val="00BF4CB2"/>
    <w:rsid w:val="00BF4D2A"/>
    <w:rsid w:val="00BF5A7B"/>
    <w:rsid w:val="00BF5BEA"/>
    <w:rsid w:val="00BF70F0"/>
    <w:rsid w:val="00BF7A5D"/>
    <w:rsid w:val="00BF7BAC"/>
    <w:rsid w:val="00C00EEA"/>
    <w:rsid w:val="00C010F8"/>
    <w:rsid w:val="00C01CAD"/>
    <w:rsid w:val="00C0247F"/>
    <w:rsid w:val="00C02C38"/>
    <w:rsid w:val="00C03FB9"/>
    <w:rsid w:val="00C044AA"/>
    <w:rsid w:val="00C04660"/>
    <w:rsid w:val="00C050D9"/>
    <w:rsid w:val="00C052FD"/>
    <w:rsid w:val="00C05390"/>
    <w:rsid w:val="00C0585F"/>
    <w:rsid w:val="00C06101"/>
    <w:rsid w:val="00C061BD"/>
    <w:rsid w:val="00C062F8"/>
    <w:rsid w:val="00C0681C"/>
    <w:rsid w:val="00C06C08"/>
    <w:rsid w:val="00C07472"/>
    <w:rsid w:val="00C07C8E"/>
    <w:rsid w:val="00C1063D"/>
    <w:rsid w:val="00C115FA"/>
    <w:rsid w:val="00C126E4"/>
    <w:rsid w:val="00C1329B"/>
    <w:rsid w:val="00C13399"/>
    <w:rsid w:val="00C143D4"/>
    <w:rsid w:val="00C1455C"/>
    <w:rsid w:val="00C14EB0"/>
    <w:rsid w:val="00C169C4"/>
    <w:rsid w:val="00C16B46"/>
    <w:rsid w:val="00C16F67"/>
    <w:rsid w:val="00C16FE3"/>
    <w:rsid w:val="00C1740D"/>
    <w:rsid w:val="00C17553"/>
    <w:rsid w:val="00C17974"/>
    <w:rsid w:val="00C20175"/>
    <w:rsid w:val="00C2080C"/>
    <w:rsid w:val="00C214FE"/>
    <w:rsid w:val="00C21AE1"/>
    <w:rsid w:val="00C21EAA"/>
    <w:rsid w:val="00C222E5"/>
    <w:rsid w:val="00C2233F"/>
    <w:rsid w:val="00C23BD7"/>
    <w:rsid w:val="00C24C63"/>
    <w:rsid w:val="00C257C0"/>
    <w:rsid w:val="00C25A98"/>
    <w:rsid w:val="00C268EB"/>
    <w:rsid w:val="00C26DCF"/>
    <w:rsid w:val="00C2741D"/>
    <w:rsid w:val="00C27D3E"/>
    <w:rsid w:val="00C3159F"/>
    <w:rsid w:val="00C318C5"/>
    <w:rsid w:val="00C31AB3"/>
    <w:rsid w:val="00C321DD"/>
    <w:rsid w:val="00C32E2A"/>
    <w:rsid w:val="00C332A4"/>
    <w:rsid w:val="00C33324"/>
    <w:rsid w:val="00C337BF"/>
    <w:rsid w:val="00C34080"/>
    <w:rsid w:val="00C3471E"/>
    <w:rsid w:val="00C34859"/>
    <w:rsid w:val="00C35097"/>
    <w:rsid w:val="00C351AF"/>
    <w:rsid w:val="00C367F1"/>
    <w:rsid w:val="00C37AFB"/>
    <w:rsid w:val="00C40A89"/>
    <w:rsid w:val="00C41911"/>
    <w:rsid w:val="00C41D0F"/>
    <w:rsid w:val="00C41DAC"/>
    <w:rsid w:val="00C42352"/>
    <w:rsid w:val="00C425C6"/>
    <w:rsid w:val="00C42758"/>
    <w:rsid w:val="00C42E5D"/>
    <w:rsid w:val="00C44009"/>
    <w:rsid w:val="00C44241"/>
    <w:rsid w:val="00C44488"/>
    <w:rsid w:val="00C44F79"/>
    <w:rsid w:val="00C4550B"/>
    <w:rsid w:val="00C4598F"/>
    <w:rsid w:val="00C459EE"/>
    <w:rsid w:val="00C461BD"/>
    <w:rsid w:val="00C468B6"/>
    <w:rsid w:val="00C46A29"/>
    <w:rsid w:val="00C46B0E"/>
    <w:rsid w:val="00C46D3E"/>
    <w:rsid w:val="00C47847"/>
    <w:rsid w:val="00C47B50"/>
    <w:rsid w:val="00C51942"/>
    <w:rsid w:val="00C51F95"/>
    <w:rsid w:val="00C54857"/>
    <w:rsid w:val="00C552CC"/>
    <w:rsid w:val="00C55533"/>
    <w:rsid w:val="00C557D1"/>
    <w:rsid w:val="00C55F06"/>
    <w:rsid w:val="00C57569"/>
    <w:rsid w:val="00C60517"/>
    <w:rsid w:val="00C60B95"/>
    <w:rsid w:val="00C60D23"/>
    <w:rsid w:val="00C61166"/>
    <w:rsid w:val="00C61720"/>
    <w:rsid w:val="00C62202"/>
    <w:rsid w:val="00C6231F"/>
    <w:rsid w:val="00C6239A"/>
    <w:rsid w:val="00C62C74"/>
    <w:rsid w:val="00C631BD"/>
    <w:rsid w:val="00C63E15"/>
    <w:rsid w:val="00C65189"/>
    <w:rsid w:val="00C65CC1"/>
    <w:rsid w:val="00C6604F"/>
    <w:rsid w:val="00C6626E"/>
    <w:rsid w:val="00C66BF2"/>
    <w:rsid w:val="00C66FE1"/>
    <w:rsid w:val="00C67FB4"/>
    <w:rsid w:val="00C7138B"/>
    <w:rsid w:val="00C71798"/>
    <w:rsid w:val="00C71D0B"/>
    <w:rsid w:val="00C72437"/>
    <w:rsid w:val="00C73678"/>
    <w:rsid w:val="00C7402B"/>
    <w:rsid w:val="00C74031"/>
    <w:rsid w:val="00C740DD"/>
    <w:rsid w:val="00C74521"/>
    <w:rsid w:val="00C746F1"/>
    <w:rsid w:val="00C74EC2"/>
    <w:rsid w:val="00C7546E"/>
    <w:rsid w:val="00C759B6"/>
    <w:rsid w:val="00C77D70"/>
    <w:rsid w:val="00C805E8"/>
    <w:rsid w:val="00C81EAD"/>
    <w:rsid w:val="00C82035"/>
    <w:rsid w:val="00C82A84"/>
    <w:rsid w:val="00C82D1B"/>
    <w:rsid w:val="00C841AD"/>
    <w:rsid w:val="00C869E6"/>
    <w:rsid w:val="00C86FF8"/>
    <w:rsid w:val="00C872B9"/>
    <w:rsid w:val="00C879AC"/>
    <w:rsid w:val="00C9043C"/>
    <w:rsid w:val="00C90507"/>
    <w:rsid w:val="00C91147"/>
    <w:rsid w:val="00C919E1"/>
    <w:rsid w:val="00C922E1"/>
    <w:rsid w:val="00C92499"/>
    <w:rsid w:val="00C944DA"/>
    <w:rsid w:val="00C9486D"/>
    <w:rsid w:val="00C95123"/>
    <w:rsid w:val="00C954A9"/>
    <w:rsid w:val="00C957AF"/>
    <w:rsid w:val="00C962AF"/>
    <w:rsid w:val="00C96C30"/>
    <w:rsid w:val="00C96F30"/>
    <w:rsid w:val="00CA007E"/>
    <w:rsid w:val="00CA142C"/>
    <w:rsid w:val="00CA1601"/>
    <w:rsid w:val="00CA1EBD"/>
    <w:rsid w:val="00CA203D"/>
    <w:rsid w:val="00CA2078"/>
    <w:rsid w:val="00CA2802"/>
    <w:rsid w:val="00CA2CC1"/>
    <w:rsid w:val="00CA4312"/>
    <w:rsid w:val="00CA4D79"/>
    <w:rsid w:val="00CA539D"/>
    <w:rsid w:val="00CA57F7"/>
    <w:rsid w:val="00CA595A"/>
    <w:rsid w:val="00CA5A26"/>
    <w:rsid w:val="00CA5FFA"/>
    <w:rsid w:val="00CA65F7"/>
    <w:rsid w:val="00CA6A8B"/>
    <w:rsid w:val="00CA72E1"/>
    <w:rsid w:val="00CA7820"/>
    <w:rsid w:val="00CB064D"/>
    <w:rsid w:val="00CB0739"/>
    <w:rsid w:val="00CB0946"/>
    <w:rsid w:val="00CB094B"/>
    <w:rsid w:val="00CB10C9"/>
    <w:rsid w:val="00CB113D"/>
    <w:rsid w:val="00CB1974"/>
    <w:rsid w:val="00CB1E14"/>
    <w:rsid w:val="00CB2852"/>
    <w:rsid w:val="00CB2C6A"/>
    <w:rsid w:val="00CB3A88"/>
    <w:rsid w:val="00CB4C79"/>
    <w:rsid w:val="00CB4FD5"/>
    <w:rsid w:val="00CB5B9C"/>
    <w:rsid w:val="00CB6466"/>
    <w:rsid w:val="00CB70FE"/>
    <w:rsid w:val="00CB762A"/>
    <w:rsid w:val="00CC0001"/>
    <w:rsid w:val="00CC0580"/>
    <w:rsid w:val="00CC14F2"/>
    <w:rsid w:val="00CC333B"/>
    <w:rsid w:val="00CC395D"/>
    <w:rsid w:val="00CC3B26"/>
    <w:rsid w:val="00CC5B99"/>
    <w:rsid w:val="00CC61F1"/>
    <w:rsid w:val="00CC6F3D"/>
    <w:rsid w:val="00CC76A2"/>
    <w:rsid w:val="00CC76EA"/>
    <w:rsid w:val="00CC7CF1"/>
    <w:rsid w:val="00CD0520"/>
    <w:rsid w:val="00CD2934"/>
    <w:rsid w:val="00CD346A"/>
    <w:rsid w:val="00CD3D1F"/>
    <w:rsid w:val="00CD531B"/>
    <w:rsid w:val="00CD62F6"/>
    <w:rsid w:val="00CD7682"/>
    <w:rsid w:val="00CD7840"/>
    <w:rsid w:val="00CD7C92"/>
    <w:rsid w:val="00CE047C"/>
    <w:rsid w:val="00CE08FC"/>
    <w:rsid w:val="00CE1220"/>
    <w:rsid w:val="00CE2AF9"/>
    <w:rsid w:val="00CE2B1F"/>
    <w:rsid w:val="00CE2FB3"/>
    <w:rsid w:val="00CE353E"/>
    <w:rsid w:val="00CE389B"/>
    <w:rsid w:val="00CE3AB1"/>
    <w:rsid w:val="00CE51BA"/>
    <w:rsid w:val="00CE552F"/>
    <w:rsid w:val="00CE58B9"/>
    <w:rsid w:val="00CE5D0C"/>
    <w:rsid w:val="00CE68F5"/>
    <w:rsid w:val="00CE6D03"/>
    <w:rsid w:val="00CE7235"/>
    <w:rsid w:val="00CE7286"/>
    <w:rsid w:val="00CF09D3"/>
    <w:rsid w:val="00CF0AEA"/>
    <w:rsid w:val="00CF0D24"/>
    <w:rsid w:val="00CF0DB7"/>
    <w:rsid w:val="00CF12D8"/>
    <w:rsid w:val="00CF135C"/>
    <w:rsid w:val="00CF2622"/>
    <w:rsid w:val="00CF2A5E"/>
    <w:rsid w:val="00CF31E1"/>
    <w:rsid w:val="00CF3612"/>
    <w:rsid w:val="00CF45A1"/>
    <w:rsid w:val="00CF4F52"/>
    <w:rsid w:val="00CF5FC5"/>
    <w:rsid w:val="00CF6A03"/>
    <w:rsid w:val="00CF6DEA"/>
    <w:rsid w:val="00CF73FB"/>
    <w:rsid w:val="00D008C8"/>
    <w:rsid w:val="00D00B67"/>
    <w:rsid w:val="00D01084"/>
    <w:rsid w:val="00D026EF"/>
    <w:rsid w:val="00D029F1"/>
    <w:rsid w:val="00D02B2D"/>
    <w:rsid w:val="00D02B97"/>
    <w:rsid w:val="00D02D31"/>
    <w:rsid w:val="00D02F94"/>
    <w:rsid w:val="00D04328"/>
    <w:rsid w:val="00D04570"/>
    <w:rsid w:val="00D04640"/>
    <w:rsid w:val="00D06455"/>
    <w:rsid w:val="00D07331"/>
    <w:rsid w:val="00D07EFE"/>
    <w:rsid w:val="00D11E8B"/>
    <w:rsid w:val="00D12381"/>
    <w:rsid w:val="00D13A19"/>
    <w:rsid w:val="00D13F24"/>
    <w:rsid w:val="00D146AA"/>
    <w:rsid w:val="00D149B1"/>
    <w:rsid w:val="00D16629"/>
    <w:rsid w:val="00D1720C"/>
    <w:rsid w:val="00D216AA"/>
    <w:rsid w:val="00D21C8C"/>
    <w:rsid w:val="00D224B9"/>
    <w:rsid w:val="00D22BDE"/>
    <w:rsid w:val="00D23812"/>
    <w:rsid w:val="00D239F9"/>
    <w:rsid w:val="00D24701"/>
    <w:rsid w:val="00D247A6"/>
    <w:rsid w:val="00D24EBD"/>
    <w:rsid w:val="00D25591"/>
    <w:rsid w:val="00D2599F"/>
    <w:rsid w:val="00D25D4F"/>
    <w:rsid w:val="00D263E5"/>
    <w:rsid w:val="00D269ED"/>
    <w:rsid w:val="00D26A90"/>
    <w:rsid w:val="00D26E3D"/>
    <w:rsid w:val="00D2716C"/>
    <w:rsid w:val="00D272AC"/>
    <w:rsid w:val="00D27787"/>
    <w:rsid w:val="00D3060A"/>
    <w:rsid w:val="00D31078"/>
    <w:rsid w:val="00D31651"/>
    <w:rsid w:val="00D324A1"/>
    <w:rsid w:val="00D3254F"/>
    <w:rsid w:val="00D33CE0"/>
    <w:rsid w:val="00D34BD4"/>
    <w:rsid w:val="00D34D29"/>
    <w:rsid w:val="00D351CE"/>
    <w:rsid w:val="00D35FF6"/>
    <w:rsid w:val="00D36496"/>
    <w:rsid w:val="00D36EDC"/>
    <w:rsid w:val="00D373CC"/>
    <w:rsid w:val="00D404AA"/>
    <w:rsid w:val="00D41089"/>
    <w:rsid w:val="00D41527"/>
    <w:rsid w:val="00D41893"/>
    <w:rsid w:val="00D41CB3"/>
    <w:rsid w:val="00D421C4"/>
    <w:rsid w:val="00D422F2"/>
    <w:rsid w:val="00D42736"/>
    <w:rsid w:val="00D43BC8"/>
    <w:rsid w:val="00D440B6"/>
    <w:rsid w:val="00D445AB"/>
    <w:rsid w:val="00D44698"/>
    <w:rsid w:val="00D4494F"/>
    <w:rsid w:val="00D4497F"/>
    <w:rsid w:val="00D449E3"/>
    <w:rsid w:val="00D45717"/>
    <w:rsid w:val="00D46BA8"/>
    <w:rsid w:val="00D47537"/>
    <w:rsid w:val="00D477C5"/>
    <w:rsid w:val="00D4792F"/>
    <w:rsid w:val="00D50307"/>
    <w:rsid w:val="00D50C80"/>
    <w:rsid w:val="00D510BD"/>
    <w:rsid w:val="00D518DB"/>
    <w:rsid w:val="00D51A81"/>
    <w:rsid w:val="00D523DB"/>
    <w:rsid w:val="00D524B5"/>
    <w:rsid w:val="00D5293D"/>
    <w:rsid w:val="00D5307A"/>
    <w:rsid w:val="00D53DB6"/>
    <w:rsid w:val="00D542DA"/>
    <w:rsid w:val="00D551FF"/>
    <w:rsid w:val="00D55486"/>
    <w:rsid w:val="00D5675B"/>
    <w:rsid w:val="00D56A92"/>
    <w:rsid w:val="00D6089C"/>
    <w:rsid w:val="00D62CA1"/>
    <w:rsid w:val="00D63608"/>
    <w:rsid w:val="00D636B3"/>
    <w:rsid w:val="00D63C89"/>
    <w:rsid w:val="00D64926"/>
    <w:rsid w:val="00D64E42"/>
    <w:rsid w:val="00D65531"/>
    <w:rsid w:val="00D65795"/>
    <w:rsid w:val="00D6699D"/>
    <w:rsid w:val="00D66BDE"/>
    <w:rsid w:val="00D67595"/>
    <w:rsid w:val="00D678A7"/>
    <w:rsid w:val="00D7117D"/>
    <w:rsid w:val="00D717D6"/>
    <w:rsid w:val="00D71C2D"/>
    <w:rsid w:val="00D71DEC"/>
    <w:rsid w:val="00D737D1"/>
    <w:rsid w:val="00D748C7"/>
    <w:rsid w:val="00D7531B"/>
    <w:rsid w:val="00D7538E"/>
    <w:rsid w:val="00D754FF"/>
    <w:rsid w:val="00D75935"/>
    <w:rsid w:val="00D75F19"/>
    <w:rsid w:val="00D7600F"/>
    <w:rsid w:val="00D76670"/>
    <w:rsid w:val="00D76DBD"/>
    <w:rsid w:val="00D76EDA"/>
    <w:rsid w:val="00D7762A"/>
    <w:rsid w:val="00D778BD"/>
    <w:rsid w:val="00D802B8"/>
    <w:rsid w:val="00D8243D"/>
    <w:rsid w:val="00D83551"/>
    <w:rsid w:val="00D836E5"/>
    <w:rsid w:val="00D84F8F"/>
    <w:rsid w:val="00D851F3"/>
    <w:rsid w:val="00D855EC"/>
    <w:rsid w:val="00D85C1E"/>
    <w:rsid w:val="00D85C65"/>
    <w:rsid w:val="00D86323"/>
    <w:rsid w:val="00D87283"/>
    <w:rsid w:val="00D8775A"/>
    <w:rsid w:val="00D87E69"/>
    <w:rsid w:val="00D9067A"/>
    <w:rsid w:val="00D90A17"/>
    <w:rsid w:val="00D91DEF"/>
    <w:rsid w:val="00D91F6F"/>
    <w:rsid w:val="00D92138"/>
    <w:rsid w:val="00D925FB"/>
    <w:rsid w:val="00D92748"/>
    <w:rsid w:val="00D928F0"/>
    <w:rsid w:val="00D92A90"/>
    <w:rsid w:val="00D93225"/>
    <w:rsid w:val="00D93B3A"/>
    <w:rsid w:val="00D93C95"/>
    <w:rsid w:val="00D9403F"/>
    <w:rsid w:val="00D940C5"/>
    <w:rsid w:val="00D9453A"/>
    <w:rsid w:val="00D9454D"/>
    <w:rsid w:val="00D94F07"/>
    <w:rsid w:val="00D96014"/>
    <w:rsid w:val="00D973FF"/>
    <w:rsid w:val="00D97CD8"/>
    <w:rsid w:val="00D97F24"/>
    <w:rsid w:val="00DA152C"/>
    <w:rsid w:val="00DA1A45"/>
    <w:rsid w:val="00DA1E29"/>
    <w:rsid w:val="00DA3176"/>
    <w:rsid w:val="00DA3326"/>
    <w:rsid w:val="00DA4D0D"/>
    <w:rsid w:val="00DA6073"/>
    <w:rsid w:val="00DA6C0F"/>
    <w:rsid w:val="00DA6ED2"/>
    <w:rsid w:val="00DA7164"/>
    <w:rsid w:val="00DA7249"/>
    <w:rsid w:val="00DB0B31"/>
    <w:rsid w:val="00DB1330"/>
    <w:rsid w:val="00DB13AB"/>
    <w:rsid w:val="00DB14B6"/>
    <w:rsid w:val="00DB1572"/>
    <w:rsid w:val="00DB19B9"/>
    <w:rsid w:val="00DB1B89"/>
    <w:rsid w:val="00DB2651"/>
    <w:rsid w:val="00DB3AD5"/>
    <w:rsid w:val="00DB3DC6"/>
    <w:rsid w:val="00DB40CB"/>
    <w:rsid w:val="00DB4AB3"/>
    <w:rsid w:val="00DB55E4"/>
    <w:rsid w:val="00DB5D81"/>
    <w:rsid w:val="00DB6065"/>
    <w:rsid w:val="00DB6535"/>
    <w:rsid w:val="00DB65C9"/>
    <w:rsid w:val="00DB6F97"/>
    <w:rsid w:val="00DC0041"/>
    <w:rsid w:val="00DC0597"/>
    <w:rsid w:val="00DC0E3A"/>
    <w:rsid w:val="00DC119F"/>
    <w:rsid w:val="00DC163B"/>
    <w:rsid w:val="00DC1C47"/>
    <w:rsid w:val="00DC1CFB"/>
    <w:rsid w:val="00DC24BC"/>
    <w:rsid w:val="00DC2789"/>
    <w:rsid w:val="00DC3287"/>
    <w:rsid w:val="00DC3FCF"/>
    <w:rsid w:val="00DC4953"/>
    <w:rsid w:val="00DC4979"/>
    <w:rsid w:val="00DC4A70"/>
    <w:rsid w:val="00DC590F"/>
    <w:rsid w:val="00DC5B1B"/>
    <w:rsid w:val="00DC5E86"/>
    <w:rsid w:val="00DC602E"/>
    <w:rsid w:val="00DC60AA"/>
    <w:rsid w:val="00DC6B41"/>
    <w:rsid w:val="00DC6CFE"/>
    <w:rsid w:val="00DC6F44"/>
    <w:rsid w:val="00DD0140"/>
    <w:rsid w:val="00DD1143"/>
    <w:rsid w:val="00DD139F"/>
    <w:rsid w:val="00DD1ADB"/>
    <w:rsid w:val="00DD201D"/>
    <w:rsid w:val="00DD2672"/>
    <w:rsid w:val="00DD2B7D"/>
    <w:rsid w:val="00DD2EAA"/>
    <w:rsid w:val="00DD300F"/>
    <w:rsid w:val="00DD33C5"/>
    <w:rsid w:val="00DD3681"/>
    <w:rsid w:val="00DD3C9D"/>
    <w:rsid w:val="00DD4734"/>
    <w:rsid w:val="00DD5C2B"/>
    <w:rsid w:val="00DD5D2A"/>
    <w:rsid w:val="00DD695C"/>
    <w:rsid w:val="00DE0696"/>
    <w:rsid w:val="00DE0DB7"/>
    <w:rsid w:val="00DE128F"/>
    <w:rsid w:val="00DE2383"/>
    <w:rsid w:val="00DE4DF1"/>
    <w:rsid w:val="00DE4EFA"/>
    <w:rsid w:val="00DE4F0B"/>
    <w:rsid w:val="00DE4FCA"/>
    <w:rsid w:val="00DE5230"/>
    <w:rsid w:val="00DE58C4"/>
    <w:rsid w:val="00DE6078"/>
    <w:rsid w:val="00DE638E"/>
    <w:rsid w:val="00DE7009"/>
    <w:rsid w:val="00DE71A0"/>
    <w:rsid w:val="00DE7CB6"/>
    <w:rsid w:val="00DF0622"/>
    <w:rsid w:val="00DF10C0"/>
    <w:rsid w:val="00DF117F"/>
    <w:rsid w:val="00DF1F89"/>
    <w:rsid w:val="00DF3EE9"/>
    <w:rsid w:val="00DF48FC"/>
    <w:rsid w:val="00DF524C"/>
    <w:rsid w:val="00DF5584"/>
    <w:rsid w:val="00DF5846"/>
    <w:rsid w:val="00DF591C"/>
    <w:rsid w:val="00DF6671"/>
    <w:rsid w:val="00DF6672"/>
    <w:rsid w:val="00DF6750"/>
    <w:rsid w:val="00DF76BF"/>
    <w:rsid w:val="00E00166"/>
    <w:rsid w:val="00E00E10"/>
    <w:rsid w:val="00E00F34"/>
    <w:rsid w:val="00E01132"/>
    <w:rsid w:val="00E02078"/>
    <w:rsid w:val="00E0335F"/>
    <w:rsid w:val="00E034C5"/>
    <w:rsid w:val="00E0370E"/>
    <w:rsid w:val="00E03E4E"/>
    <w:rsid w:val="00E04058"/>
    <w:rsid w:val="00E042EC"/>
    <w:rsid w:val="00E046D3"/>
    <w:rsid w:val="00E04EBD"/>
    <w:rsid w:val="00E05836"/>
    <w:rsid w:val="00E063E7"/>
    <w:rsid w:val="00E06933"/>
    <w:rsid w:val="00E06C3C"/>
    <w:rsid w:val="00E06E30"/>
    <w:rsid w:val="00E07136"/>
    <w:rsid w:val="00E07524"/>
    <w:rsid w:val="00E0788D"/>
    <w:rsid w:val="00E07910"/>
    <w:rsid w:val="00E1016C"/>
    <w:rsid w:val="00E103DA"/>
    <w:rsid w:val="00E10825"/>
    <w:rsid w:val="00E10A9B"/>
    <w:rsid w:val="00E119BA"/>
    <w:rsid w:val="00E12064"/>
    <w:rsid w:val="00E12C7C"/>
    <w:rsid w:val="00E13118"/>
    <w:rsid w:val="00E1423D"/>
    <w:rsid w:val="00E1549C"/>
    <w:rsid w:val="00E15792"/>
    <w:rsid w:val="00E17C26"/>
    <w:rsid w:val="00E20CC2"/>
    <w:rsid w:val="00E20D88"/>
    <w:rsid w:val="00E2266D"/>
    <w:rsid w:val="00E22A69"/>
    <w:rsid w:val="00E22C14"/>
    <w:rsid w:val="00E23980"/>
    <w:rsid w:val="00E239A7"/>
    <w:rsid w:val="00E24688"/>
    <w:rsid w:val="00E24A7E"/>
    <w:rsid w:val="00E24EEA"/>
    <w:rsid w:val="00E258D2"/>
    <w:rsid w:val="00E26128"/>
    <w:rsid w:val="00E2671C"/>
    <w:rsid w:val="00E27F89"/>
    <w:rsid w:val="00E3016A"/>
    <w:rsid w:val="00E306D7"/>
    <w:rsid w:val="00E309C5"/>
    <w:rsid w:val="00E31A29"/>
    <w:rsid w:val="00E3298B"/>
    <w:rsid w:val="00E32D81"/>
    <w:rsid w:val="00E330D7"/>
    <w:rsid w:val="00E342FA"/>
    <w:rsid w:val="00E345B4"/>
    <w:rsid w:val="00E34781"/>
    <w:rsid w:val="00E352E2"/>
    <w:rsid w:val="00E35414"/>
    <w:rsid w:val="00E35AFA"/>
    <w:rsid w:val="00E35E57"/>
    <w:rsid w:val="00E36082"/>
    <w:rsid w:val="00E36FA9"/>
    <w:rsid w:val="00E3716C"/>
    <w:rsid w:val="00E37D47"/>
    <w:rsid w:val="00E40547"/>
    <w:rsid w:val="00E405CE"/>
    <w:rsid w:val="00E41F4E"/>
    <w:rsid w:val="00E4242D"/>
    <w:rsid w:val="00E43F22"/>
    <w:rsid w:val="00E446A1"/>
    <w:rsid w:val="00E44EBB"/>
    <w:rsid w:val="00E45B8A"/>
    <w:rsid w:val="00E467E5"/>
    <w:rsid w:val="00E46F5D"/>
    <w:rsid w:val="00E50402"/>
    <w:rsid w:val="00E51C8F"/>
    <w:rsid w:val="00E52A87"/>
    <w:rsid w:val="00E53C4E"/>
    <w:rsid w:val="00E5533B"/>
    <w:rsid w:val="00E55747"/>
    <w:rsid w:val="00E56957"/>
    <w:rsid w:val="00E56CBF"/>
    <w:rsid w:val="00E5788D"/>
    <w:rsid w:val="00E579BA"/>
    <w:rsid w:val="00E57E23"/>
    <w:rsid w:val="00E6183C"/>
    <w:rsid w:val="00E62174"/>
    <w:rsid w:val="00E6281D"/>
    <w:rsid w:val="00E63F1F"/>
    <w:rsid w:val="00E6413E"/>
    <w:rsid w:val="00E65343"/>
    <w:rsid w:val="00E655A8"/>
    <w:rsid w:val="00E66A30"/>
    <w:rsid w:val="00E673B7"/>
    <w:rsid w:val="00E67AD1"/>
    <w:rsid w:val="00E67DDF"/>
    <w:rsid w:val="00E70634"/>
    <w:rsid w:val="00E70AA0"/>
    <w:rsid w:val="00E70B8D"/>
    <w:rsid w:val="00E71A07"/>
    <w:rsid w:val="00E726E8"/>
    <w:rsid w:val="00E7436A"/>
    <w:rsid w:val="00E75046"/>
    <w:rsid w:val="00E75954"/>
    <w:rsid w:val="00E75A8A"/>
    <w:rsid w:val="00E75E0E"/>
    <w:rsid w:val="00E766A6"/>
    <w:rsid w:val="00E7738C"/>
    <w:rsid w:val="00E7772E"/>
    <w:rsid w:val="00E81E9F"/>
    <w:rsid w:val="00E82D41"/>
    <w:rsid w:val="00E82D5D"/>
    <w:rsid w:val="00E83287"/>
    <w:rsid w:val="00E8474D"/>
    <w:rsid w:val="00E84967"/>
    <w:rsid w:val="00E8523A"/>
    <w:rsid w:val="00E8730C"/>
    <w:rsid w:val="00E87585"/>
    <w:rsid w:val="00E9037E"/>
    <w:rsid w:val="00E908E9"/>
    <w:rsid w:val="00E90A44"/>
    <w:rsid w:val="00E91230"/>
    <w:rsid w:val="00E92311"/>
    <w:rsid w:val="00E92718"/>
    <w:rsid w:val="00E93E14"/>
    <w:rsid w:val="00E948E8"/>
    <w:rsid w:val="00E94C4A"/>
    <w:rsid w:val="00E94F01"/>
    <w:rsid w:val="00E94F8A"/>
    <w:rsid w:val="00E94FE3"/>
    <w:rsid w:val="00E95288"/>
    <w:rsid w:val="00E96203"/>
    <w:rsid w:val="00E968B3"/>
    <w:rsid w:val="00E96989"/>
    <w:rsid w:val="00E972C8"/>
    <w:rsid w:val="00E97495"/>
    <w:rsid w:val="00E977E2"/>
    <w:rsid w:val="00E97C1A"/>
    <w:rsid w:val="00EA0DAE"/>
    <w:rsid w:val="00EA144B"/>
    <w:rsid w:val="00EA1918"/>
    <w:rsid w:val="00EA3A82"/>
    <w:rsid w:val="00EA3CFD"/>
    <w:rsid w:val="00EA43CA"/>
    <w:rsid w:val="00EA467C"/>
    <w:rsid w:val="00EA4C5E"/>
    <w:rsid w:val="00EA5EA3"/>
    <w:rsid w:val="00EA643B"/>
    <w:rsid w:val="00EA6485"/>
    <w:rsid w:val="00EA6601"/>
    <w:rsid w:val="00EA6D7E"/>
    <w:rsid w:val="00EA6E53"/>
    <w:rsid w:val="00EA74DA"/>
    <w:rsid w:val="00EA7C02"/>
    <w:rsid w:val="00EA7FDB"/>
    <w:rsid w:val="00EB0898"/>
    <w:rsid w:val="00EB1162"/>
    <w:rsid w:val="00EB17F4"/>
    <w:rsid w:val="00EB1998"/>
    <w:rsid w:val="00EB32D4"/>
    <w:rsid w:val="00EB3362"/>
    <w:rsid w:val="00EB4F9F"/>
    <w:rsid w:val="00EB656C"/>
    <w:rsid w:val="00EB6E86"/>
    <w:rsid w:val="00EB78B3"/>
    <w:rsid w:val="00EB7A9E"/>
    <w:rsid w:val="00EB7D96"/>
    <w:rsid w:val="00EC01B2"/>
    <w:rsid w:val="00EC03D5"/>
    <w:rsid w:val="00EC068B"/>
    <w:rsid w:val="00EC07D7"/>
    <w:rsid w:val="00EC154A"/>
    <w:rsid w:val="00EC1DD5"/>
    <w:rsid w:val="00EC1EB8"/>
    <w:rsid w:val="00EC2CBF"/>
    <w:rsid w:val="00EC362E"/>
    <w:rsid w:val="00EC472D"/>
    <w:rsid w:val="00EC4CF4"/>
    <w:rsid w:val="00EC526C"/>
    <w:rsid w:val="00EC5DB7"/>
    <w:rsid w:val="00EC698E"/>
    <w:rsid w:val="00EC6D57"/>
    <w:rsid w:val="00EC6D7A"/>
    <w:rsid w:val="00EC7213"/>
    <w:rsid w:val="00EC7229"/>
    <w:rsid w:val="00EC7ADA"/>
    <w:rsid w:val="00EC7E39"/>
    <w:rsid w:val="00ED03EE"/>
    <w:rsid w:val="00ED0C4E"/>
    <w:rsid w:val="00ED2193"/>
    <w:rsid w:val="00ED423A"/>
    <w:rsid w:val="00ED44FA"/>
    <w:rsid w:val="00ED692B"/>
    <w:rsid w:val="00ED73FF"/>
    <w:rsid w:val="00ED78D3"/>
    <w:rsid w:val="00EE10B1"/>
    <w:rsid w:val="00EE1BD0"/>
    <w:rsid w:val="00EE21C3"/>
    <w:rsid w:val="00EE31A9"/>
    <w:rsid w:val="00EE3CF3"/>
    <w:rsid w:val="00EE58D1"/>
    <w:rsid w:val="00EE68B3"/>
    <w:rsid w:val="00EE6C14"/>
    <w:rsid w:val="00EE6C1F"/>
    <w:rsid w:val="00EE7449"/>
    <w:rsid w:val="00EF0435"/>
    <w:rsid w:val="00EF0598"/>
    <w:rsid w:val="00EF065A"/>
    <w:rsid w:val="00EF0F50"/>
    <w:rsid w:val="00EF1B3B"/>
    <w:rsid w:val="00EF1B73"/>
    <w:rsid w:val="00EF2182"/>
    <w:rsid w:val="00EF230A"/>
    <w:rsid w:val="00EF2BA8"/>
    <w:rsid w:val="00EF3793"/>
    <w:rsid w:val="00EF423C"/>
    <w:rsid w:val="00EF4926"/>
    <w:rsid w:val="00EF4CD3"/>
    <w:rsid w:val="00EF51A1"/>
    <w:rsid w:val="00EF68A3"/>
    <w:rsid w:val="00EF69AB"/>
    <w:rsid w:val="00EF6F02"/>
    <w:rsid w:val="00EF77DA"/>
    <w:rsid w:val="00EF77EE"/>
    <w:rsid w:val="00F00358"/>
    <w:rsid w:val="00F01081"/>
    <w:rsid w:val="00F01348"/>
    <w:rsid w:val="00F01A8E"/>
    <w:rsid w:val="00F02562"/>
    <w:rsid w:val="00F0258E"/>
    <w:rsid w:val="00F029B8"/>
    <w:rsid w:val="00F02A21"/>
    <w:rsid w:val="00F0402D"/>
    <w:rsid w:val="00F04141"/>
    <w:rsid w:val="00F043AF"/>
    <w:rsid w:val="00F049C5"/>
    <w:rsid w:val="00F04AC3"/>
    <w:rsid w:val="00F05350"/>
    <w:rsid w:val="00F055F6"/>
    <w:rsid w:val="00F057FA"/>
    <w:rsid w:val="00F068FF"/>
    <w:rsid w:val="00F07423"/>
    <w:rsid w:val="00F078C4"/>
    <w:rsid w:val="00F101C3"/>
    <w:rsid w:val="00F10A66"/>
    <w:rsid w:val="00F11514"/>
    <w:rsid w:val="00F11725"/>
    <w:rsid w:val="00F12190"/>
    <w:rsid w:val="00F12396"/>
    <w:rsid w:val="00F133BA"/>
    <w:rsid w:val="00F138BF"/>
    <w:rsid w:val="00F138D0"/>
    <w:rsid w:val="00F13908"/>
    <w:rsid w:val="00F13FD6"/>
    <w:rsid w:val="00F14289"/>
    <w:rsid w:val="00F143B8"/>
    <w:rsid w:val="00F144A4"/>
    <w:rsid w:val="00F16F2C"/>
    <w:rsid w:val="00F17A13"/>
    <w:rsid w:val="00F17BC1"/>
    <w:rsid w:val="00F17E02"/>
    <w:rsid w:val="00F203A4"/>
    <w:rsid w:val="00F21162"/>
    <w:rsid w:val="00F22DE1"/>
    <w:rsid w:val="00F237D1"/>
    <w:rsid w:val="00F23803"/>
    <w:rsid w:val="00F23FBF"/>
    <w:rsid w:val="00F244ED"/>
    <w:rsid w:val="00F24B51"/>
    <w:rsid w:val="00F25E8E"/>
    <w:rsid w:val="00F26406"/>
    <w:rsid w:val="00F265CB"/>
    <w:rsid w:val="00F26717"/>
    <w:rsid w:val="00F27256"/>
    <w:rsid w:val="00F2745D"/>
    <w:rsid w:val="00F279D6"/>
    <w:rsid w:val="00F30C1F"/>
    <w:rsid w:val="00F32A2B"/>
    <w:rsid w:val="00F343AF"/>
    <w:rsid w:val="00F34F61"/>
    <w:rsid w:val="00F35051"/>
    <w:rsid w:val="00F35A80"/>
    <w:rsid w:val="00F36081"/>
    <w:rsid w:val="00F3641E"/>
    <w:rsid w:val="00F36AF5"/>
    <w:rsid w:val="00F3716E"/>
    <w:rsid w:val="00F37329"/>
    <w:rsid w:val="00F37D93"/>
    <w:rsid w:val="00F40013"/>
    <w:rsid w:val="00F403D9"/>
    <w:rsid w:val="00F40693"/>
    <w:rsid w:val="00F410BF"/>
    <w:rsid w:val="00F41736"/>
    <w:rsid w:val="00F41777"/>
    <w:rsid w:val="00F41B59"/>
    <w:rsid w:val="00F41FB4"/>
    <w:rsid w:val="00F42FE3"/>
    <w:rsid w:val="00F4350C"/>
    <w:rsid w:val="00F43F9E"/>
    <w:rsid w:val="00F4489E"/>
    <w:rsid w:val="00F45D9C"/>
    <w:rsid w:val="00F47493"/>
    <w:rsid w:val="00F47A7A"/>
    <w:rsid w:val="00F50888"/>
    <w:rsid w:val="00F520D7"/>
    <w:rsid w:val="00F52694"/>
    <w:rsid w:val="00F5364D"/>
    <w:rsid w:val="00F536EC"/>
    <w:rsid w:val="00F53C03"/>
    <w:rsid w:val="00F54B2D"/>
    <w:rsid w:val="00F5538C"/>
    <w:rsid w:val="00F56527"/>
    <w:rsid w:val="00F5699F"/>
    <w:rsid w:val="00F60179"/>
    <w:rsid w:val="00F6062B"/>
    <w:rsid w:val="00F619B1"/>
    <w:rsid w:val="00F622F9"/>
    <w:rsid w:val="00F65775"/>
    <w:rsid w:val="00F65FCB"/>
    <w:rsid w:val="00F66DFB"/>
    <w:rsid w:val="00F672FE"/>
    <w:rsid w:val="00F70434"/>
    <w:rsid w:val="00F71420"/>
    <w:rsid w:val="00F716BD"/>
    <w:rsid w:val="00F71B97"/>
    <w:rsid w:val="00F72E09"/>
    <w:rsid w:val="00F7348F"/>
    <w:rsid w:val="00F74602"/>
    <w:rsid w:val="00F749AB"/>
    <w:rsid w:val="00F75DCB"/>
    <w:rsid w:val="00F76145"/>
    <w:rsid w:val="00F7642F"/>
    <w:rsid w:val="00F76A42"/>
    <w:rsid w:val="00F76FAC"/>
    <w:rsid w:val="00F77197"/>
    <w:rsid w:val="00F77E7F"/>
    <w:rsid w:val="00F77FD8"/>
    <w:rsid w:val="00F80C2C"/>
    <w:rsid w:val="00F82897"/>
    <w:rsid w:val="00F84337"/>
    <w:rsid w:val="00F843EE"/>
    <w:rsid w:val="00F848B9"/>
    <w:rsid w:val="00F85F07"/>
    <w:rsid w:val="00F8604D"/>
    <w:rsid w:val="00F87176"/>
    <w:rsid w:val="00F87C8E"/>
    <w:rsid w:val="00F90819"/>
    <w:rsid w:val="00F90C6C"/>
    <w:rsid w:val="00F91E2C"/>
    <w:rsid w:val="00F9242F"/>
    <w:rsid w:val="00F9283E"/>
    <w:rsid w:val="00F929FB"/>
    <w:rsid w:val="00F92A1E"/>
    <w:rsid w:val="00F92D95"/>
    <w:rsid w:val="00F930D5"/>
    <w:rsid w:val="00F93794"/>
    <w:rsid w:val="00F93A6E"/>
    <w:rsid w:val="00F9472A"/>
    <w:rsid w:val="00F94D66"/>
    <w:rsid w:val="00F94F7B"/>
    <w:rsid w:val="00F96130"/>
    <w:rsid w:val="00F97AD6"/>
    <w:rsid w:val="00F97BBA"/>
    <w:rsid w:val="00FA08EA"/>
    <w:rsid w:val="00FA0B9C"/>
    <w:rsid w:val="00FA17C5"/>
    <w:rsid w:val="00FA198E"/>
    <w:rsid w:val="00FA1CD1"/>
    <w:rsid w:val="00FA1D03"/>
    <w:rsid w:val="00FA1EF2"/>
    <w:rsid w:val="00FA35C9"/>
    <w:rsid w:val="00FA3FB7"/>
    <w:rsid w:val="00FA4AFA"/>
    <w:rsid w:val="00FA672A"/>
    <w:rsid w:val="00FA6EA1"/>
    <w:rsid w:val="00FB00D6"/>
    <w:rsid w:val="00FB0736"/>
    <w:rsid w:val="00FB0E18"/>
    <w:rsid w:val="00FB0E98"/>
    <w:rsid w:val="00FB0FA6"/>
    <w:rsid w:val="00FB0FF5"/>
    <w:rsid w:val="00FB1692"/>
    <w:rsid w:val="00FB187F"/>
    <w:rsid w:val="00FB18E3"/>
    <w:rsid w:val="00FB19CD"/>
    <w:rsid w:val="00FB1BBE"/>
    <w:rsid w:val="00FB26A6"/>
    <w:rsid w:val="00FB3C97"/>
    <w:rsid w:val="00FB4223"/>
    <w:rsid w:val="00FB4C2E"/>
    <w:rsid w:val="00FB5AA3"/>
    <w:rsid w:val="00FB6525"/>
    <w:rsid w:val="00FB6CB9"/>
    <w:rsid w:val="00FB7226"/>
    <w:rsid w:val="00FB784C"/>
    <w:rsid w:val="00FC073F"/>
    <w:rsid w:val="00FC18CC"/>
    <w:rsid w:val="00FC19A1"/>
    <w:rsid w:val="00FC3CCC"/>
    <w:rsid w:val="00FC4C40"/>
    <w:rsid w:val="00FC5058"/>
    <w:rsid w:val="00FC694C"/>
    <w:rsid w:val="00FD0467"/>
    <w:rsid w:val="00FD0843"/>
    <w:rsid w:val="00FD34F6"/>
    <w:rsid w:val="00FD3FF7"/>
    <w:rsid w:val="00FD44CC"/>
    <w:rsid w:val="00FD4E7F"/>
    <w:rsid w:val="00FD57E2"/>
    <w:rsid w:val="00FD5A20"/>
    <w:rsid w:val="00FD5E22"/>
    <w:rsid w:val="00FD5FC7"/>
    <w:rsid w:val="00FD69C7"/>
    <w:rsid w:val="00FD6FCC"/>
    <w:rsid w:val="00FD74B1"/>
    <w:rsid w:val="00FD7930"/>
    <w:rsid w:val="00FE067B"/>
    <w:rsid w:val="00FE211A"/>
    <w:rsid w:val="00FE2683"/>
    <w:rsid w:val="00FE288E"/>
    <w:rsid w:val="00FE29D1"/>
    <w:rsid w:val="00FE30F1"/>
    <w:rsid w:val="00FE3720"/>
    <w:rsid w:val="00FE4030"/>
    <w:rsid w:val="00FE443D"/>
    <w:rsid w:val="00FE4734"/>
    <w:rsid w:val="00FE4F43"/>
    <w:rsid w:val="00FE5D5A"/>
    <w:rsid w:val="00FE616B"/>
    <w:rsid w:val="00FE6CAD"/>
    <w:rsid w:val="00FE7B57"/>
    <w:rsid w:val="00FF01BF"/>
    <w:rsid w:val="00FF0AF9"/>
    <w:rsid w:val="00FF1359"/>
    <w:rsid w:val="00FF1D84"/>
    <w:rsid w:val="00FF2F71"/>
    <w:rsid w:val="00FF30C1"/>
    <w:rsid w:val="00FF4478"/>
    <w:rsid w:val="00FF45AA"/>
    <w:rsid w:val="00FF47E0"/>
    <w:rsid w:val="00FF54C6"/>
    <w:rsid w:val="00FF6873"/>
    <w:rsid w:val="00FF785C"/>
    <w:rsid w:val="024D36DB"/>
    <w:rsid w:val="029F822F"/>
    <w:rsid w:val="037B51AF"/>
    <w:rsid w:val="03935A5B"/>
    <w:rsid w:val="04574648"/>
    <w:rsid w:val="04D5AA62"/>
    <w:rsid w:val="04E7BDF1"/>
    <w:rsid w:val="069CBEF3"/>
    <w:rsid w:val="0A47E4D8"/>
    <w:rsid w:val="0AF78907"/>
    <w:rsid w:val="0B815B62"/>
    <w:rsid w:val="0D1896D9"/>
    <w:rsid w:val="0EC29543"/>
    <w:rsid w:val="0ED98564"/>
    <w:rsid w:val="0F24FC48"/>
    <w:rsid w:val="0F340C10"/>
    <w:rsid w:val="0FF05445"/>
    <w:rsid w:val="11A19AD4"/>
    <w:rsid w:val="13C2B915"/>
    <w:rsid w:val="144A1642"/>
    <w:rsid w:val="14EFB316"/>
    <w:rsid w:val="15A756BA"/>
    <w:rsid w:val="15E4530C"/>
    <w:rsid w:val="178C6711"/>
    <w:rsid w:val="195A91C9"/>
    <w:rsid w:val="1A3FC937"/>
    <w:rsid w:val="1A567418"/>
    <w:rsid w:val="1A8C286E"/>
    <w:rsid w:val="1AEDB1B4"/>
    <w:rsid w:val="1B167AF3"/>
    <w:rsid w:val="1BE1C83D"/>
    <w:rsid w:val="1CBFC785"/>
    <w:rsid w:val="1E3E670D"/>
    <w:rsid w:val="1EC6691A"/>
    <w:rsid w:val="1F240038"/>
    <w:rsid w:val="1F29E53B"/>
    <w:rsid w:val="20BF29D7"/>
    <w:rsid w:val="21420CE7"/>
    <w:rsid w:val="2155AD9C"/>
    <w:rsid w:val="21BBDEEB"/>
    <w:rsid w:val="229375F1"/>
    <w:rsid w:val="23F6A070"/>
    <w:rsid w:val="2401E7D3"/>
    <w:rsid w:val="26E0CFFC"/>
    <w:rsid w:val="28BCA233"/>
    <w:rsid w:val="29526603"/>
    <w:rsid w:val="29F68746"/>
    <w:rsid w:val="2A0246CD"/>
    <w:rsid w:val="2C066F0A"/>
    <w:rsid w:val="2C73D0EF"/>
    <w:rsid w:val="2CB73447"/>
    <w:rsid w:val="2CF7C881"/>
    <w:rsid w:val="2D0EBF93"/>
    <w:rsid w:val="2D7A2100"/>
    <w:rsid w:val="2DB97955"/>
    <w:rsid w:val="2EEDDA70"/>
    <w:rsid w:val="2F3C7C35"/>
    <w:rsid w:val="2FD27480"/>
    <w:rsid w:val="31654651"/>
    <w:rsid w:val="32ACB55E"/>
    <w:rsid w:val="34568507"/>
    <w:rsid w:val="356AEB12"/>
    <w:rsid w:val="37487E79"/>
    <w:rsid w:val="3808DEA8"/>
    <w:rsid w:val="38A1853E"/>
    <w:rsid w:val="392C152C"/>
    <w:rsid w:val="3B17C7DB"/>
    <w:rsid w:val="3B99D24F"/>
    <w:rsid w:val="3D012B42"/>
    <w:rsid w:val="3D23DF5E"/>
    <w:rsid w:val="3E034E71"/>
    <w:rsid w:val="3F7027EF"/>
    <w:rsid w:val="3FF9E41F"/>
    <w:rsid w:val="40D5B42F"/>
    <w:rsid w:val="416E9673"/>
    <w:rsid w:val="453F1AAE"/>
    <w:rsid w:val="466A2E92"/>
    <w:rsid w:val="46A5FD36"/>
    <w:rsid w:val="47743AA6"/>
    <w:rsid w:val="4A2C3930"/>
    <w:rsid w:val="4C129ED0"/>
    <w:rsid w:val="4CD899F8"/>
    <w:rsid w:val="4DC026FB"/>
    <w:rsid w:val="4E27EB86"/>
    <w:rsid w:val="4F89EDD9"/>
    <w:rsid w:val="500ADDE5"/>
    <w:rsid w:val="5037836F"/>
    <w:rsid w:val="55CABAF4"/>
    <w:rsid w:val="56462443"/>
    <w:rsid w:val="5659D57D"/>
    <w:rsid w:val="575232AE"/>
    <w:rsid w:val="598DFC6F"/>
    <w:rsid w:val="5A69111F"/>
    <w:rsid w:val="5B7E247B"/>
    <w:rsid w:val="5B8D54DE"/>
    <w:rsid w:val="5CE09F59"/>
    <w:rsid w:val="5F174F29"/>
    <w:rsid w:val="5F4B337B"/>
    <w:rsid w:val="603CC871"/>
    <w:rsid w:val="6164D9E2"/>
    <w:rsid w:val="630CFFCC"/>
    <w:rsid w:val="63559679"/>
    <w:rsid w:val="642B8252"/>
    <w:rsid w:val="64CA7445"/>
    <w:rsid w:val="64E45A64"/>
    <w:rsid w:val="66016D71"/>
    <w:rsid w:val="68293F80"/>
    <w:rsid w:val="690C863E"/>
    <w:rsid w:val="69C79335"/>
    <w:rsid w:val="6C522411"/>
    <w:rsid w:val="6C8CC3C8"/>
    <w:rsid w:val="6CF0380E"/>
    <w:rsid w:val="6D796ED1"/>
    <w:rsid w:val="6DCE5F65"/>
    <w:rsid w:val="6DFF3044"/>
    <w:rsid w:val="6E19BCCB"/>
    <w:rsid w:val="6E95D00A"/>
    <w:rsid w:val="7017552F"/>
    <w:rsid w:val="70B9236C"/>
    <w:rsid w:val="70F8003A"/>
    <w:rsid w:val="724DB3AE"/>
    <w:rsid w:val="748FC4EA"/>
    <w:rsid w:val="76BF6721"/>
    <w:rsid w:val="777F6DFC"/>
    <w:rsid w:val="77FF7616"/>
    <w:rsid w:val="789862B8"/>
    <w:rsid w:val="791029A9"/>
    <w:rsid w:val="7D5BE083"/>
    <w:rsid w:val="7E81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6213D9"/>
  <w15:docId w15:val="{7CD8D420-C74C-47D6-BC9C-00BCA1EE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825"/>
    <w:pPr>
      <w:widowControl w:val="0"/>
    </w:pPr>
    <w:rPr>
      <w:rFonts w:ascii="Arial" w:hAnsi="Arial"/>
      <w:snapToGrid w:val="0"/>
      <w:sz w:val="24"/>
      <w:lang w:val="es-ES_tradnl"/>
    </w:rPr>
  </w:style>
  <w:style w:type="paragraph" w:styleId="Ttulo1">
    <w:name w:val="heading 1"/>
    <w:basedOn w:val="Normal"/>
    <w:next w:val="Normal"/>
    <w:qFormat/>
    <w:rsid w:val="005F1825"/>
    <w:pPr>
      <w:spacing w:before="240"/>
      <w:jc w:val="center"/>
      <w:outlineLvl w:val="0"/>
    </w:pPr>
    <w:rPr>
      <w:color w:val="000000"/>
    </w:rPr>
  </w:style>
  <w:style w:type="paragraph" w:styleId="Ttulo2">
    <w:name w:val="heading 2"/>
    <w:basedOn w:val="Normal"/>
    <w:next w:val="Normal"/>
    <w:link w:val="Ttulo2Car"/>
    <w:qFormat/>
    <w:rsid w:val="005F1825"/>
    <w:pPr>
      <w:spacing w:before="240"/>
      <w:jc w:val="center"/>
      <w:outlineLvl w:val="1"/>
    </w:pPr>
    <w:rPr>
      <w:b/>
      <w:color w:val="000000"/>
      <w:sz w:val="28"/>
    </w:rPr>
  </w:style>
  <w:style w:type="paragraph" w:styleId="Ttulo3">
    <w:name w:val="heading 3"/>
    <w:basedOn w:val="Normal"/>
    <w:next w:val="Sangranormal"/>
    <w:qFormat/>
    <w:rsid w:val="005F1825"/>
    <w:pPr>
      <w:keepNext/>
      <w:spacing w:before="240"/>
      <w:outlineLvl w:val="2"/>
    </w:pPr>
    <w:rPr>
      <w:b/>
      <w:color w:val="80808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normal">
    <w:name w:val="Normal Indent"/>
    <w:basedOn w:val="Normal"/>
    <w:rsid w:val="005F1825"/>
    <w:pPr>
      <w:ind w:left="720"/>
    </w:pPr>
  </w:style>
  <w:style w:type="paragraph" w:styleId="Textonotaalfinal">
    <w:name w:val="endnote text"/>
    <w:basedOn w:val="Normal"/>
    <w:semiHidden/>
    <w:rsid w:val="005F1825"/>
    <w:rPr>
      <w:sz w:val="20"/>
    </w:rPr>
  </w:style>
  <w:style w:type="paragraph" w:customStyle="1" w:styleId="Asunto">
    <w:name w:val="Asunto"/>
    <w:basedOn w:val="Normal"/>
    <w:rsid w:val="005F1825"/>
    <w:pPr>
      <w:keepLines/>
      <w:spacing w:before="240"/>
      <w:ind w:left="5040" w:hanging="1267"/>
    </w:pPr>
    <w:rPr>
      <w:rFonts w:ascii="Univers" w:hAnsi="Univers"/>
      <w:color w:val="000000"/>
      <w:u w:val="single"/>
    </w:rPr>
  </w:style>
  <w:style w:type="paragraph" w:styleId="Piedepgina">
    <w:name w:val="footer"/>
    <w:basedOn w:val="Normal"/>
    <w:link w:val="PiedepginaCar"/>
    <w:uiPriority w:val="99"/>
    <w:rsid w:val="005F182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rsid w:val="005F1825"/>
    <w:pPr>
      <w:tabs>
        <w:tab w:val="center" w:pos="4819"/>
        <w:tab w:val="right" w:pos="9071"/>
      </w:tabs>
    </w:pPr>
  </w:style>
  <w:style w:type="paragraph" w:customStyle="1" w:styleId="p0">
    <w:name w:val="p0"/>
    <w:basedOn w:val="Normal"/>
    <w:rsid w:val="005F1825"/>
    <w:pPr>
      <w:keepLines/>
      <w:spacing w:before="240"/>
      <w:jc w:val="both"/>
    </w:pPr>
    <w:rPr>
      <w:color w:val="0000FF"/>
    </w:rPr>
  </w:style>
  <w:style w:type="paragraph" w:customStyle="1" w:styleId="n0">
    <w:name w:val="n0"/>
    <w:basedOn w:val="Normal"/>
    <w:rsid w:val="005F1825"/>
    <w:pPr>
      <w:keepLines/>
      <w:spacing w:before="240"/>
      <w:ind w:left="1080" w:hanging="1080"/>
      <w:jc w:val="both"/>
    </w:pPr>
    <w:rPr>
      <w:color w:val="800080"/>
    </w:rPr>
  </w:style>
  <w:style w:type="paragraph" w:customStyle="1" w:styleId="bullet">
    <w:name w:val="bullet"/>
    <w:basedOn w:val="Normal"/>
    <w:rsid w:val="005F1825"/>
    <w:pPr>
      <w:numPr>
        <w:numId w:val="19"/>
      </w:numPr>
      <w:spacing w:before="240"/>
      <w:ind w:right="1185"/>
      <w:jc w:val="both"/>
    </w:pPr>
    <w:rPr>
      <w:b/>
      <w:color w:val="000080"/>
      <w:sz w:val="22"/>
    </w:rPr>
  </w:style>
  <w:style w:type="paragraph" w:customStyle="1" w:styleId="fecha">
    <w:name w:val="fecha"/>
    <w:basedOn w:val="Normal"/>
    <w:rsid w:val="005F1825"/>
    <w:pPr>
      <w:jc w:val="right"/>
    </w:pPr>
  </w:style>
  <w:style w:type="paragraph" w:customStyle="1" w:styleId="parra-nota">
    <w:name w:val="parra-nota"/>
    <w:basedOn w:val="p0"/>
    <w:rsid w:val="005F1825"/>
    <w:pPr>
      <w:tabs>
        <w:tab w:val="left" w:pos="567"/>
      </w:tabs>
      <w:spacing w:before="600"/>
      <w:ind w:left="567" w:right="11" w:hanging="567"/>
    </w:pPr>
  </w:style>
  <w:style w:type="paragraph" w:customStyle="1" w:styleId="parra-nota1">
    <w:name w:val="parra-nota1"/>
    <w:basedOn w:val="parra-nota"/>
    <w:rsid w:val="005F1825"/>
    <w:pPr>
      <w:tabs>
        <w:tab w:val="clear" w:pos="567"/>
      </w:tabs>
      <w:ind w:firstLine="0"/>
    </w:pPr>
  </w:style>
  <w:style w:type="paragraph" w:customStyle="1" w:styleId="Normal1">
    <w:name w:val="Normal1"/>
    <w:rsid w:val="005F1825"/>
    <w:rPr>
      <w:rFonts w:ascii="CG Times" w:hAnsi="CG Times"/>
      <w:lang w:val="es-ES_tradnl"/>
    </w:rPr>
  </w:style>
  <w:style w:type="paragraph" w:styleId="Textoindependiente">
    <w:name w:val="Body Text"/>
    <w:basedOn w:val="Normal"/>
    <w:link w:val="TextoindependienteCar"/>
    <w:rsid w:val="005F1825"/>
    <w:pPr>
      <w:widowControl/>
    </w:pPr>
    <w:rPr>
      <w:color w:val="000000"/>
      <w:lang w:val="es-ES"/>
    </w:rPr>
  </w:style>
  <w:style w:type="character" w:styleId="Hipervnculo">
    <w:name w:val="Hyperlink"/>
    <w:basedOn w:val="Fuentedeprrafopredeter"/>
    <w:uiPriority w:val="99"/>
    <w:rsid w:val="005F1825"/>
    <w:rPr>
      <w:color w:val="0000FF"/>
      <w:u w:val="single"/>
    </w:rPr>
  </w:style>
  <w:style w:type="paragraph" w:styleId="Textodeglobo">
    <w:name w:val="Balloon Text"/>
    <w:basedOn w:val="Normal"/>
    <w:semiHidden/>
    <w:rsid w:val="005F18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E5C03"/>
    <w:pPr>
      <w:widowControl/>
      <w:spacing w:before="100" w:beforeAutospacing="1" w:after="100" w:afterAutospacing="1"/>
    </w:pPr>
    <w:rPr>
      <w:rFonts w:cs="Arial"/>
      <w:snapToGrid/>
      <w:color w:val="000000"/>
      <w:sz w:val="16"/>
      <w:szCs w:val="16"/>
      <w:lang w:val="es-ES"/>
    </w:rPr>
  </w:style>
  <w:style w:type="paragraph" w:customStyle="1" w:styleId="parr2">
    <w:name w:val="parr2"/>
    <w:basedOn w:val="Normal"/>
    <w:rsid w:val="002A200D"/>
    <w:pPr>
      <w:widowControl/>
      <w:spacing w:before="600"/>
      <w:ind w:left="567" w:right="15"/>
      <w:jc w:val="both"/>
    </w:pPr>
    <w:rPr>
      <w:snapToGrid/>
    </w:rPr>
  </w:style>
  <w:style w:type="paragraph" w:customStyle="1" w:styleId="parrafo1">
    <w:name w:val="parrafo1"/>
    <w:basedOn w:val="p0"/>
    <w:rsid w:val="002D0297"/>
    <w:pPr>
      <w:keepLines w:val="0"/>
      <w:widowControl/>
      <w:spacing w:before="480"/>
      <w:ind w:left="426" w:right="443"/>
    </w:pPr>
    <w:rPr>
      <w:snapToGrid/>
      <w:color w:val="auto"/>
    </w:rPr>
  </w:style>
  <w:style w:type="paragraph" w:customStyle="1" w:styleId="titdoc">
    <w:name w:val="titdoc"/>
    <w:basedOn w:val="Normal"/>
    <w:rsid w:val="00E51C8F"/>
    <w:pPr>
      <w:widowControl/>
      <w:spacing w:before="120"/>
      <w:ind w:left="709" w:hanging="709"/>
      <w:jc w:val="both"/>
    </w:pPr>
    <w:rPr>
      <w:b/>
      <w:snapToGrid/>
    </w:rPr>
  </w:style>
  <w:style w:type="paragraph" w:styleId="Textoindependiente3">
    <w:name w:val="Body Text 3"/>
    <w:basedOn w:val="Normal"/>
    <w:link w:val="Textoindependiente3Car"/>
    <w:rsid w:val="00A00A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00A68"/>
    <w:rPr>
      <w:rFonts w:ascii="Arial" w:hAnsi="Arial"/>
      <w:snapToGrid w:val="0"/>
      <w:sz w:val="16"/>
      <w:szCs w:val="16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B06AE9"/>
    <w:rPr>
      <w:rFonts w:ascii="Arial" w:hAnsi="Arial"/>
      <w:snapToGrid w:val="0"/>
      <w:sz w:val="24"/>
      <w:lang w:val="es-ES_tradnl"/>
    </w:rPr>
  </w:style>
  <w:style w:type="paragraph" w:customStyle="1" w:styleId="p01">
    <w:name w:val="p01"/>
    <w:basedOn w:val="Normal1"/>
    <w:next w:val="p0"/>
    <w:rsid w:val="000C55BE"/>
    <w:pPr>
      <w:keepLines/>
      <w:spacing w:before="240"/>
      <w:jc w:val="both"/>
    </w:pPr>
    <w:rPr>
      <w:rFonts w:ascii="Univers" w:hAnsi="Univers"/>
      <w:color w:val="0000FF"/>
      <w:sz w:val="24"/>
    </w:rPr>
  </w:style>
  <w:style w:type="table" w:styleId="Tablaconcuadrcula">
    <w:name w:val="Table Grid"/>
    <w:basedOn w:val="Tablanormal"/>
    <w:rsid w:val="00663A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mbre">
    <w:name w:val="nombre"/>
    <w:basedOn w:val="Normal"/>
    <w:rsid w:val="003F26EB"/>
    <w:pPr>
      <w:keepLines/>
      <w:spacing w:before="240"/>
      <w:ind w:left="1080" w:hanging="1080"/>
    </w:pPr>
    <w:rPr>
      <w:rFonts w:ascii="Helvetica" w:hAnsi="Helvetica"/>
      <w:color w:val="0000FF"/>
    </w:rPr>
  </w:style>
  <w:style w:type="paragraph" w:styleId="Textonotapie">
    <w:name w:val="footnote text"/>
    <w:basedOn w:val="Normal"/>
    <w:link w:val="TextonotapieCar"/>
    <w:uiPriority w:val="99"/>
    <w:rsid w:val="0036725F"/>
    <w:pPr>
      <w:widowControl/>
    </w:pPr>
    <w:rPr>
      <w:rFonts w:ascii="Times New Roman" w:hAnsi="Times New Roman"/>
      <w:snapToGrid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725F"/>
  </w:style>
  <w:style w:type="character" w:styleId="Refdenotaalpie">
    <w:name w:val="footnote reference"/>
    <w:basedOn w:val="Fuentedeprrafopredeter"/>
    <w:uiPriority w:val="99"/>
    <w:rsid w:val="0036725F"/>
    <w:rPr>
      <w:rFonts w:cs="Arial"/>
      <w:b/>
      <w:smallCaps/>
      <w:sz w:val="22"/>
      <w:vertAlign w:val="superscript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77E4"/>
    <w:rPr>
      <w:rFonts w:ascii="Arial" w:hAnsi="Arial"/>
      <w:snapToGrid w:val="0"/>
      <w:sz w:val="24"/>
      <w:lang w:val="es-ES_tradnl" w:eastAsia="es-ES"/>
    </w:rPr>
  </w:style>
  <w:style w:type="character" w:styleId="Refdenotaalfinal">
    <w:name w:val="endnote reference"/>
    <w:basedOn w:val="Fuentedeprrafopredeter"/>
    <w:rsid w:val="00B577E4"/>
    <w:rPr>
      <w:vertAlign w:val="superscript"/>
    </w:rPr>
  </w:style>
  <w:style w:type="paragraph" w:customStyle="1" w:styleId="p02">
    <w:name w:val="p02"/>
    <w:basedOn w:val="Normal"/>
    <w:next w:val="p0"/>
    <w:rsid w:val="009C447D"/>
    <w:pPr>
      <w:keepLines/>
      <w:widowControl/>
      <w:spacing w:before="240"/>
      <w:ind w:right="11"/>
      <w:jc w:val="both"/>
    </w:pPr>
    <w:rPr>
      <w:rFonts w:ascii="Univers" w:hAnsi="Univers"/>
      <w:snapToGrid/>
      <w:color w:val="0000FF"/>
    </w:rPr>
  </w:style>
  <w:style w:type="paragraph" w:customStyle="1" w:styleId="Profesin">
    <w:name w:val="Profesión"/>
    <w:basedOn w:val="Normal"/>
    <w:rsid w:val="0005576F"/>
    <w:pPr>
      <w:widowControl/>
      <w:jc w:val="center"/>
    </w:pPr>
    <w:rPr>
      <w:b/>
      <w:caps/>
      <w:snapToGrid/>
      <w:spacing w:val="25"/>
      <w:sz w:val="28"/>
    </w:rPr>
  </w:style>
  <w:style w:type="paragraph" w:customStyle="1" w:styleId="n01">
    <w:name w:val="n01"/>
    <w:basedOn w:val="Normal"/>
    <w:rsid w:val="002169BE"/>
    <w:pPr>
      <w:keepLines/>
      <w:widowControl/>
      <w:spacing w:before="240"/>
      <w:ind w:left="720" w:hanging="720"/>
      <w:jc w:val="both"/>
    </w:pPr>
    <w:rPr>
      <w:rFonts w:ascii="Univers (W1)" w:hAnsi="Univers (W1)"/>
      <w:snapToGrid/>
      <w:color w:val="800080"/>
    </w:rPr>
  </w:style>
  <w:style w:type="paragraph" w:customStyle="1" w:styleId="Default">
    <w:name w:val="Default"/>
    <w:rsid w:val="002169B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57241"/>
    <w:pPr>
      <w:ind w:left="720"/>
      <w:contextualSpacing/>
    </w:pPr>
  </w:style>
  <w:style w:type="character" w:styleId="Refdecomentario">
    <w:name w:val="annotation reference"/>
    <w:basedOn w:val="Fuentedeprrafopredeter"/>
    <w:rsid w:val="00C3471E"/>
    <w:rPr>
      <w:sz w:val="16"/>
      <w:szCs w:val="16"/>
    </w:rPr>
  </w:style>
  <w:style w:type="character" w:customStyle="1" w:styleId="tituloproy21">
    <w:name w:val="titulo_proy21"/>
    <w:basedOn w:val="Fuentedeprrafopredeter"/>
    <w:rsid w:val="002C2C06"/>
    <w:rPr>
      <w:rFonts w:ascii="Arial" w:hAnsi="Arial" w:cs="Arial" w:hint="default"/>
      <w:b/>
      <w:bCs/>
      <w:strike w:val="0"/>
      <w:dstrike w:val="0"/>
      <w:color w:val="000000"/>
      <w:sz w:val="30"/>
      <w:szCs w:val="30"/>
      <w:u w:val="none"/>
      <w:effect w:val="none"/>
    </w:rPr>
  </w:style>
  <w:style w:type="character" w:customStyle="1" w:styleId="st1">
    <w:name w:val="st1"/>
    <w:basedOn w:val="Fuentedeprrafopredeter"/>
    <w:rsid w:val="00610305"/>
  </w:style>
  <w:style w:type="paragraph" w:styleId="Textoindependiente2">
    <w:name w:val="Body Text 2"/>
    <w:basedOn w:val="Normal"/>
    <w:link w:val="Textoindependiente2Car"/>
    <w:unhideWhenUsed/>
    <w:rsid w:val="00607F0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07F08"/>
    <w:rPr>
      <w:rFonts w:ascii="Arial" w:hAnsi="Arial"/>
      <w:snapToGrid w:val="0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37C13"/>
    <w:rPr>
      <w:rFonts w:ascii="Arial" w:hAnsi="Arial"/>
      <w:snapToGrid w:val="0"/>
      <w:color w:val="000000"/>
      <w:sz w:val="24"/>
    </w:rPr>
  </w:style>
  <w:style w:type="character" w:customStyle="1" w:styleId="Ttulo2Car">
    <w:name w:val="Título 2 Car"/>
    <w:basedOn w:val="Fuentedeprrafopredeter"/>
    <w:link w:val="Ttulo2"/>
    <w:rsid w:val="00837C13"/>
    <w:rPr>
      <w:rFonts w:ascii="Arial" w:hAnsi="Arial"/>
      <w:b/>
      <w:snapToGrid w:val="0"/>
      <w:color w:val="000000"/>
      <w:sz w:val="28"/>
      <w:lang w:val="es-ES_tradnl"/>
    </w:rPr>
  </w:style>
  <w:style w:type="character" w:styleId="Hipervnculovisitado">
    <w:name w:val="FollowedHyperlink"/>
    <w:basedOn w:val="Fuentedeprrafopredeter"/>
    <w:semiHidden/>
    <w:unhideWhenUsed/>
    <w:rsid w:val="00350744"/>
    <w:rPr>
      <w:color w:val="800080" w:themeColor="followedHyperlink"/>
      <w:u w:val="single"/>
    </w:rPr>
  </w:style>
  <w:style w:type="paragraph" w:styleId="Textocomentario">
    <w:name w:val="annotation text"/>
    <w:basedOn w:val="Normal"/>
    <w:link w:val="TextocomentarioCar"/>
    <w:semiHidden/>
    <w:unhideWhenUsed/>
    <w:rsid w:val="004B179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B179F"/>
    <w:rPr>
      <w:rFonts w:ascii="Arial" w:hAnsi="Arial"/>
      <w:snapToGrid w:val="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B17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B179F"/>
    <w:rPr>
      <w:rFonts w:ascii="Arial" w:hAnsi="Arial"/>
      <w:b/>
      <w:bCs/>
      <w:snapToGrid w:val="0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6B9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663E24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MX" w:eastAsia="es-MX"/>
    </w:rPr>
  </w:style>
  <w:style w:type="paragraph" w:customStyle="1" w:styleId="xmsonormal">
    <w:name w:val="x_msonormal"/>
    <w:basedOn w:val="Normal"/>
    <w:rsid w:val="00663E24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MX" w:eastAsia="es-MX"/>
    </w:rPr>
  </w:style>
  <w:style w:type="paragraph" w:styleId="Revisin">
    <w:name w:val="Revision"/>
    <w:hidden/>
    <w:uiPriority w:val="99"/>
    <w:semiHidden/>
    <w:rsid w:val="00305A21"/>
    <w:rPr>
      <w:rFonts w:ascii="Arial" w:hAnsi="Arial"/>
      <w:snapToGrid w:val="0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065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9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9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5.jpe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image" Target="media/image7.gif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hyperlink" Target="javascript:AddMetaDato('2951','Sistema%20de%20indicadores%20c&#237;clicos',''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hyperlink" Target="https://www.inegi.org.mx/app/biblioteca/ficha.html?upc=702825099060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inegi.org.mx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DGIAI\PIB_OPORTUNO\2022\4to%20trimestre\Graficas%20PIB%20constante%20(originales)_4to_T_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DGIAI\PIB_OPORTUNO\2022\4to%20trimestre\Graficas%20PIB%20constante%20(originales)_3er_T_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20"/>
      <c:depthPercent val="50"/>
      <c:rAngAx val="1"/>
    </c:view3D>
    <c:floor>
      <c:thickness val="0"/>
      <c:spPr>
        <a:noFill/>
        <a:ln>
          <a:solidFill>
            <a:schemeClr val="accent1"/>
          </a:solidFill>
        </a:ln>
        <a:effectLst/>
        <a:sp3d>
          <a:contourClr>
            <a:schemeClr val="accent1"/>
          </a:contourClr>
        </a:sp3d>
      </c:spPr>
    </c:floor>
    <c:sideWall>
      <c:thickness val="0"/>
      <c:spPr>
        <a:noFill/>
        <a:ln>
          <a:solidFill>
            <a:schemeClr val="bg1">
              <a:lumMod val="85000"/>
            </a:schemeClr>
          </a:solidFill>
        </a:ln>
        <a:effectLst/>
        <a:sp3d>
          <a:contourClr>
            <a:schemeClr val="bg1">
              <a:lumMod val="85000"/>
            </a:schemeClr>
          </a:contourClr>
        </a:sp3d>
      </c:spPr>
    </c:sideWall>
    <c:backWall>
      <c:thickness val="0"/>
      <c:spPr>
        <a:noFill/>
        <a:ln>
          <a:solidFill>
            <a:schemeClr val="bg1">
              <a:lumMod val="85000"/>
            </a:schemeClr>
          </a:solidFill>
        </a:ln>
        <a:effectLst/>
        <a:sp3d>
          <a:contourClr>
            <a:schemeClr val="bg1">
              <a:lumMod val="85000"/>
            </a:schemeClr>
          </a:contourClr>
        </a:sp3d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472B-4DB7-9AA0-7F23552F054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472B-4DB7-9AA0-7F23552F054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472B-4DB7-9AA0-7F23552F05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472B-4DB7-9AA0-7F23552F054F}"/>
              </c:ext>
            </c:extLst>
          </c:dPt>
          <c:dLbls>
            <c:dLbl>
              <c:idx val="0"/>
              <c:layout>
                <c:manualLayout>
                  <c:x val="2.1989136797554303E-2"/>
                  <c:y val="-1.0160739966863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72B-4DB7-9AA0-7F23552F054F}"/>
                </c:ext>
              </c:extLst>
            </c:dLbl>
            <c:dLbl>
              <c:idx val="1"/>
              <c:layout>
                <c:manualLayout>
                  <c:x val="2.0520732634012565E-2"/>
                  <c:y val="-1.011983961886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72B-4DB7-9AA0-7F23552F054F}"/>
                </c:ext>
              </c:extLst>
            </c:dLbl>
            <c:dLbl>
              <c:idx val="2"/>
              <c:layout>
                <c:manualLayout>
                  <c:x val="8.7817793345194746E-3"/>
                  <c:y val="-4.01252151557649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72B-4DB7-9AA0-7F23552F054F}"/>
                </c:ext>
              </c:extLst>
            </c:dLbl>
            <c:dLbl>
              <c:idx val="3"/>
              <c:layout>
                <c:manualLayout>
                  <c:x val="1.6132770529016224E-2"/>
                  <c:y val="-4.08558021156453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72B-4DB7-9AA0-7F23552F05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datos!$O$50:$O$53</c:f>
              <c:strCache>
                <c:ptCount val="4"/>
                <c:pt idx="0">
                  <c:v>PIB total</c:v>
                </c:pt>
                <c:pt idx="1">
                  <c:v>Actividades primarias</c:v>
                </c:pt>
                <c:pt idx="2">
                  <c:v>Actividades secundarias</c:v>
                </c:pt>
                <c:pt idx="3">
                  <c:v>Actividades terciarias</c:v>
                </c:pt>
              </c:strCache>
            </c:strRef>
          </c:cat>
          <c:val>
            <c:numRef>
              <c:f>datos!$P$50:$P$53</c:f>
              <c:numCache>
                <c:formatCode>0.0</c:formatCode>
                <c:ptCount val="4"/>
                <c:pt idx="0">
                  <c:v>3.4884591395593816</c:v>
                </c:pt>
                <c:pt idx="1">
                  <c:v>6.637626802250935</c:v>
                </c:pt>
                <c:pt idx="2">
                  <c:v>2.9972049512943784</c:v>
                </c:pt>
                <c:pt idx="3">
                  <c:v>3.4355330558780679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72B-4DB7-9AA0-7F23552F05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9"/>
        <c:gapDepth val="58"/>
        <c:shape val="box"/>
        <c:axId val="210413848"/>
        <c:axId val="210415808"/>
        <c:axId val="0"/>
      </c:bar3DChart>
      <c:catAx>
        <c:axId val="210413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10415808"/>
        <c:crossesAt val="0"/>
        <c:auto val="1"/>
        <c:lblAlgn val="ctr"/>
        <c:lblOffset val="100"/>
        <c:noMultiLvlLbl val="0"/>
      </c:catAx>
      <c:valAx>
        <c:axId val="210415808"/>
        <c:scaling>
          <c:orientation val="minMax"/>
          <c:max val="7"/>
          <c:min val="0"/>
        </c:scaling>
        <c:delete val="0"/>
        <c:axPos val="l"/>
        <c:majorGridlines>
          <c:spPr>
            <a:ln w="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1041384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2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datos!$M$49</c:f>
              <c:strCache>
                <c:ptCount val="1"/>
                <c:pt idx="0">
                  <c:v>Crecimiento  Histórico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Pt>
            <c:idx val="12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F1F5-4F7B-AC3E-EC87D2E6C7C6}"/>
              </c:ext>
            </c:extLst>
          </c:dPt>
          <c:dPt>
            <c:idx val="13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F1F5-4F7B-AC3E-EC87D2E6C7C6}"/>
              </c:ext>
            </c:extLst>
          </c:dPt>
          <c:dPt>
            <c:idx val="14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F1F5-4F7B-AC3E-EC87D2E6C7C6}"/>
              </c:ext>
            </c:extLst>
          </c:dPt>
          <c:dPt>
            <c:idx val="15"/>
            <c:invertIfNegative val="0"/>
            <c:bubble3D val="0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  <a:effectLst/>
              <a:sp3d>
                <a:contourClr>
                  <a:schemeClr val="tx2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1F5-4F7B-AC3E-EC87D2E6C7C6}"/>
              </c:ext>
            </c:extLst>
          </c:dPt>
          <c:dPt>
            <c:idx val="16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F1F5-4F7B-AC3E-EC87D2E6C7C6}"/>
              </c:ext>
            </c:extLst>
          </c:dPt>
          <c:dPt>
            <c:idx val="17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tx2">
                    <a:lumMod val="75000"/>
                  </a:schemeClr>
                </a:solidFill>
              </a:ln>
              <a:effectLst/>
              <a:sp3d>
                <a:contourClr>
                  <a:schemeClr val="tx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1F5-4F7B-AC3E-EC87D2E6C7C6}"/>
              </c:ext>
            </c:extLst>
          </c:dPt>
          <c:dPt>
            <c:idx val="18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F1F5-4F7B-AC3E-EC87D2E6C7C6}"/>
              </c:ext>
            </c:extLst>
          </c:dPt>
          <c:dPt>
            <c:idx val="19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F1F5-4F7B-AC3E-EC87D2E6C7C6}"/>
              </c:ext>
            </c:extLst>
          </c:dPt>
          <c:dLbls>
            <c:dLbl>
              <c:idx val="13"/>
              <c:layout>
                <c:manualLayout>
                  <c:x val="5.4665519121202284E-3"/>
                  <c:y val="6.24671883305389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1F5-4F7B-AC3E-EC87D2E6C7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datos!$B$71:$D$86</c:f>
              <c:multiLvlStrCache>
                <c:ptCount val="1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  <c:pt idx="8">
                    <c:v>2021</c:v>
                  </c:pt>
                  <c:pt idx="12">
                    <c:v>2022</c:v>
                  </c:pt>
                </c:lvl>
              </c:multiLvlStrCache>
            </c:multiLvlStrRef>
          </c:cat>
          <c:val>
            <c:numRef>
              <c:f>datos!$M$71:$M$86</c:f>
              <c:numCache>
                <c:formatCode>0.0</c:formatCode>
                <c:ptCount val="16"/>
                <c:pt idx="0">
                  <c:v>1.2337493126207022</c:v>
                </c:pt>
                <c:pt idx="1">
                  <c:v>-1.1042243162946663</c:v>
                </c:pt>
                <c:pt idx="2">
                  <c:v>-0.18700612660493832</c:v>
                </c:pt>
                <c:pt idx="3">
                  <c:v>-0.68040655522589866</c:v>
                </c:pt>
                <c:pt idx="4">
                  <c:v>-0.93902698203701673</c:v>
                </c:pt>
                <c:pt idx="5">
                  <c:v>-18.605916747442276</c:v>
                </c:pt>
                <c:pt idx="6">
                  <c:v>-8.3385745600447194</c:v>
                </c:pt>
                <c:pt idx="7">
                  <c:v>-4.0678935760353081</c:v>
                </c:pt>
                <c:pt idx="8">
                  <c:v>-3.5182744435700797</c:v>
                </c:pt>
                <c:pt idx="9">
                  <c:v>19.554617451842638</c:v>
                </c:pt>
                <c:pt idx="10">
                  <c:v>4.3004263171234403</c:v>
                </c:pt>
                <c:pt idx="11">
                  <c:v>1.0172743495068248</c:v>
                </c:pt>
                <c:pt idx="12">
                  <c:v>1.8493186607579037</c:v>
                </c:pt>
                <c:pt idx="13">
                  <c:v>2.4399858416079834</c:v>
                </c:pt>
                <c:pt idx="14">
                  <c:v>4.2789386755948122</c:v>
                </c:pt>
                <c:pt idx="15">
                  <c:v>3.4884591395593745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F1F5-4F7B-AC3E-EC87D2E6C7C6}"/>
            </c:ext>
          </c:extLst>
        </c:ser>
        <c:ser>
          <c:idx val="1"/>
          <c:order val="1"/>
          <c:tx>
            <c:strRef>
              <c:f>datos!$N$49</c:f>
              <c:strCache>
                <c:ptCount val="1"/>
                <c:pt idx="0">
                  <c:v>Estimación Oportuna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datos!$B$71:$D$86</c:f>
              <c:multiLvlStrCache>
                <c:ptCount val="1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  <c:pt idx="8">
                    <c:v>2021</c:v>
                  </c:pt>
                  <c:pt idx="12">
                    <c:v>2022</c:v>
                  </c:pt>
                </c:lvl>
              </c:multiLvlStrCache>
            </c:multiLvlStrRef>
          </c:cat>
          <c:val>
            <c:numRef>
              <c:f>datos!$N$71:$N$86</c:f>
              <c:numCache>
                <c:formatCode>General</c:formatCode>
                <c:ptCount val="16"/>
              </c:numCache>
            </c:numRef>
          </c:val>
          <c:extLst>
            <c:ext xmlns:c16="http://schemas.microsoft.com/office/drawing/2014/chart" uri="{C3380CC4-5D6E-409C-BE32-E72D297353CC}">
              <c16:uniqueId val="{00000011-F1F5-4F7B-AC3E-EC87D2E6C7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"/>
        <c:gapDepth val="23"/>
        <c:shape val="box"/>
        <c:axId val="210415024"/>
        <c:axId val="210416592"/>
        <c:axId val="0"/>
      </c:bar3DChart>
      <c:catAx>
        <c:axId val="210415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10416592"/>
        <c:crosses val="autoZero"/>
        <c:auto val="1"/>
        <c:lblAlgn val="ctr"/>
        <c:lblOffset val="100"/>
        <c:noMultiLvlLbl val="0"/>
      </c:catAx>
      <c:valAx>
        <c:axId val="210416592"/>
        <c:scaling>
          <c:orientation val="minMax"/>
          <c:max val="25"/>
          <c:min val="-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10415024"/>
        <c:crosses val="autoZero"/>
        <c:crossBetween val="between"/>
        <c:majorUnit val="5"/>
        <c:minorUnit val="0.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102370525487718"/>
          <c:y val="0.9237061108312975"/>
          <c:w val="0.81961121867760611"/>
          <c:h val="6.41503752390614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F4DFE-E0F9-4955-908C-0D325D94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1642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PIB oportuno</vt:lpstr>
    </vt:vector>
  </TitlesOfParts>
  <Company>DGCNES y P.  "INEGI"</Company>
  <LinksUpToDate>false</LinksUpToDate>
  <CharactersWithSpaces>10656</CharactersWithSpaces>
  <SharedDoc>false</SharedDoc>
  <HLinks>
    <vt:vector size="6" baseType="variant">
      <vt:variant>
        <vt:i4>2228345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https://www.inegi.org.mx/app/biblioteca/ficha.html?upc=702825099060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PIB oportuno</dc:title>
  <dc:creator>Laura Calles</dc:creator>
  <cp:keywords>PIB</cp:keywords>
  <cp:lastModifiedBy>MORONES RUIZ FABIOLA CRISTINA</cp:lastModifiedBy>
  <cp:revision>2</cp:revision>
  <cp:lastPrinted>2022-07-28T17:48:00Z</cp:lastPrinted>
  <dcterms:created xsi:type="dcterms:W3CDTF">2023-01-31T03:43:00Z</dcterms:created>
  <dcterms:modified xsi:type="dcterms:W3CDTF">2023-01-31T03:43:00Z</dcterms:modified>
  <cp:category>SCNM</cp:category>
</cp:coreProperties>
</file>