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gif" ContentType="image/gif"/>
  <Default Extension="jpg" ContentType="image/pn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header1.xml" ContentType="application/vnd.openxmlformats-officedocument.wordprocessingml.header+xml"/>
  <Override PartName="/word/footer1.xml" ContentType="application/vnd.openxmlformats-officedocument.wordprocessingml.footer+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7B1CC15" w14:textId="6BF9EADD" w:rsidR="00837C13" w:rsidRPr="008879C4" w:rsidRDefault="00837C13" w:rsidP="003C1114">
      <w:pPr>
        <w:pStyle w:val="Ttulo2"/>
        <w:spacing w:before="0"/>
        <w:rPr>
          <w:caps/>
          <w:color w:val="auto"/>
          <w:sz w:val="24"/>
        </w:rPr>
      </w:pPr>
      <w:r w:rsidRPr="008879C4">
        <w:rPr>
          <w:caps/>
          <w:color w:val="auto"/>
          <w:sz w:val="24"/>
          <w:szCs w:val="28"/>
        </w:rPr>
        <w:t>PRODUCTO INTERNO BRUTO</w:t>
      </w:r>
      <w:r w:rsidR="007E5DDA" w:rsidRPr="008879C4">
        <w:rPr>
          <w:rStyle w:val="Refdenotaalpie"/>
          <w:b/>
          <w:caps/>
          <w:color w:val="auto"/>
          <w:position w:val="6"/>
          <w:sz w:val="24"/>
          <w:szCs w:val="28"/>
        </w:rPr>
        <w:footnoteReference w:id="2"/>
      </w:r>
      <w:r w:rsidRPr="008879C4">
        <w:rPr>
          <w:caps/>
          <w:color w:val="auto"/>
          <w:sz w:val="24"/>
          <w:szCs w:val="28"/>
        </w:rPr>
        <w:t xml:space="preserve"> </w:t>
      </w:r>
      <w:r w:rsidRPr="008879C4">
        <w:rPr>
          <w:caps/>
          <w:color w:val="auto"/>
          <w:sz w:val="24"/>
        </w:rPr>
        <w:br/>
      </w:r>
      <w:r w:rsidR="00C407FC" w:rsidRPr="008879C4">
        <w:rPr>
          <w:rFonts w:cs="Arial"/>
          <w:bCs/>
          <w:caps/>
          <w:snapToGrid/>
          <w:color w:val="auto"/>
          <w:sz w:val="24"/>
          <w:szCs w:val="28"/>
        </w:rPr>
        <w:t>primer</w:t>
      </w:r>
      <w:r w:rsidR="00870DF2" w:rsidRPr="008879C4">
        <w:rPr>
          <w:rFonts w:cs="Arial"/>
          <w:bCs/>
          <w:caps/>
          <w:snapToGrid/>
          <w:color w:val="auto"/>
          <w:sz w:val="24"/>
          <w:szCs w:val="28"/>
        </w:rPr>
        <w:t xml:space="preserve"> trimestre de 202</w:t>
      </w:r>
      <w:r w:rsidR="00C407FC" w:rsidRPr="008879C4">
        <w:rPr>
          <w:rFonts w:cs="Arial"/>
          <w:bCs/>
          <w:caps/>
          <w:snapToGrid/>
          <w:color w:val="auto"/>
          <w:sz w:val="24"/>
          <w:szCs w:val="28"/>
        </w:rPr>
        <w:t>3</w:t>
      </w:r>
    </w:p>
    <w:p w14:paraId="3464C097" w14:textId="21444ACD" w:rsidR="005A553E" w:rsidRDefault="00910C71" w:rsidP="008879C4">
      <w:pPr>
        <w:pStyle w:val="bullet"/>
        <w:numPr>
          <w:ilvl w:val="0"/>
          <w:numId w:val="0"/>
        </w:numPr>
        <w:spacing w:before="200"/>
        <w:ind w:right="50"/>
        <w:rPr>
          <w:b w:val="0"/>
          <w:color w:val="auto"/>
          <w:sz w:val="24"/>
          <w:szCs w:val="24"/>
        </w:rPr>
      </w:pPr>
      <w:r w:rsidRPr="008879C4">
        <w:rPr>
          <w:b w:val="0"/>
          <w:color w:val="auto"/>
          <w:sz w:val="24"/>
          <w:szCs w:val="24"/>
        </w:rPr>
        <w:t xml:space="preserve">En el </w:t>
      </w:r>
      <w:r w:rsidR="00C407FC" w:rsidRPr="008879C4">
        <w:rPr>
          <w:b w:val="0"/>
          <w:color w:val="auto"/>
          <w:sz w:val="24"/>
          <w:szCs w:val="24"/>
        </w:rPr>
        <w:t>primer</w:t>
      </w:r>
      <w:r w:rsidRPr="008879C4">
        <w:rPr>
          <w:b w:val="0"/>
          <w:color w:val="auto"/>
          <w:sz w:val="24"/>
          <w:szCs w:val="24"/>
        </w:rPr>
        <w:t xml:space="preserve"> trimestre de 202</w:t>
      </w:r>
      <w:r w:rsidR="00C407FC" w:rsidRPr="008879C4">
        <w:rPr>
          <w:b w:val="0"/>
          <w:color w:val="auto"/>
          <w:sz w:val="24"/>
          <w:szCs w:val="24"/>
        </w:rPr>
        <w:t>3</w:t>
      </w:r>
      <w:r w:rsidRPr="008879C4">
        <w:rPr>
          <w:b w:val="0"/>
          <w:color w:val="auto"/>
          <w:sz w:val="24"/>
          <w:szCs w:val="24"/>
        </w:rPr>
        <w:t xml:space="preserve"> y con cifras desestacionalizadas</w:t>
      </w:r>
      <w:r w:rsidR="00A90720" w:rsidRPr="008879C4">
        <w:rPr>
          <w:b w:val="0"/>
          <w:color w:val="auto"/>
          <w:sz w:val="24"/>
          <w:szCs w:val="24"/>
        </w:rPr>
        <w:t>,</w:t>
      </w:r>
      <w:r w:rsidRPr="008879C4">
        <w:rPr>
          <w:b w:val="0"/>
          <w:color w:val="auto"/>
          <w:sz w:val="24"/>
          <w:szCs w:val="24"/>
          <w:vertAlign w:val="superscript"/>
        </w:rPr>
        <w:footnoteReference w:id="3"/>
      </w:r>
      <w:r w:rsidRPr="008879C4">
        <w:rPr>
          <w:b w:val="0"/>
          <w:color w:val="auto"/>
          <w:sz w:val="24"/>
          <w:szCs w:val="24"/>
        </w:rPr>
        <w:t xml:space="preserve"> </w:t>
      </w:r>
      <w:r w:rsidR="005A553E" w:rsidRPr="008879C4">
        <w:rPr>
          <w:b w:val="0"/>
          <w:color w:val="auto"/>
          <w:sz w:val="24"/>
          <w:szCs w:val="24"/>
        </w:rPr>
        <w:t>el Producto Interno Bruto (PIB)</w:t>
      </w:r>
      <w:r w:rsidR="00A845D4" w:rsidRPr="008879C4">
        <w:rPr>
          <w:b w:val="0"/>
          <w:color w:val="auto"/>
          <w:sz w:val="24"/>
          <w:szCs w:val="24"/>
          <w:vertAlign w:val="superscript"/>
        </w:rPr>
        <w:footnoteReference w:id="4"/>
      </w:r>
      <w:r w:rsidR="005A553E" w:rsidRPr="008879C4">
        <w:rPr>
          <w:b w:val="0"/>
          <w:color w:val="auto"/>
          <w:sz w:val="24"/>
          <w:szCs w:val="24"/>
        </w:rPr>
        <w:t xml:space="preserve"> </w:t>
      </w:r>
      <w:r w:rsidR="00C407FC" w:rsidRPr="008879C4">
        <w:rPr>
          <w:b w:val="0"/>
          <w:color w:val="auto"/>
          <w:sz w:val="24"/>
          <w:szCs w:val="24"/>
        </w:rPr>
        <w:t>aumentó</w:t>
      </w:r>
      <w:r w:rsidR="002D0DD8" w:rsidRPr="008879C4">
        <w:rPr>
          <w:b w:val="0"/>
          <w:color w:val="auto"/>
          <w:sz w:val="24"/>
          <w:szCs w:val="24"/>
        </w:rPr>
        <w:t xml:space="preserve"> </w:t>
      </w:r>
      <w:r w:rsidR="00C407FC" w:rsidRPr="008879C4">
        <w:rPr>
          <w:b w:val="0"/>
          <w:color w:val="auto"/>
          <w:sz w:val="24"/>
          <w:szCs w:val="24"/>
        </w:rPr>
        <w:t>1</w:t>
      </w:r>
      <w:r w:rsidR="00C87EFA" w:rsidRPr="008879C4">
        <w:rPr>
          <w:b w:val="0"/>
          <w:color w:val="auto"/>
          <w:sz w:val="24"/>
          <w:szCs w:val="24"/>
        </w:rPr>
        <w:t> </w:t>
      </w:r>
      <w:r w:rsidR="002D0DD8" w:rsidRPr="008879C4">
        <w:rPr>
          <w:b w:val="0"/>
          <w:color w:val="auto"/>
          <w:sz w:val="24"/>
          <w:szCs w:val="24"/>
        </w:rPr>
        <w:t>%</w:t>
      </w:r>
      <w:r w:rsidR="0008753B" w:rsidRPr="008879C4">
        <w:rPr>
          <w:b w:val="0"/>
          <w:color w:val="auto"/>
          <w:sz w:val="24"/>
          <w:szCs w:val="24"/>
        </w:rPr>
        <w:t xml:space="preserve"> a tasa trimestral</w:t>
      </w:r>
      <w:r w:rsidR="00C9467E" w:rsidRPr="008879C4">
        <w:rPr>
          <w:b w:val="0"/>
          <w:color w:val="auto"/>
          <w:sz w:val="24"/>
          <w:szCs w:val="24"/>
        </w:rPr>
        <w:t>,</w:t>
      </w:r>
      <w:r w:rsidR="00590867" w:rsidRPr="008879C4">
        <w:rPr>
          <w:b w:val="0"/>
          <w:color w:val="auto"/>
          <w:sz w:val="24"/>
          <w:szCs w:val="24"/>
        </w:rPr>
        <w:t xml:space="preserve"> </w:t>
      </w:r>
      <w:r w:rsidR="001E5D22" w:rsidRPr="008879C4">
        <w:rPr>
          <w:b w:val="0"/>
          <w:color w:val="auto"/>
          <w:sz w:val="24"/>
          <w:szCs w:val="24"/>
        </w:rPr>
        <w:t>en términos reales</w:t>
      </w:r>
      <w:r w:rsidRPr="008879C4">
        <w:rPr>
          <w:b w:val="0"/>
          <w:color w:val="auto"/>
          <w:sz w:val="24"/>
          <w:szCs w:val="24"/>
        </w:rPr>
        <w:t>.</w:t>
      </w:r>
    </w:p>
    <w:p w14:paraId="53F668B2" w14:textId="77777777" w:rsidR="008879C4" w:rsidRDefault="008879C4" w:rsidP="008879C4">
      <w:pPr>
        <w:pStyle w:val="bullet"/>
        <w:numPr>
          <w:ilvl w:val="0"/>
          <w:numId w:val="0"/>
        </w:numPr>
        <w:spacing w:before="200"/>
        <w:ind w:right="50"/>
        <w:rPr>
          <w:b w:val="0"/>
          <w:color w:val="auto"/>
          <w:sz w:val="24"/>
          <w:szCs w:val="24"/>
        </w:rPr>
      </w:pPr>
    </w:p>
    <w:p w14:paraId="6B30E0CF" w14:textId="77777777" w:rsidR="008879C4" w:rsidRDefault="008879C4" w:rsidP="008879C4">
      <w:pPr>
        <w:pStyle w:val="Textoindependiente"/>
        <w:jc w:val="center"/>
        <w:rPr>
          <w:rFonts w:cs="Arial"/>
          <w:b/>
          <w:smallCaps/>
          <w:color w:val="auto"/>
          <w:sz w:val="22"/>
          <w:szCs w:val="22"/>
        </w:rPr>
      </w:pPr>
      <w:r>
        <w:rPr>
          <w:rFonts w:cs="Arial"/>
          <w:b/>
          <w:smallCaps/>
          <w:color w:val="auto"/>
          <w:sz w:val="22"/>
          <w:szCs w:val="22"/>
        </w:rPr>
        <w:t xml:space="preserve">Producto Interno Bruto </w:t>
      </w:r>
    </w:p>
    <w:p w14:paraId="4D2D688C" w14:textId="77777777" w:rsidR="008879C4" w:rsidRDefault="008879C4" w:rsidP="008879C4">
      <w:pPr>
        <w:pStyle w:val="Textoindependiente"/>
        <w:jc w:val="center"/>
        <w:rPr>
          <w:rFonts w:cs="Arial"/>
          <w:color w:val="auto"/>
          <w:sz w:val="18"/>
          <w:szCs w:val="18"/>
        </w:rPr>
      </w:pPr>
      <w:r w:rsidRPr="00E33347">
        <w:rPr>
          <w:rFonts w:cs="Arial"/>
          <w:color w:val="auto"/>
          <w:sz w:val="18"/>
          <w:szCs w:val="18"/>
        </w:rPr>
        <w:t>(Mil</w:t>
      </w:r>
      <w:r>
        <w:rPr>
          <w:rFonts w:cs="Arial"/>
          <w:color w:val="auto"/>
          <w:sz w:val="18"/>
          <w:szCs w:val="18"/>
        </w:rPr>
        <w:t>lones de pesos a precios de 2013</w:t>
      </w:r>
      <w:r w:rsidRPr="00E33347">
        <w:rPr>
          <w:rFonts w:cs="Arial"/>
          <w:color w:val="auto"/>
          <w:sz w:val="18"/>
          <w:szCs w:val="18"/>
        </w:rPr>
        <w:t>)</w:t>
      </w:r>
    </w:p>
    <w:p w14:paraId="6210ACBB" w14:textId="77777777" w:rsidR="008879C4" w:rsidRPr="00706C47" w:rsidRDefault="008879C4" w:rsidP="008879C4">
      <w:pPr>
        <w:pStyle w:val="p0"/>
        <w:keepLines w:val="0"/>
        <w:spacing w:before="0"/>
        <w:jc w:val="center"/>
        <w:rPr>
          <w:color w:val="000000" w:themeColor="text1"/>
        </w:rPr>
      </w:pPr>
      <w:r>
        <w:rPr>
          <w:noProof/>
          <w:snapToGrid/>
        </w:rPr>
        <w:drawing>
          <wp:inline distT="0" distB="0" distL="0" distR="0" wp14:anchorId="2FF94105" wp14:editId="08402E7E">
            <wp:extent cx="4680000" cy="2356950"/>
            <wp:effectExtent l="0" t="0" r="25400" b="24765"/>
            <wp:docPr id="4" name="Gráfico 1">
              <a:extLst xmlns:a="http://schemas.openxmlformats.org/drawingml/2006/main">
                <a:ext uri="{FF2B5EF4-FFF2-40B4-BE49-F238E27FC236}">
                  <a16:creationId xmlns:a16="http://schemas.microsoft.com/office/drawing/2014/main" id="{00000000-0008-0000-01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14:paraId="7E7BBDDC" w14:textId="34BF7506" w:rsidR="008879C4" w:rsidRPr="008879C4" w:rsidRDefault="008879C4" w:rsidP="008879C4">
      <w:pPr>
        <w:pStyle w:val="bullet"/>
        <w:numPr>
          <w:ilvl w:val="0"/>
          <w:numId w:val="0"/>
        </w:numPr>
        <w:spacing w:before="0"/>
        <w:ind w:left="720" w:right="51" w:firstLine="273"/>
        <w:rPr>
          <w:b w:val="0"/>
          <w:color w:val="auto"/>
          <w:sz w:val="24"/>
          <w:szCs w:val="24"/>
        </w:rPr>
      </w:pPr>
      <w:r w:rsidRPr="008879C4">
        <w:rPr>
          <w:rFonts w:cs="Arial"/>
          <w:b w:val="0"/>
          <w:color w:val="auto"/>
          <w:sz w:val="16"/>
          <w:szCs w:val="16"/>
        </w:rPr>
        <w:t>Fuente: INEGI</w:t>
      </w:r>
    </w:p>
    <w:p w14:paraId="4A701391" w14:textId="7A4829C2" w:rsidR="008879C4" w:rsidRDefault="008879C4" w:rsidP="008879C4">
      <w:pPr>
        <w:pStyle w:val="bullet"/>
        <w:numPr>
          <w:ilvl w:val="0"/>
          <w:numId w:val="0"/>
        </w:numPr>
        <w:spacing w:before="0"/>
        <w:ind w:right="51"/>
        <w:rPr>
          <w:b w:val="0"/>
          <w:color w:val="auto"/>
          <w:sz w:val="24"/>
          <w:szCs w:val="24"/>
        </w:rPr>
      </w:pPr>
    </w:p>
    <w:p w14:paraId="3D76F1D6" w14:textId="77777777" w:rsidR="008879C4" w:rsidRDefault="008879C4" w:rsidP="008879C4">
      <w:pPr>
        <w:pStyle w:val="bullet"/>
        <w:numPr>
          <w:ilvl w:val="0"/>
          <w:numId w:val="0"/>
        </w:numPr>
        <w:spacing w:before="0"/>
        <w:ind w:right="51"/>
        <w:rPr>
          <w:b w:val="0"/>
          <w:color w:val="auto"/>
          <w:sz w:val="24"/>
          <w:szCs w:val="24"/>
        </w:rPr>
      </w:pPr>
    </w:p>
    <w:p w14:paraId="183D3AB2" w14:textId="2A8EFC41" w:rsidR="005A553E" w:rsidRDefault="005A553E" w:rsidP="008879C4">
      <w:pPr>
        <w:pStyle w:val="bullet"/>
        <w:numPr>
          <w:ilvl w:val="0"/>
          <w:numId w:val="0"/>
        </w:numPr>
        <w:spacing w:before="0"/>
        <w:ind w:right="51"/>
        <w:rPr>
          <w:b w:val="0"/>
          <w:color w:val="auto"/>
          <w:sz w:val="24"/>
          <w:szCs w:val="24"/>
        </w:rPr>
      </w:pPr>
      <w:r w:rsidRPr="008879C4">
        <w:rPr>
          <w:b w:val="0"/>
          <w:color w:val="auto"/>
          <w:sz w:val="24"/>
          <w:szCs w:val="24"/>
        </w:rPr>
        <w:t>Por componente</w:t>
      </w:r>
      <w:r w:rsidR="00910C71" w:rsidRPr="008879C4">
        <w:rPr>
          <w:b w:val="0"/>
          <w:color w:val="auto"/>
          <w:sz w:val="24"/>
          <w:szCs w:val="24"/>
        </w:rPr>
        <w:t xml:space="preserve"> y con series ajusta</w:t>
      </w:r>
      <w:r w:rsidR="003B3600" w:rsidRPr="008879C4">
        <w:rPr>
          <w:b w:val="0"/>
          <w:color w:val="auto"/>
          <w:sz w:val="24"/>
          <w:szCs w:val="24"/>
        </w:rPr>
        <w:t>das por estacionalidad</w:t>
      </w:r>
      <w:r w:rsidRPr="008879C4">
        <w:rPr>
          <w:b w:val="0"/>
          <w:color w:val="auto"/>
          <w:sz w:val="24"/>
          <w:szCs w:val="24"/>
        </w:rPr>
        <w:t xml:space="preserve">, </w:t>
      </w:r>
      <w:r w:rsidR="00142DF4" w:rsidRPr="008879C4">
        <w:rPr>
          <w:b w:val="0"/>
          <w:color w:val="auto"/>
          <w:sz w:val="24"/>
          <w:szCs w:val="24"/>
        </w:rPr>
        <w:t xml:space="preserve">en el periodo de referencia, </w:t>
      </w:r>
      <w:r w:rsidR="000D5888" w:rsidRPr="008879C4">
        <w:rPr>
          <w:b w:val="0"/>
          <w:color w:val="auto"/>
          <w:sz w:val="24"/>
          <w:szCs w:val="24"/>
        </w:rPr>
        <w:t>el comportamiento fue el siguiente</w:t>
      </w:r>
      <w:r w:rsidR="003B3600" w:rsidRPr="008879C4">
        <w:rPr>
          <w:b w:val="0"/>
          <w:color w:val="auto"/>
          <w:sz w:val="24"/>
          <w:szCs w:val="24"/>
        </w:rPr>
        <w:t xml:space="preserve">: </w:t>
      </w:r>
      <w:r w:rsidR="00314D4C" w:rsidRPr="008879C4">
        <w:rPr>
          <w:b w:val="0"/>
          <w:color w:val="auto"/>
          <w:sz w:val="24"/>
          <w:szCs w:val="24"/>
        </w:rPr>
        <w:t xml:space="preserve">el </w:t>
      </w:r>
      <w:r w:rsidR="00CF6FDE" w:rsidRPr="008879C4">
        <w:rPr>
          <w:b w:val="0"/>
          <w:color w:val="auto"/>
          <w:sz w:val="24"/>
          <w:szCs w:val="24"/>
        </w:rPr>
        <w:t xml:space="preserve">PIB </w:t>
      </w:r>
      <w:r w:rsidR="009846D2" w:rsidRPr="008879C4">
        <w:rPr>
          <w:b w:val="0"/>
          <w:color w:val="auto"/>
          <w:sz w:val="24"/>
          <w:szCs w:val="24"/>
        </w:rPr>
        <w:t xml:space="preserve">de las </w:t>
      </w:r>
      <w:r w:rsidR="00142DF4" w:rsidRPr="008879C4">
        <w:rPr>
          <w:b w:val="0"/>
          <w:color w:val="auto"/>
          <w:sz w:val="24"/>
          <w:szCs w:val="24"/>
        </w:rPr>
        <w:t xml:space="preserve">actividades </w:t>
      </w:r>
      <w:r w:rsidR="00C407FC" w:rsidRPr="008879C4">
        <w:rPr>
          <w:b w:val="0"/>
          <w:color w:val="auto"/>
          <w:sz w:val="24"/>
          <w:szCs w:val="24"/>
        </w:rPr>
        <w:t>terciarias avanzó 1.5 %; el de secundarias, 0.</w:t>
      </w:r>
      <w:r w:rsidR="00302E8E" w:rsidRPr="008879C4">
        <w:rPr>
          <w:b w:val="0"/>
          <w:color w:val="auto"/>
          <w:sz w:val="24"/>
          <w:szCs w:val="24"/>
        </w:rPr>
        <w:t>6</w:t>
      </w:r>
      <w:r w:rsidR="00C407FC" w:rsidRPr="008879C4">
        <w:rPr>
          <w:b w:val="0"/>
          <w:color w:val="auto"/>
          <w:sz w:val="24"/>
          <w:szCs w:val="24"/>
        </w:rPr>
        <w:t xml:space="preserve"> % y el de primarias disminuyó </w:t>
      </w:r>
      <w:r w:rsidR="00302E8E" w:rsidRPr="008879C4">
        <w:rPr>
          <w:b w:val="0"/>
          <w:color w:val="auto"/>
          <w:sz w:val="24"/>
          <w:szCs w:val="24"/>
        </w:rPr>
        <w:t>2.8</w:t>
      </w:r>
      <w:r w:rsidR="00C407FC" w:rsidRPr="008879C4">
        <w:rPr>
          <w:b w:val="0"/>
          <w:color w:val="auto"/>
          <w:sz w:val="24"/>
          <w:szCs w:val="24"/>
        </w:rPr>
        <w:t> %</w:t>
      </w:r>
      <w:r w:rsidR="00FF37AC" w:rsidRPr="008879C4">
        <w:rPr>
          <w:b w:val="0"/>
          <w:color w:val="auto"/>
          <w:sz w:val="24"/>
          <w:szCs w:val="24"/>
        </w:rPr>
        <w:t>,</w:t>
      </w:r>
      <w:r w:rsidR="00142DF4" w:rsidRPr="008879C4">
        <w:rPr>
          <w:b w:val="0"/>
          <w:color w:val="auto"/>
          <w:sz w:val="24"/>
          <w:szCs w:val="24"/>
        </w:rPr>
        <w:t xml:space="preserve"> </w:t>
      </w:r>
      <w:r w:rsidR="00347E10" w:rsidRPr="008879C4">
        <w:rPr>
          <w:b w:val="0"/>
          <w:color w:val="auto"/>
          <w:sz w:val="24"/>
          <w:szCs w:val="24"/>
        </w:rPr>
        <w:t xml:space="preserve">con </w:t>
      </w:r>
      <w:r w:rsidR="00142DF4" w:rsidRPr="008879C4">
        <w:rPr>
          <w:b w:val="0"/>
          <w:color w:val="auto"/>
          <w:sz w:val="24"/>
          <w:szCs w:val="24"/>
        </w:rPr>
        <w:t xml:space="preserve">respecto al </w:t>
      </w:r>
      <w:r w:rsidR="00C407FC" w:rsidRPr="008879C4">
        <w:rPr>
          <w:b w:val="0"/>
          <w:color w:val="auto"/>
          <w:sz w:val="24"/>
          <w:szCs w:val="24"/>
        </w:rPr>
        <w:t xml:space="preserve">trimestre </w:t>
      </w:r>
      <w:r w:rsidR="00142DF4" w:rsidRPr="008879C4">
        <w:rPr>
          <w:b w:val="0"/>
          <w:color w:val="auto"/>
          <w:sz w:val="24"/>
          <w:szCs w:val="24"/>
        </w:rPr>
        <w:t>anterior</w:t>
      </w:r>
      <w:r w:rsidR="00C407FC" w:rsidRPr="008879C4">
        <w:rPr>
          <w:b w:val="0"/>
          <w:color w:val="auto"/>
          <w:sz w:val="24"/>
          <w:szCs w:val="24"/>
        </w:rPr>
        <w:t>.</w:t>
      </w:r>
      <w:r w:rsidR="00A42105" w:rsidRPr="008879C4">
        <w:rPr>
          <w:b w:val="0"/>
          <w:color w:val="auto"/>
          <w:sz w:val="24"/>
          <w:szCs w:val="24"/>
        </w:rPr>
        <w:t xml:space="preserve"> </w:t>
      </w:r>
    </w:p>
    <w:p w14:paraId="00019057" w14:textId="395E8F3B" w:rsidR="00837C13" w:rsidRDefault="008B1D55" w:rsidP="008879C4">
      <w:pPr>
        <w:pStyle w:val="bullet"/>
        <w:numPr>
          <w:ilvl w:val="0"/>
          <w:numId w:val="0"/>
        </w:numPr>
        <w:spacing w:before="200"/>
        <w:ind w:right="50"/>
        <w:rPr>
          <w:b w:val="0"/>
          <w:color w:val="auto"/>
          <w:sz w:val="24"/>
          <w:szCs w:val="24"/>
        </w:rPr>
      </w:pPr>
      <w:r w:rsidRPr="008879C4">
        <w:rPr>
          <w:b w:val="0"/>
          <w:color w:val="auto"/>
          <w:sz w:val="24"/>
          <w:szCs w:val="24"/>
        </w:rPr>
        <w:t>A tasa anual y con series desestacionalizadas</w:t>
      </w:r>
      <w:r w:rsidR="005A553E" w:rsidRPr="008879C4">
        <w:rPr>
          <w:b w:val="0"/>
          <w:color w:val="auto"/>
          <w:sz w:val="24"/>
          <w:szCs w:val="24"/>
        </w:rPr>
        <w:t xml:space="preserve">, el </w:t>
      </w:r>
      <w:r w:rsidR="0006146E" w:rsidRPr="008879C4">
        <w:rPr>
          <w:b w:val="0"/>
          <w:color w:val="auto"/>
          <w:sz w:val="24"/>
          <w:szCs w:val="24"/>
        </w:rPr>
        <w:t xml:space="preserve">PIB </w:t>
      </w:r>
      <w:r w:rsidR="0068778E" w:rsidRPr="008879C4">
        <w:rPr>
          <w:b w:val="0"/>
          <w:color w:val="auto"/>
          <w:sz w:val="24"/>
          <w:szCs w:val="24"/>
        </w:rPr>
        <w:t xml:space="preserve">incrementó </w:t>
      </w:r>
      <w:r w:rsidR="00C407FC" w:rsidRPr="008879C4">
        <w:rPr>
          <w:b w:val="0"/>
          <w:color w:val="auto"/>
          <w:sz w:val="24"/>
          <w:szCs w:val="24"/>
        </w:rPr>
        <w:t>3.</w:t>
      </w:r>
      <w:r w:rsidR="00302E8E" w:rsidRPr="008879C4">
        <w:rPr>
          <w:b w:val="0"/>
          <w:color w:val="auto"/>
          <w:sz w:val="24"/>
          <w:szCs w:val="24"/>
        </w:rPr>
        <w:t>7</w:t>
      </w:r>
      <w:r w:rsidR="00C407FC" w:rsidRPr="008879C4">
        <w:rPr>
          <w:b w:val="0"/>
          <w:color w:val="auto"/>
          <w:sz w:val="24"/>
          <w:szCs w:val="24"/>
        </w:rPr>
        <w:t xml:space="preserve"> % en términos reales. </w:t>
      </w:r>
      <w:r w:rsidR="00172E37" w:rsidRPr="008879C4">
        <w:rPr>
          <w:b w:val="0"/>
          <w:color w:val="auto"/>
          <w:sz w:val="24"/>
          <w:szCs w:val="24"/>
        </w:rPr>
        <w:t xml:space="preserve">Las </w:t>
      </w:r>
      <w:r w:rsidR="00C407FC" w:rsidRPr="008879C4">
        <w:rPr>
          <w:b w:val="0"/>
          <w:color w:val="auto"/>
          <w:sz w:val="24"/>
          <w:szCs w:val="24"/>
        </w:rPr>
        <w:t>actividades terciarias crecieron 4.</w:t>
      </w:r>
      <w:r w:rsidR="00302E8E" w:rsidRPr="008879C4">
        <w:rPr>
          <w:b w:val="0"/>
          <w:color w:val="auto"/>
          <w:sz w:val="24"/>
          <w:szCs w:val="24"/>
        </w:rPr>
        <w:t>2</w:t>
      </w:r>
      <w:r w:rsidR="00C407FC" w:rsidRPr="008879C4">
        <w:rPr>
          <w:b w:val="0"/>
          <w:color w:val="auto"/>
          <w:sz w:val="24"/>
          <w:szCs w:val="24"/>
        </w:rPr>
        <w:t xml:space="preserve"> %; las primarias, </w:t>
      </w:r>
      <w:r w:rsidR="00302E8E" w:rsidRPr="008879C4">
        <w:rPr>
          <w:b w:val="0"/>
          <w:color w:val="auto"/>
          <w:sz w:val="24"/>
          <w:szCs w:val="24"/>
        </w:rPr>
        <w:t>2.9</w:t>
      </w:r>
      <w:r w:rsidR="00C407FC" w:rsidRPr="008879C4">
        <w:rPr>
          <w:b w:val="0"/>
          <w:color w:val="auto"/>
          <w:sz w:val="24"/>
          <w:szCs w:val="24"/>
        </w:rPr>
        <w:t> % y las secundarias, 2.</w:t>
      </w:r>
      <w:r w:rsidR="00302E8E" w:rsidRPr="008879C4">
        <w:rPr>
          <w:b w:val="0"/>
          <w:color w:val="auto"/>
          <w:sz w:val="24"/>
          <w:szCs w:val="24"/>
        </w:rPr>
        <w:t>4</w:t>
      </w:r>
      <w:r w:rsidR="00C407FC" w:rsidRPr="008879C4">
        <w:rPr>
          <w:b w:val="0"/>
          <w:color w:val="auto"/>
          <w:sz w:val="24"/>
          <w:szCs w:val="24"/>
        </w:rPr>
        <w:t xml:space="preserve"> por ciento.</w:t>
      </w:r>
    </w:p>
    <w:p w14:paraId="7BA99DD3" w14:textId="3518AE39" w:rsidR="008879C4" w:rsidRDefault="008879C4" w:rsidP="008879C4">
      <w:pPr>
        <w:pStyle w:val="bullet"/>
        <w:numPr>
          <w:ilvl w:val="0"/>
          <w:numId w:val="0"/>
        </w:numPr>
        <w:spacing w:before="200"/>
        <w:ind w:right="50"/>
        <w:rPr>
          <w:b w:val="0"/>
          <w:color w:val="auto"/>
          <w:sz w:val="24"/>
          <w:szCs w:val="24"/>
        </w:rPr>
      </w:pPr>
    </w:p>
    <w:p w14:paraId="0EE0A33E" w14:textId="5AE32F87" w:rsidR="008879C4" w:rsidRDefault="008879C4" w:rsidP="008879C4">
      <w:pPr>
        <w:pStyle w:val="bullet"/>
        <w:numPr>
          <w:ilvl w:val="0"/>
          <w:numId w:val="0"/>
        </w:numPr>
        <w:spacing w:before="200"/>
        <w:ind w:right="50"/>
        <w:rPr>
          <w:b w:val="0"/>
          <w:color w:val="auto"/>
          <w:sz w:val="24"/>
          <w:szCs w:val="24"/>
        </w:rPr>
      </w:pPr>
    </w:p>
    <w:p w14:paraId="58A33C1D" w14:textId="4A2EC514" w:rsidR="008879C4" w:rsidRDefault="008879C4" w:rsidP="008879C4">
      <w:pPr>
        <w:pStyle w:val="bullet"/>
        <w:numPr>
          <w:ilvl w:val="0"/>
          <w:numId w:val="0"/>
        </w:numPr>
        <w:spacing w:before="200"/>
        <w:ind w:right="50"/>
        <w:rPr>
          <w:b w:val="0"/>
          <w:color w:val="auto"/>
          <w:sz w:val="24"/>
          <w:szCs w:val="24"/>
        </w:rPr>
      </w:pPr>
    </w:p>
    <w:p w14:paraId="7F4B7CD5" w14:textId="77777777" w:rsidR="008879C4" w:rsidRDefault="008879C4" w:rsidP="008879C4">
      <w:pPr>
        <w:pStyle w:val="bullet"/>
        <w:numPr>
          <w:ilvl w:val="0"/>
          <w:numId w:val="0"/>
        </w:numPr>
        <w:spacing w:before="200"/>
        <w:ind w:right="50"/>
        <w:rPr>
          <w:b w:val="0"/>
          <w:color w:val="auto"/>
          <w:sz w:val="24"/>
          <w:szCs w:val="24"/>
        </w:rPr>
      </w:pPr>
    </w:p>
    <w:p w14:paraId="115902F8" w14:textId="77777777" w:rsidR="008879C4" w:rsidRDefault="008879C4" w:rsidP="008879C4">
      <w:pPr>
        <w:pStyle w:val="p01"/>
        <w:keepLines w:val="0"/>
        <w:widowControl w:val="0"/>
        <w:spacing w:before="0"/>
        <w:ind w:left="567" w:hanging="567"/>
        <w:jc w:val="center"/>
        <w:rPr>
          <w:rFonts w:ascii="Arial" w:hAnsi="Arial" w:cs="Arial"/>
          <w:color w:val="auto"/>
          <w:sz w:val="20"/>
          <w:szCs w:val="22"/>
        </w:rPr>
      </w:pPr>
    </w:p>
    <w:p w14:paraId="501E7E86" w14:textId="107E5D95" w:rsidR="00910C71" w:rsidRDefault="00910C71" w:rsidP="007D607C">
      <w:pPr>
        <w:pStyle w:val="p01"/>
        <w:keepLines w:val="0"/>
        <w:widowControl w:val="0"/>
        <w:spacing w:before="0"/>
        <w:ind w:left="567" w:hanging="567"/>
        <w:jc w:val="center"/>
        <w:rPr>
          <w:rFonts w:ascii="Arial" w:hAnsi="Arial" w:cs="Arial"/>
          <w:b/>
          <w:smallCaps/>
          <w:color w:val="auto"/>
          <w:sz w:val="22"/>
          <w:szCs w:val="22"/>
        </w:rPr>
      </w:pPr>
      <w:r>
        <w:rPr>
          <w:rFonts w:ascii="Arial" w:hAnsi="Arial" w:cs="Arial"/>
          <w:b/>
          <w:smallCaps/>
          <w:color w:val="auto"/>
          <w:sz w:val="22"/>
          <w:szCs w:val="22"/>
        </w:rPr>
        <w:lastRenderedPageBreak/>
        <w:t xml:space="preserve">Producto </w:t>
      </w:r>
      <w:r w:rsidR="00993027">
        <w:rPr>
          <w:rFonts w:ascii="Arial" w:hAnsi="Arial" w:cs="Arial"/>
          <w:b/>
          <w:smallCaps/>
          <w:color w:val="auto"/>
          <w:sz w:val="22"/>
          <w:szCs w:val="22"/>
        </w:rPr>
        <w:t>I</w:t>
      </w:r>
      <w:r>
        <w:rPr>
          <w:rFonts w:ascii="Arial" w:hAnsi="Arial" w:cs="Arial"/>
          <w:b/>
          <w:smallCaps/>
          <w:color w:val="auto"/>
          <w:sz w:val="22"/>
          <w:szCs w:val="22"/>
        </w:rPr>
        <w:t xml:space="preserve">nterno </w:t>
      </w:r>
      <w:r w:rsidR="00993027">
        <w:rPr>
          <w:rFonts w:ascii="Arial" w:hAnsi="Arial" w:cs="Arial"/>
          <w:b/>
          <w:smallCaps/>
          <w:color w:val="auto"/>
          <w:sz w:val="22"/>
          <w:szCs w:val="22"/>
        </w:rPr>
        <w:t>B</w:t>
      </w:r>
      <w:r>
        <w:rPr>
          <w:rFonts w:ascii="Arial" w:hAnsi="Arial" w:cs="Arial"/>
          <w:b/>
          <w:smallCaps/>
          <w:color w:val="auto"/>
          <w:sz w:val="22"/>
          <w:szCs w:val="22"/>
        </w:rPr>
        <w:t xml:space="preserve">ruto </w:t>
      </w:r>
    </w:p>
    <w:p w14:paraId="4900E756" w14:textId="77777777" w:rsidR="00023A57" w:rsidRPr="00FE3ECE" w:rsidRDefault="009E3B98" w:rsidP="00023A57">
      <w:pPr>
        <w:pStyle w:val="p01"/>
        <w:keepLines w:val="0"/>
        <w:widowControl w:val="0"/>
        <w:spacing w:before="0"/>
        <w:ind w:left="567" w:hanging="567"/>
        <w:jc w:val="center"/>
        <w:rPr>
          <w:rFonts w:ascii="Arial" w:hAnsi="Arial" w:cs="Arial"/>
          <w:b/>
          <w:smallCaps/>
          <w:color w:val="auto"/>
          <w:sz w:val="20"/>
        </w:rPr>
      </w:pPr>
      <w:r w:rsidRPr="00FE3ECE">
        <w:rPr>
          <w:rFonts w:ascii="Arial" w:hAnsi="Arial" w:cs="Arial"/>
          <w:b/>
          <w:smallCaps/>
          <w:color w:val="auto"/>
          <w:sz w:val="20"/>
        </w:rPr>
        <w:t>c</w:t>
      </w:r>
      <w:r w:rsidR="005A553E" w:rsidRPr="00FE3ECE">
        <w:rPr>
          <w:rFonts w:ascii="Arial" w:hAnsi="Arial" w:cs="Arial"/>
          <w:b/>
          <w:smallCaps/>
          <w:color w:val="auto"/>
          <w:sz w:val="20"/>
        </w:rPr>
        <w:t xml:space="preserve">ifras desestacionalizadas </w:t>
      </w:r>
    </w:p>
    <w:p w14:paraId="74181779" w14:textId="6FBA1ED8" w:rsidR="00023A57" w:rsidRPr="00DA5EB1" w:rsidRDefault="00C407FC" w:rsidP="00023A57">
      <w:pPr>
        <w:pStyle w:val="p01"/>
        <w:keepLines w:val="0"/>
        <w:widowControl w:val="0"/>
        <w:spacing w:before="0"/>
        <w:ind w:left="567" w:hanging="567"/>
        <w:jc w:val="center"/>
        <w:rPr>
          <w:rFonts w:ascii="Arial" w:hAnsi="Arial" w:cs="Arial"/>
          <w:b/>
          <w:smallCaps/>
          <w:color w:val="auto"/>
          <w:sz w:val="20"/>
        </w:rPr>
      </w:pPr>
      <w:r>
        <w:rPr>
          <w:rFonts w:ascii="Arial" w:hAnsi="Arial" w:cs="Arial"/>
          <w:b/>
          <w:smallCaps/>
          <w:color w:val="auto"/>
          <w:sz w:val="20"/>
        </w:rPr>
        <w:t>primer</w:t>
      </w:r>
      <w:r w:rsidR="00023A57" w:rsidRPr="00DA5EB1">
        <w:rPr>
          <w:rFonts w:ascii="Arial" w:hAnsi="Arial" w:cs="Arial"/>
          <w:b/>
          <w:smallCaps/>
          <w:color w:val="auto"/>
          <w:sz w:val="20"/>
        </w:rPr>
        <w:t xml:space="preserve"> trimestre de 202</w:t>
      </w:r>
      <w:r>
        <w:rPr>
          <w:rFonts w:ascii="Arial" w:hAnsi="Arial" w:cs="Arial"/>
          <w:b/>
          <w:smallCaps/>
          <w:color w:val="auto"/>
          <w:sz w:val="20"/>
        </w:rPr>
        <w:t>3</w:t>
      </w:r>
    </w:p>
    <w:tbl>
      <w:tblPr>
        <w:tblW w:w="6193" w:type="dxa"/>
        <w:jc w:val="center"/>
        <w:tblCellMar>
          <w:left w:w="70" w:type="dxa"/>
          <w:right w:w="70" w:type="dxa"/>
        </w:tblCellMar>
        <w:tblLook w:val="04A0" w:firstRow="1" w:lastRow="0" w:firstColumn="1" w:lastColumn="0" w:noHBand="0" w:noVBand="1"/>
      </w:tblPr>
      <w:tblGrid>
        <w:gridCol w:w="2679"/>
        <w:gridCol w:w="1757"/>
        <w:gridCol w:w="1757"/>
      </w:tblGrid>
      <w:tr w:rsidR="00C407FC" w14:paraId="1AA147BF" w14:textId="77777777" w:rsidTr="002D1BDE">
        <w:trPr>
          <w:trHeight w:val="340"/>
          <w:jc w:val="center"/>
        </w:trPr>
        <w:tc>
          <w:tcPr>
            <w:tcW w:w="2679" w:type="dxa"/>
            <w:vMerge w:val="restart"/>
            <w:tcBorders>
              <w:top w:val="double" w:sz="4" w:space="0" w:color="auto"/>
              <w:left w:val="double" w:sz="4" w:space="0" w:color="auto"/>
              <w:bottom w:val="double" w:sz="4" w:space="0" w:color="auto"/>
              <w:right w:val="single" w:sz="4" w:space="0" w:color="auto"/>
            </w:tcBorders>
            <w:shd w:val="clear" w:color="auto" w:fill="DBE5F1" w:themeFill="accent1" w:themeFillTint="33"/>
            <w:vAlign w:val="center"/>
            <w:hideMark/>
          </w:tcPr>
          <w:p w14:paraId="6B23C4B2" w14:textId="77777777" w:rsidR="00C407FC" w:rsidRDefault="00C407FC">
            <w:pPr>
              <w:widowControl/>
              <w:ind w:left="-85"/>
              <w:jc w:val="center"/>
              <w:rPr>
                <w:rFonts w:cs="Arial"/>
                <w:snapToGrid/>
                <w:sz w:val="16"/>
                <w:lang w:val="es-MX" w:eastAsia="es-MX"/>
              </w:rPr>
            </w:pPr>
            <w:r>
              <w:rPr>
                <w:rFonts w:cs="Arial"/>
                <w:sz w:val="16"/>
                <w:lang w:val="es-MX" w:eastAsia="es-MX"/>
              </w:rPr>
              <w:t>Concepto</w:t>
            </w:r>
          </w:p>
        </w:tc>
        <w:tc>
          <w:tcPr>
            <w:tcW w:w="3514" w:type="dxa"/>
            <w:gridSpan w:val="2"/>
            <w:tcBorders>
              <w:top w:val="double" w:sz="4" w:space="0" w:color="auto"/>
              <w:left w:val="single" w:sz="4" w:space="0" w:color="auto"/>
              <w:bottom w:val="single" w:sz="4" w:space="0" w:color="auto"/>
              <w:right w:val="double" w:sz="4" w:space="0" w:color="auto"/>
            </w:tcBorders>
            <w:shd w:val="clear" w:color="auto" w:fill="DBE5F1" w:themeFill="accent1" w:themeFillTint="33"/>
            <w:vAlign w:val="center"/>
            <w:hideMark/>
          </w:tcPr>
          <w:p w14:paraId="6D296402" w14:textId="3329796E" w:rsidR="00C407FC" w:rsidRDefault="00C407FC">
            <w:pPr>
              <w:widowControl/>
              <w:jc w:val="center"/>
              <w:rPr>
                <w:rFonts w:cs="Arial"/>
                <w:sz w:val="16"/>
                <w:lang w:val="es-MX" w:eastAsia="es-MX"/>
              </w:rPr>
            </w:pPr>
            <w:r>
              <w:rPr>
                <w:rFonts w:cs="Arial"/>
                <w:sz w:val="16"/>
                <w:lang w:val="es-MX" w:eastAsia="es-MX"/>
              </w:rPr>
              <w:t>Variación porcentual real respecto al:</w:t>
            </w:r>
          </w:p>
        </w:tc>
      </w:tr>
      <w:tr w:rsidR="00C407FC" w14:paraId="42402618" w14:textId="77777777" w:rsidTr="002D1BDE">
        <w:trPr>
          <w:trHeight w:val="397"/>
          <w:jc w:val="center"/>
        </w:trPr>
        <w:tc>
          <w:tcPr>
            <w:tcW w:w="2679" w:type="dxa"/>
            <w:vMerge/>
            <w:tcBorders>
              <w:top w:val="double" w:sz="4" w:space="0" w:color="auto"/>
              <w:left w:val="double" w:sz="4" w:space="0" w:color="auto"/>
              <w:bottom w:val="single" w:sz="4" w:space="0" w:color="auto"/>
              <w:right w:val="single" w:sz="4" w:space="0" w:color="auto"/>
            </w:tcBorders>
            <w:shd w:val="clear" w:color="auto" w:fill="DBE5F1" w:themeFill="accent1" w:themeFillTint="33"/>
            <w:vAlign w:val="center"/>
            <w:hideMark/>
          </w:tcPr>
          <w:p w14:paraId="384A2894" w14:textId="77777777" w:rsidR="00C407FC" w:rsidRDefault="00C407FC">
            <w:pPr>
              <w:widowControl/>
              <w:rPr>
                <w:rFonts w:cs="Arial"/>
                <w:sz w:val="16"/>
                <w:lang w:val="es-MX" w:eastAsia="es-MX"/>
              </w:rPr>
            </w:pPr>
          </w:p>
        </w:tc>
        <w:tc>
          <w:tcPr>
            <w:tcW w:w="1757" w:type="dxa"/>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hideMark/>
          </w:tcPr>
          <w:p w14:paraId="10038677" w14:textId="26483603" w:rsidR="00C407FC" w:rsidRDefault="00C407FC">
            <w:pPr>
              <w:widowControl/>
              <w:jc w:val="center"/>
              <w:rPr>
                <w:rFonts w:cs="Arial"/>
                <w:sz w:val="16"/>
                <w:lang w:val="es-MX" w:eastAsia="es-MX"/>
              </w:rPr>
            </w:pPr>
            <w:r>
              <w:rPr>
                <w:rFonts w:cs="Arial"/>
                <w:sz w:val="16"/>
                <w:lang w:val="es-MX" w:eastAsia="es-MX"/>
              </w:rPr>
              <w:t>trimestre previo</w:t>
            </w:r>
          </w:p>
        </w:tc>
        <w:tc>
          <w:tcPr>
            <w:tcW w:w="1757" w:type="dxa"/>
            <w:tcBorders>
              <w:top w:val="single" w:sz="4" w:space="0" w:color="auto"/>
              <w:left w:val="single" w:sz="4" w:space="0" w:color="auto"/>
              <w:bottom w:val="single" w:sz="4" w:space="0" w:color="auto"/>
              <w:right w:val="double" w:sz="4" w:space="0" w:color="auto"/>
            </w:tcBorders>
            <w:shd w:val="clear" w:color="auto" w:fill="DBE5F1" w:themeFill="accent1" w:themeFillTint="33"/>
            <w:vAlign w:val="center"/>
            <w:hideMark/>
          </w:tcPr>
          <w:p w14:paraId="27BC45EA" w14:textId="4EF379DB" w:rsidR="00C407FC" w:rsidRDefault="00C407FC" w:rsidP="007D607C">
            <w:pPr>
              <w:widowControl/>
              <w:jc w:val="center"/>
              <w:rPr>
                <w:rFonts w:cs="Arial"/>
                <w:sz w:val="16"/>
                <w:lang w:val="es-MX" w:eastAsia="es-MX"/>
              </w:rPr>
            </w:pPr>
            <w:r>
              <w:rPr>
                <w:rFonts w:cs="Arial"/>
                <w:sz w:val="16"/>
                <w:lang w:val="es-MX" w:eastAsia="es-MX"/>
              </w:rPr>
              <w:t xml:space="preserve">mismo trimestre </w:t>
            </w:r>
            <w:r>
              <w:rPr>
                <w:rFonts w:cs="Arial"/>
                <w:sz w:val="16"/>
                <w:lang w:val="es-MX" w:eastAsia="es-MX"/>
              </w:rPr>
              <w:br/>
              <w:t>de 2022</w:t>
            </w:r>
          </w:p>
        </w:tc>
      </w:tr>
      <w:tr w:rsidR="00C407FC" w14:paraId="719F7840" w14:textId="77777777" w:rsidTr="002D1BDE">
        <w:trPr>
          <w:trHeight w:val="283"/>
          <w:jc w:val="center"/>
        </w:trPr>
        <w:tc>
          <w:tcPr>
            <w:tcW w:w="2679" w:type="dxa"/>
            <w:tcBorders>
              <w:top w:val="single" w:sz="4" w:space="0" w:color="auto"/>
              <w:left w:val="double" w:sz="4" w:space="0" w:color="auto"/>
              <w:bottom w:val="nil"/>
              <w:right w:val="single" w:sz="4" w:space="0" w:color="auto"/>
            </w:tcBorders>
            <w:vAlign w:val="center"/>
            <w:hideMark/>
          </w:tcPr>
          <w:p w14:paraId="320242F5" w14:textId="2862B1BA" w:rsidR="008879C4" w:rsidRDefault="00C407FC" w:rsidP="005E1E27">
            <w:pPr>
              <w:widowControl/>
              <w:rPr>
                <w:rFonts w:cs="Arial"/>
                <w:b/>
                <w:bCs/>
                <w:color w:val="000000"/>
                <w:sz w:val="16"/>
                <w:lang w:val="es-MX" w:eastAsia="es-MX"/>
              </w:rPr>
            </w:pPr>
            <w:r>
              <w:rPr>
                <w:rFonts w:cs="Arial"/>
                <w:b/>
                <w:bCs/>
                <w:color w:val="000000"/>
                <w:sz w:val="16"/>
                <w:lang w:val="es-MX" w:eastAsia="es-MX"/>
              </w:rPr>
              <w:t xml:space="preserve">PIB </w:t>
            </w:r>
            <w:bookmarkStart w:id="0" w:name="_GoBack"/>
            <w:bookmarkEnd w:id="0"/>
          </w:p>
        </w:tc>
        <w:tc>
          <w:tcPr>
            <w:tcW w:w="1757" w:type="dxa"/>
            <w:tcBorders>
              <w:top w:val="single" w:sz="4" w:space="0" w:color="auto"/>
              <w:left w:val="single" w:sz="4" w:space="0" w:color="auto"/>
              <w:bottom w:val="nil"/>
              <w:right w:val="single" w:sz="4" w:space="0" w:color="auto"/>
            </w:tcBorders>
            <w:vAlign w:val="center"/>
            <w:hideMark/>
          </w:tcPr>
          <w:p w14:paraId="1BCF7B7C" w14:textId="79281967" w:rsidR="00C407FC" w:rsidRDefault="00C407FC" w:rsidP="008A22A4">
            <w:pPr>
              <w:widowControl/>
              <w:tabs>
                <w:tab w:val="decimal" w:pos="804"/>
              </w:tabs>
              <w:rPr>
                <w:rFonts w:cs="Arial"/>
                <w:b/>
                <w:color w:val="000000"/>
                <w:sz w:val="16"/>
                <w:szCs w:val="15"/>
                <w:lang w:val="es-MX" w:eastAsia="es-MX"/>
              </w:rPr>
            </w:pPr>
            <w:r>
              <w:rPr>
                <w:rFonts w:cs="Arial"/>
                <w:b/>
                <w:snapToGrid/>
                <w:color w:val="000000"/>
                <w:sz w:val="16"/>
                <w:szCs w:val="15"/>
                <w:lang w:val="es-MX" w:eastAsia="es-MX"/>
              </w:rPr>
              <w:t>1.</w:t>
            </w:r>
            <w:r w:rsidR="00302E8E">
              <w:rPr>
                <w:rFonts w:cs="Arial"/>
                <w:b/>
                <w:snapToGrid/>
                <w:color w:val="000000"/>
                <w:sz w:val="16"/>
                <w:szCs w:val="15"/>
                <w:lang w:val="es-MX" w:eastAsia="es-MX"/>
              </w:rPr>
              <w:t>0</w:t>
            </w:r>
          </w:p>
        </w:tc>
        <w:tc>
          <w:tcPr>
            <w:tcW w:w="1757" w:type="dxa"/>
            <w:tcBorders>
              <w:top w:val="single" w:sz="4" w:space="0" w:color="auto"/>
              <w:left w:val="single" w:sz="4" w:space="0" w:color="auto"/>
              <w:bottom w:val="nil"/>
              <w:right w:val="double" w:sz="4" w:space="0" w:color="auto"/>
            </w:tcBorders>
            <w:vAlign w:val="center"/>
            <w:hideMark/>
          </w:tcPr>
          <w:p w14:paraId="01C10CA8" w14:textId="0C8234EE" w:rsidR="00C407FC" w:rsidRDefault="00C407FC" w:rsidP="008A22A4">
            <w:pPr>
              <w:widowControl/>
              <w:tabs>
                <w:tab w:val="decimal" w:pos="742"/>
              </w:tabs>
              <w:rPr>
                <w:rFonts w:cs="Arial"/>
                <w:b/>
                <w:color w:val="000000"/>
                <w:sz w:val="16"/>
                <w:szCs w:val="15"/>
                <w:lang w:val="es-MX" w:eastAsia="es-MX"/>
              </w:rPr>
            </w:pPr>
            <w:r>
              <w:rPr>
                <w:rFonts w:cs="Arial"/>
                <w:b/>
                <w:snapToGrid/>
                <w:color w:val="000000"/>
                <w:sz w:val="16"/>
                <w:szCs w:val="15"/>
                <w:lang w:val="es-MX" w:eastAsia="es-MX"/>
              </w:rPr>
              <w:t>3.</w:t>
            </w:r>
            <w:r w:rsidR="00302E8E">
              <w:rPr>
                <w:rFonts w:cs="Arial"/>
                <w:b/>
                <w:snapToGrid/>
                <w:color w:val="000000"/>
                <w:sz w:val="16"/>
                <w:szCs w:val="15"/>
                <w:lang w:val="es-MX" w:eastAsia="es-MX"/>
              </w:rPr>
              <w:t>7</w:t>
            </w:r>
          </w:p>
        </w:tc>
      </w:tr>
      <w:tr w:rsidR="00C407FC" w14:paraId="6999E845" w14:textId="77777777" w:rsidTr="002D1BDE">
        <w:trPr>
          <w:trHeight w:val="283"/>
          <w:jc w:val="center"/>
        </w:trPr>
        <w:tc>
          <w:tcPr>
            <w:tcW w:w="2679" w:type="dxa"/>
            <w:tcBorders>
              <w:top w:val="nil"/>
              <w:left w:val="double" w:sz="4" w:space="0" w:color="auto"/>
              <w:bottom w:val="nil"/>
              <w:right w:val="single" w:sz="4" w:space="0" w:color="auto"/>
            </w:tcBorders>
            <w:vAlign w:val="center"/>
            <w:hideMark/>
          </w:tcPr>
          <w:p w14:paraId="0DD53167" w14:textId="77777777" w:rsidR="00C407FC" w:rsidRDefault="00C407FC" w:rsidP="00C407FC">
            <w:pPr>
              <w:widowControl/>
              <w:ind w:left="199"/>
              <w:rPr>
                <w:rFonts w:cs="Arial"/>
                <w:color w:val="000000"/>
                <w:sz w:val="16"/>
                <w:lang w:val="es-MX" w:eastAsia="es-MX"/>
              </w:rPr>
            </w:pPr>
            <w:r>
              <w:rPr>
                <w:rFonts w:cs="Arial"/>
                <w:color w:val="000000"/>
                <w:sz w:val="16"/>
                <w:lang w:val="es-MX" w:eastAsia="es-MX"/>
              </w:rPr>
              <w:t xml:space="preserve">Actividades primarias </w:t>
            </w:r>
          </w:p>
        </w:tc>
        <w:tc>
          <w:tcPr>
            <w:tcW w:w="1757" w:type="dxa"/>
            <w:tcBorders>
              <w:top w:val="nil"/>
              <w:left w:val="single" w:sz="4" w:space="0" w:color="auto"/>
              <w:bottom w:val="nil"/>
              <w:right w:val="single" w:sz="4" w:space="0" w:color="auto"/>
            </w:tcBorders>
            <w:vAlign w:val="center"/>
            <w:hideMark/>
          </w:tcPr>
          <w:p w14:paraId="46D50386" w14:textId="0DE8CF48" w:rsidR="00C407FC" w:rsidRDefault="00C407FC" w:rsidP="008A22A4">
            <w:pPr>
              <w:widowControl/>
              <w:tabs>
                <w:tab w:val="decimal" w:pos="804"/>
              </w:tabs>
              <w:rPr>
                <w:rFonts w:cs="Arial"/>
                <w:color w:val="000000"/>
                <w:sz w:val="16"/>
                <w:szCs w:val="15"/>
                <w:lang w:val="es-MX" w:eastAsia="es-MX"/>
              </w:rPr>
            </w:pPr>
            <w:r>
              <w:rPr>
                <w:rFonts w:cs="Arial"/>
                <w:snapToGrid/>
                <w:color w:val="000000"/>
                <w:sz w:val="16"/>
                <w:szCs w:val="15"/>
                <w:lang w:val="es-MX" w:eastAsia="es-MX"/>
              </w:rPr>
              <w:t>-</w:t>
            </w:r>
            <w:r w:rsidR="00302E8E">
              <w:rPr>
                <w:rFonts w:cs="Arial"/>
                <w:snapToGrid/>
                <w:color w:val="000000"/>
                <w:sz w:val="16"/>
                <w:szCs w:val="15"/>
                <w:lang w:val="es-MX" w:eastAsia="es-MX"/>
              </w:rPr>
              <w:t>2.8</w:t>
            </w:r>
          </w:p>
        </w:tc>
        <w:tc>
          <w:tcPr>
            <w:tcW w:w="1757" w:type="dxa"/>
            <w:tcBorders>
              <w:top w:val="nil"/>
              <w:left w:val="single" w:sz="4" w:space="0" w:color="auto"/>
              <w:bottom w:val="nil"/>
              <w:right w:val="double" w:sz="4" w:space="0" w:color="auto"/>
            </w:tcBorders>
            <w:vAlign w:val="center"/>
            <w:hideMark/>
          </w:tcPr>
          <w:p w14:paraId="74F513FA" w14:textId="7F47523A" w:rsidR="00C407FC" w:rsidRDefault="00302E8E" w:rsidP="008A22A4">
            <w:pPr>
              <w:widowControl/>
              <w:tabs>
                <w:tab w:val="decimal" w:pos="742"/>
              </w:tabs>
              <w:rPr>
                <w:rFonts w:cs="Arial"/>
                <w:color w:val="000000"/>
                <w:sz w:val="16"/>
                <w:szCs w:val="15"/>
                <w:lang w:val="es-MX" w:eastAsia="es-MX"/>
              </w:rPr>
            </w:pPr>
            <w:r>
              <w:rPr>
                <w:rFonts w:cs="Arial"/>
                <w:snapToGrid/>
                <w:color w:val="000000"/>
                <w:sz w:val="16"/>
                <w:szCs w:val="15"/>
                <w:lang w:val="es-MX" w:eastAsia="es-MX"/>
              </w:rPr>
              <w:t>2.9</w:t>
            </w:r>
          </w:p>
        </w:tc>
      </w:tr>
      <w:tr w:rsidR="00C407FC" w14:paraId="041624C1" w14:textId="77777777" w:rsidTr="002D1BDE">
        <w:trPr>
          <w:trHeight w:val="283"/>
          <w:jc w:val="center"/>
        </w:trPr>
        <w:tc>
          <w:tcPr>
            <w:tcW w:w="2679" w:type="dxa"/>
            <w:tcBorders>
              <w:top w:val="nil"/>
              <w:left w:val="double" w:sz="4" w:space="0" w:color="auto"/>
              <w:bottom w:val="nil"/>
              <w:right w:val="single" w:sz="4" w:space="0" w:color="auto"/>
            </w:tcBorders>
            <w:vAlign w:val="center"/>
            <w:hideMark/>
          </w:tcPr>
          <w:p w14:paraId="50709647" w14:textId="77777777" w:rsidR="00C407FC" w:rsidRDefault="00C407FC" w:rsidP="00C407FC">
            <w:pPr>
              <w:widowControl/>
              <w:ind w:left="199"/>
              <w:rPr>
                <w:rFonts w:cs="Arial"/>
                <w:color w:val="000000"/>
                <w:sz w:val="16"/>
                <w:lang w:val="es-MX" w:eastAsia="es-MX"/>
              </w:rPr>
            </w:pPr>
            <w:r>
              <w:rPr>
                <w:rFonts w:cs="Arial"/>
                <w:color w:val="000000"/>
                <w:sz w:val="16"/>
                <w:lang w:val="es-MX" w:eastAsia="es-MX"/>
              </w:rPr>
              <w:t xml:space="preserve">Actividades secundarias </w:t>
            </w:r>
          </w:p>
        </w:tc>
        <w:tc>
          <w:tcPr>
            <w:tcW w:w="1757" w:type="dxa"/>
            <w:tcBorders>
              <w:top w:val="nil"/>
              <w:left w:val="single" w:sz="4" w:space="0" w:color="auto"/>
              <w:bottom w:val="nil"/>
              <w:right w:val="single" w:sz="4" w:space="0" w:color="auto"/>
            </w:tcBorders>
            <w:vAlign w:val="center"/>
            <w:hideMark/>
          </w:tcPr>
          <w:p w14:paraId="0A41FB43" w14:textId="6DBF8A12" w:rsidR="00C407FC" w:rsidRDefault="00C407FC" w:rsidP="008A22A4">
            <w:pPr>
              <w:widowControl/>
              <w:tabs>
                <w:tab w:val="decimal" w:pos="804"/>
              </w:tabs>
              <w:rPr>
                <w:rFonts w:cs="Arial"/>
                <w:color w:val="000000"/>
                <w:sz w:val="16"/>
                <w:szCs w:val="15"/>
                <w:lang w:val="es-MX" w:eastAsia="es-MX"/>
              </w:rPr>
            </w:pPr>
            <w:r>
              <w:rPr>
                <w:rFonts w:cs="Arial"/>
                <w:snapToGrid/>
                <w:color w:val="000000"/>
                <w:sz w:val="16"/>
                <w:szCs w:val="15"/>
                <w:lang w:val="es-MX" w:eastAsia="es-MX"/>
              </w:rPr>
              <w:t>0.</w:t>
            </w:r>
            <w:r w:rsidR="00302E8E">
              <w:rPr>
                <w:rFonts w:cs="Arial"/>
                <w:snapToGrid/>
                <w:color w:val="000000"/>
                <w:sz w:val="16"/>
                <w:szCs w:val="15"/>
                <w:lang w:val="es-MX" w:eastAsia="es-MX"/>
              </w:rPr>
              <w:t>6</w:t>
            </w:r>
          </w:p>
        </w:tc>
        <w:tc>
          <w:tcPr>
            <w:tcW w:w="1757" w:type="dxa"/>
            <w:tcBorders>
              <w:top w:val="nil"/>
              <w:left w:val="single" w:sz="4" w:space="0" w:color="auto"/>
              <w:bottom w:val="nil"/>
              <w:right w:val="double" w:sz="4" w:space="0" w:color="auto"/>
            </w:tcBorders>
            <w:vAlign w:val="center"/>
            <w:hideMark/>
          </w:tcPr>
          <w:p w14:paraId="2050E82C" w14:textId="4EDECB26" w:rsidR="00C407FC" w:rsidRDefault="00C407FC" w:rsidP="008A22A4">
            <w:pPr>
              <w:widowControl/>
              <w:tabs>
                <w:tab w:val="decimal" w:pos="742"/>
              </w:tabs>
              <w:rPr>
                <w:rFonts w:cs="Arial"/>
                <w:color w:val="000000"/>
                <w:sz w:val="16"/>
                <w:szCs w:val="15"/>
                <w:lang w:val="es-MX" w:eastAsia="es-MX"/>
              </w:rPr>
            </w:pPr>
            <w:r>
              <w:rPr>
                <w:rFonts w:cs="Arial"/>
                <w:snapToGrid/>
                <w:color w:val="000000"/>
                <w:sz w:val="16"/>
                <w:szCs w:val="15"/>
                <w:lang w:val="es-MX" w:eastAsia="es-MX"/>
              </w:rPr>
              <w:t>2.</w:t>
            </w:r>
            <w:r w:rsidR="00302E8E">
              <w:rPr>
                <w:rFonts w:cs="Arial"/>
                <w:snapToGrid/>
                <w:color w:val="000000"/>
                <w:sz w:val="16"/>
                <w:szCs w:val="15"/>
                <w:lang w:val="es-MX" w:eastAsia="es-MX"/>
              </w:rPr>
              <w:t>4</w:t>
            </w:r>
          </w:p>
        </w:tc>
      </w:tr>
      <w:tr w:rsidR="00C407FC" w14:paraId="2D5C3852" w14:textId="77777777" w:rsidTr="002D1BDE">
        <w:trPr>
          <w:trHeight w:val="283"/>
          <w:jc w:val="center"/>
        </w:trPr>
        <w:tc>
          <w:tcPr>
            <w:tcW w:w="2679" w:type="dxa"/>
            <w:tcBorders>
              <w:top w:val="nil"/>
              <w:left w:val="double" w:sz="4" w:space="0" w:color="auto"/>
              <w:bottom w:val="double" w:sz="4" w:space="0" w:color="auto"/>
              <w:right w:val="single" w:sz="4" w:space="0" w:color="auto"/>
            </w:tcBorders>
            <w:vAlign w:val="center"/>
            <w:hideMark/>
          </w:tcPr>
          <w:p w14:paraId="608CB71C" w14:textId="77777777" w:rsidR="00C407FC" w:rsidRDefault="00C407FC" w:rsidP="00C407FC">
            <w:pPr>
              <w:widowControl/>
              <w:ind w:left="199"/>
              <w:rPr>
                <w:rFonts w:cs="Arial"/>
                <w:color w:val="000000"/>
                <w:sz w:val="16"/>
                <w:lang w:val="es-MX" w:eastAsia="es-MX"/>
              </w:rPr>
            </w:pPr>
            <w:r>
              <w:rPr>
                <w:rFonts w:cs="Arial"/>
                <w:color w:val="000000"/>
                <w:sz w:val="16"/>
                <w:lang w:val="es-MX" w:eastAsia="es-MX"/>
              </w:rPr>
              <w:t xml:space="preserve">Actividades terciarias </w:t>
            </w:r>
          </w:p>
        </w:tc>
        <w:tc>
          <w:tcPr>
            <w:tcW w:w="1757" w:type="dxa"/>
            <w:tcBorders>
              <w:top w:val="nil"/>
              <w:left w:val="single" w:sz="4" w:space="0" w:color="auto"/>
              <w:bottom w:val="double" w:sz="4" w:space="0" w:color="auto"/>
              <w:right w:val="single" w:sz="4" w:space="0" w:color="auto"/>
            </w:tcBorders>
            <w:vAlign w:val="center"/>
            <w:hideMark/>
          </w:tcPr>
          <w:p w14:paraId="11599374" w14:textId="6DA903E8" w:rsidR="00C407FC" w:rsidRDefault="00C407FC" w:rsidP="008A22A4">
            <w:pPr>
              <w:widowControl/>
              <w:tabs>
                <w:tab w:val="decimal" w:pos="804"/>
              </w:tabs>
              <w:rPr>
                <w:rFonts w:cs="Arial"/>
                <w:color w:val="000000"/>
                <w:sz w:val="16"/>
                <w:szCs w:val="15"/>
                <w:lang w:val="es-MX" w:eastAsia="es-MX"/>
              </w:rPr>
            </w:pPr>
            <w:r>
              <w:rPr>
                <w:rFonts w:cs="Arial"/>
                <w:snapToGrid/>
                <w:color w:val="000000"/>
                <w:sz w:val="16"/>
                <w:szCs w:val="15"/>
                <w:lang w:val="es-MX" w:eastAsia="es-MX"/>
              </w:rPr>
              <w:t>1.5</w:t>
            </w:r>
          </w:p>
        </w:tc>
        <w:tc>
          <w:tcPr>
            <w:tcW w:w="1757" w:type="dxa"/>
            <w:tcBorders>
              <w:top w:val="nil"/>
              <w:left w:val="single" w:sz="4" w:space="0" w:color="auto"/>
              <w:bottom w:val="double" w:sz="4" w:space="0" w:color="auto"/>
              <w:right w:val="double" w:sz="4" w:space="0" w:color="auto"/>
            </w:tcBorders>
            <w:vAlign w:val="center"/>
            <w:hideMark/>
          </w:tcPr>
          <w:p w14:paraId="347A7A4B" w14:textId="103F02E2" w:rsidR="00C407FC" w:rsidRDefault="00C407FC" w:rsidP="008A22A4">
            <w:pPr>
              <w:widowControl/>
              <w:tabs>
                <w:tab w:val="decimal" w:pos="742"/>
              </w:tabs>
              <w:rPr>
                <w:rFonts w:cs="Arial"/>
                <w:color w:val="000000"/>
                <w:sz w:val="16"/>
                <w:szCs w:val="15"/>
                <w:lang w:val="es-MX" w:eastAsia="es-MX"/>
              </w:rPr>
            </w:pPr>
            <w:r>
              <w:rPr>
                <w:rFonts w:cs="Arial"/>
                <w:snapToGrid/>
                <w:color w:val="000000"/>
                <w:sz w:val="16"/>
                <w:szCs w:val="15"/>
                <w:lang w:val="es-MX" w:eastAsia="es-MX"/>
              </w:rPr>
              <w:t>4.</w:t>
            </w:r>
            <w:r w:rsidR="00302E8E">
              <w:rPr>
                <w:rFonts w:cs="Arial"/>
                <w:snapToGrid/>
                <w:color w:val="000000"/>
                <w:sz w:val="16"/>
                <w:szCs w:val="15"/>
                <w:lang w:val="es-MX" w:eastAsia="es-MX"/>
              </w:rPr>
              <w:t>2</w:t>
            </w:r>
          </w:p>
        </w:tc>
      </w:tr>
    </w:tbl>
    <w:p w14:paraId="09ABE363" w14:textId="4F09B1B5" w:rsidR="003B4E4C" w:rsidRDefault="003B4E4C" w:rsidP="00C87EFA">
      <w:pPr>
        <w:pStyle w:val="bullet"/>
        <w:numPr>
          <w:ilvl w:val="0"/>
          <w:numId w:val="0"/>
        </w:numPr>
        <w:spacing w:before="0"/>
        <w:ind w:left="2268" w:right="1751" w:hanging="425"/>
        <w:rPr>
          <w:rFonts w:cs="Arial"/>
          <w:b w:val="0"/>
          <w:color w:val="auto"/>
          <w:sz w:val="16"/>
        </w:rPr>
      </w:pPr>
      <w:r>
        <w:rPr>
          <w:rFonts w:cs="Arial"/>
          <w:b w:val="0"/>
          <w:color w:val="auto"/>
          <w:sz w:val="16"/>
        </w:rPr>
        <w:t>Nota:</w:t>
      </w:r>
      <w:r w:rsidR="00BA673B">
        <w:rPr>
          <w:rFonts w:cs="Arial"/>
          <w:b w:val="0"/>
          <w:color w:val="auto"/>
          <w:sz w:val="16"/>
        </w:rPr>
        <w:tab/>
      </w:r>
      <w:r w:rsidR="005A553E" w:rsidRPr="009570BB">
        <w:rPr>
          <w:rFonts w:cs="Arial"/>
          <w:b w:val="0"/>
          <w:color w:val="auto"/>
          <w:sz w:val="16"/>
        </w:rPr>
        <w:t xml:space="preserve">La serie desestacionalizada de los agregados se calcula de manera independiente a la de </w:t>
      </w:r>
      <w:r w:rsidR="00E556F0">
        <w:rPr>
          <w:rFonts w:cs="Arial"/>
          <w:b w:val="0"/>
          <w:color w:val="auto"/>
          <w:sz w:val="16"/>
        </w:rPr>
        <w:t>sus</w:t>
      </w:r>
      <w:r w:rsidR="004345C0" w:rsidRPr="004345C0">
        <w:rPr>
          <w:rFonts w:cs="Arial"/>
          <w:b w:val="0"/>
          <w:color w:val="auto"/>
          <w:sz w:val="16"/>
        </w:rPr>
        <w:t xml:space="preserve"> </w:t>
      </w:r>
      <w:r w:rsidR="003F68F0">
        <w:rPr>
          <w:rFonts w:cs="Arial"/>
          <w:b w:val="0"/>
          <w:color w:val="auto"/>
          <w:sz w:val="16"/>
        </w:rPr>
        <w:t>c</w:t>
      </w:r>
      <w:r w:rsidR="004345C0" w:rsidRPr="009570BB">
        <w:rPr>
          <w:rFonts w:cs="Arial"/>
          <w:b w:val="0"/>
          <w:color w:val="auto"/>
          <w:sz w:val="16"/>
        </w:rPr>
        <w:t>omponentes.</w:t>
      </w:r>
    </w:p>
    <w:p w14:paraId="223EFCD9" w14:textId="33FC382D" w:rsidR="004345C0" w:rsidRDefault="005A553E" w:rsidP="00C87EFA">
      <w:pPr>
        <w:pStyle w:val="bullet"/>
        <w:numPr>
          <w:ilvl w:val="0"/>
          <w:numId w:val="0"/>
        </w:numPr>
        <w:spacing w:before="0"/>
        <w:ind w:left="2268" w:right="0" w:hanging="425"/>
        <w:jc w:val="left"/>
        <w:rPr>
          <w:rFonts w:cs="Arial"/>
          <w:b w:val="0"/>
          <w:color w:val="auto"/>
          <w:sz w:val="16"/>
          <w:szCs w:val="16"/>
        </w:rPr>
      </w:pPr>
      <w:r w:rsidRPr="000434B9">
        <w:rPr>
          <w:rFonts w:cs="Arial"/>
          <w:b w:val="0"/>
          <w:color w:val="auto"/>
          <w:sz w:val="16"/>
          <w:szCs w:val="16"/>
        </w:rPr>
        <w:t>Fuente:</w:t>
      </w:r>
      <w:r w:rsidR="00E556F0">
        <w:rPr>
          <w:rFonts w:cs="Arial"/>
          <w:b w:val="0"/>
          <w:color w:val="auto"/>
          <w:sz w:val="16"/>
          <w:szCs w:val="16"/>
        </w:rPr>
        <w:t xml:space="preserve"> </w:t>
      </w:r>
      <w:r w:rsidRPr="000434B9">
        <w:rPr>
          <w:rFonts w:cs="Arial"/>
          <w:b w:val="0"/>
          <w:color w:val="auto"/>
          <w:sz w:val="16"/>
          <w:szCs w:val="16"/>
        </w:rPr>
        <w:t>INEGI</w:t>
      </w:r>
    </w:p>
    <w:p w14:paraId="6E03F847" w14:textId="2958A525" w:rsidR="008879C4" w:rsidRDefault="008879C4" w:rsidP="00C87EFA">
      <w:pPr>
        <w:pStyle w:val="bullet"/>
        <w:numPr>
          <w:ilvl w:val="0"/>
          <w:numId w:val="0"/>
        </w:numPr>
        <w:spacing w:before="0"/>
        <w:ind w:left="2268" w:right="0" w:hanging="425"/>
        <w:jc w:val="left"/>
        <w:rPr>
          <w:rFonts w:cs="Arial"/>
          <w:b w:val="0"/>
          <w:color w:val="auto"/>
          <w:sz w:val="16"/>
          <w:szCs w:val="16"/>
        </w:rPr>
      </w:pPr>
    </w:p>
    <w:p w14:paraId="02258093" w14:textId="77777777" w:rsidR="005E1E27" w:rsidRDefault="005E1E27" w:rsidP="008879C4">
      <w:pPr>
        <w:pStyle w:val="p0"/>
        <w:spacing w:before="360"/>
        <w:rPr>
          <w:b/>
          <w:iCs/>
          <w:smallCaps/>
          <w:color w:val="auto"/>
        </w:rPr>
      </w:pPr>
    </w:p>
    <w:p w14:paraId="71F7568E" w14:textId="6435E1D4" w:rsidR="008879C4" w:rsidRPr="00347E10" w:rsidRDefault="008879C4" w:rsidP="008879C4">
      <w:pPr>
        <w:pStyle w:val="p0"/>
        <w:spacing w:before="360"/>
        <w:rPr>
          <w:b/>
          <w:iCs/>
          <w:smallCaps/>
          <w:color w:val="auto"/>
        </w:rPr>
      </w:pPr>
      <w:r w:rsidRPr="00347E10">
        <w:rPr>
          <w:b/>
          <w:iCs/>
          <w:smallCaps/>
          <w:color w:val="auto"/>
        </w:rPr>
        <w:t>Nota al usuario</w:t>
      </w:r>
    </w:p>
    <w:p w14:paraId="38C086B0" w14:textId="77777777" w:rsidR="008879C4" w:rsidRPr="004520C2" w:rsidRDefault="008879C4" w:rsidP="008879C4">
      <w:pPr>
        <w:pStyle w:val="Default"/>
        <w:spacing w:before="240"/>
        <w:jc w:val="both"/>
      </w:pPr>
      <w:r w:rsidRPr="004520C2">
        <w:t>Este indicador se actualiza una vez que se dispone de la información estadística más reciente de las Cuentas de Bienes y Servicios 2021</w:t>
      </w:r>
      <w:r>
        <w:t>,</w:t>
      </w:r>
      <w:r w:rsidRPr="004520C2">
        <w:t xml:space="preserve"> versión revisada</w:t>
      </w:r>
      <w:r>
        <w:t>,</w:t>
      </w:r>
      <w:r w:rsidRPr="004520C2">
        <w:t xml:space="preserve"> y de las encuestas, los registros administrativos y los datos primarios de los años 2021 y 2022. Como resultado, se identifican diferencias en los valores en millones de pesos, variaciones anuales y estructuras porcentuales que se publicaron oportunamente. La actualización se hace con base en los «Lineamientos de cambios a la información divulgada en las publicaciones estadísticas y geográficas del Instituto Nacional de Estadística y Geografía» que se complementan con las «Normas Especiales para la Divulgación de Datos» del Fondo Monetario Internacional (FMI).</w:t>
      </w:r>
    </w:p>
    <w:p w14:paraId="4CFBF21E" w14:textId="0501553E" w:rsidR="008879C4" w:rsidRDefault="008879C4" w:rsidP="008879C4">
      <w:pPr>
        <w:pStyle w:val="Default"/>
        <w:spacing w:before="240"/>
        <w:jc w:val="both"/>
      </w:pPr>
      <w:r w:rsidRPr="004520C2">
        <w:t>La tasa de no respuesta en la captación de las encuestas económicas que se consideraron para la integración del PIB Trimestral,</w:t>
      </w:r>
      <w:r w:rsidRPr="004520C2">
        <w:rPr>
          <w:rStyle w:val="Refdenotaalpie"/>
          <w:b w:val="0"/>
          <w:bCs/>
          <w:sz w:val="24"/>
        </w:rPr>
        <w:footnoteReference w:id="5"/>
      </w:r>
      <w:r w:rsidRPr="004520C2">
        <w:t xml:space="preserve"> en el primer trimestre de 2023, registró porcentajes apropiados de acuerdo con el diseño estadístico de las muestras. Asimismo, la captación de la Estadística de la Industria </w:t>
      </w:r>
      <w:proofErr w:type="spellStart"/>
      <w:r w:rsidRPr="004520C2">
        <w:t>Minerometalúrgica</w:t>
      </w:r>
      <w:proofErr w:type="spellEnd"/>
      <w:r w:rsidRPr="004520C2">
        <w:t xml:space="preserve"> (EIMM), de los registros administrativos y los datos primarios que divulga el Instituto Nacional de Estadística y Geografía (INEGI) permitió la generación de estadísticas con niveles altos de cobertura y precisión estadística. Para las actividades agropecuarias, petroleras, de energía, gas y agua, de servicios financieros y del gobierno</w:t>
      </w:r>
      <w:r>
        <w:t>,</w:t>
      </w:r>
      <w:r w:rsidRPr="004520C2">
        <w:t xml:space="preserve"> se incluyeron los registros administrativos provenientes de las empresas y Unidades del Estado que se recibieron oportunamente vía correo electrónico e internet.</w:t>
      </w:r>
    </w:p>
    <w:p w14:paraId="7A511D79" w14:textId="77777777" w:rsidR="005E1E27" w:rsidRDefault="005E1E27" w:rsidP="008879C4">
      <w:pPr>
        <w:pStyle w:val="NormalWeb"/>
        <w:ind w:left="-426" w:right="-518"/>
        <w:contextualSpacing/>
        <w:jc w:val="center"/>
        <w:rPr>
          <w:sz w:val="22"/>
          <w:szCs w:val="22"/>
          <w:lang w:val="es-ES_tradnl"/>
        </w:rPr>
      </w:pPr>
      <w:bookmarkStart w:id="1" w:name="_Hlk128411818"/>
      <w:bookmarkStart w:id="2" w:name="_Hlk127548085"/>
    </w:p>
    <w:p w14:paraId="1FAA4222" w14:textId="77777777" w:rsidR="005E1E27" w:rsidRDefault="005E1E27" w:rsidP="008879C4">
      <w:pPr>
        <w:pStyle w:val="NormalWeb"/>
        <w:ind w:left="-426" w:right="-518"/>
        <w:contextualSpacing/>
        <w:jc w:val="center"/>
        <w:rPr>
          <w:sz w:val="22"/>
          <w:szCs w:val="22"/>
          <w:lang w:val="es-ES_tradnl"/>
        </w:rPr>
      </w:pPr>
    </w:p>
    <w:p w14:paraId="62E23F8A" w14:textId="77777777" w:rsidR="005E1E27" w:rsidRDefault="005E1E27" w:rsidP="008879C4">
      <w:pPr>
        <w:pStyle w:val="NormalWeb"/>
        <w:ind w:left="-426" w:right="-518"/>
        <w:contextualSpacing/>
        <w:jc w:val="center"/>
        <w:rPr>
          <w:sz w:val="22"/>
          <w:szCs w:val="22"/>
          <w:lang w:val="es-ES_tradnl"/>
        </w:rPr>
      </w:pPr>
    </w:p>
    <w:p w14:paraId="1ED57584" w14:textId="77777777" w:rsidR="005E1E27" w:rsidRDefault="005E1E27" w:rsidP="008879C4">
      <w:pPr>
        <w:pStyle w:val="NormalWeb"/>
        <w:ind w:left="-426" w:right="-518"/>
        <w:contextualSpacing/>
        <w:jc w:val="center"/>
        <w:rPr>
          <w:sz w:val="22"/>
          <w:szCs w:val="22"/>
          <w:lang w:val="es-ES_tradnl"/>
        </w:rPr>
      </w:pPr>
    </w:p>
    <w:p w14:paraId="65084160" w14:textId="77777777" w:rsidR="005E1E27" w:rsidRDefault="005E1E27" w:rsidP="005E1E27">
      <w:pPr>
        <w:pStyle w:val="NormalWeb"/>
        <w:ind w:left="-426" w:right="-518"/>
        <w:contextualSpacing/>
        <w:jc w:val="both"/>
        <w:rPr>
          <w:sz w:val="22"/>
          <w:szCs w:val="22"/>
          <w:lang w:val="es-ES_tradnl"/>
        </w:rPr>
      </w:pPr>
    </w:p>
    <w:p w14:paraId="6AEE41D2" w14:textId="78CA1573" w:rsidR="005E1E27" w:rsidRDefault="005E1E27" w:rsidP="008879C4">
      <w:pPr>
        <w:pStyle w:val="NormalWeb"/>
        <w:ind w:left="-426" w:right="-518"/>
        <w:contextualSpacing/>
        <w:jc w:val="center"/>
        <w:rPr>
          <w:sz w:val="22"/>
          <w:szCs w:val="22"/>
          <w:lang w:val="es-ES_tradnl"/>
        </w:rPr>
      </w:pPr>
    </w:p>
    <w:p w14:paraId="26858AA3" w14:textId="77777777" w:rsidR="005E1E27" w:rsidRPr="004520C2" w:rsidRDefault="005E1E27" w:rsidP="005E1E27">
      <w:pPr>
        <w:pStyle w:val="Default"/>
        <w:spacing w:before="240"/>
        <w:jc w:val="both"/>
      </w:pPr>
      <w:r>
        <w:rPr>
          <w:rStyle w:val="ui-provider"/>
        </w:rPr>
        <w:t>Con la presente publicación se cierra el ciclo de difusión del PIB trimestral base 2013. Durante la última semana de agosto iniciará la difusión de los productos del Sistema de Cuentas Nacionales de México, con la nueva base 2018.</w:t>
      </w:r>
    </w:p>
    <w:p w14:paraId="7BA5E66B" w14:textId="77777777" w:rsidR="005E1E27" w:rsidRDefault="005E1E27" w:rsidP="005E1E27">
      <w:pPr>
        <w:pStyle w:val="NormalWeb"/>
        <w:ind w:right="-518"/>
        <w:contextualSpacing/>
        <w:rPr>
          <w:sz w:val="22"/>
          <w:szCs w:val="22"/>
          <w:lang w:val="es-ES_tradnl"/>
        </w:rPr>
      </w:pPr>
    </w:p>
    <w:p w14:paraId="6BCF6F6B" w14:textId="77777777" w:rsidR="005E1E27" w:rsidRDefault="005E1E27" w:rsidP="008879C4">
      <w:pPr>
        <w:pStyle w:val="NormalWeb"/>
        <w:ind w:left="-426" w:right="-518"/>
        <w:contextualSpacing/>
        <w:jc w:val="center"/>
        <w:rPr>
          <w:sz w:val="22"/>
          <w:szCs w:val="22"/>
          <w:lang w:val="es-ES_tradnl"/>
        </w:rPr>
      </w:pPr>
    </w:p>
    <w:p w14:paraId="5CF756ED" w14:textId="77777777" w:rsidR="005E1E27" w:rsidRDefault="005E1E27" w:rsidP="008879C4">
      <w:pPr>
        <w:pStyle w:val="NormalWeb"/>
        <w:ind w:left="-426" w:right="-518"/>
        <w:contextualSpacing/>
        <w:jc w:val="center"/>
        <w:rPr>
          <w:sz w:val="22"/>
          <w:szCs w:val="22"/>
          <w:lang w:val="es-ES_tradnl"/>
        </w:rPr>
      </w:pPr>
    </w:p>
    <w:p w14:paraId="6CD3B143" w14:textId="77777777" w:rsidR="005E1E27" w:rsidRDefault="005E1E27" w:rsidP="008879C4">
      <w:pPr>
        <w:pStyle w:val="NormalWeb"/>
        <w:ind w:left="-426" w:right="-518"/>
        <w:contextualSpacing/>
        <w:jc w:val="center"/>
        <w:rPr>
          <w:sz w:val="22"/>
          <w:szCs w:val="22"/>
          <w:lang w:val="es-ES_tradnl"/>
        </w:rPr>
      </w:pPr>
    </w:p>
    <w:p w14:paraId="260DC1A1" w14:textId="77777777" w:rsidR="005E1E27" w:rsidRDefault="005E1E27" w:rsidP="008879C4">
      <w:pPr>
        <w:pStyle w:val="NormalWeb"/>
        <w:ind w:left="-426" w:right="-518"/>
        <w:contextualSpacing/>
        <w:jc w:val="center"/>
        <w:rPr>
          <w:sz w:val="22"/>
          <w:szCs w:val="22"/>
          <w:lang w:val="es-ES_tradnl"/>
        </w:rPr>
      </w:pPr>
    </w:p>
    <w:p w14:paraId="2AD7CF71" w14:textId="104444BD" w:rsidR="008879C4" w:rsidRPr="00AD7286" w:rsidRDefault="008879C4" w:rsidP="008879C4">
      <w:pPr>
        <w:pStyle w:val="NormalWeb"/>
        <w:ind w:left="-426" w:right="-518"/>
        <w:contextualSpacing/>
        <w:jc w:val="center"/>
        <w:rPr>
          <w:sz w:val="22"/>
          <w:szCs w:val="22"/>
          <w:lang w:val="es-ES_tradnl"/>
        </w:rPr>
      </w:pPr>
      <w:r w:rsidRPr="00AD7286">
        <w:rPr>
          <w:sz w:val="22"/>
          <w:szCs w:val="22"/>
          <w:lang w:val="es-ES_tradnl"/>
        </w:rPr>
        <w:t xml:space="preserve">Para consultas de medios y periodistas, escribir a: </w:t>
      </w:r>
      <w:hyperlink r:id="rId12" w:history="1">
        <w:r w:rsidRPr="0007086C">
          <w:rPr>
            <w:rStyle w:val="Hipervnculo"/>
            <w:sz w:val="22"/>
            <w:szCs w:val="22"/>
            <w:lang w:val="es-ES_tradnl"/>
          </w:rPr>
          <w:t>comunicacionsocial@inegi.org.mx</w:t>
        </w:r>
      </w:hyperlink>
      <w:r>
        <w:rPr>
          <w:sz w:val="22"/>
          <w:szCs w:val="22"/>
          <w:lang w:val="es-ES_tradnl"/>
        </w:rPr>
        <w:t xml:space="preserve"> </w:t>
      </w:r>
      <w:r w:rsidRPr="00AD7286">
        <w:rPr>
          <w:sz w:val="22"/>
          <w:szCs w:val="22"/>
          <w:lang w:val="es-ES_tradnl"/>
        </w:rPr>
        <w:t xml:space="preserve"> </w:t>
      </w:r>
      <w:r>
        <w:rPr>
          <w:sz w:val="22"/>
          <w:szCs w:val="22"/>
          <w:lang w:val="es-ES_tradnl"/>
        </w:rPr>
        <w:t xml:space="preserve">  </w:t>
      </w:r>
    </w:p>
    <w:p w14:paraId="343DF18D" w14:textId="77777777" w:rsidR="008879C4" w:rsidRDefault="008879C4" w:rsidP="008879C4">
      <w:pPr>
        <w:pStyle w:val="NormalWeb"/>
        <w:spacing w:before="0" w:beforeAutospacing="0" w:after="0" w:afterAutospacing="0"/>
        <w:ind w:left="-426" w:right="-518"/>
        <w:contextualSpacing/>
        <w:jc w:val="center"/>
        <w:rPr>
          <w:sz w:val="22"/>
          <w:szCs w:val="22"/>
          <w:lang w:val="es-ES_tradnl"/>
        </w:rPr>
      </w:pPr>
      <w:r w:rsidRPr="00AD7286">
        <w:rPr>
          <w:sz w:val="22"/>
          <w:szCs w:val="22"/>
          <w:lang w:val="es-ES_tradnl"/>
        </w:rPr>
        <w:t xml:space="preserve">o llamar al teléfono (55) 52-78-10-00, </w:t>
      </w:r>
      <w:proofErr w:type="spellStart"/>
      <w:r w:rsidRPr="00AD7286">
        <w:rPr>
          <w:sz w:val="22"/>
          <w:szCs w:val="22"/>
          <w:lang w:val="es-ES_tradnl"/>
        </w:rPr>
        <w:t>exts</w:t>
      </w:r>
      <w:proofErr w:type="spellEnd"/>
      <w:r w:rsidRPr="00AD7286">
        <w:rPr>
          <w:sz w:val="22"/>
          <w:szCs w:val="22"/>
          <w:lang w:val="es-ES_tradnl"/>
        </w:rPr>
        <w:t>. 321064, 321134 y 321241</w:t>
      </w:r>
    </w:p>
    <w:p w14:paraId="47687D59" w14:textId="77777777" w:rsidR="008879C4" w:rsidRPr="008879C4" w:rsidRDefault="008879C4" w:rsidP="008879C4">
      <w:pPr>
        <w:pStyle w:val="NormalWeb"/>
        <w:spacing w:before="0" w:beforeAutospacing="0" w:after="0" w:afterAutospacing="0"/>
        <w:ind w:left="-426" w:right="-518"/>
        <w:contextualSpacing/>
        <w:jc w:val="center"/>
        <w:rPr>
          <w:sz w:val="6"/>
          <w:szCs w:val="6"/>
        </w:rPr>
      </w:pPr>
    </w:p>
    <w:p w14:paraId="762E907B" w14:textId="77777777" w:rsidR="008879C4" w:rsidRDefault="008879C4" w:rsidP="008879C4">
      <w:pPr>
        <w:pStyle w:val="NormalWeb"/>
        <w:spacing w:before="0" w:beforeAutospacing="0" w:after="0" w:afterAutospacing="0"/>
        <w:ind w:left="-426" w:right="-518"/>
        <w:contextualSpacing/>
        <w:jc w:val="center"/>
        <w:rPr>
          <w:sz w:val="22"/>
          <w:szCs w:val="22"/>
        </w:rPr>
      </w:pPr>
      <w:r w:rsidRPr="00E42BFD">
        <w:rPr>
          <w:sz w:val="22"/>
          <w:szCs w:val="22"/>
        </w:rPr>
        <w:t>Dirección de Atención a Medios/ Dirección General Adjunta de Comunicación</w:t>
      </w:r>
    </w:p>
    <w:p w14:paraId="3BAD1220" w14:textId="77777777" w:rsidR="008879C4" w:rsidRDefault="008879C4" w:rsidP="008879C4">
      <w:pPr>
        <w:pStyle w:val="NormalWeb"/>
        <w:spacing w:before="0" w:beforeAutospacing="0" w:after="0" w:afterAutospacing="0"/>
        <w:ind w:left="-426" w:right="-518"/>
        <w:contextualSpacing/>
        <w:jc w:val="center"/>
        <w:rPr>
          <w:rFonts w:ascii="Calibri" w:hAnsi="Calibri" w:cs="Calibri"/>
          <w:b/>
          <w:bCs/>
          <w:sz w:val="18"/>
          <w:szCs w:val="18"/>
        </w:rPr>
      </w:pPr>
    </w:p>
    <w:p w14:paraId="0128A86B" w14:textId="58CFEB6E" w:rsidR="008879C4" w:rsidRDefault="008879C4" w:rsidP="008879C4">
      <w:pPr>
        <w:pStyle w:val="NormalWeb"/>
        <w:spacing w:before="0" w:beforeAutospacing="0" w:after="0" w:afterAutospacing="0"/>
        <w:ind w:left="-426" w:right="-518"/>
        <w:contextualSpacing/>
        <w:jc w:val="center"/>
        <w:rPr>
          <w:iCs/>
          <w:smallCaps/>
          <w:szCs w:val="22"/>
        </w:rPr>
        <w:sectPr w:rsidR="008879C4" w:rsidSect="008879C4">
          <w:headerReference w:type="default" r:id="rId13"/>
          <w:footerReference w:type="default" r:id="rId14"/>
          <w:endnotePr>
            <w:numFmt w:val="decimal"/>
          </w:endnotePr>
          <w:pgSz w:w="12242" w:h="15842" w:code="1"/>
          <w:pgMar w:top="2268" w:right="1418" w:bottom="1021" w:left="1418" w:header="567" w:footer="567" w:gutter="0"/>
          <w:paperSrc w:first="261" w:other="261"/>
          <w:cols w:space="720"/>
          <w:docGrid w:linePitch="360"/>
        </w:sectPr>
      </w:pPr>
      <w:r>
        <w:rPr>
          <w:rFonts w:ascii="Calibri" w:hAnsi="Calibri" w:cs="Calibri"/>
          <w:b/>
          <w:bCs/>
          <w:noProof/>
          <w:sz w:val="18"/>
          <w:szCs w:val="18"/>
        </w:rPr>
        <w:drawing>
          <wp:inline distT="0" distB="0" distL="0" distR="0" wp14:anchorId="519185FE" wp14:editId="1A53455A">
            <wp:extent cx="2861301" cy="260119"/>
            <wp:effectExtent l="0" t="0" r="0" b="6985"/>
            <wp:docPr id="5" name="img_logo_inegiInforma_d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logo_inegiInforma_dos"/>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953613" cy="268511"/>
                    </a:xfrm>
                    <a:prstGeom prst="rect">
                      <a:avLst/>
                    </a:prstGeom>
                    <a:noFill/>
                    <a:ln>
                      <a:noFill/>
                    </a:ln>
                  </pic:spPr>
                </pic:pic>
              </a:graphicData>
            </a:graphic>
          </wp:inline>
        </w:drawing>
      </w:r>
      <w:bookmarkEnd w:id="1"/>
      <w:bookmarkEnd w:id="2"/>
      <w:r w:rsidR="00C87EFA">
        <w:rPr>
          <w:iCs/>
          <w:smallCaps/>
          <w:szCs w:val="22"/>
        </w:rPr>
        <w:br w:type="page"/>
      </w:r>
    </w:p>
    <w:p w14:paraId="3EAAF155" w14:textId="0F45B8F3" w:rsidR="00C87EFA" w:rsidRDefault="008879C4" w:rsidP="008879C4">
      <w:pPr>
        <w:widowControl/>
        <w:jc w:val="center"/>
        <w:rPr>
          <w:b/>
          <w:iCs/>
          <w:smallCaps/>
          <w:szCs w:val="22"/>
        </w:rPr>
      </w:pPr>
      <w:r>
        <w:rPr>
          <w:b/>
          <w:iCs/>
          <w:smallCaps/>
          <w:szCs w:val="22"/>
        </w:rPr>
        <w:lastRenderedPageBreak/>
        <w:t>NOTA TÉCNICA</w:t>
      </w:r>
    </w:p>
    <w:p w14:paraId="6726DBDD" w14:textId="3E82E57E" w:rsidR="00B35528" w:rsidRPr="0000486F" w:rsidRDefault="00B35528" w:rsidP="00DF64A8">
      <w:pPr>
        <w:pStyle w:val="bullet"/>
        <w:numPr>
          <w:ilvl w:val="0"/>
          <w:numId w:val="0"/>
        </w:numPr>
        <w:spacing w:before="0"/>
        <w:ind w:right="902"/>
        <w:rPr>
          <w:iCs/>
          <w:smallCaps/>
          <w:color w:val="auto"/>
          <w:sz w:val="24"/>
          <w:szCs w:val="22"/>
        </w:rPr>
      </w:pPr>
      <w:r w:rsidRPr="0000486F">
        <w:rPr>
          <w:iCs/>
          <w:smallCaps/>
          <w:color w:val="auto"/>
          <w:sz w:val="24"/>
          <w:szCs w:val="22"/>
        </w:rPr>
        <w:t>Principales resultados</w:t>
      </w:r>
    </w:p>
    <w:p w14:paraId="7CA58AA9" w14:textId="49CCC0FB" w:rsidR="000A7909" w:rsidRPr="0000486F" w:rsidRDefault="000A7909" w:rsidP="00DF64A8">
      <w:pPr>
        <w:pStyle w:val="bullet"/>
        <w:numPr>
          <w:ilvl w:val="0"/>
          <w:numId w:val="0"/>
        </w:numPr>
        <w:ind w:right="902"/>
        <w:rPr>
          <w:iCs/>
          <w:color w:val="auto"/>
          <w:sz w:val="24"/>
        </w:rPr>
      </w:pPr>
      <w:r>
        <w:rPr>
          <w:i/>
          <w:color w:val="auto"/>
        </w:rPr>
        <w:tab/>
      </w:r>
      <w:r w:rsidRPr="0000486F">
        <w:rPr>
          <w:iCs/>
          <w:color w:val="auto"/>
          <w:sz w:val="24"/>
          <w:szCs w:val="22"/>
        </w:rPr>
        <w:t>Cifras desestacionalizadas</w:t>
      </w:r>
    </w:p>
    <w:p w14:paraId="58CDA95D" w14:textId="23B3C156" w:rsidR="00B35528" w:rsidRDefault="00993027" w:rsidP="00B34356">
      <w:pPr>
        <w:widowControl/>
        <w:spacing w:before="200"/>
        <w:jc w:val="both"/>
        <w:rPr>
          <w:rFonts w:cs="Arial"/>
          <w:snapToGrid/>
          <w:sz w:val="20"/>
          <w:lang w:val="es-MX"/>
        </w:rPr>
      </w:pPr>
      <w:r>
        <w:t xml:space="preserve">Durante el </w:t>
      </w:r>
      <w:r w:rsidR="00F946A2">
        <w:t>primer</w:t>
      </w:r>
      <w:r>
        <w:t xml:space="preserve"> trimestre de 202</w:t>
      </w:r>
      <w:r w:rsidR="00F946A2">
        <w:t>3</w:t>
      </w:r>
      <w:r w:rsidR="00C90507">
        <w:t>,</w:t>
      </w:r>
      <w:r w:rsidR="00B35528" w:rsidRPr="00983C56">
        <w:t xml:space="preserve"> el Producto Interno Bruto (PIB) </w:t>
      </w:r>
      <w:r w:rsidR="0041041A">
        <w:t>aumentó</w:t>
      </w:r>
      <w:r w:rsidR="002D0DD8">
        <w:t xml:space="preserve"> </w:t>
      </w:r>
      <w:r w:rsidR="00C87EFA">
        <w:t>1</w:t>
      </w:r>
      <w:r w:rsidR="00FE4A8C">
        <w:t xml:space="preserve"> </w:t>
      </w:r>
      <w:r w:rsidR="00B11B94">
        <w:t>%</w:t>
      </w:r>
      <w:r w:rsidR="00106BE4">
        <w:t>,</w:t>
      </w:r>
      <w:r w:rsidR="00B35528" w:rsidRPr="00983C56">
        <w:t xml:space="preserve"> </w:t>
      </w:r>
      <w:r w:rsidR="003047C8">
        <w:t>en términos reales</w:t>
      </w:r>
      <w:r w:rsidR="00106BE4">
        <w:t>,</w:t>
      </w:r>
      <w:r w:rsidR="003047C8">
        <w:t xml:space="preserve"> </w:t>
      </w:r>
      <w:r w:rsidR="00B35528">
        <w:t>con relación</w:t>
      </w:r>
      <w:r w:rsidR="00B35528" w:rsidRPr="00983C56">
        <w:t xml:space="preserve"> al trimestre </w:t>
      </w:r>
      <w:r w:rsidR="00982D0B">
        <w:t>anterior</w:t>
      </w:r>
      <w:r w:rsidR="00F85F07">
        <w:t>.</w:t>
      </w:r>
    </w:p>
    <w:p w14:paraId="64E74D31" w14:textId="77777777" w:rsidR="00B35528" w:rsidRPr="00E33347" w:rsidRDefault="00B35528" w:rsidP="00B34356">
      <w:pPr>
        <w:pStyle w:val="Textoindependiente"/>
        <w:spacing w:before="200"/>
        <w:jc w:val="center"/>
        <w:rPr>
          <w:rFonts w:cs="Arial"/>
          <w:color w:val="auto"/>
          <w:sz w:val="20"/>
          <w:lang w:val="es-MX"/>
        </w:rPr>
      </w:pPr>
      <w:r>
        <w:rPr>
          <w:rFonts w:cs="Arial"/>
          <w:color w:val="auto"/>
          <w:sz w:val="20"/>
          <w:lang w:val="es-MX"/>
        </w:rPr>
        <w:t>Gráfica 1</w:t>
      </w:r>
    </w:p>
    <w:p w14:paraId="18894D09" w14:textId="770955CE" w:rsidR="00B35528" w:rsidRDefault="00FD6EF6" w:rsidP="00B34356">
      <w:pPr>
        <w:pStyle w:val="Textoindependiente"/>
        <w:jc w:val="center"/>
        <w:rPr>
          <w:rFonts w:cs="Arial"/>
          <w:b/>
          <w:smallCaps/>
          <w:color w:val="auto"/>
          <w:sz w:val="22"/>
          <w:szCs w:val="22"/>
        </w:rPr>
      </w:pPr>
      <w:r>
        <w:rPr>
          <w:rFonts w:cs="Arial"/>
          <w:b/>
          <w:smallCaps/>
          <w:color w:val="auto"/>
          <w:sz w:val="22"/>
          <w:szCs w:val="22"/>
        </w:rPr>
        <w:t xml:space="preserve">Producto </w:t>
      </w:r>
      <w:r w:rsidR="00D27A48">
        <w:rPr>
          <w:rFonts w:cs="Arial"/>
          <w:b/>
          <w:smallCaps/>
          <w:color w:val="auto"/>
          <w:sz w:val="22"/>
          <w:szCs w:val="22"/>
        </w:rPr>
        <w:t>I</w:t>
      </w:r>
      <w:r>
        <w:rPr>
          <w:rFonts w:cs="Arial"/>
          <w:b/>
          <w:smallCaps/>
          <w:color w:val="auto"/>
          <w:sz w:val="22"/>
          <w:szCs w:val="22"/>
        </w:rPr>
        <w:t xml:space="preserve">nterno </w:t>
      </w:r>
      <w:r w:rsidR="00D27A48">
        <w:rPr>
          <w:rFonts w:cs="Arial"/>
          <w:b/>
          <w:smallCaps/>
          <w:color w:val="auto"/>
          <w:sz w:val="22"/>
          <w:szCs w:val="22"/>
        </w:rPr>
        <w:t>B</w:t>
      </w:r>
      <w:r>
        <w:rPr>
          <w:rFonts w:cs="Arial"/>
          <w:b/>
          <w:smallCaps/>
          <w:color w:val="auto"/>
          <w:sz w:val="22"/>
          <w:szCs w:val="22"/>
        </w:rPr>
        <w:t xml:space="preserve">ruto </w:t>
      </w:r>
    </w:p>
    <w:p w14:paraId="1A9DF775" w14:textId="77777777" w:rsidR="00B35528" w:rsidRDefault="00B35528" w:rsidP="00B34356">
      <w:pPr>
        <w:pStyle w:val="Textoindependiente"/>
        <w:jc w:val="center"/>
        <w:rPr>
          <w:rFonts w:cs="Arial"/>
          <w:color w:val="auto"/>
          <w:sz w:val="18"/>
          <w:szCs w:val="18"/>
        </w:rPr>
      </w:pPr>
      <w:r w:rsidRPr="00E33347">
        <w:rPr>
          <w:rFonts w:cs="Arial"/>
          <w:color w:val="auto"/>
          <w:sz w:val="18"/>
          <w:szCs w:val="18"/>
        </w:rPr>
        <w:t>(Mil</w:t>
      </w:r>
      <w:r>
        <w:rPr>
          <w:rFonts w:cs="Arial"/>
          <w:color w:val="auto"/>
          <w:sz w:val="18"/>
          <w:szCs w:val="18"/>
        </w:rPr>
        <w:t>lones de pesos a precios de 20</w:t>
      </w:r>
      <w:r w:rsidR="00C85E54">
        <w:rPr>
          <w:rFonts w:cs="Arial"/>
          <w:color w:val="auto"/>
          <w:sz w:val="18"/>
          <w:szCs w:val="18"/>
        </w:rPr>
        <w:t>13</w:t>
      </w:r>
      <w:r w:rsidRPr="00E33347">
        <w:rPr>
          <w:rFonts w:cs="Arial"/>
          <w:color w:val="auto"/>
          <w:sz w:val="18"/>
          <w:szCs w:val="18"/>
        </w:rPr>
        <w:t>)</w:t>
      </w:r>
    </w:p>
    <w:p w14:paraId="392AFDE0" w14:textId="6A986A5E" w:rsidR="00B35528" w:rsidRPr="00706C47" w:rsidRDefault="00302E8E" w:rsidP="00B34356">
      <w:pPr>
        <w:pStyle w:val="p0"/>
        <w:keepLines w:val="0"/>
        <w:spacing w:before="0"/>
        <w:jc w:val="center"/>
        <w:rPr>
          <w:color w:val="000000" w:themeColor="text1"/>
        </w:rPr>
      </w:pPr>
      <w:r>
        <w:rPr>
          <w:noProof/>
          <w:snapToGrid/>
        </w:rPr>
        <w:drawing>
          <wp:inline distT="0" distB="0" distL="0" distR="0" wp14:anchorId="74359666" wp14:editId="46D7C9BB">
            <wp:extent cx="4680000" cy="2356950"/>
            <wp:effectExtent l="0" t="0" r="25400" b="24765"/>
            <wp:docPr id="608463383" name="Gráfico 1">
              <a:extLst xmlns:a="http://schemas.openxmlformats.org/drawingml/2006/main">
                <a:ext uri="{FF2B5EF4-FFF2-40B4-BE49-F238E27FC236}">
                  <a16:creationId xmlns:a16="http://schemas.microsoft.com/office/drawing/2014/main" id="{00000000-0008-0000-01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14:paraId="415A40F5" w14:textId="373803F5" w:rsidR="00B35528" w:rsidRPr="00F93A6E" w:rsidRDefault="00B35528" w:rsidP="00B34356">
      <w:pPr>
        <w:pStyle w:val="p0"/>
        <w:keepLines w:val="0"/>
        <w:spacing w:before="0"/>
        <w:ind w:left="1276"/>
        <w:rPr>
          <w:rFonts w:cs="Arial"/>
          <w:color w:val="auto"/>
          <w:sz w:val="16"/>
          <w:szCs w:val="16"/>
        </w:rPr>
      </w:pPr>
      <w:r w:rsidRPr="00F93A6E">
        <w:rPr>
          <w:rFonts w:cs="Arial"/>
          <w:color w:val="auto"/>
          <w:sz w:val="16"/>
          <w:szCs w:val="16"/>
        </w:rPr>
        <w:t>Fuente: INEGI</w:t>
      </w:r>
    </w:p>
    <w:p w14:paraId="3E7AD4E4" w14:textId="38517F2A" w:rsidR="008629E6" w:rsidRPr="008F5FE7" w:rsidRDefault="002A472E" w:rsidP="00B34356">
      <w:pPr>
        <w:widowControl/>
        <w:spacing w:before="200"/>
        <w:jc w:val="both"/>
        <w:rPr>
          <w:rFonts w:cs="Arial"/>
          <w:sz w:val="20"/>
          <w:lang w:val="es-MX"/>
        </w:rPr>
      </w:pPr>
      <w:r w:rsidRPr="008F5FE7">
        <w:t>Por componente</w:t>
      </w:r>
      <w:r>
        <w:t xml:space="preserve"> y con series ajustadas por estacionalidad</w:t>
      </w:r>
      <w:r w:rsidRPr="008F5FE7">
        <w:t xml:space="preserve">, </w:t>
      </w:r>
      <w:r w:rsidR="004B4C85" w:rsidRPr="00BA673B">
        <w:t xml:space="preserve">el comportamiento </w:t>
      </w:r>
      <w:r w:rsidR="00676CFF">
        <w:t xml:space="preserve">a tasa trimestral </w:t>
      </w:r>
      <w:r w:rsidR="004B4C85" w:rsidRPr="00BA673B">
        <w:t xml:space="preserve">fue el siguiente: </w:t>
      </w:r>
      <w:r w:rsidR="00C87EFA" w:rsidRPr="00BA673B">
        <w:t xml:space="preserve">el PIB de las </w:t>
      </w:r>
      <w:r w:rsidR="00622382">
        <w:t xml:space="preserve">actividades </w:t>
      </w:r>
      <w:r w:rsidR="00C87EFA">
        <w:t>terciarias avanzó 1.5 </w:t>
      </w:r>
      <w:r w:rsidR="00C87EFA" w:rsidRPr="5CE09F59">
        <w:t>%</w:t>
      </w:r>
      <w:r w:rsidR="00C87EFA">
        <w:t>; el de secundarias, 0.</w:t>
      </w:r>
      <w:r w:rsidR="00302E8E">
        <w:t>6</w:t>
      </w:r>
      <w:r w:rsidR="00C87EFA">
        <w:t xml:space="preserve"> % y el de primarias disminuyó </w:t>
      </w:r>
      <w:r w:rsidR="00302E8E">
        <w:t>2.8</w:t>
      </w:r>
      <w:r w:rsidR="00C87EFA">
        <w:t> </w:t>
      </w:r>
      <w:r w:rsidR="00C87EFA" w:rsidRPr="1F240038">
        <w:t>%</w:t>
      </w:r>
      <w:r w:rsidR="00C87EFA">
        <w:t>, en el primer trimestre de 2023</w:t>
      </w:r>
      <w:r w:rsidR="00C87EFA" w:rsidRPr="00B834C7">
        <w:t>.</w:t>
      </w:r>
      <w:r>
        <w:t xml:space="preserve"> </w:t>
      </w:r>
    </w:p>
    <w:p w14:paraId="0945F929" w14:textId="04C6FAFE" w:rsidR="00B35528" w:rsidRPr="00E33347" w:rsidRDefault="00B35528" w:rsidP="00B34356">
      <w:pPr>
        <w:pStyle w:val="p01"/>
        <w:keepLines w:val="0"/>
        <w:spacing w:before="200"/>
        <w:jc w:val="center"/>
        <w:outlineLvl w:val="0"/>
        <w:rPr>
          <w:rFonts w:ascii="Arial" w:hAnsi="Arial" w:cs="Arial"/>
          <w:color w:val="auto"/>
          <w:sz w:val="20"/>
          <w:lang w:val="es-MX"/>
        </w:rPr>
      </w:pPr>
      <w:r w:rsidRPr="00E33347">
        <w:rPr>
          <w:rFonts w:ascii="Arial" w:hAnsi="Arial" w:cs="Arial"/>
          <w:color w:val="auto"/>
          <w:sz w:val="20"/>
          <w:lang w:val="es-MX"/>
        </w:rPr>
        <w:t>Gr</w:t>
      </w:r>
      <w:r>
        <w:rPr>
          <w:rFonts w:ascii="Arial" w:hAnsi="Arial" w:cs="Arial"/>
          <w:color w:val="auto"/>
          <w:sz w:val="20"/>
          <w:lang w:val="es-MX"/>
        </w:rPr>
        <w:t>áfica 2</w:t>
      </w:r>
    </w:p>
    <w:p w14:paraId="5C745490" w14:textId="07783FFC" w:rsidR="00B35528" w:rsidRDefault="00FD6EF6" w:rsidP="00B34356">
      <w:pPr>
        <w:pStyle w:val="Textoindependiente"/>
        <w:jc w:val="center"/>
        <w:rPr>
          <w:b/>
          <w:smallCaps/>
          <w:sz w:val="22"/>
          <w:szCs w:val="22"/>
        </w:rPr>
      </w:pPr>
      <w:r>
        <w:rPr>
          <w:b/>
          <w:smallCaps/>
          <w:sz w:val="22"/>
          <w:szCs w:val="22"/>
        </w:rPr>
        <w:t xml:space="preserve">PIB </w:t>
      </w:r>
      <w:r w:rsidR="002A45B9">
        <w:rPr>
          <w:b/>
          <w:smallCaps/>
          <w:sz w:val="22"/>
          <w:szCs w:val="22"/>
        </w:rPr>
        <w:t xml:space="preserve">de las </w:t>
      </w:r>
      <w:r w:rsidR="002A45B9" w:rsidRPr="006612D6">
        <w:rPr>
          <w:b/>
          <w:smallCaps/>
          <w:sz w:val="22"/>
          <w:szCs w:val="22"/>
        </w:rPr>
        <w:t>actividades</w:t>
      </w:r>
      <w:r w:rsidR="002A45B9">
        <w:rPr>
          <w:b/>
          <w:smallCaps/>
          <w:sz w:val="22"/>
          <w:szCs w:val="22"/>
        </w:rPr>
        <w:t xml:space="preserve"> </w:t>
      </w:r>
      <w:r w:rsidR="002A45B9" w:rsidRPr="006612D6">
        <w:rPr>
          <w:b/>
          <w:smallCaps/>
          <w:sz w:val="22"/>
          <w:szCs w:val="22"/>
        </w:rPr>
        <w:t xml:space="preserve">primarias </w:t>
      </w:r>
    </w:p>
    <w:p w14:paraId="75DCFAC4" w14:textId="226C4EEB" w:rsidR="00B35528" w:rsidRPr="00E33347" w:rsidRDefault="00B35528" w:rsidP="00B34356">
      <w:pPr>
        <w:pStyle w:val="Textoindependiente"/>
        <w:jc w:val="center"/>
        <w:rPr>
          <w:rFonts w:cs="Arial"/>
          <w:b/>
          <w:smallCaps/>
          <w:color w:val="auto"/>
          <w:sz w:val="22"/>
          <w:szCs w:val="22"/>
        </w:rPr>
      </w:pPr>
      <w:r w:rsidRPr="00961776">
        <w:rPr>
          <w:rFonts w:cs="Arial"/>
          <w:sz w:val="18"/>
          <w:lang w:val="es-MX"/>
        </w:rPr>
        <w:t>(</w:t>
      </w:r>
      <w:r>
        <w:rPr>
          <w:rFonts w:cs="Arial"/>
          <w:sz w:val="18"/>
          <w:lang w:val="es-MX"/>
        </w:rPr>
        <w:t>Millones de pesos a precios de 20</w:t>
      </w:r>
      <w:r w:rsidR="00C85E54">
        <w:rPr>
          <w:rFonts w:cs="Arial"/>
          <w:sz w:val="18"/>
          <w:lang w:val="es-MX"/>
        </w:rPr>
        <w:t>13</w:t>
      </w:r>
      <w:r w:rsidRPr="009B388F">
        <w:rPr>
          <w:rFonts w:cs="Arial"/>
          <w:sz w:val="18"/>
          <w:szCs w:val="18"/>
          <w:lang w:val="es-MX"/>
        </w:rPr>
        <w:t>)</w:t>
      </w:r>
      <w:r>
        <w:rPr>
          <w:rFonts w:cs="Arial"/>
          <w:b/>
          <w:smallCaps/>
          <w:color w:val="auto"/>
          <w:sz w:val="22"/>
          <w:szCs w:val="22"/>
        </w:rPr>
        <w:t xml:space="preserve"> </w:t>
      </w:r>
    </w:p>
    <w:p w14:paraId="398D24F8" w14:textId="628B87D8" w:rsidR="00B35528" w:rsidRPr="00B34824" w:rsidRDefault="00302E8E" w:rsidP="00B34356">
      <w:pPr>
        <w:pStyle w:val="p0"/>
        <w:keepLines w:val="0"/>
        <w:spacing w:before="0"/>
        <w:jc w:val="center"/>
        <w:rPr>
          <w:color w:val="000000" w:themeColor="text1"/>
          <w:lang w:val="es-MX"/>
        </w:rPr>
      </w:pPr>
      <w:r>
        <w:rPr>
          <w:noProof/>
          <w:snapToGrid/>
        </w:rPr>
        <w:drawing>
          <wp:inline distT="0" distB="0" distL="0" distR="0" wp14:anchorId="1DE755E4" wp14:editId="4ED6DF4C">
            <wp:extent cx="4680000" cy="2356950"/>
            <wp:effectExtent l="0" t="0" r="25400" b="24765"/>
            <wp:docPr id="1651334480" name="Gráfico 1">
              <a:extLst xmlns:a="http://schemas.openxmlformats.org/drawingml/2006/main">
                <a:ext uri="{FF2B5EF4-FFF2-40B4-BE49-F238E27FC236}">
                  <a16:creationId xmlns:a16="http://schemas.microsoft.com/office/drawing/2014/main" id="{00000000-0008-0000-0100-000003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14:paraId="76D009FE" w14:textId="40BCC006" w:rsidR="00B35528" w:rsidRDefault="00B35528" w:rsidP="00B34356">
      <w:pPr>
        <w:pStyle w:val="p0"/>
        <w:keepLines w:val="0"/>
        <w:spacing w:before="0"/>
        <w:ind w:left="1276"/>
        <w:rPr>
          <w:rFonts w:cs="Arial"/>
          <w:color w:val="000000" w:themeColor="text1"/>
          <w:sz w:val="16"/>
          <w:szCs w:val="16"/>
        </w:rPr>
      </w:pPr>
      <w:r w:rsidRPr="00B82981">
        <w:rPr>
          <w:rFonts w:cs="Arial"/>
          <w:color w:val="000000" w:themeColor="text1"/>
          <w:sz w:val="16"/>
          <w:szCs w:val="16"/>
        </w:rPr>
        <w:t>Fuente: INEGI</w:t>
      </w:r>
    </w:p>
    <w:p w14:paraId="241F777B" w14:textId="77777777" w:rsidR="00CF7F6E" w:rsidRPr="00B34356" w:rsidRDefault="00CF7F6E" w:rsidP="00B34356">
      <w:pPr>
        <w:pStyle w:val="p0"/>
        <w:keepLines w:val="0"/>
        <w:spacing w:before="0"/>
        <w:ind w:left="1276"/>
        <w:rPr>
          <w:b/>
          <w:i/>
          <w:color w:val="auto"/>
          <w:sz w:val="16"/>
        </w:rPr>
      </w:pPr>
    </w:p>
    <w:p w14:paraId="280ADADD" w14:textId="3324322C" w:rsidR="00B35528" w:rsidRPr="00E33347" w:rsidRDefault="00B35528" w:rsidP="00B34356">
      <w:pPr>
        <w:pStyle w:val="Textoindependiente"/>
        <w:spacing w:before="240"/>
        <w:jc w:val="center"/>
        <w:rPr>
          <w:rFonts w:cs="Arial"/>
          <w:color w:val="auto"/>
          <w:sz w:val="20"/>
          <w:lang w:val="es-MX"/>
        </w:rPr>
      </w:pPr>
      <w:r w:rsidRPr="00E33347">
        <w:rPr>
          <w:rFonts w:cs="Arial"/>
          <w:color w:val="auto"/>
          <w:sz w:val="20"/>
          <w:lang w:val="es-MX"/>
        </w:rPr>
        <w:lastRenderedPageBreak/>
        <w:t>Gr</w:t>
      </w:r>
      <w:r>
        <w:rPr>
          <w:rFonts w:cs="Arial"/>
          <w:color w:val="auto"/>
          <w:sz w:val="20"/>
          <w:lang w:val="es-MX"/>
        </w:rPr>
        <w:t>áfica 3</w:t>
      </w:r>
    </w:p>
    <w:p w14:paraId="665C872F" w14:textId="61EA7B82" w:rsidR="00B35528" w:rsidRDefault="00B35528" w:rsidP="00B34356">
      <w:pPr>
        <w:pStyle w:val="Textoindependiente"/>
        <w:jc w:val="center"/>
        <w:rPr>
          <w:b/>
          <w:smallCaps/>
          <w:sz w:val="22"/>
          <w:szCs w:val="22"/>
        </w:rPr>
      </w:pPr>
      <w:r>
        <w:rPr>
          <w:b/>
          <w:smallCaps/>
          <w:sz w:val="22"/>
          <w:szCs w:val="22"/>
        </w:rPr>
        <w:t xml:space="preserve">PIB </w:t>
      </w:r>
      <w:r w:rsidR="00FD6EF6">
        <w:rPr>
          <w:b/>
          <w:smallCaps/>
          <w:sz w:val="22"/>
          <w:szCs w:val="22"/>
        </w:rPr>
        <w:t xml:space="preserve">de las </w:t>
      </w:r>
      <w:r w:rsidR="00FD6EF6" w:rsidRPr="006612D6">
        <w:rPr>
          <w:b/>
          <w:smallCaps/>
          <w:sz w:val="22"/>
          <w:szCs w:val="22"/>
        </w:rPr>
        <w:t>actividades</w:t>
      </w:r>
      <w:r w:rsidR="00FD6EF6">
        <w:rPr>
          <w:b/>
          <w:smallCaps/>
          <w:sz w:val="22"/>
          <w:szCs w:val="22"/>
        </w:rPr>
        <w:t xml:space="preserve"> secundarias</w:t>
      </w:r>
      <w:r w:rsidRPr="006612D6">
        <w:rPr>
          <w:b/>
          <w:smallCaps/>
          <w:sz w:val="22"/>
          <w:szCs w:val="22"/>
        </w:rPr>
        <w:t xml:space="preserve"> </w:t>
      </w:r>
    </w:p>
    <w:p w14:paraId="06BB04AC" w14:textId="77777777" w:rsidR="00B35528" w:rsidRPr="00DC4AD6" w:rsidRDefault="00B35528" w:rsidP="00B34356">
      <w:pPr>
        <w:pStyle w:val="Textoindependiente"/>
        <w:jc w:val="center"/>
        <w:rPr>
          <w:rFonts w:cs="Arial"/>
          <w:color w:val="auto"/>
          <w:sz w:val="18"/>
          <w:szCs w:val="18"/>
          <w:lang w:val="es-MX"/>
        </w:rPr>
      </w:pPr>
      <w:r w:rsidRPr="00DC4AD6">
        <w:rPr>
          <w:rFonts w:cs="Arial"/>
          <w:sz w:val="18"/>
          <w:lang w:val="es-MX"/>
        </w:rPr>
        <w:t>(Millones de pesos a precios de 20</w:t>
      </w:r>
      <w:r w:rsidR="00C85E54" w:rsidRPr="00DC4AD6">
        <w:rPr>
          <w:rFonts w:cs="Arial"/>
          <w:sz w:val="18"/>
          <w:lang w:val="es-MX"/>
        </w:rPr>
        <w:t>13</w:t>
      </w:r>
      <w:r w:rsidRPr="00DC4AD6">
        <w:rPr>
          <w:rFonts w:cs="Arial"/>
          <w:sz w:val="18"/>
          <w:szCs w:val="18"/>
          <w:lang w:val="es-MX"/>
        </w:rPr>
        <w:t>)</w:t>
      </w:r>
    </w:p>
    <w:p w14:paraId="4FAEF1DB" w14:textId="0FD50921" w:rsidR="00B35528" w:rsidRPr="00B34824" w:rsidRDefault="00302E8E" w:rsidP="00B34356">
      <w:pPr>
        <w:pStyle w:val="p0"/>
        <w:keepLines w:val="0"/>
        <w:spacing w:before="0"/>
        <w:jc w:val="center"/>
        <w:rPr>
          <w:color w:val="000000" w:themeColor="text1"/>
          <w:lang w:val="es-MX"/>
        </w:rPr>
      </w:pPr>
      <w:r>
        <w:rPr>
          <w:noProof/>
          <w:snapToGrid/>
        </w:rPr>
        <w:drawing>
          <wp:inline distT="0" distB="0" distL="0" distR="0" wp14:anchorId="7ACBDF26" wp14:editId="7A3C9C6D">
            <wp:extent cx="4680000" cy="2356950"/>
            <wp:effectExtent l="0" t="0" r="25400" b="24765"/>
            <wp:docPr id="36514670" name="Gráfico 1">
              <a:extLst xmlns:a="http://schemas.openxmlformats.org/drawingml/2006/main">
                <a:ext uri="{FF2B5EF4-FFF2-40B4-BE49-F238E27FC236}">
                  <a16:creationId xmlns:a16="http://schemas.microsoft.com/office/drawing/2014/main" id="{00000000-0008-0000-0100-000004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14:paraId="05814151" w14:textId="46D75CA3" w:rsidR="00B35528" w:rsidRPr="00E33347" w:rsidRDefault="00B35528" w:rsidP="00B34356">
      <w:pPr>
        <w:spacing w:before="20"/>
        <w:ind w:left="993" w:firstLine="447"/>
        <w:rPr>
          <w:rFonts w:cs="Arial"/>
          <w:sz w:val="16"/>
          <w:szCs w:val="16"/>
        </w:rPr>
      </w:pPr>
      <w:r w:rsidRPr="00B82981">
        <w:rPr>
          <w:rFonts w:cs="Arial"/>
          <w:color w:val="000000" w:themeColor="text1"/>
          <w:sz w:val="16"/>
          <w:szCs w:val="16"/>
        </w:rPr>
        <w:t>Fuente: INEGI</w:t>
      </w:r>
    </w:p>
    <w:p w14:paraId="4AB38356" w14:textId="77777777" w:rsidR="00B35528" w:rsidRDefault="00B35528" w:rsidP="00B34356">
      <w:pPr>
        <w:pStyle w:val="Textoindependiente"/>
        <w:spacing w:before="240"/>
        <w:jc w:val="center"/>
        <w:rPr>
          <w:b/>
          <w:smallCaps/>
          <w:sz w:val="22"/>
          <w:szCs w:val="22"/>
          <w:lang w:val="es-MX"/>
        </w:rPr>
      </w:pPr>
      <w:r w:rsidRPr="00E33347">
        <w:rPr>
          <w:rFonts w:cs="Arial"/>
          <w:color w:val="auto"/>
          <w:sz w:val="20"/>
          <w:lang w:val="es-MX"/>
        </w:rPr>
        <w:t>Gr</w:t>
      </w:r>
      <w:r>
        <w:rPr>
          <w:rFonts w:cs="Arial"/>
          <w:color w:val="auto"/>
          <w:sz w:val="20"/>
          <w:lang w:val="es-MX"/>
        </w:rPr>
        <w:t>áfica 4</w:t>
      </w:r>
    </w:p>
    <w:p w14:paraId="324E4DB9" w14:textId="2CFA13E1" w:rsidR="00B35528" w:rsidRDefault="00B35528" w:rsidP="00B34356">
      <w:pPr>
        <w:pStyle w:val="Textoindependiente"/>
        <w:jc w:val="center"/>
        <w:rPr>
          <w:b/>
          <w:smallCaps/>
          <w:sz w:val="22"/>
          <w:szCs w:val="22"/>
        </w:rPr>
      </w:pPr>
      <w:r>
        <w:rPr>
          <w:b/>
          <w:smallCaps/>
          <w:sz w:val="22"/>
          <w:szCs w:val="22"/>
        </w:rPr>
        <w:t xml:space="preserve">PIB </w:t>
      </w:r>
      <w:r w:rsidR="002A45B9">
        <w:rPr>
          <w:b/>
          <w:smallCaps/>
          <w:sz w:val="22"/>
          <w:szCs w:val="22"/>
        </w:rPr>
        <w:t xml:space="preserve">de las </w:t>
      </w:r>
      <w:r w:rsidR="002A45B9" w:rsidRPr="006612D6">
        <w:rPr>
          <w:b/>
          <w:smallCaps/>
          <w:sz w:val="22"/>
          <w:szCs w:val="22"/>
        </w:rPr>
        <w:t>actividades</w:t>
      </w:r>
      <w:r w:rsidR="002A45B9">
        <w:rPr>
          <w:b/>
          <w:smallCaps/>
          <w:sz w:val="22"/>
          <w:szCs w:val="22"/>
        </w:rPr>
        <w:t xml:space="preserve"> terciarias</w:t>
      </w:r>
      <w:r w:rsidR="002A45B9" w:rsidRPr="006612D6">
        <w:rPr>
          <w:b/>
          <w:smallCaps/>
          <w:sz w:val="22"/>
          <w:szCs w:val="22"/>
        </w:rPr>
        <w:t xml:space="preserve"> </w:t>
      </w:r>
    </w:p>
    <w:p w14:paraId="010880E3" w14:textId="77777777" w:rsidR="00B35528" w:rsidRPr="00DC4AD6" w:rsidRDefault="00B35528" w:rsidP="00B34356">
      <w:pPr>
        <w:pStyle w:val="Textoindependiente"/>
        <w:jc w:val="center"/>
        <w:rPr>
          <w:rFonts w:cs="Arial"/>
          <w:color w:val="auto"/>
          <w:sz w:val="18"/>
          <w:szCs w:val="18"/>
          <w:lang w:val="es-MX"/>
        </w:rPr>
      </w:pPr>
      <w:r w:rsidRPr="00DC4AD6">
        <w:rPr>
          <w:rFonts w:cs="Arial"/>
          <w:sz w:val="18"/>
          <w:lang w:val="es-MX"/>
        </w:rPr>
        <w:t>(Millones de pesos a precios de 20</w:t>
      </w:r>
      <w:r w:rsidR="00530F19" w:rsidRPr="00DC4AD6">
        <w:rPr>
          <w:rFonts w:cs="Arial"/>
          <w:sz w:val="18"/>
          <w:lang w:val="es-MX"/>
        </w:rPr>
        <w:t>13</w:t>
      </w:r>
      <w:r w:rsidRPr="00DC4AD6">
        <w:rPr>
          <w:rFonts w:cs="Arial"/>
          <w:sz w:val="18"/>
          <w:szCs w:val="18"/>
          <w:lang w:val="es-MX"/>
        </w:rPr>
        <w:t>)</w:t>
      </w:r>
    </w:p>
    <w:p w14:paraId="3E452D4D" w14:textId="6118AC7D" w:rsidR="00B35528" w:rsidRPr="00B34824" w:rsidRDefault="00302E8E" w:rsidP="00B34356">
      <w:pPr>
        <w:pStyle w:val="p0"/>
        <w:keepLines w:val="0"/>
        <w:spacing w:before="0"/>
        <w:jc w:val="center"/>
        <w:rPr>
          <w:color w:val="000000" w:themeColor="text1"/>
          <w:lang w:val="es-MX"/>
        </w:rPr>
      </w:pPr>
      <w:r>
        <w:rPr>
          <w:noProof/>
          <w:snapToGrid/>
        </w:rPr>
        <w:drawing>
          <wp:inline distT="0" distB="0" distL="0" distR="0" wp14:anchorId="0A9E27A8" wp14:editId="132B906A">
            <wp:extent cx="4680000" cy="2358000"/>
            <wp:effectExtent l="0" t="0" r="25400" b="23495"/>
            <wp:docPr id="2008079728" name="Gráfico 1">
              <a:extLst xmlns:a="http://schemas.openxmlformats.org/drawingml/2006/main">
                <a:ext uri="{FF2B5EF4-FFF2-40B4-BE49-F238E27FC236}">
                  <a16:creationId xmlns:a16="http://schemas.microsoft.com/office/drawing/2014/main" id="{00000000-0008-0000-0100-000005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14:paraId="7EE7BC96" w14:textId="4F09ABDC" w:rsidR="00670C48" w:rsidRPr="00706C47" w:rsidRDefault="00B35528" w:rsidP="00B34356">
      <w:pPr>
        <w:pStyle w:val="p0"/>
        <w:keepLines w:val="0"/>
        <w:spacing w:before="0"/>
        <w:ind w:left="993" w:firstLine="447"/>
        <w:rPr>
          <w:rFonts w:cs="Arial"/>
          <w:color w:val="000000" w:themeColor="text1"/>
          <w:sz w:val="16"/>
          <w:szCs w:val="16"/>
        </w:rPr>
      </w:pPr>
      <w:r w:rsidRPr="00B82981">
        <w:rPr>
          <w:rFonts w:cs="Arial"/>
          <w:color w:val="000000" w:themeColor="text1"/>
          <w:sz w:val="16"/>
          <w:szCs w:val="16"/>
        </w:rPr>
        <w:t>Fuente: INEGI</w:t>
      </w:r>
    </w:p>
    <w:p w14:paraId="0C07B236" w14:textId="6EF1EC94" w:rsidR="00CF7F6E" w:rsidRDefault="00C87EFA" w:rsidP="00B34356">
      <w:pPr>
        <w:pStyle w:val="p0"/>
        <w:keepLines w:val="0"/>
        <w:rPr>
          <w:color w:val="auto"/>
        </w:rPr>
      </w:pPr>
      <w:r w:rsidRPr="00BA673B">
        <w:rPr>
          <w:color w:val="auto"/>
        </w:rPr>
        <w:t xml:space="preserve">A tasa anual y con series desestacionalizadas, el </w:t>
      </w:r>
      <w:r>
        <w:rPr>
          <w:color w:val="auto"/>
        </w:rPr>
        <w:t>PIB incrementó</w:t>
      </w:r>
      <w:r w:rsidRPr="00BA673B">
        <w:rPr>
          <w:color w:val="auto"/>
        </w:rPr>
        <w:t xml:space="preserve"> </w:t>
      </w:r>
      <w:r>
        <w:rPr>
          <w:color w:val="auto"/>
        </w:rPr>
        <w:t>3.</w:t>
      </w:r>
      <w:r w:rsidR="00302E8E">
        <w:rPr>
          <w:color w:val="auto"/>
        </w:rPr>
        <w:t>7</w:t>
      </w:r>
      <w:r>
        <w:rPr>
          <w:color w:val="auto"/>
        </w:rPr>
        <w:t> % en términos reales</w:t>
      </w:r>
      <w:r w:rsidRPr="00B834C7">
        <w:rPr>
          <w:color w:val="auto"/>
        </w:rPr>
        <w:t xml:space="preserve">. </w:t>
      </w:r>
      <w:r w:rsidR="000474A8">
        <w:rPr>
          <w:color w:val="auto"/>
        </w:rPr>
        <w:t xml:space="preserve">Las actividades terciarias </w:t>
      </w:r>
      <w:r>
        <w:rPr>
          <w:color w:val="auto"/>
        </w:rPr>
        <w:t>crecieron 4.</w:t>
      </w:r>
      <w:r w:rsidR="00302E8E">
        <w:rPr>
          <w:color w:val="auto"/>
        </w:rPr>
        <w:t>2</w:t>
      </w:r>
      <w:r>
        <w:rPr>
          <w:color w:val="auto"/>
        </w:rPr>
        <w:t> </w:t>
      </w:r>
      <w:r w:rsidRPr="00695E68">
        <w:rPr>
          <w:color w:val="auto"/>
        </w:rPr>
        <w:t>%</w:t>
      </w:r>
      <w:r>
        <w:rPr>
          <w:color w:val="auto"/>
        </w:rPr>
        <w:t>;</w:t>
      </w:r>
      <w:r w:rsidRPr="00695E68">
        <w:rPr>
          <w:color w:val="auto"/>
        </w:rPr>
        <w:t xml:space="preserve"> las </w:t>
      </w:r>
      <w:r>
        <w:rPr>
          <w:color w:val="auto"/>
        </w:rPr>
        <w:t>primarias,</w:t>
      </w:r>
      <w:r w:rsidRPr="00695E68">
        <w:rPr>
          <w:color w:val="auto"/>
        </w:rPr>
        <w:t xml:space="preserve"> </w:t>
      </w:r>
      <w:r w:rsidR="00302E8E">
        <w:rPr>
          <w:color w:val="auto"/>
        </w:rPr>
        <w:t>2.9</w:t>
      </w:r>
      <w:r>
        <w:rPr>
          <w:color w:val="auto"/>
        </w:rPr>
        <w:t> </w:t>
      </w:r>
      <w:r w:rsidRPr="00695E68">
        <w:rPr>
          <w:color w:val="auto"/>
        </w:rPr>
        <w:t xml:space="preserve">% y las </w:t>
      </w:r>
      <w:r>
        <w:rPr>
          <w:color w:val="auto"/>
        </w:rPr>
        <w:t>secundarias, 2.</w:t>
      </w:r>
      <w:r w:rsidR="00302E8E">
        <w:rPr>
          <w:color w:val="auto"/>
        </w:rPr>
        <w:t>4</w:t>
      </w:r>
      <w:r>
        <w:rPr>
          <w:color w:val="auto"/>
        </w:rPr>
        <w:t xml:space="preserve"> por ciento.</w:t>
      </w:r>
    </w:p>
    <w:p w14:paraId="520DEDDD" w14:textId="77777777" w:rsidR="00CF7F6E" w:rsidRDefault="00CF7F6E">
      <w:pPr>
        <w:widowControl/>
      </w:pPr>
      <w:r>
        <w:br w:type="page"/>
      </w:r>
    </w:p>
    <w:p w14:paraId="3641EABA" w14:textId="1D7E296B" w:rsidR="00B35528" w:rsidRPr="0000486F" w:rsidRDefault="00B35528" w:rsidP="00C87EFA">
      <w:pPr>
        <w:pStyle w:val="p0"/>
        <w:keepLines w:val="0"/>
        <w:ind w:firstLine="720"/>
        <w:rPr>
          <w:iCs/>
          <w:color w:val="auto"/>
        </w:rPr>
      </w:pPr>
      <w:r w:rsidRPr="0000486F">
        <w:rPr>
          <w:b/>
          <w:iCs/>
          <w:color w:val="auto"/>
        </w:rPr>
        <w:lastRenderedPageBreak/>
        <w:t xml:space="preserve">Cifras </w:t>
      </w:r>
      <w:r w:rsidR="00D27A48" w:rsidRPr="0000486F">
        <w:rPr>
          <w:b/>
          <w:iCs/>
          <w:color w:val="auto"/>
        </w:rPr>
        <w:t>o</w:t>
      </w:r>
      <w:r w:rsidRPr="0000486F">
        <w:rPr>
          <w:b/>
          <w:iCs/>
          <w:color w:val="auto"/>
        </w:rPr>
        <w:t xml:space="preserve">riginales </w:t>
      </w:r>
    </w:p>
    <w:p w14:paraId="19D6C454" w14:textId="0A6C3561" w:rsidR="00B35528" w:rsidRPr="001A224F" w:rsidRDefault="00B35528" w:rsidP="00B34356">
      <w:pPr>
        <w:pStyle w:val="p0"/>
        <w:keepLines w:val="0"/>
        <w:spacing w:before="120"/>
        <w:rPr>
          <w:rFonts w:cs="Arial"/>
          <w:color w:val="auto"/>
        </w:rPr>
      </w:pPr>
      <w:r w:rsidRPr="001A224F">
        <w:rPr>
          <w:color w:val="auto"/>
        </w:rPr>
        <w:t>En el cuadro siguiente</w:t>
      </w:r>
      <w:r w:rsidR="0091180B">
        <w:rPr>
          <w:color w:val="auto"/>
        </w:rPr>
        <w:t>,</w:t>
      </w:r>
      <w:r w:rsidRPr="001A224F">
        <w:rPr>
          <w:color w:val="auto"/>
        </w:rPr>
        <w:t xml:space="preserve"> se presentan los resultados </w:t>
      </w:r>
      <w:r w:rsidR="000E0B46">
        <w:rPr>
          <w:color w:val="auto"/>
        </w:rPr>
        <w:t>sin ajuste estacional</w:t>
      </w:r>
      <w:r>
        <w:rPr>
          <w:color w:val="auto"/>
        </w:rPr>
        <w:t xml:space="preserve"> </w:t>
      </w:r>
      <w:r w:rsidRPr="001A224F">
        <w:rPr>
          <w:color w:val="auto"/>
        </w:rPr>
        <w:t xml:space="preserve">del PIB </w:t>
      </w:r>
      <w:r w:rsidR="00134493">
        <w:rPr>
          <w:color w:val="auto"/>
        </w:rPr>
        <w:t>T</w:t>
      </w:r>
      <w:r w:rsidRPr="001A224F">
        <w:rPr>
          <w:color w:val="auto"/>
        </w:rPr>
        <w:t>rimestral por sector:</w:t>
      </w:r>
    </w:p>
    <w:p w14:paraId="3AE3C529" w14:textId="505717F6" w:rsidR="00FF1658" w:rsidRPr="00FD6EF6" w:rsidRDefault="00FD6EF6" w:rsidP="006352C1">
      <w:pPr>
        <w:keepNext/>
        <w:keepLines/>
        <w:jc w:val="center"/>
        <w:rPr>
          <w:rFonts w:cs="Arial"/>
          <w:sz w:val="20"/>
          <w:szCs w:val="22"/>
        </w:rPr>
      </w:pPr>
      <w:r w:rsidRPr="00FD6EF6">
        <w:rPr>
          <w:rFonts w:cs="Arial"/>
          <w:sz w:val="20"/>
          <w:szCs w:val="22"/>
        </w:rPr>
        <w:t xml:space="preserve">Cuadro </w:t>
      </w:r>
      <w:r w:rsidR="00050310">
        <w:rPr>
          <w:rFonts w:cs="Arial"/>
          <w:sz w:val="20"/>
          <w:szCs w:val="22"/>
        </w:rPr>
        <w:t>1</w:t>
      </w:r>
    </w:p>
    <w:p w14:paraId="54331FA0" w14:textId="76B8A98C" w:rsidR="004E35BD" w:rsidRPr="001A224F" w:rsidRDefault="004E35BD" w:rsidP="006352C1">
      <w:pPr>
        <w:keepNext/>
        <w:keepLines/>
        <w:jc w:val="center"/>
        <w:rPr>
          <w:rFonts w:cs="Arial"/>
          <w:b/>
          <w:smallCaps/>
          <w:snapToGrid/>
          <w:sz w:val="22"/>
          <w:szCs w:val="22"/>
          <w:lang w:val="es-MX"/>
        </w:rPr>
      </w:pPr>
      <w:r>
        <w:rPr>
          <w:rFonts w:cs="Arial"/>
          <w:b/>
          <w:smallCaps/>
          <w:sz w:val="22"/>
          <w:szCs w:val="22"/>
        </w:rPr>
        <w:t>Producto Interno B</w:t>
      </w:r>
      <w:r w:rsidRPr="001A224F">
        <w:rPr>
          <w:rFonts w:cs="Arial"/>
          <w:b/>
          <w:smallCaps/>
          <w:sz w:val="22"/>
          <w:szCs w:val="22"/>
        </w:rPr>
        <w:t xml:space="preserve">ruto </w:t>
      </w:r>
    </w:p>
    <w:p w14:paraId="48511FA8" w14:textId="7A56D670" w:rsidR="004E35BD" w:rsidRDefault="004E35BD" w:rsidP="004E35BD">
      <w:pPr>
        <w:keepNext/>
        <w:keepLines/>
        <w:jc w:val="center"/>
        <w:rPr>
          <w:rFonts w:cs="Arial"/>
          <w:sz w:val="18"/>
          <w:szCs w:val="18"/>
        </w:rPr>
      </w:pPr>
      <w:r w:rsidRPr="001A224F">
        <w:rPr>
          <w:rFonts w:cs="Arial"/>
          <w:sz w:val="18"/>
          <w:szCs w:val="18"/>
        </w:rPr>
        <w:t xml:space="preserve">(Variación porcentual </w:t>
      </w:r>
      <w:r w:rsidR="00C87EFA">
        <w:rPr>
          <w:rFonts w:cs="Arial"/>
          <w:sz w:val="18"/>
          <w:szCs w:val="18"/>
        </w:rPr>
        <w:t xml:space="preserve">real </w:t>
      </w:r>
      <w:r w:rsidR="00FD6EF6">
        <w:rPr>
          <w:rFonts w:cs="Arial"/>
          <w:sz w:val="18"/>
          <w:szCs w:val="18"/>
        </w:rPr>
        <w:t>anual</w:t>
      </w:r>
      <w:r w:rsidR="00D27A48">
        <w:rPr>
          <w:rFonts w:cs="Arial"/>
          <w:sz w:val="18"/>
          <w:szCs w:val="18"/>
        </w:rPr>
        <w:t xml:space="preserve"> en términos reales</w:t>
      </w:r>
      <w:r w:rsidRPr="001A224F">
        <w:rPr>
          <w:rFonts w:cs="Arial"/>
          <w:sz w:val="18"/>
          <w:szCs w:val="18"/>
        </w:rPr>
        <w:t>)</w:t>
      </w:r>
    </w:p>
    <w:tbl>
      <w:tblPr>
        <w:tblW w:w="4905" w:type="pct"/>
        <w:jc w:val="center"/>
        <w:tblLayout w:type="fixed"/>
        <w:tblCellMar>
          <w:left w:w="0" w:type="dxa"/>
          <w:right w:w="0" w:type="dxa"/>
        </w:tblCellMar>
        <w:tblLook w:val="0000" w:firstRow="0" w:lastRow="0" w:firstColumn="0" w:lastColumn="0" w:noHBand="0" w:noVBand="0"/>
      </w:tblPr>
      <w:tblGrid>
        <w:gridCol w:w="4211"/>
        <w:gridCol w:w="746"/>
        <w:gridCol w:w="773"/>
        <w:gridCol w:w="690"/>
        <w:gridCol w:w="933"/>
        <w:gridCol w:w="916"/>
        <w:gridCol w:w="913"/>
      </w:tblGrid>
      <w:tr w:rsidR="00475A2F" w:rsidRPr="00B50BEE" w14:paraId="4E09E606" w14:textId="4EA9599F" w:rsidTr="00C73E2F">
        <w:trPr>
          <w:cantSplit/>
          <w:trHeight w:val="283"/>
          <w:jc w:val="center"/>
        </w:trPr>
        <w:tc>
          <w:tcPr>
            <w:tcW w:w="2293" w:type="pct"/>
            <w:vMerge w:val="restart"/>
            <w:tcBorders>
              <w:top w:val="double" w:sz="6" w:space="0" w:color="auto"/>
              <w:left w:val="double" w:sz="6" w:space="0" w:color="auto"/>
              <w:bottom w:val="double" w:sz="6" w:space="0" w:color="auto"/>
              <w:right w:val="single" w:sz="4" w:space="0" w:color="auto"/>
            </w:tcBorders>
            <w:shd w:val="clear" w:color="auto" w:fill="DBE5F1" w:themeFill="accent1" w:themeFillTint="33"/>
            <w:vAlign w:val="center"/>
          </w:tcPr>
          <w:p w14:paraId="6B384466" w14:textId="77777777" w:rsidR="00475A2F" w:rsidRPr="00FE3ECE" w:rsidRDefault="00475A2F" w:rsidP="007236D0">
            <w:pPr>
              <w:ind w:left="142"/>
              <w:jc w:val="center"/>
              <w:rPr>
                <w:rFonts w:cs="Arial"/>
              </w:rPr>
            </w:pPr>
            <w:r w:rsidRPr="00FE3ECE">
              <w:rPr>
                <w:rFonts w:cs="Arial"/>
                <w:sz w:val="18"/>
                <w:szCs w:val="18"/>
              </w:rPr>
              <w:t>Denominación</w:t>
            </w:r>
            <w:r w:rsidRPr="00FE3ECE">
              <w:rPr>
                <w:rFonts w:cs="Arial"/>
              </w:rPr>
              <w:br w:type="page"/>
            </w:r>
          </w:p>
        </w:tc>
        <w:tc>
          <w:tcPr>
            <w:tcW w:w="2210" w:type="pct"/>
            <w:gridSpan w:val="5"/>
            <w:tcBorders>
              <w:top w:val="double" w:sz="6" w:space="0" w:color="auto"/>
              <w:left w:val="single" w:sz="4" w:space="0" w:color="auto"/>
              <w:bottom w:val="single" w:sz="4" w:space="0" w:color="auto"/>
              <w:right w:val="single" w:sz="4" w:space="0" w:color="auto"/>
            </w:tcBorders>
            <w:shd w:val="clear" w:color="auto" w:fill="DBE5F1" w:themeFill="accent1" w:themeFillTint="33"/>
            <w:vAlign w:val="center"/>
          </w:tcPr>
          <w:p w14:paraId="6865146E" w14:textId="684651B8" w:rsidR="00475A2F" w:rsidRPr="00FE3ECE" w:rsidRDefault="00475A2F" w:rsidP="00C73E2F">
            <w:pPr>
              <w:jc w:val="center"/>
              <w:rPr>
                <w:rFonts w:cs="Arial"/>
                <w:color w:val="000000"/>
                <w:sz w:val="18"/>
                <w:szCs w:val="18"/>
              </w:rPr>
            </w:pPr>
            <w:r w:rsidRPr="00FE3ECE">
              <w:rPr>
                <w:rFonts w:cs="Arial"/>
                <w:color w:val="000000"/>
                <w:sz w:val="18"/>
                <w:szCs w:val="18"/>
              </w:rPr>
              <w:t>2022</w:t>
            </w:r>
            <w:r w:rsidRPr="00FE3ECE">
              <w:rPr>
                <w:rFonts w:cs="Arial"/>
                <w:color w:val="000000"/>
                <w:sz w:val="18"/>
                <w:szCs w:val="18"/>
                <w:vertAlign w:val="superscript"/>
              </w:rPr>
              <w:t>R/</w:t>
            </w:r>
          </w:p>
        </w:tc>
        <w:tc>
          <w:tcPr>
            <w:tcW w:w="497" w:type="pct"/>
            <w:tcBorders>
              <w:top w:val="double" w:sz="6" w:space="0" w:color="auto"/>
              <w:left w:val="single" w:sz="4" w:space="0" w:color="auto"/>
              <w:bottom w:val="single" w:sz="4" w:space="0" w:color="auto"/>
              <w:right w:val="double" w:sz="6" w:space="0" w:color="auto"/>
            </w:tcBorders>
            <w:shd w:val="clear" w:color="auto" w:fill="DBE5F1" w:themeFill="accent1" w:themeFillTint="33"/>
            <w:vAlign w:val="center"/>
          </w:tcPr>
          <w:p w14:paraId="51E010FC" w14:textId="772A68D2" w:rsidR="00475A2F" w:rsidRPr="00FE3ECE" w:rsidRDefault="00475A2F" w:rsidP="00C73E2F">
            <w:pPr>
              <w:jc w:val="center"/>
              <w:rPr>
                <w:rFonts w:cs="Arial"/>
                <w:color w:val="000000"/>
                <w:sz w:val="18"/>
                <w:szCs w:val="18"/>
              </w:rPr>
            </w:pPr>
            <w:r w:rsidRPr="00FE3ECE">
              <w:rPr>
                <w:rFonts w:cs="Arial"/>
                <w:color w:val="000000"/>
                <w:sz w:val="18"/>
                <w:szCs w:val="18"/>
              </w:rPr>
              <w:t>2023</w:t>
            </w:r>
          </w:p>
        </w:tc>
      </w:tr>
      <w:tr w:rsidR="00475A2F" w:rsidRPr="00B50BEE" w14:paraId="4746CD30" w14:textId="1BF886CA" w:rsidTr="00C73E2F">
        <w:trPr>
          <w:cantSplit/>
          <w:trHeight w:val="227"/>
          <w:jc w:val="center"/>
        </w:trPr>
        <w:tc>
          <w:tcPr>
            <w:tcW w:w="2293" w:type="pct"/>
            <w:vMerge/>
            <w:tcBorders>
              <w:left w:val="double" w:sz="6" w:space="0" w:color="auto"/>
              <w:bottom w:val="double" w:sz="6" w:space="0" w:color="auto"/>
              <w:right w:val="single" w:sz="4" w:space="0" w:color="auto"/>
            </w:tcBorders>
            <w:shd w:val="clear" w:color="auto" w:fill="DBE5F1" w:themeFill="accent1" w:themeFillTint="33"/>
          </w:tcPr>
          <w:p w14:paraId="6CCA56B5" w14:textId="77777777" w:rsidR="00475A2F" w:rsidRPr="00FE3ECE" w:rsidRDefault="00475A2F" w:rsidP="009C29E4">
            <w:pPr>
              <w:ind w:left="142"/>
              <w:rPr>
                <w:rFonts w:cs="Arial"/>
                <w:sz w:val="16"/>
                <w:szCs w:val="16"/>
              </w:rPr>
            </w:pPr>
          </w:p>
        </w:tc>
        <w:tc>
          <w:tcPr>
            <w:tcW w:w="1711" w:type="pct"/>
            <w:gridSpan w:val="4"/>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57E94050" w14:textId="5198CEF9" w:rsidR="00475A2F" w:rsidRPr="00FE3ECE" w:rsidRDefault="00475A2F" w:rsidP="00101540">
            <w:pPr>
              <w:jc w:val="center"/>
              <w:rPr>
                <w:rFonts w:cs="Arial"/>
                <w:sz w:val="18"/>
                <w:szCs w:val="18"/>
              </w:rPr>
            </w:pPr>
            <w:r w:rsidRPr="00FE3ECE">
              <w:rPr>
                <w:rFonts w:cs="Arial"/>
                <w:sz w:val="18"/>
                <w:szCs w:val="18"/>
              </w:rPr>
              <w:t>Trimestre</w:t>
            </w:r>
          </w:p>
        </w:tc>
        <w:tc>
          <w:tcPr>
            <w:tcW w:w="499" w:type="pct"/>
            <w:vMerge w:val="restart"/>
            <w:tcBorders>
              <w:top w:val="single" w:sz="4" w:space="0" w:color="auto"/>
              <w:left w:val="single" w:sz="4" w:space="0" w:color="auto"/>
              <w:right w:val="single" w:sz="4" w:space="0" w:color="auto"/>
            </w:tcBorders>
            <w:shd w:val="clear" w:color="auto" w:fill="DBE5F1" w:themeFill="accent1" w:themeFillTint="33"/>
            <w:vAlign w:val="center"/>
          </w:tcPr>
          <w:p w14:paraId="53137953" w14:textId="639EA33D" w:rsidR="00475A2F" w:rsidRPr="00FE3ECE" w:rsidRDefault="00475A2F" w:rsidP="00101540">
            <w:pPr>
              <w:jc w:val="center"/>
              <w:rPr>
                <w:rFonts w:cs="Arial"/>
                <w:sz w:val="18"/>
                <w:szCs w:val="18"/>
              </w:rPr>
            </w:pPr>
            <w:r w:rsidRPr="00FE3ECE">
              <w:rPr>
                <w:rFonts w:cs="Arial"/>
                <w:sz w:val="18"/>
                <w:szCs w:val="18"/>
              </w:rPr>
              <w:t>Anual</w:t>
            </w:r>
          </w:p>
        </w:tc>
        <w:tc>
          <w:tcPr>
            <w:tcW w:w="497" w:type="pct"/>
            <w:tcBorders>
              <w:top w:val="single" w:sz="4" w:space="0" w:color="auto"/>
              <w:left w:val="single" w:sz="4" w:space="0" w:color="auto"/>
              <w:bottom w:val="single" w:sz="4" w:space="0" w:color="auto"/>
              <w:right w:val="double" w:sz="6" w:space="0" w:color="auto"/>
            </w:tcBorders>
            <w:shd w:val="clear" w:color="auto" w:fill="DBE5F1" w:themeFill="accent1" w:themeFillTint="33"/>
          </w:tcPr>
          <w:p w14:paraId="2857B4CC" w14:textId="0B5AEE8F" w:rsidR="00475A2F" w:rsidRPr="00FE3ECE" w:rsidRDefault="00475A2F" w:rsidP="00101540">
            <w:pPr>
              <w:jc w:val="center"/>
              <w:rPr>
                <w:rFonts w:cs="Arial"/>
                <w:sz w:val="18"/>
                <w:szCs w:val="18"/>
              </w:rPr>
            </w:pPr>
            <w:r w:rsidRPr="00FE3ECE">
              <w:rPr>
                <w:rFonts w:cs="Arial"/>
                <w:sz w:val="18"/>
                <w:szCs w:val="18"/>
              </w:rPr>
              <w:t>Trimestre</w:t>
            </w:r>
          </w:p>
        </w:tc>
      </w:tr>
      <w:tr w:rsidR="00475A2F" w:rsidRPr="00B50BEE" w14:paraId="3E5AB434" w14:textId="47BFBF8A" w:rsidTr="00C73E2F">
        <w:trPr>
          <w:cantSplit/>
          <w:trHeight w:val="283"/>
          <w:jc w:val="center"/>
        </w:trPr>
        <w:tc>
          <w:tcPr>
            <w:tcW w:w="2293" w:type="pct"/>
            <w:vMerge/>
            <w:tcBorders>
              <w:left w:val="double" w:sz="6" w:space="0" w:color="auto"/>
              <w:bottom w:val="single" w:sz="4" w:space="0" w:color="auto"/>
              <w:right w:val="single" w:sz="4" w:space="0" w:color="auto"/>
            </w:tcBorders>
          </w:tcPr>
          <w:p w14:paraId="023A7765" w14:textId="77777777" w:rsidR="00475A2F" w:rsidRPr="00046FED" w:rsidRDefault="00475A2F" w:rsidP="009C29E4">
            <w:pPr>
              <w:ind w:left="142"/>
              <w:rPr>
                <w:rFonts w:cs="Arial"/>
              </w:rPr>
            </w:pPr>
          </w:p>
        </w:tc>
        <w:tc>
          <w:tcPr>
            <w:tcW w:w="406"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219A31D9" w14:textId="0B5D4647" w:rsidR="00475A2F" w:rsidRPr="00FE3ECE" w:rsidRDefault="00475A2F" w:rsidP="00101540">
            <w:pPr>
              <w:jc w:val="center"/>
              <w:rPr>
                <w:rFonts w:cs="Arial"/>
                <w:sz w:val="18"/>
                <w:szCs w:val="18"/>
                <w:lang w:val="es-ES"/>
              </w:rPr>
            </w:pPr>
            <w:r w:rsidRPr="00FE3ECE">
              <w:rPr>
                <w:rFonts w:cs="Arial"/>
                <w:sz w:val="18"/>
                <w:szCs w:val="18"/>
                <w:lang w:val="es-ES"/>
              </w:rPr>
              <w:t>I</w:t>
            </w:r>
          </w:p>
        </w:tc>
        <w:tc>
          <w:tcPr>
            <w:tcW w:w="421" w:type="pct"/>
            <w:tcBorders>
              <w:top w:val="single" w:sz="4" w:space="0" w:color="auto"/>
              <w:left w:val="single" w:sz="4" w:space="0" w:color="auto"/>
              <w:bottom w:val="single" w:sz="4" w:space="0" w:color="auto"/>
              <w:right w:val="single" w:sz="4" w:space="0" w:color="auto"/>
            </w:tcBorders>
            <w:shd w:val="clear" w:color="auto" w:fill="DBE5F1" w:themeFill="accent1" w:themeFillTint="33"/>
            <w:vAlign w:val="center"/>
          </w:tcPr>
          <w:p w14:paraId="0076BE0F" w14:textId="0C53A5C9" w:rsidR="00475A2F" w:rsidRPr="00FE3ECE" w:rsidRDefault="00475A2F" w:rsidP="00101540">
            <w:pPr>
              <w:jc w:val="center"/>
              <w:rPr>
                <w:rFonts w:cs="Arial"/>
                <w:sz w:val="18"/>
                <w:szCs w:val="18"/>
                <w:lang w:val="es-ES"/>
              </w:rPr>
            </w:pPr>
            <w:r w:rsidRPr="00FE3ECE">
              <w:rPr>
                <w:rFonts w:cs="Arial"/>
                <w:sz w:val="18"/>
                <w:szCs w:val="18"/>
                <w:lang w:val="es-ES"/>
              </w:rPr>
              <w:t>II</w:t>
            </w:r>
          </w:p>
        </w:tc>
        <w:tc>
          <w:tcPr>
            <w:tcW w:w="376" w:type="pct"/>
            <w:tcBorders>
              <w:left w:val="single" w:sz="4" w:space="0" w:color="auto"/>
              <w:bottom w:val="single" w:sz="4" w:space="0" w:color="auto"/>
              <w:right w:val="single" w:sz="4" w:space="0" w:color="auto"/>
            </w:tcBorders>
            <w:shd w:val="clear" w:color="auto" w:fill="DBE5F1" w:themeFill="accent1" w:themeFillTint="33"/>
            <w:vAlign w:val="center"/>
          </w:tcPr>
          <w:p w14:paraId="3ED00D29" w14:textId="0E16AB7E" w:rsidR="00475A2F" w:rsidRPr="00FE3ECE" w:rsidRDefault="00475A2F" w:rsidP="00C73E2F">
            <w:pPr>
              <w:jc w:val="center"/>
              <w:rPr>
                <w:rFonts w:cs="Arial"/>
                <w:sz w:val="18"/>
                <w:szCs w:val="18"/>
                <w:lang w:val="es-ES"/>
              </w:rPr>
            </w:pPr>
            <w:r w:rsidRPr="00FE3ECE">
              <w:rPr>
                <w:rFonts w:cs="Arial"/>
                <w:sz w:val="18"/>
                <w:szCs w:val="18"/>
                <w:lang w:val="es-ES"/>
              </w:rPr>
              <w:t>III</w:t>
            </w:r>
          </w:p>
        </w:tc>
        <w:tc>
          <w:tcPr>
            <w:tcW w:w="508" w:type="pct"/>
            <w:tcBorders>
              <w:left w:val="single" w:sz="4" w:space="0" w:color="auto"/>
              <w:bottom w:val="single" w:sz="4" w:space="0" w:color="auto"/>
              <w:right w:val="single" w:sz="4" w:space="0" w:color="auto"/>
            </w:tcBorders>
            <w:shd w:val="clear" w:color="auto" w:fill="DBE5F1" w:themeFill="accent1" w:themeFillTint="33"/>
            <w:vAlign w:val="center"/>
          </w:tcPr>
          <w:p w14:paraId="1E989F5E" w14:textId="221E0C3D" w:rsidR="00475A2F" w:rsidRPr="00FE3ECE" w:rsidRDefault="00475A2F" w:rsidP="00C73E2F">
            <w:pPr>
              <w:jc w:val="center"/>
              <w:rPr>
                <w:rFonts w:cs="Arial"/>
                <w:sz w:val="18"/>
                <w:szCs w:val="18"/>
                <w:lang w:val="es-ES"/>
              </w:rPr>
            </w:pPr>
            <w:r w:rsidRPr="00FE3ECE">
              <w:rPr>
                <w:rFonts w:cs="Arial"/>
                <w:sz w:val="18"/>
                <w:szCs w:val="18"/>
                <w:lang w:val="es-ES"/>
              </w:rPr>
              <w:t>IV</w:t>
            </w:r>
          </w:p>
        </w:tc>
        <w:tc>
          <w:tcPr>
            <w:tcW w:w="499" w:type="pct"/>
            <w:vMerge/>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16BA7DBB" w14:textId="2A551F25" w:rsidR="00475A2F" w:rsidRPr="00FE3ECE" w:rsidRDefault="00475A2F" w:rsidP="00FF1658">
            <w:pPr>
              <w:jc w:val="center"/>
              <w:rPr>
                <w:rFonts w:cs="Arial"/>
                <w:sz w:val="18"/>
                <w:szCs w:val="18"/>
                <w:lang w:val="es-ES"/>
              </w:rPr>
            </w:pPr>
          </w:p>
        </w:tc>
        <w:tc>
          <w:tcPr>
            <w:tcW w:w="497" w:type="pct"/>
            <w:tcBorders>
              <w:top w:val="single" w:sz="4" w:space="0" w:color="auto"/>
              <w:left w:val="single" w:sz="4" w:space="0" w:color="auto"/>
              <w:bottom w:val="single" w:sz="4" w:space="0" w:color="auto"/>
              <w:right w:val="double" w:sz="6" w:space="0" w:color="auto"/>
            </w:tcBorders>
            <w:shd w:val="clear" w:color="auto" w:fill="DBE5F1" w:themeFill="accent1" w:themeFillTint="33"/>
            <w:vAlign w:val="center"/>
          </w:tcPr>
          <w:p w14:paraId="2223EB46" w14:textId="4B2CF5E5" w:rsidR="00475A2F" w:rsidRPr="00FE3ECE" w:rsidRDefault="00475A2F" w:rsidP="00C73E2F">
            <w:pPr>
              <w:jc w:val="center"/>
              <w:rPr>
                <w:rFonts w:cs="Arial"/>
                <w:sz w:val="18"/>
                <w:szCs w:val="18"/>
                <w:lang w:val="es-ES"/>
              </w:rPr>
            </w:pPr>
            <w:r w:rsidRPr="00FE3ECE">
              <w:rPr>
                <w:rFonts w:cs="Arial"/>
                <w:sz w:val="18"/>
                <w:szCs w:val="18"/>
                <w:lang w:val="es-ES"/>
              </w:rPr>
              <w:t>I</w:t>
            </w:r>
            <w:r w:rsidR="00C73E2F" w:rsidRPr="00FE3ECE">
              <w:rPr>
                <w:rFonts w:cs="Arial"/>
                <w:color w:val="000000"/>
                <w:sz w:val="18"/>
                <w:szCs w:val="18"/>
                <w:vertAlign w:val="superscript"/>
              </w:rPr>
              <w:t>P/</w:t>
            </w:r>
          </w:p>
        </w:tc>
      </w:tr>
      <w:tr w:rsidR="00C73E2F" w:rsidRPr="00B50BEE" w14:paraId="445D3326" w14:textId="5705A39C" w:rsidTr="00C73E2F">
        <w:trPr>
          <w:cantSplit/>
          <w:jc w:val="center"/>
        </w:trPr>
        <w:tc>
          <w:tcPr>
            <w:tcW w:w="2293" w:type="pct"/>
            <w:tcBorders>
              <w:top w:val="single" w:sz="4" w:space="0" w:color="auto"/>
              <w:left w:val="double" w:sz="6" w:space="0" w:color="auto"/>
              <w:right w:val="single" w:sz="4" w:space="0" w:color="auto"/>
            </w:tcBorders>
            <w:vAlign w:val="center"/>
          </w:tcPr>
          <w:p w14:paraId="38C000DD" w14:textId="77777777" w:rsidR="00C73E2F" w:rsidRPr="00B50BEE" w:rsidRDefault="00C73E2F" w:rsidP="00C73E2F">
            <w:pPr>
              <w:spacing w:before="40" w:after="20"/>
              <w:ind w:left="657" w:hanging="544"/>
              <w:rPr>
                <w:rFonts w:cs="Arial"/>
                <w:b/>
                <w:bCs/>
                <w:sz w:val="18"/>
                <w:szCs w:val="18"/>
              </w:rPr>
            </w:pPr>
            <w:r w:rsidRPr="00B50BEE">
              <w:rPr>
                <w:rFonts w:cs="Arial"/>
                <w:b/>
                <w:bCs/>
                <w:sz w:val="18"/>
                <w:szCs w:val="18"/>
              </w:rPr>
              <w:t>PIB Total a precios de mercado</w:t>
            </w:r>
          </w:p>
        </w:tc>
        <w:tc>
          <w:tcPr>
            <w:tcW w:w="406" w:type="pct"/>
            <w:tcBorders>
              <w:top w:val="single" w:sz="4" w:space="0" w:color="auto"/>
              <w:left w:val="single" w:sz="4" w:space="0" w:color="auto"/>
            </w:tcBorders>
            <w:vAlign w:val="center"/>
          </w:tcPr>
          <w:p w14:paraId="79BFC619" w14:textId="41E958A4" w:rsidR="00C73E2F" w:rsidRDefault="00C73E2F" w:rsidP="00C73E2F">
            <w:pPr>
              <w:tabs>
                <w:tab w:val="decimal" w:pos="452"/>
              </w:tabs>
              <w:rPr>
                <w:rFonts w:cs="Arial"/>
                <w:b/>
                <w:color w:val="000000"/>
                <w:sz w:val="18"/>
                <w:szCs w:val="18"/>
              </w:rPr>
            </w:pPr>
            <w:r>
              <w:rPr>
                <w:rFonts w:cs="Arial"/>
                <w:b/>
                <w:bCs/>
                <w:sz w:val="16"/>
                <w:szCs w:val="16"/>
              </w:rPr>
              <w:t>1.9</w:t>
            </w:r>
          </w:p>
        </w:tc>
        <w:tc>
          <w:tcPr>
            <w:tcW w:w="421" w:type="pct"/>
            <w:tcBorders>
              <w:top w:val="single" w:sz="4" w:space="0" w:color="auto"/>
              <w:left w:val="nil"/>
            </w:tcBorders>
            <w:vAlign w:val="center"/>
          </w:tcPr>
          <w:p w14:paraId="6FCC5C20" w14:textId="33E21DB7" w:rsidR="00C73E2F" w:rsidRDefault="00C73E2F" w:rsidP="00C73E2F">
            <w:pPr>
              <w:tabs>
                <w:tab w:val="decimal" w:pos="452"/>
              </w:tabs>
              <w:rPr>
                <w:rFonts w:cs="Arial"/>
                <w:b/>
                <w:color w:val="000000"/>
                <w:sz w:val="18"/>
                <w:szCs w:val="18"/>
              </w:rPr>
            </w:pPr>
            <w:r>
              <w:rPr>
                <w:rFonts w:cs="Arial"/>
                <w:b/>
                <w:bCs/>
                <w:sz w:val="16"/>
                <w:szCs w:val="16"/>
              </w:rPr>
              <w:t>2.4</w:t>
            </w:r>
          </w:p>
        </w:tc>
        <w:tc>
          <w:tcPr>
            <w:tcW w:w="376" w:type="pct"/>
            <w:tcBorders>
              <w:top w:val="single" w:sz="4" w:space="0" w:color="auto"/>
              <w:left w:val="nil"/>
            </w:tcBorders>
            <w:vAlign w:val="center"/>
          </w:tcPr>
          <w:p w14:paraId="62010A18" w14:textId="3E444C0E" w:rsidR="00C73E2F" w:rsidRDefault="00C73E2F" w:rsidP="00C73E2F">
            <w:pPr>
              <w:tabs>
                <w:tab w:val="decimal" w:pos="452"/>
              </w:tabs>
              <w:rPr>
                <w:rFonts w:cs="Arial"/>
                <w:b/>
                <w:color w:val="000000"/>
                <w:sz w:val="18"/>
                <w:szCs w:val="18"/>
              </w:rPr>
            </w:pPr>
            <w:r>
              <w:rPr>
                <w:rFonts w:cs="Arial"/>
                <w:b/>
                <w:bCs/>
                <w:sz w:val="16"/>
                <w:szCs w:val="16"/>
              </w:rPr>
              <w:t>4.</w:t>
            </w:r>
            <w:r w:rsidR="00C45B60">
              <w:rPr>
                <w:rFonts w:cs="Arial"/>
                <w:b/>
                <w:bCs/>
                <w:sz w:val="16"/>
                <w:szCs w:val="16"/>
              </w:rPr>
              <w:t>3</w:t>
            </w:r>
          </w:p>
        </w:tc>
        <w:tc>
          <w:tcPr>
            <w:tcW w:w="508" w:type="pct"/>
            <w:tcBorders>
              <w:top w:val="single" w:sz="4" w:space="0" w:color="auto"/>
              <w:left w:val="nil"/>
              <w:right w:val="nil"/>
            </w:tcBorders>
            <w:vAlign w:val="center"/>
          </w:tcPr>
          <w:p w14:paraId="42EA9C6B" w14:textId="2A1AF939" w:rsidR="00C73E2F" w:rsidRDefault="00C73E2F" w:rsidP="00C73E2F">
            <w:pPr>
              <w:tabs>
                <w:tab w:val="decimal" w:pos="452"/>
              </w:tabs>
              <w:rPr>
                <w:rFonts w:cs="Arial"/>
                <w:b/>
                <w:color w:val="000000"/>
                <w:sz w:val="18"/>
                <w:szCs w:val="18"/>
              </w:rPr>
            </w:pPr>
            <w:r>
              <w:rPr>
                <w:rFonts w:cs="Arial"/>
                <w:b/>
                <w:bCs/>
                <w:sz w:val="16"/>
                <w:szCs w:val="16"/>
              </w:rPr>
              <w:t>3.</w:t>
            </w:r>
            <w:r w:rsidR="00C45B60">
              <w:rPr>
                <w:rFonts w:cs="Arial"/>
                <w:b/>
                <w:bCs/>
                <w:sz w:val="16"/>
                <w:szCs w:val="16"/>
              </w:rPr>
              <w:t>5</w:t>
            </w:r>
          </w:p>
        </w:tc>
        <w:tc>
          <w:tcPr>
            <w:tcW w:w="499" w:type="pct"/>
            <w:tcBorders>
              <w:top w:val="single" w:sz="4" w:space="0" w:color="auto"/>
              <w:left w:val="nil"/>
              <w:right w:val="single" w:sz="4" w:space="0" w:color="auto"/>
            </w:tcBorders>
            <w:vAlign w:val="center"/>
          </w:tcPr>
          <w:p w14:paraId="50F5A694" w14:textId="7EE04C7B" w:rsidR="00C73E2F" w:rsidRDefault="00C73E2F" w:rsidP="00C73E2F">
            <w:pPr>
              <w:tabs>
                <w:tab w:val="decimal" w:pos="452"/>
              </w:tabs>
              <w:rPr>
                <w:rFonts w:cs="Arial"/>
                <w:b/>
                <w:color w:val="000000"/>
                <w:sz w:val="18"/>
                <w:szCs w:val="18"/>
              </w:rPr>
            </w:pPr>
            <w:r>
              <w:rPr>
                <w:rFonts w:cs="Arial"/>
                <w:b/>
                <w:bCs/>
                <w:sz w:val="16"/>
                <w:szCs w:val="16"/>
              </w:rPr>
              <w:t>3.</w:t>
            </w:r>
            <w:r w:rsidR="008E3313">
              <w:rPr>
                <w:rFonts w:cs="Arial"/>
                <w:b/>
                <w:bCs/>
                <w:sz w:val="16"/>
                <w:szCs w:val="16"/>
              </w:rPr>
              <w:t>0</w:t>
            </w:r>
          </w:p>
        </w:tc>
        <w:tc>
          <w:tcPr>
            <w:tcW w:w="497" w:type="pct"/>
            <w:tcBorders>
              <w:top w:val="single" w:sz="4" w:space="0" w:color="auto"/>
              <w:left w:val="single" w:sz="4" w:space="0" w:color="auto"/>
              <w:right w:val="double" w:sz="6" w:space="0" w:color="auto"/>
            </w:tcBorders>
            <w:vAlign w:val="center"/>
          </w:tcPr>
          <w:p w14:paraId="0E6286F2" w14:textId="4AA5B7E6" w:rsidR="00C73E2F" w:rsidRDefault="00C73E2F" w:rsidP="00C73E2F">
            <w:pPr>
              <w:tabs>
                <w:tab w:val="decimal" w:pos="452"/>
              </w:tabs>
              <w:rPr>
                <w:rFonts w:cs="Arial"/>
                <w:b/>
                <w:bCs/>
                <w:sz w:val="16"/>
                <w:szCs w:val="16"/>
              </w:rPr>
            </w:pPr>
            <w:r>
              <w:rPr>
                <w:rFonts w:cs="Arial"/>
                <w:b/>
                <w:bCs/>
                <w:sz w:val="16"/>
                <w:szCs w:val="16"/>
              </w:rPr>
              <w:t>3.</w:t>
            </w:r>
            <w:r w:rsidR="008E3313">
              <w:rPr>
                <w:rFonts w:cs="Arial"/>
                <w:b/>
                <w:bCs/>
                <w:sz w:val="16"/>
                <w:szCs w:val="16"/>
              </w:rPr>
              <w:t>7</w:t>
            </w:r>
          </w:p>
        </w:tc>
      </w:tr>
      <w:tr w:rsidR="00C73E2F" w:rsidRPr="00B50BEE" w14:paraId="50DE3934" w14:textId="74DF9B46" w:rsidTr="00C73E2F">
        <w:trPr>
          <w:cantSplit/>
          <w:jc w:val="center"/>
        </w:trPr>
        <w:tc>
          <w:tcPr>
            <w:tcW w:w="2293" w:type="pct"/>
            <w:tcBorders>
              <w:left w:val="double" w:sz="6" w:space="0" w:color="auto"/>
              <w:right w:val="single" w:sz="4" w:space="0" w:color="auto"/>
            </w:tcBorders>
            <w:shd w:val="clear" w:color="auto" w:fill="DBE5F1" w:themeFill="accent1" w:themeFillTint="33"/>
            <w:vAlign w:val="center"/>
          </w:tcPr>
          <w:p w14:paraId="46801245" w14:textId="77777777" w:rsidR="00C73E2F" w:rsidRPr="00B50BEE" w:rsidRDefault="00C73E2F" w:rsidP="00C73E2F">
            <w:pPr>
              <w:tabs>
                <w:tab w:val="left" w:pos="579"/>
              </w:tabs>
              <w:spacing w:before="40" w:after="20"/>
              <w:ind w:left="657" w:hanging="544"/>
              <w:rPr>
                <w:rFonts w:cs="Arial"/>
                <w:b/>
                <w:bCs/>
                <w:sz w:val="18"/>
                <w:szCs w:val="18"/>
              </w:rPr>
            </w:pPr>
            <w:r w:rsidRPr="00B50BEE">
              <w:rPr>
                <w:rFonts w:cs="Arial"/>
                <w:b/>
                <w:bCs/>
                <w:sz w:val="18"/>
                <w:szCs w:val="18"/>
              </w:rPr>
              <w:t>Actividades Primarias</w:t>
            </w:r>
          </w:p>
        </w:tc>
        <w:tc>
          <w:tcPr>
            <w:tcW w:w="406" w:type="pct"/>
            <w:tcBorders>
              <w:left w:val="single" w:sz="4" w:space="0" w:color="auto"/>
            </w:tcBorders>
            <w:shd w:val="clear" w:color="auto" w:fill="DBE5F1" w:themeFill="accent1" w:themeFillTint="33"/>
            <w:vAlign w:val="center"/>
          </w:tcPr>
          <w:p w14:paraId="532DBC81" w14:textId="0E4E3F08" w:rsidR="00C73E2F" w:rsidRDefault="00C73E2F" w:rsidP="00C73E2F">
            <w:pPr>
              <w:tabs>
                <w:tab w:val="decimal" w:pos="452"/>
              </w:tabs>
              <w:rPr>
                <w:rFonts w:cs="Arial"/>
                <w:b/>
                <w:color w:val="000000"/>
                <w:sz w:val="18"/>
                <w:szCs w:val="18"/>
              </w:rPr>
            </w:pPr>
            <w:r>
              <w:rPr>
                <w:rFonts w:cs="Arial"/>
                <w:b/>
                <w:bCs/>
                <w:sz w:val="16"/>
                <w:szCs w:val="16"/>
              </w:rPr>
              <w:t>-0.2</w:t>
            </w:r>
          </w:p>
        </w:tc>
        <w:tc>
          <w:tcPr>
            <w:tcW w:w="421" w:type="pct"/>
            <w:tcBorders>
              <w:left w:val="nil"/>
            </w:tcBorders>
            <w:shd w:val="clear" w:color="auto" w:fill="DBE5F1" w:themeFill="accent1" w:themeFillTint="33"/>
            <w:vAlign w:val="center"/>
          </w:tcPr>
          <w:p w14:paraId="5B9C4602" w14:textId="32F85B86" w:rsidR="00C73E2F" w:rsidRDefault="00EE133D" w:rsidP="00C73E2F">
            <w:pPr>
              <w:tabs>
                <w:tab w:val="decimal" w:pos="452"/>
              </w:tabs>
              <w:rPr>
                <w:rFonts w:cs="Arial"/>
                <w:b/>
                <w:color w:val="000000"/>
                <w:sz w:val="18"/>
                <w:szCs w:val="18"/>
              </w:rPr>
            </w:pPr>
            <w:r>
              <w:rPr>
                <w:rFonts w:cs="Arial"/>
                <w:b/>
                <w:bCs/>
                <w:sz w:val="16"/>
                <w:szCs w:val="16"/>
              </w:rPr>
              <w:t>-0.1</w:t>
            </w:r>
          </w:p>
        </w:tc>
        <w:tc>
          <w:tcPr>
            <w:tcW w:w="376" w:type="pct"/>
            <w:tcBorders>
              <w:left w:val="nil"/>
            </w:tcBorders>
            <w:shd w:val="clear" w:color="auto" w:fill="DBE5F1" w:themeFill="accent1" w:themeFillTint="33"/>
            <w:vAlign w:val="center"/>
          </w:tcPr>
          <w:p w14:paraId="11E0B998" w14:textId="6FE6C9E3" w:rsidR="00C73E2F" w:rsidRDefault="00EE133D" w:rsidP="00C73E2F">
            <w:pPr>
              <w:tabs>
                <w:tab w:val="decimal" w:pos="452"/>
              </w:tabs>
              <w:rPr>
                <w:rFonts w:cs="Arial"/>
                <w:b/>
                <w:color w:val="000000"/>
                <w:sz w:val="18"/>
                <w:szCs w:val="18"/>
              </w:rPr>
            </w:pPr>
            <w:r>
              <w:rPr>
                <w:rFonts w:cs="Arial"/>
                <w:b/>
                <w:bCs/>
                <w:sz w:val="16"/>
                <w:szCs w:val="16"/>
              </w:rPr>
              <w:t>0.5</w:t>
            </w:r>
          </w:p>
        </w:tc>
        <w:tc>
          <w:tcPr>
            <w:tcW w:w="508" w:type="pct"/>
            <w:tcBorders>
              <w:left w:val="nil"/>
              <w:right w:val="nil"/>
            </w:tcBorders>
            <w:shd w:val="clear" w:color="auto" w:fill="DBE5F1" w:themeFill="accent1" w:themeFillTint="33"/>
            <w:vAlign w:val="center"/>
          </w:tcPr>
          <w:p w14:paraId="5EE68C91" w14:textId="1E86453E" w:rsidR="00C73E2F" w:rsidRDefault="00EE133D" w:rsidP="00C73E2F">
            <w:pPr>
              <w:tabs>
                <w:tab w:val="decimal" w:pos="452"/>
              </w:tabs>
              <w:rPr>
                <w:rFonts w:cs="Arial"/>
                <w:b/>
                <w:color w:val="000000"/>
                <w:sz w:val="18"/>
                <w:szCs w:val="18"/>
              </w:rPr>
            </w:pPr>
            <w:r>
              <w:rPr>
                <w:rFonts w:cs="Arial"/>
                <w:b/>
                <w:bCs/>
                <w:sz w:val="16"/>
                <w:szCs w:val="16"/>
              </w:rPr>
              <w:t>5.2</w:t>
            </w:r>
          </w:p>
        </w:tc>
        <w:tc>
          <w:tcPr>
            <w:tcW w:w="499" w:type="pct"/>
            <w:tcBorders>
              <w:left w:val="nil"/>
              <w:right w:val="single" w:sz="4" w:space="0" w:color="auto"/>
            </w:tcBorders>
            <w:shd w:val="clear" w:color="auto" w:fill="DBE5F1" w:themeFill="accent1" w:themeFillTint="33"/>
            <w:vAlign w:val="center"/>
          </w:tcPr>
          <w:p w14:paraId="728573C2" w14:textId="4DA1AB1E" w:rsidR="00C73E2F" w:rsidRDefault="00EE133D" w:rsidP="00C73E2F">
            <w:pPr>
              <w:tabs>
                <w:tab w:val="decimal" w:pos="452"/>
              </w:tabs>
              <w:rPr>
                <w:rFonts w:cs="Arial"/>
                <w:b/>
                <w:color w:val="000000"/>
                <w:sz w:val="18"/>
                <w:szCs w:val="18"/>
              </w:rPr>
            </w:pPr>
            <w:r>
              <w:rPr>
                <w:rFonts w:cs="Arial"/>
                <w:b/>
                <w:bCs/>
                <w:sz w:val="16"/>
                <w:szCs w:val="16"/>
              </w:rPr>
              <w:t>1.6</w:t>
            </w:r>
          </w:p>
        </w:tc>
        <w:tc>
          <w:tcPr>
            <w:tcW w:w="497" w:type="pct"/>
            <w:tcBorders>
              <w:left w:val="single" w:sz="4" w:space="0" w:color="auto"/>
              <w:right w:val="double" w:sz="6" w:space="0" w:color="auto"/>
            </w:tcBorders>
            <w:shd w:val="clear" w:color="auto" w:fill="DBE5F1" w:themeFill="accent1" w:themeFillTint="33"/>
            <w:vAlign w:val="center"/>
          </w:tcPr>
          <w:p w14:paraId="4154B076" w14:textId="46A55B7D" w:rsidR="00C73E2F" w:rsidRDefault="00EE133D" w:rsidP="00C73E2F">
            <w:pPr>
              <w:tabs>
                <w:tab w:val="decimal" w:pos="452"/>
              </w:tabs>
              <w:rPr>
                <w:rFonts w:cs="Arial"/>
                <w:b/>
                <w:bCs/>
                <w:sz w:val="16"/>
                <w:szCs w:val="16"/>
              </w:rPr>
            </w:pPr>
            <w:r>
              <w:rPr>
                <w:rFonts w:cs="Arial"/>
                <w:b/>
                <w:bCs/>
                <w:sz w:val="16"/>
                <w:szCs w:val="16"/>
              </w:rPr>
              <w:t>2.3</w:t>
            </w:r>
          </w:p>
        </w:tc>
      </w:tr>
      <w:tr w:rsidR="00C73E2F" w:rsidRPr="00B50BEE" w14:paraId="36601C9E" w14:textId="69026539" w:rsidTr="00C73E2F">
        <w:trPr>
          <w:cantSplit/>
          <w:jc w:val="center"/>
        </w:trPr>
        <w:tc>
          <w:tcPr>
            <w:tcW w:w="2293" w:type="pct"/>
            <w:tcBorders>
              <w:left w:val="double" w:sz="6" w:space="0" w:color="auto"/>
              <w:right w:val="single" w:sz="4" w:space="0" w:color="auto"/>
            </w:tcBorders>
            <w:shd w:val="clear" w:color="auto" w:fill="auto"/>
            <w:vAlign w:val="center"/>
          </w:tcPr>
          <w:p w14:paraId="78456903" w14:textId="77777777" w:rsidR="00C73E2F" w:rsidRPr="00B50BEE" w:rsidRDefault="00C73E2F" w:rsidP="00C73E2F">
            <w:pPr>
              <w:tabs>
                <w:tab w:val="left" w:pos="667"/>
              </w:tabs>
              <w:spacing w:before="40" w:after="20"/>
              <w:ind w:left="657" w:hanging="544"/>
              <w:rPr>
                <w:rFonts w:cs="Arial"/>
                <w:sz w:val="18"/>
                <w:szCs w:val="18"/>
              </w:rPr>
            </w:pPr>
            <w:r w:rsidRPr="00B50BEE">
              <w:rPr>
                <w:rFonts w:cs="Arial"/>
                <w:sz w:val="18"/>
                <w:szCs w:val="18"/>
              </w:rPr>
              <w:t>11</w:t>
            </w:r>
            <w:r w:rsidRPr="00B50BEE">
              <w:rPr>
                <w:rFonts w:cs="Arial"/>
                <w:sz w:val="18"/>
                <w:szCs w:val="18"/>
              </w:rPr>
              <w:tab/>
              <w:t>Agricultura, cría y explotación de animales, aprovechamiento forestal, pesca y caza</w:t>
            </w:r>
          </w:p>
        </w:tc>
        <w:tc>
          <w:tcPr>
            <w:tcW w:w="406" w:type="pct"/>
            <w:tcBorders>
              <w:left w:val="single" w:sz="4" w:space="0" w:color="auto"/>
            </w:tcBorders>
            <w:vAlign w:val="center"/>
          </w:tcPr>
          <w:p w14:paraId="1535A7FC" w14:textId="3ACB75BF" w:rsidR="00C73E2F" w:rsidRDefault="00C73E2F" w:rsidP="00C73E2F">
            <w:pPr>
              <w:tabs>
                <w:tab w:val="decimal" w:pos="452"/>
              </w:tabs>
              <w:rPr>
                <w:rFonts w:cs="Arial"/>
                <w:color w:val="000000"/>
                <w:sz w:val="18"/>
                <w:szCs w:val="18"/>
              </w:rPr>
            </w:pPr>
            <w:r>
              <w:rPr>
                <w:rFonts w:cs="Arial"/>
                <w:sz w:val="16"/>
                <w:szCs w:val="16"/>
              </w:rPr>
              <w:t>-0.2</w:t>
            </w:r>
          </w:p>
        </w:tc>
        <w:tc>
          <w:tcPr>
            <w:tcW w:w="421" w:type="pct"/>
            <w:tcBorders>
              <w:left w:val="nil"/>
            </w:tcBorders>
            <w:vAlign w:val="center"/>
          </w:tcPr>
          <w:p w14:paraId="6D32CAB6" w14:textId="5F83030B" w:rsidR="00C73E2F" w:rsidRPr="00545697" w:rsidRDefault="00EE133D" w:rsidP="00C73E2F">
            <w:pPr>
              <w:tabs>
                <w:tab w:val="decimal" w:pos="452"/>
              </w:tabs>
              <w:rPr>
                <w:rFonts w:cs="Arial"/>
                <w:bCs/>
                <w:color w:val="000000"/>
                <w:sz w:val="18"/>
                <w:szCs w:val="18"/>
              </w:rPr>
            </w:pPr>
            <w:r>
              <w:rPr>
                <w:rFonts w:cs="Arial"/>
                <w:sz w:val="16"/>
                <w:szCs w:val="16"/>
              </w:rPr>
              <w:t>-0.1</w:t>
            </w:r>
          </w:p>
        </w:tc>
        <w:tc>
          <w:tcPr>
            <w:tcW w:w="376" w:type="pct"/>
            <w:tcBorders>
              <w:left w:val="nil"/>
            </w:tcBorders>
            <w:vAlign w:val="center"/>
          </w:tcPr>
          <w:p w14:paraId="349D2C4B" w14:textId="61E8901A" w:rsidR="00C73E2F" w:rsidRDefault="00EE133D" w:rsidP="00C73E2F">
            <w:pPr>
              <w:tabs>
                <w:tab w:val="decimal" w:pos="452"/>
              </w:tabs>
              <w:rPr>
                <w:rFonts w:cs="Arial"/>
                <w:color w:val="000000"/>
                <w:sz w:val="18"/>
                <w:szCs w:val="18"/>
              </w:rPr>
            </w:pPr>
            <w:r>
              <w:rPr>
                <w:rFonts w:cs="Arial"/>
                <w:sz w:val="16"/>
                <w:szCs w:val="16"/>
              </w:rPr>
              <w:t>0.5</w:t>
            </w:r>
          </w:p>
        </w:tc>
        <w:tc>
          <w:tcPr>
            <w:tcW w:w="508" w:type="pct"/>
            <w:tcBorders>
              <w:left w:val="nil"/>
              <w:right w:val="nil"/>
            </w:tcBorders>
            <w:vAlign w:val="center"/>
          </w:tcPr>
          <w:p w14:paraId="4838A4E5" w14:textId="74F57638" w:rsidR="00C73E2F" w:rsidRDefault="00EE133D" w:rsidP="00C73E2F">
            <w:pPr>
              <w:tabs>
                <w:tab w:val="decimal" w:pos="452"/>
              </w:tabs>
              <w:rPr>
                <w:rFonts w:cs="Arial"/>
                <w:color w:val="000000"/>
                <w:sz w:val="18"/>
                <w:szCs w:val="18"/>
              </w:rPr>
            </w:pPr>
            <w:r>
              <w:rPr>
                <w:rFonts w:cs="Arial"/>
                <w:sz w:val="16"/>
                <w:szCs w:val="16"/>
              </w:rPr>
              <w:t>5.2</w:t>
            </w:r>
          </w:p>
        </w:tc>
        <w:tc>
          <w:tcPr>
            <w:tcW w:w="499" w:type="pct"/>
            <w:tcBorders>
              <w:left w:val="nil"/>
              <w:right w:val="single" w:sz="4" w:space="0" w:color="auto"/>
            </w:tcBorders>
            <w:vAlign w:val="center"/>
          </w:tcPr>
          <w:p w14:paraId="7608F71C" w14:textId="15BDCA4F" w:rsidR="00C73E2F" w:rsidRDefault="00EE133D" w:rsidP="00C73E2F">
            <w:pPr>
              <w:tabs>
                <w:tab w:val="decimal" w:pos="452"/>
              </w:tabs>
              <w:rPr>
                <w:rFonts w:cs="Arial"/>
                <w:color w:val="000000"/>
                <w:sz w:val="18"/>
                <w:szCs w:val="18"/>
              </w:rPr>
            </w:pPr>
            <w:r>
              <w:rPr>
                <w:rFonts w:cs="Arial"/>
                <w:sz w:val="16"/>
                <w:szCs w:val="16"/>
              </w:rPr>
              <w:t>1.6</w:t>
            </w:r>
          </w:p>
        </w:tc>
        <w:tc>
          <w:tcPr>
            <w:tcW w:w="497" w:type="pct"/>
            <w:tcBorders>
              <w:left w:val="single" w:sz="4" w:space="0" w:color="auto"/>
              <w:right w:val="double" w:sz="6" w:space="0" w:color="auto"/>
            </w:tcBorders>
            <w:vAlign w:val="center"/>
          </w:tcPr>
          <w:p w14:paraId="1BF22B0E" w14:textId="7FC18158" w:rsidR="00C73E2F" w:rsidRDefault="00EE133D" w:rsidP="00C73E2F">
            <w:pPr>
              <w:tabs>
                <w:tab w:val="decimal" w:pos="452"/>
              </w:tabs>
              <w:rPr>
                <w:rFonts w:cs="Arial"/>
                <w:sz w:val="16"/>
                <w:szCs w:val="16"/>
              </w:rPr>
            </w:pPr>
            <w:r>
              <w:rPr>
                <w:rFonts w:cs="Arial"/>
                <w:sz w:val="16"/>
                <w:szCs w:val="16"/>
              </w:rPr>
              <w:t>2.3</w:t>
            </w:r>
          </w:p>
        </w:tc>
      </w:tr>
      <w:tr w:rsidR="00C73E2F" w:rsidRPr="00B50BEE" w14:paraId="1C2FED14" w14:textId="346A686A" w:rsidTr="00C73E2F">
        <w:trPr>
          <w:cantSplit/>
          <w:jc w:val="center"/>
        </w:trPr>
        <w:tc>
          <w:tcPr>
            <w:tcW w:w="2293" w:type="pct"/>
            <w:tcBorders>
              <w:left w:val="double" w:sz="6" w:space="0" w:color="auto"/>
              <w:right w:val="single" w:sz="4" w:space="0" w:color="auto"/>
            </w:tcBorders>
            <w:shd w:val="clear" w:color="auto" w:fill="DBE5F1" w:themeFill="accent1" w:themeFillTint="33"/>
            <w:vAlign w:val="center"/>
          </w:tcPr>
          <w:p w14:paraId="20369E09" w14:textId="77777777" w:rsidR="00C73E2F" w:rsidRPr="00B50BEE" w:rsidRDefault="00C73E2F" w:rsidP="00C73E2F">
            <w:pPr>
              <w:tabs>
                <w:tab w:val="left" w:pos="556"/>
              </w:tabs>
              <w:spacing w:before="40" w:after="20"/>
              <w:ind w:left="657" w:hanging="544"/>
              <w:rPr>
                <w:rFonts w:cs="Arial"/>
                <w:b/>
                <w:bCs/>
                <w:sz w:val="18"/>
                <w:szCs w:val="18"/>
              </w:rPr>
            </w:pPr>
            <w:r w:rsidRPr="00B50BEE">
              <w:rPr>
                <w:rFonts w:cs="Arial"/>
                <w:b/>
                <w:bCs/>
                <w:sz w:val="18"/>
                <w:szCs w:val="18"/>
              </w:rPr>
              <w:t>Actividades Secundarias</w:t>
            </w:r>
          </w:p>
        </w:tc>
        <w:tc>
          <w:tcPr>
            <w:tcW w:w="406" w:type="pct"/>
            <w:tcBorders>
              <w:left w:val="single" w:sz="4" w:space="0" w:color="auto"/>
            </w:tcBorders>
            <w:shd w:val="clear" w:color="auto" w:fill="DBE5F1" w:themeFill="accent1" w:themeFillTint="33"/>
            <w:vAlign w:val="center"/>
          </w:tcPr>
          <w:p w14:paraId="5938522A" w14:textId="091679C0" w:rsidR="00C73E2F" w:rsidRDefault="00C73E2F" w:rsidP="00C73E2F">
            <w:pPr>
              <w:tabs>
                <w:tab w:val="decimal" w:pos="452"/>
              </w:tabs>
              <w:rPr>
                <w:rFonts w:cs="Arial"/>
                <w:b/>
                <w:color w:val="000000"/>
                <w:sz w:val="18"/>
                <w:szCs w:val="18"/>
              </w:rPr>
            </w:pPr>
            <w:r>
              <w:rPr>
                <w:rFonts w:cs="Arial"/>
                <w:b/>
                <w:bCs/>
                <w:sz w:val="16"/>
                <w:szCs w:val="16"/>
              </w:rPr>
              <w:t>3.0</w:t>
            </w:r>
          </w:p>
        </w:tc>
        <w:tc>
          <w:tcPr>
            <w:tcW w:w="421" w:type="pct"/>
            <w:tcBorders>
              <w:left w:val="nil"/>
            </w:tcBorders>
            <w:shd w:val="clear" w:color="auto" w:fill="DBE5F1" w:themeFill="accent1" w:themeFillTint="33"/>
            <w:vAlign w:val="center"/>
          </w:tcPr>
          <w:p w14:paraId="6391956F" w14:textId="200B5048" w:rsidR="00C73E2F" w:rsidRDefault="00C73E2F" w:rsidP="00C73E2F">
            <w:pPr>
              <w:tabs>
                <w:tab w:val="decimal" w:pos="452"/>
              </w:tabs>
              <w:rPr>
                <w:rFonts w:cs="Arial"/>
                <w:b/>
                <w:color w:val="000000"/>
                <w:sz w:val="18"/>
                <w:szCs w:val="18"/>
              </w:rPr>
            </w:pPr>
            <w:r>
              <w:rPr>
                <w:rFonts w:cs="Arial"/>
                <w:b/>
                <w:bCs/>
                <w:sz w:val="16"/>
                <w:szCs w:val="16"/>
              </w:rPr>
              <w:t>3.3</w:t>
            </w:r>
          </w:p>
        </w:tc>
        <w:tc>
          <w:tcPr>
            <w:tcW w:w="376" w:type="pct"/>
            <w:tcBorders>
              <w:left w:val="nil"/>
            </w:tcBorders>
            <w:shd w:val="clear" w:color="auto" w:fill="DBE5F1" w:themeFill="accent1" w:themeFillTint="33"/>
            <w:vAlign w:val="center"/>
          </w:tcPr>
          <w:p w14:paraId="31F8D1DB" w14:textId="2546ADD5" w:rsidR="00C73E2F" w:rsidRDefault="00C73E2F" w:rsidP="00C73E2F">
            <w:pPr>
              <w:tabs>
                <w:tab w:val="decimal" w:pos="452"/>
              </w:tabs>
              <w:rPr>
                <w:rFonts w:cs="Arial"/>
                <w:b/>
                <w:color w:val="000000"/>
                <w:sz w:val="18"/>
                <w:szCs w:val="18"/>
              </w:rPr>
            </w:pPr>
            <w:r>
              <w:rPr>
                <w:rFonts w:cs="Arial"/>
                <w:b/>
                <w:bCs/>
                <w:sz w:val="16"/>
                <w:szCs w:val="16"/>
              </w:rPr>
              <w:t>3.5</w:t>
            </w:r>
          </w:p>
        </w:tc>
        <w:tc>
          <w:tcPr>
            <w:tcW w:w="508" w:type="pct"/>
            <w:tcBorders>
              <w:left w:val="nil"/>
              <w:right w:val="nil"/>
            </w:tcBorders>
            <w:shd w:val="clear" w:color="auto" w:fill="DBE5F1" w:themeFill="accent1" w:themeFillTint="33"/>
            <w:vAlign w:val="center"/>
          </w:tcPr>
          <w:p w14:paraId="5FE287C3" w14:textId="40388A49" w:rsidR="00C73E2F" w:rsidRDefault="00C73E2F" w:rsidP="00C73E2F">
            <w:pPr>
              <w:tabs>
                <w:tab w:val="decimal" w:pos="452"/>
              </w:tabs>
              <w:rPr>
                <w:rFonts w:cs="Arial"/>
                <w:b/>
                <w:color w:val="000000"/>
                <w:sz w:val="18"/>
                <w:szCs w:val="18"/>
              </w:rPr>
            </w:pPr>
            <w:r>
              <w:rPr>
                <w:rFonts w:cs="Arial"/>
                <w:b/>
                <w:bCs/>
                <w:sz w:val="16"/>
                <w:szCs w:val="16"/>
              </w:rPr>
              <w:t>3.</w:t>
            </w:r>
            <w:r w:rsidR="00EE133D">
              <w:rPr>
                <w:rFonts w:cs="Arial"/>
                <w:b/>
                <w:bCs/>
                <w:sz w:val="16"/>
                <w:szCs w:val="16"/>
              </w:rPr>
              <w:t>1</w:t>
            </w:r>
          </w:p>
        </w:tc>
        <w:tc>
          <w:tcPr>
            <w:tcW w:w="499" w:type="pct"/>
            <w:tcBorders>
              <w:left w:val="nil"/>
              <w:right w:val="single" w:sz="4" w:space="0" w:color="auto"/>
            </w:tcBorders>
            <w:shd w:val="clear" w:color="auto" w:fill="DBE5F1" w:themeFill="accent1" w:themeFillTint="33"/>
            <w:vAlign w:val="center"/>
          </w:tcPr>
          <w:p w14:paraId="110EBA5A" w14:textId="1CE16180" w:rsidR="00C73E2F" w:rsidRDefault="00C73E2F" w:rsidP="00C73E2F">
            <w:pPr>
              <w:tabs>
                <w:tab w:val="decimal" w:pos="452"/>
              </w:tabs>
              <w:rPr>
                <w:rFonts w:cs="Arial"/>
                <w:b/>
                <w:color w:val="000000"/>
                <w:sz w:val="18"/>
                <w:szCs w:val="18"/>
              </w:rPr>
            </w:pPr>
            <w:r>
              <w:rPr>
                <w:rFonts w:cs="Arial"/>
                <w:b/>
                <w:bCs/>
                <w:sz w:val="16"/>
                <w:szCs w:val="16"/>
              </w:rPr>
              <w:t>3.</w:t>
            </w:r>
            <w:r w:rsidR="00EE133D">
              <w:rPr>
                <w:rFonts w:cs="Arial"/>
                <w:b/>
                <w:bCs/>
                <w:sz w:val="16"/>
                <w:szCs w:val="16"/>
              </w:rPr>
              <w:t>2</w:t>
            </w:r>
          </w:p>
        </w:tc>
        <w:tc>
          <w:tcPr>
            <w:tcW w:w="497" w:type="pct"/>
            <w:tcBorders>
              <w:left w:val="single" w:sz="4" w:space="0" w:color="auto"/>
              <w:right w:val="double" w:sz="6" w:space="0" w:color="auto"/>
            </w:tcBorders>
            <w:shd w:val="clear" w:color="auto" w:fill="DBE5F1" w:themeFill="accent1" w:themeFillTint="33"/>
            <w:vAlign w:val="center"/>
          </w:tcPr>
          <w:p w14:paraId="71348A6A" w14:textId="73E0FB8D" w:rsidR="00C73E2F" w:rsidRDefault="00EE133D" w:rsidP="00C73E2F">
            <w:pPr>
              <w:tabs>
                <w:tab w:val="decimal" w:pos="452"/>
              </w:tabs>
              <w:rPr>
                <w:rFonts w:cs="Arial"/>
                <w:b/>
                <w:bCs/>
                <w:sz w:val="16"/>
                <w:szCs w:val="16"/>
              </w:rPr>
            </w:pPr>
            <w:r>
              <w:rPr>
                <w:rFonts w:cs="Arial"/>
                <w:b/>
                <w:bCs/>
                <w:sz w:val="16"/>
                <w:szCs w:val="16"/>
              </w:rPr>
              <w:t>2.5</w:t>
            </w:r>
          </w:p>
        </w:tc>
      </w:tr>
      <w:tr w:rsidR="00C73E2F" w:rsidRPr="00B50BEE" w14:paraId="5848544A" w14:textId="07AEF188" w:rsidTr="00C73E2F">
        <w:trPr>
          <w:cantSplit/>
          <w:jc w:val="center"/>
        </w:trPr>
        <w:tc>
          <w:tcPr>
            <w:tcW w:w="2293" w:type="pct"/>
            <w:tcBorders>
              <w:left w:val="double" w:sz="6" w:space="0" w:color="auto"/>
              <w:right w:val="single" w:sz="4" w:space="0" w:color="auto"/>
            </w:tcBorders>
            <w:shd w:val="clear" w:color="auto" w:fill="auto"/>
            <w:vAlign w:val="center"/>
          </w:tcPr>
          <w:p w14:paraId="75A6E6CA" w14:textId="77777777" w:rsidR="00C73E2F" w:rsidRPr="00B50BEE" w:rsidRDefault="00C73E2F" w:rsidP="00C73E2F">
            <w:pPr>
              <w:tabs>
                <w:tab w:val="left" w:pos="667"/>
              </w:tabs>
              <w:spacing w:before="40" w:after="20"/>
              <w:ind w:left="657" w:hanging="544"/>
              <w:rPr>
                <w:rFonts w:cs="Arial"/>
                <w:sz w:val="18"/>
                <w:szCs w:val="18"/>
              </w:rPr>
            </w:pPr>
            <w:r w:rsidRPr="00B50BEE">
              <w:rPr>
                <w:rFonts w:cs="Arial"/>
                <w:sz w:val="18"/>
                <w:szCs w:val="18"/>
              </w:rPr>
              <w:t>21</w:t>
            </w:r>
            <w:r w:rsidRPr="00B50BEE">
              <w:rPr>
                <w:rFonts w:cs="Arial"/>
                <w:sz w:val="18"/>
                <w:szCs w:val="18"/>
              </w:rPr>
              <w:tab/>
              <w:t>Minería</w:t>
            </w:r>
          </w:p>
        </w:tc>
        <w:tc>
          <w:tcPr>
            <w:tcW w:w="406" w:type="pct"/>
            <w:tcBorders>
              <w:left w:val="single" w:sz="4" w:space="0" w:color="auto"/>
            </w:tcBorders>
            <w:vAlign w:val="center"/>
          </w:tcPr>
          <w:p w14:paraId="1C1F5766" w14:textId="2F6DCE91" w:rsidR="00C73E2F" w:rsidRDefault="00C73E2F" w:rsidP="00C73E2F">
            <w:pPr>
              <w:tabs>
                <w:tab w:val="decimal" w:pos="452"/>
              </w:tabs>
              <w:rPr>
                <w:rFonts w:cs="Arial"/>
                <w:color w:val="000000"/>
                <w:sz w:val="18"/>
                <w:szCs w:val="18"/>
              </w:rPr>
            </w:pPr>
            <w:r>
              <w:rPr>
                <w:rFonts w:cs="Arial"/>
                <w:sz w:val="16"/>
                <w:szCs w:val="16"/>
              </w:rPr>
              <w:t>1.4</w:t>
            </w:r>
          </w:p>
        </w:tc>
        <w:tc>
          <w:tcPr>
            <w:tcW w:w="421" w:type="pct"/>
            <w:tcBorders>
              <w:left w:val="nil"/>
            </w:tcBorders>
            <w:vAlign w:val="center"/>
          </w:tcPr>
          <w:p w14:paraId="2DCA0905" w14:textId="15F2BE4A" w:rsidR="00C73E2F" w:rsidRPr="006A5A9B" w:rsidRDefault="00C73E2F" w:rsidP="00C73E2F">
            <w:pPr>
              <w:tabs>
                <w:tab w:val="decimal" w:pos="452"/>
              </w:tabs>
              <w:rPr>
                <w:rFonts w:cs="Arial"/>
                <w:bCs/>
                <w:color w:val="000000"/>
                <w:sz w:val="18"/>
                <w:szCs w:val="18"/>
              </w:rPr>
            </w:pPr>
            <w:r>
              <w:rPr>
                <w:rFonts w:cs="Arial"/>
                <w:sz w:val="16"/>
                <w:szCs w:val="16"/>
              </w:rPr>
              <w:t>-0.1</w:t>
            </w:r>
          </w:p>
        </w:tc>
        <w:tc>
          <w:tcPr>
            <w:tcW w:w="376" w:type="pct"/>
            <w:tcBorders>
              <w:left w:val="nil"/>
            </w:tcBorders>
            <w:vAlign w:val="center"/>
          </w:tcPr>
          <w:p w14:paraId="1F6DD65A" w14:textId="2D5079D7" w:rsidR="00C73E2F" w:rsidRDefault="00C73E2F" w:rsidP="00C73E2F">
            <w:pPr>
              <w:tabs>
                <w:tab w:val="decimal" w:pos="452"/>
              </w:tabs>
              <w:rPr>
                <w:rFonts w:cs="Arial"/>
                <w:color w:val="000000"/>
                <w:sz w:val="18"/>
                <w:szCs w:val="18"/>
              </w:rPr>
            </w:pPr>
            <w:r>
              <w:rPr>
                <w:rFonts w:cs="Arial"/>
                <w:sz w:val="16"/>
                <w:szCs w:val="16"/>
              </w:rPr>
              <w:t>-0.9</w:t>
            </w:r>
          </w:p>
        </w:tc>
        <w:tc>
          <w:tcPr>
            <w:tcW w:w="508" w:type="pct"/>
            <w:tcBorders>
              <w:left w:val="nil"/>
              <w:right w:val="nil"/>
            </w:tcBorders>
            <w:vAlign w:val="center"/>
          </w:tcPr>
          <w:p w14:paraId="7ADE48A2" w14:textId="6B337648" w:rsidR="00C73E2F" w:rsidRDefault="00C73E2F" w:rsidP="00C73E2F">
            <w:pPr>
              <w:tabs>
                <w:tab w:val="decimal" w:pos="452"/>
              </w:tabs>
              <w:rPr>
                <w:rFonts w:cs="Arial"/>
                <w:color w:val="000000"/>
                <w:sz w:val="18"/>
                <w:szCs w:val="18"/>
              </w:rPr>
            </w:pPr>
            <w:r>
              <w:rPr>
                <w:rFonts w:cs="Arial"/>
                <w:sz w:val="16"/>
                <w:szCs w:val="16"/>
              </w:rPr>
              <w:t>0.3</w:t>
            </w:r>
          </w:p>
        </w:tc>
        <w:tc>
          <w:tcPr>
            <w:tcW w:w="499" w:type="pct"/>
            <w:tcBorders>
              <w:left w:val="nil"/>
              <w:right w:val="single" w:sz="4" w:space="0" w:color="auto"/>
            </w:tcBorders>
            <w:vAlign w:val="center"/>
          </w:tcPr>
          <w:p w14:paraId="642DDA66" w14:textId="7ACC9C8C" w:rsidR="00C73E2F" w:rsidRDefault="00C73E2F" w:rsidP="00C73E2F">
            <w:pPr>
              <w:tabs>
                <w:tab w:val="decimal" w:pos="452"/>
              </w:tabs>
              <w:rPr>
                <w:rFonts w:cs="Arial"/>
                <w:color w:val="000000"/>
                <w:sz w:val="18"/>
                <w:szCs w:val="18"/>
              </w:rPr>
            </w:pPr>
            <w:r>
              <w:rPr>
                <w:rFonts w:cs="Arial"/>
                <w:sz w:val="16"/>
                <w:szCs w:val="16"/>
              </w:rPr>
              <w:t>0.2</w:t>
            </w:r>
          </w:p>
        </w:tc>
        <w:tc>
          <w:tcPr>
            <w:tcW w:w="497" w:type="pct"/>
            <w:tcBorders>
              <w:left w:val="single" w:sz="4" w:space="0" w:color="auto"/>
              <w:right w:val="double" w:sz="6" w:space="0" w:color="auto"/>
            </w:tcBorders>
            <w:vAlign w:val="center"/>
          </w:tcPr>
          <w:p w14:paraId="5D74ACF8" w14:textId="7F1F2750" w:rsidR="00C73E2F" w:rsidRDefault="00EE133D" w:rsidP="00C73E2F">
            <w:pPr>
              <w:tabs>
                <w:tab w:val="decimal" w:pos="452"/>
              </w:tabs>
              <w:rPr>
                <w:rFonts w:cs="Arial"/>
                <w:sz w:val="16"/>
                <w:szCs w:val="16"/>
              </w:rPr>
            </w:pPr>
            <w:r>
              <w:rPr>
                <w:rFonts w:cs="Arial"/>
                <w:sz w:val="16"/>
                <w:szCs w:val="16"/>
              </w:rPr>
              <w:t>1.7</w:t>
            </w:r>
          </w:p>
        </w:tc>
      </w:tr>
      <w:tr w:rsidR="00C73E2F" w:rsidRPr="00B50BEE" w14:paraId="20BDB406" w14:textId="601C99A2" w:rsidTr="00C73E2F">
        <w:trPr>
          <w:cantSplit/>
          <w:jc w:val="center"/>
        </w:trPr>
        <w:tc>
          <w:tcPr>
            <w:tcW w:w="2293" w:type="pct"/>
            <w:tcBorders>
              <w:left w:val="double" w:sz="6" w:space="0" w:color="auto"/>
              <w:right w:val="single" w:sz="4" w:space="0" w:color="auto"/>
            </w:tcBorders>
            <w:shd w:val="clear" w:color="auto" w:fill="DBE5F1" w:themeFill="accent1" w:themeFillTint="33"/>
            <w:vAlign w:val="center"/>
          </w:tcPr>
          <w:p w14:paraId="69D67C5D" w14:textId="77777777" w:rsidR="00C73E2F" w:rsidRPr="00B50BEE" w:rsidRDefault="00C73E2F" w:rsidP="00C73E2F">
            <w:pPr>
              <w:tabs>
                <w:tab w:val="left" w:pos="897"/>
              </w:tabs>
              <w:spacing w:before="40" w:after="20"/>
              <w:rPr>
                <w:rFonts w:cs="Arial"/>
                <w:sz w:val="18"/>
                <w:szCs w:val="18"/>
              </w:rPr>
            </w:pPr>
            <w:r w:rsidRPr="00B50BEE">
              <w:rPr>
                <w:rFonts w:cs="Arial"/>
                <w:sz w:val="18"/>
                <w:szCs w:val="18"/>
              </w:rPr>
              <w:tab/>
              <w:t>Petrolera</w:t>
            </w:r>
          </w:p>
        </w:tc>
        <w:tc>
          <w:tcPr>
            <w:tcW w:w="406" w:type="pct"/>
            <w:tcBorders>
              <w:left w:val="single" w:sz="4" w:space="0" w:color="auto"/>
            </w:tcBorders>
            <w:shd w:val="clear" w:color="auto" w:fill="DBE5F1" w:themeFill="accent1" w:themeFillTint="33"/>
            <w:vAlign w:val="center"/>
          </w:tcPr>
          <w:p w14:paraId="3D5BE4A3" w14:textId="29109EEB" w:rsidR="00C73E2F" w:rsidRDefault="00C73E2F" w:rsidP="00C73E2F">
            <w:pPr>
              <w:tabs>
                <w:tab w:val="decimal" w:pos="452"/>
              </w:tabs>
              <w:rPr>
                <w:rFonts w:cs="Arial"/>
                <w:color w:val="000000"/>
                <w:sz w:val="18"/>
                <w:szCs w:val="18"/>
              </w:rPr>
            </w:pPr>
            <w:r>
              <w:rPr>
                <w:rFonts w:cs="Arial"/>
                <w:sz w:val="16"/>
                <w:szCs w:val="16"/>
              </w:rPr>
              <w:t>-0.8</w:t>
            </w:r>
          </w:p>
        </w:tc>
        <w:tc>
          <w:tcPr>
            <w:tcW w:w="421" w:type="pct"/>
            <w:tcBorders>
              <w:left w:val="nil"/>
            </w:tcBorders>
            <w:shd w:val="clear" w:color="auto" w:fill="DBE5F1" w:themeFill="accent1" w:themeFillTint="33"/>
            <w:vAlign w:val="center"/>
          </w:tcPr>
          <w:p w14:paraId="4394ACEC" w14:textId="019B119D" w:rsidR="00C73E2F" w:rsidRPr="006A5A9B" w:rsidRDefault="00C73E2F" w:rsidP="00C73E2F">
            <w:pPr>
              <w:tabs>
                <w:tab w:val="decimal" w:pos="452"/>
              </w:tabs>
              <w:rPr>
                <w:rFonts w:cs="Arial"/>
                <w:bCs/>
                <w:color w:val="000000"/>
                <w:sz w:val="18"/>
                <w:szCs w:val="18"/>
              </w:rPr>
            </w:pPr>
            <w:r>
              <w:rPr>
                <w:rFonts w:cs="Arial"/>
                <w:sz w:val="16"/>
                <w:szCs w:val="16"/>
              </w:rPr>
              <w:t>-2.6</w:t>
            </w:r>
          </w:p>
        </w:tc>
        <w:tc>
          <w:tcPr>
            <w:tcW w:w="376" w:type="pct"/>
            <w:tcBorders>
              <w:left w:val="nil"/>
            </w:tcBorders>
            <w:shd w:val="clear" w:color="auto" w:fill="DBE5F1" w:themeFill="accent1" w:themeFillTint="33"/>
            <w:vAlign w:val="center"/>
          </w:tcPr>
          <w:p w14:paraId="44EC1FEA" w14:textId="45835AA4" w:rsidR="00C73E2F" w:rsidRDefault="00C73E2F" w:rsidP="00C73E2F">
            <w:pPr>
              <w:tabs>
                <w:tab w:val="decimal" w:pos="452"/>
              </w:tabs>
              <w:rPr>
                <w:rFonts w:cs="Arial"/>
                <w:color w:val="000000"/>
                <w:sz w:val="18"/>
                <w:szCs w:val="18"/>
              </w:rPr>
            </w:pPr>
            <w:r>
              <w:rPr>
                <w:rFonts w:cs="Arial"/>
                <w:sz w:val="16"/>
                <w:szCs w:val="16"/>
              </w:rPr>
              <w:t>-0.3</w:t>
            </w:r>
          </w:p>
        </w:tc>
        <w:tc>
          <w:tcPr>
            <w:tcW w:w="508" w:type="pct"/>
            <w:tcBorders>
              <w:left w:val="nil"/>
              <w:right w:val="nil"/>
            </w:tcBorders>
            <w:shd w:val="clear" w:color="auto" w:fill="DBE5F1" w:themeFill="accent1" w:themeFillTint="33"/>
            <w:vAlign w:val="center"/>
          </w:tcPr>
          <w:p w14:paraId="4C1CFA78" w14:textId="3B139B06" w:rsidR="00C73E2F" w:rsidRDefault="00C73E2F" w:rsidP="00C73E2F">
            <w:pPr>
              <w:tabs>
                <w:tab w:val="decimal" w:pos="452"/>
              </w:tabs>
              <w:rPr>
                <w:rFonts w:cs="Arial"/>
                <w:color w:val="000000"/>
                <w:sz w:val="18"/>
                <w:szCs w:val="18"/>
              </w:rPr>
            </w:pPr>
            <w:r>
              <w:rPr>
                <w:rFonts w:cs="Arial"/>
                <w:sz w:val="16"/>
                <w:szCs w:val="16"/>
              </w:rPr>
              <w:t>-1.1</w:t>
            </w:r>
          </w:p>
        </w:tc>
        <w:tc>
          <w:tcPr>
            <w:tcW w:w="499" w:type="pct"/>
            <w:tcBorders>
              <w:left w:val="nil"/>
              <w:right w:val="single" w:sz="4" w:space="0" w:color="auto"/>
            </w:tcBorders>
            <w:shd w:val="clear" w:color="auto" w:fill="DBE5F1" w:themeFill="accent1" w:themeFillTint="33"/>
            <w:vAlign w:val="center"/>
          </w:tcPr>
          <w:p w14:paraId="4D8D3703" w14:textId="6047F973" w:rsidR="00C73E2F" w:rsidRDefault="00C73E2F" w:rsidP="00C73E2F">
            <w:pPr>
              <w:tabs>
                <w:tab w:val="decimal" w:pos="452"/>
              </w:tabs>
              <w:rPr>
                <w:rFonts w:cs="Arial"/>
                <w:color w:val="000000"/>
                <w:sz w:val="18"/>
                <w:szCs w:val="18"/>
              </w:rPr>
            </w:pPr>
            <w:r>
              <w:rPr>
                <w:rFonts w:cs="Arial"/>
                <w:sz w:val="16"/>
                <w:szCs w:val="16"/>
              </w:rPr>
              <w:t>-1.2</w:t>
            </w:r>
          </w:p>
        </w:tc>
        <w:tc>
          <w:tcPr>
            <w:tcW w:w="497" w:type="pct"/>
            <w:tcBorders>
              <w:left w:val="single" w:sz="4" w:space="0" w:color="auto"/>
              <w:right w:val="double" w:sz="6" w:space="0" w:color="auto"/>
            </w:tcBorders>
            <w:shd w:val="clear" w:color="auto" w:fill="DBE5F1" w:themeFill="accent1" w:themeFillTint="33"/>
            <w:vAlign w:val="center"/>
          </w:tcPr>
          <w:p w14:paraId="443EB923" w14:textId="69341F0C" w:rsidR="00C73E2F" w:rsidRDefault="00C73E2F" w:rsidP="00C73E2F">
            <w:pPr>
              <w:tabs>
                <w:tab w:val="decimal" w:pos="452"/>
              </w:tabs>
              <w:rPr>
                <w:rFonts w:cs="Arial"/>
                <w:sz w:val="16"/>
                <w:szCs w:val="16"/>
              </w:rPr>
            </w:pPr>
            <w:r>
              <w:rPr>
                <w:rFonts w:cs="Arial"/>
                <w:sz w:val="16"/>
                <w:szCs w:val="16"/>
              </w:rPr>
              <w:t>1.2</w:t>
            </w:r>
          </w:p>
        </w:tc>
      </w:tr>
      <w:tr w:rsidR="00C73E2F" w:rsidRPr="00B50BEE" w14:paraId="065B8CA1" w14:textId="35515306" w:rsidTr="00C73E2F">
        <w:trPr>
          <w:cantSplit/>
          <w:jc w:val="center"/>
        </w:trPr>
        <w:tc>
          <w:tcPr>
            <w:tcW w:w="2293" w:type="pct"/>
            <w:tcBorders>
              <w:left w:val="double" w:sz="6" w:space="0" w:color="auto"/>
              <w:right w:val="single" w:sz="4" w:space="0" w:color="auto"/>
            </w:tcBorders>
            <w:shd w:val="clear" w:color="auto" w:fill="auto"/>
            <w:vAlign w:val="center"/>
          </w:tcPr>
          <w:p w14:paraId="28B00D64" w14:textId="77777777" w:rsidR="00C73E2F" w:rsidRPr="00B50BEE" w:rsidRDefault="00C73E2F" w:rsidP="00C73E2F">
            <w:pPr>
              <w:tabs>
                <w:tab w:val="left" w:pos="897"/>
              </w:tabs>
              <w:spacing w:before="40" w:after="20"/>
              <w:rPr>
                <w:rFonts w:cs="Arial"/>
                <w:sz w:val="18"/>
                <w:szCs w:val="18"/>
              </w:rPr>
            </w:pPr>
            <w:r w:rsidRPr="00B50BEE">
              <w:rPr>
                <w:rFonts w:cs="Arial"/>
                <w:sz w:val="18"/>
                <w:szCs w:val="18"/>
              </w:rPr>
              <w:tab/>
              <w:t>No petrolera</w:t>
            </w:r>
          </w:p>
        </w:tc>
        <w:tc>
          <w:tcPr>
            <w:tcW w:w="406" w:type="pct"/>
            <w:tcBorders>
              <w:left w:val="single" w:sz="4" w:space="0" w:color="auto"/>
            </w:tcBorders>
            <w:shd w:val="clear" w:color="auto" w:fill="auto"/>
            <w:vAlign w:val="center"/>
          </w:tcPr>
          <w:p w14:paraId="21782FEE" w14:textId="27FDB059" w:rsidR="00C73E2F" w:rsidRPr="00A719A2" w:rsidRDefault="00C73E2F" w:rsidP="00C73E2F">
            <w:pPr>
              <w:tabs>
                <w:tab w:val="decimal" w:pos="452"/>
              </w:tabs>
              <w:rPr>
                <w:rFonts w:cs="Arial"/>
                <w:sz w:val="18"/>
                <w:szCs w:val="18"/>
              </w:rPr>
            </w:pPr>
            <w:r>
              <w:rPr>
                <w:rFonts w:cs="Arial"/>
                <w:sz w:val="16"/>
                <w:szCs w:val="16"/>
              </w:rPr>
              <w:t>6.3</w:t>
            </w:r>
          </w:p>
        </w:tc>
        <w:tc>
          <w:tcPr>
            <w:tcW w:w="421" w:type="pct"/>
            <w:tcBorders>
              <w:left w:val="nil"/>
            </w:tcBorders>
            <w:shd w:val="clear" w:color="auto" w:fill="auto"/>
            <w:vAlign w:val="center"/>
          </w:tcPr>
          <w:p w14:paraId="4CCF65D2" w14:textId="66246EA2" w:rsidR="00C73E2F" w:rsidRPr="006A5A9B" w:rsidRDefault="00C73E2F" w:rsidP="00C73E2F">
            <w:pPr>
              <w:tabs>
                <w:tab w:val="decimal" w:pos="452"/>
              </w:tabs>
              <w:rPr>
                <w:rFonts w:cs="Arial"/>
                <w:bCs/>
                <w:sz w:val="18"/>
                <w:szCs w:val="18"/>
              </w:rPr>
            </w:pPr>
            <w:r>
              <w:rPr>
                <w:rFonts w:cs="Arial"/>
                <w:sz w:val="16"/>
                <w:szCs w:val="16"/>
              </w:rPr>
              <w:t>5.6</w:t>
            </w:r>
          </w:p>
        </w:tc>
        <w:tc>
          <w:tcPr>
            <w:tcW w:w="376" w:type="pct"/>
            <w:tcBorders>
              <w:left w:val="nil"/>
            </w:tcBorders>
            <w:shd w:val="clear" w:color="auto" w:fill="auto"/>
            <w:vAlign w:val="center"/>
          </w:tcPr>
          <w:p w14:paraId="2AC3A20E" w14:textId="6FC15CCC" w:rsidR="00C73E2F" w:rsidRDefault="00C73E2F" w:rsidP="00C73E2F">
            <w:pPr>
              <w:tabs>
                <w:tab w:val="decimal" w:pos="452"/>
              </w:tabs>
              <w:rPr>
                <w:rFonts w:cs="Arial"/>
                <w:sz w:val="18"/>
                <w:szCs w:val="18"/>
              </w:rPr>
            </w:pPr>
            <w:r>
              <w:rPr>
                <w:rFonts w:cs="Arial"/>
                <w:sz w:val="16"/>
                <w:szCs w:val="16"/>
              </w:rPr>
              <w:t>-2.3</w:t>
            </w:r>
          </w:p>
        </w:tc>
        <w:tc>
          <w:tcPr>
            <w:tcW w:w="508" w:type="pct"/>
            <w:tcBorders>
              <w:left w:val="nil"/>
              <w:right w:val="nil"/>
            </w:tcBorders>
            <w:vAlign w:val="center"/>
          </w:tcPr>
          <w:p w14:paraId="386BE609" w14:textId="589277BE" w:rsidR="00C73E2F" w:rsidRDefault="00C73E2F" w:rsidP="00C73E2F">
            <w:pPr>
              <w:tabs>
                <w:tab w:val="decimal" w:pos="452"/>
              </w:tabs>
              <w:rPr>
                <w:rFonts w:cs="Arial"/>
                <w:sz w:val="18"/>
                <w:szCs w:val="18"/>
              </w:rPr>
            </w:pPr>
            <w:r>
              <w:rPr>
                <w:rFonts w:cs="Arial"/>
                <w:sz w:val="16"/>
                <w:szCs w:val="16"/>
              </w:rPr>
              <w:t>3.5</w:t>
            </w:r>
          </w:p>
        </w:tc>
        <w:tc>
          <w:tcPr>
            <w:tcW w:w="499" w:type="pct"/>
            <w:tcBorders>
              <w:left w:val="nil"/>
              <w:right w:val="single" w:sz="4" w:space="0" w:color="auto"/>
            </w:tcBorders>
            <w:shd w:val="clear" w:color="auto" w:fill="auto"/>
            <w:vAlign w:val="center"/>
          </w:tcPr>
          <w:p w14:paraId="182CB719" w14:textId="70B53045" w:rsidR="00C73E2F" w:rsidRPr="00A719A2" w:rsidRDefault="00C73E2F" w:rsidP="00C73E2F">
            <w:pPr>
              <w:tabs>
                <w:tab w:val="decimal" w:pos="452"/>
              </w:tabs>
              <w:rPr>
                <w:rFonts w:cs="Arial"/>
                <w:sz w:val="18"/>
                <w:szCs w:val="18"/>
              </w:rPr>
            </w:pPr>
            <w:r>
              <w:rPr>
                <w:rFonts w:cs="Arial"/>
                <w:sz w:val="16"/>
                <w:szCs w:val="16"/>
              </w:rPr>
              <w:t>3.3</w:t>
            </w:r>
          </w:p>
        </w:tc>
        <w:tc>
          <w:tcPr>
            <w:tcW w:w="497" w:type="pct"/>
            <w:tcBorders>
              <w:left w:val="single" w:sz="4" w:space="0" w:color="auto"/>
              <w:right w:val="double" w:sz="6" w:space="0" w:color="auto"/>
            </w:tcBorders>
            <w:vAlign w:val="center"/>
          </w:tcPr>
          <w:p w14:paraId="0BEAE8D2" w14:textId="6990F34B" w:rsidR="00C73E2F" w:rsidRDefault="00C45B60" w:rsidP="00C73E2F">
            <w:pPr>
              <w:tabs>
                <w:tab w:val="decimal" w:pos="452"/>
              </w:tabs>
              <w:rPr>
                <w:rFonts w:cs="Arial"/>
                <w:sz w:val="16"/>
                <w:szCs w:val="16"/>
              </w:rPr>
            </w:pPr>
            <w:r>
              <w:rPr>
                <w:rFonts w:cs="Arial"/>
                <w:sz w:val="16"/>
                <w:szCs w:val="16"/>
              </w:rPr>
              <w:t>2.7</w:t>
            </w:r>
          </w:p>
        </w:tc>
      </w:tr>
      <w:tr w:rsidR="00C73E2F" w:rsidRPr="00B50BEE" w14:paraId="7A07CB6E" w14:textId="4DF27962" w:rsidTr="00C73E2F">
        <w:trPr>
          <w:cantSplit/>
          <w:jc w:val="center"/>
        </w:trPr>
        <w:tc>
          <w:tcPr>
            <w:tcW w:w="2293" w:type="pct"/>
            <w:tcBorders>
              <w:left w:val="double" w:sz="6" w:space="0" w:color="auto"/>
              <w:right w:val="single" w:sz="4" w:space="0" w:color="auto"/>
            </w:tcBorders>
            <w:shd w:val="clear" w:color="auto" w:fill="DBE5F1" w:themeFill="accent1" w:themeFillTint="33"/>
            <w:vAlign w:val="center"/>
          </w:tcPr>
          <w:p w14:paraId="012EAB8C" w14:textId="77777777" w:rsidR="00C73E2F" w:rsidRPr="00B50BEE" w:rsidRDefault="00C73E2F" w:rsidP="00C73E2F">
            <w:pPr>
              <w:tabs>
                <w:tab w:val="left" w:pos="667"/>
              </w:tabs>
              <w:spacing w:before="40" w:after="20"/>
              <w:ind w:left="657" w:hanging="544"/>
              <w:rPr>
                <w:rFonts w:cs="Arial"/>
                <w:sz w:val="18"/>
                <w:szCs w:val="18"/>
              </w:rPr>
            </w:pPr>
            <w:r w:rsidRPr="00B50BEE">
              <w:rPr>
                <w:rFonts w:cs="Arial"/>
                <w:sz w:val="18"/>
                <w:szCs w:val="18"/>
              </w:rPr>
              <w:t>22</w:t>
            </w:r>
            <w:r w:rsidRPr="00B50BEE">
              <w:rPr>
                <w:rFonts w:cs="Arial"/>
                <w:sz w:val="18"/>
                <w:szCs w:val="18"/>
              </w:rPr>
              <w:tab/>
              <w:t>Generación, transmisión y distribución de energía eléctrica, suministro de agua y de gas por ductos al consumidor final</w:t>
            </w:r>
          </w:p>
        </w:tc>
        <w:tc>
          <w:tcPr>
            <w:tcW w:w="406" w:type="pct"/>
            <w:tcBorders>
              <w:left w:val="single" w:sz="4" w:space="0" w:color="auto"/>
            </w:tcBorders>
            <w:shd w:val="clear" w:color="auto" w:fill="DBE5F1" w:themeFill="accent1" w:themeFillTint="33"/>
            <w:vAlign w:val="center"/>
          </w:tcPr>
          <w:p w14:paraId="415D8249" w14:textId="47843A38" w:rsidR="00C73E2F" w:rsidRDefault="00C73E2F" w:rsidP="00C73E2F">
            <w:pPr>
              <w:tabs>
                <w:tab w:val="decimal" w:pos="452"/>
              </w:tabs>
              <w:rPr>
                <w:rFonts w:cs="Arial"/>
                <w:color w:val="000000"/>
                <w:sz w:val="18"/>
                <w:szCs w:val="18"/>
              </w:rPr>
            </w:pPr>
            <w:r>
              <w:rPr>
                <w:rFonts w:cs="Arial"/>
                <w:sz w:val="16"/>
                <w:szCs w:val="16"/>
              </w:rPr>
              <w:t>1.2</w:t>
            </w:r>
          </w:p>
        </w:tc>
        <w:tc>
          <w:tcPr>
            <w:tcW w:w="421" w:type="pct"/>
            <w:tcBorders>
              <w:left w:val="nil"/>
            </w:tcBorders>
            <w:shd w:val="clear" w:color="auto" w:fill="DBE5F1" w:themeFill="accent1" w:themeFillTint="33"/>
            <w:vAlign w:val="center"/>
          </w:tcPr>
          <w:p w14:paraId="56CA2EA2" w14:textId="23723A75" w:rsidR="00C73E2F" w:rsidRPr="006A5A9B" w:rsidRDefault="00C73E2F" w:rsidP="00C73E2F">
            <w:pPr>
              <w:tabs>
                <w:tab w:val="decimal" w:pos="452"/>
              </w:tabs>
              <w:rPr>
                <w:rFonts w:cs="Arial"/>
                <w:bCs/>
                <w:color w:val="000000"/>
                <w:sz w:val="18"/>
                <w:szCs w:val="18"/>
              </w:rPr>
            </w:pPr>
            <w:r>
              <w:rPr>
                <w:rFonts w:cs="Arial"/>
                <w:sz w:val="16"/>
                <w:szCs w:val="16"/>
              </w:rPr>
              <w:t>4.1</w:t>
            </w:r>
          </w:p>
        </w:tc>
        <w:tc>
          <w:tcPr>
            <w:tcW w:w="376" w:type="pct"/>
            <w:tcBorders>
              <w:left w:val="nil"/>
            </w:tcBorders>
            <w:shd w:val="clear" w:color="auto" w:fill="DBE5F1" w:themeFill="accent1" w:themeFillTint="33"/>
            <w:vAlign w:val="center"/>
          </w:tcPr>
          <w:p w14:paraId="06B03DEE" w14:textId="63994F06" w:rsidR="00C73E2F" w:rsidRDefault="00C73E2F" w:rsidP="00C73E2F">
            <w:pPr>
              <w:tabs>
                <w:tab w:val="decimal" w:pos="452"/>
              </w:tabs>
              <w:rPr>
                <w:rFonts w:cs="Arial"/>
                <w:color w:val="000000"/>
                <w:sz w:val="18"/>
                <w:szCs w:val="18"/>
              </w:rPr>
            </w:pPr>
            <w:r>
              <w:rPr>
                <w:rFonts w:cs="Arial"/>
                <w:sz w:val="16"/>
                <w:szCs w:val="16"/>
              </w:rPr>
              <w:t>4.9</w:t>
            </w:r>
          </w:p>
        </w:tc>
        <w:tc>
          <w:tcPr>
            <w:tcW w:w="508" w:type="pct"/>
            <w:tcBorders>
              <w:left w:val="nil"/>
              <w:right w:val="nil"/>
            </w:tcBorders>
            <w:shd w:val="clear" w:color="auto" w:fill="DBE5F1" w:themeFill="accent1" w:themeFillTint="33"/>
            <w:vAlign w:val="center"/>
          </w:tcPr>
          <w:p w14:paraId="1BC9AFE8" w14:textId="4F5AC02D" w:rsidR="00C73E2F" w:rsidRDefault="00C73E2F" w:rsidP="00C73E2F">
            <w:pPr>
              <w:tabs>
                <w:tab w:val="decimal" w:pos="452"/>
              </w:tabs>
              <w:rPr>
                <w:rFonts w:cs="Arial"/>
                <w:color w:val="000000"/>
                <w:sz w:val="18"/>
                <w:szCs w:val="18"/>
              </w:rPr>
            </w:pPr>
            <w:r>
              <w:rPr>
                <w:rFonts w:cs="Arial"/>
                <w:sz w:val="16"/>
                <w:szCs w:val="16"/>
              </w:rPr>
              <w:t>3.9</w:t>
            </w:r>
          </w:p>
        </w:tc>
        <w:tc>
          <w:tcPr>
            <w:tcW w:w="499" w:type="pct"/>
            <w:tcBorders>
              <w:left w:val="nil"/>
              <w:right w:val="single" w:sz="4" w:space="0" w:color="auto"/>
            </w:tcBorders>
            <w:shd w:val="clear" w:color="auto" w:fill="DBE5F1" w:themeFill="accent1" w:themeFillTint="33"/>
            <w:vAlign w:val="center"/>
          </w:tcPr>
          <w:p w14:paraId="6C156C64" w14:textId="0F6A9BEA" w:rsidR="00C73E2F" w:rsidRDefault="00C73E2F" w:rsidP="00C73E2F">
            <w:pPr>
              <w:tabs>
                <w:tab w:val="decimal" w:pos="452"/>
              </w:tabs>
              <w:rPr>
                <w:rFonts w:cs="Arial"/>
                <w:color w:val="000000"/>
                <w:sz w:val="18"/>
                <w:szCs w:val="18"/>
              </w:rPr>
            </w:pPr>
            <w:r>
              <w:rPr>
                <w:rFonts w:cs="Arial"/>
                <w:sz w:val="16"/>
                <w:szCs w:val="16"/>
              </w:rPr>
              <w:t>3.6</w:t>
            </w:r>
          </w:p>
        </w:tc>
        <w:tc>
          <w:tcPr>
            <w:tcW w:w="497" w:type="pct"/>
            <w:tcBorders>
              <w:left w:val="single" w:sz="4" w:space="0" w:color="auto"/>
              <w:right w:val="double" w:sz="6" w:space="0" w:color="auto"/>
            </w:tcBorders>
            <w:shd w:val="clear" w:color="auto" w:fill="DBE5F1" w:themeFill="accent1" w:themeFillTint="33"/>
            <w:vAlign w:val="center"/>
          </w:tcPr>
          <w:p w14:paraId="6A278E2C" w14:textId="5B550FD3" w:rsidR="00C73E2F" w:rsidRDefault="00EE133D" w:rsidP="00C73E2F">
            <w:pPr>
              <w:tabs>
                <w:tab w:val="decimal" w:pos="452"/>
              </w:tabs>
              <w:rPr>
                <w:rFonts w:cs="Arial"/>
                <w:sz w:val="16"/>
                <w:szCs w:val="16"/>
              </w:rPr>
            </w:pPr>
            <w:r>
              <w:rPr>
                <w:rFonts w:cs="Arial"/>
                <w:sz w:val="16"/>
                <w:szCs w:val="16"/>
              </w:rPr>
              <w:t>4.3</w:t>
            </w:r>
          </w:p>
        </w:tc>
      </w:tr>
      <w:tr w:rsidR="00C73E2F" w:rsidRPr="00B50BEE" w14:paraId="2BD741CE" w14:textId="0A862B91" w:rsidTr="00C73E2F">
        <w:trPr>
          <w:cantSplit/>
          <w:jc w:val="center"/>
        </w:trPr>
        <w:tc>
          <w:tcPr>
            <w:tcW w:w="2293" w:type="pct"/>
            <w:tcBorders>
              <w:left w:val="double" w:sz="6" w:space="0" w:color="auto"/>
              <w:right w:val="single" w:sz="4" w:space="0" w:color="auto"/>
            </w:tcBorders>
            <w:shd w:val="clear" w:color="auto" w:fill="auto"/>
            <w:vAlign w:val="center"/>
          </w:tcPr>
          <w:p w14:paraId="18144355" w14:textId="77777777" w:rsidR="00C73E2F" w:rsidRPr="00B50BEE" w:rsidRDefault="00C73E2F" w:rsidP="00C73E2F">
            <w:pPr>
              <w:tabs>
                <w:tab w:val="left" w:pos="667"/>
              </w:tabs>
              <w:spacing w:before="40" w:after="20"/>
              <w:ind w:left="657" w:hanging="544"/>
              <w:rPr>
                <w:rFonts w:cs="Arial"/>
                <w:sz w:val="18"/>
                <w:szCs w:val="18"/>
              </w:rPr>
            </w:pPr>
            <w:r w:rsidRPr="00B50BEE">
              <w:rPr>
                <w:rFonts w:cs="Arial"/>
                <w:sz w:val="18"/>
                <w:szCs w:val="18"/>
              </w:rPr>
              <w:t>23</w:t>
            </w:r>
            <w:r w:rsidRPr="00B50BEE">
              <w:rPr>
                <w:rFonts w:cs="Arial"/>
                <w:sz w:val="18"/>
                <w:szCs w:val="18"/>
              </w:rPr>
              <w:tab/>
              <w:t xml:space="preserve">Construcción </w:t>
            </w:r>
          </w:p>
        </w:tc>
        <w:tc>
          <w:tcPr>
            <w:tcW w:w="406" w:type="pct"/>
            <w:tcBorders>
              <w:left w:val="single" w:sz="4" w:space="0" w:color="auto"/>
            </w:tcBorders>
            <w:vAlign w:val="center"/>
          </w:tcPr>
          <w:p w14:paraId="522625DB" w14:textId="4AFDE3E3" w:rsidR="00C73E2F" w:rsidRDefault="00C73E2F" w:rsidP="00C73E2F">
            <w:pPr>
              <w:tabs>
                <w:tab w:val="decimal" w:pos="452"/>
              </w:tabs>
              <w:rPr>
                <w:rFonts w:cs="Arial"/>
                <w:color w:val="000000"/>
                <w:sz w:val="18"/>
                <w:szCs w:val="18"/>
              </w:rPr>
            </w:pPr>
            <w:r>
              <w:rPr>
                <w:rFonts w:cs="Arial"/>
                <w:sz w:val="16"/>
                <w:szCs w:val="16"/>
              </w:rPr>
              <w:t>1.</w:t>
            </w:r>
            <w:r w:rsidR="00EE133D">
              <w:rPr>
                <w:rFonts w:cs="Arial"/>
                <w:sz w:val="16"/>
                <w:szCs w:val="16"/>
              </w:rPr>
              <w:t>1</w:t>
            </w:r>
          </w:p>
        </w:tc>
        <w:tc>
          <w:tcPr>
            <w:tcW w:w="421" w:type="pct"/>
            <w:tcBorders>
              <w:left w:val="nil"/>
            </w:tcBorders>
            <w:vAlign w:val="center"/>
          </w:tcPr>
          <w:p w14:paraId="3515361A" w14:textId="4AC23F0B" w:rsidR="00C73E2F" w:rsidRPr="006A5A9B" w:rsidRDefault="00C73E2F" w:rsidP="00C73E2F">
            <w:pPr>
              <w:tabs>
                <w:tab w:val="decimal" w:pos="452"/>
              </w:tabs>
              <w:rPr>
                <w:rFonts w:cs="Arial"/>
                <w:bCs/>
                <w:color w:val="000000"/>
                <w:sz w:val="18"/>
                <w:szCs w:val="18"/>
              </w:rPr>
            </w:pPr>
            <w:r>
              <w:rPr>
                <w:rFonts w:cs="Arial"/>
                <w:sz w:val="16"/>
                <w:szCs w:val="16"/>
              </w:rPr>
              <w:t>0.8</w:t>
            </w:r>
          </w:p>
        </w:tc>
        <w:tc>
          <w:tcPr>
            <w:tcW w:w="376" w:type="pct"/>
            <w:tcBorders>
              <w:left w:val="nil"/>
            </w:tcBorders>
            <w:vAlign w:val="center"/>
          </w:tcPr>
          <w:p w14:paraId="0A77F12C" w14:textId="20D30E0F" w:rsidR="00C73E2F" w:rsidRDefault="00C73E2F" w:rsidP="00C73E2F">
            <w:pPr>
              <w:tabs>
                <w:tab w:val="decimal" w:pos="452"/>
              </w:tabs>
              <w:rPr>
                <w:rFonts w:cs="Arial"/>
                <w:color w:val="000000"/>
                <w:sz w:val="18"/>
                <w:szCs w:val="18"/>
              </w:rPr>
            </w:pPr>
            <w:r>
              <w:rPr>
                <w:rFonts w:cs="Arial"/>
                <w:sz w:val="16"/>
                <w:szCs w:val="16"/>
              </w:rPr>
              <w:t>-3.</w:t>
            </w:r>
            <w:r w:rsidR="00EE133D">
              <w:rPr>
                <w:rFonts w:cs="Arial"/>
                <w:sz w:val="16"/>
                <w:szCs w:val="16"/>
              </w:rPr>
              <w:t>0</w:t>
            </w:r>
          </w:p>
        </w:tc>
        <w:tc>
          <w:tcPr>
            <w:tcW w:w="508" w:type="pct"/>
            <w:tcBorders>
              <w:left w:val="nil"/>
              <w:right w:val="nil"/>
            </w:tcBorders>
            <w:vAlign w:val="center"/>
          </w:tcPr>
          <w:p w14:paraId="4F23EBB5" w14:textId="33F496F9" w:rsidR="00C73E2F" w:rsidRDefault="00C73E2F" w:rsidP="00C73E2F">
            <w:pPr>
              <w:tabs>
                <w:tab w:val="decimal" w:pos="452"/>
              </w:tabs>
              <w:rPr>
                <w:rFonts w:cs="Arial"/>
                <w:color w:val="000000"/>
                <w:sz w:val="18"/>
                <w:szCs w:val="18"/>
              </w:rPr>
            </w:pPr>
            <w:r>
              <w:rPr>
                <w:rFonts w:cs="Arial"/>
                <w:sz w:val="16"/>
                <w:szCs w:val="16"/>
              </w:rPr>
              <w:t>2.</w:t>
            </w:r>
            <w:r w:rsidR="00EE133D">
              <w:rPr>
                <w:rFonts w:cs="Arial"/>
                <w:sz w:val="16"/>
                <w:szCs w:val="16"/>
              </w:rPr>
              <w:t>2</w:t>
            </w:r>
          </w:p>
        </w:tc>
        <w:tc>
          <w:tcPr>
            <w:tcW w:w="499" w:type="pct"/>
            <w:tcBorders>
              <w:left w:val="nil"/>
              <w:right w:val="single" w:sz="4" w:space="0" w:color="auto"/>
            </w:tcBorders>
            <w:vAlign w:val="center"/>
          </w:tcPr>
          <w:p w14:paraId="58F1BCD0" w14:textId="34F68D0F" w:rsidR="00C73E2F" w:rsidRDefault="00C73E2F" w:rsidP="00C73E2F">
            <w:pPr>
              <w:tabs>
                <w:tab w:val="decimal" w:pos="452"/>
              </w:tabs>
              <w:rPr>
                <w:rFonts w:cs="Arial"/>
                <w:color w:val="000000"/>
                <w:sz w:val="18"/>
                <w:szCs w:val="18"/>
              </w:rPr>
            </w:pPr>
            <w:r>
              <w:rPr>
                <w:rFonts w:cs="Arial"/>
                <w:sz w:val="16"/>
                <w:szCs w:val="16"/>
              </w:rPr>
              <w:t>0.</w:t>
            </w:r>
            <w:r w:rsidR="00EE133D">
              <w:rPr>
                <w:rFonts w:cs="Arial"/>
                <w:sz w:val="16"/>
                <w:szCs w:val="16"/>
              </w:rPr>
              <w:t>3</w:t>
            </w:r>
          </w:p>
        </w:tc>
        <w:tc>
          <w:tcPr>
            <w:tcW w:w="497" w:type="pct"/>
            <w:tcBorders>
              <w:left w:val="single" w:sz="4" w:space="0" w:color="auto"/>
              <w:right w:val="double" w:sz="6" w:space="0" w:color="auto"/>
            </w:tcBorders>
            <w:vAlign w:val="center"/>
          </w:tcPr>
          <w:p w14:paraId="58421DA2" w14:textId="6BFFE113" w:rsidR="00C73E2F" w:rsidRDefault="000E148D" w:rsidP="00C73E2F">
            <w:pPr>
              <w:tabs>
                <w:tab w:val="decimal" w:pos="452"/>
              </w:tabs>
              <w:rPr>
                <w:rFonts w:cs="Arial"/>
                <w:sz w:val="16"/>
                <w:szCs w:val="16"/>
              </w:rPr>
            </w:pPr>
            <w:r>
              <w:rPr>
                <w:rFonts w:cs="Arial"/>
                <w:sz w:val="16"/>
                <w:szCs w:val="16"/>
              </w:rPr>
              <w:t>2.1</w:t>
            </w:r>
          </w:p>
        </w:tc>
      </w:tr>
      <w:tr w:rsidR="00C73E2F" w:rsidRPr="00B50BEE" w14:paraId="17A9A699" w14:textId="7B77C663" w:rsidTr="00C73E2F">
        <w:trPr>
          <w:cantSplit/>
          <w:jc w:val="center"/>
        </w:trPr>
        <w:tc>
          <w:tcPr>
            <w:tcW w:w="2293" w:type="pct"/>
            <w:tcBorders>
              <w:left w:val="double" w:sz="6" w:space="0" w:color="auto"/>
              <w:right w:val="single" w:sz="4" w:space="0" w:color="auto"/>
            </w:tcBorders>
            <w:shd w:val="clear" w:color="auto" w:fill="DBE5F1" w:themeFill="accent1" w:themeFillTint="33"/>
            <w:vAlign w:val="center"/>
          </w:tcPr>
          <w:p w14:paraId="7C043800" w14:textId="77777777" w:rsidR="00C73E2F" w:rsidRPr="00B50BEE" w:rsidRDefault="00C73E2F" w:rsidP="00C73E2F">
            <w:pPr>
              <w:tabs>
                <w:tab w:val="left" w:pos="667"/>
              </w:tabs>
              <w:spacing w:before="40" w:after="20"/>
              <w:ind w:left="657" w:hanging="544"/>
              <w:rPr>
                <w:rFonts w:cs="Arial"/>
                <w:sz w:val="18"/>
                <w:szCs w:val="18"/>
              </w:rPr>
            </w:pPr>
            <w:r w:rsidRPr="00B50BEE">
              <w:rPr>
                <w:rFonts w:cs="Arial"/>
                <w:sz w:val="18"/>
                <w:szCs w:val="18"/>
              </w:rPr>
              <w:t>31-33</w:t>
            </w:r>
            <w:r w:rsidRPr="00B50BEE">
              <w:rPr>
                <w:rFonts w:cs="Arial"/>
                <w:sz w:val="18"/>
                <w:szCs w:val="18"/>
              </w:rPr>
              <w:tab/>
              <w:t>Industrias manufactureras</w:t>
            </w:r>
          </w:p>
        </w:tc>
        <w:tc>
          <w:tcPr>
            <w:tcW w:w="406" w:type="pct"/>
            <w:tcBorders>
              <w:left w:val="single" w:sz="4" w:space="0" w:color="auto"/>
            </w:tcBorders>
            <w:shd w:val="clear" w:color="auto" w:fill="DBE5F1" w:themeFill="accent1" w:themeFillTint="33"/>
            <w:vAlign w:val="center"/>
          </w:tcPr>
          <w:p w14:paraId="05BE0DB7" w14:textId="3E9239B8" w:rsidR="00C73E2F" w:rsidRDefault="00C73E2F" w:rsidP="00C73E2F">
            <w:pPr>
              <w:tabs>
                <w:tab w:val="decimal" w:pos="452"/>
              </w:tabs>
              <w:rPr>
                <w:rFonts w:cs="Arial"/>
                <w:color w:val="000000"/>
                <w:sz w:val="18"/>
                <w:szCs w:val="18"/>
              </w:rPr>
            </w:pPr>
            <w:r>
              <w:rPr>
                <w:rFonts w:cs="Arial"/>
                <w:sz w:val="16"/>
                <w:szCs w:val="16"/>
              </w:rPr>
              <w:t>4.3</w:t>
            </w:r>
          </w:p>
        </w:tc>
        <w:tc>
          <w:tcPr>
            <w:tcW w:w="421" w:type="pct"/>
            <w:tcBorders>
              <w:left w:val="nil"/>
            </w:tcBorders>
            <w:shd w:val="clear" w:color="auto" w:fill="DBE5F1" w:themeFill="accent1" w:themeFillTint="33"/>
            <w:vAlign w:val="center"/>
          </w:tcPr>
          <w:p w14:paraId="0D9964DC" w14:textId="16490220" w:rsidR="00C73E2F" w:rsidRPr="006A5A9B" w:rsidRDefault="00C73E2F" w:rsidP="00C73E2F">
            <w:pPr>
              <w:tabs>
                <w:tab w:val="decimal" w:pos="452"/>
              </w:tabs>
              <w:rPr>
                <w:rFonts w:cs="Arial"/>
                <w:bCs/>
                <w:color w:val="000000"/>
                <w:sz w:val="18"/>
                <w:szCs w:val="18"/>
              </w:rPr>
            </w:pPr>
            <w:r>
              <w:rPr>
                <w:rFonts w:cs="Arial"/>
                <w:sz w:val="16"/>
                <w:szCs w:val="16"/>
              </w:rPr>
              <w:t>5.1</w:t>
            </w:r>
          </w:p>
        </w:tc>
        <w:tc>
          <w:tcPr>
            <w:tcW w:w="376" w:type="pct"/>
            <w:tcBorders>
              <w:left w:val="nil"/>
            </w:tcBorders>
            <w:shd w:val="clear" w:color="auto" w:fill="DBE5F1" w:themeFill="accent1" w:themeFillTint="33"/>
            <w:vAlign w:val="center"/>
          </w:tcPr>
          <w:p w14:paraId="63DD2735" w14:textId="6E0C80DD" w:rsidR="00C73E2F" w:rsidRDefault="00C73E2F" w:rsidP="00C73E2F">
            <w:pPr>
              <w:tabs>
                <w:tab w:val="decimal" w:pos="452"/>
              </w:tabs>
              <w:rPr>
                <w:rFonts w:cs="Arial"/>
                <w:color w:val="000000"/>
                <w:sz w:val="18"/>
                <w:szCs w:val="18"/>
              </w:rPr>
            </w:pPr>
            <w:r>
              <w:rPr>
                <w:rFonts w:cs="Arial"/>
                <w:sz w:val="16"/>
                <w:szCs w:val="16"/>
              </w:rPr>
              <w:t>7.3</w:t>
            </w:r>
          </w:p>
        </w:tc>
        <w:tc>
          <w:tcPr>
            <w:tcW w:w="508" w:type="pct"/>
            <w:tcBorders>
              <w:left w:val="nil"/>
              <w:right w:val="nil"/>
            </w:tcBorders>
            <w:shd w:val="clear" w:color="auto" w:fill="DBE5F1" w:themeFill="accent1" w:themeFillTint="33"/>
            <w:vAlign w:val="center"/>
          </w:tcPr>
          <w:p w14:paraId="67CF88AB" w14:textId="7396EABF" w:rsidR="00C73E2F" w:rsidRDefault="00C73E2F" w:rsidP="00C73E2F">
            <w:pPr>
              <w:tabs>
                <w:tab w:val="decimal" w:pos="452"/>
              </w:tabs>
              <w:rPr>
                <w:rFonts w:cs="Arial"/>
                <w:color w:val="000000"/>
                <w:sz w:val="18"/>
                <w:szCs w:val="18"/>
              </w:rPr>
            </w:pPr>
            <w:r>
              <w:rPr>
                <w:rFonts w:cs="Arial"/>
                <w:sz w:val="16"/>
                <w:szCs w:val="16"/>
              </w:rPr>
              <w:t>4.2</w:t>
            </w:r>
          </w:p>
        </w:tc>
        <w:tc>
          <w:tcPr>
            <w:tcW w:w="499" w:type="pct"/>
            <w:tcBorders>
              <w:left w:val="nil"/>
              <w:right w:val="single" w:sz="4" w:space="0" w:color="auto"/>
            </w:tcBorders>
            <w:shd w:val="clear" w:color="auto" w:fill="DBE5F1" w:themeFill="accent1" w:themeFillTint="33"/>
            <w:vAlign w:val="center"/>
          </w:tcPr>
          <w:p w14:paraId="16DAB24A" w14:textId="1926E8D7" w:rsidR="00C73E2F" w:rsidRDefault="00C73E2F" w:rsidP="00C73E2F">
            <w:pPr>
              <w:tabs>
                <w:tab w:val="decimal" w:pos="452"/>
              </w:tabs>
              <w:rPr>
                <w:rFonts w:cs="Arial"/>
                <w:color w:val="000000"/>
                <w:sz w:val="18"/>
                <w:szCs w:val="18"/>
              </w:rPr>
            </w:pPr>
            <w:r>
              <w:rPr>
                <w:rFonts w:cs="Arial"/>
                <w:sz w:val="16"/>
                <w:szCs w:val="16"/>
              </w:rPr>
              <w:t>5.2</w:t>
            </w:r>
          </w:p>
        </w:tc>
        <w:tc>
          <w:tcPr>
            <w:tcW w:w="497" w:type="pct"/>
            <w:tcBorders>
              <w:left w:val="single" w:sz="4" w:space="0" w:color="auto"/>
              <w:right w:val="double" w:sz="6" w:space="0" w:color="auto"/>
            </w:tcBorders>
            <w:shd w:val="clear" w:color="auto" w:fill="DBE5F1" w:themeFill="accent1" w:themeFillTint="33"/>
            <w:vAlign w:val="center"/>
          </w:tcPr>
          <w:p w14:paraId="3D02AB71" w14:textId="37149255" w:rsidR="00C73E2F" w:rsidRDefault="000E148D" w:rsidP="00C73E2F">
            <w:pPr>
              <w:tabs>
                <w:tab w:val="decimal" w:pos="452"/>
              </w:tabs>
              <w:rPr>
                <w:rFonts w:cs="Arial"/>
                <w:sz w:val="16"/>
                <w:szCs w:val="16"/>
              </w:rPr>
            </w:pPr>
            <w:r>
              <w:rPr>
                <w:rFonts w:cs="Arial"/>
                <w:sz w:val="16"/>
                <w:szCs w:val="16"/>
              </w:rPr>
              <w:t>2.7</w:t>
            </w:r>
          </w:p>
        </w:tc>
      </w:tr>
      <w:tr w:rsidR="00C73E2F" w:rsidRPr="00B50BEE" w14:paraId="35055EDA" w14:textId="2A77E20C" w:rsidTr="00C73E2F">
        <w:trPr>
          <w:cantSplit/>
          <w:jc w:val="center"/>
        </w:trPr>
        <w:tc>
          <w:tcPr>
            <w:tcW w:w="2293" w:type="pct"/>
            <w:tcBorders>
              <w:left w:val="double" w:sz="6" w:space="0" w:color="auto"/>
              <w:right w:val="single" w:sz="4" w:space="0" w:color="auto"/>
            </w:tcBorders>
            <w:shd w:val="clear" w:color="auto" w:fill="auto"/>
            <w:vAlign w:val="center"/>
          </w:tcPr>
          <w:p w14:paraId="6268EFBB" w14:textId="77777777" w:rsidR="00C73E2F" w:rsidRPr="00B50BEE" w:rsidRDefault="00C73E2F" w:rsidP="00C73E2F">
            <w:pPr>
              <w:tabs>
                <w:tab w:val="left" w:pos="556"/>
              </w:tabs>
              <w:spacing w:before="40" w:after="20"/>
              <w:ind w:left="657" w:hanging="544"/>
              <w:rPr>
                <w:rFonts w:cs="Arial"/>
                <w:b/>
                <w:bCs/>
                <w:sz w:val="18"/>
                <w:szCs w:val="18"/>
              </w:rPr>
            </w:pPr>
            <w:r w:rsidRPr="00B50BEE">
              <w:rPr>
                <w:rFonts w:cs="Arial"/>
                <w:b/>
                <w:bCs/>
                <w:sz w:val="18"/>
                <w:szCs w:val="18"/>
              </w:rPr>
              <w:t>Actividades Terciarias</w:t>
            </w:r>
          </w:p>
        </w:tc>
        <w:tc>
          <w:tcPr>
            <w:tcW w:w="406" w:type="pct"/>
            <w:tcBorders>
              <w:left w:val="single" w:sz="4" w:space="0" w:color="auto"/>
            </w:tcBorders>
            <w:vAlign w:val="center"/>
          </w:tcPr>
          <w:p w14:paraId="70F98EA4" w14:textId="671686E1" w:rsidR="00C73E2F" w:rsidRDefault="00C73E2F" w:rsidP="00C73E2F">
            <w:pPr>
              <w:tabs>
                <w:tab w:val="decimal" w:pos="452"/>
              </w:tabs>
              <w:rPr>
                <w:rFonts w:cs="Arial"/>
                <w:b/>
                <w:color w:val="000000"/>
                <w:sz w:val="18"/>
                <w:szCs w:val="18"/>
              </w:rPr>
            </w:pPr>
            <w:r>
              <w:rPr>
                <w:rFonts w:cs="Arial"/>
                <w:b/>
                <w:bCs/>
                <w:sz w:val="16"/>
                <w:szCs w:val="16"/>
              </w:rPr>
              <w:t>1.1</w:t>
            </w:r>
          </w:p>
        </w:tc>
        <w:tc>
          <w:tcPr>
            <w:tcW w:w="421" w:type="pct"/>
            <w:tcBorders>
              <w:left w:val="nil"/>
            </w:tcBorders>
            <w:vAlign w:val="center"/>
          </w:tcPr>
          <w:p w14:paraId="48C36FF6" w14:textId="1A0502E9" w:rsidR="00C73E2F" w:rsidRDefault="00C73E2F" w:rsidP="00C73E2F">
            <w:pPr>
              <w:tabs>
                <w:tab w:val="decimal" w:pos="452"/>
              </w:tabs>
              <w:rPr>
                <w:rFonts w:cs="Arial"/>
                <w:b/>
                <w:color w:val="000000"/>
                <w:sz w:val="18"/>
                <w:szCs w:val="18"/>
              </w:rPr>
            </w:pPr>
            <w:r>
              <w:rPr>
                <w:rFonts w:cs="Arial"/>
                <w:b/>
                <w:bCs/>
                <w:sz w:val="16"/>
                <w:szCs w:val="16"/>
              </w:rPr>
              <w:t>1.</w:t>
            </w:r>
            <w:r w:rsidR="000E148D">
              <w:rPr>
                <w:rFonts w:cs="Arial"/>
                <w:b/>
                <w:bCs/>
                <w:sz w:val="16"/>
                <w:szCs w:val="16"/>
              </w:rPr>
              <w:t>7</w:t>
            </w:r>
          </w:p>
        </w:tc>
        <w:tc>
          <w:tcPr>
            <w:tcW w:w="376" w:type="pct"/>
            <w:tcBorders>
              <w:left w:val="nil"/>
            </w:tcBorders>
            <w:vAlign w:val="center"/>
          </w:tcPr>
          <w:p w14:paraId="5298A113" w14:textId="2C907F8C" w:rsidR="00C73E2F" w:rsidRDefault="00C73E2F" w:rsidP="00C73E2F">
            <w:pPr>
              <w:tabs>
                <w:tab w:val="decimal" w:pos="452"/>
              </w:tabs>
              <w:rPr>
                <w:rFonts w:cs="Arial"/>
                <w:b/>
                <w:color w:val="000000"/>
                <w:sz w:val="18"/>
                <w:szCs w:val="18"/>
              </w:rPr>
            </w:pPr>
            <w:r>
              <w:rPr>
                <w:rFonts w:cs="Arial"/>
                <w:b/>
                <w:bCs/>
                <w:sz w:val="16"/>
                <w:szCs w:val="16"/>
              </w:rPr>
              <w:t>4.</w:t>
            </w:r>
            <w:r w:rsidR="000E148D">
              <w:rPr>
                <w:rFonts w:cs="Arial"/>
                <w:b/>
                <w:bCs/>
                <w:sz w:val="16"/>
                <w:szCs w:val="16"/>
              </w:rPr>
              <w:t>6</w:t>
            </w:r>
          </w:p>
        </w:tc>
        <w:tc>
          <w:tcPr>
            <w:tcW w:w="508" w:type="pct"/>
            <w:tcBorders>
              <w:left w:val="nil"/>
              <w:right w:val="nil"/>
            </w:tcBorders>
            <w:vAlign w:val="center"/>
          </w:tcPr>
          <w:p w14:paraId="62D125A1" w14:textId="332EDE96" w:rsidR="00C73E2F" w:rsidRDefault="00C73E2F" w:rsidP="00C73E2F">
            <w:pPr>
              <w:tabs>
                <w:tab w:val="decimal" w:pos="452"/>
              </w:tabs>
              <w:rPr>
                <w:rFonts w:cs="Arial"/>
                <w:b/>
                <w:color w:val="000000"/>
                <w:sz w:val="18"/>
                <w:szCs w:val="18"/>
              </w:rPr>
            </w:pPr>
            <w:r>
              <w:rPr>
                <w:rFonts w:cs="Arial"/>
                <w:b/>
                <w:bCs/>
                <w:sz w:val="16"/>
                <w:szCs w:val="16"/>
              </w:rPr>
              <w:t>3.5</w:t>
            </w:r>
          </w:p>
        </w:tc>
        <w:tc>
          <w:tcPr>
            <w:tcW w:w="499" w:type="pct"/>
            <w:tcBorders>
              <w:left w:val="nil"/>
              <w:right w:val="single" w:sz="4" w:space="0" w:color="auto"/>
            </w:tcBorders>
            <w:vAlign w:val="center"/>
          </w:tcPr>
          <w:p w14:paraId="2F3CA635" w14:textId="39582834" w:rsidR="00C73E2F" w:rsidRDefault="00C73E2F" w:rsidP="00C73E2F">
            <w:pPr>
              <w:tabs>
                <w:tab w:val="decimal" w:pos="452"/>
              </w:tabs>
              <w:rPr>
                <w:rFonts w:cs="Arial"/>
                <w:b/>
                <w:color w:val="000000"/>
                <w:sz w:val="18"/>
                <w:szCs w:val="18"/>
              </w:rPr>
            </w:pPr>
            <w:r>
              <w:rPr>
                <w:rFonts w:cs="Arial"/>
                <w:b/>
                <w:bCs/>
                <w:sz w:val="16"/>
                <w:szCs w:val="16"/>
              </w:rPr>
              <w:t>2.8</w:t>
            </w:r>
          </w:p>
        </w:tc>
        <w:tc>
          <w:tcPr>
            <w:tcW w:w="497" w:type="pct"/>
            <w:tcBorders>
              <w:left w:val="single" w:sz="4" w:space="0" w:color="auto"/>
              <w:right w:val="double" w:sz="6" w:space="0" w:color="auto"/>
            </w:tcBorders>
            <w:vAlign w:val="center"/>
          </w:tcPr>
          <w:p w14:paraId="5427B196" w14:textId="26486792" w:rsidR="00C73E2F" w:rsidRDefault="000E148D" w:rsidP="00C73E2F">
            <w:pPr>
              <w:tabs>
                <w:tab w:val="decimal" w:pos="452"/>
              </w:tabs>
              <w:rPr>
                <w:rFonts w:cs="Arial"/>
                <w:b/>
                <w:bCs/>
                <w:sz w:val="16"/>
                <w:szCs w:val="16"/>
              </w:rPr>
            </w:pPr>
            <w:r>
              <w:rPr>
                <w:rFonts w:cs="Arial"/>
                <w:b/>
                <w:bCs/>
                <w:sz w:val="16"/>
                <w:szCs w:val="16"/>
              </w:rPr>
              <w:t>4.3</w:t>
            </w:r>
          </w:p>
        </w:tc>
      </w:tr>
      <w:tr w:rsidR="00C73E2F" w:rsidRPr="00B50BEE" w14:paraId="018A8842" w14:textId="11D4AF6C" w:rsidTr="00C73E2F">
        <w:trPr>
          <w:cantSplit/>
          <w:jc w:val="center"/>
        </w:trPr>
        <w:tc>
          <w:tcPr>
            <w:tcW w:w="2293" w:type="pct"/>
            <w:tcBorders>
              <w:left w:val="double" w:sz="6" w:space="0" w:color="auto"/>
              <w:right w:val="single" w:sz="4" w:space="0" w:color="auto"/>
            </w:tcBorders>
            <w:shd w:val="clear" w:color="auto" w:fill="DBE5F1" w:themeFill="accent1" w:themeFillTint="33"/>
            <w:vAlign w:val="center"/>
          </w:tcPr>
          <w:p w14:paraId="2A14A7BD" w14:textId="77777777" w:rsidR="00C73E2F" w:rsidRPr="00B50BEE" w:rsidRDefault="00C73E2F" w:rsidP="00C73E2F">
            <w:pPr>
              <w:tabs>
                <w:tab w:val="left" w:pos="667"/>
              </w:tabs>
              <w:spacing w:before="40" w:after="20"/>
              <w:ind w:left="657" w:hanging="544"/>
              <w:rPr>
                <w:rFonts w:cs="Arial"/>
                <w:sz w:val="18"/>
                <w:szCs w:val="18"/>
              </w:rPr>
            </w:pPr>
            <w:r>
              <w:rPr>
                <w:rFonts w:cs="Arial"/>
                <w:sz w:val="18"/>
                <w:szCs w:val="18"/>
              </w:rPr>
              <w:t>43</w:t>
            </w:r>
            <w:r w:rsidRPr="00B50BEE">
              <w:rPr>
                <w:rFonts w:cs="Arial"/>
                <w:sz w:val="18"/>
                <w:szCs w:val="18"/>
              </w:rPr>
              <w:tab/>
              <w:t xml:space="preserve">Comercio </w:t>
            </w:r>
            <w:r>
              <w:rPr>
                <w:rFonts w:cs="Arial"/>
                <w:sz w:val="18"/>
                <w:szCs w:val="18"/>
              </w:rPr>
              <w:t>al por mayor</w:t>
            </w:r>
          </w:p>
        </w:tc>
        <w:tc>
          <w:tcPr>
            <w:tcW w:w="406" w:type="pct"/>
            <w:tcBorders>
              <w:left w:val="single" w:sz="4" w:space="0" w:color="auto"/>
            </w:tcBorders>
            <w:shd w:val="clear" w:color="auto" w:fill="DBE5F1" w:themeFill="accent1" w:themeFillTint="33"/>
            <w:vAlign w:val="center"/>
          </w:tcPr>
          <w:p w14:paraId="6D0E0A8F" w14:textId="207587ED" w:rsidR="00C73E2F" w:rsidRDefault="00C73E2F" w:rsidP="00C73E2F">
            <w:pPr>
              <w:tabs>
                <w:tab w:val="decimal" w:pos="452"/>
              </w:tabs>
              <w:rPr>
                <w:rFonts w:cs="Arial"/>
                <w:color w:val="000000"/>
                <w:sz w:val="18"/>
                <w:szCs w:val="18"/>
              </w:rPr>
            </w:pPr>
            <w:r>
              <w:rPr>
                <w:rFonts w:cs="Arial"/>
                <w:sz w:val="16"/>
                <w:szCs w:val="16"/>
              </w:rPr>
              <w:t>5.9</w:t>
            </w:r>
          </w:p>
        </w:tc>
        <w:tc>
          <w:tcPr>
            <w:tcW w:w="421" w:type="pct"/>
            <w:tcBorders>
              <w:left w:val="nil"/>
            </w:tcBorders>
            <w:shd w:val="clear" w:color="auto" w:fill="DBE5F1" w:themeFill="accent1" w:themeFillTint="33"/>
            <w:vAlign w:val="center"/>
          </w:tcPr>
          <w:p w14:paraId="1979BC01" w14:textId="1C2D2870" w:rsidR="00C73E2F" w:rsidRPr="006A5A9B" w:rsidRDefault="00C73E2F" w:rsidP="00C73E2F">
            <w:pPr>
              <w:tabs>
                <w:tab w:val="decimal" w:pos="452"/>
              </w:tabs>
              <w:rPr>
                <w:rFonts w:cs="Arial"/>
                <w:bCs/>
                <w:color w:val="000000"/>
                <w:sz w:val="18"/>
                <w:szCs w:val="18"/>
              </w:rPr>
            </w:pPr>
            <w:r>
              <w:rPr>
                <w:rFonts w:cs="Arial"/>
                <w:sz w:val="16"/>
                <w:szCs w:val="16"/>
              </w:rPr>
              <w:t>7.</w:t>
            </w:r>
            <w:r w:rsidR="00706269">
              <w:rPr>
                <w:rFonts w:cs="Arial"/>
                <w:sz w:val="16"/>
                <w:szCs w:val="16"/>
              </w:rPr>
              <w:t>7</w:t>
            </w:r>
          </w:p>
        </w:tc>
        <w:tc>
          <w:tcPr>
            <w:tcW w:w="376" w:type="pct"/>
            <w:tcBorders>
              <w:left w:val="nil"/>
            </w:tcBorders>
            <w:shd w:val="clear" w:color="auto" w:fill="DBE5F1" w:themeFill="accent1" w:themeFillTint="33"/>
            <w:vAlign w:val="center"/>
          </w:tcPr>
          <w:p w14:paraId="6DE507B5" w14:textId="26AE6895" w:rsidR="00C73E2F" w:rsidRDefault="00C73E2F" w:rsidP="00C73E2F">
            <w:pPr>
              <w:tabs>
                <w:tab w:val="decimal" w:pos="452"/>
              </w:tabs>
              <w:rPr>
                <w:rFonts w:cs="Arial"/>
                <w:color w:val="000000"/>
                <w:sz w:val="18"/>
                <w:szCs w:val="18"/>
              </w:rPr>
            </w:pPr>
            <w:r>
              <w:rPr>
                <w:rFonts w:cs="Arial"/>
                <w:sz w:val="16"/>
                <w:szCs w:val="16"/>
              </w:rPr>
              <w:t>9.</w:t>
            </w:r>
            <w:r w:rsidR="00706269">
              <w:rPr>
                <w:rFonts w:cs="Arial"/>
                <w:sz w:val="16"/>
                <w:szCs w:val="16"/>
              </w:rPr>
              <w:t>5</w:t>
            </w:r>
          </w:p>
        </w:tc>
        <w:tc>
          <w:tcPr>
            <w:tcW w:w="508" w:type="pct"/>
            <w:tcBorders>
              <w:left w:val="nil"/>
              <w:right w:val="nil"/>
            </w:tcBorders>
            <w:shd w:val="clear" w:color="auto" w:fill="DBE5F1" w:themeFill="accent1" w:themeFillTint="33"/>
            <w:vAlign w:val="center"/>
          </w:tcPr>
          <w:p w14:paraId="0EA6E1A1" w14:textId="75A870C2" w:rsidR="00C73E2F" w:rsidRDefault="00C73E2F" w:rsidP="00C73E2F">
            <w:pPr>
              <w:tabs>
                <w:tab w:val="decimal" w:pos="452"/>
              </w:tabs>
              <w:rPr>
                <w:rFonts w:cs="Arial"/>
                <w:color w:val="000000"/>
                <w:sz w:val="18"/>
                <w:szCs w:val="18"/>
              </w:rPr>
            </w:pPr>
            <w:r>
              <w:rPr>
                <w:rFonts w:cs="Arial"/>
                <w:sz w:val="16"/>
                <w:szCs w:val="16"/>
              </w:rPr>
              <w:t>4.4</w:t>
            </w:r>
          </w:p>
        </w:tc>
        <w:tc>
          <w:tcPr>
            <w:tcW w:w="499" w:type="pct"/>
            <w:tcBorders>
              <w:left w:val="nil"/>
              <w:right w:val="single" w:sz="4" w:space="0" w:color="auto"/>
            </w:tcBorders>
            <w:shd w:val="clear" w:color="auto" w:fill="DBE5F1" w:themeFill="accent1" w:themeFillTint="33"/>
            <w:vAlign w:val="center"/>
          </w:tcPr>
          <w:p w14:paraId="3E54263F" w14:textId="73614EE4" w:rsidR="00C73E2F" w:rsidRDefault="00C73E2F" w:rsidP="00C73E2F">
            <w:pPr>
              <w:tabs>
                <w:tab w:val="decimal" w:pos="452"/>
              </w:tabs>
              <w:rPr>
                <w:rFonts w:cs="Arial"/>
                <w:color w:val="000000"/>
                <w:sz w:val="18"/>
                <w:szCs w:val="18"/>
              </w:rPr>
            </w:pPr>
            <w:r>
              <w:rPr>
                <w:rFonts w:cs="Arial"/>
                <w:sz w:val="16"/>
                <w:szCs w:val="16"/>
              </w:rPr>
              <w:t>6.9</w:t>
            </w:r>
          </w:p>
        </w:tc>
        <w:tc>
          <w:tcPr>
            <w:tcW w:w="497" w:type="pct"/>
            <w:tcBorders>
              <w:left w:val="single" w:sz="4" w:space="0" w:color="auto"/>
              <w:right w:val="double" w:sz="6" w:space="0" w:color="auto"/>
            </w:tcBorders>
            <w:shd w:val="clear" w:color="auto" w:fill="DBE5F1" w:themeFill="accent1" w:themeFillTint="33"/>
            <w:vAlign w:val="center"/>
          </w:tcPr>
          <w:p w14:paraId="275A733D" w14:textId="22ED32B3" w:rsidR="00C73E2F" w:rsidRDefault="00706269" w:rsidP="00C73E2F">
            <w:pPr>
              <w:tabs>
                <w:tab w:val="decimal" w:pos="452"/>
              </w:tabs>
              <w:rPr>
                <w:rFonts w:cs="Arial"/>
                <w:sz w:val="16"/>
                <w:szCs w:val="16"/>
              </w:rPr>
            </w:pPr>
            <w:r>
              <w:rPr>
                <w:rFonts w:cs="Arial"/>
                <w:sz w:val="16"/>
                <w:szCs w:val="16"/>
              </w:rPr>
              <w:t>3.5</w:t>
            </w:r>
          </w:p>
        </w:tc>
      </w:tr>
      <w:tr w:rsidR="00C73E2F" w:rsidRPr="00B50BEE" w14:paraId="62A8DA0D" w14:textId="5403BD0E" w:rsidTr="00C73E2F">
        <w:trPr>
          <w:cantSplit/>
          <w:jc w:val="center"/>
        </w:trPr>
        <w:tc>
          <w:tcPr>
            <w:tcW w:w="2293" w:type="pct"/>
            <w:tcBorders>
              <w:left w:val="double" w:sz="6" w:space="0" w:color="auto"/>
              <w:right w:val="single" w:sz="4" w:space="0" w:color="auto"/>
            </w:tcBorders>
            <w:shd w:val="clear" w:color="auto" w:fill="auto"/>
            <w:vAlign w:val="center"/>
          </w:tcPr>
          <w:p w14:paraId="3A9A0E37" w14:textId="77777777" w:rsidR="00C73E2F" w:rsidRPr="00B50BEE" w:rsidRDefault="00C73E2F" w:rsidP="00C73E2F">
            <w:pPr>
              <w:tabs>
                <w:tab w:val="left" w:pos="667"/>
              </w:tabs>
              <w:spacing w:before="40" w:after="20"/>
              <w:ind w:left="657" w:hanging="544"/>
              <w:rPr>
                <w:rFonts w:cs="Arial"/>
                <w:sz w:val="18"/>
                <w:szCs w:val="18"/>
              </w:rPr>
            </w:pPr>
            <w:r>
              <w:rPr>
                <w:rFonts w:cs="Arial"/>
                <w:sz w:val="18"/>
                <w:szCs w:val="18"/>
              </w:rPr>
              <w:t>46</w:t>
            </w:r>
            <w:r w:rsidRPr="00B50BEE">
              <w:rPr>
                <w:rFonts w:cs="Arial"/>
                <w:sz w:val="18"/>
                <w:szCs w:val="18"/>
              </w:rPr>
              <w:tab/>
              <w:t xml:space="preserve">Comercio </w:t>
            </w:r>
            <w:r>
              <w:rPr>
                <w:rFonts w:cs="Arial"/>
                <w:sz w:val="18"/>
                <w:szCs w:val="18"/>
              </w:rPr>
              <w:t>al por menor</w:t>
            </w:r>
          </w:p>
        </w:tc>
        <w:tc>
          <w:tcPr>
            <w:tcW w:w="406" w:type="pct"/>
            <w:tcBorders>
              <w:left w:val="single" w:sz="4" w:space="0" w:color="auto"/>
            </w:tcBorders>
            <w:vAlign w:val="center"/>
          </w:tcPr>
          <w:p w14:paraId="04C0EBD2" w14:textId="03DA813C" w:rsidR="00C73E2F" w:rsidRDefault="00C73E2F" w:rsidP="00C73E2F">
            <w:pPr>
              <w:tabs>
                <w:tab w:val="decimal" w:pos="452"/>
              </w:tabs>
              <w:rPr>
                <w:rFonts w:cs="Arial"/>
                <w:color w:val="000000"/>
                <w:sz w:val="18"/>
                <w:szCs w:val="18"/>
              </w:rPr>
            </w:pPr>
            <w:r>
              <w:rPr>
                <w:rFonts w:cs="Arial"/>
                <w:sz w:val="16"/>
                <w:szCs w:val="16"/>
              </w:rPr>
              <w:t>3.9</w:t>
            </w:r>
          </w:p>
        </w:tc>
        <w:tc>
          <w:tcPr>
            <w:tcW w:w="421" w:type="pct"/>
            <w:tcBorders>
              <w:left w:val="nil"/>
            </w:tcBorders>
            <w:vAlign w:val="center"/>
          </w:tcPr>
          <w:p w14:paraId="7EBE749F" w14:textId="30ED3ADC" w:rsidR="00C73E2F" w:rsidRPr="006A5A9B" w:rsidRDefault="00C73E2F" w:rsidP="00C73E2F">
            <w:pPr>
              <w:tabs>
                <w:tab w:val="decimal" w:pos="452"/>
              </w:tabs>
              <w:rPr>
                <w:rFonts w:cs="Arial"/>
                <w:bCs/>
                <w:color w:val="000000"/>
                <w:sz w:val="18"/>
                <w:szCs w:val="18"/>
              </w:rPr>
            </w:pPr>
            <w:r>
              <w:rPr>
                <w:rFonts w:cs="Arial"/>
                <w:sz w:val="16"/>
                <w:szCs w:val="16"/>
              </w:rPr>
              <w:t>6.</w:t>
            </w:r>
            <w:r w:rsidR="00706269">
              <w:rPr>
                <w:rFonts w:cs="Arial"/>
                <w:sz w:val="16"/>
                <w:szCs w:val="16"/>
              </w:rPr>
              <w:t>3</w:t>
            </w:r>
          </w:p>
        </w:tc>
        <w:tc>
          <w:tcPr>
            <w:tcW w:w="376" w:type="pct"/>
            <w:tcBorders>
              <w:left w:val="nil"/>
            </w:tcBorders>
            <w:vAlign w:val="center"/>
          </w:tcPr>
          <w:p w14:paraId="03C9DCDC" w14:textId="74E6849F" w:rsidR="00C73E2F" w:rsidRDefault="00706269" w:rsidP="00C73E2F">
            <w:pPr>
              <w:tabs>
                <w:tab w:val="decimal" w:pos="452"/>
              </w:tabs>
              <w:rPr>
                <w:rFonts w:cs="Arial"/>
                <w:color w:val="000000"/>
                <w:sz w:val="18"/>
                <w:szCs w:val="18"/>
              </w:rPr>
            </w:pPr>
            <w:r>
              <w:rPr>
                <w:rFonts w:cs="Arial"/>
                <w:sz w:val="16"/>
                <w:szCs w:val="16"/>
              </w:rPr>
              <w:t>5.0</w:t>
            </w:r>
          </w:p>
        </w:tc>
        <w:tc>
          <w:tcPr>
            <w:tcW w:w="508" w:type="pct"/>
            <w:tcBorders>
              <w:left w:val="nil"/>
              <w:right w:val="nil"/>
            </w:tcBorders>
            <w:vAlign w:val="center"/>
          </w:tcPr>
          <w:p w14:paraId="05276CF7" w14:textId="6416B7E3" w:rsidR="00C73E2F" w:rsidRDefault="00C73E2F" w:rsidP="00C73E2F">
            <w:pPr>
              <w:tabs>
                <w:tab w:val="decimal" w:pos="452"/>
              </w:tabs>
              <w:rPr>
                <w:rFonts w:cs="Arial"/>
                <w:color w:val="000000"/>
                <w:sz w:val="18"/>
                <w:szCs w:val="18"/>
              </w:rPr>
            </w:pPr>
            <w:r>
              <w:rPr>
                <w:rFonts w:cs="Arial"/>
                <w:sz w:val="16"/>
                <w:szCs w:val="16"/>
              </w:rPr>
              <w:t>1.</w:t>
            </w:r>
            <w:r w:rsidR="00706269">
              <w:rPr>
                <w:rFonts w:cs="Arial"/>
                <w:sz w:val="16"/>
                <w:szCs w:val="16"/>
              </w:rPr>
              <w:t>6</w:t>
            </w:r>
          </w:p>
        </w:tc>
        <w:tc>
          <w:tcPr>
            <w:tcW w:w="499" w:type="pct"/>
            <w:tcBorders>
              <w:left w:val="nil"/>
              <w:right w:val="single" w:sz="4" w:space="0" w:color="auto"/>
            </w:tcBorders>
            <w:vAlign w:val="center"/>
          </w:tcPr>
          <w:p w14:paraId="2988DE53" w14:textId="1992189F" w:rsidR="00C73E2F" w:rsidRDefault="00C73E2F" w:rsidP="00C73E2F">
            <w:pPr>
              <w:tabs>
                <w:tab w:val="decimal" w:pos="452"/>
              </w:tabs>
              <w:rPr>
                <w:rFonts w:cs="Arial"/>
                <w:color w:val="000000"/>
                <w:sz w:val="18"/>
                <w:szCs w:val="18"/>
              </w:rPr>
            </w:pPr>
            <w:r>
              <w:rPr>
                <w:rFonts w:cs="Arial"/>
                <w:sz w:val="16"/>
                <w:szCs w:val="16"/>
              </w:rPr>
              <w:t>4.1</w:t>
            </w:r>
          </w:p>
        </w:tc>
        <w:tc>
          <w:tcPr>
            <w:tcW w:w="497" w:type="pct"/>
            <w:tcBorders>
              <w:left w:val="single" w:sz="4" w:space="0" w:color="auto"/>
              <w:right w:val="double" w:sz="6" w:space="0" w:color="auto"/>
            </w:tcBorders>
            <w:vAlign w:val="center"/>
          </w:tcPr>
          <w:p w14:paraId="2E78B062" w14:textId="1CC7AA25" w:rsidR="00C73E2F" w:rsidRDefault="00706269" w:rsidP="00C73E2F">
            <w:pPr>
              <w:tabs>
                <w:tab w:val="decimal" w:pos="452"/>
              </w:tabs>
              <w:rPr>
                <w:rFonts w:cs="Arial"/>
                <w:sz w:val="16"/>
                <w:szCs w:val="16"/>
              </w:rPr>
            </w:pPr>
            <w:r>
              <w:rPr>
                <w:rFonts w:cs="Arial"/>
                <w:sz w:val="16"/>
                <w:szCs w:val="16"/>
              </w:rPr>
              <w:t>6.8</w:t>
            </w:r>
          </w:p>
        </w:tc>
      </w:tr>
      <w:tr w:rsidR="00C73E2F" w:rsidRPr="00B50BEE" w14:paraId="11EDBE0C" w14:textId="67136176" w:rsidTr="00C73E2F">
        <w:trPr>
          <w:cantSplit/>
          <w:jc w:val="center"/>
        </w:trPr>
        <w:tc>
          <w:tcPr>
            <w:tcW w:w="2293" w:type="pct"/>
            <w:tcBorders>
              <w:left w:val="double" w:sz="6" w:space="0" w:color="auto"/>
              <w:right w:val="single" w:sz="4" w:space="0" w:color="auto"/>
            </w:tcBorders>
            <w:shd w:val="clear" w:color="auto" w:fill="DBE5F1" w:themeFill="accent1" w:themeFillTint="33"/>
            <w:vAlign w:val="center"/>
          </w:tcPr>
          <w:p w14:paraId="02C20D1A" w14:textId="77777777" w:rsidR="00C73E2F" w:rsidRPr="00B50BEE" w:rsidRDefault="00C73E2F" w:rsidP="00C73E2F">
            <w:pPr>
              <w:tabs>
                <w:tab w:val="left" w:pos="667"/>
              </w:tabs>
              <w:spacing w:before="40" w:after="20"/>
              <w:ind w:left="657" w:hanging="544"/>
              <w:rPr>
                <w:rFonts w:cs="Arial"/>
                <w:sz w:val="18"/>
                <w:szCs w:val="18"/>
              </w:rPr>
            </w:pPr>
            <w:r w:rsidRPr="00B50BEE">
              <w:rPr>
                <w:rFonts w:cs="Arial"/>
                <w:sz w:val="18"/>
                <w:szCs w:val="18"/>
              </w:rPr>
              <w:t>48-49</w:t>
            </w:r>
            <w:r w:rsidRPr="00B50BEE">
              <w:rPr>
                <w:rFonts w:cs="Arial"/>
                <w:sz w:val="18"/>
                <w:szCs w:val="18"/>
              </w:rPr>
              <w:tab/>
              <w:t>Transportes, correos y almacenamiento</w:t>
            </w:r>
          </w:p>
        </w:tc>
        <w:tc>
          <w:tcPr>
            <w:tcW w:w="406" w:type="pct"/>
            <w:tcBorders>
              <w:left w:val="single" w:sz="4" w:space="0" w:color="auto"/>
            </w:tcBorders>
            <w:shd w:val="clear" w:color="auto" w:fill="DBE5F1" w:themeFill="accent1" w:themeFillTint="33"/>
            <w:vAlign w:val="center"/>
          </w:tcPr>
          <w:p w14:paraId="0619782E" w14:textId="747992FE" w:rsidR="00C73E2F" w:rsidRDefault="00C73E2F" w:rsidP="00C73E2F">
            <w:pPr>
              <w:tabs>
                <w:tab w:val="decimal" w:pos="452"/>
              </w:tabs>
              <w:rPr>
                <w:rFonts w:cs="Arial"/>
                <w:color w:val="000000"/>
                <w:sz w:val="18"/>
                <w:szCs w:val="18"/>
              </w:rPr>
            </w:pPr>
            <w:r>
              <w:rPr>
                <w:rFonts w:cs="Arial"/>
                <w:sz w:val="16"/>
                <w:szCs w:val="16"/>
              </w:rPr>
              <w:t>14.</w:t>
            </w:r>
            <w:r w:rsidR="00093703">
              <w:rPr>
                <w:rFonts w:cs="Arial"/>
                <w:sz w:val="16"/>
                <w:szCs w:val="16"/>
              </w:rPr>
              <w:t>4</w:t>
            </w:r>
          </w:p>
        </w:tc>
        <w:tc>
          <w:tcPr>
            <w:tcW w:w="421" w:type="pct"/>
            <w:tcBorders>
              <w:left w:val="nil"/>
            </w:tcBorders>
            <w:shd w:val="clear" w:color="auto" w:fill="DBE5F1" w:themeFill="accent1" w:themeFillTint="33"/>
            <w:vAlign w:val="center"/>
          </w:tcPr>
          <w:p w14:paraId="1BCC3C90" w14:textId="311EC51A" w:rsidR="00C73E2F" w:rsidRPr="006A5A9B" w:rsidRDefault="00C73E2F" w:rsidP="00C73E2F">
            <w:pPr>
              <w:tabs>
                <w:tab w:val="decimal" w:pos="452"/>
              </w:tabs>
              <w:rPr>
                <w:rFonts w:cs="Arial"/>
                <w:bCs/>
                <w:color w:val="000000"/>
                <w:sz w:val="18"/>
                <w:szCs w:val="18"/>
              </w:rPr>
            </w:pPr>
            <w:r>
              <w:rPr>
                <w:rFonts w:cs="Arial"/>
                <w:sz w:val="16"/>
                <w:szCs w:val="16"/>
              </w:rPr>
              <w:t>12.</w:t>
            </w:r>
            <w:r w:rsidR="00093703">
              <w:rPr>
                <w:rFonts w:cs="Arial"/>
                <w:sz w:val="16"/>
                <w:szCs w:val="16"/>
              </w:rPr>
              <w:t>1</w:t>
            </w:r>
          </w:p>
        </w:tc>
        <w:tc>
          <w:tcPr>
            <w:tcW w:w="376" w:type="pct"/>
            <w:tcBorders>
              <w:left w:val="nil"/>
            </w:tcBorders>
            <w:shd w:val="clear" w:color="auto" w:fill="DBE5F1" w:themeFill="accent1" w:themeFillTint="33"/>
            <w:vAlign w:val="center"/>
          </w:tcPr>
          <w:p w14:paraId="683287E3" w14:textId="77643D87" w:rsidR="00C73E2F" w:rsidRDefault="00093703" w:rsidP="00C73E2F">
            <w:pPr>
              <w:tabs>
                <w:tab w:val="decimal" w:pos="452"/>
              </w:tabs>
              <w:rPr>
                <w:rFonts w:cs="Arial"/>
                <w:color w:val="000000"/>
                <w:sz w:val="18"/>
                <w:szCs w:val="18"/>
              </w:rPr>
            </w:pPr>
            <w:r>
              <w:rPr>
                <w:rFonts w:cs="Arial"/>
                <w:sz w:val="16"/>
                <w:szCs w:val="16"/>
              </w:rPr>
              <w:t>13.0</w:t>
            </w:r>
          </w:p>
        </w:tc>
        <w:tc>
          <w:tcPr>
            <w:tcW w:w="508" w:type="pct"/>
            <w:tcBorders>
              <w:left w:val="nil"/>
              <w:right w:val="nil"/>
            </w:tcBorders>
            <w:shd w:val="clear" w:color="auto" w:fill="DBE5F1" w:themeFill="accent1" w:themeFillTint="33"/>
            <w:vAlign w:val="center"/>
          </w:tcPr>
          <w:p w14:paraId="162F3EC0" w14:textId="26B03653" w:rsidR="00C73E2F" w:rsidRDefault="00C73E2F" w:rsidP="00C73E2F">
            <w:pPr>
              <w:tabs>
                <w:tab w:val="decimal" w:pos="452"/>
              </w:tabs>
              <w:rPr>
                <w:rFonts w:cs="Arial"/>
                <w:color w:val="000000"/>
                <w:sz w:val="18"/>
                <w:szCs w:val="18"/>
              </w:rPr>
            </w:pPr>
            <w:r>
              <w:rPr>
                <w:rFonts w:cs="Arial"/>
                <w:sz w:val="16"/>
                <w:szCs w:val="16"/>
              </w:rPr>
              <w:t>7.</w:t>
            </w:r>
            <w:r w:rsidR="00093703">
              <w:rPr>
                <w:rFonts w:cs="Arial"/>
                <w:sz w:val="16"/>
                <w:szCs w:val="16"/>
              </w:rPr>
              <w:t>2</w:t>
            </w:r>
          </w:p>
        </w:tc>
        <w:tc>
          <w:tcPr>
            <w:tcW w:w="499" w:type="pct"/>
            <w:tcBorders>
              <w:left w:val="nil"/>
              <w:right w:val="single" w:sz="4" w:space="0" w:color="auto"/>
            </w:tcBorders>
            <w:shd w:val="clear" w:color="auto" w:fill="DBE5F1" w:themeFill="accent1" w:themeFillTint="33"/>
            <w:vAlign w:val="center"/>
          </w:tcPr>
          <w:p w14:paraId="7BB1F62E" w14:textId="70DC2D38" w:rsidR="00C73E2F" w:rsidRDefault="00C73E2F" w:rsidP="00C73E2F">
            <w:pPr>
              <w:tabs>
                <w:tab w:val="decimal" w:pos="452"/>
              </w:tabs>
              <w:rPr>
                <w:rFonts w:cs="Arial"/>
                <w:color w:val="000000"/>
                <w:sz w:val="18"/>
                <w:szCs w:val="18"/>
              </w:rPr>
            </w:pPr>
            <w:r>
              <w:rPr>
                <w:rFonts w:cs="Arial"/>
                <w:sz w:val="16"/>
                <w:szCs w:val="16"/>
              </w:rPr>
              <w:t>11.</w:t>
            </w:r>
            <w:r w:rsidR="00093703">
              <w:rPr>
                <w:rFonts w:cs="Arial"/>
                <w:sz w:val="16"/>
                <w:szCs w:val="16"/>
              </w:rPr>
              <w:t>5</w:t>
            </w:r>
          </w:p>
        </w:tc>
        <w:tc>
          <w:tcPr>
            <w:tcW w:w="497" w:type="pct"/>
            <w:tcBorders>
              <w:left w:val="single" w:sz="4" w:space="0" w:color="auto"/>
              <w:right w:val="double" w:sz="6" w:space="0" w:color="auto"/>
            </w:tcBorders>
            <w:shd w:val="clear" w:color="auto" w:fill="DBE5F1" w:themeFill="accent1" w:themeFillTint="33"/>
            <w:vAlign w:val="center"/>
          </w:tcPr>
          <w:p w14:paraId="6D8EDF1B" w14:textId="414D5EA7" w:rsidR="00C73E2F" w:rsidRDefault="00093703" w:rsidP="00C73E2F">
            <w:pPr>
              <w:tabs>
                <w:tab w:val="decimal" w:pos="452"/>
              </w:tabs>
              <w:rPr>
                <w:rFonts w:cs="Arial"/>
                <w:sz w:val="16"/>
                <w:szCs w:val="16"/>
              </w:rPr>
            </w:pPr>
            <w:r>
              <w:rPr>
                <w:rFonts w:cs="Arial"/>
                <w:sz w:val="16"/>
                <w:szCs w:val="16"/>
              </w:rPr>
              <w:t>6.4</w:t>
            </w:r>
          </w:p>
        </w:tc>
      </w:tr>
      <w:tr w:rsidR="00C73E2F" w:rsidRPr="00B50BEE" w14:paraId="4E2FD00B" w14:textId="1D11F696" w:rsidTr="00C73E2F">
        <w:trPr>
          <w:cantSplit/>
          <w:jc w:val="center"/>
        </w:trPr>
        <w:tc>
          <w:tcPr>
            <w:tcW w:w="2293" w:type="pct"/>
            <w:tcBorders>
              <w:left w:val="double" w:sz="6" w:space="0" w:color="auto"/>
              <w:right w:val="single" w:sz="4" w:space="0" w:color="auto"/>
            </w:tcBorders>
            <w:shd w:val="clear" w:color="auto" w:fill="auto"/>
            <w:vAlign w:val="center"/>
          </w:tcPr>
          <w:p w14:paraId="68A084A2" w14:textId="77777777" w:rsidR="00C73E2F" w:rsidRPr="00B50BEE" w:rsidRDefault="00C73E2F" w:rsidP="00C73E2F">
            <w:pPr>
              <w:tabs>
                <w:tab w:val="left" w:pos="667"/>
              </w:tabs>
              <w:spacing w:before="40" w:after="20"/>
              <w:ind w:left="657" w:hanging="544"/>
              <w:rPr>
                <w:rFonts w:cs="Arial"/>
                <w:sz w:val="18"/>
                <w:szCs w:val="18"/>
              </w:rPr>
            </w:pPr>
            <w:r w:rsidRPr="00B50BEE">
              <w:rPr>
                <w:rFonts w:cs="Arial"/>
                <w:sz w:val="18"/>
                <w:szCs w:val="18"/>
              </w:rPr>
              <w:t>51</w:t>
            </w:r>
            <w:r w:rsidRPr="00B50BEE">
              <w:rPr>
                <w:rFonts w:cs="Arial"/>
                <w:sz w:val="18"/>
                <w:szCs w:val="18"/>
              </w:rPr>
              <w:tab/>
              <w:t xml:space="preserve">Información en medios masivos </w:t>
            </w:r>
          </w:p>
        </w:tc>
        <w:tc>
          <w:tcPr>
            <w:tcW w:w="406" w:type="pct"/>
            <w:tcBorders>
              <w:left w:val="single" w:sz="4" w:space="0" w:color="auto"/>
            </w:tcBorders>
            <w:vAlign w:val="center"/>
          </w:tcPr>
          <w:p w14:paraId="7B9E18FB" w14:textId="356687D3" w:rsidR="00C73E2F" w:rsidRDefault="00C73E2F" w:rsidP="00C73E2F">
            <w:pPr>
              <w:tabs>
                <w:tab w:val="decimal" w:pos="452"/>
              </w:tabs>
              <w:rPr>
                <w:rFonts w:cs="Arial"/>
                <w:color w:val="000000"/>
                <w:sz w:val="18"/>
                <w:szCs w:val="18"/>
              </w:rPr>
            </w:pPr>
            <w:r>
              <w:rPr>
                <w:rFonts w:cs="Arial"/>
                <w:sz w:val="16"/>
                <w:szCs w:val="16"/>
              </w:rPr>
              <w:t>22.6</w:t>
            </w:r>
          </w:p>
        </w:tc>
        <w:tc>
          <w:tcPr>
            <w:tcW w:w="421" w:type="pct"/>
            <w:tcBorders>
              <w:left w:val="nil"/>
            </w:tcBorders>
            <w:vAlign w:val="center"/>
          </w:tcPr>
          <w:p w14:paraId="706D9469" w14:textId="6831C4B9" w:rsidR="00C73E2F" w:rsidRPr="006A5A9B" w:rsidRDefault="00C73E2F" w:rsidP="00C73E2F">
            <w:pPr>
              <w:tabs>
                <w:tab w:val="decimal" w:pos="452"/>
              </w:tabs>
              <w:rPr>
                <w:rFonts w:cs="Arial"/>
                <w:bCs/>
                <w:color w:val="000000"/>
                <w:sz w:val="18"/>
                <w:szCs w:val="18"/>
              </w:rPr>
            </w:pPr>
            <w:r>
              <w:rPr>
                <w:rFonts w:cs="Arial"/>
                <w:sz w:val="16"/>
                <w:szCs w:val="16"/>
              </w:rPr>
              <w:t>18.0</w:t>
            </w:r>
          </w:p>
        </w:tc>
        <w:tc>
          <w:tcPr>
            <w:tcW w:w="376" w:type="pct"/>
            <w:tcBorders>
              <w:left w:val="nil"/>
            </w:tcBorders>
            <w:vAlign w:val="center"/>
          </w:tcPr>
          <w:p w14:paraId="49444629" w14:textId="4B391CEE" w:rsidR="00C73E2F" w:rsidRDefault="00C73E2F" w:rsidP="00C73E2F">
            <w:pPr>
              <w:tabs>
                <w:tab w:val="decimal" w:pos="452"/>
              </w:tabs>
              <w:rPr>
                <w:rFonts w:cs="Arial"/>
                <w:color w:val="000000"/>
                <w:sz w:val="18"/>
                <w:szCs w:val="18"/>
              </w:rPr>
            </w:pPr>
            <w:r>
              <w:rPr>
                <w:rFonts w:cs="Arial"/>
                <w:sz w:val="16"/>
                <w:szCs w:val="16"/>
              </w:rPr>
              <w:t>6.2</w:t>
            </w:r>
          </w:p>
        </w:tc>
        <w:tc>
          <w:tcPr>
            <w:tcW w:w="508" w:type="pct"/>
            <w:tcBorders>
              <w:left w:val="nil"/>
              <w:right w:val="nil"/>
            </w:tcBorders>
            <w:vAlign w:val="center"/>
          </w:tcPr>
          <w:p w14:paraId="309AF2FE" w14:textId="4EE153FA" w:rsidR="00C73E2F" w:rsidRDefault="00C73E2F" w:rsidP="00C73E2F">
            <w:pPr>
              <w:tabs>
                <w:tab w:val="decimal" w:pos="452"/>
              </w:tabs>
              <w:rPr>
                <w:rFonts w:cs="Arial"/>
                <w:color w:val="000000"/>
                <w:sz w:val="18"/>
                <w:szCs w:val="18"/>
              </w:rPr>
            </w:pPr>
            <w:r>
              <w:rPr>
                <w:rFonts w:cs="Arial"/>
                <w:sz w:val="16"/>
                <w:szCs w:val="16"/>
              </w:rPr>
              <w:t>5.4</w:t>
            </w:r>
          </w:p>
        </w:tc>
        <w:tc>
          <w:tcPr>
            <w:tcW w:w="499" w:type="pct"/>
            <w:tcBorders>
              <w:left w:val="nil"/>
              <w:right w:val="single" w:sz="4" w:space="0" w:color="auto"/>
            </w:tcBorders>
            <w:vAlign w:val="center"/>
          </w:tcPr>
          <w:p w14:paraId="6E46EE87" w14:textId="4ECB05E9" w:rsidR="00C73E2F" w:rsidRDefault="00C73E2F" w:rsidP="00C73E2F">
            <w:pPr>
              <w:tabs>
                <w:tab w:val="decimal" w:pos="452"/>
              </w:tabs>
              <w:rPr>
                <w:rFonts w:cs="Arial"/>
                <w:color w:val="000000"/>
                <w:sz w:val="18"/>
                <w:szCs w:val="18"/>
              </w:rPr>
            </w:pPr>
            <w:r>
              <w:rPr>
                <w:rFonts w:cs="Arial"/>
                <w:sz w:val="16"/>
                <w:szCs w:val="16"/>
              </w:rPr>
              <w:t>12.6</w:t>
            </w:r>
          </w:p>
        </w:tc>
        <w:tc>
          <w:tcPr>
            <w:tcW w:w="497" w:type="pct"/>
            <w:tcBorders>
              <w:left w:val="single" w:sz="4" w:space="0" w:color="auto"/>
              <w:right w:val="double" w:sz="6" w:space="0" w:color="auto"/>
            </w:tcBorders>
            <w:vAlign w:val="center"/>
          </w:tcPr>
          <w:p w14:paraId="552DA1FF" w14:textId="3BA0736C" w:rsidR="00C73E2F" w:rsidRDefault="00093703" w:rsidP="00C73E2F">
            <w:pPr>
              <w:tabs>
                <w:tab w:val="decimal" w:pos="452"/>
              </w:tabs>
              <w:rPr>
                <w:rFonts w:cs="Arial"/>
                <w:sz w:val="16"/>
                <w:szCs w:val="16"/>
              </w:rPr>
            </w:pPr>
            <w:r>
              <w:rPr>
                <w:rFonts w:cs="Arial"/>
                <w:sz w:val="16"/>
                <w:szCs w:val="16"/>
              </w:rPr>
              <w:t>8.4</w:t>
            </w:r>
          </w:p>
        </w:tc>
      </w:tr>
      <w:tr w:rsidR="00C73E2F" w:rsidRPr="00B50BEE" w14:paraId="17D8A0DA" w14:textId="52AC94BE" w:rsidTr="00C73E2F">
        <w:trPr>
          <w:cantSplit/>
          <w:jc w:val="center"/>
        </w:trPr>
        <w:tc>
          <w:tcPr>
            <w:tcW w:w="2293" w:type="pct"/>
            <w:tcBorders>
              <w:left w:val="double" w:sz="6" w:space="0" w:color="auto"/>
              <w:right w:val="single" w:sz="4" w:space="0" w:color="auto"/>
            </w:tcBorders>
            <w:shd w:val="clear" w:color="auto" w:fill="DBE5F1" w:themeFill="accent1" w:themeFillTint="33"/>
            <w:vAlign w:val="center"/>
          </w:tcPr>
          <w:p w14:paraId="1B4D06FF" w14:textId="77777777" w:rsidR="00C73E2F" w:rsidRPr="00B50BEE" w:rsidRDefault="00C73E2F" w:rsidP="00C73E2F">
            <w:pPr>
              <w:tabs>
                <w:tab w:val="left" w:pos="667"/>
              </w:tabs>
              <w:spacing w:before="40" w:after="20"/>
              <w:ind w:left="657" w:hanging="544"/>
              <w:rPr>
                <w:rFonts w:cs="Arial"/>
                <w:sz w:val="18"/>
                <w:szCs w:val="18"/>
              </w:rPr>
            </w:pPr>
            <w:r w:rsidRPr="00B50BEE">
              <w:rPr>
                <w:rFonts w:cs="Arial"/>
                <w:sz w:val="18"/>
                <w:szCs w:val="18"/>
              </w:rPr>
              <w:t>52</w:t>
            </w:r>
            <w:r w:rsidRPr="00B50BEE">
              <w:rPr>
                <w:rFonts w:cs="Arial"/>
                <w:sz w:val="18"/>
                <w:szCs w:val="18"/>
              </w:rPr>
              <w:tab/>
              <w:t xml:space="preserve">Servicios financieros y de seguros </w:t>
            </w:r>
          </w:p>
        </w:tc>
        <w:tc>
          <w:tcPr>
            <w:tcW w:w="406" w:type="pct"/>
            <w:tcBorders>
              <w:left w:val="single" w:sz="4" w:space="0" w:color="auto"/>
            </w:tcBorders>
            <w:shd w:val="clear" w:color="auto" w:fill="DBE5F1" w:themeFill="accent1" w:themeFillTint="33"/>
            <w:vAlign w:val="center"/>
          </w:tcPr>
          <w:p w14:paraId="304EF593" w14:textId="2C642A36" w:rsidR="00C73E2F" w:rsidRDefault="00C73E2F" w:rsidP="00C73E2F">
            <w:pPr>
              <w:tabs>
                <w:tab w:val="decimal" w:pos="452"/>
              </w:tabs>
              <w:rPr>
                <w:rFonts w:cs="Arial"/>
                <w:color w:val="000000"/>
                <w:sz w:val="18"/>
                <w:szCs w:val="18"/>
              </w:rPr>
            </w:pPr>
            <w:r>
              <w:rPr>
                <w:rFonts w:cs="Arial"/>
                <w:sz w:val="16"/>
                <w:szCs w:val="16"/>
              </w:rPr>
              <w:t>2.2</w:t>
            </w:r>
          </w:p>
        </w:tc>
        <w:tc>
          <w:tcPr>
            <w:tcW w:w="421" w:type="pct"/>
            <w:tcBorders>
              <w:left w:val="nil"/>
            </w:tcBorders>
            <w:shd w:val="clear" w:color="auto" w:fill="DBE5F1" w:themeFill="accent1" w:themeFillTint="33"/>
            <w:vAlign w:val="center"/>
          </w:tcPr>
          <w:p w14:paraId="4D4A4FE9" w14:textId="30328C2B" w:rsidR="00C73E2F" w:rsidRPr="006A5A9B" w:rsidRDefault="00C73E2F" w:rsidP="00C73E2F">
            <w:pPr>
              <w:tabs>
                <w:tab w:val="decimal" w:pos="452"/>
              </w:tabs>
              <w:rPr>
                <w:rFonts w:cs="Arial"/>
                <w:bCs/>
                <w:color w:val="000000"/>
                <w:sz w:val="18"/>
                <w:szCs w:val="18"/>
              </w:rPr>
            </w:pPr>
            <w:r>
              <w:rPr>
                <w:rFonts w:cs="Arial"/>
                <w:sz w:val="16"/>
                <w:szCs w:val="16"/>
              </w:rPr>
              <w:t>0.9</w:t>
            </w:r>
          </w:p>
        </w:tc>
        <w:tc>
          <w:tcPr>
            <w:tcW w:w="376" w:type="pct"/>
            <w:tcBorders>
              <w:left w:val="nil"/>
            </w:tcBorders>
            <w:shd w:val="clear" w:color="auto" w:fill="DBE5F1" w:themeFill="accent1" w:themeFillTint="33"/>
            <w:vAlign w:val="center"/>
          </w:tcPr>
          <w:p w14:paraId="69574DA0" w14:textId="54693661" w:rsidR="00C73E2F" w:rsidRDefault="00C73E2F" w:rsidP="00C73E2F">
            <w:pPr>
              <w:tabs>
                <w:tab w:val="decimal" w:pos="452"/>
              </w:tabs>
              <w:rPr>
                <w:rFonts w:cs="Arial"/>
                <w:color w:val="000000"/>
                <w:sz w:val="18"/>
                <w:szCs w:val="18"/>
              </w:rPr>
            </w:pPr>
            <w:r>
              <w:rPr>
                <w:rFonts w:cs="Arial"/>
                <w:sz w:val="16"/>
                <w:szCs w:val="16"/>
              </w:rPr>
              <w:t>1.</w:t>
            </w:r>
            <w:r w:rsidR="00093703">
              <w:rPr>
                <w:rFonts w:cs="Arial"/>
                <w:sz w:val="16"/>
                <w:szCs w:val="16"/>
              </w:rPr>
              <w:t>7</w:t>
            </w:r>
          </w:p>
        </w:tc>
        <w:tc>
          <w:tcPr>
            <w:tcW w:w="508" w:type="pct"/>
            <w:tcBorders>
              <w:left w:val="nil"/>
              <w:right w:val="nil"/>
            </w:tcBorders>
            <w:shd w:val="clear" w:color="auto" w:fill="DBE5F1" w:themeFill="accent1" w:themeFillTint="33"/>
            <w:vAlign w:val="center"/>
          </w:tcPr>
          <w:p w14:paraId="243CF523" w14:textId="690A59B5" w:rsidR="00C73E2F" w:rsidRDefault="00093703" w:rsidP="00C73E2F">
            <w:pPr>
              <w:tabs>
                <w:tab w:val="decimal" w:pos="452"/>
              </w:tabs>
              <w:rPr>
                <w:rFonts w:cs="Arial"/>
                <w:color w:val="000000"/>
                <w:sz w:val="18"/>
                <w:szCs w:val="18"/>
              </w:rPr>
            </w:pPr>
            <w:r>
              <w:rPr>
                <w:rFonts w:cs="Arial"/>
                <w:sz w:val="16"/>
                <w:szCs w:val="16"/>
              </w:rPr>
              <w:t>5.2</w:t>
            </w:r>
          </w:p>
        </w:tc>
        <w:tc>
          <w:tcPr>
            <w:tcW w:w="499" w:type="pct"/>
            <w:tcBorders>
              <w:left w:val="nil"/>
              <w:right w:val="single" w:sz="4" w:space="0" w:color="auto"/>
            </w:tcBorders>
            <w:shd w:val="clear" w:color="auto" w:fill="DBE5F1" w:themeFill="accent1" w:themeFillTint="33"/>
            <w:vAlign w:val="center"/>
          </w:tcPr>
          <w:p w14:paraId="658EC677" w14:textId="021F7BBE" w:rsidR="00C73E2F" w:rsidRDefault="00093703" w:rsidP="00C73E2F">
            <w:pPr>
              <w:tabs>
                <w:tab w:val="decimal" w:pos="452"/>
              </w:tabs>
              <w:rPr>
                <w:rFonts w:cs="Arial"/>
                <w:color w:val="000000"/>
                <w:sz w:val="18"/>
                <w:szCs w:val="18"/>
              </w:rPr>
            </w:pPr>
            <w:r>
              <w:rPr>
                <w:rFonts w:cs="Arial"/>
                <w:sz w:val="16"/>
                <w:szCs w:val="16"/>
              </w:rPr>
              <w:t>2.5</w:t>
            </w:r>
          </w:p>
        </w:tc>
        <w:tc>
          <w:tcPr>
            <w:tcW w:w="497" w:type="pct"/>
            <w:tcBorders>
              <w:left w:val="single" w:sz="4" w:space="0" w:color="auto"/>
              <w:right w:val="double" w:sz="6" w:space="0" w:color="auto"/>
            </w:tcBorders>
            <w:shd w:val="clear" w:color="auto" w:fill="DBE5F1" w:themeFill="accent1" w:themeFillTint="33"/>
            <w:vAlign w:val="center"/>
          </w:tcPr>
          <w:p w14:paraId="41D32673" w14:textId="37C7BC2B" w:rsidR="00C73E2F" w:rsidRDefault="00093703" w:rsidP="00C73E2F">
            <w:pPr>
              <w:tabs>
                <w:tab w:val="decimal" w:pos="452"/>
              </w:tabs>
              <w:rPr>
                <w:rFonts w:cs="Arial"/>
                <w:sz w:val="16"/>
                <w:szCs w:val="16"/>
              </w:rPr>
            </w:pPr>
            <w:r>
              <w:rPr>
                <w:rFonts w:cs="Arial"/>
                <w:sz w:val="16"/>
                <w:szCs w:val="16"/>
              </w:rPr>
              <w:t>5.5</w:t>
            </w:r>
          </w:p>
        </w:tc>
      </w:tr>
      <w:tr w:rsidR="00C73E2F" w:rsidRPr="00B50BEE" w14:paraId="0C720E54" w14:textId="5C76D30E" w:rsidTr="00C73E2F">
        <w:trPr>
          <w:cantSplit/>
          <w:jc w:val="center"/>
        </w:trPr>
        <w:tc>
          <w:tcPr>
            <w:tcW w:w="2293" w:type="pct"/>
            <w:tcBorders>
              <w:left w:val="double" w:sz="6" w:space="0" w:color="auto"/>
              <w:right w:val="single" w:sz="4" w:space="0" w:color="auto"/>
            </w:tcBorders>
            <w:shd w:val="clear" w:color="auto" w:fill="auto"/>
            <w:vAlign w:val="center"/>
          </w:tcPr>
          <w:p w14:paraId="6C9F802B" w14:textId="77777777" w:rsidR="00C73E2F" w:rsidRPr="00B50BEE" w:rsidRDefault="00C73E2F" w:rsidP="00C73E2F">
            <w:pPr>
              <w:tabs>
                <w:tab w:val="left" w:pos="667"/>
              </w:tabs>
              <w:spacing w:before="40" w:after="20"/>
              <w:ind w:left="657" w:hanging="544"/>
              <w:rPr>
                <w:rFonts w:cs="Arial"/>
                <w:sz w:val="18"/>
                <w:szCs w:val="18"/>
              </w:rPr>
            </w:pPr>
            <w:r w:rsidRPr="00B50BEE">
              <w:rPr>
                <w:rFonts w:cs="Arial"/>
                <w:sz w:val="18"/>
                <w:szCs w:val="18"/>
              </w:rPr>
              <w:t>53</w:t>
            </w:r>
            <w:r w:rsidRPr="00B50BEE">
              <w:rPr>
                <w:rFonts w:cs="Arial"/>
                <w:sz w:val="18"/>
                <w:szCs w:val="18"/>
              </w:rPr>
              <w:tab/>
              <w:t xml:space="preserve">Servicios inmobiliarios y de alquiler de bienes muebles e intangibles </w:t>
            </w:r>
          </w:p>
        </w:tc>
        <w:tc>
          <w:tcPr>
            <w:tcW w:w="406" w:type="pct"/>
            <w:tcBorders>
              <w:left w:val="single" w:sz="4" w:space="0" w:color="auto"/>
            </w:tcBorders>
            <w:vAlign w:val="center"/>
          </w:tcPr>
          <w:p w14:paraId="23D9E64E" w14:textId="7971EA51" w:rsidR="00C73E2F" w:rsidRDefault="00C73E2F" w:rsidP="00C73E2F">
            <w:pPr>
              <w:tabs>
                <w:tab w:val="decimal" w:pos="452"/>
              </w:tabs>
              <w:rPr>
                <w:rFonts w:cs="Arial"/>
                <w:color w:val="000000"/>
                <w:sz w:val="18"/>
                <w:szCs w:val="18"/>
              </w:rPr>
            </w:pPr>
            <w:r>
              <w:rPr>
                <w:rFonts w:cs="Arial"/>
                <w:sz w:val="16"/>
                <w:szCs w:val="16"/>
              </w:rPr>
              <w:t>1.1</w:t>
            </w:r>
          </w:p>
        </w:tc>
        <w:tc>
          <w:tcPr>
            <w:tcW w:w="421" w:type="pct"/>
            <w:tcBorders>
              <w:left w:val="nil"/>
            </w:tcBorders>
            <w:vAlign w:val="center"/>
          </w:tcPr>
          <w:p w14:paraId="10B530C8" w14:textId="39B6B722" w:rsidR="00C73E2F" w:rsidRPr="006A5A9B" w:rsidRDefault="00C73E2F" w:rsidP="00C73E2F">
            <w:pPr>
              <w:tabs>
                <w:tab w:val="decimal" w:pos="452"/>
              </w:tabs>
              <w:rPr>
                <w:rFonts w:cs="Arial"/>
                <w:bCs/>
                <w:color w:val="000000"/>
                <w:sz w:val="18"/>
                <w:szCs w:val="18"/>
              </w:rPr>
            </w:pPr>
            <w:r>
              <w:rPr>
                <w:rFonts w:cs="Arial"/>
                <w:sz w:val="16"/>
                <w:szCs w:val="16"/>
              </w:rPr>
              <w:t>1.7</w:t>
            </w:r>
          </w:p>
        </w:tc>
        <w:tc>
          <w:tcPr>
            <w:tcW w:w="376" w:type="pct"/>
            <w:tcBorders>
              <w:left w:val="nil"/>
            </w:tcBorders>
            <w:vAlign w:val="center"/>
          </w:tcPr>
          <w:p w14:paraId="0D1A9C74" w14:textId="5912E29A" w:rsidR="00C73E2F" w:rsidRDefault="00C73E2F" w:rsidP="00C73E2F">
            <w:pPr>
              <w:tabs>
                <w:tab w:val="decimal" w:pos="452"/>
              </w:tabs>
              <w:rPr>
                <w:rFonts w:cs="Arial"/>
                <w:color w:val="000000"/>
                <w:sz w:val="18"/>
                <w:szCs w:val="18"/>
              </w:rPr>
            </w:pPr>
            <w:r>
              <w:rPr>
                <w:rFonts w:cs="Arial"/>
                <w:sz w:val="16"/>
                <w:szCs w:val="16"/>
              </w:rPr>
              <w:t>2.3</w:t>
            </w:r>
          </w:p>
        </w:tc>
        <w:tc>
          <w:tcPr>
            <w:tcW w:w="508" w:type="pct"/>
            <w:tcBorders>
              <w:left w:val="nil"/>
              <w:right w:val="nil"/>
            </w:tcBorders>
            <w:vAlign w:val="center"/>
          </w:tcPr>
          <w:p w14:paraId="5C1CBB22" w14:textId="4BA0555B" w:rsidR="00C73E2F" w:rsidRDefault="00C73E2F" w:rsidP="00C73E2F">
            <w:pPr>
              <w:tabs>
                <w:tab w:val="decimal" w:pos="452"/>
              </w:tabs>
              <w:rPr>
                <w:rFonts w:cs="Arial"/>
                <w:color w:val="000000"/>
                <w:sz w:val="18"/>
                <w:szCs w:val="18"/>
              </w:rPr>
            </w:pPr>
            <w:r>
              <w:rPr>
                <w:rFonts w:cs="Arial"/>
                <w:sz w:val="16"/>
                <w:szCs w:val="16"/>
              </w:rPr>
              <w:t>2.9</w:t>
            </w:r>
          </w:p>
        </w:tc>
        <w:tc>
          <w:tcPr>
            <w:tcW w:w="499" w:type="pct"/>
            <w:tcBorders>
              <w:left w:val="nil"/>
              <w:right w:val="single" w:sz="4" w:space="0" w:color="auto"/>
            </w:tcBorders>
            <w:vAlign w:val="center"/>
          </w:tcPr>
          <w:p w14:paraId="66957DBF" w14:textId="0DCF2DF5" w:rsidR="00C73E2F" w:rsidRDefault="00C73E2F" w:rsidP="00C73E2F">
            <w:pPr>
              <w:tabs>
                <w:tab w:val="decimal" w:pos="452"/>
              </w:tabs>
              <w:rPr>
                <w:rFonts w:cs="Arial"/>
                <w:color w:val="000000"/>
                <w:sz w:val="18"/>
                <w:szCs w:val="18"/>
              </w:rPr>
            </w:pPr>
            <w:r>
              <w:rPr>
                <w:rFonts w:cs="Arial"/>
                <w:sz w:val="16"/>
                <w:szCs w:val="16"/>
              </w:rPr>
              <w:t>2.0</w:t>
            </w:r>
          </w:p>
        </w:tc>
        <w:tc>
          <w:tcPr>
            <w:tcW w:w="497" w:type="pct"/>
            <w:tcBorders>
              <w:left w:val="single" w:sz="4" w:space="0" w:color="auto"/>
              <w:right w:val="double" w:sz="6" w:space="0" w:color="auto"/>
            </w:tcBorders>
            <w:vAlign w:val="center"/>
          </w:tcPr>
          <w:p w14:paraId="558BB2A6" w14:textId="25D1E849" w:rsidR="00C73E2F" w:rsidRDefault="00C73E2F" w:rsidP="00C73E2F">
            <w:pPr>
              <w:tabs>
                <w:tab w:val="decimal" w:pos="452"/>
              </w:tabs>
              <w:rPr>
                <w:rFonts w:cs="Arial"/>
                <w:sz w:val="16"/>
                <w:szCs w:val="16"/>
              </w:rPr>
            </w:pPr>
            <w:r>
              <w:rPr>
                <w:rFonts w:cs="Arial"/>
                <w:sz w:val="16"/>
                <w:szCs w:val="16"/>
              </w:rPr>
              <w:t>2.</w:t>
            </w:r>
            <w:r w:rsidR="00540F04">
              <w:rPr>
                <w:rFonts w:cs="Arial"/>
                <w:sz w:val="16"/>
                <w:szCs w:val="16"/>
              </w:rPr>
              <w:t>2</w:t>
            </w:r>
          </w:p>
        </w:tc>
      </w:tr>
      <w:tr w:rsidR="00C73E2F" w:rsidRPr="00B50BEE" w14:paraId="45A200C1" w14:textId="6B518017" w:rsidTr="00C73E2F">
        <w:trPr>
          <w:cantSplit/>
          <w:jc w:val="center"/>
        </w:trPr>
        <w:tc>
          <w:tcPr>
            <w:tcW w:w="2293" w:type="pct"/>
            <w:tcBorders>
              <w:left w:val="double" w:sz="6" w:space="0" w:color="auto"/>
              <w:right w:val="single" w:sz="4" w:space="0" w:color="auto"/>
            </w:tcBorders>
            <w:shd w:val="clear" w:color="auto" w:fill="DBE5F1" w:themeFill="accent1" w:themeFillTint="33"/>
            <w:vAlign w:val="center"/>
          </w:tcPr>
          <w:p w14:paraId="0E9C6E3B" w14:textId="77777777" w:rsidR="00C73E2F" w:rsidRPr="00B50BEE" w:rsidRDefault="00C73E2F" w:rsidP="00C73E2F">
            <w:pPr>
              <w:tabs>
                <w:tab w:val="left" w:pos="667"/>
              </w:tabs>
              <w:spacing w:before="40" w:after="20"/>
              <w:ind w:left="657" w:hanging="544"/>
              <w:rPr>
                <w:rFonts w:cs="Arial"/>
                <w:sz w:val="18"/>
                <w:szCs w:val="18"/>
              </w:rPr>
            </w:pPr>
            <w:r w:rsidRPr="00B50BEE">
              <w:rPr>
                <w:rFonts w:cs="Arial"/>
                <w:sz w:val="18"/>
                <w:szCs w:val="18"/>
              </w:rPr>
              <w:t>54</w:t>
            </w:r>
            <w:r w:rsidRPr="00B50BEE">
              <w:rPr>
                <w:rFonts w:cs="Arial"/>
                <w:sz w:val="18"/>
                <w:szCs w:val="18"/>
              </w:rPr>
              <w:tab/>
              <w:t xml:space="preserve">Servicios profesionales, científicos y técnicos </w:t>
            </w:r>
          </w:p>
        </w:tc>
        <w:tc>
          <w:tcPr>
            <w:tcW w:w="406" w:type="pct"/>
            <w:tcBorders>
              <w:left w:val="single" w:sz="4" w:space="0" w:color="auto"/>
            </w:tcBorders>
            <w:shd w:val="clear" w:color="auto" w:fill="DBE5F1" w:themeFill="accent1" w:themeFillTint="33"/>
            <w:vAlign w:val="center"/>
          </w:tcPr>
          <w:p w14:paraId="36128B62" w14:textId="0B44C477" w:rsidR="00C73E2F" w:rsidRDefault="00C73E2F" w:rsidP="00C73E2F">
            <w:pPr>
              <w:tabs>
                <w:tab w:val="decimal" w:pos="452"/>
              </w:tabs>
              <w:rPr>
                <w:rFonts w:cs="Arial"/>
                <w:color w:val="000000"/>
                <w:sz w:val="18"/>
                <w:szCs w:val="18"/>
              </w:rPr>
            </w:pPr>
            <w:r>
              <w:rPr>
                <w:rFonts w:cs="Arial"/>
                <w:sz w:val="16"/>
                <w:szCs w:val="16"/>
              </w:rPr>
              <w:t>7.6</w:t>
            </w:r>
          </w:p>
        </w:tc>
        <w:tc>
          <w:tcPr>
            <w:tcW w:w="421" w:type="pct"/>
            <w:tcBorders>
              <w:left w:val="nil"/>
            </w:tcBorders>
            <w:shd w:val="clear" w:color="auto" w:fill="DBE5F1" w:themeFill="accent1" w:themeFillTint="33"/>
            <w:vAlign w:val="center"/>
          </w:tcPr>
          <w:p w14:paraId="01517B97" w14:textId="57E79480" w:rsidR="00C73E2F" w:rsidRPr="006A5A9B" w:rsidRDefault="00C73E2F" w:rsidP="00C73E2F">
            <w:pPr>
              <w:tabs>
                <w:tab w:val="decimal" w:pos="452"/>
              </w:tabs>
              <w:rPr>
                <w:rFonts w:cs="Arial"/>
                <w:bCs/>
                <w:color w:val="000000"/>
                <w:sz w:val="18"/>
                <w:szCs w:val="18"/>
              </w:rPr>
            </w:pPr>
            <w:r>
              <w:rPr>
                <w:rFonts w:cs="Arial"/>
                <w:sz w:val="16"/>
                <w:szCs w:val="16"/>
              </w:rPr>
              <w:t>11.5</w:t>
            </w:r>
          </w:p>
        </w:tc>
        <w:tc>
          <w:tcPr>
            <w:tcW w:w="376" w:type="pct"/>
            <w:tcBorders>
              <w:left w:val="nil"/>
            </w:tcBorders>
            <w:shd w:val="clear" w:color="auto" w:fill="DBE5F1" w:themeFill="accent1" w:themeFillTint="33"/>
            <w:vAlign w:val="center"/>
          </w:tcPr>
          <w:p w14:paraId="429EF546" w14:textId="2353F121" w:rsidR="00C73E2F" w:rsidRDefault="00C73E2F" w:rsidP="00C73E2F">
            <w:pPr>
              <w:tabs>
                <w:tab w:val="decimal" w:pos="452"/>
              </w:tabs>
              <w:rPr>
                <w:rFonts w:cs="Arial"/>
                <w:color w:val="000000"/>
                <w:sz w:val="18"/>
                <w:szCs w:val="18"/>
              </w:rPr>
            </w:pPr>
            <w:r>
              <w:rPr>
                <w:rFonts w:cs="Arial"/>
                <w:sz w:val="16"/>
                <w:szCs w:val="16"/>
              </w:rPr>
              <w:t>6.9</w:t>
            </w:r>
          </w:p>
        </w:tc>
        <w:tc>
          <w:tcPr>
            <w:tcW w:w="508" w:type="pct"/>
            <w:tcBorders>
              <w:left w:val="nil"/>
              <w:right w:val="nil"/>
            </w:tcBorders>
            <w:shd w:val="clear" w:color="auto" w:fill="DBE5F1" w:themeFill="accent1" w:themeFillTint="33"/>
            <w:vAlign w:val="center"/>
          </w:tcPr>
          <w:p w14:paraId="29A6F504" w14:textId="15929D1E" w:rsidR="00C73E2F" w:rsidRDefault="00C73E2F" w:rsidP="00C73E2F">
            <w:pPr>
              <w:tabs>
                <w:tab w:val="decimal" w:pos="452"/>
              </w:tabs>
              <w:rPr>
                <w:rFonts w:cs="Arial"/>
                <w:color w:val="000000"/>
                <w:sz w:val="18"/>
                <w:szCs w:val="18"/>
              </w:rPr>
            </w:pPr>
            <w:r>
              <w:rPr>
                <w:rFonts w:cs="Arial"/>
                <w:sz w:val="16"/>
                <w:szCs w:val="16"/>
              </w:rPr>
              <w:t>-2.0</w:t>
            </w:r>
          </w:p>
        </w:tc>
        <w:tc>
          <w:tcPr>
            <w:tcW w:w="499" w:type="pct"/>
            <w:tcBorders>
              <w:left w:val="nil"/>
              <w:right w:val="single" w:sz="4" w:space="0" w:color="auto"/>
            </w:tcBorders>
            <w:shd w:val="clear" w:color="auto" w:fill="DBE5F1" w:themeFill="accent1" w:themeFillTint="33"/>
            <w:vAlign w:val="center"/>
          </w:tcPr>
          <w:p w14:paraId="5003575E" w14:textId="30BD96D7" w:rsidR="00C73E2F" w:rsidRDefault="00C73E2F" w:rsidP="00C73E2F">
            <w:pPr>
              <w:tabs>
                <w:tab w:val="decimal" w:pos="452"/>
              </w:tabs>
              <w:rPr>
                <w:rFonts w:cs="Arial"/>
                <w:color w:val="000000"/>
                <w:sz w:val="18"/>
                <w:szCs w:val="18"/>
              </w:rPr>
            </w:pPr>
            <w:r>
              <w:rPr>
                <w:rFonts w:cs="Arial"/>
                <w:sz w:val="16"/>
                <w:szCs w:val="16"/>
              </w:rPr>
              <w:t>5.8</w:t>
            </w:r>
          </w:p>
        </w:tc>
        <w:tc>
          <w:tcPr>
            <w:tcW w:w="497" w:type="pct"/>
            <w:tcBorders>
              <w:left w:val="single" w:sz="4" w:space="0" w:color="auto"/>
              <w:right w:val="double" w:sz="6" w:space="0" w:color="auto"/>
            </w:tcBorders>
            <w:shd w:val="clear" w:color="auto" w:fill="DBE5F1" w:themeFill="accent1" w:themeFillTint="33"/>
            <w:vAlign w:val="center"/>
          </w:tcPr>
          <w:p w14:paraId="30ABE0E0" w14:textId="12A9FEC1" w:rsidR="00C73E2F" w:rsidRDefault="00540F04" w:rsidP="00C73E2F">
            <w:pPr>
              <w:tabs>
                <w:tab w:val="decimal" w:pos="452"/>
              </w:tabs>
              <w:rPr>
                <w:rFonts w:cs="Arial"/>
                <w:sz w:val="16"/>
                <w:szCs w:val="16"/>
              </w:rPr>
            </w:pPr>
            <w:r>
              <w:rPr>
                <w:rFonts w:cs="Arial"/>
                <w:sz w:val="16"/>
                <w:szCs w:val="16"/>
              </w:rPr>
              <w:t>6.7</w:t>
            </w:r>
          </w:p>
        </w:tc>
      </w:tr>
      <w:tr w:rsidR="00C73E2F" w:rsidRPr="00B50BEE" w14:paraId="2C1C0BBD" w14:textId="4CDEC837" w:rsidTr="00C73E2F">
        <w:trPr>
          <w:cantSplit/>
          <w:jc w:val="center"/>
        </w:trPr>
        <w:tc>
          <w:tcPr>
            <w:tcW w:w="2293" w:type="pct"/>
            <w:tcBorders>
              <w:left w:val="double" w:sz="6" w:space="0" w:color="auto"/>
              <w:right w:val="single" w:sz="4" w:space="0" w:color="auto"/>
            </w:tcBorders>
            <w:shd w:val="clear" w:color="auto" w:fill="auto"/>
            <w:vAlign w:val="center"/>
          </w:tcPr>
          <w:p w14:paraId="7303C606" w14:textId="77777777" w:rsidR="00C73E2F" w:rsidRPr="00B50BEE" w:rsidRDefault="00C73E2F" w:rsidP="00C73E2F">
            <w:pPr>
              <w:tabs>
                <w:tab w:val="left" w:pos="667"/>
              </w:tabs>
              <w:spacing w:before="40" w:after="20"/>
              <w:ind w:left="657" w:hanging="544"/>
              <w:rPr>
                <w:rFonts w:cs="Arial"/>
                <w:sz w:val="18"/>
                <w:szCs w:val="18"/>
              </w:rPr>
            </w:pPr>
            <w:r w:rsidRPr="00B50BEE">
              <w:rPr>
                <w:rFonts w:cs="Arial"/>
                <w:sz w:val="18"/>
                <w:szCs w:val="18"/>
              </w:rPr>
              <w:t>55</w:t>
            </w:r>
            <w:r w:rsidRPr="00B50BEE">
              <w:rPr>
                <w:rFonts w:cs="Arial"/>
                <w:sz w:val="18"/>
                <w:szCs w:val="18"/>
              </w:rPr>
              <w:tab/>
              <w:t>Corporativos</w:t>
            </w:r>
          </w:p>
        </w:tc>
        <w:tc>
          <w:tcPr>
            <w:tcW w:w="406" w:type="pct"/>
            <w:tcBorders>
              <w:left w:val="single" w:sz="4" w:space="0" w:color="auto"/>
            </w:tcBorders>
            <w:vAlign w:val="center"/>
          </w:tcPr>
          <w:p w14:paraId="6360B735" w14:textId="27946B9F" w:rsidR="00C73E2F" w:rsidRDefault="00EF768F" w:rsidP="00C73E2F">
            <w:pPr>
              <w:tabs>
                <w:tab w:val="decimal" w:pos="452"/>
              </w:tabs>
              <w:rPr>
                <w:rFonts w:cs="Arial"/>
                <w:color w:val="000000"/>
                <w:sz w:val="18"/>
                <w:szCs w:val="18"/>
              </w:rPr>
            </w:pPr>
            <w:r>
              <w:rPr>
                <w:rFonts w:cs="Arial"/>
                <w:sz w:val="16"/>
                <w:szCs w:val="16"/>
              </w:rPr>
              <w:t>7.9</w:t>
            </w:r>
          </w:p>
        </w:tc>
        <w:tc>
          <w:tcPr>
            <w:tcW w:w="421" w:type="pct"/>
            <w:tcBorders>
              <w:left w:val="nil"/>
            </w:tcBorders>
            <w:vAlign w:val="center"/>
          </w:tcPr>
          <w:p w14:paraId="28EDDF8C" w14:textId="31380DDC" w:rsidR="00C73E2F" w:rsidRPr="006A5A9B" w:rsidRDefault="00C73E2F" w:rsidP="00C73E2F">
            <w:pPr>
              <w:tabs>
                <w:tab w:val="decimal" w:pos="452"/>
              </w:tabs>
              <w:rPr>
                <w:rFonts w:cs="Arial"/>
                <w:bCs/>
                <w:color w:val="000000"/>
                <w:sz w:val="18"/>
                <w:szCs w:val="18"/>
              </w:rPr>
            </w:pPr>
            <w:r>
              <w:rPr>
                <w:rFonts w:cs="Arial"/>
                <w:sz w:val="16"/>
                <w:szCs w:val="16"/>
              </w:rPr>
              <w:t>11.5</w:t>
            </w:r>
          </w:p>
        </w:tc>
        <w:tc>
          <w:tcPr>
            <w:tcW w:w="376" w:type="pct"/>
            <w:tcBorders>
              <w:left w:val="nil"/>
            </w:tcBorders>
            <w:vAlign w:val="center"/>
          </w:tcPr>
          <w:p w14:paraId="5CCC7084" w14:textId="7F736366" w:rsidR="00C73E2F" w:rsidRDefault="00C73E2F" w:rsidP="00C73E2F">
            <w:pPr>
              <w:tabs>
                <w:tab w:val="decimal" w:pos="452"/>
              </w:tabs>
              <w:rPr>
                <w:rFonts w:cs="Arial"/>
                <w:color w:val="000000"/>
                <w:sz w:val="18"/>
                <w:szCs w:val="18"/>
              </w:rPr>
            </w:pPr>
            <w:r>
              <w:rPr>
                <w:rFonts w:cs="Arial"/>
                <w:sz w:val="16"/>
                <w:szCs w:val="16"/>
              </w:rPr>
              <w:t>10.8</w:t>
            </w:r>
          </w:p>
        </w:tc>
        <w:tc>
          <w:tcPr>
            <w:tcW w:w="508" w:type="pct"/>
            <w:tcBorders>
              <w:left w:val="nil"/>
              <w:right w:val="nil"/>
            </w:tcBorders>
            <w:vAlign w:val="center"/>
          </w:tcPr>
          <w:p w14:paraId="2D1034EF" w14:textId="4B28DB9F" w:rsidR="00C73E2F" w:rsidRDefault="00EF768F" w:rsidP="00C73E2F">
            <w:pPr>
              <w:tabs>
                <w:tab w:val="decimal" w:pos="452"/>
              </w:tabs>
              <w:rPr>
                <w:rFonts w:cs="Arial"/>
                <w:color w:val="000000"/>
                <w:sz w:val="18"/>
                <w:szCs w:val="18"/>
              </w:rPr>
            </w:pPr>
            <w:r>
              <w:rPr>
                <w:rFonts w:cs="Arial"/>
                <w:sz w:val="16"/>
                <w:szCs w:val="16"/>
              </w:rPr>
              <w:t>9.6</w:t>
            </w:r>
          </w:p>
        </w:tc>
        <w:tc>
          <w:tcPr>
            <w:tcW w:w="499" w:type="pct"/>
            <w:tcBorders>
              <w:left w:val="nil"/>
              <w:right w:val="single" w:sz="4" w:space="0" w:color="auto"/>
            </w:tcBorders>
            <w:vAlign w:val="center"/>
          </w:tcPr>
          <w:p w14:paraId="25FC8156" w14:textId="2739E81A" w:rsidR="00C73E2F" w:rsidRDefault="00EF768F" w:rsidP="00C73E2F">
            <w:pPr>
              <w:tabs>
                <w:tab w:val="decimal" w:pos="452"/>
              </w:tabs>
              <w:rPr>
                <w:rFonts w:cs="Arial"/>
                <w:color w:val="000000"/>
                <w:sz w:val="18"/>
                <w:szCs w:val="18"/>
              </w:rPr>
            </w:pPr>
            <w:r>
              <w:rPr>
                <w:rFonts w:cs="Arial"/>
                <w:sz w:val="16"/>
                <w:szCs w:val="16"/>
              </w:rPr>
              <w:t>10.0</w:t>
            </w:r>
          </w:p>
        </w:tc>
        <w:tc>
          <w:tcPr>
            <w:tcW w:w="497" w:type="pct"/>
            <w:tcBorders>
              <w:left w:val="single" w:sz="4" w:space="0" w:color="auto"/>
              <w:right w:val="double" w:sz="6" w:space="0" w:color="auto"/>
            </w:tcBorders>
            <w:vAlign w:val="center"/>
          </w:tcPr>
          <w:p w14:paraId="19B3D3D4" w14:textId="18A63754" w:rsidR="00C73E2F" w:rsidRDefault="00EF768F" w:rsidP="00C73E2F">
            <w:pPr>
              <w:tabs>
                <w:tab w:val="decimal" w:pos="452"/>
              </w:tabs>
              <w:rPr>
                <w:rFonts w:cs="Arial"/>
                <w:sz w:val="16"/>
                <w:szCs w:val="16"/>
              </w:rPr>
            </w:pPr>
            <w:r>
              <w:rPr>
                <w:rFonts w:cs="Arial"/>
                <w:sz w:val="16"/>
                <w:szCs w:val="16"/>
              </w:rPr>
              <w:t>12.4</w:t>
            </w:r>
          </w:p>
        </w:tc>
      </w:tr>
      <w:tr w:rsidR="00C73E2F" w:rsidRPr="00B50BEE" w14:paraId="4BDFFCF0" w14:textId="22D22A6F" w:rsidTr="00C73E2F">
        <w:trPr>
          <w:cantSplit/>
          <w:jc w:val="center"/>
        </w:trPr>
        <w:tc>
          <w:tcPr>
            <w:tcW w:w="2293" w:type="pct"/>
            <w:tcBorders>
              <w:left w:val="double" w:sz="6" w:space="0" w:color="auto"/>
              <w:right w:val="single" w:sz="4" w:space="0" w:color="auto"/>
            </w:tcBorders>
            <w:shd w:val="clear" w:color="auto" w:fill="DBE5F1" w:themeFill="accent1" w:themeFillTint="33"/>
            <w:vAlign w:val="center"/>
          </w:tcPr>
          <w:p w14:paraId="4AFB165E" w14:textId="77777777" w:rsidR="00C73E2F" w:rsidRPr="00B50BEE" w:rsidRDefault="00C73E2F" w:rsidP="00C73E2F">
            <w:pPr>
              <w:tabs>
                <w:tab w:val="left" w:pos="667"/>
              </w:tabs>
              <w:spacing w:before="40" w:after="20"/>
              <w:ind w:left="657" w:hanging="544"/>
              <w:rPr>
                <w:rFonts w:cs="Arial"/>
                <w:sz w:val="18"/>
                <w:szCs w:val="18"/>
              </w:rPr>
            </w:pPr>
            <w:r w:rsidRPr="00B50BEE">
              <w:rPr>
                <w:rFonts w:cs="Arial"/>
                <w:sz w:val="18"/>
                <w:szCs w:val="18"/>
              </w:rPr>
              <w:t>56</w:t>
            </w:r>
            <w:r w:rsidRPr="00B50BEE">
              <w:rPr>
                <w:rFonts w:cs="Arial"/>
                <w:sz w:val="18"/>
                <w:szCs w:val="18"/>
              </w:rPr>
              <w:tab/>
              <w:t>Servicios de apoyo a los negocios y manejo de</w:t>
            </w:r>
            <w:r>
              <w:rPr>
                <w:rFonts w:cs="Arial"/>
                <w:sz w:val="18"/>
                <w:szCs w:val="18"/>
              </w:rPr>
              <w:t xml:space="preserve"> residuos y</w:t>
            </w:r>
            <w:r w:rsidRPr="00B50BEE">
              <w:rPr>
                <w:rFonts w:cs="Arial"/>
                <w:sz w:val="18"/>
                <w:szCs w:val="18"/>
              </w:rPr>
              <w:t xml:space="preserve"> desechos</w:t>
            </w:r>
            <w:r>
              <w:rPr>
                <w:rFonts w:cs="Arial"/>
                <w:sz w:val="18"/>
                <w:szCs w:val="18"/>
              </w:rPr>
              <w:t>,</w:t>
            </w:r>
            <w:r w:rsidRPr="00B50BEE">
              <w:rPr>
                <w:rFonts w:cs="Arial"/>
                <w:sz w:val="18"/>
                <w:szCs w:val="18"/>
              </w:rPr>
              <w:t xml:space="preserve"> y servicios de remediación </w:t>
            </w:r>
          </w:p>
        </w:tc>
        <w:tc>
          <w:tcPr>
            <w:tcW w:w="406" w:type="pct"/>
            <w:tcBorders>
              <w:left w:val="single" w:sz="4" w:space="0" w:color="auto"/>
            </w:tcBorders>
            <w:shd w:val="clear" w:color="auto" w:fill="DBE5F1" w:themeFill="accent1" w:themeFillTint="33"/>
            <w:vAlign w:val="center"/>
          </w:tcPr>
          <w:p w14:paraId="7EE7A28F" w14:textId="4DB15D17" w:rsidR="00C73E2F" w:rsidRDefault="00C73E2F" w:rsidP="00C73E2F">
            <w:pPr>
              <w:tabs>
                <w:tab w:val="decimal" w:pos="452"/>
              </w:tabs>
              <w:rPr>
                <w:rFonts w:cs="Arial"/>
                <w:color w:val="000000"/>
                <w:sz w:val="18"/>
                <w:szCs w:val="18"/>
              </w:rPr>
            </w:pPr>
            <w:r>
              <w:rPr>
                <w:rFonts w:cs="Arial"/>
                <w:sz w:val="16"/>
                <w:szCs w:val="16"/>
              </w:rPr>
              <w:t>-73.7</w:t>
            </w:r>
          </w:p>
        </w:tc>
        <w:tc>
          <w:tcPr>
            <w:tcW w:w="421" w:type="pct"/>
            <w:tcBorders>
              <w:left w:val="nil"/>
            </w:tcBorders>
            <w:shd w:val="clear" w:color="auto" w:fill="DBE5F1" w:themeFill="accent1" w:themeFillTint="33"/>
            <w:vAlign w:val="center"/>
          </w:tcPr>
          <w:p w14:paraId="1C9FF7A8" w14:textId="334F2D04" w:rsidR="00C73E2F" w:rsidRPr="006A5A9B" w:rsidRDefault="00C73E2F" w:rsidP="00C73E2F">
            <w:pPr>
              <w:tabs>
                <w:tab w:val="decimal" w:pos="452"/>
              </w:tabs>
              <w:rPr>
                <w:rFonts w:cs="Arial"/>
                <w:bCs/>
                <w:color w:val="000000"/>
                <w:sz w:val="18"/>
                <w:szCs w:val="18"/>
              </w:rPr>
            </w:pPr>
            <w:r>
              <w:rPr>
                <w:rFonts w:cs="Arial"/>
                <w:sz w:val="16"/>
                <w:szCs w:val="16"/>
              </w:rPr>
              <w:t>-71.4</w:t>
            </w:r>
          </w:p>
        </w:tc>
        <w:tc>
          <w:tcPr>
            <w:tcW w:w="376" w:type="pct"/>
            <w:tcBorders>
              <w:left w:val="nil"/>
            </w:tcBorders>
            <w:shd w:val="clear" w:color="auto" w:fill="DBE5F1" w:themeFill="accent1" w:themeFillTint="33"/>
            <w:vAlign w:val="center"/>
          </w:tcPr>
          <w:p w14:paraId="29A9A436" w14:textId="3A067DBE" w:rsidR="00C73E2F" w:rsidRDefault="00C73E2F" w:rsidP="00C73E2F">
            <w:pPr>
              <w:tabs>
                <w:tab w:val="decimal" w:pos="452"/>
              </w:tabs>
              <w:rPr>
                <w:rFonts w:cs="Arial"/>
                <w:color w:val="000000"/>
                <w:sz w:val="18"/>
                <w:szCs w:val="18"/>
              </w:rPr>
            </w:pPr>
            <w:r>
              <w:rPr>
                <w:rFonts w:cs="Arial"/>
                <w:sz w:val="16"/>
                <w:szCs w:val="16"/>
              </w:rPr>
              <w:t>-39.7</w:t>
            </w:r>
          </w:p>
        </w:tc>
        <w:tc>
          <w:tcPr>
            <w:tcW w:w="508" w:type="pct"/>
            <w:tcBorders>
              <w:left w:val="nil"/>
              <w:right w:val="nil"/>
            </w:tcBorders>
            <w:shd w:val="clear" w:color="auto" w:fill="DBE5F1" w:themeFill="accent1" w:themeFillTint="33"/>
            <w:vAlign w:val="center"/>
          </w:tcPr>
          <w:p w14:paraId="54CEB3BD" w14:textId="38EE9140" w:rsidR="00C73E2F" w:rsidRDefault="00C73E2F" w:rsidP="00C73E2F">
            <w:pPr>
              <w:tabs>
                <w:tab w:val="decimal" w:pos="452"/>
              </w:tabs>
              <w:rPr>
                <w:rFonts w:cs="Arial"/>
                <w:color w:val="000000"/>
                <w:sz w:val="18"/>
                <w:szCs w:val="18"/>
              </w:rPr>
            </w:pPr>
            <w:r>
              <w:rPr>
                <w:rFonts w:cs="Arial"/>
                <w:sz w:val="16"/>
                <w:szCs w:val="16"/>
              </w:rPr>
              <w:t>-19.3</w:t>
            </w:r>
          </w:p>
        </w:tc>
        <w:tc>
          <w:tcPr>
            <w:tcW w:w="499" w:type="pct"/>
            <w:tcBorders>
              <w:left w:val="nil"/>
              <w:right w:val="single" w:sz="4" w:space="0" w:color="auto"/>
            </w:tcBorders>
            <w:shd w:val="clear" w:color="auto" w:fill="DBE5F1" w:themeFill="accent1" w:themeFillTint="33"/>
            <w:vAlign w:val="center"/>
          </w:tcPr>
          <w:p w14:paraId="3DCE84A9" w14:textId="1F4C4D81" w:rsidR="00C73E2F" w:rsidRDefault="00C73E2F" w:rsidP="00C73E2F">
            <w:pPr>
              <w:tabs>
                <w:tab w:val="decimal" w:pos="452"/>
              </w:tabs>
              <w:rPr>
                <w:rFonts w:cs="Arial"/>
                <w:color w:val="000000"/>
                <w:sz w:val="18"/>
                <w:szCs w:val="18"/>
              </w:rPr>
            </w:pPr>
            <w:r>
              <w:rPr>
                <w:rFonts w:cs="Arial"/>
                <w:sz w:val="16"/>
                <w:szCs w:val="16"/>
              </w:rPr>
              <w:t>-61.4</w:t>
            </w:r>
          </w:p>
        </w:tc>
        <w:tc>
          <w:tcPr>
            <w:tcW w:w="497" w:type="pct"/>
            <w:tcBorders>
              <w:left w:val="single" w:sz="4" w:space="0" w:color="auto"/>
              <w:right w:val="double" w:sz="6" w:space="0" w:color="auto"/>
            </w:tcBorders>
            <w:shd w:val="clear" w:color="auto" w:fill="DBE5F1" w:themeFill="accent1" w:themeFillTint="33"/>
            <w:vAlign w:val="center"/>
          </w:tcPr>
          <w:p w14:paraId="73B2A390" w14:textId="085ABA3D" w:rsidR="00C73E2F" w:rsidRDefault="00C73E2F" w:rsidP="00C73E2F">
            <w:pPr>
              <w:tabs>
                <w:tab w:val="decimal" w:pos="452"/>
              </w:tabs>
              <w:rPr>
                <w:rFonts w:cs="Arial"/>
                <w:sz w:val="16"/>
                <w:szCs w:val="16"/>
              </w:rPr>
            </w:pPr>
            <w:r>
              <w:rPr>
                <w:rFonts w:cs="Arial"/>
                <w:sz w:val="16"/>
                <w:szCs w:val="16"/>
              </w:rPr>
              <w:t>-</w:t>
            </w:r>
            <w:r w:rsidR="00EF768F">
              <w:rPr>
                <w:rFonts w:cs="Arial"/>
                <w:sz w:val="16"/>
                <w:szCs w:val="16"/>
              </w:rPr>
              <w:t>10.2</w:t>
            </w:r>
          </w:p>
        </w:tc>
      </w:tr>
      <w:tr w:rsidR="00C73E2F" w:rsidRPr="00B50BEE" w14:paraId="426F1C0A" w14:textId="2739B0D8" w:rsidTr="00C73E2F">
        <w:trPr>
          <w:cantSplit/>
          <w:jc w:val="center"/>
        </w:trPr>
        <w:tc>
          <w:tcPr>
            <w:tcW w:w="2293" w:type="pct"/>
            <w:tcBorders>
              <w:left w:val="double" w:sz="6" w:space="0" w:color="auto"/>
              <w:right w:val="single" w:sz="4" w:space="0" w:color="auto"/>
            </w:tcBorders>
            <w:shd w:val="clear" w:color="auto" w:fill="auto"/>
            <w:vAlign w:val="center"/>
          </w:tcPr>
          <w:p w14:paraId="6AF7541C" w14:textId="77777777" w:rsidR="00C73E2F" w:rsidRPr="00B50BEE" w:rsidRDefault="00C73E2F" w:rsidP="00C73E2F">
            <w:pPr>
              <w:tabs>
                <w:tab w:val="left" w:pos="667"/>
              </w:tabs>
              <w:spacing w:before="40" w:after="20"/>
              <w:ind w:left="657" w:hanging="544"/>
              <w:rPr>
                <w:rFonts w:cs="Arial"/>
                <w:sz w:val="18"/>
                <w:szCs w:val="18"/>
              </w:rPr>
            </w:pPr>
            <w:r w:rsidRPr="00B50BEE">
              <w:rPr>
                <w:rFonts w:cs="Arial"/>
                <w:sz w:val="18"/>
                <w:szCs w:val="18"/>
              </w:rPr>
              <w:t>61</w:t>
            </w:r>
            <w:r w:rsidRPr="00B50BEE">
              <w:rPr>
                <w:rFonts w:cs="Arial"/>
                <w:sz w:val="18"/>
                <w:szCs w:val="18"/>
              </w:rPr>
              <w:tab/>
              <w:t xml:space="preserve">Servicios educativos </w:t>
            </w:r>
          </w:p>
        </w:tc>
        <w:tc>
          <w:tcPr>
            <w:tcW w:w="406" w:type="pct"/>
            <w:tcBorders>
              <w:left w:val="single" w:sz="4" w:space="0" w:color="auto"/>
            </w:tcBorders>
            <w:vAlign w:val="center"/>
          </w:tcPr>
          <w:p w14:paraId="15AEC55F" w14:textId="480FC469" w:rsidR="00C73E2F" w:rsidRDefault="00C73E2F" w:rsidP="00C73E2F">
            <w:pPr>
              <w:tabs>
                <w:tab w:val="decimal" w:pos="452"/>
              </w:tabs>
              <w:rPr>
                <w:rFonts w:cs="Arial"/>
                <w:color w:val="000000"/>
                <w:sz w:val="18"/>
                <w:szCs w:val="18"/>
              </w:rPr>
            </w:pPr>
            <w:r>
              <w:rPr>
                <w:rFonts w:cs="Arial"/>
                <w:sz w:val="16"/>
                <w:szCs w:val="16"/>
              </w:rPr>
              <w:t>2.9</w:t>
            </w:r>
          </w:p>
        </w:tc>
        <w:tc>
          <w:tcPr>
            <w:tcW w:w="421" w:type="pct"/>
            <w:tcBorders>
              <w:left w:val="nil"/>
            </w:tcBorders>
            <w:vAlign w:val="center"/>
          </w:tcPr>
          <w:p w14:paraId="73A3758F" w14:textId="2637E0B0" w:rsidR="00C73E2F" w:rsidRPr="006A5A9B" w:rsidRDefault="00C73E2F" w:rsidP="00C73E2F">
            <w:pPr>
              <w:tabs>
                <w:tab w:val="decimal" w:pos="452"/>
              </w:tabs>
              <w:rPr>
                <w:rFonts w:cs="Arial"/>
                <w:bCs/>
                <w:color w:val="000000"/>
                <w:sz w:val="18"/>
                <w:szCs w:val="18"/>
              </w:rPr>
            </w:pPr>
            <w:r>
              <w:rPr>
                <w:rFonts w:cs="Arial"/>
                <w:sz w:val="16"/>
                <w:szCs w:val="16"/>
              </w:rPr>
              <w:t>-0.9</w:t>
            </w:r>
          </w:p>
        </w:tc>
        <w:tc>
          <w:tcPr>
            <w:tcW w:w="376" w:type="pct"/>
            <w:tcBorders>
              <w:left w:val="nil"/>
            </w:tcBorders>
            <w:vAlign w:val="center"/>
          </w:tcPr>
          <w:p w14:paraId="5CCE764C" w14:textId="29706363" w:rsidR="00C73E2F" w:rsidRDefault="00C73E2F" w:rsidP="00C73E2F">
            <w:pPr>
              <w:tabs>
                <w:tab w:val="decimal" w:pos="452"/>
              </w:tabs>
              <w:rPr>
                <w:rFonts w:cs="Arial"/>
                <w:color w:val="000000"/>
                <w:sz w:val="18"/>
                <w:szCs w:val="18"/>
              </w:rPr>
            </w:pPr>
            <w:r>
              <w:rPr>
                <w:rFonts w:cs="Arial"/>
                <w:sz w:val="16"/>
                <w:szCs w:val="16"/>
              </w:rPr>
              <w:t>3.5</w:t>
            </w:r>
          </w:p>
        </w:tc>
        <w:tc>
          <w:tcPr>
            <w:tcW w:w="508" w:type="pct"/>
            <w:tcBorders>
              <w:left w:val="nil"/>
              <w:right w:val="nil"/>
            </w:tcBorders>
            <w:vAlign w:val="center"/>
          </w:tcPr>
          <w:p w14:paraId="51C3F60B" w14:textId="6B10F1FA" w:rsidR="00C73E2F" w:rsidRDefault="00C73E2F" w:rsidP="00C73E2F">
            <w:pPr>
              <w:tabs>
                <w:tab w:val="decimal" w:pos="452"/>
              </w:tabs>
              <w:rPr>
                <w:rFonts w:cs="Arial"/>
                <w:color w:val="000000"/>
                <w:sz w:val="18"/>
                <w:szCs w:val="18"/>
              </w:rPr>
            </w:pPr>
            <w:r>
              <w:rPr>
                <w:rFonts w:cs="Arial"/>
                <w:sz w:val="16"/>
                <w:szCs w:val="16"/>
              </w:rPr>
              <w:t>3.6</w:t>
            </w:r>
          </w:p>
        </w:tc>
        <w:tc>
          <w:tcPr>
            <w:tcW w:w="499" w:type="pct"/>
            <w:tcBorders>
              <w:left w:val="nil"/>
              <w:right w:val="single" w:sz="4" w:space="0" w:color="auto"/>
            </w:tcBorders>
            <w:vAlign w:val="center"/>
          </w:tcPr>
          <w:p w14:paraId="1EEDD8F1" w14:textId="13DBDF31" w:rsidR="00C73E2F" w:rsidRDefault="00C73E2F" w:rsidP="00C73E2F">
            <w:pPr>
              <w:tabs>
                <w:tab w:val="decimal" w:pos="452"/>
              </w:tabs>
              <w:rPr>
                <w:rFonts w:cs="Arial"/>
                <w:color w:val="000000"/>
                <w:sz w:val="18"/>
                <w:szCs w:val="18"/>
              </w:rPr>
            </w:pPr>
            <w:r>
              <w:rPr>
                <w:rFonts w:cs="Arial"/>
                <w:sz w:val="16"/>
                <w:szCs w:val="16"/>
              </w:rPr>
              <w:t>2.3</w:t>
            </w:r>
          </w:p>
        </w:tc>
        <w:tc>
          <w:tcPr>
            <w:tcW w:w="497" w:type="pct"/>
            <w:tcBorders>
              <w:left w:val="single" w:sz="4" w:space="0" w:color="auto"/>
              <w:right w:val="double" w:sz="6" w:space="0" w:color="auto"/>
            </w:tcBorders>
            <w:vAlign w:val="center"/>
          </w:tcPr>
          <w:p w14:paraId="6B4206BD" w14:textId="4756239D" w:rsidR="00C73E2F" w:rsidRDefault="00DD7832" w:rsidP="00C73E2F">
            <w:pPr>
              <w:tabs>
                <w:tab w:val="decimal" w:pos="452"/>
              </w:tabs>
              <w:rPr>
                <w:rFonts w:cs="Arial"/>
                <w:sz w:val="16"/>
                <w:szCs w:val="16"/>
              </w:rPr>
            </w:pPr>
            <w:r>
              <w:rPr>
                <w:rFonts w:cs="Arial"/>
                <w:sz w:val="16"/>
                <w:szCs w:val="16"/>
              </w:rPr>
              <w:t>1.3</w:t>
            </w:r>
          </w:p>
        </w:tc>
      </w:tr>
      <w:tr w:rsidR="00C73E2F" w:rsidRPr="00B50BEE" w14:paraId="1019469C" w14:textId="5F096A4F" w:rsidTr="00C73E2F">
        <w:trPr>
          <w:cantSplit/>
          <w:jc w:val="center"/>
        </w:trPr>
        <w:tc>
          <w:tcPr>
            <w:tcW w:w="2293" w:type="pct"/>
            <w:tcBorders>
              <w:left w:val="double" w:sz="6" w:space="0" w:color="auto"/>
              <w:right w:val="single" w:sz="4" w:space="0" w:color="auto"/>
            </w:tcBorders>
            <w:shd w:val="clear" w:color="auto" w:fill="DBE5F1" w:themeFill="accent1" w:themeFillTint="33"/>
            <w:vAlign w:val="center"/>
          </w:tcPr>
          <w:p w14:paraId="3B938985" w14:textId="77777777" w:rsidR="00C73E2F" w:rsidRPr="00B50BEE" w:rsidRDefault="00C73E2F" w:rsidP="00C73E2F">
            <w:pPr>
              <w:tabs>
                <w:tab w:val="left" w:pos="667"/>
              </w:tabs>
              <w:spacing w:before="40" w:after="20"/>
              <w:ind w:left="657" w:hanging="544"/>
              <w:rPr>
                <w:rFonts w:cs="Arial"/>
                <w:sz w:val="18"/>
                <w:szCs w:val="18"/>
              </w:rPr>
            </w:pPr>
            <w:r w:rsidRPr="00B50BEE">
              <w:rPr>
                <w:rFonts w:cs="Arial"/>
                <w:sz w:val="18"/>
                <w:szCs w:val="18"/>
              </w:rPr>
              <w:t>62</w:t>
            </w:r>
            <w:r w:rsidRPr="00B50BEE">
              <w:rPr>
                <w:rFonts w:cs="Arial"/>
                <w:sz w:val="18"/>
                <w:szCs w:val="18"/>
              </w:rPr>
              <w:tab/>
              <w:t xml:space="preserve">Servicios de salud y de asistencia social </w:t>
            </w:r>
          </w:p>
        </w:tc>
        <w:tc>
          <w:tcPr>
            <w:tcW w:w="406" w:type="pct"/>
            <w:tcBorders>
              <w:left w:val="single" w:sz="4" w:space="0" w:color="auto"/>
            </w:tcBorders>
            <w:shd w:val="clear" w:color="auto" w:fill="DBE5F1" w:themeFill="accent1" w:themeFillTint="33"/>
            <w:vAlign w:val="center"/>
          </w:tcPr>
          <w:p w14:paraId="7D52CDBE" w14:textId="59CBBCFF" w:rsidR="00C73E2F" w:rsidRDefault="00C73E2F" w:rsidP="00C73E2F">
            <w:pPr>
              <w:tabs>
                <w:tab w:val="decimal" w:pos="452"/>
              </w:tabs>
              <w:rPr>
                <w:rFonts w:cs="Arial"/>
                <w:color w:val="000000"/>
                <w:sz w:val="18"/>
                <w:szCs w:val="18"/>
              </w:rPr>
            </w:pPr>
            <w:r>
              <w:rPr>
                <w:rFonts w:cs="Arial"/>
                <w:sz w:val="16"/>
                <w:szCs w:val="16"/>
              </w:rPr>
              <w:t>3.2</w:t>
            </w:r>
          </w:p>
        </w:tc>
        <w:tc>
          <w:tcPr>
            <w:tcW w:w="421" w:type="pct"/>
            <w:tcBorders>
              <w:left w:val="nil"/>
            </w:tcBorders>
            <w:shd w:val="clear" w:color="auto" w:fill="DBE5F1" w:themeFill="accent1" w:themeFillTint="33"/>
            <w:vAlign w:val="center"/>
          </w:tcPr>
          <w:p w14:paraId="550B2F39" w14:textId="41D10ED8" w:rsidR="00C73E2F" w:rsidRPr="006A5A9B" w:rsidRDefault="00C73E2F" w:rsidP="00C73E2F">
            <w:pPr>
              <w:tabs>
                <w:tab w:val="decimal" w:pos="452"/>
              </w:tabs>
              <w:rPr>
                <w:rFonts w:cs="Arial"/>
                <w:bCs/>
                <w:color w:val="000000"/>
                <w:sz w:val="18"/>
                <w:szCs w:val="18"/>
              </w:rPr>
            </w:pPr>
            <w:r>
              <w:rPr>
                <w:rFonts w:cs="Arial"/>
                <w:sz w:val="16"/>
                <w:szCs w:val="16"/>
              </w:rPr>
              <w:t>4.2</w:t>
            </w:r>
          </w:p>
        </w:tc>
        <w:tc>
          <w:tcPr>
            <w:tcW w:w="376" w:type="pct"/>
            <w:tcBorders>
              <w:left w:val="nil"/>
            </w:tcBorders>
            <w:shd w:val="clear" w:color="auto" w:fill="DBE5F1" w:themeFill="accent1" w:themeFillTint="33"/>
            <w:vAlign w:val="center"/>
          </w:tcPr>
          <w:p w14:paraId="62804D72" w14:textId="25F14E27" w:rsidR="00C73E2F" w:rsidRDefault="00C73E2F" w:rsidP="00C73E2F">
            <w:pPr>
              <w:tabs>
                <w:tab w:val="decimal" w:pos="452"/>
              </w:tabs>
              <w:rPr>
                <w:rFonts w:cs="Arial"/>
                <w:color w:val="000000"/>
                <w:sz w:val="18"/>
                <w:szCs w:val="18"/>
              </w:rPr>
            </w:pPr>
            <w:r>
              <w:rPr>
                <w:rFonts w:cs="Arial"/>
                <w:sz w:val="16"/>
                <w:szCs w:val="16"/>
              </w:rPr>
              <w:t>1.6</w:t>
            </w:r>
          </w:p>
        </w:tc>
        <w:tc>
          <w:tcPr>
            <w:tcW w:w="508" w:type="pct"/>
            <w:tcBorders>
              <w:left w:val="nil"/>
              <w:right w:val="nil"/>
            </w:tcBorders>
            <w:shd w:val="clear" w:color="auto" w:fill="DBE5F1" w:themeFill="accent1" w:themeFillTint="33"/>
            <w:vAlign w:val="center"/>
          </w:tcPr>
          <w:p w14:paraId="01BC35C9" w14:textId="173D059B" w:rsidR="00C73E2F" w:rsidRDefault="00C73E2F" w:rsidP="00C73E2F">
            <w:pPr>
              <w:tabs>
                <w:tab w:val="decimal" w:pos="452"/>
              </w:tabs>
              <w:rPr>
                <w:rFonts w:cs="Arial"/>
                <w:color w:val="000000"/>
                <w:sz w:val="18"/>
                <w:szCs w:val="18"/>
              </w:rPr>
            </w:pPr>
            <w:r>
              <w:rPr>
                <w:rFonts w:cs="Arial"/>
                <w:sz w:val="16"/>
                <w:szCs w:val="16"/>
              </w:rPr>
              <w:t>1.</w:t>
            </w:r>
            <w:r w:rsidR="00DD7832">
              <w:rPr>
                <w:rFonts w:cs="Arial"/>
                <w:sz w:val="16"/>
                <w:szCs w:val="16"/>
              </w:rPr>
              <w:t>5</w:t>
            </w:r>
          </w:p>
        </w:tc>
        <w:tc>
          <w:tcPr>
            <w:tcW w:w="499" w:type="pct"/>
            <w:tcBorders>
              <w:left w:val="nil"/>
              <w:right w:val="single" w:sz="4" w:space="0" w:color="auto"/>
            </w:tcBorders>
            <w:shd w:val="clear" w:color="auto" w:fill="DBE5F1" w:themeFill="accent1" w:themeFillTint="33"/>
            <w:vAlign w:val="center"/>
          </w:tcPr>
          <w:p w14:paraId="48701064" w14:textId="382101A3" w:rsidR="00C73E2F" w:rsidRDefault="00C73E2F" w:rsidP="00C73E2F">
            <w:pPr>
              <w:tabs>
                <w:tab w:val="decimal" w:pos="452"/>
              </w:tabs>
              <w:rPr>
                <w:rFonts w:cs="Arial"/>
                <w:color w:val="000000"/>
                <w:sz w:val="18"/>
                <w:szCs w:val="18"/>
              </w:rPr>
            </w:pPr>
            <w:r>
              <w:rPr>
                <w:rFonts w:cs="Arial"/>
                <w:sz w:val="16"/>
                <w:szCs w:val="16"/>
              </w:rPr>
              <w:t>2.6</w:t>
            </w:r>
          </w:p>
        </w:tc>
        <w:tc>
          <w:tcPr>
            <w:tcW w:w="497" w:type="pct"/>
            <w:tcBorders>
              <w:left w:val="single" w:sz="4" w:space="0" w:color="auto"/>
              <w:right w:val="double" w:sz="6" w:space="0" w:color="auto"/>
            </w:tcBorders>
            <w:shd w:val="clear" w:color="auto" w:fill="DBE5F1" w:themeFill="accent1" w:themeFillTint="33"/>
            <w:vAlign w:val="center"/>
          </w:tcPr>
          <w:p w14:paraId="0740370A" w14:textId="03C6F4B3" w:rsidR="00C73E2F" w:rsidRDefault="00DD7832" w:rsidP="00C73E2F">
            <w:pPr>
              <w:tabs>
                <w:tab w:val="decimal" w:pos="452"/>
              </w:tabs>
              <w:rPr>
                <w:rFonts w:cs="Arial"/>
                <w:sz w:val="16"/>
                <w:szCs w:val="16"/>
              </w:rPr>
            </w:pPr>
            <w:r>
              <w:rPr>
                <w:rFonts w:cs="Arial"/>
                <w:sz w:val="16"/>
                <w:szCs w:val="16"/>
              </w:rPr>
              <w:t>1.2</w:t>
            </w:r>
          </w:p>
        </w:tc>
      </w:tr>
      <w:tr w:rsidR="00C73E2F" w:rsidRPr="00B50BEE" w14:paraId="25191084" w14:textId="458C220C" w:rsidTr="00C73E2F">
        <w:trPr>
          <w:cantSplit/>
          <w:jc w:val="center"/>
        </w:trPr>
        <w:tc>
          <w:tcPr>
            <w:tcW w:w="2293" w:type="pct"/>
            <w:tcBorders>
              <w:left w:val="double" w:sz="6" w:space="0" w:color="auto"/>
              <w:right w:val="single" w:sz="4" w:space="0" w:color="auto"/>
            </w:tcBorders>
            <w:shd w:val="clear" w:color="auto" w:fill="auto"/>
            <w:vAlign w:val="center"/>
          </w:tcPr>
          <w:p w14:paraId="34B67A6E" w14:textId="77777777" w:rsidR="00C73E2F" w:rsidRPr="00B50BEE" w:rsidRDefault="00C73E2F" w:rsidP="00C73E2F">
            <w:pPr>
              <w:tabs>
                <w:tab w:val="left" w:pos="667"/>
              </w:tabs>
              <w:spacing w:before="40" w:after="20"/>
              <w:ind w:left="657" w:hanging="544"/>
              <w:rPr>
                <w:rFonts w:cs="Arial"/>
                <w:sz w:val="18"/>
                <w:szCs w:val="18"/>
              </w:rPr>
            </w:pPr>
            <w:r w:rsidRPr="00B50BEE">
              <w:rPr>
                <w:rFonts w:cs="Arial"/>
                <w:sz w:val="18"/>
                <w:szCs w:val="18"/>
              </w:rPr>
              <w:t>71</w:t>
            </w:r>
            <w:r w:rsidRPr="00B50BEE">
              <w:rPr>
                <w:rFonts w:cs="Arial"/>
                <w:sz w:val="18"/>
                <w:szCs w:val="18"/>
              </w:rPr>
              <w:tab/>
              <w:t>Servicios de esparcimiento culturales y deportivos, y otros servicios recreativos</w:t>
            </w:r>
          </w:p>
        </w:tc>
        <w:tc>
          <w:tcPr>
            <w:tcW w:w="406" w:type="pct"/>
            <w:tcBorders>
              <w:left w:val="single" w:sz="4" w:space="0" w:color="auto"/>
            </w:tcBorders>
            <w:vAlign w:val="center"/>
          </w:tcPr>
          <w:p w14:paraId="1892CE30" w14:textId="1E53958F" w:rsidR="00C73E2F" w:rsidRDefault="00C73E2F" w:rsidP="00C73E2F">
            <w:pPr>
              <w:tabs>
                <w:tab w:val="decimal" w:pos="452"/>
              </w:tabs>
              <w:rPr>
                <w:rFonts w:cs="Arial"/>
                <w:color w:val="000000"/>
                <w:sz w:val="18"/>
                <w:szCs w:val="18"/>
              </w:rPr>
            </w:pPr>
            <w:r>
              <w:rPr>
                <w:rFonts w:cs="Arial"/>
                <w:sz w:val="16"/>
                <w:szCs w:val="16"/>
              </w:rPr>
              <w:t>47.1</w:t>
            </w:r>
          </w:p>
        </w:tc>
        <w:tc>
          <w:tcPr>
            <w:tcW w:w="421" w:type="pct"/>
            <w:tcBorders>
              <w:left w:val="nil"/>
            </w:tcBorders>
            <w:vAlign w:val="center"/>
          </w:tcPr>
          <w:p w14:paraId="3A17068E" w14:textId="3E1ACD1E" w:rsidR="00C73E2F" w:rsidRPr="006A5A9B" w:rsidRDefault="00C73E2F" w:rsidP="00C73E2F">
            <w:pPr>
              <w:tabs>
                <w:tab w:val="decimal" w:pos="452"/>
              </w:tabs>
              <w:rPr>
                <w:rFonts w:cs="Arial"/>
                <w:bCs/>
                <w:color w:val="000000"/>
                <w:sz w:val="18"/>
                <w:szCs w:val="18"/>
              </w:rPr>
            </w:pPr>
            <w:r>
              <w:rPr>
                <w:rFonts w:cs="Arial"/>
                <w:sz w:val="16"/>
                <w:szCs w:val="16"/>
              </w:rPr>
              <w:t>71.</w:t>
            </w:r>
            <w:r w:rsidR="00DD7832">
              <w:rPr>
                <w:rFonts w:cs="Arial"/>
                <w:sz w:val="16"/>
                <w:szCs w:val="16"/>
              </w:rPr>
              <w:t>4</w:t>
            </w:r>
          </w:p>
        </w:tc>
        <w:tc>
          <w:tcPr>
            <w:tcW w:w="376" w:type="pct"/>
            <w:tcBorders>
              <w:left w:val="nil"/>
            </w:tcBorders>
            <w:vAlign w:val="center"/>
          </w:tcPr>
          <w:p w14:paraId="6C13B41B" w14:textId="32900740" w:rsidR="00C73E2F" w:rsidRDefault="00C73E2F" w:rsidP="00C73E2F">
            <w:pPr>
              <w:tabs>
                <w:tab w:val="decimal" w:pos="452"/>
              </w:tabs>
              <w:rPr>
                <w:rFonts w:cs="Arial"/>
                <w:color w:val="000000"/>
                <w:sz w:val="18"/>
                <w:szCs w:val="18"/>
              </w:rPr>
            </w:pPr>
            <w:r>
              <w:rPr>
                <w:rFonts w:cs="Arial"/>
                <w:sz w:val="16"/>
                <w:szCs w:val="16"/>
              </w:rPr>
              <w:t>46.5</w:t>
            </w:r>
          </w:p>
        </w:tc>
        <w:tc>
          <w:tcPr>
            <w:tcW w:w="508" w:type="pct"/>
            <w:tcBorders>
              <w:left w:val="nil"/>
              <w:right w:val="nil"/>
            </w:tcBorders>
            <w:vAlign w:val="center"/>
          </w:tcPr>
          <w:p w14:paraId="30D79444" w14:textId="0826D111" w:rsidR="00C73E2F" w:rsidRDefault="00C73E2F" w:rsidP="00C73E2F">
            <w:pPr>
              <w:tabs>
                <w:tab w:val="decimal" w:pos="452"/>
              </w:tabs>
              <w:rPr>
                <w:rFonts w:cs="Arial"/>
                <w:color w:val="000000"/>
                <w:sz w:val="18"/>
                <w:szCs w:val="18"/>
              </w:rPr>
            </w:pPr>
            <w:r>
              <w:rPr>
                <w:rFonts w:cs="Arial"/>
                <w:sz w:val="16"/>
                <w:szCs w:val="16"/>
              </w:rPr>
              <w:t>38.7</w:t>
            </w:r>
          </w:p>
        </w:tc>
        <w:tc>
          <w:tcPr>
            <w:tcW w:w="499" w:type="pct"/>
            <w:tcBorders>
              <w:left w:val="nil"/>
              <w:right w:val="single" w:sz="4" w:space="0" w:color="auto"/>
            </w:tcBorders>
            <w:vAlign w:val="center"/>
          </w:tcPr>
          <w:p w14:paraId="2070406D" w14:textId="2DCD8A24" w:rsidR="00C73E2F" w:rsidRDefault="00C73E2F" w:rsidP="00C73E2F">
            <w:pPr>
              <w:tabs>
                <w:tab w:val="decimal" w:pos="452"/>
              </w:tabs>
              <w:rPr>
                <w:rFonts w:cs="Arial"/>
                <w:color w:val="000000"/>
                <w:sz w:val="18"/>
                <w:szCs w:val="18"/>
              </w:rPr>
            </w:pPr>
            <w:r>
              <w:rPr>
                <w:rFonts w:cs="Arial"/>
                <w:sz w:val="16"/>
                <w:szCs w:val="16"/>
              </w:rPr>
              <w:t>50.8</w:t>
            </w:r>
          </w:p>
        </w:tc>
        <w:tc>
          <w:tcPr>
            <w:tcW w:w="497" w:type="pct"/>
            <w:tcBorders>
              <w:left w:val="single" w:sz="4" w:space="0" w:color="auto"/>
              <w:right w:val="double" w:sz="6" w:space="0" w:color="auto"/>
            </w:tcBorders>
            <w:vAlign w:val="center"/>
          </w:tcPr>
          <w:p w14:paraId="2C02EEAB" w14:textId="334E4DD7" w:rsidR="00C73E2F" w:rsidRDefault="00DD7832" w:rsidP="00C73E2F">
            <w:pPr>
              <w:tabs>
                <w:tab w:val="decimal" w:pos="452"/>
              </w:tabs>
              <w:rPr>
                <w:rFonts w:cs="Arial"/>
                <w:sz w:val="16"/>
                <w:szCs w:val="16"/>
              </w:rPr>
            </w:pPr>
            <w:r>
              <w:rPr>
                <w:rFonts w:cs="Arial"/>
                <w:sz w:val="16"/>
                <w:szCs w:val="16"/>
              </w:rPr>
              <w:t>19.3</w:t>
            </w:r>
          </w:p>
        </w:tc>
      </w:tr>
      <w:tr w:rsidR="00C73E2F" w:rsidRPr="00B50BEE" w14:paraId="4D0D17F7" w14:textId="078AD477" w:rsidTr="00C73E2F">
        <w:trPr>
          <w:cantSplit/>
          <w:jc w:val="center"/>
        </w:trPr>
        <w:tc>
          <w:tcPr>
            <w:tcW w:w="2293" w:type="pct"/>
            <w:tcBorders>
              <w:left w:val="double" w:sz="6" w:space="0" w:color="auto"/>
              <w:right w:val="single" w:sz="4" w:space="0" w:color="auto"/>
            </w:tcBorders>
            <w:shd w:val="clear" w:color="auto" w:fill="DBE5F1" w:themeFill="accent1" w:themeFillTint="33"/>
            <w:vAlign w:val="center"/>
          </w:tcPr>
          <w:p w14:paraId="4D9B6F3E" w14:textId="77777777" w:rsidR="00C73E2F" w:rsidRPr="00B50BEE" w:rsidRDefault="00C73E2F" w:rsidP="00C73E2F">
            <w:pPr>
              <w:tabs>
                <w:tab w:val="left" w:pos="667"/>
              </w:tabs>
              <w:spacing w:before="40" w:after="20"/>
              <w:ind w:left="657" w:hanging="544"/>
              <w:rPr>
                <w:rFonts w:cs="Arial"/>
                <w:sz w:val="18"/>
                <w:szCs w:val="18"/>
              </w:rPr>
            </w:pPr>
            <w:r w:rsidRPr="00B50BEE">
              <w:rPr>
                <w:rFonts w:cs="Arial"/>
                <w:sz w:val="18"/>
                <w:szCs w:val="18"/>
              </w:rPr>
              <w:t>72</w:t>
            </w:r>
            <w:r w:rsidRPr="00B50BEE">
              <w:rPr>
                <w:rFonts w:cs="Arial"/>
                <w:sz w:val="18"/>
                <w:szCs w:val="18"/>
              </w:rPr>
              <w:tab/>
              <w:t xml:space="preserve">Servicios de alojamiento temporal y de preparación de alimentos y bebidas </w:t>
            </w:r>
          </w:p>
        </w:tc>
        <w:tc>
          <w:tcPr>
            <w:tcW w:w="406" w:type="pct"/>
            <w:tcBorders>
              <w:left w:val="single" w:sz="4" w:space="0" w:color="auto"/>
            </w:tcBorders>
            <w:shd w:val="clear" w:color="auto" w:fill="DBE5F1" w:themeFill="accent1" w:themeFillTint="33"/>
            <w:vAlign w:val="center"/>
          </w:tcPr>
          <w:p w14:paraId="43F4BC2E" w14:textId="66946630" w:rsidR="00C73E2F" w:rsidRDefault="00DD7832" w:rsidP="00C73E2F">
            <w:pPr>
              <w:tabs>
                <w:tab w:val="decimal" w:pos="452"/>
              </w:tabs>
              <w:rPr>
                <w:rFonts w:cs="Arial"/>
                <w:color w:val="000000"/>
                <w:sz w:val="18"/>
                <w:szCs w:val="18"/>
              </w:rPr>
            </w:pPr>
            <w:r>
              <w:rPr>
                <w:rFonts w:cs="Arial"/>
                <w:sz w:val="16"/>
                <w:szCs w:val="16"/>
              </w:rPr>
              <w:t>49.5</w:t>
            </w:r>
          </w:p>
        </w:tc>
        <w:tc>
          <w:tcPr>
            <w:tcW w:w="421" w:type="pct"/>
            <w:tcBorders>
              <w:left w:val="nil"/>
            </w:tcBorders>
            <w:shd w:val="clear" w:color="auto" w:fill="DBE5F1" w:themeFill="accent1" w:themeFillTint="33"/>
            <w:vAlign w:val="center"/>
          </w:tcPr>
          <w:p w14:paraId="1A97D50B" w14:textId="21C78874" w:rsidR="00C73E2F" w:rsidRPr="006A5A9B" w:rsidRDefault="00C73E2F" w:rsidP="00C73E2F">
            <w:pPr>
              <w:tabs>
                <w:tab w:val="decimal" w:pos="452"/>
              </w:tabs>
              <w:rPr>
                <w:rFonts w:cs="Arial"/>
                <w:bCs/>
                <w:color w:val="000000"/>
                <w:sz w:val="18"/>
                <w:szCs w:val="18"/>
              </w:rPr>
            </w:pPr>
            <w:r>
              <w:rPr>
                <w:rFonts w:cs="Arial"/>
                <w:sz w:val="16"/>
                <w:szCs w:val="16"/>
              </w:rPr>
              <w:t>34.</w:t>
            </w:r>
            <w:r w:rsidR="00DD7832">
              <w:rPr>
                <w:rFonts w:cs="Arial"/>
                <w:sz w:val="16"/>
                <w:szCs w:val="16"/>
              </w:rPr>
              <w:t>4</w:t>
            </w:r>
          </w:p>
        </w:tc>
        <w:tc>
          <w:tcPr>
            <w:tcW w:w="376" w:type="pct"/>
            <w:tcBorders>
              <w:left w:val="nil"/>
            </w:tcBorders>
            <w:shd w:val="clear" w:color="auto" w:fill="DBE5F1" w:themeFill="accent1" w:themeFillTint="33"/>
            <w:vAlign w:val="center"/>
          </w:tcPr>
          <w:p w14:paraId="2A1583D7" w14:textId="201302B2" w:rsidR="00C73E2F" w:rsidRDefault="00DD7832" w:rsidP="00C73E2F">
            <w:pPr>
              <w:tabs>
                <w:tab w:val="decimal" w:pos="452"/>
              </w:tabs>
              <w:rPr>
                <w:rFonts w:cs="Arial"/>
                <w:color w:val="000000"/>
                <w:sz w:val="18"/>
                <w:szCs w:val="18"/>
              </w:rPr>
            </w:pPr>
            <w:r>
              <w:rPr>
                <w:rFonts w:cs="Arial"/>
                <w:sz w:val="16"/>
                <w:szCs w:val="16"/>
              </w:rPr>
              <w:t>19.1</w:t>
            </w:r>
          </w:p>
        </w:tc>
        <w:tc>
          <w:tcPr>
            <w:tcW w:w="508" w:type="pct"/>
            <w:tcBorders>
              <w:left w:val="nil"/>
              <w:right w:val="nil"/>
            </w:tcBorders>
            <w:shd w:val="clear" w:color="auto" w:fill="DBE5F1" w:themeFill="accent1" w:themeFillTint="33"/>
            <w:vAlign w:val="center"/>
          </w:tcPr>
          <w:p w14:paraId="4C7AB10C" w14:textId="643AA245" w:rsidR="00C73E2F" w:rsidRDefault="00DD7832" w:rsidP="00C73E2F">
            <w:pPr>
              <w:tabs>
                <w:tab w:val="decimal" w:pos="452"/>
              </w:tabs>
              <w:rPr>
                <w:rFonts w:cs="Arial"/>
                <w:color w:val="000000"/>
                <w:sz w:val="18"/>
                <w:szCs w:val="18"/>
              </w:rPr>
            </w:pPr>
            <w:r>
              <w:rPr>
                <w:rFonts w:cs="Arial"/>
                <w:sz w:val="16"/>
                <w:szCs w:val="16"/>
              </w:rPr>
              <w:t>10.1</w:t>
            </w:r>
          </w:p>
        </w:tc>
        <w:tc>
          <w:tcPr>
            <w:tcW w:w="499" w:type="pct"/>
            <w:tcBorders>
              <w:left w:val="nil"/>
              <w:right w:val="single" w:sz="4" w:space="0" w:color="auto"/>
            </w:tcBorders>
            <w:shd w:val="clear" w:color="auto" w:fill="DBE5F1" w:themeFill="accent1" w:themeFillTint="33"/>
            <w:vAlign w:val="center"/>
          </w:tcPr>
          <w:p w14:paraId="5E876AB7" w14:textId="4E11CE08" w:rsidR="00C73E2F" w:rsidRDefault="00C73E2F" w:rsidP="00C73E2F">
            <w:pPr>
              <w:tabs>
                <w:tab w:val="decimal" w:pos="452"/>
              </w:tabs>
              <w:rPr>
                <w:rFonts w:cs="Arial"/>
                <w:color w:val="000000"/>
                <w:sz w:val="18"/>
                <w:szCs w:val="18"/>
              </w:rPr>
            </w:pPr>
            <w:r>
              <w:rPr>
                <w:rFonts w:cs="Arial"/>
                <w:sz w:val="16"/>
                <w:szCs w:val="16"/>
              </w:rPr>
              <w:t>26.3</w:t>
            </w:r>
          </w:p>
        </w:tc>
        <w:tc>
          <w:tcPr>
            <w:tcW w:w="497" w:type="pct"/>
            <w:tcBorders>
              <w:left w:val="single" w:sz="4" w:space="0" w:color="auto"/>
              <w:right w:val="double" w:sz="6" w:space="0" w:color="auto"/>
            </w:tcBorders>
            <w:shd w:val="clear" w:color="auto" w:fill="DBE5F1" w:themeFill="accent1" w:themeFillTint="33"/>
            <w:vAlign w:val="center"/>
          </w:tcPr>
          <w:p w14:paraId="74059180" w14:textId="7658AFFD" w:rsidR="00C73E2F" w:rsidRDefault="00DD7832" w:rsidP="00C73E2F">
            <w:pPr>
              <w:tabs>
                <w:tab w:val="decimal" w:pos="452"/>
              </w:tabs>
              <w:rPr>
                <w:rFonts w:cs="Arial"/>
                <w:sz w:val="16"/>
                <w:szCs w:val="16"/>
              </w:rPr>
            </w:pPr>
            <w:r>
              <w:rPr>
                <w:rFonts w:cs="Arial"/>
                <w:sz w:val="16"/>
                <w:szCs w:val="16"/>
              </w:rPr>
              <w:t>10.7</w:t>
            </w:r>
          </w:p>
        </w:tc>
      </w:tr>
      <w:tr w:rsidR="00C73E2F" w:rsidRPr="00B50BEE" w14:paraId="459ACD70" w14:textId="14ABC527" w:rsidTr="00C73E2F">
        <w:trPr>
          <w:cantSplit/>
          <w:jc w:val="center"/>
        </w:trPr>
        <w:tc>
          <w:tcPr>
            <w:tcW w:w="2293" w:type="pct"/>
            <w:tcBorders>
              <w:left w:val="double" w:sz="6" w:space="0" w:color="auto"/>
              <w:right w:val="single" w:sz="4" w:space="0" w:color="auto"/>
            </w:tcBorders>
            <w:shd w:val="clear" w:color="auto" w:fill="auto"/>
            <w:vAlign w:val="center"/>
          </w:tcPr>
          <w:p w14:paraId="0A5D44A3" w14:textId="77777777" w:rsidR="00C73E2F" w:rsidRPr="00B50BEE" w:rsidRDefault="00C73E2F" w:rsidP="00C73E2F">
            <w:pPr>
              <w:tabs>
                <w:tab w:val="left" w:pos="667"/>
              </w:tabs>
              <w:spacing w:before="40" w:after="20"/>
              <w:ind w:left="657" w:hanging="544"/>
              <w:rPr>
                <w:rFonts w:cs="Arial"/>
                <w:sz w:val="18"/>
                <w:szCs w:val="18"/>
              </w:rPr>
            </w:pPr>
            <w:r w:rsidRPr="00B50BEE">
              <w:rPr>
                <w:rFonts w:cs="Arial"/>
                <w:sz w:val="18"/>
                <w:szCs w:val="18"/>
              </w:rPr>
              <w:t>81</w:t>
            </w:r>
            <w:r w:rsidRPr="00B50BEE">
              <w:rPr>
                <w:rFonts w:cs="Arial"/>
                <w:sz w:val="18"/>
                <w:szCs w:val="18"/>
              </w:rPr>
              <w:tab/>
              <w:t>Otros servicios excepto actividades gubernamentales</w:t>
            </w:r>
          </w:p>
        </w:tc>
        <w:tc>
          <w:tcPr>
            <w:tcW w:w="406" w:type="pct"/>
            <w:tcBorders>
              <w:left w:val="single" w:sz="4" w:space="0" w:color="auto"/>
            </w:tcBorders>
            <w:vAlign w:val="center"/>
          </w:tcPr>
          <w:p w14:paraId="2EB78669" w14:textId="7CC2B473" w:rsidR="00C73E2F" w:rsidRDefault="00C73E2F" w:rsidP="00C73E2F">
            <w:pPr>
              <w:tabs>
                <w:tab w:val="decimal" w:pos="452"/>
              </w:tabs>
              <w:rPr>
                <w:rFonts w:cs="Arial"/>
                <w:color w:val="000000"/>
                <w:sz w:val="18"/>
                <w:szCs w:val="18"/>
              </w:rPr>
            </w:pPr>
            <w:r>
              <w:rPr>
                <w:rFonts w:cs="Arial"/>
                <w:sz w:val="16"/>
                <w:szCs w:val="16"/>
              </w:rPr>
              <w:t>6.2</w:t>
            </w:r>
          </w:p>
        </w:tc>
        <w:tc>
          <w:tcPr>
            <w:tcW w:w="421" w:type="pct"/>
            <w:tcBorders>
              <w:left w:val="nil"/>
            </w:tcBorders>
            <w:vAlign w:val="center"/>
          </w:tcPr>
          <w:p w14:paraId="764D16C1" w14:textId="6F157023" w:rsidR="00C73E2F" w:rsidRPr="006A5A9B" w:rsidRDefault="00C73E2F" w:rsidP="00C73E2F">
            <w:pPr>
              <w:tabs>
                <w:tab w:val="decimal" w:pos="452"/>
              </w:tabs>
              <w:rPr>
                <w:rFonts w:cs="Arial"/>
                <w:bCs/>
                <w:color w:val="000000"/>
                <w:sz w:val="18"/>
                <w:szCs w:val="18"/>
              </w:rPr>
            </w:pPr>
            <w:r>
              <w:rPr>
                <w:rFonts w:cs="Arial"/>
                <w:sz w:val="16"/>
                <w:szCs w:val="16"/>
              </w:rPr>
              <w:t>1.9</w:t>
            </w:r>
          </w:p>
        </w:tc>
        <w:tc>
          <w:tcPr>
            <w:tcW w:w="376" w:type="pct"/>
            <w:tcBorders>
              <w:left w:val="nil"/>
            </w:tcBorders>
            <w:vAlign w:val="center"/>
          </w:tcPr>
          <w:p w14:paraId="5291D607" w14:textId="7EB0CF6B" w:rsidR="00C73E2F" w:rsidRDefault="00C73E2F" w:rsidP="00C73E2F">
            <w:pPr>
              <w:tabs>
                <w:tab w:val="decimal" w:pos="452"/>
              </w:tabs>
              <w:rPr>
                <w:rFonts w:cs="Arial"/>
                <w:color w:val="000000"/>
                <w:sz w:val="18"/>
                <w:szCs w:val="18"/>
              </w:rPr>
            </w:pPr>
            <w:r>
              <w:rPr>
                <w:rFonts w:cs="Arial"/>
                <w:sz w:val="16"/>
                <w:szCs w:val="16"/>
              </w:rPr>
              <w:t>1.</w:t>
            </w:r>
            <w:r w:rsidR="00DD7832">
              <w:rPr>
                <w:rFonts w:cs="Arial"/>
                <w:sz w:val="16"/>
                <w:szCs w:val="16"/>
              </w:rPr>
              <w:t>6</w:t>
            </w:r>
          </w:p>
        </w:tc>
        <w:tc>
          <w:tcPr>
            <w:tcW w:w="508" w:type="pct"/>
            <w:tcBorders>
              <w:left w:val="nil"/>
              <w:right w:val="nil"/>
            </w:tcBorders>
            <w:vAlign w:val="center"/>
          </w:tcPr>
          <w:p w14:paraId="4A9CCDC1" w14:textId="15FF01B2" w:rsidR="00C73E2F" w:rsidRDefault="00C73E2F" w:rsidP="00C73E2F">
            <w:pPr>
              <w:tabs>
                <w:tab w:val="decimal" w:pos="452"/>
              </w:tabs>
              <w:rPr>
                <w:rFonts w:cs="Arial"/>
                <w:color w:val="000000"/>
                <w:sz w:val="18"/>
                <w:szCs w:val="18"/>
              </w:rPr>
            </w:pPr>
            <w:r>
              <w:rPr>
                <w:rFonts w:cs="Arial"/>
                <w:sz w:val="16"/>
                <w:szCs w:val="16"/>
              </w:rPr>
              <w:t>1.3</w:t>
            </w:r>
          </w:p>
        </w:tc>
        <w:tc>
          <w:tcPr>
            <w:tcW w:w="499" w:type="pct"/>
            <w:tcBorders>
              <w:left w:val="nil"/>
              <w:right w:val="single" w:sz="4" w:space="0" w:color="auto"/>
            </w:tcBorders>
            <w:vAlign w:val="center"/>
          </w:tcPr>
          <w:p w14:paraId="3CD7CAC3" w14:textId="26731E33" w:rsidR="00C73E2F" w:rsidRDefault="00C73E2F" w:rsidP="00C73E2F">
            <w:pPr>
              <w:tabs>
                <w:tab w:val="decimal" w:pos="452"/>
              </w:tabs>
              <w:rPr>
                <w:rFonts w:cs="Arial"/>
                <w:color w:val="000000"/>
                <w:sz w:val="18"/>
                <w:szCs w:val="18"/>
              </w:rPr>
            </w:pPr>
            <w:r>
              <w:rPr>
                <w:rFonts w:cs="Arial"/>
                <w:sz w:val="16"/>
                <w:szCs w:val="16"/>
              </w:rPr>
              <w:t>2.7</w:t>
            </w:r>
          </w:p>
        </w:tc>
        <w:tc>
          <w:tcPr>
            <w:tcW w:w="497" w:type="pct"/>
            <w:tcBorders>
              <w:left w:val="single" w:sz="4" w:space="0" w:color="auto"/>
              <w:right w:val="double" w:sz="6" w:space="0" w:color="auto"/>
            </w:tcBorders>
            <w:vAlign w:val="center"/>
          </w:tcPr>
          <w:p w14:paraId="1CB72124" w14:textId="7F1AE0AC" w:rsidR="00C73E2F" w:rsidRDefault="00DD7832" w:rsidP="00C73E2F">
            <w:pPr>
              <w:tabs>
                <w:tab w:val="decimal" w:pos="452"/>
              </w:tabs>
              <w:rPr>
                <w:rFonts w:cs="Arial"/>
                <w:sz w:val="16"/>
                <w:szCs w:val="16"/>
              </w:rPr>
            </w:pPr>
            <w:r>
              <w:rPr>
                <w:rFonts w:cs="Arial"/>
                <w:sz w:val="16"/>
                <w:szCs w:val="16"/>
              </w:rPr>
              <w:t>3.8</w:t>
            </w:r>
          </w:p>
        </w:tc>
      </w:tr>
      <w:tr w:rsidR="00C73E2F" w:rsidRPr="00B50BEE" w14:paraId="059E56A8" w14:textId="387F2FDB" w:rsidTr="00C73E2F">
        <w:trPr>
          <w:cantSplit/>
          <w:jc w:val="center"/>
        </w:trPr>
        <w:tc>
          <w:tcPr>
            <w:tcW w:w="2293" w:type="pct"/>
            <w:tcBorders>
              <w:left w:val="double" w:sz="6" w:space="0" w:color="auto"/>
              <w:bottom w:val="double" w:sz="6" w:space="0" w:color="auto"/>
              <w:right w:val="single" w:sz="4" w:space="0" w:color="auto"/>
            </w:tcBorders>
            <w:shd w:val="clear" w:color="auto" w:fill="DBE5F1" w:themeFill="accent1" w:themeFillTint="33"/>
            <w:vAlign w:val="center"/>
          </w:tcPr>
          <w:p w14:paraId="5EC81049" w14:textId="77777777" w:rsidR="00C73E2F" w:rsidRPr="00B50BEE" w:rsidRDefault="00C73E2F" w:rsidP="00C73E2F">
            <w:pPr>
              <w:tabs>
                <w:tab w:val="left" w:pos="667"/>
              </w:tabs>
              <w:spacing w:before="40" w:after="20"/>
              <w:ind w:left="657" w:hanging="544"/>
              <w:rPr>
                <w:rFonts w:cs="Arial"/>
                <w:sz w:val="18"/>
                <w:szCs w:val="18"/>
              </w:rPr>
            </w:pPr>
            <w:r w:rsidRPr="00B50BEE">
              <w:rPr>
                <w:rFonts w:cs="Arial"/>
                <w:sz w:val="18"/>
                <w:szCs w:val="18"/>
              </w:rPr>
              <w:t>93</w:t>
            </w:r>
            <w:r w:rsidRPr="00B50BEE">
              <w:rPr>
                <w:rFonts w:cs="Arial"/>
                <w:sz w:val="18"/>
                <w:szCs w:val="18"/>
              </w:rPr>
              <w:tab/>
              <w:t>Actividades legislativas, gubernamentales, de impartición de justicia y de organismos internacionales y extraterritoriales</w:t>
            </w:r>
          </w:p>
        </w:tc>
        <w:tc>
          <w:tcPr>
            <w:tcW w:w="406" w:type="pct"/>
            <w:tcBorders>
              <w:left w:val="single" w:sz="4" w:space="0" w:color="auto"/>
              <w:bottom w:val="double" w:sz="6" w:space="0" w:color="auto"/>
            </w:tcBorders>
            <w:shd w:val="clear" w:color="auto" w:fill="DBE5F1" w:themeFill="accent1" w:themeFillTint="33"/>
            <w:vAlign w:val="center"/>
          </w:tcPr>
          <w:p w14:paraId="5879AF10" w14:textId="1CE78DF6" w:rsidR="00C73E2F" w:rsidRDefault="00C73E2F" w:rsidP="00C73E2F">
            <w:pPr>
              <w:tabs>
                <w:tab w:val="decimal" w:pos="452"/>
              </w:tabs>
              <w:rPr>
                <w:rFonts w:cs="Arial"/>
                <w:color w:val="000000"/>
                <w:sz w:val="18"/>
                <w:szCs w:val="18"/>
              </w:rPr>
            </w:pPr>
            <w:r>
              <w:rPr>
                <w:rFonts w:cs="Arial"/>
                <w:sz w:val="16"/>
                <w:szCs w:val="16"/>
              </w:rPr>
              <w:t>-0.8</w:t>
            </w:r>
          </w:p>
        </w:tc>
        <w:tc>
          <w:tcPr>
            <w:tcW w:w="421" w:type="pct"/>
            <w:tcBorders>
              <w:left w:val="nil"/>
              <w:bottom w:val="double" w:sz="6" w:space="0" w:color="auto"/>
            </w:tcBorders>
            <w:shd w:val="clear" w:color="auto" w:fill="DBE5F1" w:themeFill="accent1" w:themeFillTint="33"/>
            <w:vAlign w:val="center"/>
          </w:tcPr>
          <w:p w14:paraId="66066F48" w14:textId="7A6BFE84" w:rsidR="00C73E2F" w:rsidRPr="006A5A9B" w:rsidRDefault="00C73E2F" w:rsidP="00C73E2F">
            <w:pPr>
              <w:tabs>
                <w:tab w:val="decimal" w:pos="452"/>
              </w:tabs>
              <w:rPr>
                <w:rFonts w:cs="Arial"/>
                <w:bCs/>
                <w:color w:val="000000"/>
                <w:sz w:val="18"/>
                <w:szCs w:val="18"/>
              </w:rPr>
            </w:pPr>
            <w:r>
              <w:rPr>
                <w:rFonts w:cs="Arial"/>
                <w:sz w:val="16"/>
                <w:szCs w:val="16"/>
              </w:rPr>
              <w:t>-2.</w:t>
            </w:r>
            <w:r w:rsidR="00DD7832">
              <w:rPr>
                <w:rFonts w:cs="Arial"/>
                <w:sz w:val="16"/>
                <w:szCs w:val="16"/>
              </w:rPr>
              <w:t>7</w:t>
            </w:r>
          </w:p>
        </w:tc>
        <w:tc>
          <w:tcPr>
            <w:tcW w:w="376" w:type="pct"/>
            <w:tcBorders>
              <w:left w:val="nil"/>
              <w:bottom w:val="double" w:sz="6" w:space="0" w:color="auto"/>
            </w:tcBorders>
            <w:shd w:val="clear" w:color="auto" w:fill="DBE5F1" w:themeFill="accent1" w:themeFillTint="33"/>
            <w:vAlign w:val="center"/>
          </w:tcPr>
          <w:p w14:paraId="2A776201" w14:textId="1A7F6316" w:rsidR="00C73E2F" w:rsidRDefault="00DD7832" w:rsidP="00C73E2F">
            <w:pPr>
              <w:tabs>
                <w:tab w:val="decimal" w:pos="452"/>
              </w:tabs>
              <w:rPr>
                <w:rFonts w:cs="Arial"/>
                <w:color w:val="000000"/>
                <w:sz w:val="18"/>
                <w:szCs w:val="18"/>
              </w:rPr>
            </w:pPr>
            <w:r>
              <w:rPr>
                <w:rFonts w:cs="Arial"/>
                <w:sz w:val="16"/>
                <w:szCs w:val="16"/>
              </w:rPr>
              <w:t>0.9</w:t>
            </w:r>
          </w:p>
        </w:tc>
        <w:tc>
          <w:tcPr>
            <w:tcW w:w="508" w:type="pct"/>
            <w:tcBorders>
              <w:left w:val="nil"/>
              <w:bottom w:val="double" w:sz="6" w:space="0" w:color="auto"/>
              <w:right w:val="nil"/>
            </w:tcBorders>
            <w:shd w:val="clear" w:color="auto" w:fill="DBE5F1" w:themeFill="accent1" w:themeFillTint="33"/>
            <w:vAlign w:val="center"/>
          </w:tcPr>
          <w:p w14:paraId="7690B9A4" w14:textId="09F4E7F7" w:rsidR="00C73E2F" w:rsidRDefault="00C73E2F" w:rsidP="00C73E2F">
            <w:pPr>
              <w:tabs>
                <w:tab w:val="decimal" w:pos="452"/>
              </w:tabs>
              <w:rPr>
                <w:rFonts w:cs="Arial"/>
                <w:color w:val="000000"/>
                <w:sz w:val="18"/>
                <w:szCs w:val="18"/>
              </w:rPr>
            </w:pPr>
            <w:r>
              <w:rPr>
                <w:rFonts w:cs="Arial"/>
                <w:sz w:val="16"/>
                <w:szCs w:val="16"/>
              </w:rPr>
              <w:t>3.</w:t>
            </w:r>
            <w:r w:rsidR="00DD7832">
              <w:rPr>
                <w:rFonts w:cs="Arial"/>
                <w:sz w:val="16"/>
                <w:szCs w:val="16"/>
              </w:rPr>
              <w:t>2</w:t>
            </w:r>
          </w:p>
        </w:tc>
        <w:tc>
          <w:tcPr>
            <w:tcW w:w="499" w:type="pct"/>
            <w:tcBorders>
              <w:left w:val="nil"/>
              <w:bottom w:val="double" w:sz="6" w:space="0" w:color="auto"/>
              <w:right w:val="single" w:sz="4" w:space="0" w:color="auto"/>
            </w:tcBorders>
            <w:shd w:val="clear" w:color="auto" w:fill="DBE5F1" w:themeFill="accent1" w:themeFillTint="33"/>
            <w:vAlign w:val="center"/>
          </w:tcPr>
          <w:p w14:paraId="00A00BEF" w14:textId="5431534C" w:rsidR="00C73E2F" w:rsidRDefault="00C73E2F" w:rsidP="00C73E2F">
            <w:pPr>
              <w:tabs>
                <w:tab w:val="decimal" w:pos="452"/>
              </w:tabs>
              <w:rPr>
                <w:rFonts w:cs="Arial"/>
                <w:color w:val="000000"/>
                <w:sz w:val="18"/>
                <w:szCs w:val="18"/>
              </w:rPr>
            </w:pPr>
            <w:r>
              <w:rPr>
                <w:rFonts w:cs="Arial"/>
                <w:sz w:val="16"/>
                <w:szCs w:val="16"/>
              </w:rPr>
              <w:t>0.</w:t>
            </w:r>
            <w:r w:rsidR="00DD7832">
              <w:rPr>
                <w:rFonts w:cs="Arial"/>
                <w:sz w:val="16"/>
                <w:szCs w:val="16"/>
              </w:rPr>
              <w:t>1</w:t>
            </w:r>
          </w:p>
        </w:tc>
        <w:tc>
          <w:tcPr>
            <w:tcW w:w="497" w:type="pct"/>
            <w:tcBorders>
              <w:left w:val="single" w:sz="4" w:space="0" w:color="auto"/>
              <w:bottom w:val="double" w:sz="6" w:space="0" w:color="auto"/>
              <w:right w:val="double" w:sz="6" w:space="0" w:color="auto"/>
            </w:tcBorders>
            <w:shd w:val="clear" w:color="auto" w:fill="DBE5F1" w:themeFill="accent1" w:themeFillTint="33"/>
            <w:vAlign w:val="center"/>
          </w:tcPr>
          <w:p w14:paraId="025BACDE" w14:textId="5A6C202A" w:rsidR="00C73E2F" w:rsidRDefault="00DD7832" w:rsidP="00C73E2F">
            <w:pPr>
              <w:tabs>
                <w:tab w:val="decimal" w:pos="452"/>
              </w:tabs>
              <w:rPr>
                <w:rFonts w:cs="Arial"/>
                <w:sz w:val="16"/>
                <w:szCs w:val="16"/>
              </w:rPr>
            </w:pPr>
            <w:r>
              <w:rPr>
                <w:rFonts w:cs="Arial"/>
                <w:sz w:val="16"/>
                <w:szCs w:val="16"/>
              </w:rPr>
              <w:t>-0.2</w:t>
            </w:r>
          </w:p>
        </w:tc>
      </w:tr>
    </w:tbl>
    <w:p w14:paraId="0DD8AAD1" w14:textId="27CC421F" w:rsidR="00FF1658" w:rsidRDefault="0089762E" w:rsidP="00C73E2F">
      <w:pPr>
        <w:pStyle w:val="p0"/>
        <w:keepLines w:val="0"/>
        <w:spacing w:before="20"/>
        <w:ind w:left="284"/>
        <w:rPr>
          <w:rFonts w:cs="Arial"/>
          <w:color w:val="auto"/>
          <w:sz w:val="18"/>
          <w:szCs w:val="18"/>
          <w:vertAlign w:val="superscript"/>
        </w:rPr>
      </w:pPr>
      <w:r>
        <w:rPr>
          <w:rFonts w:cs="Arial"/>
          <w:color w:val="auto"/>
          <w:sz w:val="18"/>
          <w:szCs w:val="18"/>
          <w:vertAlign w:val="superscript"/>
        </w:rPr>
        <w:t>R</w:t>
      </w:r>
      <w:r w:rsidR="00FF1658" w:rsidRPr="001324F0">
        <w:rPr>
          <w:rFonts w:cs="Arial"/>
          <w:color w:val="auto"/>
          <w:sz w:val="18"/>
          <w:szCs w:val="18"/>
          <w:vertAlign w:val="superscript"/>
        </w:rPr>
        <w:t>/</w:t>
      </w:r>
      <w:r w:rsidR="00FF1658" w:rsidRPr="00C81D29">
        <w:rPr>
          <w:rFonts w:cs="Arial"/>
          <w:color w:val="auto"/>
          <w:sz w:val="16"/>
          <w:szCs w:val="16"/>
        </w:rPr>
        <w:t xml:space="preserve">   </w:t>
      </w:r>
      <w:r w:rsidR="00FF1658">
        <w:rPr>
          <w:rFonts w:cs="Arial"/>
          <w:color w:val="auto"/>
          <w:sz w:val="16"/>
          <w:szCs w:val="16"/>
        </w:rPr>
        <w:t xml:space="preserve"> </w:t>
      </w:r>
      <w:r w:rsidR="00FF1658" w:rsidRPr="00B50BEE">
        <w:rPr>
          <w:rFonts w:cs="Arial"/>
          <w:color w:val="auto"/>
          <w:sz w:val="16"/>
          <w:szCs w:val="16"/>
        </w:rPr>
        <w:t xml:space="preserve">Cifras </w:t>
      </w:r>
      <w:r w:rsidR="00FF1658">
        <w:rPr>
          <w:rFonts w:cs="Arial"/>
          <w:color w:val="auto"/>
          <w:sz w:val="16"/>
          <w:szCs w:val="16"/>
        </w:rPr>
        <w:t>revisadas</w:t>
      </w:r>
    </w:p>
    <w:p w14:paraId="54091D09" w14:textId="0D10AA40" w:rsidR="007F02C5" w:rsidRDefault="007F02C5" w:rsidP="00C73E2F">
      <w:pPr>
        <w:pStyle w:val="p0"/>
        <w:keepLines w:val="0"/>
        <w:spacing w:before="0"/>
        <w:ind w:left="284" w:right="-441"/>
        <w:rPr>
          <w:rFonts w:cs="Arial"/>
          <w:color w:val="auto"/>
          <w:sz w:val="18"/>
          <w:szCs w:val="18"/>
          <w:vertAlign w:val="superscript"/>
        </w:rPr>
      </w:pPr>
      <w:r>
        <w:rPr>
          <w:rFonts w:cs="Arial"/>
          <w:color w:val="auto"/>
          <w:sz w:val="18"/>
          <w:szCs w:val="18"/>
          <w:vertAlign w:val="superscript"/>
        </w:rPr>
        <w:t>P</w:t>
      </w:r>
      <w:r w:rsidRPr="001324F0">
        <w:rPr>
          <w:rFonts w:cs="Arial"/>
          <w:color w:val="auto"/>
          <w:sz w:val="18"/>
          <w:szCs w:val="18"/>
          <w:vertAlign w:val="superscript"/>
        </w:rPr>
        <w:t>/</w:t>
      </w:r>
      <w:r w:rsidRPr="00C81D29">
        <w:rPr>
          <w:rFonts w:cs="Arial"/>
          <w:color w:val="auto"/>
          <w:sz w:val="16"/>
          <w:szCs w:val="16"/>
        </w:rPr>
        <w:t xml:space="preserve">   </w:t>
      </w:r>
      <w:r>
        <w:rPr>
          <w:rFonts w:cs="Arial"/>
          <w:color w:val="auto"/>
          <w:sz w:val="16"/>
          <w:szCs w:val="16"/>
        </w:rPr>
        <w:t xml:space="preserve"> </w:t>
      </w:r>
      <w:r w:rsidRPr="00B50BEE">
        <w:rPr>
          <w:rFonts w:cs="Arial"/>
          <w:color w:val="auto"/>
          <w:sz w:val="16"/>
          <w:szCs w:val="16"/>
        </w:rPr>
        <w:t>Cifras preliminares</w:t>
      </w:r>
      <w:r w:rsidRPr="00FC441D">
        <w:rPr>
          <w:rFonts w:cs="Arial"/>
          <w:color w:val="auto"/>
          <w:sz w:val="18"/>
          <w:szCs w:val="18"/>
          <w:vertAlign w:val="superscript"/>
        </w:rPr>
        <w:t xml:space="preserve"> </w:t>
      </w:r>
    </w:p>
    <w:p w14:paraId="0EC43D47" w14:textId="14EAC192" w:rsidR="004E35BD" w:rsidRDefault="004E35BD" w:rsidP="00C73E2F">
      <w:pPr>
        <w:ind w:left="284"/>
        <w:rPr>
          <w:rFonts w:cs="Arial"/>
          <w:sz w:val="16"/>
          <w:szCs w:val="16"/>
        </w:rPr>
      </w:pPr>
      <w:r w:rsidRPr="00B50BEE">
        <w:rPr>
          <w:rFonts w:cs="Arial"/>
          <w:sz w:val="16"/>
          <w:szCs w:val="16"/>
        </w:rPr>
        <w:t>Fuente: INEGI</w:t>
      </w:r>
    </w:p>
    <w:p w14:paraId="25D86AB1" w14:textId="23A92ACC" w:rsidR="00005BE9" w:rsidRPr="00347E10" w:rsidRDefault="00005BE9" w:rsidP="00D00308">
      <w:pPr>
        <w:pStyle w:val="p0"/>
        <w:spacing w:before="360"/>
        <w:rPr>
          <w:b/>
          <w:iCs/>
          <w:smallCaps/>
          <w:color w:val="auto"/>
        </w:rPr>
      </w:pPr>
      <w:r w:rsidRPr="00347E10">
        <w:rPr>
          <w:b/>
          <w:iCs/>
          <w:smallCaps/>
          <w:color w:val="auto"/>
        </w:rPr>
        <w:lastRenderedPageBreak/>
        <w:t>Nota al usuario</w:t>
      </w:r>
    </w:p>
    <w:p w14:paraId="1C1AA89B" w14:textId="37D0012F" w:rsidR="004520C2" w:rsidRPr="004520C2" w:rsidRDefault="004520C2" w:rsidP="007C251D">
      <w:pPr>
        <w:pStyle w:val="Default"/>
        <w:spacing w:before="240"/>
        <w:jc w:val="both"/>
      </w:pPr>
      <w:r w:rsidRPr="004520C2">
        <w:t>Este indicador se actualiza una vez que se dispone de la información estadística más reciente de las Cuentas de Bienes y Servicios 2021</w:t>
      </w:r>
      <w:r w:rsidR="00991389">
        <w:t>,</w:t>
      </w:r>
      <w:r w:rsidRPr="004520C2">
        <w:t xml:space="preserve"> versión revisada</w:t>
      </w:r>
      <w:r w:rsidR="00991389">
        <w:t>,</w:t>
      </w:r>
      <w:r w:rsidRPr="004520C2">
        <w:t xml:space="preserve"> y de las encuestas, los registros administrativos y los datos primarios de los años 2021 y 2022. Como resultado, se identifican diferencias en los valores en millones de pesos, variaciones anuales y estructuras porcentuales que se publicaron oportunamente. La actualización se hace con base en los «Lineamientos de cambios a la información divulgada en las publicaciones estadísticas y geográficas del Instituto Nacional de Estadística y Geografía» que se complementan con las «Normas Especiales para la Divulgación de Datos» del Fondo Monetario Internacional (FMI).</w:t>
      </w:r>
    </w:p>
    <w:p w14:paraId="47A51570" w14:textId="2E6F447E" w:rsidR="004520C2" w:rsidRDefault="004520C2" w:rsidP="00984E92">
      <w:pPr>
        <w:pStyle w:val="Default"/>
        <w:spacing w:before="240"/>
        <w:jc w:val="both"/>
      </w:pPr>
      <w:r w:rsidRPr="004520C2">
        <w:t>La tasa de no respuesta en la captación de las encuestas económicas que se consideraron para la integración del PIB Trimestral,</w:t>
      </w:r>
      <w:r w:rsidRPr="004520C2">
        <w:rPr>
          <w:rStyle w:val="Refdenotaalpie"/>
          <w:b w:val="0"/>
          <w:bCs/>
          <w:sz w:val="24"/>
        </w:rPr>
        <w:footnoteReference w:id="6"/>
      </w:r>
      <w:r w:rsidRPr="004520C2">
        <w:t xml:space="preserve"> en el primer trimestre de 2023, registró porcentajes apropiados de acuerdo con el diseño estadístico de las muestras. Asimismo, la captación de la Estadística de la Industria Minerometalúrgica (EIMM), de los registros administrativos y los datos primarios que divulga el Instituto Nacional de Estadística y Geografía (INEGI) permitió la generación de estadísticas con niveles altos de cobertura y precisión estadística. Para las actividades agropecuarias, petroleras, de energía, gas y agua, de servicios financieros y del gobierno</w:t>
      </w:r>
      <w:r w:rsidR="00046FED">
        <w:t>,</w:t>
      </w:r>
      <w:r w:rsidRPr="004520C2">
        <w:t xml:space="preserve"> se incluyeron los registros administrativos provenientes de las empresas y Unidades del Estado que se recibieron oportunamente vía correo electrónico e internet.</w:t>
      </w:r>
    </w:p>
    <w:p w14:paraId="5E4FEF64" w14:textId="529D8792" w:rsidR="008B56B0" w:rsidRPr="004520C2" w:rsidRDefault="008B56B0" w:rsidP="00984E92">
      <w:pPr>
        <w:pStyle w:val="Default"/>
        <w:spacing w:before="240"/>
        <w:jc w:val="both"/>
      </w:pPr>
      <w:r>
        <w:rPr>
          <w:rStyle w:val="ui-provider"/>
        </w:rPr>
        <w:t xml:space="preserve">Con la presente publicación se cierra el ciclo de difusión del PIB trimestral base 2013. Durante la última semana de agosto </w:t>
      </w:r>
      <w:r w:rsidR="00484D56">
        <w:rPr>
          <w:rStyle w:val="ui-provider"/>
        </w:rPr>
        <w:t xml:space="preserve">iniciará </w:t>
      </w:r>
      <w:r>
        <w:rPr>
          <w:rStyle w:val="ui-provider"/>
        </w:rPr>
        <w:t>la difusión de los productos del Sistema de Cuentas Nacionales de México</w:t>
      </w:r>
      <w:r w:rsidR="00020030">
        <w:rPr>
          <w:rStyle w:val="ui-provider"/>
        </w:rPr>
        <w:t>,</w:t>
      </w:r>
      <w:r>
        <w:rPr>
          <w:rStyle w:val="ui-provider"/>
        </w:rPr>
        <w:t xml:space="preserve"> con la nueva base 2018.</w:t>
      </w:r>
    </w:p>
    <w:p w14:paraId="3D839F39" w14:textId="238ED103" w:rsidR="00BE1201" w:rsidRDefault="00FA0FB3" w:rsidP="00984E92">
      <w:pPr>
        <w:pStyle w:val="Default"/>
        <w:spacing w:before="240"/>
        <w:jc w:val="both"/>
        <w:rPr>
          <w:color w:val="auto"/>
        </w:rPr>
      </w:pPr>
      <w:r>
        <w:rPr>
          <w:color w:val="auto"/>
          <w:lang w:val="es-MX"/>
        </w:rPr>
        <w:t>L</w:t>
      </w:r>
      <w:r w:rsidRPr="00F87E34">
        <w:rPr>
          <w:color w:val="auto"/>
          <w:lang w:val="es-MX"/>
        </w:rPr>
        <w:t xml:space="preserve">as cifras desestacionalizadas y de tendencia-ciclo pueden estar sujetas a revisiones </w:t>
      </w:r>
      <w:r>
        <w:rPr>
          <w:color w:val="auto"/>
          <w:lang w:val="es-MX"/>
        </w:rPr>
        <w:t xml:space="preserve">por el </w:t>
      </w:r>
      <w:r w:rsidRPr="00F87E34">
        <w:rPr>
          <w:color w:val="auto"/>
          <w:lang w:val="es-MX"/>
        </w:rPr>
        <w:t xml:space="preserve">impacto de la emergencia sanitaria de la COVID-19. La estrategia </w:t>
      </w:r>
      <w:r>
        <w:rPr>
          <w:color w:val="auto"/>
          <w:lang w:val="es-MX"/>
        </w:rPr>
        <w:t xml:space="preserve">que siguió </w:t>
      </w:r>
      <w:r w:rsidRPr="00F87E34">
        <w:rPr>
          <w:color w:val="auto"/>
          <w:lang w:val="es-MX"/>
        </w:rPr>
        <w:t xml:space="preserve">el INEGI </w:t>
      </w:r>
      <w:r>
        <w:rPr>
          <w:color w:val="auto"/>
          <w:lang w:val="es-MX"/>
        </w:rPr>
        <w:t>fue r</w:t>
      </w:r>
      <w:r w:rsidRPr="00F87E34">
        <w:rPr>
          <w:color w:val="auto"/>
          <w:lang w:val="es-MX"/>
        </w:rPr>
        <w:t>evisar cada serie de tiempo y analizar la necesidad de incluir algún tratamiento especial en los modelos de ajuste estacional para los meses de la contingencia, como el de</w:t>
      </w:r>
      <w:r>
        <w:rPr>
          <w:color w:val="auto"/>
          <w:lang w:val="es-MX"/>
        </w:rPr>
        <w:t xml:space="preserve"> </w:t>
      </w:r>
      <w:proofErr w:type="spellStart"/>
      <w:r w:rsidRPr="00C246E9">
        <w:rPr>
          <w:i/>
          <w:iCs/>
          <w:color w:val="auto"/>
          <w:lang w:val="es-MX"/>
        </w:rPr>
        <w:t>o</w:t>
      </w:r>
      <w:r w:rsidRPr="00F87E34">
        <w:rPr>
          <w:i/>
          <w:color w:val="auto"/>
          <w:lang w:val="es-MX"/>
        </w:rPr>
        <w:t>utliers</w:t>
      </w:r>
      <w:proofErr w:type="spellEnd"/>
      <w:r w:rsidRPr="00F87E34">
        <w:rPr>
          <w:color w:val="auto"/>
          <w:lang w:val="es-MX"/>
        </w:rPr>
        <w:t>. Lo anterior</w:t>
      </w:r>
      <w:r>
        <w:rPr>
          <w:color w:val="auto"/>
          <w:lang w:val="es-MX"/>
        </w:rPr>
        <w:t>,</w:t>
      </w:r>
      <w:r w:rsidRPr="00F87E34">
        <w:rPr>
          <w:color w:val="auto"/>
          <w:lang w:val="es-MX"/>
        </w:rPr>
        <w:t xml:space="preserve"> </w:t>
      </w:r>
      <w:r>
        <w:rPr>
          <w:color w:val="auto"/>
          <w:lang w:val="es-MX"/>
        </w:rPr>
        <w:t>para</w:t>
      </w:r>
      <w:r w:rsidRPr="00F87E34">
        <w:rPr>
          <w:color w:val="auto"/>
          <w:lang w:val="es-MX"/>
        </w:rPr>
        <w:t xml:space="preserve"> que los grandes cambios en las cifras originales no influy</w:t>
      </w:r>
      <w:r>
        <w:rPr>
          <w:color w:val="auto"/>
          <w:lang w:val="es-MX"/>
        </w:rPr>
        <w:t>er</w:t>
      </w:r>
      <w:r w:rsidRPr="00F87E34">
        <w:rPr>
          <w:color w:val="auto"/>
          <w:lang w:val="es-MX"/>
        </w:rPr>
        <w:t>an de manera desproporcionada en los factores estacionales utilizados.</w:t>
      </w:r>
    </w:p>
    <w:p w14:paraId="7AD5C5FD" w14:textId="61AC18B2" w:rsidR="00B35528" w:rsidRPr="00347E10" w:rsidRDefault="00B35528" w:rsidP="005D07E7">
      <w:pPr>
        <w:pStyle w:val="p0"/>
        <w:keepLines w:val="0"/>
        <w:spacing w:before="360"/>
        <w:rPr>
          <w:b/>
          <w:iCs/>
          <w:smallCaps/>
          <w:color w:val="auto"/>
        </w:rPr>
      </w:pPr>
      <w:r w:rsidRPr="00347E10">
        <w:rPr>
          <w:b/>
          <w:iCs/>
          <w:smallCaps/>
          <w:color w:val="auto"/>
        </w:rPr>
        <w:t xml:space="preserve">Nota </w:t>
      </w:r>
      <w:r w:rsidR="00F37F02" w:rsidRPr="00347E10">
        <w:rPr>
          <w:b/>
          <w:iCs/>
          <w:smallCaps/>
          <w:color w:val="auto"/>
        </w:rPr>
        <w:t>m</w:t>
      </w:r>
      <w:r w:rsidRPr="00347E10">
        <w:rPr>
          <w:b/>
          <w:iCs/>
          <w:smallCaps/>
          <w:color w:val="auto"/>
        </w:rPr>
        <w:t xml:space="preserve">etodológica </w:t>
      </w:r>
    </w:p>
    <w:p w14:paraId="49C022DA" w14:textId="615B10AB" w:rsidR="009C5E3C" w:rsidRPr="00F65B03" w:rsidRDefault="008B7139" w:rsidP="00EE484D">
      <w:pPr>
        <w:pStyle w:val="p0"/>
        <w:keepLines w:val="0"/>
        <w:rPr>
          <w:color w:val="auto"/>
        </w:rPr>
      </w:pPr>
      <w:r>
        <w:rPr>
          <w:color w:val="auto"/>
        </w:rPr>
        <w:t>P</w:t>
      </w:r>
      <w:r w:rsidRPr="00F65B03">
        <w:rPr>
          <w:color w:val="auto"/>
        </w:rPr>
        <w:t>ara apoyar la toma de decisiones</w:t>
      </w:r>
      <w:r>
        <w:rPr>
          <w:color w:val="auto"/>
        </w:rPr>
        <w:t>,</w:t>
      </w:r>
      <w:r w:rsidRPr="00F65B03">
        <w:rPr>
          <w:color w:val="auto"/>
        </w:rPr>
        <w:t xml:space="preserve"> </w:t>
      </w:r>
      <w:r>
        <w:rPr>
          <w:color w:val="auto"/>
        </w:rPr>
        <w:t>e</w:t>
      </w:r>
      <w:r w:rsidR="009C5E3C" w:rsidRPr="00F65B03">
        <w:rPr>
          <w:color w:val="auto"/>
        </w:rPr>
        <w:t xml:space="preserve">l PIB </w:t>
      </w:r>
      <w:r w:rsidR="0006146E">
        <w:rPr>
          <w:color w:val="auto"/>
        </w:rPr>
        <w:t>T</w:t>
      </w:r>
      <w:r w:rsidR="009C5E3C" w:rsidRPr="00F65B03">
        <w:rPr>
          <w:color w:val="auto"/>
        </w:rPr>
        <w:t>rimestral ofrece una visión oportuna, completa y coherente de la evolución de las actividades económicas del país.</w:t>
      </w:r>
      <w:r w:rsidR="00D14D7C">
        <w:rPr>
          <w:color w:val="auto"/>
        </w:rPr>
        <w:t xml:space="preserve"> </w:t>
      </w:r>
      <w:r w:rsidR="009C5E3C" w:rsidRPr="00F65B03">
        <w:rPr>
          <w:color w:val="auto"/>
        </w:rPr>
        <w:t>Su cobertura geográfica es nacional y alcanza una representatividad de 96.4</w:t>
      </w:r>
      <w:r w:rsidR="006430B6">
        <w:rPr>
          <w:color w:val="auto"/>
        </w:rPr>
        <w:t> </w:t>
      </w:r>
      <w:r w:rsidR="009C5E3C" w:rsidRPr="00F65B03">
        <w:rPr>
          <w:color w:val="auto"/>
        </w:rPr>
        <w:t xml:space="preserve">% del </w:t>
      </w:r>
      <w:r w:rsidR="00F219E7">
        <w:rPr>
          <w:color w:val="auto"/>
        </w:rPr>
        <w:t>V</w:t>
      </w:r>
      <w:r w:rsidR="009C5E3C" w:rsidRPr="00F65B03">
        <w:rPr>
          <w:color w:val="auto"/>
        </w:rPr>
        <w:t xml:space="preserve">alor agregado bruto del año 2013, año base de los productos del </w:t>
      </w:r>
      <w:r w:rsidR="00972755">
        <w:rPr>
          <w:color w:val="auto"/>
        </w:rPr>
        <w:t>Sistema de Cuentas Nacionales de México (</w:t>
      </w:r>
      <w:r w:rsidR="009C5E3C" w:rsidRPr="00F65B03">
        <w:rPr>
          <w:color w:val="auto"/>
        </w:rPr>
        <w:t>SCNM</w:t>
      </w:r>
      <w:r w:rsidR="00972755">
        <w:rPr>
          <w:color w:val="auto"/>
        </w:rPr>
        <w:t>)</w:t>
      </w:r>
      <w:r w:rsidR="009C5E3C" w:rsidRPr="00F65B03">
        <w:rPr>
          <w:color w:val="auto"/>
        </w:rPr>
        <w:t>.</w:t>
      </w:r>
    </w:p>
    <w:p w14:paraId="6B05E3AD" w14:textId="2E0C7AEF" w:rsidR="00B35528" w:rsidRPr="006200AD" w:rsidRDefault="009C5E3C" w:rsidP="006C1041">
      <w:pPr>
        <w:pStyle w:val="p0"/>
        <w:keepNext/>
        <w:spacing w:before="200"/>
        <w:rPr>
          <w:color w:val="auto"/>
        </w:rPr>
      </w:pPr>
      <w:r w:rsidRPr="00F65B03">
        <w:rPr>
          <w:color w:val="auto"/>
        </w:rPr>
        <w:lastRenderedPageBreak/>
        <w:t xml:space="preserve">Las cifras trimestrales del PIB están disponibles desde el primer trimestre de 1993 </w:t>
      </w:r>
      <w:r w:rsidR="00251E63">
        <w:rPr>
          <w:color w:val="auto"/>
        </w:rPr>
        <w:t xml:space="preserve">y </w:t>
      </w:r>
      <w:r w:rsidRPr="00F65B03">
        <w:rPr>
          <w:color w:val="auto"/>
        </w:rPr>
        <w:t>se presentan anualizadas en millones de pesos de 2013</w:t>
      </w:r>
      <w:r w:rsidR="000155A5">
        <w:rPr>
          <w:color w:val="auto"/>
        </w:rPr>
        <w:t>.</w:t>
      </w:r>
      <w:r w:rsidR="00E866FE">
        <w:rPr>
          <w:color w:val="auto"/>
        </w:rPr>
        <w:t xml:space="preserve"> </w:t>
      </w:r>
      <w:r w:rsidR="000155A5">
        <w:rPr>
          <w:color w:val="auto"/>
        </w:rPr>
        <w:t>Esto</w:t>
      </w:r>
      <w:r w:rsidRPr="00F65B03">
        <w:rPr>
          <w:color w:val="auto"/>
        </w:rPr>
        <w:t xml:space="preserve"> implica que el dato resultante de cada trimestre se multiplica por cuatro para expresarlo en niveles anuales</w:t>
      </w:r>
      <w:r w:rsidR="00D336D5">
        <w:rPr>
          <w:color w:val="auto"/>
        </w:rPr>
        <w:t>.</w:t>
      </w:r>
      <w:r w:rsidRPr="00F65B03">
        <w:rPr>
          <w:color w:val="auto"/>
        </w:rPr>
        <w:t xml:space="preserve"> </w:t>
      </w:r>
      <w:r w:rsidR="00D336D5">
        <w:rPr>
          <w:color w:val="auto"/>
        </w:rPr>
        <w:t>E</w:t>
      </w:r>
      <w:r w:rsidRPr="00F65B03">
        <w:rPr>
          <w:color w:val="auto"/>
        </w:rPr>
        <w:t>l objet</w:t>
      </w:r>
      <w:r w:rsidR="00D336D5">
        <w:rPr>
          <w:color w:val="auto"/>
        </w:rPr>
        <w:t>iv</w:t>
      </w:r>
      <w:r w:rsidRPr="00F65B03">
        <w:rPr>
          <w:color w:val="auto"/>
        </w:rPr>
        <w:t xml:space="preserve">o </w:t>
      </w:r>
      <w:r w:rsidR="00D336D5">
        <w:rPr>
          <w:color w:val="auto"/>
        </w:rPr>
        <w:t>es</w:t>
      </w:r>
      <w:r w:rsidR="00D336D5" w:rsidRPr="00F65B03">
        <w:rPr>
          <w:color w:val="auto"/>
        </w:rPr>
        <w:t xml:space="preserve"> </w:t>
      </w:r>
      <w:r w:rsidRPr="00F65B03">
        <w:rPr>
          <w:color w:val="auto"/>
        </w:rPr>
        <w:t>reflejar el nivel que alcanzaría la economía del país o cualquier sector económico si en el resto del año se mantuvieran las condiciones observadas en el trimestre en estudio.</w:t>
      </w:r>
    </w:p>
    <w:p w14:paraId="45CDF74A" w14:textId="40FB8D31" w:rsidR="009C5E3C" w:rsidRPr="00F65B03" w:rsidRDefault="009C5E3C" w:rsidP="006C1041">
      <w:pPr>
        <w:pStyle w:val="p0"/>
        <w:keepLines w:val="0"/>
        <w:spacing w:before="200"/>
        <w:rPr>
          <w:color w:val="auto"/>
        </w:rPr>
      </w:pPr>
      <w:r w:rsidRPr="00F65B03">
        <w:rPr>
          <w:color w:val="auto"/>
        </w:rPr>
        <w:t xml:space="preserve">Las mediciones se realizan a partir de los criterios metodológicos del año base 2013 del </w:t>
      </w:r>
      <w:r w:rsidR="0006146E">
        <w:rPr>
          <w:color w:val="auto"/>
        </w:rPr>
        <w:t>SNCM</w:t>
      </w:r>
      <w:r w:rsidR="00133BCC">
        <w:rPr>
          <w:color w:val="auto"/>
        </w:rPr>
        <w:t xml:space="preserve"> e </w:t>
      </w:r>
      <w:r w:rsidRPr="00F65B03">
        <w:rPr>
          <w:color w:val="auto"/>
        </w:rPr>
        <w:t>incorpora</w:t>
      </w:r>
      <w:r w:rsidR="00A51ED3">
        <w:rPr>
          <w:color w:val="auto"/>
        </w:rPr>
        <w:t>n</w:t>
      </w:r>
      <w:r w:rsidRPr="00F65B03">
        <w:rPr>
          <w:color w:val="auto"/>
        </w:rPr>
        <w:t xml:space="preserve"> los lineamientos internacionales sobre contabilidad nacional, establecido</w:t>
      </w:r>
      <w:r w:rsidR="00A51ED3">
        <w:rPr>
          <w:color w:val="auto"/>
        </w:rPr>
        <w:t>s</w:t>
      </w:r>
      <w:r w:rsidRPr="00F65B03">
        <w:rPr>
          <w:color w:val="auto"/>
        </w:rPr>
        <w:t xml:space="preserve"> por Naciones Unidas (</w:t>
      </w:r>
      <w:r w:rsidR="00F37F02">
        <w:rPr>
          <w:color w:val="auto"/>
        </w:rPr>
        <w:t>NU</w:t>
      </w:r>
      <w:r w:rsidRPr="00F65B03">
        <w:rPr>
          <w:color w:val="auto"/>
        </w:rPr>
        <w:t>), la Organización para la Cooperación y Desarrollo Económicos (OCDE), el Banco Mundial (BM), el</w:t>
      </w:r>
      <w:r w:rsidR="0006146E">
        <w:rPr>
          <w:color w:val="auto"/>
        </w:rPr>
        <w:t xml:space="preserve"> FMI</w:t>
      </w:r>
      <w:r w:rsidRPr="00F65B03">
        <w:rPr>
          <w:color w:val="auto"/>
        </w:rPr>
        <w:t xml:space="preserve"> y la Comisión Europea</w:t>
      </w:r>
      <w:r w:rsidR="00A772CA">
        <w:rPr>
          <w:color w:val="auto"/>
        </w:rPr>
        <w:t>.</w:t>
      </w:r>
      <w:r w:rsidRPr="00F65B03">
        <w:rPr>
          <w:color w:val="auto"/>
        </w:rPr>
        <w:t xml:space="preserve"> </w:t>
      </w:r>
      <w:r w:rsidR="00A772CA">
        <w:rPr>
          <w:color w:val="auto"/>
        </w:rPr>
        <w:t>D</w:t>
      </w:r>
      <w:r w:rsidRPr="00F65B03">
        <w:rPr>
          <w:color w:val="auto"/>
        </w:rPr>
        <w:t>ichas recomendaciones se difund</w:t>
      </w:r>
      <w:r w:rsidR="00F12841">
        <w:rPr>
          <w:color w:val="auto"/>
        </w:rPr>
        <w:t>en</w:t>
      </w:r>
      <w:r w:rsidRPr="00F65B03">
        <w:rPr>
          <w:color w:val="auto"/>
        </w:rPr>
        <w:t xml:space="preserve"> en el Sistema de Cuentas Nacionales 2008 </w:t>
      </w:r>
      <w:r w:rsidR="004E0BE9">
        <w:rPr>
          <w:color w:val="auto"/>
        </w:rPr>
        <w:br/>
      </w:r>
      <w:r w:rsidRPr="00F65B03">
        <w:rPr>
          <w:color w:val="auto"/>
        </w:rPr>
        <w:t>(SCN</w:t>
      </w:r>
      <w:r w:rsidR="00972755">
        <w:rPr>
          <w:color w:val="auto"/>
        </w:rPr>
        <w:t xml:space="preserve"> </w:t>
      </w:r>
      <w:r w:rsidRPr="00F65B03">
        <w:rPr>
          <w:color w:val="auto"/>
        </w:rPr>
        <w:t xml:space="preserve">2008) y en el </w:t>
      </w:r>
      <w:r w:rsidRPr="004650C9">
        <w:rPr>
          <w:i/>
          <w:color w:val="auto"/>
        </w:rPr>
        <w:t xml:space="preserve">Manual de </w:t>
      </w:r>
      <w:r w:rsidR="00F829DB">
        <w:rPr>
          <w:i/>
          <w:color w:val="auto"/>
        </w:rPr>
        <w:t>c</w:t>
      </w:r>
      <w:r w:rsidRPr="004650C9">
        <w:rPr>
          <w:i/>
          <w:color w:val="auto"/>
        </w:rPr>
        <w:t xml:space="preserve">uentas </w:t>
      </w:r>
      <w:r w:rsidR="00F829DB">
        <w:rPr>
          <w:i/>
          <w:color w:val="auto"/>
        </w:rPr>
        <w:t>n</w:t>
      </w:r>
      <w:r w:rsidRPr="004650C9">
        <w:rPr>
          <w:i/>
          <w:color w:val="auto"/>
        </w:rPr>
        <w:t xml:space="preserve">acionales </w:t>
      </w:r>
      <w:r w:rsidR="00F829DB">
        <w:rPr>
          <w:i/>
          <w:color w:val="auto"/>
        </w:rPr>
        <w:t>t</w:t>
      </w:r>
      <w:r w:rsidRPr="004650C9">
        <w:rPr>
          <w:i/>
          <w:color w:val="auto"/>
        </w:rPr>
        <w:t>rimestrales</w:t>
      </w:r>
      <w:r w:rsidR="00F829DB">
        <w:rPr>
          <w:i/>
          <w:color w:val="auto"/>
        </w:rPr>
        <w:t>.</w:t>
      </w:r>
      <w:r w:rsidRPr="004650C9">
        <w:rPr>
          <w:i/>
          <w:color w:val="auto"/>
        </w:rPr>
        <w:t xml:space="preserve"> Conceptos, </w:t>
      </w:r>
      <w:r w:rsidR="00F829DB">
        <w:rPr>
          <w:i/>
          <w:color w:val="auto"/>
        </w:rPr>
        <w:t>f</w:t>
      </w:r>
      <w:r w:rsidRPr="004650C9">
        <w:rPr>
          <w:i/>
          <w:color w:val="auto"/>
        </w:rPr>
        <w:t xml:space="preserve">uentes de </w:t>
      </w:r>
      <w:r w:rsidR="00F829DB">
        <w:rPr>
          <w:i/>
          <w:color w:val="auto"/>
        </w:rPr>
        <w:t>d</w:t>
      </w:r>
      <w:r w:rsidRPr="004650C9">
        <w:rPr>
          <w:i/>
          <w:color w:val="auto"/>
        </w:rPr>
        <w:t xml:space="preserve">atos y </w:t>
      </w:r>
      <w:r w:rsidR="00F829DB">
        <w:rPr>
          <w:i/>
          <w:color w:val="auto"/>
        </w:rPr>
        <w:t>c</w:t>
      </w:r>
      <w:r w:rsidRPr="004650C9">
        <w:rPr>
          <w:i/>
          <w:color w:val="auto"/>
        </w:rPr>
        <w:t xml:space="preserve">ompilación </w:t>
      </w:r>
      <w:r w:rsidRPr="004650C9">
        <w:rPr>
          <w:color w:val="auto"/>
        </w:rPr>
        <w:t xml:space="preserve">2001 </w:t>
      </w:r>
      <w:r w:rsidRPr="00F65B03">
        <w:rPr>
          <w:color w:val="auto"/>
        </w:rPr>
        <w:t>(CNT 2001) del FMI.</w:t>
      </w:r>
    </w:p>
    <w:p w14:paraId="09949F5D" w14:textId="0AEA5028" w:rsidR="009C5E3C" w:rsidRPr="00F65B03" w:rsidRDefault="009C5E3C" w:rsidP="006C1041">
      <w:pPr>
        <w:pStyle w:val="p0"/>
        <w:keepLines w:val="0"/>
        <w:spacing w:before="200"/>
        <w:rPr>
          <w:color w:val="auto"/>
        </w:rPr>
      </w:pPr>
      <w:r w:rsidRPr="00F65B03">
        <w:rPr>
          <w:color w:val="auto"/>
        </w:rPr>
        <w:t xml:space="preserve">Los </w:t>
      </w:r>
      <w:r w:rsidR="00133BCC">
        <w:rPr>
          <w:color w:val="auto"/>
        </w:rPr>
        <w:t>datos</w:t>
      </w:r>
      <w:r w:rsidRPr="00F65B03">
        <w:rPr>
          <w:color w:val="auto"/>
        </w:rPr>
        <w:t xml:space="preserve"> de corto plazo se alinean con las cifras anuales de las Cuentas de Bienes y Servicios</w:t>
      </w:r>
      <w:r w:rsidR="00BA7246">
        <w:rPr>
          <w:color w:val="auto"/>
        </w:rPr>
        <w:t>.</w:t>
      </w:r>
      <w:r w:rsidRPr="00F65B03">
        <w:rPr>
          <w:color w:val="auto"/>
        </w:rPr>
        <w:t xml:space="preserve"> </w:t>
      </w:r>
      <w:r w:rsidR="00BA7246">
        <w:rPr>
          <w:color w:val="auto"/>
        </w:rPr>
        <w:t>Se util</w:t>
      </w:r>
      <w:r w:rsidR="003471BA">
        <w:rPr>
          <w:color w:val="auto"/>
        </w:rPr>
        <w:t>i</w:t>
      </w:r>
      <w:r w:rsidR="00BA7246">
        <w:rPr>
          <w:color w:val="auto"/>
        </w:rPr>
        <w:t>za</w:t>
      </w:r>
      <w:r w:rsidRPr="00F65B03">
        <w:rPr>
          <w:color w:val="auto"/>
        </w:rPr>
        <w:t xml:space="preserve"> la técnica Denton a nivel de clase de actividad económica</w:t>
      </w:r>
      <w:r w:rsidR="007122AC">
        <w:rPr>
          <w:color w:val="auto"/>
        </w:rPr>
        <w:t>.</w:t>
      </w:r>
      <w:r w:rsidR="007122AC" w:rsidRPr="007122AC">
        <w:rPr>
          <w:color w:val="auto"/>
        </w:rPr>
        <w:t xml:space="preserve"> </w:t>
      </w:r>
      <w:r w:rsidR="007122AC" w:rsidRPr="00F25EC7">
        <w:rPr>
          <w:color w:val="auto"/>
        </w:rPr>
        <w:t>Esto evita que resultados que puedan diferir en su grado de cobertura o en la fecha de su disponibilidad</w:t>
      </w:r>
      <w:r w:rsidR="007122AC">
        <w:rPr>
          <w:color w:val="auto"/>
        </w:rPr>
        <w:t>,</w:t>
      </w:r>
      <w:r w:rsidR="007122AC" w:rsidRPr="00F25EC7">
        <w:rPr>
          <w:color w:val="auto"/>
        </w:rPr>
        <w:t xml:space="preserve"> pero nunca en su base conceptual</w:t>
      </w:r>
      <w:r w:rsidR="007122AC">
        <w:rPr>
          <w:color w:val="auto"/>
        </w:rPr>
        <w:t xml:space="preserve">, </w:t>
      </w:r>
      <w:r w:rsidR="007122AC" w:rsidRPr="00F25EC7">
        <w:rPr>
          <w:color w:val="auto"/>
        </w:rPr>
        <w:t>se interpreten de diferente manera</w:t>
      </w:r>
      <w:r w:rsidRPr="00F65B03">
        <w:rPr>
          <w:color w:val="auto"/>
        </w:rPr>
        <w:t>.</w:t>
      </w:r>
    </w:p>
    <w:p w14:paraId="25B25F38" w14:textId="1127FAED" w:rsidR="009C5E3C" w:rsidRPr="00F65B03" w:rsidRDefault="009C5E3C" w:rsidP="006C1041">
      <w:pPr>
        <w:pStyle w:val="p0"/>
        <w:keepLines w:val="0"/>
        <w:spacing w:before="200"/>
        <w:rPr>
          <w:color w:val="auto"/>
        </w:rPr>
      </w:pPr>
      <w:r w:rsidRPr="00F65B03">
        <w:rPr>
          <w:color w:val="auto"/>
        </w:rPr>
        <w:t>Las cifras originales se publican para cada trimestre</w:t>
      </w:r>
      <w:r w:rsidR="001E6B45">
        <w:rPr>
          <w:color w:val="auto"/>
        </w:rPr>
        <w:t>.</w:t>
      </w:r>
      <w:r w:rsidR="00442BB5">
        <w:rPr>
          <w:color w:val="auto"/>
        </w:rPr>
        <w:t xml:space="preserve"> </w:t>
      </w:r>
      <w:r w:rsidR="001E6B45">
        <w:rPr>
          <w:color w:val="auto"/>
        </w:rPr>
        <w:t>L</w:t>
      </w:r>
      <w:r w:rsidR="00442BB5">
        <w:rPr>
          <w:color w:val="auto"/>
        </w:rPr>
        <w:t>os</w:t>
      </w:r>
      <w:r w:rsidRPr="00F65B03">
        <w:rPr>
          <w:color w:val="auto"/>
        </w:rPr>
        <w:t xml:space="preserve"> acumulado</w:t>
      </w:r>
      <w:r w:rsidR="00442BB5">
        <w:rPr>
          <w:color w:val="auto"/>
        </w:rPr>
        <w:t>s</w:t>
      </w:r>
      <w:r w:rsidRPr="00F65B03">
        <w:rPr>
          <w:color w:val="auto"/>
        </w:rPr>
        <w:t xml:space="preserve"> del semestre, los </w:t>
      </w:r>
      <w:r w:rsidR="00C013FD" w:rsidRPr="00F65B03">
        <w:rPr>
          <w:color w:val="auto"/>
        </w:rPr>
        <w:t xml:space="preserve">primeros </w:t>
      </w:r>
      <w:r w:rsidRPr="00F65B03">
        <w:rPr>
          <w:color w:val="auto"/>
        </w:rPr>
        <w:t>nueve meses del año y del total del año se calculan como promedios simples de dos, tres y cuatro trimestres</w:t>
      </w:r>
      <w:r w:rsidR="00831D82">
        <w:rPr>
          <w:color w:val="auto"/>
        </w:rPr>
        <w:t>,</w:t>
      </w:r>
      <w:r w:rsidRPr="00F65B03">
        <w:rPr>
          <w:color w:val="auto"/>
        </w:rPr>
        <w:t xml:space="preserve"> respectivamente.</w:t>
      </w:r>
    </w:p>
    <w:p w14:paraId="46FBB62B" w14:textId="3A22F73A" w:rsidR="009C5E3C" w:rsidRPr="00F65B03" w:rsidRDefault="009C5E3C" w:rsidP="006C1041">
      <w:pPr>
        <w:pStyle w:val="p0"/>
        <w:keepLines w:val="0"/>
        <w:spacing w:before="200"/>
        <w:rPr>
          <w:color w:val="auto"/>
        </w:rPr>
      </w:pPr>
      <w:r w:rsidRPr="00F65B03">
        <w:rPr>
          <w:color w:val="auto"/>
        </w:rPr>
        <w:t>Los datos corresponden al total de la economía</w:t>
      </w:r>
      <w:r w:rsidR="003A10BE">
        <w:rPr>
          <w:color w:val="auto"/>
        </w:rPr>
        <w:t>,</w:t>
      </w:r>
      <w:r w:rsidR="001A58F5">
        <w:rPr>
          <w:color w:val="auto"/>
        </w:rPr>
        <w:t xml:space="preserve"> a</w:t>
      </w:r>
      <w:r w:rsidRPr="00F65B03">
        <w:rPr>
          <w:color w:val="auto"/>
        </w:rPr>
        <w:t xml:space="preserve"> las tres grandes actividades </w:t>
      </w:r>
      <w:r w:rsidR="00776773">
        <w:rPr>
          <w:color w:val="auto"/>
        </w:rPr>
        <w:t>(</w:t>
      </w:r>
      <w:r w:rsidRPr="00F65B03">
        <w:rPr>
          <w:color w:val="auto"/>
        </w:rPr>
        <w:t>primarias, secundarias y terciarias</w:t>
      </w:r>
      <w:r w:rsidR="00776773">
        <w:rPr>
          <w:color w:val="auto"/>
        </w:rPr>
        <w:t>)</w:t>
      </w:r>
      <w:r w:rsidR="00F33568">
        <w:rPr>
          <w:color w:val="auto"/>
        </w:rPr>
        <w:t>,</w:t>
      </w:r>
      <w:r w:rsidRPr="00F65B03">
        <w:rPr>
          <w:color w:val="auto"/>
        </w:rPr>
        <w:t xml:space="preserve"> </w:t>
      </w:r>
      <w:r w:rsidR="001A58F5">
        <w:rPr>
          <w:color w:val="auto"/>
        </w:rPr>
        <w:t xml:space="preserve">a </w:t>
      </w:r>
      <w:r w:rsidRPr="00F65B03">
        <w:rPr>
          <w:color w:val="auto"/>
        </w:rPr>
        <w:t>los 20 sectores económicos</w:t>
      </w:r>
      <w:r w:rsidR="00133BCC">
        <w:rPr>
          <w:color w:val="auto"/>
        </w:rPr>
        <w:t>,</w:t>
      </w:r>
      <w:r w:rsidRPr="00F65B03">
        <w:rPr>
          <w:color w:val="auto"/>
        </w:rPr>
        <w:t xml:space="preserve"> </w:t>
      </w:r>
      <w:r w:rsidR="009C12C6">
        <w:rPr>
          <w:color w:val="auto"/>
        </w:rPr>
        <w:t xml:space="preserve">a los </w:t>
      </w:r>
      <w:r w:rsidRPr="00F65B03">
        <w:rPr>
          <w:color w:val="auto"/>
        </w:rPr>
        <w:t xml:space="preserve">62 subsectores y </w:t>
      </w:r>
      <w:r w:rsidR="009C12C6">
        <w:rPr>
          <w:color w:val="auto"/>
        </w:rPr>
        <w:t xml:space="preserve">a las </w:t>
      </w:r>
      <w:r w:rsidRPr="00F65B03">
        <w:rPr>
          <w:color w:val="auto"/>
        </w:rPr>
        <w:t>84 ramas de actividad de la industria manufacturera.</w:t>
      </w:r>
    </w:p>
    <w:p w14:paraId="41886CC2" w14:textId="251AFE12" w:rsidR="009C5E3C" w:rsidRPr="00F65B03" w:rsidRDefault="009C5E3C" w:rsidP="006C1041">
      <w:pPr>
        <w:pStyle w:val="p0"/>
        <w:keepLines w:val="0"/>
        <w:spacing w:before="200"/>
        <w:rPr>
          <w:color w:val="auto"/>
        </w:rPr>
      </w:pPr>
      <w:r w:rsidRPr="00F65B03">
        <w:rPr>
          <w:color w:val="auto"/>
        </w:rPr>
        <w:t xml:space="preserve">Las principales fuentes de información para el cálculo del PIB </w:t>
      </w:r>
      <w:r w:rsidR="00134493">
        <w:rPr>
          <w:color w:val="auto"/>
        </w:rPr>
        <w:t>T</w:t>
      </w:r>
      <w:r w:rsidRPr="00F65B03">
        <w:rPr>
          <w:color w:val="auto"/>
        </w:rPr>
        <w:t xml:space="preserve">rimestral son las </w:t>
      </w:r>
      <w:r w:rsidR="00133BCC">
        <w:rPr>
          <w:color w:val="auto"/>
        </w:rPr>
        <w:t>e</w:t>
      </w:r>
      <w:r w:rsidRPr="00F65B03">
        <w:rPr>
          <w:color w:val="auto"/>
        </w:rPr>
        <w:t xml:space="preserve">ncuestas </w:t>
      </w:r>
      <w:r w:rsidR="00133BCC">
        <w:rPr>
          <w:color w:val="auto"/>
        </w:rPr>
        <w:t>s</w:t>
      </w:r>
      <w:r w:rsidRPr="00F65B03">
        <w:rPr>
          <w:color w:val="auto"/>
        </w:rPr>
        <w:t>ectoriales</w:t>
      </w:r>
      <w:r w:rsidR="00BC47D7">
        <w:rPr>
          <w:color w:val="auto"/>
        </w:rPr>
        <w:t>,</w:t>
      </w:r>
      <w:r w:rsidR="00BC47D7">
        <w:rPr>
          <w:rStyle w:val="Refdenotaalpie"/>
          <w:color w:val="auto"/>
        </w:rPr>
        <w:footnoteReference w:id="7"/>
      </w:r>
      <w:r w:rsidR="00BC47D7">
        <w:rPr>
          <w:color w:val="auto"/>
        </w:rPr>
        <w:t xml:space="preserve"> </w:t>
      </w:r>
      <w:r w:rsidR="00BC47D7" w:rsidRPr="00BC47D7">
        <w:rPr>
          <w:color w:val="auto"/>
        </w:rPr>
        <w:t>EIMM y la Encuesta Nacional de Ocupación y Empleo (ENOE)</w:t>
      </w:r>
      <w:r w:rsidRPr="00F65B03">
        <w:rPr>
          <w:color w:val="auto"/>
        </w:rPr>
        <w:t xml:space="preserve"> del INEGI</w:t>
      </w:r>
      <w:r w:rsidR="00133BCC">
        <w:rPr>
          <w:color w:val="auto"/>
        </w:rPr>
        <w:t>,</w:t>
      </w:r>
      <w:r w:rsidRPr="00F65B03">
        <w:rPr>
          <w:color w:val="auto"/>
        </w:rPr>
        <w:t xml:space="preserve"> </w:t>
      </w:r>
      <w:r w:rsidR="00133BCC">
        <w:rPr>
          <w:color w:val="auto"/>
        </w:rPr>
        <w:t>los r</w:t>
      </w:r>
      <w:r w:rsidRPr="00F65B03">
        <w:rPr>
          <w:color w:val="auto"/>
        </w:rPr>
        <w:t xml:space="preserve">egistros </w:t>
      </w:r>
      <w:r w:rsidR="00133BCC">
        <w:rPr>
          <w:color w:val="auto"/>
        </w:rPr>
        <w:t>a</w:t>
      </w:r>
      <w:r w:rsidRPr="00F65B03">
        <w:rPr>
          <w:color w:val="auto"/>
        </w:rPr>
        <w:t xml:space="preserve">dministrativos y </w:t>
      </w:r>
      <w:r w:rsidR="00133BCC">
        <w:rPr>
          <w:color w:val="auto"/>
        </w:rPr>
        <w:t>las e</w:t>
      </w:r>
      <w:r w:rsidRPr="00F65B03">
        <w:rPr>
          <w:color w:val="auto"/>
        </w:rPr>
        <w:t xml:space="preserve">stadísticas </w:t>
      </w:r>
      <w:r w:rsidR="00133BCC">
        <w:rPr>
          <w:color w:val="auto"/>
        </w:rPr>
        <w:t>s</w:t>
      </w:r>
      <w:r w:rsidRPr="00F65B03">
        <w:rPr>
          <w:color w:val="auto"/>
        </w:rPr>
        <w:t xml:space="preserve">ociodemográficas. </w:t>
      </w:r>
    </w:p>
    <w:p w14:paraId="09FD6D35" w14:textId="669472D3" w:rsidR="00984E92" w:rsidRPr="00984E92" w:rsidRDefault="00FA0FB3" w:rsidP="006C1041">
      <w:pPr>
        <w:pStyle w:val="p0"/>
        <w:keepLines w:val="0"/>
        <w:spacing w:before="200"/>
        <w:rPr>
          <w:color w:val="auto"/>
        </w:rPr>
      </w:pPr>
      <w:r w:rsidRPr="00FA0FB3">
        <w:rPr>
          <w:color w:val="auto"/>
        </w:rPr>
        <w:t>La mayoría de las series económicas se ven afectadas por factores estacionales: efectos periódicos que se repiten cada año y cuyas causas son ajenas a la naturaleza económica de las series. Estas pueden ser: las festividades, meses más largos que otros, las vacaciones escolares, el clima y otras fluctuaciones estacionales como la elevada producción de juguetes en los meses previos a la Navidad.</w:t>
      </w:r>
    </w:p>
    <w:p w14:paraId="44603888" w14:textId="1A3B35F2" w:rsidR="00984E92" w:rsidRDefault="00FA0FB3" w:rsidP="006C1041">
      <w:pPr>
        <w:widowControl/>
        <w:spacing w:before="200"/>
        <w:jc w:val="both"/>
      </w:pPr>
      <w:r>
        <w:t>La desestacionalización o ajuste estacional de series económicas consiste en remover estas influencias intra-anuales periódicas: su presencia dificulta diagnosticar y describir el comportamiento de una serie económica, pues no permite comparar adecuadamente un determinado trimestre con el inmediato anterior. Analizar la serie desestacionalizada ayuda a realizar un mejor diagnóstico y pronóstico de su evolución, pues, en el corto plazo, identifica la posible dirección de los movimientos que pudiera tener la variable en cuestión.</w:t>
      </w:r>
    </w:p>
    <w:p w14:paraId="067848A6" w14:textId="77777777" w:rsidR="00CF7F6E" w:rsidRDefault="00CF7F6E" w:rsidP="00EE484D">
      <w:pPr>
        <w:pStyle w:val="p0"/>
        <w:keepLines w:val="0"/>
        <w:rPr>
          <w:color w:val="auto"/>
        </w:rPr>
      </w:pPr>
    </w:p>
    <w:p w14:paraId="25ABD449" w14:textId="77777777" w:rsidR="00CF7F6E" w:rsidRDefault="00CF7F6E" w:rsidP="00EE484D">
      <w:pPr>
        <w:pStyle w:val="p0"/>
        <w:keepLines w:val="0"/>
        <w:rPr>
          <w:color w:val="auto"/>
        </w:rPr>
      </w:pPr>
    </w:p>
    <w:p w14:paraId="3A658DED" w14:textId="4F87BEB4" w:rsidR="00984E92" w:rsidRPr="00984E92" w:rsidRDefault="00984E92" w:rsidP="00EE484D">
      <w:pPr>
        <w:pStyle w:val="p0"/>
        <w:keepLines w:val="0"/>
        <w:rPr>
          <w:color w:val="auto"/>
        </w:rPr>
      </w:pPr>
      <w:r w:rsidRPr="00984E92">
        <w:rPr>
          <w:color w:val="auto"/>
        </w:rPr>
        <w:t>Las series originales se ajustan estacionalmente mediante el paquete estadístico X</w:t>
      </w:r>
      <w:r w:rsidRPr="00984E92">
        <w:rPr>
          <w:color w:val="auto"/>
        </w:rPr>
        <w:noBreakHyphen/>
        <w:t>13ARIMA</w:t>
      </w:r>
      <w:r w:rsidRPr="00984E92">
        <w:rPr>
          <w:color w:val="auto"/>
        </w:rPr>
        <w:noBreakHyphen/>
        <w:t>SEATS. Para conocer la metodología</w:t>
      </w:r>
      <w:r w:rsidR="00972755">
        <w:rPr>
          <w:color w:val="auto"/>
        </w:rPr>
        <w:t>,</w:t>
      </w:r>
      <w:r w:rsidRPr="00984E92">
        <w:rPr>
          <w:color w:val="auto"/>
        </w:rPr>
        <w:t xml:space="preserve"> </w:t>
      </w:r>
      <w:r w:rsidR="00EF6350">
        <w:rPr>
          <w:color w:val="auto"/>
        </w:rPr>
        <w:t>consúlt</w:t>
      </w:r>
      <w:r w:rsidR="00EE484D">
        <w:rPr>
          <w:color w:val="auto"/>
        </w:rPr>
        <w:t>e</w:t>
      </w:r>
      <w:r w:rsidR="00EF6350">
        <w:rPr>
          <w:color w:val="auto"/>
        </w:rPr>
        <w:t>se</w:t>
      </w:r>
      <w:r w:rsidRPr="00984E92">
        <w:rPr>
          <w:color w:val="auto"/>
        </w:rPr>
        <w:t xml:space="preserve"> la siguiente liga:</w:t>
      </w:r>
    </w:p>
    <w:p w14:paraId="650292BD" w14:textId="77777777" w:rsidR="00984E92" w:rsidRDefault="00B235A2" w:rsidP="00252B9E">
      <w:pPr>
        <w:rPr>
          <w:color w:val="1F497D"/>
          <w:sz w:val="22"/>
          <w:lang w:eastAsia="en-US"/>
        </w:rPr>
      </w:pPr>
      <w:hyperlink r:id="rId20" w:history="1">
        <w:r w:rsidR="00984E92">
          <w:rPr>
            <w:rStyle w:val="Hipervnculo"/>
            <w:lang w:eastAsia="en-US"/>
          </w:rPr>
          <w:t>https://www.inegi.org.mx/app/biblioteca/ficha.html?upc=702825099060</w:t>
        </w:r>
      </w:hyperlink>
    </w:p>
    <w:p w14:paraId="4E203EFF" w14:textId="77777777" w:rsidR="00603A49" w:rsidRDefault="00FD277F" w:rsidP="00252B9E">
      <w:pPr>
        <w:pStyle w:val="p0"/>
        <w:rPr>
          <w:color w:val="auto"/>
        </w:rPr>
      </w:pPr>
      <w:r w:rsidRPr="00984E92">
        <w:rPr>
          <w:noProof/>
          <w:color w:val="auto"/>
        </w:rPr>
        <w:drawing>
          <wp:anchor distT="0" distB="0" distL="114300" distR="114300" simplePos="0" relativeHeight="251658240" behindDoc="0" locked="0" layoutInCell="1" allowOverlap="1" wp14:anchorId="16BDCA0F" wp14:editId="6722CEBB">
            <wp:simplePos x="0" y="0"/>
            <wp:positionH relativeFrom="margin">
              <wp:posOffset>826770</wp:posOffset>
            </wp:positionH>
            <wp:positionV relativeFrom="paragraph">
              <wp:posOffset>700101</wp:posOffset>
            </wp:positionV>
            <wp:extent cx="143510" cy="151130"/>
            <wp:effectExtent l="0" t="0" r="8890" b="1270"/>
            <wp:wrapNone/>
            <wp:docPr id="2" name="Imagen 2" descr="http://www.inegi.org.mx/sistemas/bie/img/MetadatoC.GIF"/>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n 12" descr="http://www.inegi.org.mx/sistemas/bie/img/MetadatoC.GIF"/>
                    <pic:cNvPicPr>
                      <a:picLocks noChangeArrowheads="1"/>
                    </pic:cNvPicPr>
                  </pic:nvPicPr>
                  <pic:blipFill>
                    <a:blip r:embed="rId21">
                      <a:extLst>
                        <a:ext uri="{28A0092B-C50C-407E-A947-70E740481C1C}">
                          <a14:useLocalDpi xmlns:a14="http://schemas.microsoft.com/office/drawing/2010/main" val="0"/>
                        </a:ext>
                      </a:extLst>
                    </a:blip>
                    <a:srcRect l="-2722" r="6326"/>
                    <a:stretch>
                      <a:fillRect/>
                    </a:stretch>
                  </pic:blipFill>
                  <pic:spPr bwMode="auto">
                    <a:xfrm>
                      <a:off x="0" y="0"/>
                      <a:ext cx="143510" cy="151130"/>
                    </a:xfrm>
                    <a:prstGeom prst="rect">
                      <a:avLst/>
                    </a:prstGeom>
                    <a:noFill/>
                  </pic:spPr>
                </pic:pic>
              </a:graphicData>
            </a:graphic>
            <wp14:sizeRelH relativeFrom="margin">
              <wp14:pctWidth>0</wp14:pctWidth>
            </wp14:sizeRelH>
            <wp14:sizeRelV relativeFrom="margin">
              <wp14:pctHeight>0</wp14:pctHeight>
            </wp14:sizeRelV>
          </wp:anchor>
        </w:drawing>
      </w:r>
      <w:r w:rsidRPr="00FD277F">
        <w:rPr>
          <w:color w:val="auto"/>
        </w:rPr>
        <w:t xml:space="preserve">Las especificaciones de los modelos utilizados para realizar el ajuste estacional están disponibles en el Banco de Información Económica (BIE). Seleccione «Indicadores económicos de coyuntura, </w:t>
      </w:r>
      <w:r w:rsidR="005775AD">
        <w:rPr>
          <w:color w:val="auto"/>
        </w:rPr>
        <w:t xml:space="preserve">Producto </w:t>
      </w:r>
      <w:r w:rsidR="00134493">
        <w:rPr>
          <w:color w:val="auto"/>
        </w:rPr>
        <w:t>I</w:t>
      </w:r>
      <w:r w:rsidR="005775AD">
        <w:rPr>
          <w:color w:val="auto"/>
        </w:rPr>
        <w:t xml:space="preserve">nterno </w:t>
      </w:r>
      <w:r w:rsidR="00134493">
        <w:rPr>
          <w:color w:val="auto"/>
        </w:rPr>
        <w:t>B</w:t>
      </w:r>
      <w:r w:rsidR="005775AD">
        <w:rPr>
          <w:color w:val="auto"/>
        </w:rPr>
        <w:t>ruto</w:t>
      </w:r>
      <w:r w:rsidR="00D11A6A">
        <w:rPr>
          <w:color w:val="auto"/>
        </w:rPr>
        <w:t xml:space="preserve"> </w:t>
      </w:r>
      <w:r w:rsidR="00134493">
        <w:rPr>
          <w:color w:val="auto"/>
        </w:rPr>
        <w:t>T</w:t>
      </w:r>
      <w:r w:rsidR="00D11A6A">
        <w:rPr>
          <w:color w:val="auto"/>
        </w:rPr>
        <w:t>rimestral</w:t>
      </w:r>
      <w:r w:rsidRPr="00FD277F">
        <w:rPr>
          <w:color w:val="auto"/>
        </w:rPr>
        <w:t>» y vaya al icono de información</w:t>
      </w:r>
      <w:r w:rsidR="00B34356">
        <w:rPr>
          <w:color w:val="auto"/>
        </w:rPr>
        <w:t xml:space="preserve">  </w:t>
      </w:r>
      <w:r w:rsidRPr="00FD277F">
        <w:rPr>
          <w:color w:val="auto"/>
        </w:rPr>
        <w:t xml:space="preserve">   correspondiente a las «series desestacionalizadas y de tendencia-ciclo».</w:t>
      </w:r>
    </w:p>
    <w:p w14:paraId="29AF11D1" w14:textId="5401094B" w:rsidR="005775AD" w:rsidRDefault="005775AD" w:rsidP="00252B9E">
      <w:pPr>
        <w:widowControl/>
        <w:spacing w:before="240"/>
        <w:jc w:val="both"/>
      </w:pPr>
      <w:r>
        <w:t>Mediante los indicadores de corto plazo del SCNM, el INEGI genera la información contenida en este documento y la da a conocer con base en el Calendario de Difusión de Información Estadística y Geográfica y de Interés Nacional.</w:t>
      </w:r>
    </w:p>
    <w:p w14:paraId="4EFA44E8" w14:textId="3D61C343" w:rsidR="005775AD" w:rsidRDefault="005775AD" w:rsidP="00B34356">
      <w:pPr>
        <w:pStyle w:val="parrafo1"/>
        <w:widowControl w:val="0"/>
        <w:spacing w:before="240"/>
        <w:ind w:left="0" w:right="0"/>
      </w:pPr>
      <w:r>
        <w:t xml:space="preserve">Las series del </w:t>
      </w:r>
      <w:r w:rsidRPr="00F65B03">
        <w:t xml:space="preserve">PIB Trimestral </w:t>
      </w:r>
      <w:r>
        <w:t xml:space="preserve">pueden consultarse en la sección PIB y Cuentas Nacionales de México y en el BIE, en la página del INEGI: </w:t>
      </w:r>
      <w:r>
        <w:rPr>
          <w:rStyle w:val="Hipervnculo"/>
          <w:rFonts w:cs="Arial"/>
          <w:szCs w:val="24"/>
        </w:rPr>
        <w:t>https://</w:t>
      </w:r>
      <w:hyperlink r:id="rId22" w:history="1">
        <w:r>
          <w:rPr>
            <w:rStyle w:val="Hipervnculo"/>
            <w:rFonts w:cs="Arial"/>
            <w:szCs w:val="24"/>
          </w:rPr>
          <w:t>www.inegi.org.mx</w:t>
        </w:r>
      </w:hyperlink>
    </w:p>
    <w:sectPr w:rsidR="005775AD" w:rsidSect="00CF7F6E">
      <w:headerReference w:type="default" r:id="rId23"/>
      <w:endnotePr>
        <w:numFmt w:val="decimal"/>
      </w:endnotePr>
      <w:type w:val="continuous"/>
      <w:pgSz w:w="12242" w:h="15842" w:code="1"/>
      <w:pgMar w:top="1843" w:right="1418" w:bottom="1021" w:left="1418" w:header="567" w:footer="567" w:gutter="0"/>
      <w:paperSrc w:first="261" w:other="26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7FA3D67" w14:textId="77777777" w:rsidR="00B235A2" w:rsidRDefault="00B235A2">
      <w:r>
        <w:separator/>
      </w:r>
    </w:p>
  </w:endnote>
  <w:endnote w:type="continuationSeparator" w:id="0">
    <w:p w14:paraId="2122ACC5" w14:textId="77777777" w:rsidR="00B235A2" w:rsidRDefault="00B235A2">
      <w:r>
        <w:continuationSeparator/>
      </w:r>
    </w:p>
  </w:endnote>
  <w:endnote w:type="continuationNotice" w:id="1">
    <w:p w14:paraId="33ECE0AC" w14:textId="77777777" w:rsidR="00B235A2" w:rsidRDefault="00B235A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Univers">
    <w:charset w:val="00"/>
    <w:family w:val="swiss"/>
    <w:pitch w:val="variable"/>
    <w:sig w:usb0="80000287" w:usb1="00000000" w:usb2="00000000" w:usb3="00000000" w:csb0="0000000F" w:csb1="00000000"/>
  </w:font>
  <w:font w:name="CG Times">
    <w:altName w:val="Times New Roman"/>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Univers (W1)">
    <w:altName w:val="Arial"/>
    <w:panose1 w:val="00000000000000000000"/>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2AFF" w:usb1="4000ACFF" w:usb2="00000001"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0D1144" w14:textId="77777777" w:rsidR="0052606C" w:rsidRPr="008879C4" w:rsidRDefault="0052606C" w:rsidP="00B06AE9">
    <w:pPr>
      <w:pStyle w:val="Piedepgina"/>
      <w:jc w:val="center"/>
      <w:rPr>
        <w:color w:val="002060"/>
        <w:sz w:val="20"/>
      </w:rPr>
    </w:pPr>
    <w:r w:rsidRPr="008879C4">
      <w:rPr>
        <w:b/>
        <w:color w:val="002060"/>
        <w:sz w:val="20"/>
        <w:lang w:val="es-MX"/>
      </w:rPr>
      <w:t>COMUNICACIÓN SOCIAL</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AF8A73D" w14:textId="77777777" w:rsidR="00B235A2" w:rsidRDefault="00B235A2">
      <w:r>
        <w:separator/>
      </w:r>
    </w:p>
  </w:footnote>
  <w:footnote w:type="continuationSeparator" w:id="0">
    <w:p w14:paraId="2E0AE4C5" w14:textId="77777777" w:rsidR="00B235A2" w:rsidRDefault="00B235A2">
      <w:r>
        <w:continuationSeparator/>
      </w:r>
    </w:p>
  </w:footnote>
  <w:footnote w:type="continuationNotice" w:id="1">
    <w:p w14:paraId="0EC1425F" w14:textId="77777777" w:rsidR="00B235A2" w:rsidRDefault="00B235A2"/>
  </w:footnote>
  <w:footnote w:id="2">
    <w:p w14:paraId="5D1E5069" w14:textId="681C5FC3" w:rsidR="0052606C" w:rsidRPr="003843CA" w:rsidRDefault="0052606C" w:rsidP="005E0738">
      <w:pPr>
        <w:pStyle w:val="Textonotapie"/>
        <w:ind w:left="170" w:hanging="170"/>
        <w:jc w:val="both"/>
        <w:rPr>
          <w:rStyle w:val="Refdenotaalpie"/>
          <w:rFonts w:ascii="Arial" w:hAnsi="Arial"/>
          <w:b w:val="0"/>
          <w:sz w:val="16"/>
          <w:szCs w:val="16"/>
          <w:vertAlign w:val="baseline"/>
        </w:rPr>
      </w:pPr>
      <w:r w:rsidRPr="001715F7">
        <w:rPr>
          <w:rStyle w:val="Refdenotaalpie"/>
          <w:rFonts w:ascii="Arial" w:hAnsi="Arial"/>
          <w:b w:val="0"/>
          <w:sz w:val="18"/>
          <w:szCs w:val="16"/>
        </w:rPr>
        <w:footnoteRef/>
      </w:r>
      <w:r>
        <w:rPr>
          <w:rFonts w:ascii="Arial" w:hAnsi="Arial" w:cs="Arial"/>
        </w:rPr>
        <w:tab/>
      </w:r>
      <w:r w:rsidRPr="00F92F5E">
        <w:rPr>
          <w:rFonts w:ascii="Arial" w:hAnsi="Arial" w:cs="Arial"/>
          <w:sz w:val="16"/>
          <w:szCs w:val="16"/>
        </w:rPr>
        <w:t>Año b</w:t>
      </w:r>
      <w:r w:rsidRPr="00F92F5E">
        <w:rPr>
          <w:rStyle w:val="Refdenotaalpie"/>
          <w:rFonts w:ascii="Arial" w:hAnsi="Arial"/>
          <w:b w:val="0"/>
          <w:smallCaps w:val="0"/>
          <w:sz w:val="16"/>
          <w:szCs w:val="16"/>
          <w:vertAlign w:val="baseline"/>
        </w:rPr>
        <w:t>ase 2013</w:t>
      </w:r>
      <w:r w:rsidRPr="00F92F5E">
        <w:rPr>
          <w:rStyle w:val="Refdenotaalpie"/>
          <w:rFonts w:ascii="Arial" w:hAnsi="Arial"/>
          <w:b w:val="0"/>
          <w:sz w:val="16"/>
          <w:szCs w:val="16"/>
          <w:vertAlign w:val="baseline"/>
        </w:rPr>
        <w:t xml:space="preserve"> </w:t>
      </w:r>
    </w:p>
  </w:footnote>
  <w:footnote w:id="3">
    <w:p w14:paraId="4DF5F8C3" w14:textId="231BA81E" w:rsidR="00910C71" w:rsidRPr="000D5888" w:rsidRDefault="00910C71" w:rsidP="005E0738">
      <w:pPr>
        <w:pStyle w:val="Textonotapie"/>
        <w:ind w:left="170" w:hanging="170"/>
        <w:jc w:val="both"/>
        <w:rPr>
          <w:rFonts w:ascii="Arial" w:hAnsi="Arial" w:cs="Arial"/>
          <w:sz w:val="16"/>
          <w:szCs w:val="16"/>
        </w:rPr>
      </w:pPr>
      <w:r w:rsidRPr="001715F7">
        <w:rPr>
          <w:rStyle w:val="Refdenotaalpie"/>
          <w:rFonts w:ascii="Arial" w:hAnsi="Arial"/>
          <w:b w:val="0"/>
          <w:sz w:val="18"/>
          <w:szCs w:val="16"/>
        </w:rPr>
        <w:footnoteRef/>
      </w:r>
      <w:r w:rsidRPr="001715F7">
        <w:rPr>
          <w:rStyle w:val="Refdenotaalpie"/>
          <w:b w:val="0"/>
          <w:sz w:val="18"/>
          <w:szCs w:val="16"/>
        </w:rPr>
        <w:t xml:space="preserve"> </w:t>
      </w:r>
      <w:r>
        <w:rPr>
          <w:sz w:val="18"/>
        </w:rPr>
        <w:tab/>
      </w:r>
      <w:r w:rsidRPr="000D5888">
        <w:rPr>
          <w:rFonts w:ascii="Arial" w:hAnsi="Arial" w:cs="Arial"/>
          <w:sz w:val="16"/>
          <w:szCs w:val="16"/>
        </w:rPr>
        <w:t xml:space="preserve">La mayoría de las series económicas se ven afectadas por factores estacionales y de calendario. El ajuste </w:t>
      </w:r>
      <w:r w:rsidR="005E0738">
        <w:rPr>
          <w:rFonts w:ascii="Arial" w:hAnsi="Arial" w:cs="Arial"/>
          <w:sz w:val="16"/>
          <w:szCs w:val="16"/>
        </w:rPr>
        <w:t>de l</w:t>
      </w:r>
      <w:r w:rsidR="00993027">
        <w:rPr>
          <w:rFonts w:ascii="Arial" w:hAnsi="Arial" w:cs="Arial"/>
          <w:sz w:val="16"/>
          <w:szCs w:val="16"/>
        </w:rPr>
        <w:t>o</w:t>
      </w:r>
      <w:r w:rsidR="005E0738">
        <w:rPr>
          <w:rFonts w:ascii="Arial" w:hAnsi="Arial" w:cs="Arial"/>
          <w:sz w:val="16"/>
          <w:szCs w:val="16"/>
        </w:rPr>
        <w:t xml:space="preserve">s </w:t>
      </w:r>
      <w:r w:rsidR="00993027">
        <w:rPr>
          <w:rFonts w:ascii="Arial" w:hAnsi="Arial" w:cs="Arial"/>
          <w:sz w:val="16"/>
          <w:szCs w:val="16"/>
        </w:rPr>
        <w:t>datos</w:t>
      </w:r>
      <w:r w:rsidR="005E0738">
        <w:rPr>
          <w:rFonts w:ascii="Arial" w:hAnsi="Arial" w:cs="Arial"/>
          <w:sz w:val="16"/>
          <w:szCs w:val="16"/>
        </w:rPr>
        <w:t xml:space="preserve"> </w:t>
      </w:r>
      <w:r w:rsidRPr="000D5888">
        <w:rPr>
          <w:rFonts w:ascii="Arial" w:hAnsi="Arial" w:cs="Arial"/>
          <w:sz w:val="16"/>
          <w:szCs w:val="16"/>
        </w:rPr>
        <w:t>por dichos factores permite obtener las cifras desestacionalizadas</w:t>
      </w:r>
      <w:r w:rsidR="00F02364">
        <w:rPr>
          <w:rFonts w:ascii="Arial" w:hAnsi="Arial" w:cs="Arial"/>
          <w:sz w:val="16"/>
          <w:szCs w:val="16"/>
        </w:rPr>
        <w:t>.</w:t>
      </w:r>
      <w:r w:rsidRPr="000D5888">
        <w:rPr>
          <w:rFonts w:ascii="Arial" w:hAnsi="Arial" w:cs="Arial"/>
          <w:sz w:val="16"/>
          <w:szCs w:val="16"/>
        </w:rPr>
        <w:t xml:space="preserve"> </w:t>
      </w:r>
      <w:r w:rsidR="00F02364">
        <w:rPr>
          <w:rFonts w:ascii="Arial" w:hAnsi="Arial" w:cs="Arial"/>
          <w:sz w:val="16"/>
          <w:szCs w:val="16"/>
        </w:rPr>
        <w:t>Su</w:t>
      </w:r>
      <w:r w:rsidRPr="000D5888">
        <w:rPr>
          <w:rFonts w:ascii="Arial" w:hAnsi="Arial" w:cs="Arial"/>
          <w:sz w:val="16"/>
          <w:szCs w:val="16"/>
        </w:rPr>
        <w:t xml:space="preserve"> análisis </w:t>
      </w:r>
      <w:r w:rsidR="00BC68B5">
        <w:rPr>
          <w:rFonts w:ascii="Arial" w:hAnsi="Arial" w:cs="Arial"/>
          <w:sz w:val="16"/>
          <w:szCs w:val="16"/>
        </w:rPr>
        <w:t>ayuda a</w:t>
      </w:r>
      <w:r w:rsidRPr="000D5888">
        <w:rPr>
          <w:rFonts w:ascii="Arial" w:hAnsi="Arial" w:cs="Arial"/>
          <w:sz w:val="16"/>
          <w:szCs w:val="16"/>
        </w:rPr>
        <w:t xml:space="preserve"> realizar un mejor diagnóstico de la evolución de las variables.</w:t>
      </w:r>
    </w:p>
  </w:footnote>
  <w:footnote w:id="4">
    <w:p w14:paraId="6EFFB4AB" w14:textId="304F1049" w:rsidR="0052606C" w:rsidRPr="003843CA" w:rsidRDefault="0052606C" w:rsidP="005E0738">
      <w:pPr>
        <w:pStyle w:val="Textonotapie"/>
        <w:ind w:left="170" w:hanging="170"/>
        <w:jc w:val="both"/>
        <w:rPr>
          <w:rStyle w:val="Refdenotaalpie"/>
          <w:rFonts w:ascii="Arial" w:hAnsi="Arial"/>
          <w:b w:val="0"/>
          <w:sz w:val="16"/>
          <w:szCs w:val="16"/>
          <w:vertAlign w:val="baseline"/>
        </w:rPr>
      </w:pPr>
      <w:r w:rsidRPr="001715F7">
        <w:rPr>
          <w:rStyle w:val="Refdenotaalpie"/>
          <w:rFonts w:ascii="Arial" w:hAnsi="Arial"/>
          <w:b w:val="0"/>
          <w:sz w:val="18"/>
          <w:szCs w:val="18"/>
        </w:rPr>
        <w:footnoteRef/>
      </w:r>
      <w:r w:rsidRPr="000D5888">
        <w:rPr>
          <w:rFonts w:ascii="Arial" w:hAnsi="Arial" w:cs="Arial"/>
          <w:sz w:val="16"/>
          <w:szCs w:val="16"/>
        </w:rPr>
        <w:tab/>
      </w:r>
      <w:r w:rsidRPr="000D5888">
        <w:rPr>
          <w:rStyle w:val="Refdenotaalpie"/>
          <w:rFonts w:ascii="Arial" w:hAnsi="Arial"/>
          <w:b w:val="0"/>
          <w:smallCaps w:val="0"/>
          <w:sz w:val="16"/>
          <w:szCs w:val="16"/>
          <w:vertAlign w:val="baseline"/>
        </w:rPr>
        <w:t xml:space="preserve">Para conocer el dato de </w:t>
      </w:r>
      <w:r w:rsidRPr="000D5888">
        <w:rPr>
          <w:rFonts w:ascii="Arial" w:hAnsi="Arial"/>
          <w:sz w:val="16"/>
          <w:szCs w:val="16"/>
        </w:rPr>
        <w:t xml:space="preserve">la </w:t>
      </w:r>
      <w:r w:rsidRPr="000D5888">
        <w:rPr>
          <w:rStyle w:val="Refdenotaalpie"/>
          <w:rFonts w:ascii="Arial" w:hAnsi="Arial"/>
          <w:b w:val="0"/>
          <w:smallCaps w:val="0"/>
          <w:sz w:val="16"/>
          <w:szCs w:val="16"/>
          <w:vertAlign w:val="baseline"/>
        </w:rPr>
        <w:t xml:space="preserve">actividad económica del país </w:t>
      </w:r>
      <w:r w:rsidR="00C90E12" w:rsidRPr="000D5888">
        <w:rPr>
          <w:rFonts w:ascii="Arial" w:hAnsi="Arial"/>
          <w:sz w:val="16"/>
          <w:szCs w:val="16"/>
        </w:rPr>
        <w:t>de</w:t>
      </w:r>
      <w:r w:rsidRPr="000D5888">
        <w:rPr>
          <w:rFonts w:ascii="Arial" w:hAnsi="Arial"/>
          <w:sz w:val="16"/>
          <w:szCs w:val="16"/>
        </w:rPr>
        <w:t xml:space="preserve"> </w:t>
      </w:r>
      <w:r w:rsidR="00C87EFA">
        <w:rPr>
          <w:rFonts w:ascii="Arial" w:hAnsi="Arial"/>
          <w:sz w:val="16"/>
          <w:szCs w:val="16"/>
        </w:rPr>
        <w:t>marzo</w:t>
      </w:r>
      <w:r w:rsidR="004575F4" w:rsidRPr="000D5888">
        <w:rPr>
          <w:rFonts w:ascii="Arial" w:hAnsi="Arial"/>
          <w:sz w:val="16"/>
          <w:szCs w:val="16"/>
        </w:rPr>
        <w:t xml:space="preserve"> de 202</w:t>
      </w:r>
      <w:r w:rsidR="00C87EFA">
        <w:rPr>
          <w:rFonts w:ascii="Arial" w:hAnsi="Arial"/>
          <w:sz w:val="16"/>
          <w:szCs w:val="16"/>
        </w:rPr>
        <w:t>3</w:t>
      </w:r>
      <w:r w:rsidRPr="000D5888">
        <w:rPr>
          <w:rFonts w:ascii="Arial" w:hAnsi="Arial"/>
          <w:sz w:val="16"/>
          <w:szCs w:val="16"/>
        </w:rPr>
        <w:t xml:space="preserve">, se sugiere consultar el documento sobre </w:t>
      </w:r>
      <w:r w:rsidRPr="000D5888">
        <w:rPr>
          <w:rStyle w:val="Refdenotaalpie"/>
          <w:rFonts w:ascii="Arial" w:hAnsi="Arial"/>
          <w:b w:val="0"/>
          <w:smallCaps w:val="0"/>
          <w:sz w:val="16"/>
          <w:szCs w:val="16"/>
          <w:vertAlign w:val="baseline"/>
        </w:rPr>
        <w:t>el Indicador Global de la Actividad Económica</w:t>
      </w:r>
      <w:r w:rsidRPr="000D5888">
        <w:rPr>
          <w:rFonts w:ascii="Arial" w:hAnsi="Arial"/>
          <w:sz w:val="16"/>
          <w:szCs w:val="16"/>
        </w:rPr>
        <w:t xml:space="preserve"> </w:t>
      </w:r>
      <w:r w:rsidR="001715F7">
        <w:rPr>
          <w:rFonts w:ascii="Arial" w:hAnsi="Arial"/>
          <w:sz w:val="16"/>
          <w:szCs w:val="16"/>
        </w:rPr>
        <w:t xml:space="preserve">(IGAE) </w:t>
      </w:r>
      <w:r w:rsidRPr="000D5888">
        <w:rPr>
          <w:rFonts w:ascii="Arial" w:hAnsi="Arial"/>
          <w:sz w:val="16"/>
          <w:szCs w:val="16"/>
        </w:rPr>
        <w:t xml:space="preserve">que se difundió </w:t>
      </w:r>
      <w:r w:rsidR="00510A8C">
        <w:rPr>
          <w:rFonts w:ascii="Arial" w:hAnsi="Arial"/>
          <w:sz w:val="16"/>
          <w:szCs w:val="16"/>
        </w:rPr>
        <w:t>el 26 de mayo de 2023</w:t>
      </w:r>
      <w:r w:rsidR="003C7D16">
        <w:rPr>
          <w:rFonts w:ascii="Arial" w:hAnsi="Arial"/>
          <w:sz w:val="16"/>
          <w:szCs w:val="16"/>
        </w:rPr>
        <w:t xml:space="preserve"> </w:t>
      </w:r>
      <w:r w:rsidR="00A72119">
        <w:rPr>
          <w:rFonts w:ascii="Arial" w:hAnsi="Arial"/>
          <w:sz w:val="16"/>
          <w:szCs w:val="16"/>
        </w:rPr>
        <w:t xml:space="preserve">de manera paralela </w:t>
      </w:r>
      <w:r w:rsidRPr="000D5888">
        <w:rPr>
          <w:rFonts w:ascii="Arial" w:hAnsi="Arial"/>
          <w:sz w:val="16"/>
          <w:szCs w:val="16"/>
        </w:rPr>
        <w:t xml:space="preserve">a </w:t>
      </w:r>
      <w:r w:rsidR="00265052">
        <w:rPr>
          <w:rFonts w:ascii="Arial" w:hAnsi="Arial"/>
          <w:sz w:val="16"/>
          <w:szCs w:val="16"/>
        </w:rPr>
        <w:t>e</w:t>
      </w:r>
      <w:r w:rsidRPr="000D5888">
        <w:rPr>
          <w:rFonts w:ascii="Arial" w:hAnsi="Arial"/>
          <w:sz w:val="16"/>
          <w:szCs w:val="16"/>
        </w:rPr>
        <w:t>ste.</w:t>
      </w:r>
      <w:r w:rsidRPr="003843CA">
        <w:rPr>
          <w:rStyle w:val="Refdenotaalpie"/>
          <w:rFonts w:ascii="Arial" w:hAnsi="Arial"/>
          <w:b w:val="0"/>
          <w:sz w:val="16"/>
          <w:szCs w:val="16"/>
          <w:vertAlign w:val="baseline"/>
        </w:rPr>
        <w:t xml:space="preserve"> </w:t>
      </w:r>
    </w:p>
  </w:footnote>
  <w:footnote w:id="5">
    <w:p w14:paraId="78843D1D" w14:textId="77777777" w:rsidR="008879C4" w:rsidRPr="004520C2" w:rsidRDefault="008879C4" w:rsidP="008879C4">
      <w:pPr>
        <w:pStyle w:val="Textonotapie"/>
        <w:ind w:left="142" w:hanging="142"/>
        <w:rPr>
          <w:rFonts w:ascii="Arial" w:hAnsi="Arial" w:cs="Arial"/>
          <w:sz w:val="16"/>
          <w:szCs w:val="16"/>
        </w:rPr>
      </w:pPr>
      <w:r w:rsidRPr="004520C2">
        <w:rPr>
          <w:rStyle w:val="Refdenotaalpie"/>
          <w:rFonts w:ascii="Arial" w:hAnsi="Arial"/>
          <w:b w:val="0"/>
          <w:bCs/>
          <w:sz w:val="16"/>
          <w:szCs w:val="16"/>
        </w:rPr>
        <w:footnoteRef/>
      </w:r>
      <w:r w:rsidRPr="004520C2">
        <w:rPr>
          <w:rFonts w:ascii="Arial" w:hAnsi="Arial" w:cs="Arial"/>
          <w:sz w:val="16"/>
          <w:szCs w:val="16"/>
        </w:rPr>
        <w:t xml:space="preserve">  Encuesta Nacional de Empresas Constructoras (ENEC), la Encuesta Mensual de la Industria Manufacturera (EMIM), Encuesta Mensual sobre Empresas Comerciales (EMEC) y Encuesta Mensual de Servicios (EMS)</w:t>
      </w:r>
    </w:p>
  </w:footnote>
  <w:footnote w:id="6">
    <w:p w14:paraId="1422270A" w14:textId="77777777" w:rsidR="004520C2" w:rsidRPr="004520C2" w:rsidRDefault="004520C2" w:rsidP="004520C2">
      <w:pPr>
        <w:pStyle w:val="Textonotapie"/>
        <w:ind w:left="142" w:hanging="142"/>
        <w:rPr>
          <w:rFonts w:ascii="Arial" w:hAnsi="Arial" w:cs="Arial"/>
          <w:sz w:val="16"/>
          <w:szCs w:val="16"/>
        </w:rPr>
      </w:pPr>
      <w:r w:rsidRPr="004520C2">
        <w:rPr>
          <w:rStyle w:val="Refdenotaalpie"/>
          <w:rFonts w:ascii="Arial" w:hAnsi="Arial"/>
          <w:b w:val="0"/>
          <w:bCs/>
          <w:sz w:val="16"/>
          <w:szCs w:val="16"/>
        </w:rPr>
        <w:footnoteRef/>
      </w:r>
      <w:r w:rsidRPr="004520C2">
        <w:rPr>
          <w:rFonts w:ascii="Arial" w:hAnsi="Arial" w:cs="Arial"/>
          <w:sz w:val="16"/>
          <w:szCs w:val="16"/>
        </w:rPr>
        <w:t xml:space="preserve">  Encuesta Nacional de Empresas Constructoras (ENEC), la Encuesta Mensual de la Industria Manufacturera (EMIM), Encuesta Mensual sobre Empresas Comerciales (EMEC) y Encuesta Mensual de Servicios (EMS)</w:t>
      </w:r>
    </w:p>
  </w:footnote>
  <w:footnote w:id="7">
    <w:p w14:paraId="2E6380C1" w14:textId="643083E1" w:rsidR="00BC47D7" w:rsidRPr="00133BCC" w:rsidRDefault="00BC47D7" w:rsidP="00BC47D7">
      <w:pPr>
        <w:pStyle w:val="Textonotapie"/>
        <w:ind w:left="170" w:hanging="170"/>
        <w:jc w:val="both"/>
        <w:rPr>
          <w:rFonts w:ascii="Arial" w:hAnsi="Arial" w:cs="Arial"/>
          <w:sz w:val="16"/>
          <w:szCs w:val="16"/>
          <w:lang w:val="es-MX"/>
        </w:rPr>
      </w:pPr>
      <w:r w:rsidRPr="00EE484D">
        <w:rPr>
          <w:rStyle w:val="Refdenotaalpie"/>
          <w:rFonts w:ascii="Arial" w:hAnsi="Arial"/>
          <w:b w:val="0"/>
          <w:sz w:val="18"/>
          <w:szCs w:val="16"/>
        </w:rPr>
        <w:footnoteRef/>
      </w:r>
      <w:r>
        <w:tab/>
      </w:r>
      <w:r w:rsidRPr="00133BCC">
        <w:rPr>
          <w:rFonts w:ascii="Arial" w:hAnsi="Arial" w:cs="Arial"/>
          <w:sz w:val="16"/>
          <w:szCs w:val="16"/>
        </w:rPr>
        <w:t>ENEC, EMIM, EMS</w:t>
      </w:r>
      <w:r>
        <w:rPr>
          <w:rFonts w:ascii="Arial" w:hAnsi="Arial" w:cs="Arial"/>
          <w:sz w:val="16"/>
          <w:szCs w:val="16"/>
        </w:rPr>
        <w:t xml:space="preserve"> y</w:t>
      </w:r>
      <w:r w:rsidRPr="00133BCC">
        <w:rPr>
          <w:rFonts w:ascii="Arial" w:hAnsi="Arial" w:cs="Arial"/>
          <w:sz w:val="16"/>
          <w:szCs w:val="16"/>
        </w:rPr>
        <w:t xml:space="preserve"> EMEC</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1DA8C2C" w14:textId="33882DEE" w:rsidR="0052606C" w:rsidRDefault="008879C4" w:rsidP="008879C4">
    <w:pPr>
      <w:tabs>
        <w:tab w:val="center" w:pos="1699"/>
      </w:tabs>
    </w:pPr>
    <w:bookmarkStart w:id="3" w:name="_Hlk131511726"/>
    <w:r>
      <w:rPr>
        <w:noProof/>
        <w:lang w:eastAsia="es-MX"/>
      </w:rPr>
      <mc:AlternateContent>
        <mc:Choice Requires="wps">
          <w:drawing>
            <wp:anchor distT="45720" distB="45720" distL="114300" distR="114300" simplePos="0" relativeHeight="251659264" behindDoc="0" locked="0" layoutInCell="1" allowOverlap="1" wp14:anchorId="4FA485C2" wp14:editId="3343163B">
              <wp:simplePos x="0" y="0"/>
              <wp:positionH relativeFrom="margin">
                <wp:align>right</wp:align>
              </wp:positionH>
              <wp:positionV relativeFrom="paragraph">
                <wp:posOffset>-70485</wp:posOffset>
              </wp:positionV>
              <wp:extent cx="3343275" cy="733425"/>
              <wp:effectExtent l="0" t="0" r="9525" b="9525"/>
              <wp:wrapSquare wrapText="bothSides"/>
              <wp:docPr id="3" name="Cuadro de texto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43275" cy="733425"/>
                      </a:xfrm>
                      <a:prstGeom prst="rect">
                        <a:avLst/>
                      </a:prstGeom>
                      <a:solidFill>
                        <a:srgbClr val="FFFFFF"/>
                      </a:solidFill>
                      <a:ln w="9525">
                        <a:noFill/>
                        <a:miter lim="800000"/>
                        <a:headEnd/>
                        <a:tailEnd/>
                      </a:ln>
                    </wps:spPr>
                    <wps:txbx>
                      <w:txbxContent>
                        <w:p w14:paraId="193B514E" w14:textId="5890A7CB" w:rsidR="008879C4" w:rsidRPr="00306ECD" w:rsidRDefault="008879C4" w:rsidP="008879C4">
                          <w:pPr>
                            <w:pStyle w:val="Encabezado"/>
                            <w:ind w:left="-142" w:right="49" w:hanging="142"/>
                            <w:jc w:val="right"/>
                            <w:rPr>
                              <w:b/>
                              <w:color w:val="002060"/>
                              <w:lang w:val="pt-BR"/>
                            </w:rPr>
                          </w:pPr>
                          <w:r w:rsidRPr="00306ECD">
                            <w:rPr>
                              <w:b/>
                              <w:color w:val="002060"/>
                            </w:rPr>
                            <w:t xml:space="preserve">COMUNICADO DE PRENSA NÚM. </w:t>
                          </w:r>
                          <w:r>
                            <w:rPr>
                              <w:b/>
                              <w:color w:val="002060"/>
                            </w:rPr>
                            <w:t>276</w:t>
                          </w:r>
                          <w:r w:rsidRPr="00306ECD">
                            <w:rPr>
                              <w:b/>
                              <w:color w:val="002060"/>
                            </w:rPr>
                            <w:t>/2</w:t>
                          </w:r>
                          <w:r>
                            <w:rPr>
                              <w:b/>
                              <w:color w:val="002060"/>
                            </w:rPr>
                            <w:t>3</w:t>
                          </w:r>
                        </w:p>
                        <w:p w14:paraId="13AACD85" w14:textId="764FB6F5" w:rsidR="008879C4" w:rsidRPr="00306ECD" w:rsidRDefault="008879C4" w:rsidP="008879C4">
                          <w:pPr>
                            <w:pStyle w:val="Encabezado"/>
                            <w:ind w:left="-567" w:right="49"/>
                            <w:jc w:val="right"/>
                            <w:rPr>
                              <w:b/>
                              <w:color w:val="002060"/>
                              <w:lang w:val="pt-BR"/>
                            </w:rPr>
                          </w:pPr>
                          <w:r>
                            <w:rPr>
                              <w:b/>
                              <w:color w:val="002060"/>
                              <w:lang w:val="pt-BR"/>
                            </w:rPr>
                            <w:t xml:space="preserve">26 </w:t>
                          </w:r>
                          <w:r w:rsidRPr="00306ECD">
                            <w:rPr>
                              <w:b/>
                              <w:color w:val="002060"/>
                              <w:lang w:val="pt-BR"/>
                            </w:rPr>
                            <w:t>D</w:t>
                          </w:r>
                          <w:r>
                            <w:rPr>
                              <w:b/>
                              <w:color w:val="002060"/>
                              <w:lang w:val="pt-BR"/>
                            </w:rPr>
                            <w:t xml:space="preserve">E MAYO </w:t>
                          </w:r>
                          <w:r w:rsidRPr="00306ECD">
                            <w:rPr>
                              <w:b/>
                              <w:color w:val="002060"/>
                              <w:lang w:val="pt-BR"/>
                            </w:rPr>
                            <w:t>DE 202</w:t>
                          </w:r>
                          <w:r>
                            <w:rPr>
                              <w:b/>
                              <w:color w:val="002060"/>
                              <w:lang w:val="pt-BR"/>
                            </w:rPr>
                            <w:t>3</w:t>
                          </w:r>
                        </w:p>
                        <w:p w14:paraId="1A9B12ED" w14:textId="2EE52900" w:rsidR="008879C4" w:rsidRDefault="008879C4" w:rsidP="008879C4">
                          <w:pPr>
                            <w:pStyle w:val="Encabezado"/>
                            <w:ind w:left="-567" w:right="49"/>
                            <w:jc w:val="right"/>
                          </w:pPr>
                          <w:r w:rsidRPr="00306ECD">
                            <w:rPr>
                              <w:b/>
                              <w:color w:val="002060"/>
                            </w:rPr>
                            <w:t xml:space="preserve">PÁGINA </w:t>
                          </w:r>
                          <w:r w:rsidRPr="00306ECD">
                            <w:rPr>
                              <w:b/>
                              <w:color w:val="002060"/>
                            </w:rPr>
                            <w:fldChar w:fldCharType="begin"/>
                          </w:r>
                          <w:r w:rsidRPr="00306ECD">
                            <w:rPr>
                              <w:b/>
                              <w:color w:val="002060"/>
                            </w:rPr>
                            <w:instrText xml:space="preserve"> PAGE  \* Arabic </w:instrText>
                          </w:r>
                          <w:r w:rsidRPr="00306ECD">
                            <w:rPr>
                              <w:b/>
                              <w:color w:val="002060"/>
                            </w:rPr>
                            <w:fldChar w:fldCharType="separate"/>
                          </w:r>
                          <w:r>
                            <w:rPr>
                              <w:b/>
                              <w:color w:val="002060"/>
                            </w:rPr>
                            <w:t>1</w:t>
                          </w:r>
                          <w:r w:rsidRPr="00306ECD">
                            <w:rPr>
                              <w:b/>
                              <w:color w:val="002060"/>
                            </w:rPr>
                            <w:fldChar w:fldCharType="end"/>
                          </w:r>
                          <w:r w:rsidRPr="00306ECD">
                            <w:rPr>
                              <w:b/>
                              <w:color w:val="002060"/>
                            </w:rPr>
                            <w:t>/</w:t>
                          </w:r>
                          <w:r w:rsidR="005E1E27">
                            <w:rPr>
                              <w:b/>
                              <w:color w:val="002060"/>
                            </w:rPr>
                            <w:t>9</w:t>
                          </w:r>
                        </w:p>
                        <w:p w14:paraId="4A31DCFF" w14:textId="77777777" w:rsidR="008879C4" w:rsidRPr="00794C57" w:rsidRDefault="008879C4" w:rsidP="008879C4">
                          <w:pPr>
                            <w:jc w:val="right"/>
                            <w:rPr>
                              <w:rFonts w:cs="Arial"/>
                              <w:szCs w:val="2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FA485C2" id="_x0000_t202" coordsize="21600,21600" o:spt="202" path="m,l,21600r21600,l21600,xe">
              <v:stroke joinstyle="miter"/>
              <v:path gradientshapeok="t" o:connecttype="rect"/>
            </v:shapetype>
            <v:shape id="Cuadro de texto 3" o:spid="_x0000_s1026" type="#_x0000_t202" style="position:absolute;margin-left:212.05pt;margin-top:-5.55pt;width:263.25pt;height:57.75pt;z-index:251659264;visibility:visible;mso-wrap-style:square;mso-width-percent:0;mso-height-percent:0;mso-wrap-distance-left:9pt;mso-wrap-distance-top:3.6pt;mso-wrap-distance-right:9pt;mso-wrap-distance-bottom:3.6pt;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" stroked="f">
              <v:textbox>
                <w:txbxContent>
                  <w:p w14:paraId="193B514E" w14:textId="5890A7CB" w:rsidR="008879C4" w:rsidRPr="00306ECD" w:rsidRDefault="008879C4" w:rsidP="008879C4">
                    <w:pPr>
                      <w:pStyle w:val="Encabezado"/>
                      <w:ind w:left="-142" w:right="49" w:hanging="142"/>
                      <w:jc w:val="right"/>
                      <w:rPr>
                        <w:b/>
                        <w:color w:val="002060"/>
                        <w:lang w:val="pt-BR"/>
                      </w:rPr>
                    </w:pPr>
                    <w:r w:rsidRPr="00306ECD">
                      <w:rPr>
                        <w:b/>
                        <w:color w:val="002060"/>
                      </w:rPr>
                      <w:t xml:space="preserve">COMUNICADO DE PRENSA NÚM. </w:t>
                    </w:r>
                    <w:r>
                      <w:rPr>
                        <w:b/>
                        <w:color w:val="002060"/>
                      </w:rPr>
                      <w:t>276</w:t>
                    </w:r>
                    <w:r w:rsidRPr="00306ECD">
                      <w:rPr>
                        <w:b/>
                        <w:color w:val="002060"/>
                      </w:rPr>
                      <w:t>/2</w:t>
                    </w:r>
                    <w:r>
                      <w:rPr>
                        <w:b/>
                        <w:color w:val="002060"/>
                      </w:rPr>
                      <w:t>3</w:t>
                    </w:r>
                  </w:p>
                  <w:p w14:paraId="13AACD85" w14:textId="764FB6F5" w:rsidR="008879C4" w:rsidRPr="00306ECD" w:rsidRDefault="008879C4" w:rsidP="008879C4">
                    <w:pPr>
                      <w:pStyle w:val="Encabezado"/>
                      <w:ind w:left="-567" w:right="49"/>
                      <w:jc w:val="right"/>
                      <w:rPr>
                        <w:b/>
                        <w:color w:val="002060"/>
                        <w:lang w:val="pt-BR"/>
                      </w:rPr>
                    </w:pPr>
                    <w:r>
                      <w:rPr>
                        <w:b/>
                        <w:color w:val="002060"/>
                        <w:lang w:val="pt-BR"/>
                      </w:rPr>
                      <w:t xml:space="preserve">26 </w:t>
                    </w:r>
                    <w:r w:rsidRPr="00306ECD">
                      <w:rPr>
                        <w:b/>
                        <w:color w:val="002060"/>
                        <w:lang w:val="pt-BR"/>
                      </w:rPr>
                      <w:t>D</w:t>
                    </w:r>
                    <w:r>
                      <w:rPr>
                        <w:b/>
                        <w:color w:val="002060"/>
                        <w:lang w:val="pt-BR"/>
                      </w:rPr>
                      <w:t xml:space="preserve">E MAYO </w:t>
                    </w:r>
                    <w:r w:rsidRPr="00306ECD">
                      <w:rPr>
                        <w:b/>
                        <w:color w:val="002060"/>
                        <w:lang w:val="pt-BR"/>
                      </w:rPr>
                      <w:t>DE 202</w:t>
                    </w:r>
                    <w:r>
                      <w:rPr>
                        <w:b/>
                        <w:color w:val="002060"/>
                        <w:lang w:val="pt-BR"/>
                      </w:rPr>
                      <w:t>3</w:t>
                    </w:r>
                  </w:p>
                  <w:p w14:paraId="1A9B12ED" w14:textId="2EE52900" w:rsidR="008879C4" w:rsidRDefault="008879C4" w:rsidP="008879C4">
                    <w:pPr>
                      <w:pStyle w:val="Encabezado"/>
                      <w:ind w:left="-567" w:right="49"/>
                      <w:jc w:val="right"/>
                    </w:pPr>
                    <w:r w:rsidRPr="00306ECD">
                      <w:rPr>
                        <w:b/>
                        <w:color w:val="002060"/>
                      </w:rPr>
                      <w:t xml:space="preserve">PÁGINA </w:t>
                    </w:r>
                    <w:r w:rsidRPr="00306ECD">
                      <w:rPr>
                        <w:b/>
                        <w:color w:val="002060"/>
                      </w:rPr>
                      <w:fldChar w:fldCharType="begin"/>
                    </w:r>
                    <w:r w:rsidRPr="00306ECD">
                      <w:rPr>
                        <w:b/>
                        <w:color w:val="002060"/>
                      </w:rPr>
                      <w:instrText xml:space="preserve"> PAGE  \* Arabic </w:instrText>
                    </w:r>
                    <w:r w:rsidRPr="00306ECD">
                      <w:rPr>
                        <w:b/>
                        <w:color w:val="002060"/>
                      </w:rPr>
                      <w:fldChar w:fldCharType="separate"/>
                    </w:r>
                    <w:r>
                      <w:rPr>
                        <w:b/>
                        <w:color w:val="002060"/>
                      </w:rPr>
                      <w:t>1</w:t>
                    </w:r>
                    <w:r w:rsidRPr="00306ECD">
                      <w:rPr>
                        <w:b/>
                        <w:color w:val="002060"/>
                      </w:rPr>
                      <w:fldChar w:fldCharType="end"/>
                    </w:r>
                    <w:r w:rsidRPr="00306ECD">
                      <w:rPr>
                        <w:b/>
                        <w:color w:val="002060"/>
                      </w:rPr>
                      <w:t>/</w:t>
                    </w:r>
                    <w:r w:rsidR="005E1E27">
                      <w:rPr>
                        <w:b/>
                        <w:color w:val="002060"/>
                      </w:rPr>
                      <w:t>9</w:t>
                    </w:r>
                  </w:p>
                  <w:p w14:paraId="4A31DCFF" w14:textId="77777777" w:rsidR="008879C4" w:rsidRPr="00794C57" w:rsidRDefault="008879C4" w:rsidP="008879C4">
                    <w:pPr>
                      <w:jc w:val="right"/>
                      <w:rPr>
                        <w:rFonts w:cs="Arial"/>
                        <w:szCs w:val="24"/>
                      </w:rPr>
                    </w:pPr>
                  </w:p>
                </w:txbxContent>
              </v:textbox>
              <w10:wrap type="square" anchorx="margin"/>
            </v:shape>
          </w:pict>
        </mc:Fallback>
      </mc:AlternateContent>
    </w:r>
    <w:bookmarkEnd w:id="3"/>
    <w:r w:rsidR="00112AD8">
      <w:rPr>
        <w:noProof/>
        <w:lang w:val="es-MX" w:eastAsia="es-MX"/>
      </w:rPr>
      <w:drawing>
        <wp:inline distT="0" distB="0" distL="0" distR="0" wp14:anchorId="0CC191F2" wp14:editId="2AB233B1">
          <wp:extent cx="838200" cy="771525"/>
          <wp:effectExtent l="0" t="0" r="0" b="9525"/>
          <wp:docPr id="15" name="Imagen 15" descr="cid:image002.png@01D4B335.490B1A5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n 20" descr="cid:image002.png@01D4B335.490B1A50"/>
                  <pic:cNvPicPr preferRelativeResize="0">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838594" cy="771888"/>
                  </a:xfrm>
                  <a:prstGeom prst="rect">
                    <a:avLst/>
                  </a:prstGeom>
                  <a:noFill/>
                  <a:ln>
                    <a:noFill/>
                  </a:ln>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3CB9AF" w14:textId="77777777" w:rsidR="008879C4" w:rsidRDefault="008879C4" w:rsidP="008879C4">
    <w:pPr>
      <w:pStyle w:val="Encabezado"/>
      <w:jc w:val="center"/>
    </w:pPr>
    <w:r>
      <w:rPr>
        <w:noProof/>
        <w:lang w:val="es-MX" w:eastAsia="es-MX"/>
      </w:rPr>
      <w:drawing>
        <wp:inline distT="0" distB="0" distL="0" distR="0" wp14:anchorId="27AC389B" wp14:editId="3F3FDCD7">
          <wp:extent cx="752475" cy="695325"/>
          <wp:effectExtent l="0" t="0" r="9525" b="9525"/>
          <wp:docPr id="22" name="Imagen 22" descr="cid:image002.png@01D4B335.490B1A5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Imagen 20" descr="cid:image002.png@01D4B335.490B1A50"/>
                  <pic:cNvPicPr preferRelativeResize="0">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752827" cy="69565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2DF6154"/>
    <w:multiLevelType w:val="hybridMultilevel"/>
    <w:tmpl w:val="F8C2B67C"/>
    <w:lvl w:ilvl="0" w:tplc="0C0A000F">
      <w:start w:val="1"/>
      <w:numFmt w:val="decimal"/>
      <w:lvlText w:val="%1."/>
      <w:lvlJc w:val="left"/>
      <w:pPr>
        <w:tabs>
          <w:tab w:val="num" w:pos="1723"/>
        </w:tabs>
        <w:ind w:left="1723" w:hanging="360"/>
      </w:pPr>
      <w:rPr>
        <w:rFonts w:hint="default"/>
      </w:rPr>
    </w:lvl>
    <w:lvl w:ilvl="1" w:tplc="EE9A14EA" w:tentative="1">
      <w:start w:val="1"/>
      <w:numFmt w:val="bullet"/>
      <w:lvlText w:val="o"/>
      <w:lvlJc w:val="left"/>
      <w:pPr>
        <w:tabs>
          <w:tab w:val="num" w:pos="2443"/>
        </w:tabs>
        <w:ind w:left="2443" w:hanging="360"/>
      </w:pPr>
      <w:rPr>
        <w:rFonts w:ascii="Courier New" w:hAnsi="Courier New" w:hint="default"/>
      </w:rPr>
    </w:lvl>
    <w:lvl w:ilvl="2" w:tplc="9E268D0A" w:tentative="1">
      <w:start w:val="1"/>
      <w:numFmt w:val="bullet"/>
      <w:lvlText w:val=""/>
      <w:lvlJc w:val="left"/>
      <w:pPr>
        <w:tabs>
          <w:tab w:val="num" w:pos="3163"/>
        </w:tabs>
        <w:ind w:left="3163" w:hanging="360"/>
      </w:pPr>
      <w:rPr>
        <w:rFonts w:ascii="Wingdings" w:hAnsi="Wingdings" w:hint="default"/>
      </w:rPr>
    </w:lvl>
    <w:lvl w:ilvl="3" w:tplc="370071DA" w:tentative="1">
      <w:start w:val="1"/>
      <w:numFmt w:val="bullet"/>
      <w:lvlText w:val=""/>
      <w:lvlJc w:val="left"/>
      <w:pPr>
        <w:tabs>
          <w:tab w:val="num" w:pos="3883"/>
        </w:tabs>
        <w:ind w:left="3883" w:hanging="360"/>
      </w:pPr>
      <w:rPr>
        <w:rFonts w:ascii="Symbol" w:hAnsi="Symbol" w:hint="default"/>
      </w:rPr>
    </w:lvl>
    <w:lvl w:ilvl="4" w:tplc="10CA57F8" w:tentative="1">
      <w:start w:val="1"/>
      <w:numFmt w:val="bullet"/>
      <w:lvlText w:val="o"/>
      <w:lvlJc w:val="left"/>
      <w:pPr>
        <w:tabs>
          <w:tab w:val="num" w:pos="4603"/>
        </w:tabs>
        <w:ind w:left="4603" w:hanging="360"/>
      </w:pPr>
      <w:rPr>
        <w:rFonts w:ascii="Courier New" w:hAnsi="Courier New" w:hint="default"/>
      </w:rPr>
    </w:lvl>
    <w:lvl w:ilvl="5" w:tplc="265CFD90" w:tentative="1">
      <w:start w:val="1"/>
      <w:numFmt w:val="bullet"/>
      <w:lvlText w:val=""/>
      <w:lvlJc w:val="left"/>
      <w:pPr>
        <w:tabs>
          <w:tab w:val="num" w:pos="5323"/>
        </w:tabs>
        <w:ind w:left="5323" w:hanging="360"/>
      </w:pPr>
      <w:rPr>
        <w:rFonts w:ascii="Wingdings" w:hAnsi="Wingdings" w:hint="default"/>
      </w:rPr>
    </w:lvl>
    <w:lvl w:ilvl="6" w:tplc="329CE5B0" w:tentative="1">
      <w:start w:val="1"/>
      <w:numFmt w:val="bullet"/>
      <w:lvlText w:val=""/>
      <w:lvlJc w:val="left"/>
      <w:pPr>
        <w:tabs>
          <w:tab w:val="num" w:pos="6043"/>
        </w:tabs>
        <w:ind w:left="6043" w:hanging="360"/>
      </w:pPr>
      <w:rPr>
        <w:rFonts w:ascii="Symbol" w:hAnsi="Symbol" w:hint="default"/>
      </w:rPr>
    </w:lvl>
    <w:lvl w:ilvl="7" w:tplc="55307596" w:tentative="1">
      <w:start w:val="1"/>
      <w:numFmt w:val="bullet"/>
      <w:lvlText w:val="o"/>
      <w:lvlJc w:val="left"/>
      <w:pPr>
        <w:tabs>
          <w:tab w:val="num" w:pos="6763"/>
        </w:tabs>
        <w:ind w:left="6763" w:hanging="360"/>
      </w:pPr>
      <w:rPr>
        <w:rFonts w:ascii="Courier New" w:hAnsi="Courier New" w:hint="default"/>
      </w:rPr>
    </w:lvl>
    <w:lvl w:ilvl="8" w:tplc="90BC1C8A" w:tentative="1">
      <w:start w:val="1"/>
      <w:numFmt w:val="bullet"/>
      <w:lvlText w:val=""/>
      <w:lvlJc w:val="left"/>
      <w:pPr>
        <w:tabs>
          <w:tab w:val="num" w:pos="7483"/>
        </w:tabs>
        <w:ind w:left="7483" w:hanging="360"/>
      </w:pPr>
      <w:rPr>
        <w:rFonts w:ascii="Wingdings" w:hAnsi="Wingdings" w:hint="default"/>
      </w:rPr>
    </w:lvl>
  </w:abstractNum>
  <w:abstractNum w:abstractNumId="2" w15:restartNumberingAfterBreak="0">
    <w:nsid w:val="032E1C26"/>
    <w:multiLevelType w:val="hybridMultilevel"/>
    <w:tmpl w:val="135E4338"/>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08153D73"/>
    <w:multiLevelType w:val="singleLevel"/>
    <w:tmpl w:val="AB6E1324"/>
    <w:lvl w:ilvl="0">
      <w:numFmt w:val="bullet"/>
      <w:lvlText w:val="-"/>
      <w:lvlJc w:val="left"/>
      <w:pPr>
        <w:tabs>
          <w:tab w:val="num" w:pos="473"/>
        </w:tabs>
        <w:ind w:left="454" w:hanging="341"/>
      </w:pPr>
      <w:rPr>
        <w:rFonts w:ascii="Times New Roman" w:hAnsi="Times New Roman" w:hint="default"/>
      </w:rPr>
    </w:lvl>
  </w:abstractNum>
  <w:abstractNum w:abstractNumId="4" w15:restartNumberingAfterBreak="0">
    <w:nsid w:val="0CEB3457"/>
    <w:multiLevelType w:val="singleLevel"/>
    <w:tmpl w:val="A0EE693E"/>
    <w:lvl w:ilvl="0">
      <w:start w:val="1"/>
      <w:numFmt w:val="bullet"/>
      <w:lvlText w:val=""/>
      <w:lvlJc w:val="left"/>
      <w:pPr>
        <w:tabs>
          <w:tab w:val="num" w:pos="425"/>
        </w:tabs>
        <w:ind w:left="425" w:hanging="425"/>
      </w:pPr>
      <w:rPr>
        <w:rFonts w:ascii="Symbol" w:hAnsi="Symbol" w:hint="default"/>
        <w:sz w:val="30"/>
      </w:rPr>
    </w:lvl>
  </w:abstractNum>
  <w:abstractNum w:abstractNumId="5" w15:restartNumberingAfterBreak="0">
    <w:nsid w:val="0EA577AA"/>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0EE51F90"/>
    <w:multiLevelType w:val="singleLevel"/>
    <w:tmpl w:val="0C0A0005"/>
    <w:lvl w:ilvl="0">
      <w:start w:val="1"/>
      <w:numFmt w:val="bullet"/>
      <w:lvlText w:val=""/>
      <w:lvlJc w:val="left"/>
      <w:pPr>
        <w:tabs>
          <w:tab w:val="num" w:pos="360"/>
        </w:tabs>
        <w:ind w:left="360" w:hanging="360"/>
      </w:pPr>
      <w:rPr>
        <w:rFonts w:ascii="Wingdings" w:hAnsi="Wingdings" w:hint="default"/>
      </w:rPr>
    </w:lvl>
  </w:abstractNum>
  <w:abstractNum w:abstractNumId="7" w15:restartNumberingAfterBreak="0">
    <w:nsid w:val="0FEE5E2F"/>
    <w:multiLevelType w:val="singleLevel"/>
    <w:tmpl w:val="AB6E1324"/>
    <w:lvl w:ilvl="0">
      <w:numFmt w:val="bullet"/>
      <w:lvlText w:val="-"/>
      <w:lvlJc w:val="left"/>
      <w:pPr>
        <w:tabs>
          <w:tab w:val="num" w:pos="473"/>
        </w:tabs>
        <w:ind w:left="454" w:hanging="341"/>
      </w:pPr>
      <w:rPr>
        <w:rFonts w:ascii="Times New Roman" w:hAnsi="Times New Roman" w:hint="default"/>
      </w:rPr>
    </w:lvl>
  </w:abstractNum>
  <w:abstractNum w:abstractNumId="8" w15:restartNumberingAfterBreak="0">
    <w:nsid w:val="14DD1099"/>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9" w15:restartNumberingAfterBreak="0">
    <w:nsid w:val="17DA2C5D"/>
    <w:multiLevelType w:val="singleLevel"/>
    <w:tmpl w:val="AB6E1324"/>
    <w:lvl w:ilvl="0">
      <w:numFmt w:val="bullet"/>
      <w:lvlText w:val="-"/>
      <w:lvlJc w:val="left"/>
      <w:pPr>
        <w:tabs>
          <w:tab w:val="num" w:pos="473"/>
        </w:tabs>
        <w:ind w:left="454" w:hanging="341"/>
      </w:pPr>
      <w:rPr>
        <w:rFonts w:ascii="Times New Roman" w:hAnsi="Times New Roman" w:hint="default"/>
      </w:rPr>
    </w:lvl>
  </w:abstractNum>
  <w:abstractNum w:abstractNumId="10" w15:restartNumberingAfterBreak="0">
    <w:nsid w:val="19C67FDE"/>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1AAF5619"/>
    <w:multiLevelType w:val="singleLevel"/>
    <w:tmpl w:val="0C0A0005"/>
    <w:lvl w:ilvl="0">
      <w:start w:val="1"/>
      <w:numFmt w:val="bullet"/>
      <w:lvlText w:val=""/>
      <w:lvlJc w:val="left"/>
      <w:pPr>
        <w:tabs>
          <w:tab w:val="num" w:pos="360"/>
        </w:tabs>
        <w:ind w:left="360" w:hanging="360"/>
      </w:pPr>
      <w:rPr>
        <w:rFonts w:ascii="Wingdings" w:hAnsi="Wingdings" w:hint="default"/>
      </w:rPr>
    </w:lvl>
  </w:abstractNum>
  <w:abstractNum w:abstractNumId="12" w15:restartNumberingAfterBreak="0">
    <w:nsid w:val="1EAF5E06"/>
    <w:multiLevelType w:val="singleLevel"/>
    <w:tmpl w:val="0C0A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36743E34"/>
    <w:multiLevelType w:val="singleLevel"/>
    <w:tmpl w:val="AB6E1324"/>
    <w:lvl w:ilvl="0">
      <w:numFmt w:val="bullet"/>
      <w:lvlText w:val="-"/>
      <w:lvlJc w:val="left"/>
      <w:pPr>
        <w:tabs>
          <w:tab w:val="num" w:pos="473"/>
        </w:tabs>
        <w:ind w:left="454" w:hanging="341"/>
      </w:pPr>
      <w:rPr>
        <w:rFonts w:ascii="Times New Roman" w:hAnsi="Times New Roman" w:hint="default"/>
      </w:rPr>
    </w:lvl>
  </w:abstractNum>
  <w:abstractNum w:abstractNumId="14" w15:restartNumberingAfterBreak="0">
    <w:nsid w:val="382931C1"/>
    <w:multiLevelType w:val="hybridMultilevel"/>
    <w:tmpl w:val="D04C7B3A"/>
    <w:lvl w:ilvl="0" w:tplc="9F307A02">
      <w:start w:val="1"/>
      <w:numFmt w:val="bullet"/>
      <w:lvlText w:val=""/>
      <w:lvlJc w:val="left"/>
      <w:pPr>
        <w:tabs>
          <w:tab w:val="num" w:pos="1723"/>
        </w:tabs>
        <w:ind w:left="1723" w:hanging="360"/>
      </w:pPr>
      <w:rPr>
        <w:rFonts w:ascii="Symbol" w:hAnsi="Symbol" w:hint="default"/>
      </w:rPr>
    </w:lvl>
    <w:lvl w:ilvl="1" w:tplc="3EC69A4A" w:tentative="1">
      <w:start w:val="1"/>
      <w:numFmt w:val="bullet"/>
      <w:lvlText w:val="o"/>
      <w:lvlJc w:val="left"/>
      <w:pPr>
        <w:tabs>
          <w:tab w:val="num" w:pos="2443"/>
        </w:tabs>
        <w:ind w:left="2443" w:hanging="360"/>
      </w:pPr>
      <w:rPr>
        <w:rFonts w:ascii="Courier New" w:hAnsi="Courier New" w:hint="default"/>
      </w:rPr>
    </w:lvl>
    <w:lvl w:ilvl="2" w:tplc="96084CCA" w:tentative="1">
      <w:start w:val="1"/>
      <w:numFmt w:val="bullet"/>
      <w:lvlText w:val=""/>
      <w:lvlJc w:val="left"/>
      <w:pPr>
        <w:tabs>
          <w:tab w:val="num" w:pos="3163"/>
        </w:tabs>
        <w:ind w:left="3163" w:hanging="360"/>
      </w:pPr>
      <w:rPr>
        <w:rFonts w:ascii="Wingdings" w:hAnsi="Wingdings" w:hint="default"/>
      </w:rPr>
    </w:lvl>
    <w:lvl w:ilvl="3" w:tplc="5D2CBF9A" w:tentative="1">
      <w:start w:val="1"/>
      <w:numFmt w:val="bullet"/>
      <w:lvlText w:val=""/>
      <w:lvlJc w:val="left"/>
      <w:pPr>
        <w:tabs>
          <w:tab w:val="num" w:pos="3883"/>
        </w:tabs>
        <w:ind w:left="3883" w:hanging="360"/>
      </w:pPr>
      <w:rPr>
        <w:rFonts w:ascii="Symbol" w:hAnsi="Symbol" w:hint="default"/>
      </w:rPr>
    </w:lvl>
    <w:lvl w:ilvl="4" w:tplc="08F64AC0" w:tentative="1">
      <w:start w:val="1"/>
      <w:numFmt w:val="bullet"/>
      <w:lvlText w:val="o"/>
      <w:lvlJc w:val="left"/>
      <w:pPr>
        <w:tabs>
          <w:tab w:val="num" w:pos="4603"/>
        </w:tabs>
        <w:ind w:left="4603" w:hanging="360"/>
      </w:pPr>
      <w:rPr>
        <w:rFonts w:ascii="Courier New" w:hAnsi="Courier New" w:hint="default"/>
      </w:rPr>
    </w:lvl>
    <w:lvl w:ilvl="5" w:tplc="0D607026" w:tentative="1">
      <w:start w:val="1"/>
      <w:numFmt w:val="bullet"/>
      <w:lvlText w:val=""/>
      <w:lvlJc w:val="left"/>
      <w:pPr>
        <w:tabs>
          <w:tab w:val="num" w:pos="5323"/>
        </w:tabs>
        <w:ind w:left="5323" w:hanging="360"/>
      </w:pPr>
      <w:rPr>
        <w:rFonts w:ascii="Wingdings" w:hAnsi="Wingdings" w:hint="default"/>
      </w:rPr>
    </w:lvl>
    <w:lvl w:ilvl="6" w:tplc="C45EBF0E" w:tentative="1">
      <w:start w:val="1"/>
      <w:numFmt w:val="bullet"/>
      <w:lvlText w:val=""/>
      <w:lvlJc w:val="left"/>
      <w:pPr>
        <w:tabs>
          <w:tab w:val="num" w:pos="6043"/>
        </w:tabs>
        <w:ind w:left="6043" w:hanging="360"/>
      </w:pPr>
      <w:rPr>
        <w:rFonts w:ascii="Symbol" w:hAnsi="Symbol" w:hint="default"/>
      </w:rPr>
    </w:lvl>
    <w:lvl w:ilvl="7" w:tplc="0D24A3FE" w:tentative="1">
      <w:start w:val="1"/>
      <w:numFmt w:val="bullet"/>
      <w:lvlText w:val="o"/>
      <w:lvlJc w:val="left"/>
      <w:pPr>
        <w:tabs>
          <w:tab w:val="num" w:pos="6763"/>
        </w:tabs>
        <w:ind w:left="6763" w:hanging="360"/>
      </w:pPr>
      <w:rPr>
        <w:rFonts w:ascii="Courier New" w:hAnsi="Courier New" w:hint="default"/>
      </w:rPr>
    </w:lvl>
    <w:lvl w:ilvl="8" w:tplc="D5F828E4" w:tentative="1">
      <w:start w:val="1"/>
      <w:numFmt w:val="bullet"/>
      <w:lvlText w:val=""/>
      <w:lvlJc w:val="left"/>
      <w:pPr>
        <w:tabs>
          <w:tab w:val="num" w:pos="7483"/>
        </w:tabs>
        <w:ind w:left="7483" w:hanging="360"/>
      </w:pPr>
      <w:rPr>
        <w:rFonts w:ascii="Wingdings" w:hAnsi="Wingdings" w:hint="default"/>
      </w:rPr>
    </w:lvl>
  </w:abstractNum>
  <w:abstractNum w:abstractNumId="15" w15:restartNumberingAfterBreak="0">
    <w:nsid w:val="4FF23182"/>
    <w:multiLevelType w:val="singleLevel"/>
    <w:tmpl w:val="AB6E1324"/>
    <w:lvl w:ilvl="0">
      <w:numFmt w:val="bullet"/>
      <w:lvlText w:val="-"/>
      <w:lvlJc w:val="left"/>
      <w:pPr>
        <w:tabs>
          <w:tab w:val="num" w:pos="473"/>
        </w:tabs>
        <w:ind w:left="454" w:hanging="341"/>
      </w:pPr>
      <w:rPr>
        <w:rFonts w:ascii="Times New Roman" w:hAnsi="Times New Roman" w:hint="default"/>
      </w:rPr>
    </w:lvl>
  </w:abstractNum>
  <w:abstractNum w:abstractNumId="16" w15:restartNumberingAfterBreak="0">
    <w:nsid w:val="51FB40AD"/>
    <w:multiLevelType w:val="singleLevel"/>
    <w:tmpl w:val="840EB14A"/>
    <w:lvl w:ilvl="0">
      <w:start w:val="1"/>
      <w:numFmt w:val="bullet"/>
      <w:pStyle w:val="bullet"/>
      <w:lvlText w:val=""/>
      <w:lvlJc w:val="left"/>
      <w:pPr>
        <w:tabs>
          <w:tab w:val="num" w:pos="2880"/>
        </w:tabs>
        <w:ind w:left="2880" w:hanging="360"/>
      </w:pPr>
      <w:rPr>
        <w:rFonts w:ascii="Symbol" w:hAnsi="Symbol" w:hint="default"/>
        <w:lang w:val="es-ES"/>
      </w:rPr>
    </w:lvl>
  </w:abstractNum>
  <w:abstractNum w:abstractNumId="17" w15:restartNumberingAfterBreak="0">
    <w:nsid w:val="6DAE7813"/>
    <w:multiLevelType w:val="hybridMultilevel"/>
    <w:tmpl w:val="9CC4BB0A"/>
    <w:lvl w:ilvl="0" w:tplc="080A0001">
      <w:start w:val="1"/>
      <w:numFmt w:val="bullet"/>
      <w:lvlText w:val=""/>
      <w:lvlJc w:val="left"/>
      <w:pPr>
        <w:ind w:left="2443" w:hanging="360"/>
      </w:pPr>
      <w:rPr>
        <w:rFonts w:ascii="Symbol" w:hAnsi="Symbol" w:hint="default"/>
      </w:rPr>
    </w:lvl>
    <w:lvl w:ilvl="1" w:tplc="080A0003" w:tentative="1">
      <w:start w:val="1"/>
      <w:numFmt w:val="bullet"/>
      <w:lvlText w:val="o"/>
      <w:lvlJc w:val="left"/>
      <w:pPr>
        <w:ind w:left="3163" w:hanging="360"/>
      </w:pPr>
      <w:rPr>
        <w:rFonts w:ascii="Courier New" w:hAnsi="Courier New" w:cs="Courier New" w:hint="default"/>
      </w:rPr>
    </w:lvl>
    <w:lvl w:ilvl="2" w:tplc="080A0005" w:tentative="1">
      <w:start w:val="1"/>
      <w:numFmt w:val="bullet"/>
      <w:lvlText w:val=""/>
      <w:lvlJc w:val="left"/>
      <w:pPr>
        <w:ind w:left="3883" w:hanging="360"/>
      </w:pPr>
      <w:rPr>
        <w:rFonts w:ascii="Wingdings" w:hAnsi="Wingdings" w:hint="default"/>
      </w:rPr>
    </w:lvl>
    <w:lvl w:ilvl="3" w:tplc="080A0001" w:tentative="1">
      <w:start w:val="1"/>
      <w:numFmt w:val="bullet"/>
      <w:lvlText w:val=""/>
      <w:lvlJc w:val="left"/>
      <w:pPr>
        <w:ind w:left="4603" w:hanging="360"/>
      </w:pPr>
      <w:rPr>
        <w:rFonts w:ascii="Symbol" w:hAnsi="Symbol" w:hint="default"/>
      </w:rPr>
    </w:lvl>
    <w:lvl w:ilvl="4" w:tplc="080A0003" w:tentative="1">
      <w:start w:val="1"/>
      <w:numFmt w:val="bullet"/>
      <w:lvlText w:val="o"/>
      <w:lvlJc w:val="left"/>
      <w:pPr>
        <w:ind w:left="5323" w:hanging="360"/>
      </w:pPr>
      <w:rPr>
        <w:rFonts w:ascii="Courier New" w:hAnsi="Courier New" w:cs="Courier New" w:hint="default"/>
      </w:rPr>
    </w:lvl>
    <w:lvl w:ilvl="5" w:tplc="080A0005" w:tentative="1">
      <w:start w:val="1"/>
      <w:numFmt w:val="bullet"/>
      <w:lvlText w:val=""/>
      <w:lvlJc w:val="left"/>
      <w:pPr>
        <w:ind w:left="6043" w:hanging="360"/>
      </w:pPr>
      <w:rPr>
        <w:rFonts w:ascii="Wingdings" w:hAnsi="Wingdings" w:hint="default"/>
      </w:rPr>
    </w:lvl>
    <w:lvl w:ilvl="6" w:tplc="080A0001" w:tentative="1">
      <w:start w:val="1"/>
      <w:numFmt w:val="bullet"/>
      <w:lvlText w:val=""/>
      <w:lvlJc w:val="left"/>
      <w:pPr>
        <w:ind w:left="6763" w:hanging="360"/>
      </w:pPr>
      <w:rPr>
        <w:rFonts w:ascii="Symbol" w:hAnsi="Symbol" w:hint="default"/>
      </w:rPr>
    </w:lvl>
    <w:lvl w:ilvl="7" w:tplc="080A0003" w:tentative="1">
      <w:start w:val="1"/>
      <w:numFmt w:val="bullet"/>
      <w:lvlText w:val="o"/>
      <w:lvlJc w:val="left"/>
      <w:pPr>
        <w:ind w:left="7483" w:hanging="360"/>
      </w:pPr>
      <w:rPr>
        <w:rFonts w:ascii="Courier New" w:hAnsi="Courier New" w:cs="Courier New" w:hint="default"/>
      </w:rPr>
    </w:lvl>
    <w:lvl w:ilvl="8" w:tplc="080A0005" w:tentative="1">
      <w:start w:val="1"/>
      <w:numFmt w:val="bullet"/>
      <w:lvlText w:val=""/>
      <w:lvlJc w:val="left"/>
      <w:pPr>
        <w:ind w:left="8203" w:hanging="360"/>
      </w:pPr>
      <w:rPr>
        <w:rFonts w:ascii="Wingdings" w:hAnsi="Wingdings" w:hint="default"/>
      </w:rPr>
    </w:lvl>
  </w:abstractNum>
  <w:abstractNum w:abstractNumId="18" w15:restartNumberingAfterBreak="0">
    <w:nsid w:val="79492758"/>
    <w:multiLevelType w:val="singleLevel"/>
    <w:tmpl w:val="0C0A0001"/>
    <w:lvl w:ilvl="0">
      <w:start w:val="1"/>
      <w:numFmt w:val="bullet"/>
      <w:lvlText w:val=""/>
      <w:lvlJc w:val="left"/>
      <w:pPr>
        <w:tabs>
          <w:tab w:val="num" w:pos="360"/>
        </w:tabs>
        <w:ind w:left="360" w:hanging="360"/>
      </w:pPr>
      <w:rPr>
        <w:rFonts w:ascii="Symbol" w:hAnsi="Symbol" w:hint="default"/>
      </w:rPr>
    </w:lvl>
  </w:abstractNum>
  <w:num w:numId="1">
    <w:abstractNumId w:val="10"/>
  </w:num>
  <w:num w:numId="2">
    <w:abstractNumId w:val="4"/>
  </w:num>
  <w:num w:numId="3">
    <w:abstractNumId w:val="11"/>
  </w:num>
  <w:num w:numId="4">
    <w:abstractNumId w:val="15"/>
  </w:num>
  <w:num w:numId="5">
    <w:abstractNumId w:val="7"/>
  </w:num>
  <w:num w:numId="6">
    <w:abstractNumId w:val="3"/>
  </w:num>
  <w:num w:numId="7">
    <w:abstractNumId w:val="9"/>
  </w:num>
  <w:num w:numId="8">
    <w:abstractNumId w:val="13"/>
  </w:num>
  <w:num w:numId="9">
    <w:abstractNumId w:val="5"/>
  </w:num>
  <w:num w:numId="10">
    <w:abstractNumId w:val="8"/>
  </w:num>
  <w:num w:numId="11">
    <w:abstractNumId w:val="18"/>
  </w:num>
  <w:num w:numId="12">
    <w:abstractNumId w:val="6"/>
  </w:num>
  <w:num w:numId="13">
    <w:abstractNumId w:val="12"/>
  </w:num>
  <w:num w:numId="14">
    <w:abstractNumId w:val="14"/>
  </w:num>
  <w:num w:numId="15">
    <w:abstractNumId w:val="0"/>
    <w:lvlOverride w:ilvl="0">
      <w:lvl w:ilvl="0">
        <w:start w:val="1"/>
        <w:numFmt w:val="bullet"/>
        <w:lvlText w:val=""/>
        <w:legacy w:legacy="1" w:legacySpace="0" w:legacyIndent="360"/>
        <w:lvlJc w:val="left"/>
        <w:pPr>
          <w:ind w:left="2410" w:hanging="360"/>
        </w:pPr>
        <w:rPr>
          <w:rFonts w:ascii="Symbol" w:hAnsi="Symbol" w:hint="default"/>
        </w:rPr>
      </w:lvl>
    </w:lvlOverride>
  </w:num>
  <w:num w:numId="16">
    <w:abstractNumId w:val="1"/>
  </w:num>
  <w:num w:numId="17">
    <w:abstractNumId w:val="17"/>
  </w:num>
  <w:num w:numId="18">
    <w:abstractNumId w:val="2"/>
  </w:num>
  <w:num w:numId="19">
    <w:abstractNumId w:val="16"/>
  </w:num>
  <w:num w:numId="20">
    <w:abstractNumId w:val="16"/>
  </w:num>
  <w:num w:numId="21">
    <w:abstractNumId w:val="16"/>
  </w:num>
  <w:num w:numId="22">
    <w:abstractNumId w:val="16"/>
  </w:num>
  <w:num w:numId="23">
    <w:abstractNumId w:val="0"/>
    <w:lvlOverride w:ilvl="0">
      <w:lvl w:ilvl="0">
        <w:start w:val="1"/>
        <w:numFmt w:val="bullet"/>
        <w:lvlText w:val=""/>
        <w:legacy w:legacy="1" w:legacySpace="0" w:legacyIndent="360"/>
        <w:lvlJc w:val="left"/>
        <w:pPr>
          <w:ind w:left="1040" w:hanging="360"/>
        </w:pPr>
        <w:rPr>
          <w:rFonts w:ascii="Symbol" w:hAnsi="Symbol" w:hint="default"/>
        </w:rPr>
      </w:lvl>
    </w:lvlOverride>
  </w:num>
  <w:num w:numId="24">
    <w:abstractNumId w:val="16"/>
  </w:num>
  <w:num w:numId="25">
    <w:abstractNumId w:val="16"/>
  </w:num>
  <w:num w:numId="26">
    <w:abstractNumId w:val="16"/>
  </w:num>
  <w:num w:numId="2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activeWritingStyle w:appName="MSWord" w:lang="pt-BR" w:vendorID="64" w:dllVersion="6" w:nlCheck="1" w:checkStyle="0"/>
  <w:activeWritingStyle w:appName="MSWord" w:lang="es-MX" w:vendorID="64" w:dllVersion="6" w:nlCheck="1" w:checkStyle="0"/>
  <w:activeWritingStyle w:appName="MSWord" w:lang="es-ES" w:vendorID="64" w:dllVersion="6" w:nlCheck="1" w:checkStyle="0"/>
  <w:activeWritingStyle w:appName="MSWord" w:lang="es-ES_tradnl" w:vendorID="64" w:dllVersion="6" w:nlCheck="1" w:checkStyle="0"/>
  <w:activeWritingStyle w:appName="MSWord" w:lang="es-ES_tradnl" w:vendorID="64" w:dllVersion="0" w:nlCheck="1" w:checkStyle="0"/>
  <w:activeWritingStyle w:appName="MSWord" w:lang="pt-BR" w:vendorID="64" w:dllVersion="0" w:nlCheck="1" w:checkStyle="0"/>
  <w:activeWritingStyle w:appName="MSWord" w:lang="es-MX" w:vendorID="64" w:dllVersion="0" w:nlCheck="1" w:checkStyle="0"/>
  <w:activeWritingStyle w:appName="MSWord" w:lang="es-ES"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footnote w:id="-1"/>
    <w:footnote w:id="0"/>
    <w:footnote w:id="1"/>
  </w:footnotePr>
  <w:endnotePr>
    <w:pos w:val="sectEnd"/>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D0932"/>
    <w:rsid w:val="00000758"/>
    <w:rsid w:val="0000095D"/>
    <w:rsid w:val="00000B43"/>
    <w:rsid w:val="00000B7F"/>
    <w:rsid w:val="0000273F"/>
    <w:rsid w:val="00002C85"/>
    <w:rsid w:val="000031B0"/>
    <w:rsid w:val="00004215"/>
    <w:rsid w:val="000042EF"/>
    <w:rsid w:val="0000486F"/>
    <w:rsid w:val="00004A7D"/>
    <w:rsid w:val="0000584B"/>
    <w:rsid w:val="00005BE9"/>
    <w:rsid w:val="00005E2F"/>
    <w:rsid w:val="00006462"/>
    <w:rsid w:val="00006D11"/>
    <w:rsid w:val="00007BFF"/>
    <w:rsid w:val="0001024B"/>
    <w:rsid w:val="00010453"/>
    <w:rsid w:val="00010A17"/>
    <w:rsid w:val="00010E74"/>
    <w:rsid w:val="00011106"/>
    <w:rsid w:val="00011964"/>
    <w:rsid w:val="00011D5B"/>
    <w:rsid w:val="00012228"/>
    <w:rsid w:val="00014EAF"/>
    <w:rsid w:val="000155A5"/>
    <w:rsid w:val="00016611"/>
    <w:rsid w:val="00016E0C"/>
    <w:rsid w:val="00017149"/>
    <w:rsid w:val="00017666"/>
    <w:rsid w:val="00017A72"/>
    <w:rsid w:val="00017F22"/>
    <w:rsid w:val="00020030"/>
    <w:rsid w:val="00020298"/>
    <w:rsid w:val="0002056D"/>
    <w:rsid w:val="00020F4E"/>
    <w:rsid w:val="00021C68"/>
    <w:rsid w:val="00022153"/>
    <w:rsid w:val="00022907"/>
    <w:rsid w:val="000230E3"/>
    <w:rsid w:val="00023A57"/>
    <w:rsid w:val="00023E91"/>
    <w:rsid w:val="00024051"/>
    <w:rsid w:val="00024080"/>
    <w:rsid w:val="0002462E"/>
    <w:rsid w:val="000248A7"/>
    <w:rsid w:val="000259E8"/>
    <w:rsid w:val="000260FB"/>
    <w:rsid w:val="00026733"/>
    <w:rsid w:val="0002692A"/>
    <w:rsid w:val="000307D7"/>
    <w:rsid w:val="00031C3F"/>
    <w:rsid w:val="00032184"/>
    <w:rsid w:val="00032383"/>
    <w:rsid w:val="00032439"/>
    <w:rsid w:val="00033236"/>
    <w:rsid w:val="000335B0"/>
    <w:rsid w:val="0003385F"/>
    <w:rsid w:val="000353D7"/>
    <w:rsid w:val="00035555"/>
    <w:rsid w:val="00036702"/>
    <w:rsid w:val="00036F4A"/>
    <w:rsid w:val="00036FBF"/>
    <w:rsid w:val="000371B4"/>
    <w:rsid w:val="0003753D"/>
    <w:rsid w:val="00037A49"/>
    <w:rsid w:val="00037A72"/>
    <w:rsid w:val="00037D51"/>
    <w:rsid w:val="00040A88"/>
    <w:rsid w:val="00040C32"/>
    <w:rsid w:val="000421BC"/>
    <w:rsid w:val="000431DE"/>
    <w:rsid w:val="0004368D"/>
    <w:rsid w:val="0004453C"/>
    <w:rsid w:val="0004493F"/>
    <w:rsid w:val="000453DC"/>
    <w:rsid w:val="000460FE"/>
    <w:rsid w:val="000463BE"/>
    <w:rsid w:val="00046715"/>
    <w:rsid w:val="00046B8A"/>
    <w:rsid w:val="00046FED"/>
    <w:rsid w:val="000474A8"/>
    <w:rsid w:val="00050310"/>
    <w:rsid w:val="00050F12"/>
    <w:rsid w:val="00051AA5"/>
    <w:rsid w:val="00051CEE"/>
    <w:rsid w:val="00052A13"/>
    <w:rsid w:val="00053780"/>
    <w:rsid w:val="00053A68"/>
    <w:rsid w:val="00054F3C"/>
    <w:rsid w:val="00054FD6"/>
    <w:rsid w:val="000553B4"/>
    <w:rsid w:val="0005576F"/>
    <w:rsid w:val="00055E5F"/>
    <w:rsid w:val="00056554"/>
    <w:rsid w:val="00056EE1"/>
    <w:rsid w:val="00057C43"/>
    <w:rsid w:val="00057C97"/>
    <w:rsid w:val="00057CD4"/>
    <w:rsid w:val="000608A0"/>
    <w:rsid w:val="0006111A"/>
    <w:rsid w:val="0006146E"/>
    <w:rsid w:val="00062172"/>
    <w:rsid w:val="00062558"/>
    <w:rsid w:val="00063CB1"/>
    <w:rsid w:val="00063D1D"/>
    <w:rsid w:val="00064294"/>
    <w:rsid w:val="000646E7"/>
    <w:rsid w:val="00064805"/>
    <w:rsid w:val="0006516A"/>
    <w:rsid w:val="00065DAB"/>
    <w:rsid w:val="00065F7A"/>
    <w:rsid w:val="00066103"/>
    <w:rsid w:val="000665D9"/>
    <w:rsid w:val="00066D7E"/>
    <w:rsid w:val="00066EB6"/>
    <w:rsid w:val="00066FBA"/>
    <w:rsid w:val="00067A4D"/>
    <w:rsid w:val="00067BFC"/>
    <w:rsid w:val="00067EC9"/>
    <w:rsid w:val="00067FF9"/>
    <w:rsid w:val="00070209"/>
    <w:rsid w:val="000716D7"/>
    <w:rsid w:val="00073A84"/>
    <w:rsid w:val="0007442D"/>
    <w:rsid w:val="00075A18"/>
    <w:rsid w:val="000762F8"/>
    <w:rsid w:val="000777D1"/>
    <w:rsid w:val="00077E5A"/>
    <w:rsid w:val="000802DC"/>
    <w:rsid w:val="000815B2"/>
    <w:rsid w:val="00082002"/>
    <w:rsid w:val="000840A0"/>
    <w:rsid w:val="00084FD7"/>
    <w:rsid w:val="00085B75"/>
    <w:rsid w:val="00085BD9"/>
    <w:rsid w:val="00085FDB"/>
    <w:rsid w:val="00086740"/>
    <w:rsid w:val="0008753B"/>
    <w:rsid w:val="000904E6"/>
    <w:rsid w:val="00091999"/>
    <w:rsid w:val="000921C1"/>
    <w:rsid w:val="00092ACB"/>
    <w:rsid w:val="00092B83"/>
    <w:rsid w:val="00092D87"/>
    <w:rsid w:val="00092EE0"/>
    <w:rsid w:val="0009302E"/>
    <w:rsid w:val="00093703"/>
    <w:rsid w:val="00093CF9"/>
    <w:rsid w:val="00093F8F"/>
    <w:rsid w:val="00094417"/>
    <w:rsid w:val="00094591"/>
    <w:rsid w:val="0009491E"/>
    <w:rsid w:val="00094F61"/>
    <w:rsid w:val="00095DC6"/>
    <w:rsid w:val="00096FCC"/>
    <w:rsid w:val="00097371"/>
    <w:rsid w:val="0009766E"/>
    <w:rsid w:val="000A01BF"/>
    <w:rsid w:val="000A05A1"/>
    <w:rsid w:val="000A0B27"/>
    <w:rsid w:val="000A0B69"/>
    <w:rsid w:val="000A1488"/>
    <w:rsid w:val="000A14B3"/>
    <w:rsid w:val="000A1890"/>
    <w:rsid w:val="000A243D"/>
    <w:rsid w:val="000A2A4E"/>
    <w:rsid w:val="000A33E8"/>
    <w:rsid w:val="000A3A2B"/>
    <w:rsid w:val="000A3F3E"/>
    <w:rsid w:val="000A6470"/>
    <w:rsid w:val="000A65FD"/>
    <w:rsid w:val="000A7204"/>
    <w:rsid w:val="000A7909"/>
    <w:rsid w:val="000A79E7"/>
    <w:rsid w:val="000B08FD"/>
    <w:rsid w:val="000B0BF9"/>
    <w:rsid w:val="000B0CE8"/>
    <w:rsid w:val="000B0EC9"/>
    <w:rsid w:val="000B139D"/>
    <w:rsid w:val="000B2107"/>
    <w:rsid w:val="000B2120"/>
    <w:rsid w:val="000B2AEC"/>
    <w:rsid w:val="000B3C5B"/>
    <w:rsid w:val="000B4A81"/>
    <w:rsid w:val="000B5E8A"/>
    <w:rsid w:val="000B6736"/>
    <w:rsid w:val="000B6AE5"/>
    <w:rsid w:val="000B73A8"/>
    <w:rsid w:val="000B7BED"/>
    <w:rsid w:val="000B7C3B"/>
    <w:rsid w:val="000C02CB"/>
    <w:rsid w:val="000C02F0"/>
    <w:rsid w:val="000C0467"/>
    <w:rsid w:val="000C0C8A"/>
    <w:rsid w:val="000C117A"/>
    <w:rsid w:val="000C1823"/>
    <w:rsid w:val="000C1C56"/>
    <w:rsid w:val="000C3595"/>
    <w:rsid w:val="000C3815"/>
    <w:rsid w:val="000C3984"/>
    <w:rsid w:val="000C3C44"/>
    <w:rsid w:val="000C3F61"/>
    <w:rsid w:val="000C4460"/>
    <w:rsid w:val="000C4527"/>
    <w:rsid w:val="000C55BE"/>
    <w:rsid w:val="000C5B89"/>
    <w:rsid w:val="000C648E"/>
    <w:rsid w:val="000C66BE"/>
    <w:rsid w:val="000C6E1B"/>
    <w:rsid w:val="000C72D9"/>
    <w:rsid w:val="000C7599"/>
    <w:rsid w:val="000C7999"/>
    <w:rsid w:val="000D08BB"/>
    <w:rsid w:val="000D0CC8"/>
    <w:rsid w:val="000D0E61"/>
    <w:rsid w:val="000D1116"/>
    <w:rsid w:val="000D1A8E"/>
    <w:rsid w:val="000D22C4"/>
    <w:rsid w:val="000D290B"/>
    <w:rsid w:val="000D3BA0"/>
    <w:rsid w:val="000D4B6A"/>
    <w:rsid w:val="000D52C1"/>
    <w:rsid w:val="000D5529"/>
    <w:rsid w:val="000D5888"/>
    <w:rsid w:val="000D5B24"/>
    <w:rsid w:val="000D6074"/>
    <w:rsid w:val="000D65E2"/>
    <w:rsid w:val="000D689B"/>
    <w:rsid w:val="000D6AEE"/>
    <w:rsid w:val="000D71B0"/>
    <w:rsid w:val="000E04D7"/>
    <w:rsid w:val="000E0A62"/>
    <w:rsid w:val="000E0B46"/>
    <w:rsid w:val="000E0EE3"/>
    <w:rsid w:val="000E1443"/>
    <w:rsid w:val="000E148D"/>
    <w:rsid w:val="000E1823"/>
    <w:rsid w:val="000E24AA"/>
    <w:rsid w:val="000E2C66"/>
    <w:rsid w:val="000E3A78"/>
    <w:rsid w:val="000E452B"/>
    <w:rsid w:val="000E47D3"/>
    <w:rsid w:val="000E4CA4"/>
    <w:rsid w:val="000E6477"/>
    <w:rsid w:val="000F09D4"/>
    <w:rsid w:val="000F09F8"/>
    <w:rsid w:val="000F14B9"/>
    <w:rsid w:val="000F1608"/>
    <w:rsid w:val="000F1839"/>
    <w:rsid w:val="000F2966"/>
    <w:rsid w:val="000F3D4A"/>
    <w:rsid w:val="000F3F47"/>
    <w:rsid w:val="000F4540"/>
    <w:rsid w:val="000F4658"/>
    <w:rsid w:val="000F49F3"/>
    <w:rsid w:val="000F5E17"/>
    <w:rsid w:val="000F6657"/>
    <w:rsid w:val="000F6683"/>
    <w:rsid w:val="000F682F"/>
    <w:rsid w:val="000F698B"/>
    <w:rsid w:val="000F79B9"/>
    <w:rsid w:val="000F7B11"/>
    <w:rsid w:val="001003A7"/>
    <w:rsid w:val="00101540"/>
    <w:rsid w:val="00101A58"/>
    <w:rsid w:val="00101BCD"/>
    <w:rsid w:val="00101F3E"/>
    <w:rsid w:val="00103416"/>
    <w:rsid w:val="001034D4"/>
    <w:rsid w:val="00103B78"/>
    <w:rsid w:val="00104C78"/>
    <w:rsid w:val="00105516"/>
    <w:rsid w:val="0010599B"/>
    <w:rsid w:val="00106BE4"/>
    <w:rsid w:val="001073D8"/>
    <w:rsid w:val="00110B27"/>
    <w:rsid w:val="001111AE"/>
    <w:rsid w:val="001115F7"/>
    <w:rsid w:val="00112AD8"/>
    <w:rsid w:val="00112ED4"/>
    <w:rsid w:val="001137CE"/>
    <w:rsid w:val="0011434C"/>
    <w:rsid w:val="00114B73"/>
    <w:rsid w:val="001156DE"/>
    <w:rsid w:val="0011585D"/>
    <w:rsid w:val="00115A73"/>
    <w:rsid w:val="00115C1E"/>
    <w:rsid w:val="00116918"/>
    <w:rsid w:val="00116947"/>
    <w:rsid w:val="001171FC"/>
    <w:rsid w:val="00117B09"/>
    <w:rsid w:val="00117C54"/>
    <w:rsid w:val="001228A6"/>
    <w:rsid w:val="0012290F"/>
    <w:rsid w:val="00123379"/>
    <w:rsid w:val="001234A8"/>
    <w:rsid w:val="00123B68"/>
    <w:rsid w:val="00124A7D"/>
    <w:rsid w:val="001251D9"/>
    <w:rsid w:val="00125C98"/>
    <w:rsid w:val="00126D65"/>
    <w:rsid w:val="00127101"/>
    <w:rsid w:val="001277D8"/>
    <w:rsid w:val="00131392"/>
    <w:rsid w:val="00131E1A"/>
    <w:rsid w:val="001325C0"/>
    <w:rsid w:val="00132FED"/>
    <w:rsid w:val="00133A8D"/>
    <w:rsid w:val="00133BCC"/>
    <w:rsid w:val="00133E3A"/>
    <w:rsid w:val="00133E9C"/>
    <w:rsid w:val="00134493"/>
    <w:rsid w:val="0013459D"/>
    <w:rsid w:val="00135030"/>
    <w:rsid w:val="00135483"/>
    <w:rsid w:val="00135A71"/>
    <w:rsid w:val="0013782A"/>
    <w:rsid w:val="00137E78"/>
    <w:rsid w:val="00140B6C"/>
    <w:rsid w:val="00141DAC"/>
    <w:rsid w:val="00142299"/>
    <w:rsid w:val="00142DF4"/>
    <w:rsid w:val="0014557C"/>
    <w:rsid w:val="001458CF"/>
    <w:rsid w:val="00145B63"/>
    <w:rsid w:val="00145D2A"/>
    <w:rsid w:val="00145D59"/>
    <w:rsid w:val="001463C4"/>
    <w:rsid w:val="00146711"/>
    <w:rsid w:val="0014682B"/>
    <w:rsid w:val="0014693A"/>
    <w:rsid w:val="0014698C"/>
    <w:rsid w:val="00146B02"/>
    <w:rsid w:val="0014725A"/>
    <w:rsid w:val="001476A2"/>
    <w:rsid w:val="00147908"/>
    <w:rsid w:val="00150075"/>
    <w:rsid w:val="00151522"/>
    <w:rsid w:val="0015270C"/>
    <w:rsid w:val="00152E34"/>
    <w:rsid w:val="00152E6E"/>
    <w:rsid w:val="00153366"/>
    <w:rsid w:val="0015373F"/>
    <w:rsid w:val="00154177"/>
    <w:rsid w:val="00154C05"/>
    <w:rsid w:val="00154C3B"/>
    <w:rsid w:val="0015544D"/>
    <w:rsid w:val="0015652F"/>
    <w:rsid w:val="001569AB"/>
    <w:rsid w:val="00156AAB"/>
    <w:rsid w:val="00156ABA"/>
    <w:rsid w:val="00156DF2"/>
    <w:rsid w:val="00157ACA"/>
    <w:rsid w:val="00160412"/>
    <w:rsid w:val="001605E8"/>
    <w:rsid w:val="00160AAE"/>
    <w:rsid w:val="00160FAF"/>
    <w:rsid w:val="0016226D"/>
    <w:rsid w:val="0016344C"/>
    <w:rsid w:val="00163512"/>
    <w:rsid w:val="00163A8E"/>
    <w:rsid w:val="00163ADE"/>
    <w:rsid w:val="00163B85"/>
    <w:rsid w:val="00163BA6"/>
    <w:rsid w:val="00164DA3"/>
    <w:rsid w:val="00165501"/>
    <w:rsid w:val="001659D7"/>
    <w:rsid w:val="00165DFC"/>
    <w:rsid w:val="00165E9D"/>
    <w:rsid w:val="0016690F"/>
    <w:rsid w:val="00167897"/>
    <w:rsid w:val="0017122C"/>
    <w:rsid w:val="001715F7"/>
    <w:rsid w:val="001727A6"/>
    <w:rsid w:val="00172E37"/>
    <w:rsid w:val="00173F06"/>
    <w:rsid w:val="001747C2"/>
    <w:rsid w:val="00174978"/>
    <w:rsid w:val="001755B3"/>
    <w:rsid w:val="0017620A"/>
    <w:rsid w:val="0017639C"/>
    <w:rsid w:val="0017782A"/>
    <w:rsid w:val="001800D2"/>
    <w:rsid w:val="00181A2B"/>
    <w:rsid w:val="001824C2"/>
    <w:rsid w:val="00182595"/>
    <w:rsid w:val="00182912"/>
    <w:rsid w:val="00182A73"/>
    <w:rsid w:val="00182B46"/>
    <w:rsid w:val="001837A5"/>
    <w:rsid w:val="00184160"/>
    <w:rsid w:val="0018416A"/>
    <w:rsid w:val="001842C5"/>
    <w:rsid w:val="00184D49"/>
    <w:rsid w:val="001855A5"/>
    <w:rsid w:val="001859A0"/>
    <w:rsid w:val="001872D0"/>
    <w:rsid w:val="0018761B"/>
    <w:rsid w:val="00191BD4"/>
    <w:rsid w:val="00191DEB"/>
    <w:rsid w:val="00192100"/>
    <w:rsid w:val="0019220E"/>
    <w:rsid w:val="00193057"/>
    <w:rsid w:val="00193ED8"/>
    <w:rsid w:val="001941AB"/>
    <w:rsid w:val="00194480"/>
    <w:rsid w:val="001951D5"/>
    <w:rsid w:val="001952C4"/>
    <w:rsid w:val="0019532A"/>
    <w:rsid w:val="00195865"/>
    <w:rsid w:val="001959B6"/>
    <w:rsid w:val="00195FEE"/>
    <w:rsid w:val="001960DA"/>
    <w:rsid w:val="00196671"/>
    <w:rsid w:val="001968B9"/>
    <w:rsid w:val="00197417"/>
    <w:rsid w:val="00197630"/>
    <w:rsid w:val="001A0B6A"/>
    <w:rsid w:val="001A1299"/>
    <w:rsid w:val="001A25CF"/>
    <w:rsid w:val="001A354D"/>
    <w:rsid w:val="001A3636"/>
    <w:rsid w:val="001A37FC"/>
    <w:rsid w:val="001A40DF"/>
    <w:rsid w:val="001A445D"/>
    <w:rsid w:val="001A58F5"/>
    <w:rsid w:val="001A6B2F"/>
    <w:rsid w:val="001B1677"/>
    <w:rsid w:val="001B2B81"/>
    <w:rsid w:val="001B44BA"/>
    <w:rsid w:val="001B47AA"/>
    <w:rsid w:val="001B4A96"/>
    <w:rsid w:val="001B54C5"/>
    <w:rsid w:val="001B57DC"/>
    <w:rsid w:val="001B6801"/>
    <w:rsid w:val="001C0B53"/>
    <w:rsid w:val="001C0E25"/>
    <w:rsid w:val="001C174A"/>
    <w:rsid w:val="001C1E2C"/>
    <w:rsid w:val="001C293A"/>
    <w:rsid w:val="001C2D93"/>
    <w:rsid w:val="001C2FAA"/>
    <w:rsid w:val="001C3DA9"/>
    <w:rsid w:val="001C4472"/>
    <w:rsid w:val="001C47A3"/>
    <w:rsid w:val="001C5F5D"/>
    <w:rsid w:val="001C650B"/>
    <w:rsid w:val="001C6CD4"/>
    <w:rsid w:val="001C6FA7"/>
    <w:rsid w:val="001C7D21"/>
    <w:rsid w:val="001C7E8C"/>
    <w:rsid w:val="001D0373"/>
    <w:rsid w:val="001D0F1A"/>
    <w:rsid w:val="001D1B0B"/>
    <w:rsid w:val="001D23B8"/>
    <w:rsid w:val="001D2489"/>
    <w:rsid w:val="001D2723"/>
    <w:rsid w:val="001D285D"/>
    <w:rsid w:val="001D2B80"/>
    <w:rsid w:val="001D377A"/>
    <w:rsid w:val="001D3DBA"/>
    <w:rsid w:val="001D4C6B"/>
    <w:rsid w:val="001D51FE"/>
    <w:rsid w:val="001D5AB0"/>
    <w:rsid w:val="001D6317"/>
    <w:rsid w:val="001E037F"/>
    <w:rsid w:val="001E04EB"/>
    <w:rsid w:val="001E1370"/>
    <w:rsid w:val="001E17F1"/>
    <w:rsid w:val="001E1EC8"/>
    <w:rsid w:val="001E38C9"/>
    <w:rsid w:val="001E3B2F"/>
    <w:rsid w:val="001E4621"/>
    <w:rsid w:val="001E5A00"/>
    <w:rsid w:val="001E5C9B"/>
    <w:rsid w:val="001E5D22"/>
    <w:rsid w:val="001E60FE"/>
    <w:rsid w:val="001E63B3"/>
    <w:rsid w:val="001E6932"/>
    <w:rsid w:val="001E6B45"/>
    <w:rsid w:val="001E7565"/>
    <w:rsid w:val="001F0892"/>
    <w:rsid w:val="001F0C50"/>
    <w:rsid w:val="001F2519"/>
    <w:rsid w:val="001F3CE5"/>
    <w:rsid w:val="001F3FA8"/>
    <w:rsid w:val="001F421F"/>
    <w:rsid w:val="001F4249"/>
    <w:rsid w:val="001F4AB0"/>
    <w:rsid w:val="001F4F7E"/>
    <w:rsid w:val="001F4FC1"/>
    <w:rsid w:val="001F5224"/>
    <w:rsid w:val="001F539F"/>
    <w:rsid w:val="001F562F"/>
    <w:rsid w:val="001F5D92"/>
    <w:rsid w:val="001F6327"/>
    <w:rsid w:val="001F65DD"/>
    <w:rsid w:val="001F6783"/>
    <w:rsid w:val="001F6D20"/>
    <w:rsid w:val="001F7480"/>
    <w:rsid w:val="001F7E0B"/>
    <w:rsid w:val="00200367"/>
    <w:rsid w:val="0020081F"/>
    <w:rsid w:val="002008C3"/>
    <w:rsid w:val="00200E83"/>
    <w:rsid w:val="002025F0"/>
    <w:rsid w:val="00203925"/>
    <w:rsid w:val="0020440D"/>
    <w:rsid w:val="0020475B"/>
    <w:rsid w:val="00205302"/>
    <w:rsid w:val="002057F0"/>
    <w:rsid w:val="002058BB"/>
    <w:rsid w:val="00205A66"/>
    <w:rsid w:val="00205C16"/>
    <w:rsid w:val="00205D6F"/>
    <w:rsid w:val="0020717A"/>
    <w:rsid w:val="002102C9"/>
    <w:rsid w:val="002107F6"/>
    <w:rsid w:val="00211056"/>
    <w:rsid w:val="00211903"/>
    <w:rsid w:val="00211EDC"/>
    <w:rsid w:val="0021228E"/>
    <w:rsid w:val="002123DF"/>
    <w:rsid w:val="00212EAE"/>
    <w:rsid w:val="002138EA"/>
    <w:rsid w:val="00213E5E"/>
    <w:rsid w:val="002146E9"/>
    <w:rsid w:val="00214D5C"/>
    <w:rsid w:val="00215360"/>
    <w:rsid w:val="002162C6"/>
    <w:rsid w:val="002169BE"/>
    <w:rsid w:val="002177F7"/>
    <w:rsid w:val="00220359"/>
    <w:rsid w:val="00220847"/>
    <w:rsid w:val="0022190B"/>
    <w:rsid w:val="00221C33"/>
    <w:rsid w:val="0022200C"/>
    <w:rsid w:val="002224F5"/>
    <w:rsid w:val="0022277A"/>
    <w:rsid w:val="00222F76"/>
    <w:rsid w:val="00223CFB"/>
    <w:rsid w:val="0022411B"/>
    <w:rsid w:val="002248CF"/>
    <w:rsid w:val="00224D9E"/>
    <w:rsid w:val="00224EB0"/>
    <w:rsid w:val="00224FB2"/>
    <w:rsid w:val="00224FB9"/>
    <w:rsid w:val="00226C7F"/>
    <w:rsid w:val="00227E7E"/>
    <w:rsid w:val="0023074C"/>
    <w:rsid w:val="00230C38"/>
    <w:rsid w:val="00233847"/>
    <w:rsid w:val="00234C3F"/>
    <w:rsid w:val="00235175"/>
    <w:rsid w:val="00235B28"/>
    <w:rsid w:val="00235FA3"/>
    <w:rsid w:val="002360C7"/>
    <w:rsid w:val="002361C8"/>
    <w:rsid w:val="00236EAB"/>
    <w:rsid w:val="0023784B"/>
    <w:rsid w:val="00240477"/>
    <w:rsid w:val="00240F8F"/>
    <w:rsid w:val="0024100A"/>
    <w:rsid w:val="002424D2"/>
    <w:rsid w:val="00242B5F"/>
    <w:rsid w:val="00242C77"/>
    <w:rsid w:val="00242EF0"/>
    <w:rsid w:val="002435A0"/>
    <w:rsid w:val="00244BD7"/>
    <w:rsid w:val="00244E84"/>
    <w:rsid w:val="00245082"/>
    <w:rsid w:val="0024559C"/>
    <w:rsid w:val="002459F7"/>
    <w:rsid w:val="00246053"/>
    <w:rsid w:val="002466AB"/>
    <w:rsid w:val="00246C58"/>
    <w:rsid w:val="002470F9"/>
    <w:rsid w:val="00247909"/>
    <w:rsid w:val="00247A7F"/>
    <w:rsid w:val="00247E21"/>
    <w:rsid w:val="00250226"/>
    <w:rsid w:val="00250361"/>
    <w:rsid w:val="00250742"/>
    <w:rsid w:val="00250CC1"/>
    <w:rsid w:val="00250EAB"/>
    <w:rsid w:val="00251751"/>
    <w:rsid w:val="00251E63"/>
    <w:rsid w:val="00252975"/>
    <w:rsid w:val="00252AEC"/>
    <w:rsid w:val="00252B7E"/>
    <w:rsid w:val="00252B9E"/>
    <w:rsid w:val="00252FE0"/>
    <w:rsid w:val="00253130"/>
    <w:rsid w:val="00253AC6"/>
    <w:rsid w:val="002540FE"/>
    <w:rsid w:val="002547E9"/>
    <w:rsid w:val="00254DB3"/>
    <w:rsid w:val="00255291"/>
    <w:rsid w:val="002552DC"/>
    <w:rsid w:val="0025719B"/>
    <w:rsid w:val="00257A71"/>
    <w:rsid w:val="00257D9D"/>
    <w:rsid w:val="00257EBF"/>
    <w:rsid w:val="002600F2"/>
    <w:rsid w:val="0026147C"/>
    <w:rsid w:val="00261FCB"/>
    <w:rsid w:val="002628C7"/>
    <w:rsid w:val="002630F9"/>
    <w:rsid w:val="00263FFB"/>
    <w:rsid w:val="00264275"/>
    <w:rsid w:val="0026446E"/>
    <w:rsid w:val="00264AA7"/>
    <w:rsid w:val="00264E1A"/>
    <w:rsid w:val="00265052"/>
    <w:rsid w:val="00266887"/>
    <w:rsid w:val="00266FF3"/>
    <w:rsid w:val="00267023"/>
    <w:rsid w:val="002675F1"/>
    <w:rsid w:val="002702AB"/>
    <w:rsid w:val="00270671"/>
    <w:rsid w:val="00270B53"/>
    <w:rsid w:val="00270D59"/>
    <w:rsid w:val="00271EFD"/>
    <w:rsid w:val="00273B19"/>
    <w:rsid w:val="00274992"/>
    <w:rsid w:val="00274A77"/>
    <w:rsid w:val="00274C21"/>
    <w:rsid w:val="00276C50"/>
    <w:rsid w:val="00277590"/>
    <w:rsid w:val="00277DF9"/>
    <w:rsid w:val="00280516"/>
    <w:rsid w:val="002811AB"/>
    <w:rsid w:val="00282241"/>
    <w:rsid w:val="00282498"/>
    <w:rsid w:val="002827BF"/>
    <w:rsid w:val="00282B37"/>
    <w:rsid w:val="00282BA0"/>
    <w:rsid w:val="00282F0A"/>
    <w:rsid w:val="002835BA"/>
    <w:rsid w:val="002838A3"/>
    <w:rsid w:val="002839A5"/>
    <w:rsid w:val="00283A1C"/>
    <w:rsid w:val="00284AD1"/>
    <w:rsid w:val="00284B57"/>
    <w:rsid w:val="00285648"/>
    <w:rsid w:val="00285776"/>
    <w:rsid w:val="00285987"/>
    <w:rsid w:val="00286287"/>
    <w:rsid w:val="00286FAB"/>
    <w:rsid w:val="00286FD1"/>
    <w:rsid w:val="002906CF"/>
    <w:rsid w:val="00290C53"/>
    <w:rsid w:val="00292DCB"/>
    <w:rsid w:val="00292FD6"/>
    <w:rsid w:val="002931C6"/>
    <w:rsid w:val="0029403F"/>
    <w:rsid w:val="002947B5"/>
    <w:rsid w:val="00297DA6"/>
    <w:rsid w:val="002A0FCC"/>
    <w:rsid w:val="002A10D2"/>
    <w:rsid w:val="002A11AE"/>
    <w:rsid w:val="002A193C"/>
    <w:rsid w:val="002A200D"/>
    <w:rsid w:val="002A2685"/>
    <w:rsid w:val="002A2EBD"/>
    <w:rsid w:val="002A319B"/>
    <w:rsid w:val="002A3798"/>
    <w:rsid w:val="002A3BC6"/>
    <w:rsid w:val="002A3E2D"/>
    <w:rsid w:val="002A430A"/>
    <w:rsid w:val="002A45B9"/>
    <w:rsid w:val="002A472E"/>
    <w:rsid w:val="002A5436"/>
    <w:rsid w:val="002A5908"/>
    <w:rsid w:val="002A5CBA"/>
    <w:rsid w:val="002A7BB4"/>
    <w:rsid w:val="002A7D9C"/>
    <w:rsid w:val="002A7E45"/>
    <w:rsid w:val="002B067C"/>
    <w:rsid w:val="002B0693"/>
    <w:rsid w:val="002B06BD"/>
    <w:rsid w:val="002B2ED8"/>
    <w:rsid w:val="002B3846"/>
    <w:rsid w:val="002B5511"/>
    <w:rsid w:val="002B5AD2"/>
    <w:rsid w:val="002B612F"/>
    <w:rsid w:val="002B62C3"/>
    <w:rsid w:val="002B6846"/>
    <w:rsid w:val="002B73BC"/>
    <w:rsid w:val="002B7440"/>
    <w:rsid w:val="002B77C7"/>
    <w:rsid w:val="002C06DB"/>
    <w:rsid w:val="002C0CB4"/>
    <w:rsid w:val="002C1ADA"/>
    <w:rsid w:val="002C2330"/>
    <w:rsid w:val="002C2414"/>
    <w:rsid w:val="002C276A"/>
    <w:rsid w:val="002C2B36"/>
    <w:rsid w:val="002C2C06"/>
    <w:rsid w:val="002C2D0F"/>
    <w:rsid w:val="002C42FE"/>
    <w:rsid w:val="002C49C6"/>
    <w:rsid w:val="002C4C23"/>
    <w:rsid w:val="002C4FDC"/>
    <w:rsid w:val="002C543E"/>
    <w:rsid w:val="002C5AB2"/>
    <w:rsid w:val="002C6220"/>
    <w:rsid w:val="002C6233"/>
    <w:rsid w:val="002C6984"/>
    <w:rsid w:val="002C77A5"/>
    <w:rsid w:val="002D0297"/>
    <w:rsid w:val="002D0776"/>
    <w:rsid w:val="002D095F"/>
    <w:rsid w:val="002D0B24"/>
    <w:rsid w:val="002D0DD8"/>
    <w:rsid w:val="002D1951"/>
    <w:rsid w:val="002D1BDE"/>
    <w:rsid w:val="002D1C7F"/>
    <w:rsid w:val="002D2E0E"/>
    <w:rsid w:val="002D2E3D"/>
    <w:rsid w:val="002D321A"/>
    <w:rsid w:val="002D32A6"/>
    <w:rsid w:val="002D3A37"/>
    <w:rsid w:val="002D4026"/>
    <w:rsid w:val="002D47F4"/>
    <w:rsid w:val="002D52FA"/>
    <w:rsid w:val="002D55B7"/>
    <w:rsid w:val="002D5B11"/>
    <w:rsid w:val="002D5DBE"/>
    <w:rsid w:val="002D6001"/>
    <w:rsid w:val="002D6429"/>
    <w:rsid w:val="002D674F"/>
    <w:rsid w:val="002D71D3"/>
    <w:rsid w:val="002D7483"/>
    <w:rsid w:val="002D7871"/>
    <w:rsid w:val="002E0016"/>
    <w:rsid w:val="002E0975"/>
    <w:rsid w:val="002E0BF0"/>
    <w:rsid w:val="002E0D7C"/>
    <w:rsid w:val="002E16A8"/>
    <w:rsid w:val="002E3045"/>
    <w:rsid w:val="002E338D"/>
    <w:rsid w:val="002E38A7"/>
    <w:rsid w:val="002E3AEF"/>
    <w:rsid w:val="002E44EC"/>
    <w:rsid w:val="002E4A5D"/>
    <w:rsid w:val="002E527C"/>
    <w:rsid w:val="002E5422"/>
    <w:rsid w:val="002E5C03"/>
    <w:rsid w:val="002E61F2"/>
    <w:rsid w:val="002E6992"/>
    <w:rsid w:val="002E69B1"/>
    <w:rsid w:val="002E6BF3"/>
    <w:rsid w:val="002F05D2"/>
    <w:rsid w:val="002F10D1"/>
    <w:rsid w:val="002F1A32"/>
    <w:rsid w:val="002F1AE8"/>
    <w:rsid w:val="002F1EED"/>
    <w:rsid w:val="002F32B6"/>
    <w:rsid w:val="002F33F1"/>
    <w:rsid w:val="002F473B"/>
    <w:rsid w:val="002F54B1"/>
    <w:rsid w:val="002F5CBA"/>
    <w:rsid w:val="002F696E"/>
    <w:rsid w:val="002F6CDC"/>
    <w:rsid w:val="002F7030"/>
    <w:rsid w:val="002F7084"/>
    <w:rsid w:val="002F71B9"/>
    <w:rsid w:val="002F7886"/>
    <w:rsid w:val="003007A4"/>
    <w:rsid w:val="00300F90"/>
    <w:rsid w:val="00301736"/>
    <w:rsid w:val="003017F3"/>
    <w:rsid w:val="003019B3"/>
    <w:rsid w:val="00302481"/>
    <w:rsid w:val="00302E8E"/>
    <w:rsid w:val="00302FD7"/>
    <w:rsid w:val="00303261"/>
    <w:rsid w:val="00303D92"/>
    <w:rsid w:val="00303F32"/>
    <w:rsid w:val="00304240"/>
    <w:rsid w:val="0030466A"/>
    <w:rsid w:val="003047C8"/>
    <w:rsid w:val="00304EF0"/>
    <w:rsid w:val="003051F6"/>
    <w:rsid w:val="00305ACD"/>
    <w:rsid w:val="0030612F"/>
    <w:rsid w:val="003064AC"/>
    <w:rsid w:val="003071C4"/>
    <w:rsid w:val="003073EF"/>
    <w:rsid w:val="00310117"/>
    <w:rsid w:val="00310639"/>
    <w:rsid w:val="00310BD2"/>
    <w:rsid w:val="003126FC"/>
    <w:rsid w:val="00312F79"/>
    <w:rsid w:val="00313713"/>
    <w:rsid w:val="00313D69"/>
    <w:rsid w:val="00314084"/>
    <w:rsid w:val="00314695"/>
    <w:rsid w:val="00314D4C"/>
    <w:rsid w:val="00314FD2"/>
    <w:rsid w:val="0031533D"/>
    <w:rsid w:val="0031638A"/>
    <w:rsid w:val="003165DA"/>
    <w:rsid w:val="00320B4C"/>
    <w:rsid w:val="003217EB"/>
    <w:rsid w:val="00321EBD"/>
    <w:rsid w:val="0032269F"/>
    <w:rsid w:val="00322A57"/>
    <w:rsid w:val="00323070"/>
    <w:rsid w:val="00323234"/>
    <w:rsid w:val="00324288"/>
    <w:rsid w:val="00324510"/>
    <w:rsid w:val="0032465C"/>
    <w:rsid w:val="003248CF"/>
    <w:rsid w:val="00325069"/>
    <w:rsid w:val="00325403"/>
    <w:rsid w:val="00325EE1"/>
    <w:rsid w:val="00326C03"/>
    <w:rsid w:val="0032723B"/>
    <w:rsid w:val="003272F1"/>
    <w:rsid w:val="00327B6E"/>
    <w:rsid w:val="003301B9"/>
    <w:rsid w:val="00330E94"/>
    <w:rsid w:val="00330EEF"/>
    <w:rsid w:val="0033286C"/>
    <w:rsid w:val="00332CB3"/>
    <w:rsid w:val="00333136"/>
    <w:rsid w:val="003355A5"/>
    <w:rsid w:val="00336197"/>
    <w:rsid w:val="00336450"/>
    <w:rsid w:val="00341B4F"/>
    <w:rsid w:val="0034311C"/>
    <w:rsid w:val="003432BE"/>
    <w:rsid w:val="003436A1"/>
    <w:rsid w:val="00343806"/>
    <w:rsid w:val="0034408C"/>
    <w:rsid w:val="0034441B"/>
    <w:rsid w:val="0034499C"/>
    <w:rsid w:val="00344EEF"/>
    <w:rsid w:val="00345D63"/>
    <w:rsid w:val="00346CB5"/>
    <w:rsid w:val="003471BA"/>
    <w:rsid w:val="00347C6B"/>
    <w:rsid w:val="00347CEC"/>
    <w:rsid w:val="00347E10"/>
    <w:rsid w:val="00350744"/>
    <w:rsid w:val="003508A7"/>
    <w:rsid w:val="00350F50"/>
    <w:rsid w:val="00351E22"/>
    <w:rsid w:val="00351EFE"/>
    <w:rsid w:val="00353585"/>
    <w:rsid w:val="003557A5"/>
    <w:rsid w:val="00355AA0"/>
    <w:rsid w:val="00355B75"/>
    <w:rsid w:val="00356EA1"/>
    <w:rsid w:val="003607BA"/>
    <w:rsid w:val="00361A86"/>
    <w:rsid w:val="0036221C"/>
    <w:rsid w:val="00362342"/>
    <w:rsid w:val="00362A4A"/>
    <w:rsid w:val="00363945"/>
    <w:rsid w:val="00363DCD"/>
    <w:rsid w:val="00363EEF"/>
    <w:rsid w:val="00364164"/>
    <w:rsid w:val="003648E6"/>
    <w:rsid w:val="00364DD1"/>
    <w:rsid w:val="00365190"/>
    <w:rsid w:val="00365317"/>
    <w:rsid w:val="003654CE"/>
    <w:rsid w:val="003665ED"/>
    <w:rsid w:val="00366936"/>
    <w:rsid w:val="00366CC2"/>
    <w:rsid w:val="0036725F"/>
    <w:rsid w:val="00367376"/>
    <w:rsid w:val="0036737B"/>
    <w:rsid w:val="00370178"/>
    <w:rsid w:val="0037142D"/>
    <w:rsid w:val="00372AA8"/>
    <w:rsid w:val="00372D16"/>
    <w:rsid w:val="00373A0D"/>
    <w:rsid w:val="00373B78"/>
    <w:rsid w:val="003749F9"/>
    <w:rsid w:val="00375105"/>
    <w:rsid w:val="003756F0"/>
    <w:rsid w:val="003776A6"/>
    <w:rsid w:val="003778D0"/>
    <w:rsid w:val="00377A2F"/>
    <w:rsid w:val="003800CE"/>
    <w:rsid w:val="00381013"/>
    <w:rsid w:val="00382278"/>
    <w:rsid w:val="0038296A"/>
    <w:rsid w:val="00383B1E"/>
    <w:rsid w:val="00384033"/>
    <w:rsid w:val="00384773"/>
    <w:rsid w:val="00384C4B"/>
    <w:rsid w:val="00384C91"/>
    <w:rsid w:val="00385592"/>
    <w:rsid w:val="00386B13"/>
    <w:rsid w:val="00387B1A"/>
    <w:rsid w:val="003923EB"/>
    <w:rsid w:val="003940F5"/>
    <w:rsid w:val="003942B3"/>
    <w:rsid w:val="0039716E"/>
    <w:rsid w:val="003973EF"/>
    <w:rsid w:val="00397686"/>
    <w:rsid w:val="0039798B"/>
    <w:rsid w:val="00397F54"/>
    <w:rsid w:val="003A003E"/>
    <w:rsid w:val="003A089B"/>
    <w:rsid w:val="003A0A60"/>
    <w:rsid w:val="003A10BE"/>
    <w:rsid w:val="003A11AC"/>
    <w:rsid w:val="003A1460"/>
    <w:rsid w:val="003A1926"/>
    <w:rsid w:val="003A4479"/>
    <w:rsid w:val="003A5CCC"/>
    <w:rsid w:val="003A68A0"/>
    <w:rsid w:val="003B03BE"/>
    <w:rsid w:val="003B0AD6"/>
    <w:rsid w:val="003B0D5E"/>
    <w:rsid w:val="003B0DD8"/>
    <w:rsid w:val="003B0F07"/>
    <w:rsid w:val="003B1119"/>
    <w:rsid w:val="003B1425"/>
    <w:rsid w:val="003B1D5E"/>
    <w:rsid w:val="003B1DD8"/>
    <w:rsid w:val="003B26CA"/>
    <w:rsid w:val="003B2FDF"/>
    <w:rsid w:val="003B31A8"/>
    <w:rsid w:val="003B3235"/>
    <w:rsid w:val="003B34C1"/>
    <w:rsid w:val="003B3600"/>
    <w:rsid w:val="003B3F7C"/>
    <w:rsid w:val="003B3FFC"/>
    <w:rsid w:val="003B4D0E"/>
    <w:rsid w:val="003B4E4C"/>
    <w:rsid w:val="003B5744"/>
    <w:rsid w:val="003B5EFC"/>
    <w:rsid w:val="003B6C14"/>
    <w:rsid w:val="003B7917"/>
    <w:rsid w:val="003C05A9"/>
    <w:rsid w:val="003C0CBC"/>
    <w:rsid w:val="003C0DD4"/>
    <w:rsid w:val="003C0E46"/>
    <w:rsid w:val="003C0F02"/>
    <w:rsid w:val="003C1114"/>
    <w:rsid w:val="003C11B7"/>
    <w:rsid w:val="003C1AAB"/>
    <w:rsid w:val="003C1F06"/>
    <w:rsid w:val="003C208B"/>
    <w:rsid w:val="003C2468"/>
    <w:rsid w:val="003C26DF"/>
    <w:rsid w:val="003C2BB9"/>
    <w:rsid w:val="003C2CEF"/>
    <w:rsid w:val="003C301B"/>
    <w:rsid w:val="003C3A86"/>
    <w:rsid w:val="003C3B1C"/>
    <w:rsid w:val="003C41E9"/>
    <w:rsid w:val="003C49C0"/>
    <w:rsid w:val="003C4E0D"/>
    <w:rsid w:val="003C59D0"/>
    <w:rsid w:val="003C5B42"/>
    <w:rsid w:val="003C6D35"/>
    <w:rsid w:val="003C6E13"/>
    <w:rsid w:val="003C7068"/>
    <w:rsid w:val="003C718C"/>
    <w:rsid w:val="003C79D1"/>
    <w:rsid w:val="003C7D16"/>
    <w:rsid w:val="003D1751"/>
    <w:rsid w:val="003D2352"/>
    <w:rsid w:val="003D2E2E"/>
    <w:rsid w:val="003D426F"/>
    <w:rsid w:val="003D454B"/>
    <w:rsid w:val="003D4609"/>
    <w:rsid w:val="003D597A"/>
    <w:rsid w:val="003D5D7E"/>
    <w:rsid w:val="003D6094"/>
    <w:rsid w:val="003D7ECB"/>
    <w:rsid w:val="003E0003"/>
    <w:rsid w:val="003E018A"/>
    <w:rsid w:val="003E0E64"/>
    <w:rsid w:val="003E21A3"/>
    <w:rsid w:val="003E2BFE"/>
    <w:rsid w:val="003E3286"/>
    <w:rsid w:val="003E33CF"/>
    <w:rsid w:val="003E3C6C"/>
    <w:rsid w:val="003E3E50"/>
    <w:rsid w:val="003E41CC"/>
    <w:rsid w:val="003E50DE"/>
    <w:rsid w:val="003E5AB4"/>
    <w:rsid w:val="003E5B7F"/>
    <w:rsid w:val="003E6472"/>
    <w:rsid w:val="003E67CF"/>
    <w:rsid w:val="003E6CFE"/>
    <w:rsid w:val="003E7E9B"/>
    <w:rsid w:val="003F07C4"/>
    <w:rsid w:val="003F26EB"/>
    <w:rsid w:val="003F286D"/>
    <w:rsid w:val="003F2E30"/>
    <w:rsid w:val="003F331E"/>
    <w:rsid w:val="003F33CB"/>
    <w:rsid w:val="003F3DDA"/>
    <w:rsid w:val="003F4213"/>
    <w:rsid w:val="003F435C"/>
    <w:rsid w:val="003F454C"/>
    <w:rsid w:val="003F5F95"/>
    <w:rsid w:val="003F61DF"/>
    <w:rsid w:val="003F68F0"/>
    <w:rsid w:val="003F7972"/>
    <w:rsid w:val="003F7B24"/>
    <w:rsid w:val="003F7F13"/>
    <w:rsid w:val="00400C44"/>
    <w:rsid w:val="00400D22"/>
    <w:rsid w:val="00400EE5"/>
    <w:rsid w:val="00401CA5"/>
    <w:rsid w:val="00401D1F"/>
    <w:rsid w:val="004021F9"/>
    <w:rsid w:val="004022C4"/>
    <w:rsid w:val="00402C6E"/>
    <w:rsid w:val="00403039"/>
    <w:rsid w:val="00404F61"/>
    <w:rsid w:val="00406CAE"/>
    <w:rsid w:val="004071C7"/>
    <w:rsid w:val="00407D79"/>
    <w:rsid w:val="00410113"/>
    <w:rsid w:val="0041041A"/>
    <w:rsid w:val="00410A26"/>
    <w:rsid w:val="004113EA"/>
    <w:rsid w:val="00411831"/>
    <w:rsid w:val="00411C84"/>
    <w:rsid w:val="0041254D"/>
    <w:rsid w:val="004128A9"/>
    <w:rsid w:val="00412A71"/>
    <w:rsid w:val="00414288"/>
    <w:rsid w:val="00414C52"/>
    <w:rsid w:val="00414D41"/>
    <w:rsid w:val="00414D4F"/>
    <w:rsid w:val="00415642"/>
    <w:rsid w:val="00416EF5"/>
    <w:rsid w:val="00420D3A"/>
    <w:rsid w:val="00420FAA"/>
    <w:rsid w:val="004233F7"/>
    <w:rsid w:val="00423928"/>
    <w:rsid w:val="00423E11"/>
    <w:rsid w:val="0042540F"/>
    <w:rsid w:val="00425649"/>
    <w:rsid w:val="00426210"/>
    <w:rsid w:val="0042660A"/>
    <w:rsid w:val="004266CB"/>
    <w:rsid w:val="00426C76"/>
    <w:rsid w:val="004271AE"/>
    <w:rsid w:val="00427339"/>
    <w:rsid w:val="00430446"/>
    <w:rsid w:val="00430704"/>
    <w:rsid w:val="00430F48"/>
    <w:rsid w:val="004312CE"/>
    <w:rsid w:val="00431471"/>
    <w:rsid w:val="00432123"/>
    <w:rsid w:val="00432AB8"/>
    <w:rsid w:val="00432D29"/>
    <w:rsid w:val="00432D74"/>
    <w:rsid w:val="00433A95"/>
    <w:rsid w:val="004345C0"/>
    <w:rsid w:val="004345E1"/>
    <w:rsid w:val="004347F0"/>
    <w:rsid w:val="004348F2"/>
    <w:rsid w:val="0043529C"/>
    <w:rsid w:val="00435311"/>
    <w:rsid w:val="00435ABD"/>
    <w:rsid w:val="00435CE8"/>
    <w:rsid w:val="00435ED9"/>
    <w:rsid w:val="0043671C"/>
    <w:rsid w:val="00436764"/>
    <w:rsid w:val="00436F40"/>
    <w:rsid w:val="00436F4C"/>
    <w:rsid w:val="004372B2"/>
    <w:rsid w:val="004376C6"/>
    <w:rsid w:val="00437B81"/>
    <w:rsid w:val="00437CE9"/>
    <w:rsid w:val="00440333"/>
    <w:rsid w:val="00440C7D"/>
    <w:rsid w:val="004416AE"/>
    <w:rsid w:val="00441E7E"/>
    <w:rsid w:val="004420C8"/>
    <w:rsid w:val="0044275F"/>
    <w:rsid w:val="00442BB5"/>
    <w:rsid w:val="004438D7"/>
    <w:rsid w:val="00443B66"/>
    <w:rsid w:val="00444081"/>
    <w:rsid w:val="0044476B"/>
    <w:rsid w:val="00445596"/>
    <w:rsid w:val="0044613E"/>
    <w:rsid w:val="004461A2"/>
    <w:rsid w:val="004472C5"/>
    <w:rsid w:val="0045072C"/>
    <w:rsid w:val="00450A1D"/>
    <w:rsid w:val="004510F2"/>
    <w:rsid w:val="004520C2"/>
    <w:rsid w:val="0045354A"/>
    <w:rsid w:val="00454102"/>
    <w:rsid w:val="00454E0B"/>
    <w:rsid w:val="0045542B"/>
    <w:rsid w:val="00455FD3"/>
    <w:rsid w:val="004562E0"/>
    <w:rsid w:val="004572F1"/>
    <w:rsid w:val="004575F4"/>
    <w:rsid w:val="00457B8E"/>
    <w:rsid w:val="00460009"/>
    <w:rsid w:val="0046041A"/>
    <w:rsid w:val="00460838"/>
    <w:rsid w:val="00460D6D"/>
    <w:rsid w:val="0046133E"/>
    <w:rsid w:val="004616D5"/>
    <w:rsid w:val="00461BDE"/>
    <w:rsid w:val="00462700"/>
    <w:rsid w:val="00462F9D"/>
    <w:rsid w:val="004631B0"/>
    <w:rsid w:val="0046368E"/>
    <w:rsid w:val="00463896"/>
    <w:rsid w:val="004646F6"/>
    <w:rsid w:val="0046477E"/>
    <w:rsid w:val="00464A2A"/>
    <w:rsid w:val="00464AE0"/>
    <w:rsid w:val="00464EA7"/>
    <w:rsid w:val="004650C9"/>
    <w:rsid w:val="00465139"/>
    <w:rsid w:val="00465B57"/>
    <w:rsid w:val="004660AB"/>
    <w:rsid w:val="00466947"/>
    <w:rsid w:val="00466F8E"/>
    <w:rsid w:val="00470194"/>
    <w:rsid w:val="00470A0A"/>
    <w:rsid w:val="00471966"/>
    <w:rsid w:val="00471D20"/>
    <w:rsid w:val="00474197"/>
    <w:rsid w:val="0047428D"/>
    <w:rsid w:val="0047475A"/>
    <w:rsid w:val="00475636"/>
    <w:rsid w:val="00475A2F"/>
    <w:rsid w:val="00476753"/>
    <w:rsid w:val="00476B79"/>
    <w:rsid w:val="00477330"/>
    <w:rsid w:val="0047780A"/>
    <w:rsid w:val="00477DA0"/>
    <w:rsid w:val="0048000B"/>
    <w:rsid w:val="00480497"/>
    <w:rsid w:val="004813A1"/>
    <w:rsid w:val="00483A23"/>
    <w:rsid w:val="00484747"/>
    <w:rsid w:val="00484A74"/>
    <w:rsid w:val="00484D56"/>
    <w:rsid w:val="00484E27"/>
    <w:rsid w:val="0048557F"/>
    <w:rsid w:val="00485D93"/>
    <w:rsid w:val="00486A37"/>
    <w:rsid w:val="004907FA"/>
    <w:rsid w:val="00491A9B"/>
    <w:rsid w:val="00493879"/>
    <w:rsid w:val="00493B4F"/>
    <w:rsid w:val="00493DED"/>
    <w:rsid w:val="00494A1D"/>
    <w:rsid w:val="00495A6C"/>
    <w:rsid w:val="00495B96"/>
    <w:rsid w:val="00495BA4"/>
    <w:rsid w:val="004966FD"/>
    <w:rsid w:val="00496DB2"/>
    <w:rsid w:val="00497EEB"/>
    <w:rsid w:val="004A01B4"/>
    <w:rsid w:val="004A06EA"/>
    <w:rsid w:val="004A0903"/>
    <w:rsid w:val="004A0BBC"/>
    <w:rsid w:val="004A0CF3"/>
    <w:rsid w:val="004A1070"/>
    <w:rsid w:val="004A15A1"/>
    <w:rsid w:val="004A1EB7"/>
    <w:rsid w:val="004A1F76"/>
    <w:rsid w:val="004A2DB7"/>
    <w:rsid w:val="004A55CE"/>
    <w:rsid w:val="004A57E5"/>
    <w:rsid w:val="004A5E00"/>
    <w:rsid w:val="004A7A19"/>
    <w:rsid w:val="004B07AA"/>
    <w:rsid w:val="004B07DD"/>
    <w:rsid w:val="004B14FA"/>
    <w:rsid w:val="004B1BC7"/>
    <w:rsid w:val="004B367F"/>
    <w:rsid w:val="004B3E14"/>
    <w:rsid w:val="004B415E"/>
    <w:rsid w:val="004B44B0"/>
    <w:rsid w:val="004B469B"/>
    <w:rsid w:val="004B4C85"/>
    <w:rsid w:val="004B5174"/>
    <w:rsid w:val="004B5902"/>
    <w:rsid w:val="004B5A07"/>
    <w:rsid w:val="004B65DA"/>
    <w:rsid w:val="004B6896"/>
    <w:rsid w:val="004B6984"/>
    <w:rsid w:val="004B73D8"/>
    <w:rsid w:val="004B75E7"/>
    <w:rsid w:val="004B7648"/>
    <w:rsid w:val="004B7EA1"/>
    <w:rsid w:val="004C0BCB"/>
    <w:rsid w:val="004C13D9"/>
    <w:rsid w:val="004C1493"/>
    <w:rsid w:val="004C1659"/>
    <w:rsid w:val="004C1A55"/>
    <w:rsid w:val="004C2120"/>
    <w:rsid w:val="004C3128"/>
    <w:rsid w:val="004C31F9"/>
    <w:rsid w:val="004C33C5"/>
    <w:rsid w:val="004C381A"/>
    <w:rsid w:val="004C3D9C"/>
    <w:rsid w:val="004C3DCB"/>
    <w:rsid w:val="004C46D9"/>
    <w:rsid w:val="004C47B6"/>
    <w:rsid w:val="004C4EFE"/>
    <w:rsid w:val="004C51EA"/>
    <w:rsid w:val="004C5328"/>
    <w:rsid w:val="004C688D"/>
    <w:rsid w:val="004D0BFA"/>
    <w:rsid w:val="004D33FE"/>
    <w:rsid w:val="004D348B"/>
    <w:rsid w:val="004D4743"/>
    <w:rsid w:val="004D4CF8"/>
    <w:rsid w:val="004D523F"/>
    <w:rsid w:val="004D5CC0"/>
    <w:rsid w:val="004D6671"/>
    <w:rsid w:val="004D71CA"/>
    <w:rsid w:val="004D7DFA"/>
    <w:rsid w:val="004E037E"/>
    <w:rsid w:val="004E062B"/>
    <w:rsid w:val="004E0BE9"/>
    <w:rsid w:val="004E0EE9"/>
    <w:rsid w:val="004E144D"/>
    <w:rsid w:val="004E1AD6"/>
    <w:rsid w:val="004E1CED"/>
    <w:rsid w:val="004E2258"/>
    <w:rsid w:val="004E2793"/>
    <w:rsid w:val="004E2936"/>
    <w:rsid w:val="004E293F"/>
    <w:rsid w:val="004E2992"/>
    <w:rsid w:val="004E2C52"/>
    <w:rsid w:val="004E2D14"/>
    <w:rsid w:val="004E2D37"/>
    <w:rsid w:val="004E3552"/>
    <w:rsid w:val="004E35BD"/>
    <w:rsid w:val="004E41E8"/>
    <w:rsid w:val="004E4E26"/>
    <w:rsid w:val="004E5A25"/>
    <w:rsid w:val="004E5C23"/>
    <w:rsid w:val="004E5C2A"/>
    <w:rsid w:val="004E6003"/>
    <w:rsid w:val="004E76C7"/>
    <w:rsid w:val="004E7CD9"/>
    <w:rsid w:val="004F1204"/>
    <w:rsid w:val="004F158A"/>
    <w:rsid w:val="004F190D"/>
    <w:rsid w:val="004F1F0D"/>
    <w:rsid w:val="004F238A"/>
    <w:rsid w:val="004F23B3"/>
    <w:rsid w:val="004F277A"/>
    <w:rsid w:val="004F2ED1"/>
    <w:rsid w:val="004F3960"/>
    <w:rsid w:val="004F4CAC"/>
    <w:rsid w:val="004F5432"/>
    <w:rsid w:val="004F6A71"/>
    <w:rsid w:val="004F72BD"/>
    <w:rsid w:val="004F7638"/>
    <w:rsid w:val="004F7B3B"/>
    <w:rsid w:val="00500D7D"/>
    <w:rsid w:val="0050108D"/>
    <w:rsid w:val="005011F5"/>
    <w:rsid w:val="00501611"/>
    <w:rsid w:val="00501D3E"/>
    <w:rsid w:val="005026D0"/>
    <w:rsid w:val="0050332B"/>
    <w:rsid w:val="00503D62"/>
    <w:rsid w:val="00503EFC"/>
    <w:rsid w:val="00504E55"/>
    <w:rsid w:val="00506152"/>
    <w:rsid w:val="0050621C"/>
    <w:rsid w:val="005077AB"/>
    <w:rsid w:val="00507AA6"/>
    <w:rsid w:val="005101E2"/>
    <w:rsid w:val="005105CC"/>
    <w:rsid w:val="00510633"/>
    <w:rsid w:val="00510A8C"/>
    <w:rsid w:val="00510B6E"/>
    <w:rsid w:val="00511843"/>
    <w:rsid w:val="00511B25"/>
    <w:rsid w:val="00511BD0"/>
    <w:rsid w:val="00512233"/>
    <w:rsid w:val="00512C30"/>
    <w:rsid w:val="00512D08"/>
    <w:rsid w:val="00512EF4"/>
    <w:rsid w:val="00513A35"/>
    <w:rsid w:val="00513D71"/>
    <w:rsid w:val="005147E0"/>
    <w:rsid w:val="00514AB6"/>
    <w:rsid w:val="005161AA"/>
    <w:rsid w:val="00516344"/>
    <w:rsid w:val="005164F4"/>
    <w:rsid w:val="005169E7"/>
    <w:rsid w:val="00516EA1"/>
    <w:rsid w:val="00517139"/>
    <w:rsid w:val="00517217"/>
    <w:rsid w:val="0051779D"/>
    <w:rsid w:val="00517A81"/>
    <w:rsid w:val="005200E2"/>
    <w:rsid w:val="00521189"/>
    <w:rsid w:val="00521E64"/>
    <w:rsid w:val="00522113"/>
    <w:rsid w:val="00522BA0"/>
    <w:rsid w:val="00523933"/>
    <w:rsid w:val="0052399C"/>
    <w:rsid w:val="00523D11"/>
    <w:rsid w:val="0052401D"/>
    <w:rsid w:val="00524D89"/>
    <w:rsid w:val="00525234"/>
    <w:rsid w:val="00525F8E"/>
    <w:rsid w:val="0052606C"/>
    <w:rsid w:val="005265BA"/>
    <w:rsid w:val="00526945"/>
    <w:rsid w:val="00527319"/>
    <w:rsid w:val="0052757F"/>
    <w:rsid w:val="005275BD"/>
    <w:rsid w:val="005279C9"/>
    <w:rsid w:val="0053018F"/>
    <w:rsid w:val="00530728"/>
    <w:rsid w:val="00530F19"/>
    <w:rsid w:val="00531266"/>
    <w:rsid w:val="0053212F"/>
    <w:rsid w:val="00532609"/>
    <w:rsid w:val="00532DD2"/>
    <w:rsid w:val="0053359D"/>
    <w:rsid w:val="0053384B"/>
    <w:rsid w:val="00533A64"/>
    <w:rsid w:val="00534000"/>
    <w:rsid w:val="005345C1"/>
    <w:rsid w:val="00540A6D"/>
    <w:rsid w:val="00540F04"/>
    <w:rsid w:val="00541409"/>
    <w:rsid w:val="00541C42"/>
    <w:rsid w:val="005433D1"/>
    <w:rsid w:val="0054406E"/>
    <w:rsid w:val="0054437B"/>
    <w:rsid w:val="005448B6"/>
    <w:rsid w:val="0054498B"/>
    <w:rsid w:val="00545394"/>
    <w:rsid w:val="00545697"/>
    <w:rsid w:val="00545B43"/>
    <w:rsid w:val="00547A33"/>
    <w:rsid w:val="00547AEA"/>
    <w:rsid w:val="00547F39"/>
    <w:rsid w:val="00550669"/>
    <w:rsid w:val="00550BD2"/>
    <w:rsid w:val="00550FE3"/>
    <w:rsid w:val="00551A14"/>
    <w:rsid w:val="00552DE2"/>
    <w:rsid w:val="00553061"/>
    <w:rsid w:val="00553238"/>
    <w:rsid w:val="00553B11"/>
    <w:rsid w:val="00553ED9"/>
    <w:rsid w:val="005564D5"/>
    <w:rsid w:val="00557486"/>
    <w:rsid w:val="005574FF"/>
    <w:rsid w:val="00557720"/>
    <w:rsid w:val="00557764"/>
    <w:rsid w:val="0056041A"/>
    <w:rsid w:val="00560786"/>
    <w:rsid w:val="00561451"/>
    <w:rsid w:val="0056212B"/>
    <w:rsid w:val="00562CD7"/>
    <w:rsid w:val="00563AEB"/>
    <w:rsid w:val="0056486F"/>
    <w:rsid w:val="00565812"/>
    <w:rsid w:val="005661B4"/>
    <w:rsid w:val="00566E02"/>
    <w:rsid w:val="005673DC"/>
    <w:rsid w:val="00567CF2"/>
    <w:rsid w:val="00570AD3"/>
    <w:rsid w:val="00571094"/>
    <w:rsid w:val="0057122E"/>
    <w:rsid w:val="005722B3"/>
    <w:rsid w:val="00572AE8"/>
    <w:rsid w:val="005742E2"/>
    <w:rsid w:val="005763D8"/>
    <w:rsid w:val="00576729"/>
    <w:rsid w:val="005769E3"/>
    <w:rsid w:val="00576B4B"/>
    <w:rsid w:val="00576B53"/>
    <w:rsid w:val="005775AD"/>
    <w:rsid w:val="005804A4"/>
    <w:rsid w:val="00580E04"/>
    <w:rsid w:val="00580F60"/>
    <w:rsid w:val="005810BA"/>
    <w:rsid w:val="005831AC"/>
    <w:rsid w:val="005839E2"/>
    <w:rsid w:val="00583B51"/>
    <w:rsid w:val="00583CA7"/>
    <w:rsid w:val="00584320"/>
    <w:rsid w:val="00585896"/>
    <w:rsid w:val="00585D34"/>
    <w:rsid w:val="00586343"/>
    <w:rsid w:val="0058659F"/>
    <w:rsid w:val="00586765"/>
    <w:rsid w:val="00586865"/>
    <w:rsid w:val="0058720B"/>
    <w:rsid w:val="005878DD"/>
    <w:rsid w:val="00590735"/>
    <w:rsid w:val="00590867"/>
    <w:rsid w:val="005917F2"/>
    <w:rsid w:val="00591939"/>
    <w:rsid w:val="0059268E"/>
    <w:rsid w:val="00592C7E"/>
    <w:rsid w:val="00592F4E"/>
    <w:rsid w:val="005931C4"/>
    <w:rsid w:val="005933F9"/>
    <w:rsid w:val="00593452"/>
    <w:rsid w:val="00593FC3"/>
    <w:rsid w:val="005944D8"/>
    <w:rsid w:val="00594CCB"/>
    <w:rsid w:val="00594F64"/>
    <w:rsid w:val="00595DF8"/>
    <w:rsid w:val="00595F27"/>
    <w:rsid w:val="005966B4"/>
    <w:rsid w:val="00596D33"/>
    <w:rsid w:val="00597EBB"/>
    <w:rsid w:val="005A03EC"/>
    <w:rsid w:val="005A0A6D"/>
    <w:rsid w:val="005A0BCC"/>
    <w:rsid w:val="005A1C93"/>
    <w:rsid w:val="005A1D20"/>
    <w:rsid w:val="005A207C"/>
    <w:rsid w:val="005A2537"/>
    <w:rsid w:val="005A2B89"/>
    <w:rsid w:val="005A2E10"/>
    <w:rsid w:val="005A31D9"/>
    <w:rsid w:val="005A374C"/>
    <w:rsid w:val="005A3B00"/>
    <w:rsid w:val="005A4C8C"/>
    <w:rsid w:val="005A553E"/>
    <w:rsid w:val="005A659E"/>
    <w:rsid w:val="005A6915"/>
    <w:rsid w:val="005A70CD"/>
    <w:rsid w:val="005A7178"/>
    <w:rsid w:val="005A7320"/>
    <w:rsid w:val="005A7688"/>
    <w:rsid w:val="005A7814"/>
    <w:rsid w:val="005A7BC7"/>
    <w:rsid w:val="005B00EE"/>
    <w:rsid w:val="005B03C2"/>
    <w:rsid w:val="005B145C"/>
    <w:rsid w:val="005B20E3"/>
    <w:rsid w:val="005B2201"/>
    <w:rsid w:val="005B27C8"/>
    <w:rsid w:val="005B2EA1"/>
    <w:rsid w:val="005B311B"/>
    <w:rsid w:val="005B345A"/>
    <w:rsid w:val="005B4B9E"/>
    <w:rsid w:val="005B72C2"/>
    <w:rsid w:val="005B74D5"/>
    <w:rsid w:val="005B7EAF"/>
    <w:rsid w:val="005C00AD"/>
    <w:rsid w:val="005C0B5E"/>
    <w:rsid w:val="005C0B83"/>
    <w:rsid w:val="005C0FDA"/>
    <w:rsid w:val="005C31CD"/>
    <w:rsid w:val="005C34FC"/>
    <w:rsid w:val="005C39E0"/>
    <w:rsid w:val="005C3F30"/>
    <w:rsid w:val="005C479C"/>
    <w:rsid w:val="005C4A03"/>
    <w:rsid w:val="005C4DAB"/>
    <w:rsid w:val="005C4DE6"/>
    <w:rsid w:val="005C557E"/>
    <w:rsid w:val="005C62E1"/>
    <w:rsid w:val="005C785E"/>
    <w:rsid w:val="005C78F0"/>
    <w:rsid w:val="005D00B3"/>
    <w:rsid w:val="005D07E7"/>
    <w:rsid w:val="005D0B70"/>
    <w:rsid w:val="005D0ED9"/>
    <w:rsid w:val="005D1083"/>
    <w:rsid w:val="005D139A"/>
    <w:rsid w:val="005D2234"/>
    <w:rsid w:val="005D2B1E"/>
    <w:rsid w:val="005D37EE"/>
    <w:rsid w:val="005D38FD"/>
    <w:rsid w:val="005D41B7"/>
    <w:rsid w:val="005D4EE7"/>
    <w:rsid w:val="005D50BC"/>
    <w:rsid w:val="005D5505"/>
    <w:rsid w:val="005D59C9"/>
    <w:rsid w:val="005D5BC0"/>
    <w:rsid w:val="005D6398"/>
    <w:rsid w:val="005D6D2D"/>
    <w:rsid w:val="005D6E55"/>
    <w:rsid w:val="005D7E25"/>
    <w:rsid w:val="005E0122"/>
    <w:rsid w:val="005E0738"/>
    <w:rsid w:val="005E0A4B"/>
    <w:rsid w:val="005E108A"/>
    <w:rsid w:val="005E1212"/>
    <w:rsid w:val="005E12CC"/>
    <w:rsid w:val="005E178B"/>
    <w:rsid w:val="005E1AEF"/>
    <w:rsid w:val="005E1E27"/>
    <w:rsid w:val="005E249C"/>
    <w:rsid w:val="005E381E"/>
    <w:rsid w:val="005E3D6A"/>
    <w:rsid w:val="005E495F"/>
    <w:rsid w:val="005E4E0A"/>
    <w:rsid w:val="005E5FE4"/>
    <w:rsid w:val="005F0583"/>
    <w:rsid w:val="005F0FE8"/>
    <w:rsid w:val="005F10C7"/>
    <w:rsid w:val="005F1825"/>
    <w:rsid w:val="005F1C8D"/>
    <w:rsid w:val="005F2242"/>
    <w:rsid w:val="005F2323"/>
    <w:rsid w:val="005F24F7"/>
    <w:rsid w:val="005F44B8"/>
    <w:rsid w:val="005F4B98"/>
    <w:rsid w:val="005F4E66"/>
    <w:rsid w:val="005F539A"/>
    <w:rsid w:val="005F5BE0"/>
    <w:rsid w:val="005F6204"/>
    <w:rsid w:val="005F6684"/>
    <w:rsid w:val="005F6EA2"/>
    <w:rsid w:val="005F71A0"/>
    <w:rsid w:val="005F74E5"/>
    <w:rsid w:val="005F7759"/>
    <w:rsid w:val="00600C18"/>
    <w:rsid w:val="00600E40"/>
    <w:rsid w:val="00601057"/>
    <w:rsid w:val="006011F0"/>
    <w:rsid w:val="00602F45"/>
    <w:rsid w:val="00603A49"/>
    <w:rsid w:val="00604C5D"/>
    <w:rsid w:val="0060516A"/>
    <w:rsid w:val="00605521"/>
    <w:rsid w:val="006055D1"/>
    <w:rsid w:val="00605AF7"/>
    <w:rsid w:val="006069DB"/>
    <w:rsid w:val="00607060"/>
    <w:rsid w:val="006074F5"/>
    <w:rsid w:val="00607DB2"/>
    <w:rsid w:val="00607EE6"/>
    <w:rsid w:val="00607F08"/>
    <w:rsid w:val="00610305"/>
    <w:rsid w:val="00610A5B"/>
    <w:rsid w:val="00610BEB"/>
    <w:rsid w:val="006117A1"/>
    <w:rsid w:val="00611854"/>
    <w:rsid w:val="006122EA"/>
    <w:rsid w:val="00612364"/>
    <w:rsid w:val="006127F1"/>
    <w:rsid w:val="006137F7"/>
    <w:rsid w:val="00614767"/>
    <w:rsid w:val="006150D5"/>
    <w:rsid w:val="00615F98"/>
    <w:rsid w:val="006160FB"/>
    <w:rsid w:val="00616EBF"/>
    <w:rsid w:val="00617B33"/>
    <w:rsid w:val="00617DD6"/>
    <w:rsid w:val="0062029E"/>
    <w:rsid w:val="00620A08"/>
    <w:rsid w:val="00620FB4"/>
    <w:rsid w:val="0062100B"/>
    <w:rsid w:val="0062118C"/>
    <w:rsid w:val="00621B76"/>
    <w:rsid w:val="00622382"/>
    <w:rsid w:val="006230EF"/>
    <w:rsid w:val="00623130"/>
    <w:rsid w:val="0062386E"/>
    <w:rsid w:val="006257E1"/>
    <w:rsid w:val="00625C53"/>
    <w:rsid w:val="00625F58"/>
    <w:rsid w:val="006266FB"/>
    <w:rsid w:val="006267F3"/>
    <w:rsid w:val="00626BDD"/>
    <w:rsid w:val="00626C5F"/>
    <w:rsid w:val="00627250"/>
    <w:rsid w:val="00627F10"/>
    <w:rsid w:val="0063012B"/>
    <w:rsid w:val="006307D2"/>
    <w:rsid w:val="00631CC5"/>
    <w:rsid w:val="00632CB2"/>
    <w:rsid w:val="00632F63"/>
    <w:rsid w:val="00633E58"/>
    <w:rsid w:val="0063430F"/>
    <w:rsid w:val="00634361"/>
    <w:rsid w:val="006352C1"/>
    <w:rsid w:val="00635680"/>
    <w:rsid w:val="00636040"/>
    <w:rsid w:val="00636075"/>
    <w:rsid w:val="006363BA"/>
    <w:rsid w:val="006367B0"/>
    <w:rsid w:val="00636F2F"/>
    <w:rsid w:val="00637F84"/>
    <w:rsid w:val="006408D1"/>
    <w:rsid w:val="00640DF7"/>
    <w:rsid w:val="0064149F"/>
    <w:rsid w:val="00641D24"/>
    <w:rsid w:val="0064222B"/>
    <w:rsid w:val="0064258D"/>
    <w:rsid w:val="00642DE2"/>
    <w:rsid w:val="006430B6"/>
    <w:rsid w:val="0064312C"/>
    <w:rsid w:val="00644084"/>
    <w:rsid w:val="0064465A"/>
    <w:rsid w:val="00644753"/>
    <w:rsid w:val="0064633F"/>
    <w:rsid w:val="00646681"/>
    <w:rsid w:val="00646D73"/>
    <w:rsid w:val="00647416"/>
    <w:rsid w:val="00647EE0"/>
    <w:rsid w:val="006502A9"/>
    <w:rsid w:val="00650CAE"/>
    <w:rsid w:val="00651924"/>
    <w:rsid w:val="006519F0"/>
    <w:rsid w:val="0065250A"/>
    <w:rsid w:val="00652A1A"/>
    <w:rsid w:val="00652C37"/>
    <w:rsid w:val="0065301C"/>
    <w:rsid w:val="00653061"/>
    <w:rsid w:val="0065362B"/>
    <w:rsid w:val="00653ACD"/>
    <w:rsid w:val="00653B08"/>
    <w:rsid w:val="00655B25"/>
    <w:rsid w:val="0065724A"/>
    <w:rsid w:val="0065735C"/>
    <w:rsid w:val="006579AB"/>
    <w:rsid w:val="00657ACC"/>
    <w:rsid w:val="00660B31"/>
    <w:rsid w:val="006622ED"/>
    <w:rsid w:val="00662B33"/>
    <w:rsid w:val="00663848"/>
    <w:rsid w:val="00663A45"/>
    <w:rsid w:val="00663E20"/>
    <w:rsid w:val="00663E52"/>
    <w:rsid w:val="00664412"/>
    <w:rsid w:val="00664ED7"/>
    <w:rsid w:val="006650D6"/>
    <w:rsid w:val="006653E3"/>
    <w:rsid w:val="00665A01"/>
    <w:rsid w:val="0066630D"/>
    <w:rsid w:val="006666F3"/>
    <w:rsid w:val="00667F95"/>
    <w:rsid w:val="006701D0"/>
    <w:rsid w:val="00670395"/>
    <w:rsid w:val="00670C48"/>
    <w:rsid w:val="00670DDC"/>
    <w:rsid w:val="0067203E"/>
    <w:rsid w:val="006722F3"/>
    <w:rsid w:val="00672BDE"/>
    <w:rsid w:val="00673A6D"/>
    <w:rsid w:val="0067437C"/>
    <w:rsid w:val="006746FC"/>
    <w:rsid w:val="00674BE5"/>
    <w:rsid w:val="00674FC1"/>
    <w:rsid w:val="00675004"/>
    <w:rsid w:val="00675B56"/>
    <w:rsid w:val="00676CFF"/>
    <w:rsid w:val="0067714E"/>
    <w:rsid w:val="006779B9"/>
    <w:rsid w:val="00677E27"/>
    <w:rsid w:val="0068021F"/>
    <w:rsid w:val="00681209"/>
    <w:rsid w:val="006827F4"/>
    <w:rsid w:val="00683118"/>
    <w:rsid w:val="00684BC9"/>
    <w:rsid w:val="0068542E"/>
    <w:rsid w:val="00686624"/>
    <w:rsid w:val="0068715B"/>
    <w:rsid w:val="0068778E"/>
    <w:rsid w:val="00687B5C"/>
    <w:rsid w:val="0069304D"/>
    <w:rsid w:val="006937A9"/>
    <w:rsid w:val="00694362"/>
    <w:rsid w:val="00694975"/>
    <w:rsid w:val="00695AB9"/>
    <w:rsid w:val="00695FF3"/>
    <w:rsid w:val="00696C93"/>
    <w:rsid w:val="00696E69"/>
    <w:rsid w:val="00696F97"/>
    <w:rsid w:val="00697CA3"/>
    <w:rsid w:val="006A0138"/>
    <w:rsid w:val="006A01E0"/>
    <w:rsid w:val="006A03F8"/>
    <w:rsid w:val="006A0425"/>
    <w:rsid w:val="006A04BB"/>
    <w:rsid w:val="006A098F"/>
    <w:rsid w:val="006A1457"/>
    <w:rsid w:val="006A3CE8"/>
    <w:rsid w:val="006A423B"/>
    <w:rsid w:val="006A51DA"/>
    <w:rsid w:val="006A5A9B"/>
    <w:rsid w:val="006A7EAA"/>
    <w:rsid w:val="006B018B"/>
    <w:rsid w:val="006B0FC3"/>
    <w:rsid w:val="006B0FE2"/>
    <w:rsid w:val="006B181A"/>
    <w:rsid w:val="006B22E6"/>
    <w:rsid w:val="006B32C8"/>
    <w:rsid w:val="006B4590"/>
    <w:rsid w:val="006B45FA"/>
    <w:rsid w:val="006B507A"/>
    <w:rsid w:val="006B532A"/>
    <w:rsid w:val="006B5B9E"/>
    <w:rsid w:val="006B705E"/>
    <w:rsid w:val="006C056A"/>
    <w:rsid w:val="006C0C2F"/>
    <w:rsid w:val="006C1041"/>
    <w:rsid w:val="006C1899"/>
    <w:rsid w:val="006C1CE1"/>
    <w:rsid w:val="006C1D0C"/>
    <w:rsid w:val="006C1EF4"/>
    <w:rsid w:val="006C28EB"/>
    <w:rsid w:val="006C2ABE"/>
    <w:rsid w:val="006C2E5A"/>
    <w:rsid w:val="006C4541"/>
    <w:rsid w:val="006C45AB"/>
    <w:rsid w:val="006C57CF"/>
    <w:rsid w:val="006C5DAC"/>
    <w:rsid w:val="006C5DC2"/>
    <w:rsid w:val="006C6016"/>
    <w:rsid w:val="006C67A8"/>
    <w:rsid w:val="006C6B2D"/>
    <w:rsid w:val="006C7ED9"/>
    <w:rsid w:val="006D0932"/>
    <w:rsid w:val="006D09E3"/>
    <w:rsid w:val="006D102D"/>
    <w:rsid w:val="006D1690"/>
    <w:rsid w:val="006D2107"/>
    <w:rsid w:val="006D21C8"/>
    <w:rsid w:val="006D2693"/>
    <w:rsid w:val="006D2E69"/>
    <w:rsid w:val="006D39DF"/>
    <w:rsid w:val="006D46DD"/>
    <w:rsid w:val="006D4830"/>
    <w:rsid w:val="006D50D1"/>
    <w:rsid w:val="006D51B1"/>
    <w:rsid w:val="006D5227"/>
    <w:rsid w:val="006D603B"/>
    <w:rsid w:val="006D6441"/>
    <w:rsid w:val="006D6543"/>
    <w:rsid w:val="006D686E"/>
    <w:rsid w:val="006D766C"/>
    <w:rsid w:val="006E07CE"/>
    <w:rsid w:val="006E0968"/>
    <w:rsid w:val="006E327D"/>
    <w:rsid w:val="006E3293"/>
    <w:rsid w:val="006E32FF"/>
    <w:rsid w:val="006E344F"/>
    <w:rsid w:val="006E4801"/>
    <w:rsid w:val="006E4A75"/>
    <w:rsid w:val="006E572F"/>
    <w:rsid w:val="006E5BFE"/>
    <w:rsid w:val="006E6186"/>
    <w:rsid w:val="006F01CE"/>
    <w:rsid w:val="006F049A"/>
    <w:rsid w:val="006F0515"/>
    <w:rsid w:val="006F05C3"/>
    <w:rsid w:val="006F0B47"/>
    <w:rsid w:val="006F1A5C"/>
    <w:rsid w:val="006F2EB0"/>
    <w:rsid w:val="006F34B5"/>
    <w:rsid w:val="006F365B"/>
    <w:rsid w:val="006F3C35"/>
    <w:rsid w:val="006F42B7"/>
    <w:rsid w:val="006F48F0"/>
    <w:rsid w:val="006F4AD5"/>
    <w:rsid w:val="006F4D99"/>
    <w:rsid w:val="006F550A"/>
    <w:rsid w:val="006F59CE"/>
    <w:rsid w:val="006F5B68"/>
    <w:rsid w:val="006F5F87"/>
    <w:rsid w:val="006F5FEC"/>
    <w:rsid w:val="006F65B7"/>
    <w:rsid w:val="006F679A"/>
    <w:rsid w:val="006F6DCA"/>
    <w:rsid w:val="006F777E"/>
    <w:rsid w:val="006F7EF0"/>
    <w:rsid w:val="00700713"/>
    <w:rsid w:val="00700FAA"/>
    <w:rsid w:val="00701130"/>
    <w:rsid w:val="007013FE"/>
    <w:rsid w:val="007023C4"/>
    <w:rsid w:val="0070241C"/>
    <w:rsid w:val="00702E27"/>
    <w:rsid w:val="00702FBD"/>
    <w:rsid w:val="00703A0C"/>
    <w:rsid w:val="00704792"/>
    <w:rsid w:val="00706053"/>
    <w:rsid w:val="00706269"/>
    <w:rsid w:val="007065AC"/>
    <w:rsid w:val="00706A2F"/>
    <w:rsid w:val="00706C47"/>
    <w:rsid w:val="00710171"/>
    <w:rsid w:val="00711666"/>
    <w:rsid w:val="00711A23"/>
    <w:rsid w:val="007122AC"/>
    <w:rsid w:val="00712CE6"/>
    <w:rsid w:val="00712EB4"/>
    <w:rsid w:val="00713120"/>
    <w:rsid w:val="00713C08"/>
    <w:rsid w:val="0071426E"/>
    <w:rsid w:val="00716112"/>
    <w:rsid w:val="0071650C"/>
    <w:rsid w:val="007204A4"/>
    <w:rsid w:val="00720BB1"/>
    <w:rsid w:val="0072113E"/>
    <w:rsid w:val="00721157"/>
    <w:rsid w:val="00721FE0"/>
    <w:rsid w:val="007231C7"/>
    <w:rsid w:val="00723691"/>
    <w:rsid w:val="007236D0"/>
    <w:rsid w:val="007241D6"/>
    <w:rsid w:val="0072433D"/>
    <w:rsid w:val="00724DAC"/>
    <w:rsid w:val="0072547D"/>
    <w:rsid w:val="007257B2"/>
    <w:rsid w:val="007258D6"/>
    <w:rsid w:val="00727395"/>
    <w:rsid w:val="00727717"/>
    <w:rsid w:val="0073055D"/>
    <w:rsid w:val="007308B4"/>
    <w:rsid w:val="007309C1"/>
    <w:rsid w:val="00730C1E"/>
    <w:rsid w:val="007318B8"/>
    <w:rsid w:val="00732F75"/>
    <w:rsid w:val="007337FE"/>
    <w:rsid w:val="0073444A"/>
    <w:rsid w:val="0073444E"/>
    <w:rsid w:val="007350FE"/>
    <w:rsid w:val="00735958"/>
    <w:rsid w:val="00735FD9"/>
    <w:rsid w:val="0073614A"/>
    <w:rsid w:val="00736321"/>
    <w:rsid w:val="0073664C"/>
    <w:rsid w:val="00736975"/>
    <w:rsid w:val="00737797"/>
    <w:rsid w:val="00740823"/>
    <w:rsid w:val="00740B6F"/>
    <w:rsid w:val="00740E5D"/>
    <w:rsid w:val="007412A8"/>
    <w:rsid w:val="00741613"/>
    <w:rsid w:val="00743186"/>
    <w:rsid w:val="00743284"/>
    <w:rsid w:val="007439C5"/>
    <w:rsid w:val="00743E85"/>
    <w:rsid w:val="007444D3"/>
    <w:rsid w:val="007449C3"/>
    <w:rsid w:val="00744F27"/>
    <w:rsid w:val="0074566D"/>
    <w:rsid w:val="00745B2F"/>
    <w:rsid w:val="0074603D"/>
    <w:rsid w:val="007474DC"/>
    <w:rsid w:val="007478BB"/>
    <w:rsid w:val="007503DD"/>
    <w:rsid w:val="007510CC"/>
    <w:rsid w:val="00752022"/>
    <w:rsid w:val="007520DD"/>
    <w:rsid w:val="007520EF"/>
    <w:rsid w:val="007522C0"/>
    <w:rsid w:val="007532EA"/>
    <w:rsid w:val="007547A2"/>
    <w:rsid w:val="00754959"/>
    <w:rsid w:val="00755328"/>
    <w:rsid w:val="00755735"/>
    <w:rsid w:val="00756E31"/>
    <w:rsid w:val="007571D0"/>
    <w:rsid w:val="00757DBD"/>
    <w:rsid w:val="007604E5"/>
    <w:rsid w:val="00761FA1"/>
    <w:rsid w:val="007643A1"/>
    <w:rsid w:val="00764B81"/>
    <w:rsid w:val="00765252"/>
    <w:rsid w:val="00767CF3"/>
    <w:rsid w:val="007704E6"/>
    <w:rsid w:val="00771786"/>
    <w:rsid w:val="00771EE3"/>
    <w:rsid w:val="007721F2"/>
    <w:rsid w:val="007723EF"/>
    <w:rsid w:val="0077305E"/>
    <w:rsid w:val="0077355D"/>
    <w:rsid w:val="007759A3"/>
    <w:rsid w:val="00776773"/>
    <w:rsid w:val="00776A34"/>
    <w:rsid w:val="007802A0"/>
    <w:rsid w:val="007806B1"/>
    <w:rsid w:val="0078074B"/>
    <w:rsid w:val="00780B2D"/>
    <w:rsid w:val="00780BBC"/>
    <w:rsid w:val="007813EB"/>
    <w:rsid w:val="007826BC"/>
    <w:rsid w:val="007827D6"/>
    <w:rsid w:val="00782BC4"/>
    <w:rsid w:val="007832A3"/>
    <w:rsid w:val="007832AE"/>
    <w:rsid w:val="00783C8B"/>
    <w:rsid w:val="007845C3"/>
    <w:rsid w:val="0078492D"/>
    <w:rsid w:val="00785423"/>
    <w:rsid w:val="00786DAA"/>
    <w:rsid w:val="00786E37"/>
    <w:rsid w:val="0078707D"/>
    <w:rsid w:val="0078723F"/>
    <w:rsid w:val="00787848"/>
    <w:rsid w:val="00790628"/>
    <w:rsid w:val="00790C08"/>
    <w:rsid w:val="0079123A"/>
    <w:rsid w:val="007924D8"/>
    <w:rsid w:val="007934AA"/>
    <w:rsid w:val="0079365D"/>
    <w:rsid w:val="00794337"/>
    <w:rsid w:val="007947F7"/>
    <w:rsid w:val="00794C9B"/>
    <w:rsid w:val="00794D61"/>
    <w:rsid w:val="00794EAF"/>
    <w:rsid w:val="007956FA"/>
    <w:rsid w:val="00796042"/>
    <w:rsid w:val="00796172"/>
    <w:rsid w:val="0079635D"/>
    <w:rsid w:val="0079668D"/>
    <w:rsid w:val="00796733"/>
    <w:rsid w:val="00796D64"/>
    <w:rsid w:val="007972EF"/>
    <w:rsid w:val="00797483"/>
    <w:rsid w:val="00797B1F"/>
    <w:rsid w:val="007A074A"/>
    <w:rsid w:val="007A0E07"/>
    <w:rsid w:val="007A1B23"/>
    <w:rsid w:val="007A1FED"/>
    <w:rsid w:val="007A2330"/>
    <w:rsid w:val="007A274F"/>
    <w:rsid w:val="007A27BD"/>
    <w:rsid w:val="007A2853"/>
    <w:rsid w:val="007A2930"/>
    <w:rsid w:val="007A2E78"/>
    <w:rsid w:val="007A3A27"/>
    <w:rsid w:val="007A3B68"/>
    <w:rsid w:val="007A3D45"/>
    <w:rsid w:val="007A44DE"/>
    <w:rsid w:val="007A4D48"/>
    <w:rsid w:val="007A53A1"/>
    <w:rsid w:val="007A5B13"/>
    <w:rsid w:val="007A5CDB"/>
    <w:rsid w:val="007A7DC0"/>
    <w:rsid w:val="007B05F9"/>
    <w:rsid w:val="007B0CFC"/>
    <w:rsid w:val="007B1E9D"/>
    <w:rsid w:val="007B2D1A"/>
    <w:rsid w:val="007B41AD"/>
    <w:rsid w:val="007B4836"/>
    <w:rsid w:val="007B792A"/>
    <w:rsid w:val="007B7B34"/>
    <w:rsid w:val="007C014F"/>
    <w:rsid w:val="007C02BB"/>
    <w:rsid w:val="007C1051"/>
    <w:rsid w:val="007C1564"/>
    <w:rsid w:val="007C251D"/>
    <w:rsid w:val="007C3215"/>
    <w:rsid w:val="007C3603"/>
    <w:rsid w:val="007C3D6F"/>
    <w:rsid w:val="007C4093"/>
    <w:rsid w:val="007C50D5"/>
    <w:rsid w:val="007C538D"/>
    <w:rsid w:val="007C631D"/>
    <w:rsid w:val="007C670A"/>
    <w:rsid w:val="007C68EA"/>
    <w:rsid w:val="007C6BF2"/>
    <w:rsid w:val="007C709A"/>
    <w:rsid w:val="007C7A5E"/>
    <w:rsid w:val="007C7C78"/>
    <w:rsid w:val="007D03E5"/>
    <w:rsid w:val="007D056D"/>
    <w:rsid w:val="007D0B01"/>
    <w:rsid w:val="007D13A3"/>
    <w:rsid w:val="007D1904"/>
    <w:rsid w:val="007D1C13"/>
    <w:rsid w:val="007D1FB1"/>
    <w:rsid w:val="007D1FB9"/>
    <w:rsid w:val="007D5499"/>
    <w:rsid w:val="007D607C"/>
    <w:rsid w:val="007D6494"/>
    <w:rsid w:val="007D6533"/>
    <w:rsid w:val="007D722B"/>
    <w:rsid w:val="007D78F4"/>
    <w:rsid w:val="007D7BAE"/>
    <w:rsid w:val="007E179D"/>
    <w:rsid w:val="007E20BF"/>
    <w:rsid w:val="007E2441"/>
    <w:rsid w:val="007E312B"/>
    <w:rsid w:val="007E40E3"/>
    <w:rsid w:val="007E464F"/>
    <w:rsid w:val="007E4E58"/>
    <w:rsid w:val="007E5C33"/>
    <w:rsid w:val="007E5DDA"/>
    <w:rsid w:val="007E7338"/>
    <w:rsid w:val="007E74B0"/>
    <w:rsid w:val="007E757C"/>
    <w:rsid w:val="007E7B0A"/>
    <w:rsid w:val="007E7CFD"/>
    <w:rsid w:val="007F02C5"/>
    <w:rsid w:val="007F0801"/>
    <w:rsid w:val="007F097A"/>
    <w:rsid w:val="007F0D6D"/>
    <w:rsid w:val="007F103D"/>
    <w:rsid w:val="007F10CB"/>
    <w:rsid w:val="007F120B"/>
    <w:rsid w:val="007F14AD"/>
    <w:rsid w:val="007F18D2"/>
    <w:rsid w:val="007F1E23"/>
    <w:rsid w:val="007F2527"/>
    <w:rsid w:val="007F27DB"/>
    <w:rsid w:val="007F299A"/>
    <w:rsid w:val="007F3203"/>
    <w:rsid w:val="007F33C3"/>
    <w:rsid w:val="007F42E2"/>
    <w:rsid w:val="007F4398"/>
    <w:rsid w:val="007F485F"/>
    <w:rsid w:val="007F4944"/>
    <w:rsid w:val="007F49D6"/>
    <w:rsid w:val="007F4C82"/>
    <w:rsid w:val="007F4CA3"/>
    <w:rsid w:val="007F5F56"/>
    <w:rsid w:val="007F632D"/>
    <w:rsid w:val="007F659A"/>
    <w:rsid w:val="007F6D0D"/>
    <w:rsid w:val="007F777C"/>
    <w:rsid w:val="007F77B4"/>
    <w:rsid w:val="007F7C50"/>
    <w:rsid w:val="007F7F07"/>
    <w:rsid w:val="008005FE"/>
    <w:rsid w:val="00800997"/>
    <w:rsid w:val="00800B8D"/>
    <w:rsid w:val="00800F4A"/>
    <w:rsid w:val="008015F2"/>
    <w:rsid w:val="008018B9"/>
    <w:rsid w:val="00802742"/>
    <w:rsid w:val="00802B02"/>
    <w:rsid w:val="008037C0"/>
    <w:rsid w:val="00803CD7"/>
    <w:rsid w:val="00804AE7"/>
    <w:rsid w:val="00805B04"/>
    <w:rsid w:val="00805B1E"/>
    <w:rsid w:val="00805BD2"/>
    <w:rsid w:val="008066E2"/>
    <w:rsid w:val="0080760E"/>
    <w:rsid w:val="00807CE4"/>
    <w:rsid w:val="008108E6"/>
    <w:rsid w:val="00810D0B"/>
    <w:rsid w:val="00811691"/>
    <w:rsid w:val="0081290E"/>
    <w:rsid w:val="00813557"/>
    <w:rsid w:val="00813751"/>
    <w:rsid w:val="00813B73"/>
    <w:rsid w:val="00814593"/>
    <w:rsid w:val="008154C7"/>
    <w:rsid w:val="00816A34"/>
    <w:rsid w:val="008176A5"/>
    <w:rsid w:val="008179DA"/>
    <w:rsid w:val="0082062B"/>
    <w:rsid w:val="00820E64"/>
    <w:rsid w:val="00821473"/>
    <w:rsid w:val="00821D7B"/>
    <w:rsid w:val="008231A5"/>
    <w:rsid w:val="00824F7D"/>
    <w:rsid w:val="0082654E"/>
    <w:rsid w:val="00827150"/>
    <w:rsid w:val="00827BAE"/>
    <w:rsid w:val="00827E1C"/>
    <w:rsid w:val="0083018E"/>
    <w:rsid w:val="008305ED"/>
    <w:rsid w:val="00831D82"/>
    <w:rsid w:val="008327AF"/>
    <w:rsid w:val="008332A1"/>
    <w:rsid w:val="008343AB"/>
    <w:rsid w:val="00834422"/>
    <w:rsid w:val="00835077"/>
    <w:rsid w:val="0083572B"/>
    <w:rsid w:val="00835884"/>
    <w:rsid w:val="00836056"/>
    <w:rsid w:val="008361BD"/>
    <w:rsid w:val="00836AB3"/>
    <w:rsid w:val="00836CBE"/>
    <w:rsid w:val="008377AB"/>
    <w:rsid w:val="00837C13"/>
    <w:rsid w:val="00837D77"/>
    <w:rsid w:val="008417A1"/>
    <w:rsid w:val="00842C66"/>
    <w:rsid w:val="00844FDF"/>
    <w:rsid w:val="0084527E"/>
    <w:rsid w:val="0084664C"/>
    <w:rsid w:val="008469A7"/>
    <w:rsid w:val="0084752F"/>
    <w:rsid w:val="008477DE"/>
    <w:rsid w:val="00847CE2"/>
    <w:rsid w:val="00850902"/>
    <w:rsid w:val="0085151E"/>
    <w:rsid w:val="00851E37"/>
    <w:rsid w:val="00852390"/>
    <w:rsid w:val="00852456"/>
    <w:rsid w:val="008528D0"/>
    <w:rsid w:val="008529BD"/>
    <w:rsid w:val="00852C17"/>
    <w:rsid w:val="00852DBB"/>
    <w:rsid w:val="00852E45"/>
    <w:rsid w:val="00854171"/>
    <w:rsid w:val="00854398"/>
    <w:rsid w:val="0085439D"/>
    <w:rsid w:val="008543E4"/>
    <w:rsid w:val="0085455B"/>
    <w:rsid w:val="00854646"/>
    <w:rsid w:val="0085699A"/>
    <w:rsid w:val="00857006"/>
    <w:rsid w:val="008602B4"/>
    <w:rsid w:val="008605B6"/>
    <w:rsid w:val="00860696"/>
    <w:rsid w:val="0086189A"/>
    <w:rsid w:val="00861B8C"/>
    <w:rsid w:val="008629E6"/>
    <w:rsid w:val="00862EC8"/>
    <w:rsid w:val="00863B4D"/>
    <w:rsid w:val="00863D05"/>
    <w:rsid w:val="00864041"/>
    <w:rsid w:val="008644ED"/>
    <w:rsid w:val="00865706"/>
    <w:rsid w:val="00865BBE"/>
    <w:rsid w:val="00866157"/>
    <w:rsid w:val="00866B35"/>
    <w:rsid w:val="00867609"/>
    <w:rsid w:val="00867D12"/>
    <w:rsid w:val="00870318"/>
    <w:rsid w:val="00870DF2"/>
    <w:rsid w:val="00871BE4"/>
    <w:rsid w:val="0087222B"/>
    <w:rsid w:val="0087311E"/>
    <w:rsid w:val="00873160"/>
    <w:rsid w:val="00873338"/>
    <w:rsid w:val="008741DF"/>
    <w:rsid w:val="00875095"/>
    <w:rsid w:val="008756FF"/>
    <w:rsid w:val="00875838"/>
    <w:rsid w:val="00877F0B"/>
    <w:rsid w:val="008802C0"/>
    <w:rsid w:val="008804C4"/>
    <w:rsid w:val="0088093E"/>
    <w:rsid w:val="00880C68"/>
    <w:rsid w:val="00880F11"/>
    <w:rsid w:val="008811CF"/>
    <w:rsid w:val="0088183E"/>
    <w:rsid w:val="00881976"/>
    <w:rsid w:val="00883B32"/>
    <w:rsid w:val="0088484E"/>
    <w:rsid w:val="00885D63"/>
    <w:rsid w:val="00885EC1"/>
    <w:rsid w:val="0088683E"/>
    <w:rsid w:val="00887337"/>
    <w:rsid w:val="008879C4"/>
    <w:rsid w:val="00887A2A"/>
    <w:rsid w:val="008916D6"/>
    <w:rsid w:val="00893483"/>
    <w:rsid w:val="0089364A"/>
    <w:rsid w:val="00893A2D"/>
    <w:rsid w:val="00893E69"/>
    <w:rsid w:val="00894572"/>
    <w:rsid w:val="00894D25"/>
    <w:rsid w:val="00894F3D"/>
    <w:rsid w:val="0089540A"/>
    <w:rsid w:val="00896124"/>
    <w:rsid w:val="00897262"/>
    <w:rsid w:val="0089737D"/>
    <w:rsid w:val="0089762E"/>
    <w:rsid w:val="0089796E"/>
    <w:rsid w:val="008A0977"/>
    <w:rsid w:val="008A09D6"/>
    <w:rsid w:val="008A0AE9"/>
    <w:rsid w:val="008A19CB"/>
    <w:rsid w:val="008A1A9A"/>
    <w:rsid w:val="008A22A4"/>
    <w:rsid w:val="008A2816"/>
    <w:rsid w:val="008A2923"/>
    <w:rsid w:val="008A2C0F"/>
    <w:rsid w:val="008A44AE"/>
    <w:rsid w:val="008A57D2"/>
    <w:rsid w:val="008A5AC7"/>
    <w:rsid w:val="008A5FE2"/>
    <w:rsid w:val="008A60D4"/>
    <w:rsid w:val="008A62A1"/>
    <w:rsid w:val="008A6D03"/>
    <w:rsid w:val="008A7BCE"/>
    <w:rsid w:val="008B013E"/>
    <w:rsid w:val="008B12D5"/>
    <w:rsid w:val="008B1D55"/>
    <w:rsid w:val="008B2BB1"/>
    <w:rsid w:val="008B2DAA"/>
    <w:rsid w:val="008B302F"/>
    <w:rsid w:val="008B37F3"/>
    <w:rsid w:val="008B407D"/>
    <w:rsid w:val="008B47C2"/>
    <w:rsid w:val="008B4B15"/>
    <w:rsid w:val="008B4D37"/>
    <w:rsid w:val="008B4DB3"/>
    <w:rsid w:val="008B5024"/>
    <w:rsid w:val="008B5509"/>
    <w:rsid w:val="008B56B0"/>
    <w:rsid w:val="008B6D0E"/>
    <w:rsid w:val="008B6FEE"/>
    <w:rsid w:val="008B7139"/>
    <w:rsid w:val="008B7324"/>
    <w:rsid w:val="008B759F"/>
    <w:rsid w:val="008B7CE2"/>
    <w:rsid w:val="008C0546"/>
    <w:rsid w:val="008C057A"/>
    <w:rsid w:val="008C0D65"/>
    <w:rsid w:val="008C1B34"/>
    <w:rsid w:val="008C2782"/>
    <w:rsid w:val="008C2BF9"/>
    <w:rsid w:val="008C32D6"/>
    <w:rsid w:val="008C39AB"/>
    <w:rsid w:val="008C4A22"/>
    <w:rsid w:val="008C4A93"/>
    <w:rsid w:val="008C4D23"/>
    <w:rsid w:val="008C4F4A"/>
    <w:rsid w:val="008C535F"/>
    <w:rsid w:val="008C566C"/>
    <w:rsid w:val="008C6AB6"/>
    <w:rsid w:val="008C6DC4"/>
    <w:rsid w:val="008C73F3"/>
    <w:rsid w:val="008C7479"/>
    <w:rsid w:val="008C781B"/>
    <w:rsid w:val="008C7872"/>
    <w:rsid w:val="008D02FE"/>
    <w:rsid w:val="008D0690"/>
    <w:rsid w:val="008D0916"/>
    <w:rsid w:val="008D0C4B"/>
    <w:rsid w:val="008D25E0"/>
    <w:rsid w:val="008D27DE"/>
    <w:rsid w:val="008D299F"/>
    <w:rsid w:val="008D3546"/>
    <w:rsid w:val="008D3A9D"/>
    <w:rsid w:val="008D3B09"/>
    <w:rsid w:val="008D4121"/>
    <w:rsid w:val="008D5653"/>
    <w:rsid w:val="008D6E0E"/>
    <w:rsid w:val="008D6E40"/>
    <w:rsid w:val="008D773F"/>
    <w:rsid w:val="008E00D2"/>
    <w:rsid w:val="008E03EF"/>
    <w:rsid w:val="008E0F46"/>
    <w:rsid w:val="008E1912"/>
    <w:rsid w:val="008E19BA"/>
    <w:rsid w:val="008E3313"/>
    <w:rsid w:val="008E3766"/>
    <w:rsid w:val="008E3893"/>
    <w:rsid w:val="008E3EF7"/>
    <w:rsid w:val="008E42C9"/>
    <w:rsid w:val="008E45CB"/>
    <w:rsid w:val="008E6AF5"/>
    <w:rsid w:val="008E6DEE"/>
    <w:rsid w:val="008E75E1"/>
    <w:rsid w:val="008E77AC"/>
    <w:rsid w:val="008E7D82"/>
    <w:rsid w:val="008F004C"/>
    <w:rsid w:val="008F1E42"/>
    <w:rsid w:val="008F1F2F"/>
    <w:rsid w:val="008F20D7"/>
    <w:rsid w:val="008F384F"/>
    <w:rsid w:val="008F4604"/>
    <w:rsid w:val="008F5EA2"/>
    <w:rsid w:val="008F5FA6"/>
    <w:rsid w:val="008F5FE7"/>
    <w:rsid w:val="008F692E"/>
    <w:rsid w:val="008F7EC2"/>
    <w:rsid w:val="00900B71"/>
    <w:rsid w:val="00900E95"/>
    <w:rsid w:val="0090166F"/>
    <w:rsid w:val="0090167F"/>
    <w:rsid w:val="00901EBB"/>
    <w:rsid w:val="009026BB"/>
    <w:rsid w:val="00902C5E"/>
    <w:rsid w:val="00903027"/>
    <w:rsid w:val="00903418"/>
    <w:rsid w:val="0090418B"/>
    <w:rsid w:val="00904238"/>
    <w:rsid w:val="00904B6B"/>
    <w:rsid w:val="00904E5F"/>
    <w:rsid w:val="00905787"/>
    <w:rsid w:val="00905EEB"/>
    <w:rsid w:val="009075E8"/>
    <w:rsid w:val="0090781F"/>
    <w:rsid w:val="009104C4"/>
    <w:rsid w:val="00910B53"/>
    <w:rsid w:val="00910C71"/>
    <w:rsid w:val="00911663"/>
    <w:rsid w:val="00911784"/>
    <w:rsid w:val="0091180B"/>
    <w:rsid w:val="0091199C"/>
    <w:rsid w:val="00911D70"/>
    <w:rsid w:val="009121E7"/>
    <w:rsid w:val="00912C62"/>
    <w:rsid w:val="0091362E"/>
    <w:rsid w:val="00913A66"/>
    <w:rsid w:val="009141CB"/>
    <w:rsid w:val="00914978"/>
    <w:rsid w:val="00914B54"/>
    <w:rsid w:val="00914FE9"/>
    <w:rsid w:val="00914FFB"/>
    <w:rsid w:val="00915627"/>
    <w:rsid w:val="00915759"/>
    <w:rsid w:val="0091582B"/>
    <w:rsid w:val="009163A0"/>
    <w:rsid w:val="00916544"/>
    <w:rsid w:val="009167E8"/>
    <w:rsid w:val="009168EB"/>
    <w:rsid w:val="00920744"/>
    <w:rsid w:val="00920970"/>
    <w:rsid w:val="009217C5"/>
    <w:rsid w:val="00921D3C"/>
    <w:rsid w:val="00921E08"/>
    <w:rsid w:val="0092207B"/>
    <w:rsid w:val="009222DB"/>
    <w:rsid w:val="00922397"/>
    <w:rsid w:val="00922B91"/>
    <w:rsid w:val="00922C8C"/>
    <w:rsid w:val="00923269"/>
    <w:rsid w:val="00924742"/>
    <w:rsid w:val="00925194"/>
    <w:rsid w:val="00925B2A"/>
    <w:rsid w:val="00925E4E"/>
    <w:rsid w:val="009268AB"/>
    <w:rsid w:val="00927A6A"/>
    <w:rsid w:val="00927E5A"/>
    <w:rsid w:val="0093050C"/>
    <w:rsid w:val="00930DED"/>
    <w:rsid w:val="00930F7D"/>
    <w:rsid w:val="00931600"/>
    <w:rsid w:val="009316CB"/>
    <w:rsid w:val="00931959"/>
    <w:rsid w:val="00931ACC"/>
    <w:rsid w:val="0093343B"/>
    <w:rsid w:val="00933C56"/>
    <w:rsid w:val="0093432E"/>
    <w:rsid w:val="00935370"/>
    <w:rsid w:val="0093550D"/>
    <w:rsid w:val="009356D6"/>
    <w:rsid w:val="009358C5"/>
    <w:rsid w:val="00935A88"/>
    <w:rsid w:val="00936065"/>
    <w:rsid w:val="00936683"/>
    <w:rsid w:val="009376C4"/>
    <w:rsid w:val="0094006D"/>
    <w:rsid w:val="0094472D"/>
    <w:rsid w:val="00944803"/>
    <w:rsid w:val="00944F0A"/>
    <w:rsid w:val="009479A7"/>
    <w:rsid w:val="00947EF0"/>
    <w:rsid w:val="009503F3"/>
    <w:rsid w:val="00950AA3"/>
    <w:rsid w:val="00950D29"/>
    <w:rsid w:val="009512DE"/>
    <w:rsid w:val="00951809"/>
    <w:rsid w:val="00951883"/>
    <w:rsid w:val="00951AC9"/>
    <w:rsid w:val="00951C7D"/>
    <w:rsid w:val="009537FD"/>
    <w:rsid w:val="009539DB"/>
    <w:rsid w:val="00953EEC"/>
    <w:rsid w:val="009543BE"/>
    <w:rsid w:val="00954B56"/>
    <w:rsid w:val="00955072"/>
    <w:rsid w:val="00955889"/>
    <w:rsid w:val="00955A32"/>
    <w:rsid w:val="009561AD"/>
    <w:rsid w:val="00956926"/>
    <w:rsid w:val="00956F1C"/>
    <w:rsid w:val="00956FB6"/>
    <w:rsid w:val="00957400"/>
    <w:rsid w:val="00960879"/>
    <w:rsid w:val="00960E1C"/>
    <w:rsid w:val="0096144D"/>
    <w:rsid w:val="009614B5"/>
    <w:rsid w:val="00961587"/>
    <w:rsid w:val="009620F6"/>
    <w:rsid w:val="009623EB"/>
    <w:rsid w:val="00962AB5"/>
    <w:rsid w:val="00962CD8"/>
    <w:rsid w:val="00963601"/>
    <w:rsid w:val="009638CE"/>
    <w:rsid w:val="00963E9F"/>
    <w:rsid w:val="009644CD"/>
    <w:rsid w:val="009661BE"/>
    <w:rsid w:val="00966275"/>
    <w:rsid w:val="00970A01"/>
    <w:rsid w:val="0097207D"/>
    <w:rsid w:val="00972755"/>
    <w:rsid w:val="00973C51"/>
    <w:rsid w:val="00973CC9"/>
    <w:rsid w:val="00974448"/>
    <w:rsid w:val="0097455F"/>
    <w:rsid w:val="009750C7"/>
    <w:rsid w:val="009751AD"/>
    <w:rsid w:val="009765A8"/>
    <w:rsid w:val="00976A53"/>
    <w:rsid w:val="00976B06"/>
    <w:rsid w:val="00976FC2"/>
    <w:rsid w:val="0097702C"/>
    <w:rsid w:val="009770FE"/>
    <w:rsid w:val="009776F9"/>
    <w:rsid w:val="00977DB4"/>
    <w:rsid w:val="00977DED"/>
    <w:rsid w:val="00980B3F"/>
    <w:rsid w:val="00980EE7"/>
    <w:rsid w:val="009814C1"/>
    <w:rsid w:val="00981A18"/>
    <w:rsid w:val="00981C07"/>
    <w:rsid w:val="00982181"/>
    <w:rsid w:val="0098281B"/>
    <w:rsid w:val="00982CAB"/>
    <w:rsid w:val="00982D0B"/>
    <w:rsid w:val="00983B18"/>
    <w:rsid w:val="00983FA0"/>
    <w:rsid w:val="009846D2"/>
    <w:rsid w:val="00984B61"/>
    <w:rsid w:val="00984E92"/>
    <w:rsid w:val="009851E1"/>
    <w:rsid w:val="00985B85"/>
    <w:rsid w:val="00985CB7"/>
    <w:rsid w:val="00986BF4"/>
    <w:rsid w:val="009871E0"/>
    <w:rsid w:val="009871F1"/>
    <w:rsid w:val="00987C1F"/>
    <w:rsid w:val="009910DB"/>
    <w:rsid w:val="00991389"/>
    <w:rsid w:val="00993027"/>
    <w:rsid w:val="00993C79"/>
    <w:rsid w:val="0099476B"/>
    <w:rsid w:val="009949D1"/>
    <w:rsid w:val="0099530C"/>
    <w:rsid w:val="0099676F"/>
    <w:rsid w:val="00996A30"/>
    <w:rsid w:val="0099721C"/>
    <w:rsid w:val="00997338"/>
    <w:rsid w:val="00997579"/>
    <w:rsid w:val="0099773B"/>
    <w:rsid w:val="009A05FD"/>
    <w:rsid w:val="009A0C1F"/>
    <w:rsid w:val="009A142E"/>
    <w:rsid w:val="009A26D3"/>
    <w:rsid w:val="009A3275"/>
    <w:rsid w:val="009A3850"/>
    <w:rsid w:val="009A390B"/>
    <w:rsid w:val="009A3971"/>
    <w:rsid w:val="009A4350"/>
    <w:rsid w:val="009A68FA"/>
    <w:rsid w:val="009A6DFC"/>
    <w:rsid w:val="009A7355"/>
    <w:rsid w:val="009A73D5"/>
    <w:rsid w:val="009A7F1A"/>
    <w:rsid w:val="009B02A3"/>
    <w:rsid w:val="009B09DF"/>
    <w:rsid w:val="009B0C00"/>
    <w:rsid w:val="009B0DCB"/>
    <w:rsid w:val="009B1ED2"/>
    <w:rsid w:val="009B1FB8"/>
    <w:rsid w:val="009B2060"/>
    <w:rsid w:val="009B34E5"/>
    <w:rsid w:val="009B3F97"/>
    <w:rsid w:val="009B5018"/>
    <w:rsid w:val="009B5834"/>
    <w:rsid w:val="009B5A45"/>
    <w:rsid w:val="009B71DD"/>
    <w:rsid w:val="009B7874"/>
    <w:rsid w:val="009B7888"/>
    <w:rsid w:val="009C0249"/>
    <w:rsid w:val="009C0651"/>
    <w:rsid w:val="009C0C9C"/>
    <w:rsid w:val="009C103B"/>
    <w:rsid w:val="009C12C6"/>
    <w:rsid w:val="009C1644"/>
    <w:rsid w:val="009C17C2"/>
    <w:rsid w:val="009C1837"/>
    <w:rsid w:val="009C1A14"/>
    <w:rsid w:val="009C1ECB"/>
    <w:rsid w:val="009C294F"/>
    <w:rsid w:val="009C29E4"/>
    <w:rsid w:val="009C2D8E"/>
    <w:rsid w:val="009C357D"/>
    <w:rsid w:val="009C3679"/>
    <w:rsid w:val="009C421E"/>
    <w:rsid w:val="009C447D"/>
    <w:rsid w:val="009C47DE"/>
    <w:rsid w:val="009C4BE7"/>
    <w:rsid w:val="009C4EDA"/>
    <w:rsid w:val="009C5E3C"/>
    <w:rsid w:val="009C61F9"/>
    <w:rsid w:val="009C63EA"/>
    <w:rsid w:val="009C63EB"/>
    <w:rsid w:val="009C75A6"/>
    <w:rsid w:val="009C7A3D"/>
    <w:rsid w:val="009D0835"/>
    <w:rsid w:val="009D0DC9"/>
    <w:rsid w:val="009D196A"/>
    <w:rsid w:val="009D1D6B"/>
    <w:rsid w:val="009D1FC4"/>
    <w:rsid w:val="009D21D1"/>
    <w:rsid w:val="009D22CA"/>
    <w:rsid w:val="009D29BA"/>
    <w:rsid w:val="009D33F6"/>
    <w:rsid w:val="009D3E8A"/>
    <w:rsid w:val="009D4823"/>
    <w:rsid w:val="009D49D4"/>
    <w:rsid w:val="009D5386"/>
    <w:rsid w:val="009D598D"/>
    <w:rsid w:val="009D6E35"/>
    <w:rsid w:val="009D71FD"/>
    <w:rsid w:val="009D7925"/>
    <w:rsid w:val="009D7C64"/>
    <w:rsid w:val="009D7C69"/>
    <w:rsid w:val="009D7E9E"/>
    <w:rsid w:val="009E0412"/>
    <w:rsid w:val="009E09C3"/>
    <w:rsid w:val="009E0C0C"/>
    <w:rsid w:val="009E0E9E"/>
    <w:rsid w:val="009E1328"/>
    <w:rsid w:val="009E1C15"/>
    <w:rsid w:val="009E1E14"/>
    <w:rsid w:val="009E207A"/>
    <w:rsid w:val="009E2780"/>
    <w:rsid w:val="009E3B98"/>
    <w:rsid w:val="009E65ED"/>
    <w:rsid w:val="009E72E5"/>
    <w:rsid w:val="009E7A1A"/>
    <w:rsid w:val="009F0CBE"/>
    <w:rsid w:val="009F1721"/>
    <w:rsid w:val="009F1FC6"/>
    <w:rsid w:val="009F2171"/>
    <w:rsid w:val="009F2C10"/>
    <w:rsid w:val="009F3DB1"/>
    <w:rsid w:val="009F45DE"/>
    <w:rsid w:val="009F4925"/>
    <w:rsid w:val="009F5883"/>
    <w:rsid w:val="009F6532"/>
    <w:rsid w:val="009F6D7C"/>
    <w:rsid w:val="00A00A68"/>
    <w:rsid w:val="00A025C4"/>
    <w:rsid w:val="00A03E01"/>
    <w:rsid w:val="00A04322"/>
    <w:rsid w:val="00A050BD"/>
    <w:rsid w:val="00A06E5A"/>
    <w:rsid w:val="00A0708C"/>
    <w:rsid w:val="00A07227"/>
    <w:rsid w:val="00A0751B"/>
    <w:rsid w:val="00A079C7"/>
    <w:rsid w:val="00A11D52"/>
    <w:rsid w:val="00A11DA9"/>
    <w:rsid w:val="00A1278C"/>
    <w:rsid w:val="00A12E7F"/>
    <w:rsid w:val="00A133B5"/>
    <w:rsid w:val="00A1394A"/>
    <w:rsid w:val="00A13A11"/>
    <w:rsid w:val="00A13D20"/>
    <w:rsid w:val="00A1407C"/>
    <w:rsid w:val="00A14428"/>
    <w:rsid w:val="00A14EB8"/>
    <w:rsid w:val="00A1597C"/>
    <w:rsid w:val="00A15D4C"/>
    <w:rsid w:val="00A16293"/>
    <w:rsid w:val="00A16A01"/>
    <w:rsid w:val="00A17318"/>
    <w:rsid w:val="00A1743E"/>
    <w:rsid w:val="00A20699"/>
    <w:rsid w:val="00A21968"/>
    <w:rsid w:val="00A21D03"/>
    <w:rsid w:val="00A21DAA"/>
    <w:rsid w:val="00A22155"/>
    <w:rsid w:val="00A221A7"/>
    <w:rsid w:val="00A23294"/>
    <w:rsid w:val="00A24066"/>
    <w:rsid w:val="00A2502E"/>
    <w:rsid w:val="00A25053"/>
    <w:rsid w:val="00A25073"/>
    <w:rsid w:val="00A2535C"/>
    <w:rsid w:val="00A2543D"/>
    <w:rsid w:val="00A26435"/>
    <w:rsid w:val="00A2692A"/>
    <w:rsid w:val="00A26C45"/>
    <w:rsid w:val="00A3021B"/>
    <w:rsid w:val="00A306FD"/>
    <w:rsid w:val="00A315B6"/>
    <w:rsid w:val="00A31633"/>
    <w:rsid w:val="00A323EB"/>
    <w:rsid w:val="00A32839"/>
    <w:rsid w:val="00A33794"/>
    <w:rsid w:val="00A339A8"/>
    <w:rsid w:val="00A344AD"/>
    <w:rsid w:val="00A34742"/>
    <w:rsid w:val="00A34764"/>
    <w:rsid w:val="00A349CE"/>
    <w:rsid w:val="00A34C7F"/>
    <w:rsid w:val="00A34F88"/>
    <w:rsid w:val="00A35DB7"/>
    <w:rsid w:val="00A4047A"/>
    <w:rsid w:val="00A40EEA"/>
    <w:rsid w:val="00A4107B"/>
    <w:rsid w:val="00A41531"/>
    <w:rsid w:val="00A42105"/>
    <w:rsid w:val="00A4228B"/>
    <w:rsid w:val="00A42FED"/>
    <w:rsid w:val="00A43630"/>
    <w:rsid w:val="00A439A4"/>
    <w:rsid w:val="00A44487"/>
    <w:rsid w:val="00A44E8A"/>
    <w:rsid w:val="00A45421"/>
    <w:rsid w:val="00A45E5B"/>
    <w:rsid w:val="00A470E1"/>
    <w:rsid w:val="00A47761"/>
    <w:rsid w:val="00A500D6"/>
    <w:rsid w:val="00A50380"/>
    <w:rsid w:val="00A50557"/>
    <w:rsid w:val="00A50A90"/>
    <w:rsid w:val="00A50DC8"/>
    <w:rsid w:val="00A50F13"/>
    <w:rsid w:val="00A51ED3"/>
    <w:rsid w:val="00A537D0"/>
    <w:rsid w:val="00A57241"/>
    <w:rsid w:val="00A57412"/>
    <w:rsid w:val="00A60100"/>
    <w:rsid w:val="00A60220"/>
    <w:rsid w:val="00A60273"/>
    <w:rsid w:val="00A624D2"/>
    <w:rsid w:val="00A63C81"/>
    <w:rsid w:val="00A649C7"/>
    <w:rsid w:val="00A64A18"/>
    <w:rsid w:val="00A64EDB"/>
    <w:rsid w:val="00A65C69"/>
    <w:rsid w:val="00A65D0E"/>
    <w:rsid w:val="00A66369"/>
    <w:rsid w:val="00A66A54"/>
    <w:rsid w:val="00A6714B"/>
    <w:rsid w:val="00A675EB"/>
    <w:rsid w:val="00A677BA"/>
    <w:rsid w:val="00A67E64"/>
    <w:rsid w:val="00A70E2A"/>
    <w:rsid w:val="00A70EC5"/>
    <w:rsid w:val="00A71552"/>
    <w:rsid w:val="00A716D3"/>
    <w:rsid w:val="00A7182F"/>
    <w:rsid w:val="00A719A2"/>
    <w:rsid w:val="00A71A4B"/>
    <w:rsid w:val="00A72119"/>
    <w:rsid w:val="00A73611"/>
    <w:rsid w:val="00A738A5"/>
    <w:rsid w:val="00A74255"/>
    <w:rsid w:val="00A74306"/>
    <w:rsid w:val="00A7441D"/>
    <w:rsid w:val="00A74CA8"/>
    <w:rsid w:val="00A7507B"/>
    <w:rsid w:val="00A75A26"/>
    <w:rsid w:val="00A76A5B"/>
    <w:rsid w:val="00A76CDC"/>
    <w:rsid w:val="00A772CA"/>
    <w:rsid w:val="00A77470"/>
    <w:rsid w:val="00A80E1E"/>
    <w:rsid w:val="00A813F0"/>
    <w:rsid w:val="00A82402"/>
    <w:rsid w:val="00A82EC1"/>
    <w:rsid w:val="00A845D4"/>
    <w:rsid w:val="00A855D7"/>
    <w:rsid w:val="00A85D11"/>
    <w:rsid w:val="00A8601A"/>
    <w:rsid w:val="00A90031"/>
    <w:rsid w:val="00A900DF"/>
    <w:rsid w:val="00A90345"/>
    <w:rsid w:val="00A90720"/>
    <w:rsid w:val="00A9156D"/>
    <w:rsid w:val="00A917CF"/>
    <w:rsid w:val="00A91D26"/>
    <w:rsid w:val="00A91DBC"/>
    <w:rsid w:val="00A91DE5"/>
    <w:rsid w:val="00A92BB0"/>
    <w:rsid w:val="00A94178"/>
    <w:rsid w:val="00A94284"/>
    <w:rsid w:val="00A95B33"/>
    <w:rsid w:val="00A96615"/>
    <w:rsid w:val="00A9675B"/>
    <w:rsid w:val="00A96A1D"/>
    <w:rsid w:val="00A975E8"/>
    <w:rsid w:val="00AA040A"/>
    <w:rsid w:val="00AA0467"/>
    <w:rsid w:val="00AA119A"/>
    <w:rsid w:val="00AA1CC9"/>
    <w:rsid w:val="00AA2143"/>
    <w:rsid w:val="00AA2381"/>
    <w:rsid w:val="00AA23E3"/>
    <w:rsid w:val="00AA277E"/>
    <w:rsid w:val="00AA2B67"/>
    <w:rsid w:val="00AA2B7A"/>
    <w:rsid w:val="00AA35C7"/>
    <w:rsid w:val="00AA4652"/>
    <w:rsid w:val="00AA4BA3"/>
    <w:rsid w:val="00AA5BB4"/>
    <w:rsid w:val="00AA6101"/>
    <w:rsid w:val="00AA6F74"/>
    <w:rsid w:val="00AA736A"/>
    <w:rsid w:val="00AA795D"/>
    <w:rsid w:val="00AA7E7F"/>
    <w:rsid w:val="00AB1165"/>
    <w:rsid w:val="00AB13F2"/>
    <w:rsid w:val="00AB148B"/>
    <w:rsid w:val="00AB22B9"/>
    <w:rsid w:val="00AB65B0"/>
    <w:rsid w:val="00AB7F04"/>
    <w:rsid w:val="00AC06E2"/>
    <w:rsid w:val="00AC0DC9"/>
    <w:rsid w:val="00AC1DA5"/>
    <w:rsid w:val="00AC25FF"/>
    <w:rsid w:val="00AC27AA"/>
    <w:rsid w:val="00AC3BC8"/>
    <w:rsid w:val="00AC4071"/>
    <w:rsid w:val="00AC4978"/>
    <w:rsid w:val="00AC4CB3"/>
    <w:rsid w:val="00AC5255"/>
    <w:rsid w:val="00AC5737"/>
    <w:rsid w:val="00AC57B7"/>
    <w:rsid w:val="00AC58E1"/>
    <w:rsid w:val="00AC5A68"/>
    <w:rsid w:val="00AC5C60"/>
    <w:rsid w:val="00AC5D08"/>
    <w:rsid w:val="00AC6330"/>
    <w:rsid w:val="00AD01AD"/>
    <w:rsid w:val="00AD0742"/>
    <w:rsid w:val="00AD0B98"/>
    <w:rsid w:val="00AD0E14"/>
    <w:rsid w:val="00AD1FF0"/>
    <w:rsid w:val="00AD22B9"/>
    <w:rsid w:val="00AD2F20"/>
    <w:rsid w:val="00AD4040"/>
    <w:rsid w:val="00AD43DB"/>
    <w:rsid w:val="00AD6BD2"/>
    <w:rsid w:val="00AD7621"/>
    <w:rsid w:val="00AD7DB6"/>
    <w:rsid w:val="00AD7EEC"/>
    <w:rsid w:val="00AE0143"/>
    <w:rsid w:val="00AE0AFE"/>
    <w:rsid w:val="00AE1771"/>
    <w:rsid w:val="00AE1DF4"/>
    <w:rsid w:val="00AE2376"/>
    <w:rsid w:val="00AE278F"/>
    <w:rsid w:val="00AE2E7A"/>
    <w:rsid w:val="00AE2FA1"/>
    <w:rsid w:val="00AE3384"/>
    <w:rsid w:val="00AE3641"/>
    <w:rsid w:val="00AE3725"/>
    <w:rsid w:val="00AE42FA"/>
    <w:rsid w:val="00AE46F9"/>
    <w:rsid w:val="00AE4F78"/>
    <w:rsid w:val="00AE523D"/>
    <w:rsid w:val="00AE5C2B"/>
    <w:rsid w:val="00AE5E6A"/>
    <w:rsid w:val="00AE60CA"/>
    <w:rsid w:val="00AE693A"/>
    <w:rsid w:val="00AE6F05"/>
    <w:rsid w:val="00AE7261"/>
    <w:rsid w:val="00AE7397"/>
    <w:rsid w:val="00AE7EF3"/>
    <w:rsid w:val="00AF0384"/>
    <w:rsid w:val="00AF11FA"/>
    <w:rsid w:val="00AF1431"/>
    <w:rsid w:val="00AF14EB"/>
    <w:rsid w:val="00AF1633"/>
    <w:rsid w:val="00AF184D"/>
    <w:rsid w:val="00AF1C18"/>
    <w:rsid w:val="00AF2038"/>
    <w:rsid w:val="00AF2911"/>
    <w:rsid w:val="00AF4AB5"/>
    <w:rsid w:val="00AF56A9"/>
    <w:rsid w:val="00AF5E4E"/>
    <w:rsid w:val="00AF6D57"/>
    <w:rsid w:val="00AF6E55"/>
    <w:rsid w:val="00AF79C9"/>
    <w:rsid w:val="00AF7EC9"/>
    <w:rsid w:val="00B0097B"/>
    <w:rsid w:val="00B013EF"/>
    <w:rsid w:val="00B038D9"/>
    <w:rsid w:val="00B04013"/>
    <w:rsid w:val="00B04054"/>
    <w:rsid w:val="00B04401"/>
    <w:rsid w:val="00B04E2D"/>
    <w:rsid w:val="00B06AE9"/>
    <w:rsid w:val="00B06D54"/>
    <w:rsid w:val="00B0713E"/>
    <w:rsid w:val="00B105A5"/>
    <w:rsid w:val="00B107C4"/>
    <w:rsid w:val="00B10EEB"/>
    <w:rsid w:val="00B11B94"/>
    <w:rsid w:val="00B11E84"/>
    <w:rsid w:val="00B1248E"/>
    <w:rsid w:val="00B126DF"/>
    <w:rsid w:val="00B14340"/>
    <w:rsid w:val="00B17032"/>
    <w:rsid w:val="00B17536"/>
    <w:rsid w:val="00B20DC5"/>
    <w:rsid w:val="00B21A45"/>
    <w:rsid w:val="00B229F8"/>
    <w:rsid w:val="00B235A2"/>
    <w:rsid w:val="00B23967"/>
    <w:rsid w:val="00B24917"/>
    <w:rsid w:val="00B249A1"/>
    <w:rsid w:val="00B24B29"/>
    <w:rsid w:val="00B257FE"/>
    <w:rsid w:val="00B25993"/>
    <w:rsid w:val="00B27A45"/>
    <w:rsid w:val="00B3079D"/>
    <w:rsid w:val="00B30C58"/>
    <w:rsid w:val="00B31686"/>
    <w:rsid w:val="00B31B8A"/>
    <w:rsid w:val="00B34356"/>
    <w:rsid w:val="00B34824"/>
    <w:rsid w:val="00B34888"/>
    <w:rsid w:val="00B34A54"/>
    <w:rsid w:val="00B35307"/>
    <w:rsid w:val="00B35528"/>
    <w:rsid w:val="00B35D8E"/>
    <w:rsid w:val="00B36BFF"/>
    <w:rsid w:val="00B3723E"/>
    <w:rsid w:val="00B373E8"/>
    <w:rsid w:val="00B40FD7"/>
    <w:rsid w:val="00B41353"/>
    <w:rsid w:val="00B413AE"/>
    <w:rsid w:val="00B414D0"/>
    <w:rsid w:val="00B41B6D"/>
    <w:rsid w:val="00B42CA5"/>
    <w:rsid w:val="00B42F23"/>
    <w:rsid w:val="00B4314C"/>
    <w:rsid w:val="00B432A2"/>
    <w:rsid w:val="00B442A0"/>
    <w:rsid w:val="00B4463F"/>
    <w:rsid w:val="00B4562D"/>
    <w:rsid w:val="00B45B7F"/>
    <w:rsid w:val="00B46382"/>
    <w:rsid w:val="00B4691C"/>
    <w:rsid w:val="00B46A24"/>
    <w:rsid w:val="00B46AA9"/>
    <w:rsid w:val="00B47A45"/>
    <w:rsid w:val="00B50384"/>
    <w:rsid w:val="00B50BA0"/>
    <w:rsid w:val="00B50D0F"/>
    <w:rsid w:val="00B51DDC"/>
    <w:rsid w:val="00B51E11"/>
    <w:rsid w:val="00B545FD"/>
    <w:rsid w:val="00B546E9"/>
    <w:rsid w:val="00B549A4"/>
    <w:rsid w:val="00B54F30"/>
    <w:rsid w:val="00B55904"/>
    <w:rsid w:val="00B577E4"/>
    <w:rsid w:val="00B604CA"/>
    <w:rsid w:val="00B60F68"/>
    <w:rsid w:val="00B60F85"/>
    <w:rsid w:val="00B61455"/>
    <w:rsid w:val="00B62596"/>
    <w:rsid w:val="00B6298C"/>
    <w:rsid w:val="00B62CF7"/>
    <w:rsid w:val="00B63B63"/>
    <w:rsid w:val="00B63E15"/>
    <w:rsid w:val="00B6456A"/>
    <w:rsid w:val="00B647FD"/>
    <w:rsid w:val="00B64DDD"/>
    <w:rsid w:val="00B64F20"/>
    <w:rsid w:val="00B65434"/>
    <w:rsid w:val="00B65619"/>
    <w:rsid w:val="00B676F6"/>
    <w:rsid w:val="00B67BE9"/>
    <w:rsid w:val="00B70532"/>
    <w:rsid w:val="00B71105"/>
    <w:rsid w:val="00B71E68"/>
    <w:rsid w:val="00B739C4"/>
    <w:rsid w:val="00B73B4B"/>
    <w:rsid w:val="00B73F25"/>
    <w:rsid w:val="00B741B2"/>
    <w:rsid w:val="00B744A2"/>
    <w:rsid w:val="00B74CCB"/>
    <w:rsid w:val="00B74F96"/>
    <w:rsid w:val="00B74FE8"/>
    <w:rsid w:val="00B75047"/>
    <w:rsid w:val="00B75689"/>
    <w:rsid w:val="00B7586E"/>
    <w:rsid w:val="00B75E1A"/>
    <w:rsid w:val="00B768AB"/>
    <w:rsid w:val="00B7699D"/>
    <w:rsid w:val="00B771E2"/>
    <w:rsid w:val="00B7773B"/>
    <w:rsid w:val="00B77749"/>
    <w:rsid w:val="00B77843"/>
    <w:rsid w:val="00B7793E"/>
    <w:rsid w:val="00B80404"/>
    <w:rsid w:val="00B80413"/>
    <w:rsid w:val="00B8133A"/>
    <w:rsid w:val="00B8151D"/>
    <w:rsid w:val="00B81D08"/>
    <w:rsid w:val="00B83D45"/>
    <w:rsid w:val="00B84363"/>
    <w:rsid w:val="00B845C1"/>
    <w:rsid w:val="00B8612E"/>
    <w:rsid w:val="00B864DE"/>
    <w:rsid w:val="00B868E3"/>
    <w:rsid w:val="00B86D85"/>
    <w:rsid w:val="00B86E1A"/>
    <w:rsid w:val="00B91D73"/>
    <w:rsid w:val="00B91E62"/>
    <w:rsid w:val="00B92F81"/>
    <w:rsid w:val="00B942DD"/>
    <w:rsid w:val="00B947A5"/>
    <w:rsid w:val="00B9528A"/>
    <w:rsid w:val="00B95D31"/>
    <w:rsid w:val="00B9626B"/>
    <w:rsid w:val="00BA12B1"/>
    <w:rsid w:val="00BA12C3"/>
    <w:rsid w:val="00BA1611"/>
    <w:rsid w:val="00BA1974"/>
    <w:rsid w:val="00BA1D5E"/>
    <w:rsid w:val="00BA23E6"/>
    <w:rsid w:val="00BA2EC3"/>
    <w:rsid w:val="00BA2F17"/>
    <w:rsid w:val="00BA3F13"/>
    <w:rsid w:val="00BA4AA6"/>
    <w:rsid w:val="00BA514D"/>
    <w:rsid w:val="00BA673B"/>
    <w:rsid w:val="00BA67EE"/>
    <w:rsid w:val="00BA6B74"/>
    <w:rsid w:val="00BA6BDE"/>
    <w:rsid w:val="00BA7246"/>
    <w:rsid w:val="00BA7C4F"/>
    <w:rsid w:val="00BA7E4E"/>
    <w:rsid w:val="00BB039D"/>
    <w:rsid w:val="00BB167C"/>
    <w:rsid w:val="00BB181D"/>
    <w:rsid w:val="00BB1DD5"/>
    <w:rsid w:val="00BB1E16"/>
    <w:rsid w:val="00BB35F0"/>
    <w:rsid w:val="00BB36B4"/>
    <w:rsid w:val="00BB37BE"/>
    <w:rsid w:val="00BB3F05"/>
    <w:rsid w:val="00BB559A"/>
    <w:rsid w:val="00BB6683"/>
    <w:rsid w:val="00BB7E44"/>
    <w:rsid w:val="00BB7F31"/>
    <w:rsid w:val="00BC0116"/>
    <w:rsid w:val="00BC11EC"/>
    <w:rsid w:val="00BC12EB"/>
    <w:rsid w:val="00BC2269"/>
    <w:rsid w:val="00BC33FC"/>
    <w:rsid w:val="00BC3DC5"/>
    <w:rsid w:val="00BC47D7"/>
    <w:rsid w:val="00BC4F6A"/>
    <w:rsid w:val="00BC509B"/>
    <w:rsid w:val="00BC5C3B"/>
    <w:rsid w:val="00BC64AE"/>
    <w:rsid w:val="00BC68B5"/>
    <w:rsid w:val="00BC6BDB"/>
    <w:rsid w:val="00BC7EB4"/>
    <w:rsid w:val="00BD0ABB"/>
    <w:rsid w:val="00BD0EDA"/>
    <w:rsid w:val="00BD2A5A"/>
    <w:rsid w:val="00BD2FB0"/>
    <w:rsid w:val="00BD32C2"/>
    <w:rsid w:val="00BD392B"/>
    <w:rsid w:val="00BD4A08"/>
    <w:rsid w:val="00BD5700"/>
    <w:rsid w:val="00BD691D"/>
    <w:rsid w:val="00BD7F9B"/>
    <w:rsid w:val="00BE0493"/>
    <w:rsid w:val="00BE0544"/>
    <w:rsid w:val="00BE0849"/>
    <w:rsid w:val="00BE1201"/>
    <w:rsid w:val="00BE143A"/>
    <w:rsid w:val="00BE153D"/>
    <w:rsid w:val="00BE1FB9"/>
    <w:rsid w:val="00BE2799"/>
    <w:rsid w:val="00BE28FC"/>
    <w:rsid w:val="00BE2E5F"/>
    <w:rsid w:val="00BE3327"/>
    <w:rsid w:val="00BE3F99"/>
    <w:rsid w:val="00BE4745"/>
    <w:rsid w:val="00BE49C7"/>
    <w:rsid w:val="00BE6464"/>
    <w:rsid w:val="00BE6D77"/>
    <w:rsid w:val="00BE6DAB"/>
    <w:rsid w:val="00BE70CE"/>
    <w:rsid w:val="00BE7539"/>
    <w:rsid w:val="00BF1092"/>
    <w:rsid w:val="00BF150F"/>
    <w:rsid w:val="00BF1BDA"/>
    <w:rsid w:val="00BF344B"/>
    <w:rsid w:val="00BF3E3F"/>
    <w:rsid w:val="00BF41AB"/>
    <w:rsid w:val="00BF4CB2"/>
    <w:rsid w:val="00BF5A7B"/>
    <w:rsid w:val="00BF5BEA"/>
    <w:rsid w:val="00BF70F0"/>
    <w:rsid w:val="00BF797A"/>
    <w:rsid w:val="00BF7A5D"/>
    <w:rsid w:val="00BF7BAC"/>
    <w:rsid w:val="00C005B6"/>
    <w:rsid w:val="00C00EEA"/>
    <w:rsid w:val="00C013FD"/>
    <w:rsid w:val="00C01CAD"/>
    <w:rsid w:val="00C03043"/>
    <w:rsid w:val="00C03FB9"/>
    <w:rsid w:val="00C044AA"/>
    <w:rsid w:val="00C04660"/>
    <w:rsid w:val="00C050D9"/>
    <w:rsid w:val="00C0585F"/>
    <w:rsid w:val="00C05A87"/>
    <w:rsid w:val="00C061BD"/>
    <w:rsid w:val="00C062F8"/>
    <w:rsid w:val="00C06A9B"/>
    <w:rsid w:val="00C06F6F"/>
    <w:rsid w:val="00C07472"/>
    <w:rsid w:val="00C07C8E"/>
    <w:rsid w:val="00C1063D"/>
    <w:rsid w:val="00C115FA"/>
    <w:rsid w:val="00C1251A"/>
    <w:rsid w:val="00C127C4"/>
    <w:rsid w:val="00C132F8"/>
    <w:rsid w:val="00C13399"/>
    <w:rsid w:val="00C143D4"/>
    <w:rsid w:val="00C1455C"/>
    <w:rsid w:val="00C14CAB"/>
    <w:rsid w:val="00C14EB0"/>
    <w:rsid w:val="00C15387"/>
    <w:rsid w:val="00C169C4"/>
    <w:rsid w:val="00C16B46"/>
    <w:rsid w:val="00C16FE3"/>
    <w:rsid w:val="00C1740D"/>
    <w:rsid w:val="00C20175"/>
    <w:rsid w:val="00C20875"/>
    <w:rsid w:val="00C20D0E"/>
    <w:rsid w:val="00C214FE"/>
    <w:rsid w:val="00C21AE1"/>
    <w:rsid w:val="00C21EAA"/>
    <w:rsid w:val="00C2233F"/>
    <w:rsid w:val="00C226B5"/>
    <w:rsid w:val="00C23BD7"/>
    <w:rsid w:val="00C246E9"/>
    <w:rsid w:val="00C24C63"/>
    <w:rsid w:val="00C2591E"/>
    <w:rsid w:val="00C25C8F"/>
    <w:rsid w:val="00C2600A"/>
    <w:rsid w:val="00C2644E"/>
    <w:rsid w:val="00C2687F"/>
    <w:rsid w:val="00C268EB"/>
    <w:rsid w:val="00C26DCF"/>
    <w:rsid w:val="00C30F67"/>
    <w:rsid w:val="00C313A9"/>
    <w:rsid w:val="00C3159F"/>
    <w:rsid w:val="00C318C5"/>
    <w:rsid w:val="00C31AB3"/>
    <w:rsid w:val="00C31E14"/>
    <w:rsid w:val="00C321DD"/>
    <w:rsid w:val="00C332A4"/>
    <w:rsid w:val="00C33324"/>
    <w:rsid w:val="00C3343D"/>
    <w:rsid w:val="00C337BF"/>
    <w:rsid w:val="00C34080"/>
    <w:rsid w:val="00C3471E"/>
    <w:rsid w:val="00C34859"/>
    <w:rsid w:val="00C35097"/>
    <w:rsid w:val="00C351AF"/>
    <w:rsid w:val="00C37088"/>
    <w:rsid w:val="00C407FC"/>
    <w:rsid w:val="00C40A89"/>
    <w:rsid w:val="00C41D0F"/>
    <w:rsid w:val="00C41DAC"/>
    <w:rsid w:val="00C42352"/>
    <w:rsid w:val="00C42758"/>
    <w:rsid w:val="00C42E5D"/>
    <w:rsid w:val="00C43D99"/>
    <w:rsid w:val="00C44009"/>
    <w:rsid w:val="00C44241"/>
    <w:rsid w:val="00C44AC9"/>
    <w:rsid w:val="00C44F79"/>
    <w:rsid w:val="00C4550B"/>
    <w:rsid w:val="00C4598F"/>
    <w:rsid w:val="00C459EE"/>
    <w:rsid w:val="00C45B60"/>
    <w:rsid w:val="00C465A5"/>
    <w:rsid w:val="00C468B6"/>
    <w:rsid w:val="00C46A29"/>
    <w:rsid w:val="00C46B0E"/>
    <w:rsid w:val="00C46D3E"/>
    <w:rsid w:val="00C51942"/>
    <w:rsid w:val="00C522B4"/>
    <w:rsid w:val="00C523D0"/>
    <w:rsid w:val="00C54857"/>
    <w:rsid w:val="00C55533"/>
    <w:rsid w:val="00C557D1"/>
    <w:rsid w:val="00C55F06"/>
    <w:rsid w:val="00C5787D"/>
    <w:rsid w:val="00C60517"/>
    <w:rsid w:val="00C61166"/>
    <w:rsid w:val="00C61720"/>
    <w:rsid w:val="00C62202"/>
    <w:rsid w:val="00C6231F"/>
    <w:rsid w:val="00C6237E"/>
    <w:rsid w:val="00C62CF1"/>
    <w:rsid w:val="00C631BD"/>
    <w:rsid w:val="00C63D54"/>
    <w:rsid w:val="00C63E26"/>
    <w:rsid w:val="00C6452B"/>
    <w:rsid w:val="00C65189"/>
    <w:rsid w:val="00C6604F"/>
    <w:rsid w:val="00C667CB"/>
    <w:rsid w:val="00C671A8"/>
    <w:rsid w:val="00C67382"/>
    <w:rsid w:val="00C70D36"/>
    <w:rsid w:val="00C7138B"/>
    <w:rsid w:val="00C71798"/>
    <w:rsid w:val="00C71D0B"/>
    <w:rsid w:val="00C730DE"/>
    <w:rsid w:val="00C73E2F"/>
    <w:rsid w:val="00C7402B"/>
    <w:rsid w:val="00C74031"/>
    <w:rsid w:val="00C740DD"/>
    <w:rsid w:val="00C74521"/>
    <w:rsid w:val="00C74EC2"/>
    <w:rsid w:val="00C7546E"/>
    <w:rsid w:val="00C75532"/>
    <w:rsid w:val="00C759B6"/>
    <w:rsid w:val="00C763C4"/>
    <w:rsid w:val="00C7669D"/>
    <w:rsid w:val="00C77D70"/>
    <w:rsid w:val="00C80698"/>
    <w:rsid w:val="00C80ED9"/>
    <w:rsid w:val="00C81D29"/>
    <w:rsid w:val="00C8256E"/>
    <w:rsid w:val="00C82A84"/>
    <w:rsid w:val="00C82CA9"/>
    <w:rsid w:val="00C82D1B"/>
    <w:rsid w:val="00C854E8"/>
    <w:rsid w:val="00C85E54"/>
    <w:rsid w:val="00C869E6"/>
    <w:rsid w:val="00C872B9"/>
    <w:rsid w:val="00C87EFA"/>
    <w:rsid w:val="00C90507"/>
    <w:rsid w:val="00C90D83"/>
    <w:rsid w:val="00C90E12"/>
    <w:rsid w:val="00C91147"/>
    <w:rsid w:val="00C91496"/>
    <w:rsid w:val="00C922E1"/>
    <w:rsid w:val="00C92499"/>
    <w:rsid w:val="00C93D0E"/>
    <w:rsid w:val="00C9467E"/>
    <w:rsid w:val="00C9486D"/>
    <w:rsid w:val="00C95123"/>
    <w:rsid w:val="00C954A9"/>
    <w:rsid w:val="00C962AF"/>
    <w:rsid w:val="00C963EF"/>
    <w:rsid w:val="00C96B9D"/>
    <w:rsid w:val="00C96F30"/>
    <w:rsid w:val="00CA006E"/>
    <w:rsid w:val="00CA007E"/>
    <w:rsid w:val="00CA00C4"/>
    <w:rsid w:val="00CA06B4"/>
    <w:rsid w:val="00CA089D"/>
    <w:rsid w:val="00CA142C"/>
    <w:rsid w:val="00CA1601"/>
    <w:rsid w:val="00CA1EBD"/>
    <w:rsid w:val="00CA2078"/>
    <w:rsid w:val="00CA2802"/>
    <w:rsid w:val="00CA3C23"/>
    <w:rsid w:val="00CA4312"/>
    <w:rsid w:val="00CA4D79"/>
    <w:rsid w:val="00CA539D"/>
    <w:rsid w:val="00CA57F7"/>
    <w:rsid w:val="00CA595A"/>
    <w:rsid w:val="00CA5A26"/>
    <w:rsid w:val="00CA5FFA"/>
    <w:rsid w:val="00CA6A8B"/>
    <w:rsid w:val="00CA72E1"/>
    <w:rsid w:val="00CA7820"/>
    <w:rsid w:val="00CB0131"/>
    <w:rsid w:val="00CB0739"/>
    <w:rsid w:val="00CB1974"/>
    <w:rsid w:val="00CB24F1"/>
    <w:rsid w:val="00CB2852"/>
    <w:rsid w:val="00CB2C6A"/>
    <w:rsid w:val="00CB2EBE"/>
    <w:rsid w:val="00CB3A88"/>
    <w:rsid w:val="00CB4088"/>
    <w:rsid w:val="00CB4C79"/>
    <w:rsid w:val="00CB4FD5"/>
    <w:rsid w:val="00CB5B9C"/>
    <w:rsid w:val="00CB6466"/>
    <w:rsid w:val="00CB70FE"/>
    <w:rsid w:val="00CB74A5"/>
    <w:rsid w:val="00CB7941"/>
    <w:rsid w:val="00CC0001"/>
    <w:rsid w:val="00CC0660"/>
    <w:rsid w:val="00CC06A2"/>
    <w:rsid w:val="00CC0F1F"/>
    <w:rsid w:val="00CC14F2"/>
    <w:rsid w:val="00CC2636"/>
    <w:rsid w:val="00CC30E0"/>
    <w:rsid w:val="00CC333B"/>
    <w:rsid w:val="00CC4381"/>
    <w:rsid w:val="00CC609B"/>
    <w:rsid w:val="00CC6F3D"/>
    <w:rsid w:val="00CC7CF1"/>
    <w:rsid w:val="00CD0520"/>
    <w:rsid w:val="00CD2934"/>
    <w:rsid w:val="00CD346A"/>
    <w:rsid w:val="00CD3637"/>
    <w:rsid w:val="00CD3C0B"/>
    <w:rsid w:val="00CD4094"/>
    <w:rsid w:val="00CD62F6"/>
    <w:rsid w:val="00CD7682"/>
    <w:rsid w:val="00CD7840"/>
    <w:rsid w:val="00CD7C92"/>
    <w:rsid w:val="00CE08FC"/>
    <w:rsid w:val="00CE1D99"/>
    <w:rsid w:val="00CE23BC"/>
    <w:rsid w:val="00CE2FB3"/>
    <w:rsid w:val="00CE353E"/>
    <w:rsid w:val="00CE389B"/>
    <w:rsid w:val="00CE3AB1"/>
    <w:rsid w:val="00CE4731"/>
    <w:rsid w:val="00CE4B05"/>
    <w:rsid w:val="00CE5056"/>
    <w:rsid w:val="00CE552F"/>
    <w:rsid w:val="00CE68F5"/>
    <w:rsid w:val="00CE6D03"/>
    <w:rsid w:val="00CE7286"/>
    <w:rsid w:val="00CF00C5"/>
    <w:rsid w:val="00CF09D3"/>
    <w:rsid w:val="00CF0D24"/>
    <w:rsid w:val="00CF12C0"/>
    <w:rsid w:val="00CF12D8"/>
    <w:rsid w:val="00CF1D78"/>
    <w:rsid w:val="00CF3612"/>
    <w:rsid w:val="00CF45A1"/>
    <w:rsid w:val="00CF4F52"/>
    <w:rsid w:val="00CF5FC5"/>
    <w:rsid w:val="00CF609F"/>
    <w:rsid w:val="00CF60EF"/>
    <w:rsid w:val="00CF6A03"/>
    <w:rsid w:val="00CF6AA8"/>
    <w:rsid w:val="00CF6DEA"/>
    <w:rsid w:val="00CF6FDE"/>
    <w:rsid w:val="00CF73FB"/>
    <w:rsid w:val="00CF7709"/>
    <w:rsid w:val="00CF7AEB"/>
    <w:rsid w:val="00CF7F6E"/>
    <w:rsid w:val="00D002AB"/>
    <w:rsid w:val="00D00308"/>
    <w:rsid w:val="00D01084"/>
    <w:rsid w:val="00D026EF"/>
    <w:rsid w:val="00D029F1"/>
    <w:rsid w:val="00D02A99"/>
    <w:rsid w:val="00D02B2D"/>
    <w:rsid w:val="00D02D31"/>
    <w:rsid w:val="00D04640"/>
    <w:rsid w:val="00D06455"/>
    <w:rsid w:val="00D07114"/>
    <w:rsid w:val="00D07EFE"/>
    <w:rsid w:val="00D1022A"/>
    <w:rsid w:val="00D11A6A"/>
    <w:rsid w:val="00D11E8B"/>
    <w:rsid w:val="00D12381"/>
    <w:rsid w:val="00D13954"/>
    <w:rsid w:val="00D14C68"/>
    <w:rsid w:val="00D14D7C"/>
    <w:rsid w:val="00D16629"/>
    <w:rsid w:val="00D1720C"/>
    <w:rsid w:val="00D20537"/>
    <w:rsid w:val="00D216AA"/>
    <w:rsid w:val="00D21C8C"/>
    <w:rsid w:val="00D220FC"/>
    <w:rsid w:val="00D224B9"/>
    <w:rsid w:val="00D229C6"/>
    <w:rsid w:val="00D23812"/>
    <w:rsid w:val="00D23B30"/>
    <w:rsid w:val="00D23C8B"/>
    <w:rsid w:val="00D24EBD"/>
    <w:rsid w:val="00D2599F"/>
    <w:rsid w:val="00D25C55"/>
    <w:rsid w:val="00D25CC9"/>
    <w:rsid w:val="00D25D4F"/>
    <w:rsid w:val="00D263E5"/>
    <w:rsid w:val="00D26469"/>
    <w:rsid w:val="00D269ED"/>
    <w:rsid w:val="00D26A90"/>
    <w:rsid w:val="00D26E3D"/>
    <w:rsid w:val="00D2716C"/>
    <w:rsid w:val="00D27787"/>
    <w:rsid w:val="00D27A48"/>
    <w:rsid w:val="00D31078"/>
    <w:rsid w:val="00D3156D"/>
    <w:rsid w:val="00D31651"/>
    <w:rsid w:val="00D324A1"/>
    <w:rsid w:val="00D3254F"/>
    <w:rsid w:val="00D336D5"/>
    <w:rsid w:val="00D3429F"/>
    <w:rsid w:val="00D34BD4"/>
    <w:rsid w:val="00D351CE"/>
    <w:rsid w:val="00D35FAE"/>
    <w:rsid w:val="00D35FF6"/>
    <w:rsid w:val="00D41089"/>
    <w:rsid w:val="00D41CB3"/>
    <w:rsid w:val="00D421C4"/>
    <w:rsid w:val="00D42736"/>
    <w:rsid w:val="00D43345"/>
    <w:rsid w:val="00D43BC8"/>
    <w:rsid w:val="00D440B6"/>
    <w:rsid w:val="00D44698"/>
    <w:rsid w:val="00D4494F"/>
    <w:rsid w:val="00D45804"/>
    <w:rsid w:val="00D46BA8"/>
    <w:rsid w:val="00D4792F"/>
    <w:rsid w:val="00D5004D"/>
    <w:rsid w:val="00D50307"/>
    <w:rsid w:val="00D50C80"/>
    <w:rsid w:val="00D510BD"/>
    <w:rsid w:val="00D523DB"/>
    <w:rsid w:val="00D524B5"/>
    <w:rsid w:val="00D5293D"/>
    <w:rsid w:val="00D5307A"/>
    <w:rsid w:val="00D53472"/>
    <w:rsid w:val="00D53DB6"/>
    <w:rsid w:val="00D551FF"/>
    <w:rsid w:val="00D55486"/>
    <w:rsid w:val="00D56A92"/>
    <w:rsid w:val="00D6089C"/>
    <w:rsid w:val="00D62CA1"/>
    <w:rsid w:val="00D63C89"/>
    <w:rsid w:val="00D64926"/>
    <w:rsid w:val="00D65795"/>
    <w:rsid w:val="00D65CD3"/>
    <w:rsid w:val="00D66F80"/>
    <w:rsid w:val="00D676E4"/>
    <w:rsid w:val="00D7117D"/>
    <w:rsid w:val="00D71743"/>
    <w:rsid w:val="00D71DEC"/>
    <w:rsid w:val="00D737D1"/>
    <w:rsid w:val="00D748C7"/>
    <w:rsid w:val="00D7531B"/>
    <w:rsid w:val="00D754FF"/>
    <w:rsid w:val="00D75935"/>
    <w:rsid w:val="00D75EE1"/>
    <w:rsid w:val="00D7600F"/>
    <w:rsid w:val="00D761B1"/>
    <w:rsid w:val="00D76403"/>
    <w:rsid w:val="00D76670"/>
    <w:rsid w:val="00D767E8"/>
    <w:rsid w:val="00D76CAF"/>
    <w:rsid w:val="00D76DBD"/>
    <w:rsid w:val="00D76EDA"/>
    <w:rsid w:val="00D7762A"/>
    <w:rsid w:val="00D778D2"/>
    <w:rsid w:val="00D77EF4"/>
    <w:rsid w:val="00D802B8"/>
    <w:rsid w:val="00D82B7F"/>
    <w:rsid w:val="00D83703"/>
    <w:rsid w:val="00D8396A"/>
    <w:rsid w:val="00D84F8F"/>
    <w:rsid w:val="00D851F3"/>
    <w:rsid w:val="00D855EC"/>
    <w:rsid w:val="00D85C1E"/>
    <w:rsid w:val="00D85C65"/>
    <w:rsid w:val="00D85C75"/>
    <w:rsid w:val="00D8775A"/>
    <w:rsid w:val="00D87E69"/>
    <w:rsid w:val="00D9067A"/>
    <w:rsid w:val="00D906ED"/>
    <w:rsid w:val="00D90A17"/>
    <w:rsid w:val="00D91DEF"/>
    <w:rsid w:val="00D92138"/>
    <w:rsid w:val="00D925FB"/>
    <w:rsid w:val="00D92898"/>
    <w:rsid w:val="00D928F0"/>
    <w:rsid w:val="00D92A90"/>
    <w:rsid w:val="00D93225"/>
    <w:rsid w:val="00D93B3A"/>
    <w:rsid w:val="00D9403F"/>
    <w:rsid w:val="00D9454D"/>
    <w:rsid w:val="00D94F07"/>
    <w:rsid w:val="00D95267"/>
    <w:rsid w:val="00D96014"/>
    <w:rsid w:val="00D9671C"/>
    <w:rsid w:val="00D973FF"/>
    <w:rsid w:val="00D9744B"/>
    <w:rsid w:val="00D975E7"/>
    <w:rsid w:val="00D97CD8"/>
    <w:rsid w:val="00D97F24"/>
    <w:rsid w:val="00DA0014"/>
    <w:rsid w:val="00DA05F1"/>
    <w:rsid w:val="00DA152C"/>
    <w:rsid w:val="00DA1A29"/>
    <w:rsid w:val="00DA1E29"/>
    <w:rsid w:val="00DA2F48"/>
    <w:rsid w:val="00DA462F"/>
    <w:rsid w:val="00DA4D0D"/>
    <w:rsid w:val="00DA5EB1"/>
    <w:rsid w:val="00DA6396"/>
    <w:rsid w:val="00DA6BA7"/>
    <w:rsid w:val="00DA7164"/>
    <w:rsid w:val="00DB0796"/>
    <w:rsid w:val="00DB0B31"/>
    <w:rsid w:val="00DB13AB"/>
    <w:rsid w:val="00DB14B6"/>
    <w:rsid w:val="00DB19B9"/>
    <w:rsid w:val="00DB1B89"/>
    <w:rsid w:val="00DB1EC9"/>
    <w:rsid w:val="00DB20C4"/>
    <w:rsid w:val="00DB2270"/>
    <w:rsid w:val="00DB2651"/>
    <w:rsid w:val="00DB2A1A"/>
    <w:rsid w:val="00DB3AD5"/>
    <w:rsid w:val="00DB3C69"/>
    <w:rsid w:val="00DB3DC6"/>
    <w:rsid w:val="00DB4AB3"/>
    <w:rsid w:val="00DB50D7"/>
    <w:rsid w:val="00DB552E"/>
    <w:rsid w:val="00DB55E4"/>
    <w:rsid w:val="00DB5D81"/>
    <w:rsid w:val="00DB6065"/>
    <w:rsid w:val="00DB6535"/>
    <w:rsid w:val="00DB65C9"/>
    <w:rsid w:val="00DB6F97"/>
    <w:rsid w:val="00DB7484"/>
    <w:rsid w:val="00DB7AA3"/>
    <w:rsid w:val="00DB7DF5"/>
    <w:rsid w:val="00DC0041"/>
    <w:rsid w:val="00DC0597"/>
    <w:rsid w:val="00DC119F"/>
    <w:rsid w:val="00DC163B"/>
    <w:rsid w:val="00DC1CFB"/>
    <w:rsid w:val="00DC24BC"/>
    <w:rsid w:val="00DC2789"/>
    <w:rsid w:val="00DC3287"/>
    <w:rsid w:val="00DC396A"/>
    <w:rsid w:val="00DC3FCF"/>
    <w:rsid w:val="00DC4979"/>
    <w:rsid w:val="00DC4A70"/>
    <w:rsid w:val="00DC4AD6"/>
    <w:rsid w:val="00DC5679"/>
    <w:rsid w:val="00DC590F"/>
    <w:rsid w:val="00DC60AA"/>
    <w:rsid w:val="00DC6CFE"/>
    <w:rsid w:val="00DC6F06"/>
    <w:rsid w:val="00DC6F44"/>
    <w:rsid w:val="00DD0140"/>
    <w:rsid w:val="00DD139F"/>
    <w:rsid w:val="00DD1ADB"/>
    <w:rsid w:val="00DD201D"/>
    <w:rsid w:val="00DD2672"/>
    <w:rsid w:val="00DD2B7D"/>
    <w:rsid w:val="00DD300F"/>
    <w:rsid w:val="00DD33C5"/>
    <w:rsid w:val="00DD3681"/>
    <w:rsid w:val="00DD3C9D"/>
    <w:rsid w:val="00DD5D2A"/>
    <w:rsid w:val="00DD695C"/>
    <w:rsid w:val="00DD7590"/>
    <w:rsid w:val="00DD7832"/>
    <w:rsid w:val="00DE0696"/>
    <w:rsid w:val="00DE2383"/>
    <w:rsid w:val="00DE2680"/>
    <w:rsid w:val="00DE31C7"/>
    <w:rsid w:val="00DE4F0B"/>
    <w:rsid w:val="00DE4FCA"/>
    <w:rsid w:val="00DE5230"/>
    <w:rsid w:val="00DE6078"/>
    <w:rsid w:val="00DE638E"/>
    <w:rsid w:val="00DE752F"/>
    <w:rsid w:val="00DE76C7"/>
    <w:rsid w:val="00DF0619"/>
    <w:rsid w:val="00DF0622"/>
    <w:rsid w:val="00DF1F89"/>
    <w:rsid w:val="00DF27E4"/>
    <w:rsid w:val="00DF2C46"/>
    <w:rsid w:val="00DF3095"/>
    <w:rsid w:val="00DF48FC"/>
    <w:rsid w:val="00DF5584"/>
    <w:rsid w:val="00DF56FA"/>
    <w:rsid w:val="00DF5846"/>
    <w:rsid w:val="00DF64A8"/>
    <w:rsid w:val="00DF6750"/>
    <w:rsid w:val="00E009A1"/>
    <w:rsid w:val="00E00E10"/>
    <w:rsid w:val="00E00F34"/>
    <w:rsid w:val="00E01132"/>
    <w:rsid w:val="00E02078"/>
    <w:rsid w:val="00E0335F"/>
    <w:rsid w:val="00E034C5"/>
    <w:rsid w:val="00E0370E"/>
    <w:rsid w:val="00E03E4E"/>
    <w:rsid w:val="00E03EB9"/>
    <w:rsid w:val="00E04058"/>
    <w:rsid w:val="00E0437D"/>
    <w:rsid w:val="00E04B45"/>
    <w:rsid w:val="00E04EBD"/>
    <w:rsid w:val="00E04F64"/>
    <w:rsid w:val="00E0505F"/>
    <w:rsid w:val="00E0537F"/>
    <w:rsid w:val="00E05836"/>
    <w:rsid w:val="00E0590A"/>
    <w:rsid w:val="00E063E7"/>
    <w:rsid w:val="00E06933"/>
    <w:rsid w:val="00E06C3C"/>
    <w:rsid w:val="00E07136"/>
    <w:rsid w:val="00E07524"/>
    <w:rsid w:val="00E07910"/>
    <w:rsid w:val="00E1016C"/>
    <w:rsid w:val="00E103DA"/>
    <w:rsid w:val="00E10825"/>
    <w:rsid w:val="00E10A9B"/>
    <w:rsid w:val="00E12064"/>
    <w:rsid w:val="00E12C7C"/>
    <w:rsid w:val="00E13118"/>
    <w:rsid w:val="00E1423D"/>
    <w:rsid w:val="00E149FE"/>
    <w:rsid w:val="00E1549C"/>
    <w:rsid w:val="00E15792"/>
    <w:rsid w:val="00E159F9"/>
    <w:rsid w:val="00E16724"/>
    <w:rsid w:val="00E16CA9"/>
    <w:rsid w:val="00E173D3"/>
    <w:rsid w:val="00E1793F"/>
    <w:rsid w:val="00E17C26"/>
    <w:rsid w:val="00E20CC2"/>
    <w:rsid w:val="00E216EA"/>
    <w:rsid w:val="00E2266D"/>
    <w:rsid w:val="00E22C14"/>
    <w:rsid w:val="00E233FD"/>
    <w:rsid w:val="00E24688"/>
    <w:rsid w:val="00E24A7E"/>
    <w:rsid w:val="00E255C8"/>
    <w:rsid w:val="00E2560E"/>
    <w:rsid w:val="00E258D2"/>
    <w:rsid w:val="00E25DFC"/>
    <w:rsid w:val="00E26128"/>
    <w:rsid w:val="00E2671C"/>
    <w:rsid w:val="00E27A83"/>
    <w:rsid w:val="00E27B23"/>
    <w:rsid w:val="00E27F89"/>
    <w:rsid w:val="00E3016A"/>
    <w:rsid w:val="00E306D7"/>
    <w:rsid w:val="00E31A29"/>
    <w:rsid w:val="00E3298B"/>
    <w:rsid w:val="00E32ABF"/>
    <w:rsid w:val="00E32D81"/>
    <w:rsid w:val="00E330D7"/>
    <w:rsid w:val="00E342FA"/>
    <w:rsid w:val="00E35AFA"/>
    <w:rsid w:val="00E35F95"/>
    <w:rsid w:val="00E36082"/>
    <w:rsid w:val="00E3716C"/>
    <w:rsid w:val="00E37D47"/>
    <w:rsid w:val="00E405CE"/>
    <w:rsid w:val="00E4242D"/>
    <w:rsid w:val="00E43439"/>
    <w:rsid w:val="00E43743"/>
    <w:rsid w:val="00E43F22"/>
    <w:rsid w:val="00E44785"/>
    <w:rsid w:val="00E467E5"/>
    <w:rsid w:val="00E46F5D"/>
    <w:rsid w:val="00E50402"/>
    <w:rsid w:val="00E51C8F"/>
    <w:rsid w:val="00E53C4E"/>
    <w:rsid w:val="00E5533B"/>
    <w:rsid w:val="00E556F0"/>
    <w:rsid w:val="00E55747"/>
    <w:rsid w:val="00E5698F"/>
    <w:rsid w:val="00E56CBF"/>
    <w:rsid w:val="00E5788D"/>
    <w:rsid w:val="00E579BA"/>
    <w:rsid w:val="00E57A81"/>
    <w:rsid w:val="00E612A1"/>
    <w:rsid w:val="00E6183C"/>
    <w:rsid w:val="00E6281D"/>
    <w:rsid w:val="00E64041"/>
    <w:rsid w:val="00E6413E"/>
    <w:rsid w:val="00E65343"/>
    <w:rsid w:val="00E655A8"/>
    <w:rsid w:val="00E65F7C"/>
    <w:rsid w:val="00E66A30"/>
    <w:rsid w:val="00E673B7"/>
    <w:rsid w:val="00E705C7"/>
    <w:rsid w:val="00E70634"/>
    <w:rsid w:val="00E70AA0"/>
    <w:rsid w:val="00E70B8D"/>
    <w:rsid w:val="00E726E8"/>
    <w:rsid w:val="00E72B47"/>
    <w:rsid w:val="00E7436A"/>
    <w:rsid w:val="00E75046"/>
    <w:rsid w:val="00E75A8A"/>
    <w:rsid w:val="00E76428"/>
    <w:rsid w:val="00E76E46"/>
    <w:rsid w:val="00E7738C"/>
    <w:rsid w:val="00E7772E"/>
    <w:rsid w:val="00E81E9F"/>
    <w:rsid w:val="00E82D5D"/>
    <w:rsid w:val="00E8474D"/>
    <w:rsid w:val="00E84967"/>
    <w:rsid w:val="00E8523A"/>
    <w:rsid w:val="00E866FE"/>
    <w:rsid w:val="00E8730C"/>
    <w:rsid w:val="00E87585"/>
    <w:rsid w:val="00E90132"/>
    <w:rsid w:val="00E901D3"/>
    <w:rsid w:val="00E90312"/>
    <w:rsid w:val="00E9037E"/>
    <w:rsid w:val="00E91230"/>
    <w:rsid w:val="00E92718"/>
    <w:rsid w:val="00E93E14"/>
    <w:rsid w:val="00E94C4A"/>
    <w:rsid w:val="00E94F01"/>
    <w:rsid w:val="00E94F8A"/>
    <w:rsid w:val="00E94FE3"/>
    <w:rsid w:val="00E95288"/>
    <w:rsid w:val="00E956CA"/>
    <w:rsid w:val="00E96203"/>
    <w:rsid w:val="00E968B3"/>
    <w:rsid w:val="00E96989"/>
    <w:rsid w:val="00E97207"/>
    <w:rsid w:val="00E97495"/>
    <w:rsid w:val="00E977E2"/>
    <w:rsid w:val="00E97C1A"/>
    <w:rsid w:val="00EA0DAE"/>
    <w:rsid w:val="00EA134F"/>
    <w:rsid w:val="00EA1668"/>
    <w:rsid w:val="00EA1918"/>
    <w:rsid w:val="00EA34D8"/>
    <w:rsid w:val="00EA39AF"/>
    <w:rsid w:val="00EA3A82"/>
    <w:rsid w:val="00EA43CA"/>
    <w:rsid w:val="00EA467C"/>
    <w:rsid w:val="00EA4712"/>
    <w:rsid w:val="00EA5EA3"/>
    <w:rsid w:val="00EA643B"/>
    <w:rsid w:val="00EA6485"/>
    <w:rsid w:val="00EA6E53"/>
    <w:rsid w:val="00EA74DA"/>
    <w:rsid w:val="00EA7A01"/>
    <w:rsid w:val="00EA7C02"/>
    <w:rsid w:val="00EA7FDB"/>
    <w:rsid w:val="00EB0898"/>
    <w:rsid w:val="00EB1162"/>
    <w:rsid w:val="00EB17F4"/>
    <w:rsid w:val="00EB218B"/>
    <w:rsid w:val="00EB32D4"/>
    <w:rsid w:val="00EB4F9F"/>
    <w:rsid w:val="00EB78B3"/>
    <w:rsid w:val="00EB7A9E"/>
    <w:rsid w:val="00EB7D96"/>
    <w:rsid w:val="00EC01B2"/>
    <w:rsid w:val="00EC03D5"/>
    <w:rsid w:val="00EC068B"/>
    <w:rsid w:val="00EC07D7"/>
    <w:rsid w:val="00EC0CE6"/>
    <w:rsid w:val="00EC0E1C"/>
    <w:rsid w:val="00EC154A"/>
    <w:rsid w:val="00EC1DD5"/>
    <w:rsid w:val="00EC1EB8"/>
    <w:rsid w:val="00EC2CBF"/>
    <w:rsid w:val="00EC362E"/>
    <w:rsid w:val="00EC472D"/>
    <w:rsid w:val="00EC526C"/>
    <w:rsid w:val="00EC5DB7"/>
    <w:rsid w:val="00EC6D57"/>
    <w:rsid w:val="00EC6D7A"/>
    <w:rsid w:val="00EC7229"/>
    <w:rsid w:val="00EC7ADA"/>
    <w:rsid w:val="00EC7E39"/>
    <w:rsid w:val="00ED03EE"/>
    <w:rsid w:val="00ED0C4E"/>
    <w:rsid w:val="00ED17D5"/>
    <w:rsid w:val="00ED1EBA"/>
    <w:rsid w:val="00ED2193"/>
    <w:rsid w:val="00ED2C57"/>
    <w:rsid w:val="00ED3D86"/>
    <w:rsid w:val="00ED423A"/>
    <w:rsid w:val="00ED44FA"/>
    <w:rsid w:val="00ED58D5"/>
    <w:rsid w:val="00ED692B"/>
    <w:rsid w:val="00ED78D3"/>
    <w:rsid w:val="00EE10B1"/>
    <w:rsid w:val="00EE133D"/>
    <w:rsid w:val="00EE1BD0"/>
    <w:rsid w:val="00EE21C3"/>
    <w:rsid w:val="00EE31A9"/>
    <w:rsid w:val="00EE484D"/>
    <w:rsid w:val="00EF1501"/>
    <w:rsid w:val="00EF1B3B"/>
    <w:rsid w:val="00EF230A"/>
    <w:rsid w:val="00EF2BA8"/>
    <w:rsid w:val="00EF3793"/>
    <w:rsid w:val="00EF51A1"/>
    <w:rsid w:val="00EF566C"/>
    <w:rsid w:val="00EF6350"/>
    <w:rsid w:val="00EF68A3"/>
    <w:rsid w:val="00EF69AB"/>
    <w:rsid w:val="00EF6F02"/>
    <w:rsid w:val="00EF768F"/>
    <w:rsid w:val="00EF77DA"/>
    <w:rsid w:val="00F00CEB"/>
    <w:rsid w:val="00F01081"/>
    <w:rsid w:val="00F01A8E"/>
    <w:rsid w:val="00F02364"/>
    <w:rsid w:val="00F02562"/>
    <w:rsid w:val="00F0258E"/>
    <w:rsid w:val="00F0402D"/>
    <w:rsid w:val="00F04141"/>
    <w:rsid w:val="00F0433C"/>
    <w:rsid w:val="00F0453A"/>
    <w:rsid w:val="00F049C5"/>
    <w:rsid w:val="00F04AC3"/>
    <w:rsid w:val="00F05350"/>
    <w:rsid w:val="00F055F6"/>
    <w:rsid w:val="00F057FA"/>
    <w:rsid w:val="00F06769"/>
    <w:rsid w:val="00F068FF"/>
    <w:rsid w:val="00F07423"/>
    <w:rsid w:val="00F078C4"/>
    <w:rsid w:val="00F10A66"/>
    <w:rsid w:val="00F11514"/>
    <w:rsid w:val="00F12190"/>
    <w:rsid w:val="00F12396"/>
    <w:rsid w:val="00F12841"/>
    <w:rsid w:val="00F133BA"/>
    <w:rsid w:val="00F13640"/>
    <w:rsid w:val="00F13908"/>
    <w:rsid w:val="00F13E55"/>
    <w:rsid w:val="00F13FD6"/>
    <w:rsid w:val="00F14348"/>
    <w:rsid w:val="00F143B8"/>
    <w:rsid w:val="00F144A4"/>
    <w:rsid w:val="00F16F2C"/>
    <w:rsid w:val="00F17B5A"/>
    <w:rsid w:val="00F17BC1"/>
    <w:rsid w:val="00F17E02"/>
    <w:rsid w:val="00F203A4"/>
    <w:rsid w:val="00F207C3"/>
    <w:rsid w:val="00F219E7"/>
    <w:rsid w:val="00F23803"/>
    <w:rsid w:val="00F23FBF"/>
    <w:rsid w:val="00F244ED"/>
    <w:rsid w:val="00F24B51"/>
    <w:rsid w:val="00F25BD7"/>
    <w:rsid w:val="00F26406"/>
    <w:rsid w:val="00F26717"/>
    <w:rsid w:val="00F27256"/>
    <w:rsid w:val="00F2745D"/>
    <w:rsid w:val="00F279D6"/>
    <w:rsid w:val="00F30C1F"/>
    <w:rsid w:val="00F32A2B"/>
    <w:rsid w:val="00F33568"/>
    <w:rsid w:val="00F33BBB"/>
    <w:rsid w:val="00F34F61"/>
    <w:rsid w:val="00F35051"/>
    <w:rsid w:val="00F35981"/>
    <w:rsid w:val="00F35B24"/>
    <w:rsid w:val="00F35FA2"/>
    <w:rsid w:val="00F36081"/>
    <w:rsid w:val="00F3716E"/>
    <w:rsid w:val="00F37329"/>
    <w:rsid w:val="00F37D93"/>
    <w:rsid w:val="00F37F02"/>
    <w:rsid w:val="00F40013"/>
    <w:rsid w:val="00F40881"/>
    <w:rsid w:val="00F4105E"/>
    <w:rsid w:val="00F410BF"/>
    <w:rsid w:val="00F41B59"/>
    <w:rsid w:val="00F4350C"/>
    <w:rsid w:val="00F43F9E"/>
    <w:rsid w:val="00F43F9F"/>
    <w:rsid w:val="00F444C0"/>
    <w:rsid w:val="00F44511"/>
    <w:rsid w:val="00F4489E"/>
    <w:rsid w:val="00F45D9C"/>
    <w:rsid w:val="00F47A7A"/>
    <w:rsid w:val="00F5177B"/>
    <w:rsid w:val="00F52040"/>
    <w:rsid w:val="00F520D7"/>
    <w:rsid w:val="00F52694"/>
    <w:rsid w:val="00F52F91"/>
    <w:rsid w:val="00F536EC"/>
    <w:rsid w:val="00F53C03"/>
    <w:rsid w:val="00F54B2D"/>
    <w:rsid w:val="00F54DBE"/>
    <w:rsid w:val="00F5538C"/>
    <w:rsid w:val="00F5604B"/>
    <w:rsid w:val="00F563AA"/>
    <w:rsid w:val="00F56527"/>
    <w:rsid w:val="00F6062B"/>
    <w:rsid w:val="00F619B1"/>
    <w:rsid w:val="00F61BAC"/>
    <w:rsid w:val="00F633B2"/>
    <w:rsid w:val="00F65775"/>
    <w:rsid w:val="00F65B03"/>
    <w:rsid w:val="00F65B0A"/>
    <w:rsid w:val="00F6623D"/>
    <w:rsid w:val="00F66DFB"/>
    <w:rsid w:val="00F672FE"/>
    <w:rsid w:val="00F70434"/>
    <w:rsid w:val="00F7075F"/>
    <w:rsid w:val="00F71FFE"/>
    <w:rsid w:val="00F72E09"/>
    <w:rsid w:val="00F746C6"/>
    <w:rsid w:val="00F75DCB"/>
    <w:rsid w:val="00F76145"/>
    <w:rsid w:val="00F7692A"/>
    <w:rsid w:val="00F76A42"/>
    <w:rsid w:val="00F77E7F"/>
    <w:rsid w:val="00F80C2C"/>
    <w:rsid w:val="00F829DB"/>
    <w:rsid w:val="00F830BA"/>
    <w:rsid w:val="00F84337"/>
    <w:rsid w:val="00F843EE"/>
    <w:rsid w:val="00F848B9"/>
    <w:rsid w:val="00F85F07"/>
    <w:rsid w:val="00F8604D"/>
    <w:rsid w:val="00F8626E"/>
    <w:rsid w:val="00F86A9F"/>
    <w:rsid w:val="00F87176"/>
    <w:rsid w:val="00F87C8E"/>
    <w:rsid w:val="00F90819"/>
    <w:rsid w:val="00F90C6C"/>
    <w:rsid w:val="00F91B6C"/>
    <w:rsid w:val="00F91E2C"/>
    <w:rsid w:val="00F9283E"/>
    <w:rsid w:val="00F929FB"/>
    <w:rsid w:val="00F92A1E"/>
    <w:rsid w:val="00F92D95"/>
    <w:rsid w:val="00F92F5E"/>
    <w:rsid w:val="00F930D5"/>
    <w:rsid w:val="00F93794"/>
    <w:rsid w:val="00F93A6E"/>
    <w:rsid w:val="00F946A2"/>
    <w:rsid w:val="00F9472A"/>
    <w:rsid w:val="00F94817"/>
    <w:rsid w:val="00F94D66"/>
    <w:rsid w:val="00F9526C"/>
    <w:rsid w:val="00F95962"/>
    <w:rsid w:val="00F96130"/>
    <w:rsid w:val="00F97AD6"/>
    <w:rsid w:val="00F97BBA"/>
    <w:rsid w:val="00FA08EA"/>
    <w:rsid w:val="00FA0FB3"/>
    <w:rsid w:val="00FA17C5"/>
    <w:rsid w:val="00FA1D03"/>
    <w:rsid w:val="00FA4B29"/>
    <w:rsid w:val="00FA58CC"/>
    <w:rsid w:val="00FA5946"/>
    <w:rsid w:val="00FA6EA1"/>
    <w:rsid w:val="00FB01EC"/>
    <w:rsid w:val="00FB057F"/>
    <w:rsid w:val="00FB0E18"/>
    <w:rsid w:val="00FB0E98"/>
    <w:rsid w:val="00FB0FA6"/>
    <w:rsid w:val="00FB0FE2"/>
    <w:rsid w:val="00FB1692"/>
    <w:rsid w:val="00FB191E"/>
    <w:rsid w:val="00FB19CD"/>
    <w:rsid w:val="00FB1BBE"/>
    <w:rsid w:val="00FB3C97"/>
    <w:rsid w:val="00FB4223"/>
    <w:rsid w:val="00FB4C2E"/>
    <w:rsid w:val="00FB5AA3"/>
    <w:rsid w:val="00FB6525"/>
    <w:rsid w:val="00FB69D6"/>
    <w:rsid w:val="00FB6CB9"/>
    <w:rsid w:val="00FB7226"/>
    <w:rsid w:val="00FB7665"/>
    <w:rsid w:val="00FB784C"/>
    <w:rsid w:val="00FC0139"/>
    <w:rsid w:val="00FC0786"/>
    <w:rsid w:val="00FC0BC0"/>
    <w:rsid w:val="00FC3C51"/>
    <w:rsid w:val="00FC3CCC"/>
    <w:rsid w:val="00FC441D"/>
    <w:rsid w:val="00FC4C40"/>
    <w:rsid w:val="00FC5058"/>
    <w:rsid w:val="00FC694C"/>
    <w:rsid w:val="00FD0467"/>
    <w:rsid w:val="00FD0843"/>
    <w:rsid w:val="00FD2699"/>
    <w:rsid w:val="00FD277F"/>
    <w:rsid w:val="00FD34F6"/>
    <w:rsid w:val="00FD44CC"/>
    <w:rsid w:val="00FD4E7F"/>
    <w:rsid w:val="00FD57E2"/>
    <w:rsid w:val="00FD5A20"/>
    <w:rsid w:val="00FD5F86"/>
    <w:rsid w:val="00FD5FC7"/>
    <w:rsid w:val="00FD6731"/>
    <w:rsid w:val="00FD69C7"/>
    <w:rsid w:val="00FD6EF6"/>
    <w:rsid w:val="00FD6FCC"/>
    <w:rsid w:val="00FD7440"/>
    <w:rsid w:val="00FD74B1"/>
    <w:rsid w:val="00FE16BB"/>
    <w:rsid w:val="00FE211A"/>
    <w:rsid w:val="00FE2683"/>
    <w:rsid w:val="00FE288E"/>
    <w:rsid w:val="00FE3720"/>
    <w:rsid w:val="00FE3ECE"/>
    <w:rsid w:val="00FE4030"/>
    <w:rsid w:val="00FE443D"/>
    <w:rsid w:val="00FE4734"/>
    <w:rsid w:val="00FE4A8C"/>
    <w:rsid w:val="00FE5D5A"/>
    <w:rsid w:val="00FE69C8"/>
    <w:rsid w:val="00FE6CAD"/>
    <w:rsid w:val="00FE71CC"/>
    <w:rsid w:val="00FE7B57"/>
    <w:rsid w:val="00FF1658"/>
    <w:rsid w:val="00FF1D84"/>
    <w:rsid w:val="00FF2F71"/>
    <w:rsid w:val="00FF30C1"/>
    <w:rsid w:val="00FF37AC"/>
    <w:rsid w:val="00FF4478"/>
    <w:rsid w:val="00FF47E0"/>
    <w:rsid w:val="00FF4A9C"/>
    <w:rsid w:val="00FF54C6"/>
    <w:rsid w:val="00FF5FE2"/>
    <w:rsid w:val="00FF6873"/>
    <w:rsid w:val="00FF6AE1"/>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405E754"/>
  <w15:docId w15:val="{8623FAAD-29F3-445E-BED3-B2B9AD8E5D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5F1825"/>
    <w:pPr>
      <w:widowControl w:val="0"/>
    </w:pPr>
    <w:rPr>
      <w:rFonts w:ascii="Arial" w:hAnsi="Arial"/>
      <w:snapToGrid w:val="0"/>
      <w:sz w:val="24"/>
      <w:lang w:val="es-ES_tradnl"/>
    </w:rPr>
  </w:style>
  <w:style w:type="paragraph" w:styleId="Ttulo1">
    <w:name w:val="heading 1"/>
    <w:basedOn w:val="Normal"/>
    <w:next w:val="Normal"/>
    <w:qFormat/>
    <w:rsid w:val="005F1825"/>
    <w:pPr>
      <w:spacing w:before="240"/>
      <w:jc w:val="center"/>
      <w:outlineLvl w:val="0"/>
    </w:pPr>
    <w:rPr>
      <w:color w:val="000000"/>
    </w:rPr>
  </w:style>
  <w:style w:type="paragraph" w:styleId="Ttulo2">
    <w:name w:val="heading 2"/>
    <w:basedOn w:val="Normal"/>
    <w:next w:val="Normal"/>
    <w:link w:val="Ttulo2Car"/>
    <w:qFormat/>
    <w:rsid w:val="005F1825"/>
    <w:pPr>
      <w:spacing w:before="240"/>
      <w:jc w:val="center"/>
      <w:outlineLvl w:val="1"/>
    </w:pPr>
    <w:rPr>
      <w:b/>
      <w:color w:val="000000"/>
      <w:sz w:val="28"/>
    </w:rPr>
  </w:style>
  <w:style w:type="paragraph" w:styleId="Ttulo3">
    <w:name w:val="heading 3"/>
    <w:basedOn w:val="Normal"/>
    <w:next w:val="Sangranormal"/>
    <w:qFormat/>
    <w:rsid w:val="005F1825"/>
    <w:pPr>
      <w:keepNext/>
      <w:spacing w:before="240"/>
      <w:outlineLvl w:val="2"/>
    </w:pPr>
    <w:rPr>
      <w:b/>
      <w:color w:val="808080"/>
      <w:u w:val="singl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angranormal">
    <w:name w:val="Normal Indent"/>
    <w:basedOn w:val="Normal"/>
    <w:rsid w:val="005F1825"/>
    <w:pPr>
      <w:ind w:left="720"/>
    </w:pPr>
  </w:style>
  <w:style w:type="paragraph" w:styleId="Textonotaalfinal">
    <w:name w:val="endnote text"/>
    <w:basedOn w:val="Normal"/>
    <w:semiHidden/>
    <w:rsid w:val="005F1825"/>
    <w:rPr>
      <w:sz w:val="20"/>
    </w:rPr>
  </w:style>
  <w:style w:type="paragraph" w:customStyle="1" w:styleId="Asunto">
    <w:name w:val="Asunto"/>
    <w:basedOn w:val="Normal"/>
    <w:rsid w:val="005F1825"/>
    <w:pPr>
      <w:keepLines/>
      <w:spacing w:before="240"/>
      <w:ind w:left="5040" w:hanging="1267"/>
    </w:pPr>
    <w:rPr>
      <w:rFonts w:ascii="Univers" w:hAnsi="Univers"/>
      <w:color w:val="000000"/>
      <w:u w:val="single"/>
    </w:rPr>
  </w:style>
  <w:style w:type="paragraph" w:styleId="Piedepgina">
    <w:name w:val="footer"/>
    <w:basedOn w:val="Normal"/>
    <w:link w:val="PiedepginaCar"/>
    <w:uiPriority w:val="99"/>
    <w:rsid w:val="005F1825"/>
    <w:pPr>
      <w:tabs>
        <w:tab w:val="center" w:pos="4819"/>
        <w:tab w:val="right" w:pos="9071"/>
      </w:tabs>
    </w:pPr>
  </w:style>
  <w:style w:type="paragraph" w:styleId="Encabezado">
    <w:name w:val="header"/>
    <w:basedOn w:val="Normal"/>
    <w:link w:val="EncabezadoCar"/>
    <w:uiPriority w:val="99"/>
    <w:rsid w:val="005F1825"/>
    <w:pPr>
      <w:tabs>
        <w:tab w:val="center" w:pos="4819"/>
        <w:tab w:val="right" w:pos="9071"/>
      </w:tabs>
    </w:pPr>
  </w:style>
  <w:style w:type="paragraph" w:customStyle="1" w:styleId="p0">
    <w:name w:val="p0"/>
    <w:basedOn w:val="Normal"/>
    <w:rsid w:val="005F1825"/>
    <w:pPr>
      <w:keepLines/>
      <w:spacing w:before="240"/>
      <w:jc w:val="both"/>
    </w:pPr>
    <w:rPr>
      <w:color w:val="0000FF"/>
    </w:rPr>
  </w:style>
  <w:style w:type="paragraph" w:customStyle="1" w:styleId="n0">
    <w:name w:val="n0"/>
    <w:basedOn w:val="Normal"/>
    <w:rsid w:val="005F1825"/>
    <w:pPr>
      <w:keepLines/>
      <w:spacing w:before="240"/>
      <w:ind w:left="1080" w:hanging="1080"/>
      <w:jc w:val="both"/>
    </w:pPr>
    <w:rPr>
      <w:color w:val="800080"/>
    </w:rPr>
  </w:style>
  <w:style w:type="paragraph" w:customStyle="1" w:styleId="bullet">
    <w:name w:val="bullet"/>
    <w:basedOn w:val="Normal"/>
    <w:rsid w:val="005F1825"/>
    <w:pPr>
      <w:numPr>
        <w:numId w:val="19"/>
      </w:numPr>
      <w:spacing w:before="240"/>
      <w:ind w:right="1185"/>
      <w:jc w:val="both"/>
    </w:pPr>
    <w:rPr>
      <w:b/>
      <w:color w:val="000080"/>
      <w:sz w:val="22"/>
    </w:rPr>
  </w:style>
  <w:style w:type="paragraph" w:customStyle="1" w:styleId="fecha">
    <w:name w:val="fecha"/>
    <w:basedOn w:val="Normal"/>
    <w:rsid w:val="005F1825"/>
    <w:pPr>
      <w:jc w:val="right"/>
    </w:pPr>
  </w:style>
  <w:style w:type="paragraph" w:customStyle="1" w:styleId="parra-nota">
    <w:name w:val="parra-nota"/>
    <w:basedOn w:val="p0"/>
    <w:rsid w:val="005F1825"/>
    <w:pPr>
      <w:tabs>
        <w:tab w:val="left" w:pos="567"/>
      </w:tabs>
      <w:spacing w:before="600"/>
      <w:ind w:left="567" w:right="11" w:hanging="567"/>
    </w:pPr>
  </w:style>
  <w:style w:type="paragraph" w:customStyle="1" w:styleId="parra-nota1">
    <w:name w:val="parra-nota1"/>
    <w:basedOn w:val="parra-nota"/>
    <w:rsid w:val="005F1825"/>
    <w:pPr>
      <w:tabs>
        <w:tab w:val="clear" w:pos="567"/>
      </w:tabs>
      <w:ind w:firstLine="0"/>
    </w:pPr>
  </w:style>
  <w:style w:type="paragraph" w:customStyle="1" w:styleId="Normal1">
    <w:name w:val="Normal1"/>
    <w:rsid w:val="005F1825"/>
    <w:rPr>
      <w:rFonts w:ascii="CG Times" w:hAnsi="CG Times"/>
      <w:lang w:val="es-ES_tradnl"/>
    </w:rPr>
  </w:style>
  <w:style w:type="paragraph" w:styleId="Textoindependiente">
    <w:name w:val="Body Text"/>
    <w:basedOn w:val="Normal"/>
    <w:link w:val="TextoindependienteCar"/>
    <w:rsid w:val="005F1825"/>
    <w:pPr>
      <w:widowControl/>
    </w:pPr>
    <w:rPr>
      <w:color w:val="000000"/>
      <w:lang w:val="es-ES"/>
    </w:rPr>
  </w:style>
  <w:style w:type="character" w:styleId="Hipervnculo">
    <w:name w:val="Hyperlink"/>
    <w:basedOn w:val="Fuentedeprrafopredeter"/>
    <w:rsid w:val="005F1825"/>
    <w:rPr>
      <w:color w:val="0000FF"/>
      <w:u w:val="single"/>
    </w:rPr>
  </w:style>
  <w:style w:type="paragraph" w:styleId="Textodeglobo">
    <w:name w:val="Balloon Text"/>
    <w:basedOn w:val="Normal"/>
    <w:link w:val="TextodegloboCar"/>
    <w:uiPriority w:val="99"/>
    <w:semiHidden/>
    <w:rsid w:val="005F1825"/>
    <w:rPr>
      <w:rFonts w:ascii="Tahoma" w:hAnsi="Tahoma" w:cs="Tahoma"/>
      <w:sz w:val="16"/>
      <w:szCs w:val="16"/>
    </w:rPr>
  </w:style>
  <w:style w:type="paragraph" w:styleId="NormalWeb">
    <w:name w:val="Normal (Web)"/>
    <w:basedOn w:val="Normal"/>
    <w:uiPriority w:val="99"/>
    <w:rsid w:val="002E5C03"/>
    <w:pPr>
      <w:widowControl/>
      <w:spacing w:before="100" w:beforeAutospacing="1" w:after="100" w:afterAutospacing="1"/>
    </w:pPr>
    <w:rPr>
      <w:rFonts w:cs="Arial"/>
      <w:snapToGrid/>
      <w:color w:val="000000"/>
      <w:sz w:val="16"/>
      <w:szCs w:val="16"/>
      <w:lang w:val="es-ES"/>
    </w:rPr>
  </w:style>
  <w:style w:type="paragraph" w:customStyle="1" w:styleId="parr2">
    <w:name w:val="parr2"/>
    <w:basedOn w:val="Normal"/>
    <w:rsid w:val="002A200D"/>
    <w:pPr>
      <w:widowControl/>
      <w:spacing w:before="600"/>
      <w:ind w:left="567" w:right="15"/>
      <w:jc w:val="both"/>
    </w:pPr>
    <w:rPr>
      <w:snapToGrid/>
    </w:rPr>
  </w:style>
  <w:style w:type="paragraph" w:customStyle="1" w:styleId="parrafo1">
    <w:name w:val="parrafo1"/>
    <w:basedOn w:val="p0"/>
    <w:rsid w:val="002D0297"/>
    <w:pPr>
      <w:keepLines w:val="0"/>
      <w:widowControl/>
      <w:spacing w:before="480"/>
      <w:ind w:left="426" w:right="443"/>
    </w:pPr>
    <w:rPr>
      <w:snapToGrid/>
      <w:color w:val="auto"/>
    </w:rPr>
  </w:style>
  <w:style w:type="paragraph" w:customStyle="1" w:styleId="titdoc">
    <w:name w:val="titdoc"/>
    <w:basedOn w:val="Normal"/>
    <w:rsid w:val="00E51C8F"/>
    <w:pPr>
      <w:widowControl/>
      <w:spacing w:before="120"/>
      <w:ind w:left="709" w:hanging="709"/>
      <w:jc w:val="both"/>
    </w:pPr>
    <w:rPr>
      <w:b/>
      <w:snapToGrid/>
    </w:rPr>
  </w:style>
  <w:style w:type="paragraph" w:styleId="Textoindependiente3">
    <w:name w:val="Body Text 3"/>
    <w:basedOn w:val="Normal"/>
    <w:link w:val="Textoindependiente3Car"/>
    <w:rsid w:val="00A00A68"/>
    <w:pPr>
      <w:spacing w:after="120"/>
    </w:pPr>
    <w:rPr>
      <w:sz w:val="16"/>
      <w:szCs w:val="16"/>
    </w:rPr>
  </w:style>
  <w:style w:type="character" w:customStyle="1" w:styleId="Textoindependiente3Car">
    <w:name w:val="Texto independiente 3 Car"/>
    <w:basedOn w:val="Fuentedeprrafopredeter"/>
    <w:link w:val="Textoindependiente3"/>
    <w:rsid w:val="00A00A68"/>
    <w:rPr>
      <w:rFonts w:ascii="Arial" w:hAnsi="Arial"/>
      <w:snapToGrid w:val="0"/>
      <w:sz w:val="16"/>
      <w:szCs w:val="16"/>
      <w:lang w:val="es-ES_tradnl"/>
    </w:rPr>
  </w:style>
  <w:style w:type="character" w:customStyle="1" w:styleId="EncabezadoCar">
    <w:name w:val="Encabezado Car"/>
    <w:basedOn w:val="Fuentedeprrafopredeter"/>
    <w:link w:val="Encabezado"/>
    <w:uiPriority w:val="99"/>
    <w:rsid w:val="00B06AE9"/>
    <w:rPr>
      <w:rFonts w:ascii="Arial" w:hAnsi="Arial"/>
      <w:snapToGrid w:val="0"/>
      <w:sz w:val="24"/>
      <w:lang w:val="es-ES_tradnl"/>
    </w:rPr>
  </w:style>
  <w:style w:type="paragraph" w:customStyle="1" w:styleId="p01">
    <w:name w:val="p01"/>
    <w:basedOn w:val="Normal1"/>
    <w:next w:val="p0"/>
    <w:rsid w:val="000C55BE"/>
    <w:pPr>
      <w:keepLines/>
      <w:spacing w:before="240"/>
      <w:jc w:val="both"/>
    </w:pPr>
    <w:rPr>
      <w:rFonts w:ascii="Univers" w:hAnsi="Univers"/>
      <w:color w:val="0000FF"/>
      <w:sz w:val="24"/>
    </w:rPr>
  </w:style>
  <w:style w:type="table" w:styleId="Tablaconcuadrcula">
    <w:name w:val="Table Grid"/>
    <w:basedOn w:val="Tablanormal"/>
    <w:rsid w:val="00663A4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nombre">
    <w:name w:val="nombre"/>
    <w:basedOn w:val="Normal"/>
    <w:rsid w:val="003F26EB"/>
    <w:pPr>
      <w:keepLines/>
      <w:spacing w:before="240"/>
      <w:ind w:left="1080" w:hanging="1080"/>
    </w:pPr>
    <w:rPr>
      <w:rFonts w:ascii="Helvetica" w:hAnsi="Helvetica"/>
      <w:color w:val="0000FF"/>
    </w:rPr>
  </w:style>
  <w:style w:type="paragraph" w:styleId="Textonotapie">
    <w:name w:val="footnote text"/>
    <w:basedOn w:val="Normal"/>
    <w:link w:val="TextonotapieCar"/>
    <w:uiPriority w:val="99"/>
    <w:rsid w:val="0036725F"/>
    <w:pPr>
      <w:widowControl/>
    </w:pPr>
    <w:rPr>
      <w:rFonts w:ascii="Times New Roman" w:hAnsi="Times New Roman"/>
      <w:snapToGrid/>
      <w:sz w:val="20"/>
      <w:lang w:val="es-ES"/>
    </w:rPr>
  </w:style>
  <w:style w:type="character" w:customStyle="1" w:styleId="TextonotapieCar">
    <w:name w:val="Texto nota pie Car"/>
    <w:basedOn w:val="Fuentedeprrafopredeter"/>
    <w:link w:val="Textonotapie"/>
    <w:uiPriority w:val="99"/>
    <w:rsid w:val="0036725F"/>
  </w:style>
  <w:style w:type="character" w:styleId="Refdenotaalpie">
    <w:name w:val="footnote reference"/>
    <w:basedOn w:val="Fuentedeprrafopredeter"/>
    <w:uiPriority w:val="99"/>
    <w:rsid w:val="0036725F"/>
    <w:rPr>
      <w:rFonts w:cs="Arial"/>
      <w:b/>
      <w:smallCaps/>
      <w:sz w:val="22"/>
      <w:vertAlign w:val="superscript"/>
      <w:lang w:val="es-MX"/>
    </w:rPr>
  </w:style>
  <w:style w:type="character" w:customStyle="1" w:styleId="PiedepginaCar">
    <w:name w:val="Pie de página Car"/>
    <w:basedOn w:val="Fuentedeprrafopredeter"/>
    <w:link w:val="Piedepgina"/>
    <w:uiPriority w:val="99"/>
    <w:rsid w:val="00B577E4"/>
    <w:rPr>
      <w:rFonts w:ascii="Arial" w:hAnsi="Arial"/>
      <w:snapToGrid w:val="0"/>
      <w:sz w:val="24"/>
      <w:lang w:val="es-ES_tradnl" w:eastAsia="es-ES"/>
    </w:rPr>
  </w:style>
  <w:style w:type="character" w:styleId="Refdenotaalfinal">
    <w:name w:val="endnote reference"/>
    <w:basedOn w:val="Fuentedeprrafopredeter"/>
    <w:rsid w:val="00B577E4"/>
    <w:rPr>
      <w:vertAlign w:val="superscript"/>
    </w:rPr>
  </w:style>
  <w:style w:type="paragraph" w:customStyle="1" w:styleId="p02">
    <w:name w:val="p02"/>
    <w:basedOn w:val="Normal"/>
    <w:next w:val="p0"/>
    <w:rsid w:val="009C447D"/>
    <w:pPr>
      <w:keepLines/>
      <w:widowControl/>
      <w:spacing w:before="240"/>
      <w:ind w:right="11"/>
      <w:jc w:val="both"/>
    </w:pPr>
    <w:rPr>
      <w:rFonts w:ascii="Univers" w:hAnsi="Univers"/>
      <w:snapToGrid/>
      <w:color w:val="0000FF"/>
    </w:rPr>
  </w:style>
  <w:style w:type="paragraph" w:customStyle="1" w:styleId="Profesin">
    <w:name w:val="Profesión"/>
    <w:basedOn w:val="Normal"/>
    <w:rsid w:val="0005576F"/>
    <w:pPr>
      <w:widowControl/>
      <w:jc w:val="center"/>
    </w:pPr>
    <w:rPr>
      <w:b/>
      <w:caps/>
      <w:snapToGrid/>
      <w:spacing w:val="25"/>
      <w:sz w:val="28"/>
    </w:rPr>
  </w:style>
  <w:style w:type="paragraph" w:customStyle="1" w:styleId="n01">
    <w:name w:val="n01"/>
    <w:basedOn w:val="Normal"/>
    <w:rsid w:val="002169BE"/>
    <w:pPr>
      <w:keepLines/>
      <w:widowControl/>
      <w:spacing w:before="240"/>
      <w:ind w:left="720" w:hanging="720"/>
      <w:jc w:val="both"/>
    </w:pPr>
    <w:rPr>
      <w:rFonts w:ascii="Univers (W1)" w:hAnsi="Univers (W1)"/>
      <w:snapToGrid/>
      <w:color w:val="800080"/>
    </w:rPr>
  </w:style>
  <w:style w:type="paragraph" w:customStyle="1" w:styleId="Default">
    <w:name w:val="Default"/>
    <w:rsid w:val="002169BE"/>
    <w:pPr>
      <w:widowControl w:val="0"/>
      <w:autoSpaceDE w:val="0"/>
      <w:autoSpaceDN w:val="0"/>
      <w:adjustRightInd w:val="0"/>
    </w:pPr>
    <w:rPr>
      <w:rFonts w:ascii="Arial" w:eastAsiaTheme="minorEastAsia" w:hAnsi="Arial" w:cs="Arial"/>
      <w:color w:val="000000"/>
      <w:sz w:val="24"/>
      <w:szCs w:val="24"/>
    </w:rPr>
  </w:style>
  <w:style w:type="paragraph" w:styleId="Prrafodelista">
    <w:name w:val="List Paragraph"/>
    <w:basedOn w:val="Normal"/>
    <w:uiPriority w:val="34"/>
    <w:qFormat/>
    <w:rsid w:val="00A57241"/>
    <w:pPr>
      <w:ind w:left="720"/>
      <w:contextualSpacing/>
    </w:pPr>
  </w:style>
  <w:style w:type="character" w:styleId="Refdecomentario">
    <w:name w:val="annotation reference"/>
    <w:basedOn w:val="Fuentedeprrafopredeter"/>
    <w:rsid w:val="00C3471E"/>
    <w:rPr>
      <w:sz w:val="16"/>
      <w:szCs w:val="16"/>
    </w:rPr>
  </w:style>
  <w:style w:type="character" w:customStyle="1" w:styleId="tituloproy21">
    <w:name w:val="titulo_proy21"/>
    <w:basedOn w:val="Fuentedeprrafopredeter"/>
    <w:rsid w:val="002C2C06"/>
    <w:rPr>
      <w:rFonts w:ascii="Arial" w:hAnsi="Arial" w:cs="Arial" w:hint="default"/>
      <w:b/>
      <w:bCs/>
      <w:strike w:val="0"/>
      <w:dstrike w:val="0"/>
      <w:color w:val="000000"/>
      <w:sz w:val="30"/>
      <w:szCs w:val="30"/>
      <w:u w:val="none"/>
      <w:effect w:val="none"/>
    </w:rPr>
  </w:style>
  <w:style w:type="character" w:customStyle="1" w:styleId="st1">
    <w:name w:val="st1"/>
    <w:basedOn w:val="Fuentedeprrafopredeter"/>
    <w:rsid w:val="00610305"/>
  </w:style>
  <w:style w:type="paragraph" w:styleId="Textoindependiente2">
    <w:name w:val="Body Text 2"/>
    <w:basedOn w:val="Normal"/>
    <w:link w:val="Textoindependiente2Car"/>
    <w:unhideWhenUsed/>
    <w:rsid w:val="00607F08"/>
    <w:pPr>
      <w:spacing w:after="120" w:line="480" w:lineRule="auto"/>
    </w:pPr>
  </w:style>
  <w:style w:type="character" w:customStyle="1" w:styleId="Textoindependiente2Car">
    <w:name w:val="Texto independiente 2 Car"/>
    <w:basedOn w:val="Fuentedeprrafopredeter"/>
    <w:link w:val="Textoindependiente2"/>
    <w:rsid w:val="00607F08"/>
    <w:rPr>
      <w:rFonts w:ascii="Arial" w:hAnsi="Arial"/>
      <w:snapToGrid w:val="0"/>
      <w:sz w:val="24"/>
      <w:lang w:val="es-ES_tradnl"/>
    </w:rPr>
  </w:style>
  <w:style w:type="character" w:customStyle="1" w:styleId="TextoindependienteCar">
    <w:name w:val="Texto independiente Car"/>
    <w:basedOn w:val="Fuentedeprrafopredeter"/>
    <w:link w:val="Textoindependiente"/>
    <w:rsid w:val="00837C13"/>
    <w:rPr>
      <w:rFonts w:ascii="Arial" w:hAnsi="Arial"/>
      <w:snapToGrid w:val="0"/>
      <w:color w:val="000000"/>
      <w:sz w:val="24"/>
    </w:rPr>
  </w:style>
  <w:style w:type="character" w:customStyle="1" w:styleId="Ttulo2Car">
    <w:name w:val="Título 2 Car"/>
    <w:basedOn w:val="Fuentedeprrafopredeter"/>
    <w:link w:val="Ttulo2"/>
    <w:rsid w:val="00837C13"/>
    <w:rPr>
      <w:rFonts w:ascii="Arial" w:hAnsi="Arial"/>
      <w:b/>
      <w:snapToGrid w:val="0"/>
      <w:color w:val="000000"/>
      <w:sz w:val="28"/>
      <w:lang w:val="es-ES_tradnl"/>
    </w:rPr>
  </w:style>
  <w:style w:type="character" w:styleId="Hipervnculovisitado">
    <w:name w:val="FollowedHyperlink"/>
    <w:basedOn w:val="Fuentedeprrafopredeter"/>
    <w:semiHidden/>
    <w:unhideWhenUsed/>
    <w:rsid w:val="00350744"/>
    <w:rPr>
      <w:color w:val="800080" w:themeColor="followedHyperlink"/>
      <w:u w:val="single"/>
    </w:rPr>
  </w:style>
  <w:style w:type="character" w:customStyle="1" w:styleId="Mencinsinresolver1">
    <w:name w:val="Mención sin resolver1"/>
    <w:basedOn w:val="Fuentedeprrafopredeter"/>
    <w:uiPriority w:val="99"/>
    <w:semiHidden/>
    <w:unhideWhenUsed/>
    <w:rsid w:val="00DC4AD6"/>
    <w:rPr>
      <w:color w:val="605E5C"/>
      <w:shd w:val="clear" w:color="auto" w:fill="E1DFDD"/>
    </w:rPr>
  </w:style>
  <w:style w:type="character" w:customStyle="1" w:styleId="Mencinsinresolver2">
    <w:name w:val="Mención sin resolver2"/>
    <w:basedOn w:val="Fuentedeprrafopredeter"/>
    <w:uiPriority w:val="99"/>
    <w:semiHidden/>
    <w:unhideWhenUsed/>
    <w:rsid w:val="00FF6AE1"/>
    <w:rPr>
      <w:color w:val="605E5C"/>
      <w:shd w:val="clear" w:color="auto" w:fill="E1DFDD"/>
    </w:rPr>
  </w:style>
  <w:style w:type="paragraph" w:customStyle="1" w:styleId="Texto">
    <w:name w:val="Texto"/>
    <w:basedOn w:val="Normal"/>
    <w:link w:val="TextoCar"/>
    <w:rsid w:val="00E27B23"/>
    <w:pPr>
      <w:widowControl/>
      <w:spacing w:after="101" w:line="216" w:lineRule="exact"/>
      <w:ind w:firstLine="288"/>
      <w:jc w:val="both"/>
    </w:pPr>
    <w:rPr>
      <w:rFonts w:cs="Arial"/>
      <w:snapToGrid/>
      <w:sz w:val="18"/>
      <w:lang w:val="es-ES"/>
    </w:rPr>
  </w:style>
  <w:style w:type="character" w:customStyle="1" w:styleId="TextoCar">
    <w:name w:val="Texto Car"/>
    <w:basedOn w:val="Fuentedeprrafopredeter"/>
    <w:link w:val="Texto"/>
    <w:rsid w:val="00E27B23"/>
    <w:rPr>
      <w:rFonts w:ascii="Arial" w:hAnsi="Arial" w:cs="Arial"/>
      <w:sz w:val="18"/>
    </w:rPr>
  </w:style>
  <w:style w:type="paragraph" w:styleId="Revisin">
    <w:name w:val="Revision"/>
    <w:hidden/>
    <w:uiPriority w:val="99"/>
    <w:semiHidden/>
    <w:rsid w:val="00073A84"/>
    <w:rPr>
      <w:rFonts w:ascii="Arial" w:hAnsi="Arial"/>
      <w:snapToGrid w:val="0"/>
      <w:sz w:val="24"/>
      <w:lang w:val="es-ES_tradnl"/>
    </w:rPr>
  </w:style>
  <w:style w:type="character" w:customStyle="1" w:styleId="TextodegloboCar">
    <w:name w:val="Texto de globo Car"/>
    <w:basedOn w:val="Fuentedeprrafopredeter"/>
    <w:link w:val="Textodeglobo"/>
    <w:uiPriority w:val="99"/>
    <w:semiHidden/>
    <w:rsid w:val="00242EF0"/>
    <w:rPr>
      <w:rFonts w:ascii="Tahoma" w:hAnsi="Tahoma" w:cs="Tahoma"/>
      <w:snapToGrid w:val="0"/>
      <w:sz w:val="16"/>
      <w:szCs w:val="16"/>
      <w:lang w:val="es-ES_tradnl"/>
    </w:rPr>
  </w:style>
  <w:style w:type="paragraph" w:styleId="Textocomentario">
    <w:name w:val="annotation text"/>
    <w:basedOn w:val="Normal"/>
    <w:link w:val="TextocomentarioCar"/>
    <w:unhideWhenUsed/>
    <w:rsid w:val="001E6B45"/>
    <w:rPr>
      <w:sz w:val="20"/>
    </w:rPr>
  </w:style>
  <w:style w:type="character" w:customStyle="1" w:styleId="TextocomentarioCar">
    <w:name w:val="Texto comentario Car"/>
    <w:basedOn w:val="Fuentedeprrafopredeter"/>
    <w:link w:val="Textocomentario"/>
    <w:rsid w:val="001E6B45"/>
    <w:rPr>
      <w:rFonts w:ascii="Arial" w:hAnsi="Arial"/>
      <w:snapToGrid w:val="0"/>
      <w:lang w:val="es-ES_tradnl"/>
    </w:rPr>
  </w:style>
  <w:style w:type="paragraph" w:styleId="Asuntodelcomentario">
    <w:name w:val="annotation subject"/>
    <w:basedOn w:val="Textocomentario"/>
    <w:next w:val="Textocomentario"/>
    <w:link w:val="AsuntodelcomentarioCar"/>
    <w:semiHidden/>
    <w:unhideWhenUsed/>
    <w:rsid w:val="001E6B45"/>
    <w:rPr>
      <w:b/>
      <w:bCs/>
    </w:rPr>
  </w:style>
  <w:style w:type="character" w:customStyle="1" w:styleId="AsuntodelcomentarioCar">
    <w:name w:val="Asunto del comentario Car"/>
    <w:basedOn w:val="TextocomentarioCar"/>
    <w:link w:val="Asuntodelcomentario"/>
    <w:semiHidden/>
    <w:rsid w:val="001E6B45"/>
    <w:rPr>
      <w:rFonts w:ascii="Arial" w:hAnsi="Arial"/>
      <w:b/>
      <w:bCs/>
      <w:snapToGrid w:val="0"/>
      <w:lang w:val="es-ES_tradnl"/>
    </w:rPr>
  </w:style>
  <w:style w:type="character" w:customStyle="1" w:styleId="ui-provider">
    <w:name w:val="ui-provider"/>
    <w:basedOn w:val="Fuentedeprrafopredeter"/>
    <w:rsid w:val="008B56B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6396808">
      <w:bodyDiv w:val="1"/>
      <w:marLeft w:val="0"/>
      <w:marRight w:val="0"/>
      <w:marTop w:val="0"/>
      <w:marBottom w:val="0"/>
      <w:divBdr>
        <w:top w:val="none" w:sz="0" w:space="0" w:color="auto"/>
        <w:left w:val="none" w:sz="0" w:space="0" w:color="auto"/>
        <w:bottom w:val="none" w:sz="0" w:space="0" w:color="auto"/>
        <w:right w:val="none" w:sz="0" w:space="0" w:color="auto"/>
      </w:divBdr>
    </w:div>
    <w:div w:id="351805186">
      <w:bodyDiv w:val="1"/>
      <w:marLeft w:val="0"/>
      <w:marRight w:val="0"/>
      <w:marTop w:val="0"/>
      <w:marBottom w:val="0"/>
      <w:divBdr>
        <w:top w:val="none" w:sz="0" w:space="0" w:color="auto"/>
        <w:left w:val="none" w:sz="0" w:space="0" w:color="auto"/>
        <w:bottom w:val="none" w:sz="0" w:space="0" w:color="auto"/>
        <w:right w:val="none" w:sz="0" w:space="0" w:color="auto"/>
      </w:divBdr>
    </w:div>
    <w:div w:id="512259591">
      <w:bodyDiv w:val="1"/>
      <w:marLeft w:val="0"/>
      <w:marRight w:val="0"/>
      <w:marTop w:val="0"/>
      <w:marBottom w:val="0"/>
      <w:divBdr>
        <w:top w:val="none" w:sz="0" w:space="0" w:color="auto"/>
        <w:left w:val="none" w:sz="0" w:space="0" w:color="auto"/>
        <w:bottom w:val="none" w:sz="0" w:space="0" w:color="auto"/>
        <w:right w:val="none" w:sz="0" w:space="0" w:color="auto"/>
      </w:divBdr>
    </w:div>
    <w:div w:id="578757197">
      <w:bodyDiv w:val="1"/>
      <w:marLeft w:val="0"/>
      <w:marRight w:val="0"/>
      <w:marTop w:val="0"/>
      <w:marBottom w:val="0"/>
      <w:divBdr>
        <w:top w:val="none" w:sz="0" w:space="0" w:color="auto"/>
        <w:left w:val="none" w:sz="0" w:space="0" w:color="auto"/>
        <w:bottom w:val="none" w:sz="0" w:space="0" w:color="auto"/>
        <w:right w:val="none" w:sz="0" w:space="0" w:color="auto"/>
      </w:divBdr>
    </w:div>
    <w:div w:id="595479416">
      <w:bodyDiv w:val="1"/>
      <w:marLeft w:val="0"/>
      <w:marRight w:val="0"/>
      <w:marTop w:val="0"/>
      <w:marBottom w:val="0"/>
      <w:divBdr>
        <w:top w:val="none" w:sz="0" w:space="0" w:color="auto"/>
        <w:left w:val="none" w:sz="0" w:space="0" w:color="auto"/>
        <w:bottom w:val="none" w:sz="0" w:space="0" w:color="auto"/>
        <w:right w:val="none" w:sz="0" w:space="0" w:color="auto"/>
      </w:divBdr>
    </w:div>
    <w:div w:id="853808339">
      <w:bodyDiv w:val="1"/>
      <w:marLeft w:val="0"/>
      <w:marRight w:val="0"/>
      <w:marTop w:val="0"/>
      <w:marBottom w:val="0"/>
      <w:divBdr>
        <w:top w:val="none" w:sz="0" w:space="0" w:color="auto"/>
        <w:left w:val="none" w:sz="0" w:space="0" w:color="auto"/>
        <w:bottom w:val="none" w:sz="0" w:space="0" w:color="auto"/>
        <w:right w:val="none" w:sz="0" w:space="0" w:color="auto"/>
      </w:divBdr>
    </w:div>
    <w:div w:id="992293318">
      <w:bodyDiv w:val="1"/>
      <w:marLeft w:val="0"/>
      <w:marRight w:val="0"/>
      <w:marTop w:val="0"/>
      <w:marBottom w:val="0"/>
      <w:divBdr>
        <w:top w:val="none" w:sz="0" w:space="0" w:color="auto"/>
        <w:left w:val="none" w:sz="0" w:space="0" w:color="auto"/>
        <w:bottom w:val="none" w:sz="0" w:space="0" w:color="auto"/>
        <w:right w:val="none" w:sz="0" w:space="0" w:color="auto"/>
      </w:divBdr>
    </w:div>
    <w:div w:id="1054545712">
      <w:bodyDiv w:val="1"/>
      <w:marLeft w:val="0"/>
      <w:marRight w:val="0"/>
      <w:marTop w:val="0"/>
      <w:marBottom w:val="0"/>
      <w:divBdr>
        <w:top w:val="none" w:sz="0" w:space="0" w:color="auto"/>
        <w:left w:val="none" w:sz="0" w:space="0" w:color="auto"/>
        <w:bottom w:val="none" w:sz="0" w:space="0" w:color="auto"/>
        <w:right w:val="none" w:sz="0" w:space="0" w:color="auto"/>
      </w:divBdr>
    </w:div>
    <w:div w:id="1270358850">
      <w:bodyDiv w:val="1"/>
      <w:marLeft w:val="0"/>
      <w:marRight w:val="0"/>
      <w:marTop w:val="0"/>
      <w:marBottom w:val="0"/>
      <w:divBdr>
        <w:top w:val="none" w:sz="0" w:space="0" w:color="auto"/>
        <w:left w:val="none" w:sz="0" w:space="0" w:color="auto"/>
        <w:bottom w:val="none" w:sz="0" w:space="0" w:color="auto"/>
        <w:right w:val="none" w:sz="0" w:space="0" w:color="auto"/>
      </w:divBdr>
    </w:div>
    <w:div w:id="1451584965">
      <w:bodyDiv w:val="1"/>
      <w:marLeft w:val="0"/>
      <w:marRight w:val="0"/>
      <w:marTop w:val="0"/>
      <w:marBottom w:val="0"/>
      <w:divBdr>
        <w:top w:val="none" w:sz="0" w:space="0" w:color="auto"/>
        <w:left w:val="none" w:sz="0" w:space="0" w:color="auto"/>
        <w:bottom w:val="none" w:sz="0" w:space="0" w:color="auto"/>
        <w:right w:val="none" w:sz="0" w:space="0" w:color="auto"/>
      </w:divBdr>
    </w:div>
    <w:div w:id="1469325410">
      <w:bodyDiv w:val="1"/>
      <w:marLeft w:val="0"/>
      <w:marRight w:val="0"/>
      <w:marTop w:val="0"/>
      <w:marBottom w:val="0"/>
      <w:divBdr>
        <w:top w:val="none" w:sz="0" w:space="0" w:color="auto"/>
        <w:left w:val="none" w:sz="0" w:space="0" w:color="auto"/>
        <w:bottom w:val="none" w:sz="0" w:space="0" w:color="auto"/>
        <w:right w:val="none" w:sz="0" w:space="0" w:color="auto"/>
      </w:divBdr>
    </w:div>
    <w:div w:id="1510171670">
      <w:bodyDiv w:val="1"/>
      <w:marLeft w:val="0"/>
      <w:marRight w:val="0"/>
      <w:marTop w:val="0"/>
      <w:marBottom w:val="0"/>
      <w:divBdr>
        <w:top w:val="none" w:sz="0" w:space="0" w:color="auto"/>
        <w:left w:val="none" w:sz="0" w:space="0" w:color="auto"/>
        <w:bottom w:val="none" w:sz="0" w:space="0" w:color="auto"/>
        <w:right w:val="none" w:sz="0" w:space="0" w:color="auto"/>
      </w:divBdr>
    </w:div>
    <w:div w:id="1605266309">
      <w:bodyDiv w:val="1"/>
      <w:marLeft w:val="0"/>
      <w:marRight w:val="0"/>
      <w:marTop w:val="0"/>
      <w:marBottom w:val="0"/>
      <w:divBdr>
        <w:top w:val="none" w:sz="0" w:space="0" w:color="auto"/>
        <w:left w:val="none" w:sz="0" w:space="0" w:color="auto"/>
        <w:bottom w:val="none" w:sz="0" w:space="0" w:color="auto"/>
        <w:right w:val="none" w:sz="0" w:space="0" w:color="auto"/>
      </w:divBdr>
    </w:div>
    <w:div w:id="1791316299">
      <w:bodyDiv w:val="1"/>
      <w:marLeft w:val="0"/>
      <w:marRight w:val="0"/>
      <w:marTop w:val="0"/>
      <w:marBottom w:val="0"/>
      <w:divBdr>
        <w:top w:val="none" w:sz="0" w:space="0" w:color="auto"/>
        <w:left w:val="none" w:sz="0" w:space="0" w:color="auto"/>
        <w:bottom w:val="none" w:sz="0" w:space="0" w:color="auto"/>
        <w:right w:val="none" w:sz="0" w:space="0" w:color="auto"/>
      </w:divBdr>
    </w:div>
    <w:div w:id="1796214354">
      <w:bodyDiv w:val="1"/>
      <w:marLeft w:val="0"/>
      <w:marRight w:val="0"/>
      <w:marTop w:val="0"/>
      <w:marBottom w:val="0"/>
      <w:divBdr>
        <w:top w:val="none" w:sz="0" w:space="0" w:color="auto"/>
        <w:left w:val="none" w:sz="0" w:space="0" w:color="auto"/>
        <w:bottom w:val="none" w:sz="0" w:space="0" w:color="auto"/>
        <w:right w:val="none" w:sz="0" w:space="0" w:color="auto"/>
      </w:divBdr>
    </w:div>
    <w:div w:id="1806045240">
      <w:bodyDiv w:val="1"/>
      <w:marLeft w:val="0"/>
      <w:marRight w:val="0"/>
      <w:marTop w:val="0"/>
      <w:marBottom w:val="0"/>
      <w:divBdr>
        <w:top w:val="none" w:sz="0" w:space="0" w:color="auto"/>
        <w:left w:val="none" w:sz="0" w:space="0" w:color="auto"/>
        <w:bottom w:val="none" w:sz="0" w:space="0" w:color="auto"/>
        <w:right w:val="none" w:sz="0" w:space="0" w:color="auto"/>
      </w:divBdr>
    </w:div>
    <w:div w:id="1822497765">
      <w:bodyDiv w:val="1"/>
      <w:marLeft w:val="0"/>
      <w:marRight w:val="0"/>
      <w:marTop w:val="0"/>
      <w:marBottom w:val="0"/>
      <w:divBdr>
        <w:top w:val="none" w:sz="0" w:space="0" w:color="auto"/>
        <w:left w:val="none" w:sz="0" w:space="0" w:color="auto"/>
        <w:bottom w:val="none" w:sz="0" w:space="0" w:color="auto"/>
        <w:right w:val="none" w:sz="0" w:space="0" w:color="auto"/>
      </w:divBdr>
    </w:div>
    <w:div w:id="2105301435">
      <w:bodyDiv w:val="1"/>
      <w:marLeft w:val="0"/>
      <w:marRight w:val="0"/>
      <w:marTop w:val="0"/>
      <w:marBottom w:val="0"/>
      <w:divBdr>
        <w:top w:val="none" w:sz="0" w:space="0" w:color="auto"/>
        <w:left w:val="none" w:sz="0" w:space="0" w:color="auto"/>
        <w:bottom w:val="none" w:sz="0" w:space="0" w:color="auto"/>
        <w:right w:val="none" w:sz="0" w:space="0" w:color="auto"/>
      </w:divBdr>
    </w:div>
    <w:div w:id="2118601402">
      <w:bodyDiv w:val="1"/>
      <w:marLeft w:val="0"/>
      <w:marRight w:val="0"/>
      <w:marTop w:val="0"/>
      <w:marBottom w:val="0"/>
      <w:divBdr>
        <w:top w:val="none" w:sz="0" w:space="0" w:color="auto"/>
        <w:left w:val="none" w:sz="0" w:space="0" w:color="auto"/>
        <w:bottom w:val="none" w:sz="0" w:space="0" w:color="auto"/>
        <w:right w:val="none" w:sz="0" w:space="0" w:color="auto"/>
      </w:divBdr>
    </w:div>
    <w:div w:id="2126850444">
      <w:bodyDiv w:val="1"/>
      <w:marLeft w:val="0"/>
      <w:marRight w:val="0"/>
      <w:marTop w:val="0"/>
      <w:marBottom w:val="0"/>
      <w:divBdr>
        <w:top w:val="none" w:sz="0" w:space="0" w:color="auto"/>
        <w:left w:val="none" w:sz="0" w:space="0" w:color="auto"/>
        <w:bottom w:val="none" w:sz="0" w:space="0" w:color="auto"/>
        <w:right w:val="none" w:sz="0" w:space="0" w:color="auto"/>
      </w:divBdr>
      <w:divsChild>
        <w:div w:id="469592732">
          <w:marLeft w:val="0"/>
          <w:marRight w:val="0"/>
          <w:marTop w:val="0"/>
          <w:marBottom w:val="0"/>
          <w:divBdr>
            <w:top w:val="none" w:sz="0" w:space="0" w:color="auto"/>
            <w:left w:val="none" w:sz="0" w:space="0" w:color="auto"/>
            <w:bottom w:val="none" w:sz="0" w:space="0" w:color="auto"/>
            <w:right w:val="none" w:sz="0" w:space="0" w:color="auto"/>
          </w:divBdr>
          <w:divsChild>
            <w:div w:id="671837456">
              <w:marLeft w:val="0"/>
              <w:marRight w:val="0"/>
              <w:marTop w:val="0"/>
              <w:marBottom w:val="0"/>
              <w:divBdr>
                <w:top w:val="none" w:sz="0" w:space="0" w:color="auto"/>
                <w:left w:val="none" w:sz="0" w:space="0" w:color="auto"/>
                <w:bottom w:val="none" w:sz="0" w:space="0" w:color="auto"/>
                <w:right w:val="none" w:sz="0" w:space="0" w:color="auto"/>
              </w:divBdr>
              <w:divsChild>
                <w:div w:id="537086065">
                  <w:marLeft w:val="15"/>
                  <w:marRight w:val="0"/>
                  <w:marTop w:val="0"/>
                  <w:marBottom w:val="0"/>
                  <w:divBdr>
                    <w:top w:val="none" w:sz="0" w:space="0" w:color="auto"/>
                    <w:left w:val="none" w:sz="0" w:space="0" w:color="auto"/>
                    <w:bottom w:val="none" w:sz="0" w:space="0" w:color="auto"/>
                    <w:right w:val="none" w:sz="0" w:space="0" w:color="auto"/>
                  </w:divBdr>
                  <w:divsChild>
                    <w:div w:id="799305079">
                      <w:marLeft w:val="0"/>
                      <w:marRight w:val="0"/>
                      <w:marTop w:val="0"/>
                      <w:marBottom w:val="0"/>
                      <w:divBdr>
                        <w:top w:val="none" w:sz="0" w:space="0" w:color="auto"/>
                        <w:left w:val="none" w:sz="0" w:space="0" w:color="auto"/>
                        <w:bottom w:val="none" w:sz="0" w:space="0" w:color="auto"/>
                        <w:right w:val="none" w:sz="0" w:space="0" w:color="auto"/>
                      </w:divBdr>
                      <w:divsChild>
                        <w:div w:id="2140996372">
                          <w:marLeft w:val="0"/>
                          <w:marRight w:val="0"/>
                          <w:marTop w:val="0"/>
                          <w:marBottom w:val="0"/>
                          <w:divBdr>
                            <w:top w:val="none" w:sz="0" w:space="0" w:color="auto"/>
                            <w:left w:val="none" w:sz="0" w:space="0" w:color="auto"/>
                            <w:bottom w:val="none" w:sz="0" w:space="0" w:color="auto"/>
                            <w:right w:val="none" w:sz="0" w:space="0" w:color="auto"/>
                          </w:divBdr>
                          <w:divsChild>
                            <w:div w:id="486092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chart" Target="charts/chart4.xml"/><Relationship Id="rId3" Type="http://schemas.openxmlformats.org/officeDocument/2006/relationships/customXml" Target="../customXml/item3.xml"/><Relationship Id="rId21" Type="http://schemas.openxmlformats.org/officeDocument/2006/relationships/image" Target="media/image3.gif"/><Relationship Id="rId7" Type="http://schemas.openxmlformats.org/officeDocument/2006/relationships/settings" Target="settings.xml"/><Relationship Id="rId12" Type="http://schemas.openxmlformats.org/officeDocument/2006/relationships/hyperlink" Target="mailto:comunicacionsocial@inegi.org.mx" TargetMode="External"/><Relationship Id="rId17" Type="http://schemas.openxmlformats.org/officeDocument/2006/relationships/chart" Target="charts/chart3.xm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chart" Target="charts/chart2.xml"/><Relationship Id="rId20" Type="http://schemas.openxmlformats.org/officeDocument/2006/relationships/hyperlink" Target="https://www.inegi.org.mx/app/biblioteca/ficha.html?upc=702825099060"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chart" Target="charts/chart1.xml"/><Relationship Id="rId24"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image" Target="media/image2.jpg"/><Relationship Id="rId23" Type="http://schemas.openxmlformats.org/officeDocument/2006/relationships/header" Target="header2.xml"/><Relationship Id="rId10" Type="http://schemas.openxmlformats.org/officeDocument/2006/relationships/endnotes" Target="endnotes.xml"/><Relationship Id="rId19" Type="http://schemas.openxmlformats.org/officeDocument/2006/relationships/chart" Target="charts/chart5.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 Id="rId22" Type="http://schemas.openxmlformats.org/officeDocument/2006/relationships/hyperlink" Target="http://www.inegi.org.mx" TargetMode="External"/></Relationships>
</file>

<file path=word/_rels/header1.xml.rels><?xml version="1.0" encoding="UTF-8" standalone="yes"?>
<Relationships xmlns="http://schemas.openxmlformats.org/package/2006/relationships"><Relationship Id="rId2" Type="http://schemas.openxmlformats.org/officeDocument/2006/relationships/image" Target="cid:image002.png@01D4B335.490B1A50" TargetMode="External"/><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cid:image002.png@01D4B335.490B1A50" TargetMode="External"/><Relationship Id="rId1" Type="http://schemas.openxmlformats.org/officeDocument/2006/relationships/image" Target="media/image1.png"/></Relationships>
</file>

<file path=word/charts/_rels/chart1.xml.rels><?xml version="1.0" encoding="UTF-8" standalone="yes"?>
<Relationships xmlns="http://schemas.openxmlformats.org/package/2006/relationships"><Relationship Id="rId1" Type="http://schemas.openxmlformats.org/officeDocument/2006/relationships/oleObject" Target="file:///D:\Notas%20Trabajo%202021\Pib%20Tradicional%202013\Constante\2023\I%20Trim\Graficas%20PIB%20constante%20(cifras%20desestacionalizada).xlsx" TargetMode="External"/></Relationships>
</file>

<file path=word/charts/_rels/chart2.xml.rels><?xml version="1.0" encoding="UTF-8" standalone="yes"?>
<Relationships xmlns="http://schemas.openxmlformats.org/package/2006/relationships"><Relationship Id="rId1" Type="http://schemas.openxmlformats.org/officeDocument/2006/relationships/oleObject" Target="file:///D:\Notas%20Trabajo%202021\Pib%20Tradicional%202013\Constante\2023\I%20Trim\Graficas%20PIB%20constante%20(cifras%20desestacionalizada).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D:\Notas%20Trabajo%202021\Pib%20Tradicional%202013\Constante\2023\I%20Trim\Graficas%20PIB%20constante%20(cifras%20desestacionalizada).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D:\Notas%20Trabajo%202021\Pib%20Tradicional%202013\Constante\2023\I%20Trim\Graficas%20PIB%20constante%20(cifras%20desestacionalizada).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D:\Notas%20Trabajo%202021\Pib%20Tradicional%202013\Constante\2023\I%20Trim\Graficas%20PIB%20constante%20(cifras%20desestacionalizada).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2597995018064603"/>
          <c:y val="2.8292682926829286E-2"/>
          <c:w val="0.85239743365412857"/>
          <c:h val="0.80689880952380955"/>
        </c:manualLayout>
      </c:layout>
      <c:barChart>
        <c:barDir val="col"/>
        <c:grouping val="clustered"/>
        <c:varyColors val="0"/>
        <c:ser>
          <c:idx val="0"/>
          <c:order val="0"/>
          <c:tx>
            <c:strRef>
              <c:f>datos!$D$5</c:f>
              <c:strCache>
                <c:ptCount val="1"/>
                <c:pt idx="0">
                  <c:v>Serie desestacionalizada</c:v>
                </c:pt>
              </c:strCache>
            </c:strRef>
          </c:tx>
          <c:spPr>
            <a:solidFill>
              <a:schemeClr val="tx2">
                <a:lumMod val="60000"/>
                <a:lumOff val="40000"/>
              </a:schemeClr>
            </a:solidFill>
            <a:ln w="12700">
              <a:noFill/>
              <a:prstDash val="solid"/>
            </a:ln>
            <a:effectLst/>
          </c:spPr>
          <c:invertIfNegative val="0"/>
          <c:cat>
            <c:multiLvlStrRef>
              <c:f>datos!$B$51:$C$87</c:f>
              <c:multiLvlStrCache>
                <c:ptCount val="37"/>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lvl>
                <c:lvl>
                  <c:pt idx="0">
                    <c:v>2014</c:v>
                  </c:pt>
                  <c:pt idx="4">
                    <c:v>2015</c:v>
                  </c:pt>
                  <c:pt idx="8">
                    <c:v>2016</c:v>
                  </c:pt>
                  <c:pt idx="12">
                    <c:v>2017</c:v>
                  </c:pt>
                  <c:pt idx="16">
                    <c:v>2018</c:v>
                  </c:pt>
                  <c:pt idx="20">
                    <c:v>2019</c:v>
                  </c:pt>
                  <c:pt idx="24">
                    <c:v>2020</c:v>
                  </c:pt>
                  <c:pt idx="28">
                    <c:v>2021</c:v>
                  </c:pt>
                  <c:pt idx="32">
                    <c:v>2022</c:v>
                  </c:pt>
                  <c:pt idx="36">
                    <c:v>2023</c:v>
                  </c:pt>
                </c:lvl>
              </c:multiLvlStrCache>
            </c:multiLvlStrRef>
          </c:cat>
          <c:val>
            <c:numRef>
              <c:f>datos!$D$51:$D$87</c:f>
              <c:numCache>
                <c:formatCode>0.0</c:formatCode>
                <c:ptCount val="37"/>
                <c:pt idx="0">
                  <c:v>16519378.390786299</c:v>
                </c:pt>
                <c:pt idx="1">
                  <c:v>16736667.853191201</c:v>
                </c:pt>
                <c:pt idx="2">
                  <c:v>16777863.772717599</c:v>
                </c:pt>
                <c:pt idx="3">
                  <c:v>16964874.042148799</c:v>
                </c:pt>
                <c:pt idx="4">
                  <c:v>17058325.454881001</c:v>
                </c:pt>
                <c:pt idx="5">
                  <c:v>17265319.026076499</c:v>
                </c:pt>
                <c:pt idx="6">
                  <c:v>17467255.767717101</c:v>
                </c:pt>
                <c:pt idx="7">
                  <c:v>17428130.0281686</c:v>
                </c:pt>
                <c:pt idx="8">
                  <c:v>17529740.2210561</c:v>
                </c:pt>
                <c:pt idx="9">
                  <c:v>17605812.9052344</c:v>
                </c:pt>
                <c:pt idx="10">
                  <c:v>17765983.983042799</c:v>
                </c:pt>
                <c:pt idx="11">
                  <c:v>17975687.511747599</c:v>
                </c:pt>
                <c:pt idx="12">
                  <c:v>18061255.582502801</c:v>
                </c:pt>
                <c:pt idx="13">
                  <c:v>18119188.127781499</c:v>
                </c:pt>
                <c:pt idx="14">
                  <c:v>18044662.565993302</c:v>
                </c:pt>
                <c:pt idx="15">
                  <c:v>18307172.546608601</c:v>
                </c:pt>
                <c:pt idx="16">
                  <c:v>18515410.985218901</c:v>
                </c:pt>
                <c:pt idx="17">
                  <c:v>18502372.282343</c:v>
                </c:pt>
                <c:pt idx="18">
                  <c:v>18553338.8409472</c:v>
                </c:pt>
                <c:pt idx="19">
                  <c:v>18544443.707577199</c:v>
                </c:pt>
                <c:pt idx="20">
                  <c:v>18553223.6450941</c:v>
                </c:pt>
                <c:pt idx="21">
                  <c:v>18474422.956068501</c:v>
                </c:pt>
                <c:pt idx="22">
                  <c:v>18517409.4149496</c:v>
                </c:pt>
                <c:pt idx="23">
                  <c:v>18432431.442593299</c:v>
                </c:pt>
                <c:pt idx="24">
                  <c:v>18250334.066392001</c:v>
                </c:pt>
                <c:pt idx="25">
                  <c:v>15000842.856809201</c:v>
                </c:pt>
                <c:pt idx="26">
                  <c:v>16975744.0404233</c:v>
                </c:pt>
                <c:pt idx="27">
                  <c:v>17711133.694028798</c:v>
                </c:pt>
                <c:pt idx="28">
                  <c:v>17769744.354789101</c:v>
                </c:pt>
                <c:pt idx="29">
                  <c:v>17903810.904696599</c:v>
                </c:pt>
                <c:pt idx="30">
                  <c:v>17706589.744996399</c:v>
                </c:pt>
                <c:pt idx="31">
                  <c:v>17915825.264849599</c:v>
                </c:pt>
                <c:pt idx="32">
                  <c:v>18098116.384039801</c:v>
                </c:pt>
                <c:pt idx="33">
                  <c:v>18297961.319087502</c:v>
                </c:pt>
                <c:pt idx="34">
                  <c:v>18465383.251448501</c:v>
                </c:pt>
                <c:pt idx="35">
                  <c:v>18572217.304685701</c:v>
                </c:pt>
                <c:pt idx="36">
                  <c:v>18761767.376709599</c:v>
                </c:pt>
              </c:numCache>
            </c:numRef>
          </c:val>
          <c:extLst>
            <c:ext xmlns:c16="http://schemas.microsoft.com/office/drawing/2014/chart" uri="{C3380CC4-5D6E-409C-BE32-E72D297353CC}">
              <c16:uniqueId val="{00000000-56EE-4711-9248-C199E59AEEEA}"/>
            </c:ext>
          </c:extLst>
        </c:ser>
        <c:dLbls>
          <c:showLegendKey val="0"/>
          <c:showVal val="0"/>
          <c:showCatName val="0"/>
          <c:showSerName val="0"/>
          <c:showPercent val="0"/>
          <c:showBubbleSize val="0"/>
        </c:dLbls>
        <c:gapWidth val="60"/>
        <c:axId val="209277768"/>
        <c:axId val="209279336"/>
      </c:barChart>
      <c:lineChart>
        <c:grouping val="standard"/>
        <c:varyColors val="0"/>
        <c:ser>
          <c:idx val="1"/>
          <c:order val="1"/>
          <c:tx>
            <c:strRef>
              <c:f>datos!$E$5</c:f>
              <c:strCache>
                <c:ptCount val="1"/>
                <c:pt idx="0">
                  <c:v>Serie de tendencia-ciclo</c:v>
                </c:pt>
              </c:strCache>
            </c:strRef>
          </c:tx>
          <c:spPr>
            <a:ln w="19050">
              <a:solidFill>
                <a:schemeClr val="tx2">
                  <a:lumMod val="75000"/>
                </a:schemeClr>
              </a:solidFill>
            </a:ln>
          </c:spPr>
          <c:marker>
            <c:symbol val="none"/>
          </c:marker>
          <c:cat>
            <c:multiLvlStrRef>
              <c:f>datos!$B$51:$C$87</c:f>
              <c:multiLvlStrCache>
                <c:ptCount val="37"/>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lvl>
                <c:lvl>
                  <c:pt idx="0">
                    <c:v>2014</c:v>
                  </c:pt>
                  <c:pt idx="4">
                    <c:v>2015</c:v>
                  </c:pt>
                  <c:pt idx="8">
                    <c:v>2016</c:v>
                  </c:pt>
                  <c:pt idx="12">
                    <c:v>2017</c:v>
                  </c:pt>
                  <c:pt idx="16">
                    <c:v>2018</c:v>
                  </c:pt>
                  <c:pt idx="20">
                    <c:v>2019</c:v>
                  </c:pt>
                  <c:pt idx="24">
                    <c:v>2020</c:v>
                  </c:pt>
                  <c:pt idx="28">
                    <c:v>2021</c:v>
                  </c:pt>
                  <c:pt idx="32">
                    <c:v>2022</c:v>
                  </c:pt>
                  <c:pt idx="36">
                    <c:v>2023</c:v>
                  </c:pt>
                </c:lvl>
              </c:multiLvlStrCache>
            </c:multiLvlStrRef>
          </c:cat>
          <c:val>
            <c:numRef>
              <c:f>datos!$E$51:$E$87</c:f>
              <c:numCache>
                <c:formatCode>0.0</c:formatCode>
                <c:ptCount val="37"/>
                <c:pt idx="0">
                  <c:v>16539960.6358683</c:v>
                </c:pt>
                <c:pt idx="1">
                  <c:v>16680455.034011301</c:v>
                </c:pt>
                <c:pt idx="2">
                  <c:v>16812759.342609201</c:v>
                </c:pt>
                <c:pt idx="3">
                  <c:v>16933670.3144552</c:v>
                </c:pt>
                <c:pt idx="4">
                  <c:v>17082240.490088101</c:v>
                </c:pt>
                <c:pt idx="5">
                  <c:v>17273939.795086201</c:v>
                </c:pt>
                <c:pt idx="6">
                  <c:v>17421892.532157101</c:v>
                </c:pt>
                <c:pt idx="7">
                  <c:v>17468373.066456299</c:v>
                </c:pt>
                <c:pt idx="8">
                  <c:v>17509481.143387798</c:v>
                </c:pt>
                <c:pt idx="9">
                  <c:v>17616401.152600002</c:v>
                </c:pt>
                <c:pt idx="10">
                  <c:v>17776197.7637714</c:v>
                </c:pt>
                <c:pt idx="11">
                  <c:v>17955850.012909502</c:v>
                </c:pt>
                <c:pt idx="12">
                  <c:v>18070393.232177399</c:v>
                </c:pt>
                <c:pt idx="13">
                  <c:v>18099597.145617899</c:v>
                </c:pt>
                <c:pt idx="14">
                  <c:v>18150876.0061833</c:v>
                </c:pt>
                <c:pt idx="15">
                  <c:v>18313281.9479024</c:v>
                </c:pt>
                <c:pt idx="16">
                  <c:v>18476556.2543106</c:v>
                </c:pt>
                <c:pt idx="17">
                  <c:v>18532414.7176046</c:v>
                </c:pt>
                <c:pt idx="18">
                  <c:v>18538550.4561828</c:v>
                </c:pt>
                <c:pt idx="19">
                  <c:v>18557865.531584602</c:v>
                </c:pt>
                <c:pt idx="20">
                  <c:v>18530121.921634499</c:v>
                </c:pt>
                <c:pt idx="21">
                  <c:v>18508134.5169966</c:v>
                </c:pt>
                <c:pt idx="22">
                  <c:v>18495942.719402101</c:v>
                </c:pt>
                <c:pt idx="23">
                  <c:v>18413993.502053101</c:v>
                </c:pt>
                <c:pt idx="24">
                  <c:v>18303148.487814199</c:v>
                </c:pt>
                <c:pt idx="25">
                  <c:v>17624819.768795699</c:v>
                </c:pt>
                <c:pt idx="26">
                  <c:v>17655096.1896929</c:v>
                </c:pt>
                <c:pt idx="27">
                  <c:v>17704059.993694302</c:v>
                </c:pt>
                <c:pt idx="28">
                  <c:v>17767751.283540498</c:v>
                </c:pt>
                <c:pt idx="29">
                  <c:v>17791622.340868</c:v>
                </c:pt>
                <c:pt idx="30">
                  <c:v>17820214.438390501</c:v>
                </c:pt>
                <c:pt idx="31">
                  <c:v>17919202.622988898</c:v>
                </c:pt>
                <c:pt idx="32">
                  <c:v>18097368.7610793</c:v>
                </c:pt>
                <c:pt idx="33">
                  <c:v>18296254.599439301</c:v>
                </c:pt>
                <c:pt idx="34">
                  <c:v>18453213.460816301</c:v>
                </c:pt>
                <c:pt idx="35">
                  <c:v>18593110.231057301</c:v>
                </c:pt>
                <c:pt idx="36">
                  <c:v>18752873.836241599</c:v>
                </c:pt>
              </c:numCache>
            </c:numRef>
          </c:val>
          <c:smooth val="0"/>
          <c:extLst>
            <c:ext xmlns:c16="http://schemas.microsoft.com/office/drawing/2014/chart" uri="{C3380CC4-5D6E-409C-BE32-E72D297353CC}">
              <c16:uniqueId val="{00000001-56EE-4711-9248-C199E59AEEEA}"/>
            </c:ext>
          </c:extLst>
        </c:ser>
        <c:dLbls>
          <c:showLegendKey val="0"/>
          <c:showVal val="0"/>
          <c:showCatName val="0"/>
          <c:showSerName val="0"/>
          <c:showPercent val="0"/>
          <c:showBubbleSize val="0"/>
        </c:dLbls>
        <c:marker val="1"/>
        <c:smooth val="0"/>
        <c:axId val="209277768"/>
        <c:axId val="209279336"/>
      </c:lineChart>
      <c:catAx>
        <c:axId val="209277768"/>
        <c:scaling>
          <c:orientation val="minMax"/>
        </c:scaling>
        <c:delete val="0"/>
        <c:axPos val="b"/>
        <c:numFmt formatCode="General" sourceLinked="1"/>
        <c:majorTickMark val="out"/>
        <c:minorTickMark val="none"/>
        <c:tickLblPos val="low"/>
        <c:spPr>
          <a:ln w="3175">
            <a:solidFill>
              <a:srgbClr val="000000"/>
            </a:solidFill>
            <a:prstDash val="solid"/>
          </a:ln>
        </c:spPr>
        <c:txPr>
          <a:bodyPr rot="0" vert="horz"/>
          <a:lstStyle/>
          <a:p>
            <a:pPr>
              <a:defRPr lang="es-MX" sz="700" b="0" i="0" u="none" strike="noStrike" baseline="0">
                <a:solidFill>
                  <a:srgbClr val="000000"/>
                </a:solidFill>
                <a:latin typeface="Arial"/>
                <a:ea typeface="Arial"/>
                <a:cs typeface="Arial"/>
              </a:defRPr>
            </a:pPr>
            <a:endParaRPr lang="es-MX"/>
          </a:p>
        </c:txPr>
        <c:crossAx val="209279336"/>
        <c:crosses val="autoZero"/>
        <c:auto val="1"/>
        <c:lblAlgn val="ctr"/>
        <c:lblOffset val="1"/>
        <c:tickLblSkip val="1"/>
        <c:tickMarkSkip val="4"/>
        <c:noMultiLvlLbl val="1"/>
      </c:catAx>
      <c:valAx>
        <c:axId val="209279336"/>
        <c:scaling>
          <c:orientation val="minMax"/>
          <c:max val="20000000"/>
          <c:min val="13000000"/>
        </c:scaling>
        <c:delete val="0"/>
        <c:axPos val="l"/>
        <c:numFmt formatCode="#\ ###\ ##0" sourceLinked="0"/>
        <c:majorTickMark val="out"/>
        <c:minorTickMark val="none"/>
        <c:tickLblPos val="nextTo"/>
        <c:spPr>
          <a:ln w="3175">
            <a:solidFill>
              <a:srgbClr val="000000"/>
            </a:solidFill>
          </a:ln>
        </c:spPr>
        <c:txPr>
          <a:bodyPr rot="0" vert="horz"/>
          <a:lstStyle/>
          <a:p>
            <a:pPr>
              <a:defRPr lang="es-MX" sz="700" b="0" i="0" u="none" strike="noStrike" baseline="0">
                <a:solidFill>
                  <a:srgbClr val="000000"/>
                </a:solidFill>
                <a:latin typeface="Arial"/>
                <a:ea typeface="Arial"/>
                <a:cs typeface="Arial"/>
              </a:defRPr>
            </a:pPr>
            <a:endParaRPr lang="es-MX"/>
          </a:p>
        </c:txPr>
        <c:crossAx val="209277768"/>
        <c:crosses val="autoZero"/>
        <c:crossBetween val="between"/>
        <c:majorUnit val="1000000"/>
      </c:valAx>
      <c:spPr>
        <a:noFill/>
        <a:ln w="12700">
          <a:solidFill>
            <a:srgbClr val="808080"/>
          </a:solidFill>
          <a:prstDash val="solid"/>
        </a:ln>
      </c:spPr>
    </c:plotArea>
    <c:legend>
      <c:legendPos val="b"/>
      <c:layout>
        <c:manualLayout>
          <c:xMode val="edge"/>
          <c:yMode val="edge"/>
          <c:x val="2.8230308420750694E-2"/>
          <c:y val="0.93347222222222226"/>
          <c:w val="0.94796894574222723"/>
          <c:h val="6.2191666666666666E-2"/>
        </c:manualLayout>
      </c:layout>
      <c:overlay val="0"/>
      <c:txPr>
        <a:bodyPr/>
        <a:lstStyle/>
        <a:p>
          <a:pPr>
            <a:defRPr lang="es-MX" sz="700"/>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1000" b="0" i="0" u="none" strike="noStrike" baseline="0">
          <a:solidFill>
            <a:srgbClr val="000000"/>
          </a:solidFill>
          <a:latin typeface="Arial"/>
          <a:ea typeface="Arial"/>
          <a:cs typeface="Arial"/>
        </a:defRPr>
      </a:pPr>
      <a:endParaRPr lang="es-MX"/>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2597995018064603"/>
          <c:y val="2.8292682926829286E-2"/>
          <c:w val="0.85239743365412857"/>
          <c:h val="0.80689880952380955"/>
        </c:manualLayout>
      </c:layout>
      <c:barChart>
        <c:barDir val="col"/>
        <c:grouping val="clustered"/>
        <c:varyColors val="0"/>
        <c:ser>
          <c:idx val="0"/>
          <c:order val="0"/>
          <c:tx>
            <c:strRef>
              <c:f>datos!$D$5</c:f>
              <c:strCache>
                <c:ptCount val="1"/>
                <c:pt idx="0">
                  <c:v>Serie desestacionalizada</c:v>
                </c:pt>
              </c:strCache>
            </c:strRef>
          </c:tx>
          <c:spPr>
            <a:solidFill>
              <a:schemeClr val="tx2">
                <a:lumMod val="60000"/>
                <a:lumOff val="40000"/>
              </a:schemeClr>
            </a:solidFill>
            <a:ln w="12700">
              <a:noFill/>
              <a:prstDash val="solid"/>
            </a:ln>
            <a:effectLst/>
          </c:spPr>
          <c:invertIfNegative val="0"/>
          <c:cat>
            <c:multiLvlStrRef>
              <c:f>datos!$B$51:$C$87</c:f>
              <c:multiLvlStrCache>
                <c:ptCount val="37"/>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lvl>
                <c:lvl>
                  <c:pt idx="0">
                    <c:v>2014</c:v>
                  </c:pt>
                  <c:pt idx="4">
                    <c:v>2015</c:v>
                  </c:pt>
                  <c:pt idx="8">
                    <c:v>2016</c:v>
                  </c:pt>
                  <c:pt idx="12">
                    <c:v>2017</c:v>
                  </c:pt>
                  <c:pt idx="16">
                    <c:v>2018</c:v>
                  </c:pt>
                  <c:pt idx="20">
                    <c:v>2019</c:v>
                  </c:pt>
                  <c:pt idx="24">
                    <c:v>2020</c:v>
                  </c:pt>
                  <c:pt idx="28">
                    <c:v>2021</c:v>
                  </c:pt>
                  <c:pt idx="32">
                    <c:v>2022</c:v>
                  </c:pt>
                  <c:pt idx="36">
                    <c:v>2023</c:v>
                  </c:pt>
                </c:lvl>
              </c:multiLvlStrCache>
            </c:multiLvlStrRef>
          </c:cat>
          <c:val>
            <c:numRef>
              <c:f>datos!$D$51:$D$87</c:f>
              <c:numCache>
                <c:formatCode>0.0</c:formatCode>
                <c:ptCount val="37"/>
                <c:pt idx="0">
                  <c:v>16519378.390786299</c:v>
                </c:pt>
                <c:pt idx="1">
                  <c:v>16736667.853191201</c:v>
                </c:pt>
                <c:pt idx="2">
                  <c:v>16777863.772717599</c:v>
                </c:pt>
                <c:pt idx="3">
                  <c:v>16964874.042148799</c:v>
                </c:pt>
                <c:pt idx="4">
                  <c:v>17058325.454881001</c:v>
                </c:pt>
                <c:pt idx="5">
                  <c:v>17265319.026076499</c:v>
                </c:pt>
                <c:pt idx="6">
                  <c:v>17467255.767717101</c:v>
                </c:pt>
                <c:pt idx="7">
                  <c:v>17428130.0281686</c:v>
                </c:pt>
                <c:pt idx="8">
                  <c:v>17529740.2210561</c:v>
                </c:pt>
                <c:pt idx="9">
                  <c:v>17605812.9052344</c:v>
                </c:pt>
                <c:pt idx="10">
                  <c:v>17765983.983042799</c:v>
                </c:pt>
                <c:pt idx="11">
                  <c:v>17975687.511747599</c:v>
                </c:pt>
                <c:pt idx="12">
                  <c:v>18061255.582502801</c:v>
                </c:pt>
                <c:pt idx="13">
                  <c:v>18119188.127781499</c:v>
                </c:pt>
                <c:pt idx="14">
                  <c:v>18044662.565993302</c:v>
                </c:pt>
                <c:pt idx="15">
                  <c:v>18307172.546608601</c:v>
                </c:pt>
                <c:pt idx="16">
                  <c:v>18515410.985218901</c:v>
                </c:pt>
                <c:pt idx="17">
                  <c:v>18502372.282343</c:v>
                </c:pt>
                <c:pt idx="18">
                  <c:v>18553338.8409472</c:v>
                </c:pt>
                <c:pt idx="19">
                  <c:v>18544443.707577199</c:v>
                </c:pt>
                <c:pt idx="20">
                  <c:v>18553223.6450941</c:v>
                </c:pt>
                <c:pt idx="21">
                  <c:v>18474422.956068501</c:v>
                </c:pt>
                <c:pt idx="22">
                  <c:v>18517409.4149496</c:v>
                </c:pt>
                <c:pt idx="23">
                  <c:v>18432431.442593299</c:v>
                </c:pt>
                <c:pt idx="24">
                  <c:v>18250334.066392001</c:v>
                </c:pt>
                <c:pt idx="25">
                  <c:v>15000842.856809201</c:v>
                </c:pt>
                <c:pt idx="26">
                  <c:v>16975744.0404233</c:v>
                </c:pt>
                <c:pt idx="27">
                  <c:v>17711133.694028798</c:v>
                </c:pt>
                <c:pt idx="28">
                  <c:v>17769744.354789101</c:v>
                </c:pt>
                <c:pt idx="29">
                  <c:v>17903810.904696599</c:v>
                </c:pt>
                <c:pt idx="30">
                  <c:v>17706589.744996399</c:v>
                </c:pt>
                <c:pt idx="31">
                  <c:v>17915825.264849599</c:v>
                </c:pt>
                <c:pt idx="32">
                  <c:v>18098116.384039801</c:v>
                </c:pt>
                <c:pt idx="33">
                  <c:v>18297961.319087502</c:v>
                </c:pt>
                <c:pt idx="34">
                  <c:v>18465383.251448501</c:v>
                </c:pt>
                <c:pt idx="35">
                  <c:v>18572217.304685701</c:v>
                </c:pt>
                <c:pt idx="36">
                  <c:v>18761767.376709599</c:v>
                </c:pt>
              </c:numCache>
            </c:numRef>
          </c:val>
          <c:extLst>
            <c:ext xmlns:c16="http://schemas.microsoft.com/office/drawing/2014/chart" uri="{C3380CC4-5D6E-409C-BE32-E72D297353CC}">
              <c16:uniqueId val="{00000000-6246-4701-81AA-7152392445DD}"/>
            </c:ext>
          </c:extLst>
        </c:ser>
        <c:dLbls>
          <c:showLegendKey val="0"/>
          <c:showVal val="0"/>
          <c:showCatName val="0"/>
          <c:showSerName val="0"/>
          <c:showPercent val="0"/>
          <c:showBubbleSize val="0"/>
        </c:dLbls>
        <c:gapWidth val="60"/>
        <c:axId val="209277768"/>
        <c:axId val="209279336"/>
      </c:barChart>
      <c:lineChart>
        <c:grouping val="standard"/>
        <c:varyColors val="0"/>
        <c:ser>
          <c:idx val="1"/>
          <c:order val="1"/>
          <c:tx>
            <c:strRef>
              <c:f>datos!$E$5</c:f>
              <c:strCache>
                <c:ptCount val="1"/>
                <c:pt idx="0">
                  <c:v>Serie de tendencia-ciclo</c:v>
                </c:pt>
              </c:strCache>
            </c:strRef>
          </c:tx>
          <c:spPr>
            <a:ln w="19050">
              <a:solidFill>
                <a:schemeClr val="tx2">
                  <a:lumMod val="75000"/>
                </a:schemeClr>
              </a:solidFill>
            </a:ln>
          </c:spPr>
          <c:marker>
            <c:symbol val="none"/>
          </c:marker>
          <c:cat>
            <c:multiLvlStrRef>
              <c:f>datos!$B$51:$C$87</c:f>
              <c:multiLvlStrCache>
                <c:ptCount val="37"/>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lvl>
                <c:lvl>
                  <c:pt idx="0">
                    <c:v>2014</c:v>
                  </c:pt>
                  <c:pt idx="4">
                    <c:v>2015</c:v>
                  </c:pt>
                  <c:pt idx="8">
                    <c:v>2016</c:v>
                  </c:pt>
                  <c:pt idx="12">
                    <c:v>2017</c:v>
                  </c:pt>
                  <c:pt idx="16">
                    <c:v>2018</c:v>
                  </c:pt>
                  <c:pt idx="20">
                    <c:v>2019</c:v>
                  </c:pt>
                  <c:pt idx="24">
                    <c:v>2020</c:v>
                  </c:pt>
                  <c:pt idx="28">
                    <c:v>2021</c:v>
                  </c:pt>
                  <c:pt idx="32">
                    <c:v>2022</c:v>
                  </c:pt>
                  <c:pt idx="36">
                    <c:v>2023</c:v>
                  </c:pt>
                </c:lvl>
              </c:multiLvlStrCache>
            </c:multiLvlStrRef>
          </c:cat>
          <c:val>
            <c:numRef>
              <c:f>datos!$E$51:$E$87</c:f>
              <c:numCache>
                <c:formatCode>0.0</c:formatCode>
                <c:ptCount val="37"/>
                <c:pt idx="0">
                  <c:v>16539960.6358683</c:v>
                </c:pt>
                <c:pt idx="1">
                  <c:v>16680455.034011301</c:v>
                </c:pt>
                <c:pt idx="2">
                  <c:v>16812759.342609201</c:v>
                </c:pt>
                <c:pt idx="3">
                  <c:v>16933670.3144552</c:v>
                </c:pt>
                <c:pt idx="4">
                  <c:v>17082240.490088101</c:v>
                </c:pt>
                <c:pt idx="5">
                  <c:v>17273939.795086201</c:v>
                </c:pt>
                <c:pt idx="6">
                  <c:v>17421892.532157101</c:v>
                </c:pt>
                <c:pt idx="7">
                  <c:v>17468373.066456299</c:v>
                </c:pt>
                <c:pt idx="8">
                  <c:v>17509481.143387798</c:v>
                </c:pt>
                <c:pt idx="9">
                  <c:v>17616401.152600002</c:v>
                </c:pt>
                <c:pt idx="10">
                  <c:v>17776197.7637714</c:v>
                </c:pt>
                <c:pt idx="11">
                  <c:v>17955850.012909502</c:v>
                </c:pt>
                <c:pt idx="12">
                  <c:v>18070393.232177399</c:v>
                </c:pt>
                <c:pt idx="13">
                  <c:v>18099597.145617899</c:v>
                </c:pt>
                <c:pt idx="14">
                  <c:v>18150876.0061833</c:v>
                </c:pt>
                <c:pt idx="15">
                  <c:v>18313281.9479024</c:v>
                </c:pt>
                <c:pt idx="16">
                  <c:v>18476556.2543106</c:v>
                </c:pt>
                <c:pt idx="17">
                  <c:v>18532414.7176046</c:v>
                </c:pt>
                <c:pt idx="18">
                  <c:v>18538550.4561828</c:v>
                </c:pt>
                <c:pt idx="19">
                  <c:v>18557865.531584602</c:v>
                </c:pt>
                <c:pt idx="20">
                  <c:v>18530121.921634499</c:v>
                </c:pt>
                <c:pt idx="21">
                  <c:v>18508134.5169966</c:v>
                </c:pt>
                <c:pt idx="22">
                  <c:v>18495942.719402101</c:v>
                </c:pt>
                <c:pt idx="23">
                  <c:v>18413993.502053101</c:v>
                </c:pt>
                <c:pt idx="24">
                  <c:v>18303148.487814199</c:v>
                </c:pt>
                <c:pt idx="25">
                  <c:v>17624819.768795699</c:v>
                </c:pt>
                <c:pt idx="26">
                  <c:v>17655096.1896929</c:v>
                </c:pt>
                <c:pt idx="27">
                  <c:v>17704059.993694302</c:v>
                </c:pt>
                <c:pt idx="28">
                  <c:v>17767751.283540498</c:v>
                </c:pt>
                <c:pt idx="29">
                  <c:v>17791622.340868</c:v>
                </c:pt>
                <c:pt idx="30">
                  <c:v>17820214.438390501</c:v>
                </c:pt>
                <c:pt idx="31">
                  <c:v>17919202.622988898</c:v>
                </c:pt>
                <c:pt idx="32">
                  <c:v>18097368.7610793</c:v>
                </c:pt>
                <c:pt idx="33">
                  <c:v>18296254.599439301</c:v>
                </c:pt>
                <c:pt idx="34">
                  <c:v>18453213.460816301</c:v>
                </c:pt>
                <c:pt idx="35">
                  <c:v>18593110.231057301</c:v>
                </c:pt>
                <c:pt idx="36">
                  <c:v>18752873.836241599</c:v>
                </c:pt>
              </c:numCache>
            </c:numRef>
          </c:val>
          <c:smooth val="0"/>
          <c:extLst>
            <c:ext xmlns:c16="http://schemas.microsoft.com/office/drawing/2014/chart" uri="{C3380CC4-5D6E-409C-BE32-E72D297353CC}">
              <c16:uniqueId val="{00000001-6246-4701-81AA-7152392445DD}"/>
            </c:ext>
          </c:extLst>
        </c:ser>
        <c:dLbls>
          <c:showLegendKey val="0"/>
          <c:showVal val="0"/>
          <c:showCatName val="0"/>
          <c:showSerName val="0"/>
          <c:showPercent val="0"/>
          <c:showBubbleSize val="0"/>
        </c:dLbls>
        <c:marker val="1"/>
        <c:smooth val="0"/>
        <c:axId val="209277768"/>
        <c:axId val="209279336"/>
      </c:lineChart>
      <c:catAx>
        <c:axId val="209277768"/>
        <c:scaling>
          <c:orientation val="minMax"/>
        </c:scaling>
        <c:delete val="0"/>
        <c:axPos val="b"/>
        <c:numFmt formatCode="General" sourceLinked="1"/>
        <c:majorTickMark val="out"/>
        <c:minorTickMark val="none"/>
        <c:tickLblPos val="low"/>
        <c:spPr>
          <a:ln w="3175">
            <a:solidFill>
              <a:srgbClr val="000000"/>
            </a:solidFill>
            <a:prstDash val="solid"/>
          </a:ln>
        </c:spPr>
        <c:txPr>
          <a:bodyPr rot="0" vert="horz"/>
          <a:lstStyle/>
          <a:p>
            <a:pPr>
              <a:defRPr lang="es-MX" sz="700" b="0" i="0" u="none" strike="noStrike" baseline="0">
                <a:solidFill>
                  <a:srgbClr val="000000"/>
                </a:solidFill>
                <a:latin typeface="Arial"/>
                <a:ea typeface="Arial"/>
                <a:cs typeface="Arial"/>
              </a:defRPr>
            </a:pPr>
            <a:endParaRPr lang="es-MX"/>
          </a:p>
        </c:txPr>
        <c:crossAx val="209279336"/>
        <c:crosses val="autoZero"/>
        <c:auto val="1"/>
        <c:lblAlgn val="ctr"/>
        <c:lblOffset val="1"/>
        <c:tickLblSkip val="1"/>
        <c:tickMarkSkip val="4"/>
        <c:noMultiLvlLbl val="1"/>
      </c:catAx>
      <c:valAx>
        <c:axId val="209279336"/>
        <c:scaling>
          <c:orientation val="minMax"/>
          <c:max val="20000000"/>
          <c:min val="13000000"/>
        </c:scaling>
        <c:delete val="0"/>
        <c:axPos val="l"/>
        <c:numFmt formatCode="#\ ###\ ##0" sourceLinked="0"/>
        <c:majorTickMark val="out"/>
        <c:minorTickMark val="none"/>
        <c:tickLblPos val="nextTo"/>
        <c:spPr>
          <a:ln w="3175">
            <a:solidFill>
              <a:srgbClr val="000000"/>
            </a:solidFill>
          </a:ln>
        </c:spPr>
        <c:txPr>
          <a:bodyPr rot="0" vert="horz"/>
          <a:lstStyle/>
          <a:p>
            <a:pPr>
              <a:defRPr lang="es-MX" sz="700" b="0" i="0" u="none" strike="noStrike" baseline="0">
                <a:solidFill>
                  <a:srgbClr val="000000"/>
                </a:solidFill>
                <a:latin typeface="Arial"/>
                <a:ea typeface="Arial"/>
                <a:cs typeface="Arial"/>
              </a:defRPr>
            </a:pPr>
            <a:endParaRPr lang="es-MX"/>
          </a:p>
        </c:txPr>
        <c:crossAx val="209277768"/>
        <c:crosses val="autoZero"/>
        <c:crossBetween val="between"/>
        <c:majorUnit val="1000000"/>
      </c:valAx>
      <c:spPr>
        <a:noFill/>
        <a:ln w="12700">
          <a:solidFill>
            <a:srgbClr val="808080"/>
          </a:solidFill>
          <a:prstDash val="solid"/>
        </a:ln>
      </c:spPr>
    </c:plotArea>
    <c:legend>
      <c:legendPos val="b"/>
      <c:layout>
        <c:manualLayout>
          <c:xMode val="edge"/>
          <c:yMode val="edge"/>
          <c:x val="2.8230308420750694E-2"/>
          <c:y val="0.93347222222222226"/>
          <c:w val="0.94796894574222723"/>
          <c:h val="6.2191666666666666E-2"/>
        </c:manualLayout>
      </c:layout>
      <c:overlay val="0"/>
      <c:txPr>
        <a:bodyPr/>
        <a:lstStyle/>
        <a:p>
          <a:pPr>
            <a:defRPr lang="es-MX" sz="700"/>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1000" b="0" i="0" u="none" strike="noStrike" baseline="0">
          <a:solidFill>
            <a:srgbClr val="000000"/>
          </a:solidFill>
          <a:latin typeface="Arial"/>
          <a:ea typeface="Arial"/>
          <a:cs typeface="Arial"/>
        </a:defRPr>
      </a:pPr>
      <a:endParaRPr lang="es-MX"/>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0523919510061262"/>
          <c:y val="2.8292682926829286E-2"/>
          <c:w val="0.87344648585593365"/>
          <c:h val="0.80738452380952386"/>
        </c:manualLayout>
      </c:layout>
      <c:barChart>
        <c:barDir val="col"/>
        <c:grouping val="clustered"/>
        <c:varyColors val="0"/>
        <c:ser>
          <c:idx val="0"/>
          <c:order val="0"/>
          <c:tx>
            <c:strRef>
              <c:f>datos!$F$5</c:f>
              <c:strCache>
                <c:ptCount val="1"/>
                <c:pt idx="0">
                  <c:v>Serie desestacionalizada</c:v>
                </c:pt>
              </c:strCache>
            </c:strRef>
          </c:tx>
          <c:spPr>
            <a:solidFill>
              <a:schemeClr val="tx2">
                <a:lumMod val="60000"/>
                <a:lumOff val="40000"/>
              </a:schemeClr>
            </a:solidFill>
            <a:ln w="12700">
              <a:noFill/>
              <a:prstDash val="solid"/>
            </a:ln>
            <a:effectLst/>
          </c:spPr>
          <c:invertIfNegative val="0"/>
          <c:cat>
            <c:multiLvlStrRef>
              <c:f>datos!$B$51:$C$87</c:f>
              <c:multiLvlStrCache>
                <c:ptCount val="37"/>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lvl>
                <c:lvl>
                  <c:pt idx="0">
                    <c:v>2014</c:v>
                  </c:pt>
                  <c:pt idx="4">
                    <c:v>2015</c:v>
                  </c:pt>
                  <c:pt idx="8">
                    <c:v>2016</c:v>
                  </c:pt>
                  <c:pt idx="12">
                    <c:v>2017</c:v>
                  </c:pt>
                  <c:pt idx="16">
                    <c:v>2018</c:v>
                  </c:pt>
                  <c:pt idx="20">
                    <c:v>2019</c:v>
                  </c:pt>
                  <c:pt idx="24">
                    <c:v>2020</c:v>
                  </c:pt>
                  <c:pt idx="28">
                    <c:v>2021</c:v>
                  </c:pt>
                  <c:pt idx="32">
                    <c:v>2022</c:v>
                  </c:pt>
                  <c:pt idx="36">
                    <c:v>2023</c:v>
                  </c:pt>
                </c:lvl>
              </c:multiLvlStrCache>
            </c:multiLvlStrRef>
          </c:cat>
          <c:val>
            <c:numRef>
              <c:f>datos!$F$51:$F$87</c:f>
              <c:numCache>
                <c:formatCode>0.0</c:formatCode>
                <c:ptCount val="37"/>
                <c:pt idx="0">
                  <c:v>518676.920902966</c:v>
                </c:pt>
                <c:pt idx="1">
                  <c:v>528632.56449988298</c:v>
                </c:pt>
                <c:pt idx="2">
                  <c:v>540003.32618235599</c:v>
                </c:pt>
                <c:pt idx="3">
                  <c:v>533246.00903323502</c:v>
                </c:pt>
                <c:pt idx="4">
                  <c:v>544388.13212841796</c:v>
                </c:pt>
                <c:pt idx="5">
                  <c:v>538677.08214666601</c:v>
                </c:pt>
                <c:pt idx="6">
                  <c:v>541850.33315044397</c:v>
                </c:pt>
                <c:pt idx="7">
                  <c:v>540419.45638182398</c:v>
                </c:pt>
                <c:pt idx="8">
                  <c:v>545388.81622086803</c:v>
                </c:pt>
                <c:pt idx="9">
                  <c:v>557636.494208958</c:v>
                </c:pt>
                <c:pt idx="10">
                  <c:v>568138.79708488099</c:v>
                </c:pt>
                <c:pt idx="11">
                  <c:v>568931.05567986902</c:v>
                </c:pt>
                <c:pt idx="12">
                  <c:v>568341.08604817803</c:v>
                </c:pt>
                <c:pt idx="13">
                  <c:v>574366.79010630795</c:v>
                </c:pt>
                <c:pt idx="14">
                  <c:v>576623.97389832104</c:v>
                </c:pt>
                <c:pt idx="15">
                  <c:v>593397.75212401804</c:v>
                </c:pt>
                <c:pt idx="16">
                  <c:v>596079.09860693396</c:v>
                </c:pt>
                <c:pt idx="17">
                  <c:v>594629.90207713505</c:v>
                </c:pt>
                <c:pt idx="18">
                  <c:v>585059.05626661296</c:v>
                </c:pt>
                <c:pt idx="19">
                  <c:v>597421.709056544</c:v>
                </c:pt>
                <c:pt idx="20">
                  <c:v>604926.28836840799</c:v>
                </c:pt>
                <c:pt idx="21">
                  <c:v>589012.72130221</c:v>
                </c:pt>
                <c:pt idx="22">
                  <c:v>592523.40812081599</c:v>
                </c:pt>
                <c:pt idx="23">
                  <c:v>583748.38582440501</c:v>
                </c:pt>
                <c:pt idx="24">
                  <c:v>600064.515950709</c:v>
                </c:pt>
                <c:pt idx="25">
                  <c:v>574742.36088505399</c:v>
                </c:pt>
                <c:pt idx="26">
                  <c:v>622210.42743418599</c:v>
                </c:pt>
                <c:pt idx="27">
                  <c:v>592701.49891984498</c:v>
                </c:pt>
                <c:pt idx="28">
                  <c:v>601661.39902069897</c:v>
                </c:pt>
                <c:pt idx="29">
                  <c:v>611805.20860956504</c:v>
                </c:pt>
                <c:pt idx="30">
                  <c:v>620628.63570206903</c:v>
                </c:pt>
                <c:pt idx="31">
                  <c:v>611103.39522585704</c:v>
                </c:pt>
                <c:pt idx="32">
                  <c:v>604799.84497773403</c:v>
                </c:pt>
                <c:pt idx="33">
                  <c:v>611609.28359715198</c:v>
                </c:pt>
                <c:pt idx="34">
                  <c:v>623481.26122787001</c:v>
                </c:pt>
                <c:pt idx="35">
                  <c:v>640166.90147739102</c:v>
                </c:pt>
                <c:pt idx="36">
                  <c:v>622506.58693300001</c:v>
                </c:pt>
              </c:numCache>
            </c:numRef>
          </c:val>
          <c:extLst>
            <c:ext xmlns:c16="http://schemas.microsoft.com/office/drawing/2014/chart" uri="{C3380CC4-5D6E-409C-BE32-E72D297353CC}">
              <c16:uniqueId val="{00000000-0D66-4557-B7A4-9B22F6550C32}"/>
            </c:ext>
          </c:extLst>
        </c:ser>
        <c:dLbls>
          <c:showLegendKey val="0"/>
          <c:showVal val="0"/>
          <c:showCatName val="0"/>
          <c:showSerName val="0"/>
          <c:showPercent val="0"/>
          <c:showBubbleSize val="0"/>
        </c:dLbls>
        <c:gapWidth val="60"/>
        <c:axId val="209281688"/>
        <c:axId val="209279728"/>
      </c:barChart>
      <c:lineChart>
        <c:grouping val="standard"/>
        <c:varyColors val="0"/>
        <c:ser>
          <c:idx val="1"/>
          <c:order val="1"/>
          <c:tx>
            <c:strRef>
              <c:f>datos!$G$5</c:f>
              <c:strCache>
                <c:ptCount val="1"/>
                <c:pt idx="0">
                  <c:v>Serie de tendencia-ciclo</c:v>
                </c:pt>
              </c:strCache>
            </c:strRef>
          </c:tx>
          <c:spPr>
            <a:ln w="19050">
              <a:solidFill>
                <a:schemeClr val="tx2">
                  <a:lumMod val="75000"/>
                </a:schemeClr>
              </a:solidFill>
            </a:ln>
          </c:spPr>
          <c:marker>
            <c:symbol val="none"/>
          </c:marker>
          <c:cat>
            <c:multiLvlStrRef>
              <c:f>datos!$B$51:$C$87</c:f>
              <c:multiLvlStrCache>
                <c:ptCount val="37"/>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lvl>
                <c:lvl>
                  <c:pt idx="0">
                    <c:v>2014</c:v>
                  </c:pt>
                  <c:pt idx="4">
                    <c:v>2015</c:v>
                  </c:pt>
                  <c:pt idx="8">
                    <c:v>2016</c:v>
                  </c:pt>
                  <c:pt idx="12">
                    <c:v>2017</c:v>
                  </c:pt>
                  <c:pt idx="16">
                    <c:v>2018</c:v>
                  </c:pt>
                  <c:pt idx="20">
                    <c:v>2019</c:v>
                  </c:pt>
                  <c:pt idx="24">
                    <c:v>2020</c:v>
                  </c:pt>
                  <c:pt idx="28">
                    <c:v>2021</c:v>
                  </c:pt>
                  <c:pt idx="32">
                    <c:v>2022</c:v>
                  </c:pt>
                  <c:pt idx="36">
                    <c:v>2023</c:v>
                  </c:pt>
                </c:lvl>
              </c:multiLvlStrCache>
            </c:multiLvlStrRef>
          </c:cat>
          <c:val>
            <c:numRef>
              <c:f>datos!$G$51:$G$87</c:f>
              <c:numCache>
                <c:formatCode>0.0</c:formatCode>
                <c:ptCount val="37"/>
                <c:pt idx="0">
                  <c:v>523323.95629404602</c:v>
                </c:pt>
                <c:pt idx="1">
                  <c:v>529316.06422049901</c:v>
                </c:pt>
                <c:pt idx="2">
                  <c:v>534696.84326783905</c:v>
                </c:pt>
                <c:pt idx="3">
                  <c:v>538901.59356500499</c:v>
                </c:pt>
                <c:pt idx="4">
                  <c:v>540190.23348336795</c:v>
                </c:pt>
                <c:pt idx="5">
                  <c:v>540597.61749415996</c:v>
                </c:pt>
                <c:pt idx="6">
                  <c:v>540433.13016064605</c:v>
                </c:pt>
                <c:pt idx="7">
                  <c:v>541346.85339942796</c:v>
                </c:pt>
                <c:pt idx="8">
                  <c:v>547666.36655998498</c:v>
                </c:pt>
                <c:pt idx="9">
                  <c:v>557074.47060992802</c:v>
                </c:pt>
                <c:pt idx="10">
                  <c:v>565224.84497831005</c:v>
                </c:pt>
                <c:pt idx="11">
                  <c:v>569111.94075487996</c:v>
                </c:pt>
                <c:pt idx="12">
                  <c:v>569915.75669177505</c:v>
                </c:pt>
                <c:pt idx="13">
                  <c:v>573148.98458577995</c:v>
                </c:pt>
                <c:pt idx="14">
                  <c:v>580938.06111621496</c:v>
                </c:pt>
                <c:pt idx="15">
                  <c:v>590174.87719884305</c:v>
                </c:pt>
                <c:pt idx="16">
                  <c:v>594272.324158567</c:v>
                </c:pt>
                <c:pt idx="17">
                  <c:v>592789.00697983406</c:v>
                </c:pt>
                <c:pt idx="18">
                  <c:v>592593.35147662403</c:v>
                </c:pt>
                <c:pt idx="19">
                  <c:v>595703.512509653</c:v>
                </c:pt>
                <c:pt idx="20">
                  <c:v>598001.48371528101</c:v>
                </c:pt>
                <c:pt idx="21">
                  <c:v>594485.51468358201</c:v>
                </c:pt>
                <c:pt idx="22">
                  <c:v>589606.97104248998</c:v>
                </c:pt>
                <c:pt idx="23">
                  <c:v>590017.87407706701</c:v>
                </c:pt>
                <c:pt idx="24">
                  <c:v>594569.51160690095</c:v>
                </c:pt>
                <c:pt idx="25">
                  <c:v>596829.06106178404</c:v>
                </c:pt>
                <c:pt idx="26">
                  <c:v>596405.08683894703</c:v>
                </c:pt>
                <c:pt idx="27">
                  <c:v>596296.38658997905</c:v>
                </c:pt>
                <c:pt idx="28">
                  <c:v>602733.80347359402</c:v>
                </c:pt>
                <c:pt idx="29">
                  <c:v>611441.13595446595</c:v>
                </c:pt>
                <c:pt idx="30">
                  <c:v>615365.83737030695</c:v>
                </c:pt>
                <c:pt idx="31">
                  <c:v>611948.11115612404</c:v>
                </c:pt>
                <c:pt idx="32">
                  <c:v>608189.37604009605</c:v>
                </c:pt>
                <c:pt idx="33">
                  <c:v>613574.04765762202</c:v>
                </c:pt>
                <c:pt idx="34">
                  <c:v>624074.04394840298</c:v>
                </c:pt>
                <c:pt idx="35">
                  <c:v>630631.87977283995</c:v>
                </c:pt>
                <c:pt idx="36">
                  <c:v>630199.403259882</c:v>
                </c:pt>
              </c:numCache>
            </c:numRef>
          </c:val>
          <c:smooth val="0"/>
          <c:extLst>
            <c:ext xmlns:c16="http://schemas.microsoft.com/office/drawing/2014/chart" uri="{C3380CC4-5D6E-409C-BE32-E72D297353CC}">
              <c16:uniqueId val="{00000001-0D66-4557-B7A4-9B22F6550C32}"/>
            </c:ext>
          </c:extLst>
        </c:ser>
        <c:dLbls>
          <c:showLegendKey val="0"/>
          <c:showVal val="0"/>
          <c:showCatName val="0"/>
          <c:showSerName val="0"/>
          <c:showPercent val="0"/>
          <c:showBubbleSize val="0"/>
        </c:dLbls>
        <c:marker val="1"/>
        <c:smooth val="0"/>
        <c:axId val="209281688"/>
        <c:axId val="209279728"/>
      </c:lineChart>
      <c:catAx>
        <c:axId val="209281688"/>
        <c:scaling>
          <c:orientation val="minMax"/>
        </c:scaling>
        <c:delete val="0"/>
        <c:axPos val="b"/>
        <c:numFmt formatCode="General" sourceLinked="1"/>
        <c:majorTickMark val="out"/>
        <c:minorTickMark val="none"/>
        <c:tickLblPos val="low"/>
        <c:spPr>
          <a:ln w="3175">
            <a:solidFill>
              <a:srgbClr val="000000"/>
            </a:solidFill>
            <a:prstDash val="solid"/>
          </a:ln>
        </c:spPr>
        <c:txPr>
          <a:bodyPr rot="0" vert="horz"/>
          <a:lstStyle/>
          <a:p>
            <a:pPr>
              <a:defRPr lang="es-MX" sz="700" b="0" i="0" u="none" strike="noStrike" baseline="0">
                <a:solidFill>
                  <a:srgbClr val="000000"/>
                </a:solidFill>
                <a:latin typeface="Arial"/>
                <a:ea typeface="Arial"/>
                <a:cs typeface="Arial"/>
              </a:defRPr>
            </a:pPr>
            <a:endParaRPr lang="es-MX"/>
          </a:p>
        </c:txPr>
        <c:crossAx val="209279728"/>
        <c:crosses val="autoZero"/>
        <c:auto val="1"/>
        <c:lblAlgn val="ctr"/>
        <c:lblOffset val="1"/>
        <c:tickLblSkip val="1"/>
        <c:tickMarkSkip val="4"/>
        <c:noMultiLvlLbl val="1"/>
      </c:catAx>
      <c:valAx>
        <c:axId val="209279728"/>
        <c:scaling>
          <c:orientation val="minMax"/>
          <c:max val="680000"/>
          <c:min val="380000"/>
        </c:scaling>
        <c:delete val="0"/>
        <c:axPos val="l"/>
        <c:numFmt formatCode="#\ ##0" sourceLinked="0"/>
        <c:majorTickMark val="out"/>
        <c:minorTickMark val="none"/>
        <c:tickLblPos val="nextTo"/>
        <c:spPr>
          <a:ln w="3175">
            <a:solidFill>
              <a:srgbClr val="000000"/>
            </a:solidFill>
          </a:ln>
        </c:spPr>
        <c:txPr>
          <a:bodyPr rot="0" vert="horz"/>
          <a:lstStyle/>
          <a:p>
            <a:pPr>
              <a:defRPr lang="es-MX" sz="700" b="0" i="0" u="none" strike="noStrike" baseline="0">
                <a:solidFill>
                  <a:srgbClr val="000000"/>
                </a:solidFill>
                <a:latin typeface="Arial"/>
                <a:ea typeface="Arial"/>
                <a:cs typeface="Arial"/>
              </a:defRPr>
            </a:pPr>
            <a:endParaRPr lang="es-MX"/>
          </a:p>
        </c:txPr>
        <c:crossAx val="209281688"/>
        <c:crosses val="autoZero"/>
        <c:crossBetween val="between"/>
        <c:majorUnit val="50000"/>
      </c:valAx>
      <c:spPr>
        <a:noFill/>
        <a:ln w="12700">
          <a:solidFill>
            <a:srgbClr val="808080"/>
          </a:solidFill>
          <a:prstDash val="solid"/>
        </a:ln>
      </c:spPr>
    </c:plotArea>
    <c:legend>
      <c:legendPos val="b"/>
      <c:layout>
        <c:manualLayout>
          <c:xMode val="edge"/>
          <c:yMode val="edge"/>
          <c:x val="2.8230308420750701E-2"/>
          <c:y val="0.94859126984126985"/>
          <c:w val="0.94796894574222701"/>
          <c:h val="4.7072619047619051E-2"/>
        </c:manualLayout>
      </c:layout>
      <c:overlay val="0"/>
      <c:txPr>
        <a:bodyPr/>
        <a:lstStyle/>
        <a:p>
          <a:pPr>
            <a:defRPr lang="es-MX" sz="700"/>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1000" b="0" i="0" u="none" strike="noStrike" baseline="0">
          <a:solidFill>
            <a:srgbClr val="000000"/>
          </a:solidFill>
          <a:latin typeface="Arial"/>
          <a:ea typeface="Arial"/>
          <a:cs typeface="Arial"/>
        </a:defRPr>
      </a:pPr>
      <a:endParaRPr lang="es-MX"/>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857252843394576"/>
          <c:y val="2.8292682926829286E-2"/>
          <c:w val="0.85993257509477983"/>
          <c:h val="0.80680198412698423"/>
        </c:manualLayout>
      </c:layout>
      <c:barChart>
        <c:barDir val="col"/>
        <c:grouping val="clustered"/>
        <c:varyColors val="0"/>
        <c:ser>
          <c:idx val="0"/>
          <c:order val="0"/>
          <c:tx>
            <c:strRef>
              <c:f>datos!$H$5</c:f>
              <c:strCache>
                <c:ptCount val="1"/>
                <c:pt idx="0">
                  <c:v>Serie desestacionalizada</c:v>
                </c:pt>
              </c:strCache>
            </c:strRef>
          </c:tx>
          <c:spPr>
            <a:solidFill>
              <a:schemeClr val="tx2">
                <a:lumMod val="60000"/>
                <a:lumOff val="40000"/>
              </a:schemeClr>
            </a:solidFill>
            <a:ln w="12700">
              <a:noFill/>
              <a:prstDash val="solid"/>
            </a:ln>
            <a:effectLst/>
          </c:spPr>
          <c:invertIfNegative val="0"/>
          <c:cat>
            <c:multiLvlStrRef>
              <c:f>datos!$B$51:$C$87</c:f>
              <c:multiLvlStrCache>
                <c:ptCount val="37"/>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lvl>
                <c:lvl>
                  <c:pt idx="0">
                    <c:v>2014</c:v>
                  </c:pt>
                  <c:pt idx="4">
                    <c:v>2015</c:v>
                  </c:pt>
                  <c:pt idx="8">
                    <c:v>2016</c:v>
                  </c:pt>
                  <c:pt idx="12">
                    <c:v>2017</c:v>
                  </c:pt>
                  <c:pt idx="16">
                    <c:v>2018</c:v>
                  </c:pt>
                  <c:pt idx="20">
                    <c:v>2019</c:v>
                  </c:pt>
                  <c:pt idx="24">
                    <c:v>2020</c:v>
                  </c:pt>
                  <c:pt idx="28">
                    <c:v>2021</c:v>
                  </c:pt>
                  <c:pt idx="32">
                    <c:v>2022</c:v>
                  </c:pt>
                  <c:pt idx="36">
                    <c:v>2023</c:v>
                  </c:pt>
                </c:lvl>
              </c:multiLvlStrCache>
            </c:multiLvlStrRef>
          </c:cat>
          <c:val>
            <c:numRef>
              <c:f>datos!$H$51:$H$87</c:f>
              <c:numCache>
                <c:formatCode>0.0</c:formatCode>
                <c:ptCount val="37"/>
                <c:pt idx="0">
                  <c:v>5268033.5901485598</c:v>
                </c:pt>
                <c:pt idx="1">
                  <c:v>5348052.9779540803</c:v>
                </c:pt>
                <c:pt idx="2">
                  <c:v>5294383.96546485</c:v>
                </c:pt>
                <c:pt idx="3">
                  <c:v>5381022.2649094705</c:v>
                </c:pt>
                <c:pt idx="4">
                  <c:v>5328741.2247332102</c:v>
                </c:pt>
                <c:pt idx="5">
                  <c:v>5362490.0247967001</c:v>
                </c:pt>
                <c:pt idx="6">
                  <c:v>5439855.1184226396</c:v>
                </c:pt>
                <c:pt idx="7">
                  <c:v>5398555.1268733004</c:v>
                </c:pt>
                <c:pt idx="8">
                  <c:v>5400702.1826831102</c:v>
                </c:pt>
                <c:pt idx="9">
                  <c:v>5361901.7250345098</c:v>
                </c:pt>
                <c:pt idx="10">
                  <c:v>5373154.4553564601</c:v>
                </c:pt>
                <c:pt idx="11">
                  <c:v>5422611.7035057601</c:v>
                </c:pt>
                <c:pt idx="12">
                  <c:v>5410430.0828440301</c:v>
                </c:pt>
                <c:pt idx="13">
                  <c:v>5390881.0290522901</c:v>
                </c:pt>
                <c:pt idx="14">
                  <c:v>5340629.4778164104</c:v>
                </c:pt>
                <c:pt idx="15">
                  <c:v>5404426.98438372</c:v>
                </c:pt>
                <c:pt idx="16">
                  <c:v>5443704.6811623499</c:v>
                </c:pt>
                <c:pt idx="17">
                  <c:v>5435102.49805714</c:v>
                </c:pt>
                <c:pt idx="18">
                  <c:v>5409858.3059073295</c:v>
                </c:pt>
                <c:pt idx="19">
                  <c:v>5346358.1194647104</c:v>
                </c:pt>
                <c:pt idx="20">
                  <c:v>5347937.3409228399</c:v>
                </c:pt>
                <c:pt idx="21">
                  <c:v>5328706.6235274104</c:v>
                </c:pt>
                <c:pt idx="22">
                  <c:v>5320973.7914630603</c:v>
                </c:pt>
                <c:pt idx="23">
                  <c:v>5236211.3576188805</c:v>
                </c:pt>
                <c:pt idx="24">
                  <c:v>5208862.3025533799</c:v>
                </c:pt>
                <c:pt idx="25">
                  <c:v>4027832.27949466</c:v>
                </c:pt>
                <c:pt idx="26">
                  <c:v>4885166.7606472103</c:v>
                </c:pt>
                <c:pt idx="27">
                  <c:v>5073344.4711271403</c:v>
                </c:pt>
                <c:pt idx="28">
                  <c:v>5043531.8423825204</c:v>
                </c:pt>
                <c:pt idx="29">
                  <c:v>5063952.9766806904</c:v>
                </c:pt>
                <c:pt idx="30">
                  <c:v>5072298.2938744901</c:v>
                </c:pt>
                <c:pt idx="31">
                  <c:v>5125832.0519621801</c:v>
                </c:pt>
                <c:pt idx="32">
                  <c:v>5190571.6566564497</c:v>
                </c:pt>
                <c:pt idx="33">
                  <c:v>5228433.6642477699</c:v>
                </c:pt>
                <c:pt idx="34">
                  <c:v>5257927.49941599</c:v>
                </c:pt>
                <c:pt idx="35">
                  <c:v>5284564.2424591603</c:v>
                </c:pt>
                <c:pt idx="36">
                  <c:v>5315539.3629492298</c:v>
                </c:pt>
              </c:numCache>
            </c:numRef>
          </c:val>
          <c:extLst>
            <c:ext xmlns:c16="http://schemas.microsoft.com/office/drawing/2014/chart" uri="{C3380CC4-5D6E-409C-BE32-E72D297353CC}">
              <c16:uniqueId val="{00000000-A808-4AE6-8FDA-37DC252D7A4E}"/>
            </c:ext>
          </c:extLst>
        </c:ser>
        <c:dLbls>
          <c:showLegendKey val="0"/>
          <c:showVal val="0"/>
          <c:showCatName val="0"/>
          <c:showSerName val="0"/>
          <c:showPercent val="0"/>
          <c:showBubbleSize val="0"/>
        </c:dLbls>
        <c:gapWidth val="60"/>
        <c:axId val="203651920"/>
        <c:axId val="203649960"/>
      </c:barChart>
      <c:lineChart>
        <c:grouping val="standard"/>
        <c:varyColors val="0"/>
        <c:ser>
          <c:idx val="1"/>
          <c:order val="1"/>
          <c:tx>
            <c:strRef>
              <c:f>datos!$I$5</c:f>
              <c:strCache>
                <c:ptCount val="1"/>
                <c:pt idx="0">
                  <c:v>Serie de tendencia-ciclo</c:v>
                </c:pt>
              </c:strCache>
            </c:strRef>
          </c:tx>
          <c:spPr>
            <a:ln w="19050">
              <a:solidFill>
                <a:schemeClr val="tx2">
                  <a:lumMod val="75000"/>
                </a:schemeClr>
              </a:solidFill>
            </a:ln>
          </c:spPr>
          <c:marker>
            <c:symbol val="none"/>
          </c:marker>
          <c:cat>
            <c:multiLvlStrRef>
              <c:f>datos!$B$51:$C$87</c:f>
              <c:multiLvlStrCache>
                <c:ptCount val="37"/>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lvl>
                <c:lvl>
                  <c:pt idx="0">
                    <c:v>2014</c:v>
                  </c:pt>
                  <c:pt idx="4">
                    <c:v>2015</c:v>
                  </c:pt>
                  <c:pt idx="8">
                    <c:v>2016</c:v>
                  </c:pt>
                  <c:pt idx="12">
                    <c:v>2017</c:v>
                  </c:pt>
                  <c:pt idx="16">
                    <c:v>2018</c:v>
                  </c:pt>
                  <c:pt idx="20">
                    <c:v>2019</c:v>
                  </c:pt>
                  <c:pt idx="24">
                    <c:v>2020</c:v>
                  </c:pt>
                  <c:pt idx="28">
                    <c:v>2021</c:v>
                  </c:pt>
                  <c:pt idx="32">
                    <c:v>2022</c:v>
                  </c:pt>
                  <c:pt idx="36">
                    <c:v>2023</c:v>
                  </c:pt>
                </c:lvl>
              </c:multiLvlStrCache>
            </c:multiLvlStrRef>
          </c:cat>
          <c:val>
            <c:numRef>
              <c:f>datos!$I$51:$I$87</c:f>
              <c:numCache>
                <c:formatCode>0.0</c:formatCode>
                <c:ptCount val="37"/>
                <c:pt idx="0">
                  <c:v>5283438.0264433501</c:v>
                </c:pt>
                <c:pt idx="1">
                  <c:v>5327141.0868520001</c:v>
                </c:pt>
                <c:pt idx="2">
                  <c:v>5344757.5648090802</c:v>
                </c:pt>
                <c:pt idx="3">
                  <c:v>5336493.6388864303</c:v>
                </c:pt>
                <c:pt idx="4">
                  <c:v>5336738.6201295797</c:v>
                </c:pt>
                <c:pt idx="5">
                  <c:v>5373579.7153814603</c:v>
                </c:pt>
                <c:pt idx="6">
                  <c:v>5416036.01444811</c:v>
                </c:pt>
                <c:pt idx="7">
                  <c:v>5416655.2686928501</c:v>
                </c:pt>
                <c:pt idx="8">
                  <c:v>5387823.50958109</c:v>
                </c:pt>
                <c:pt idx="9">
                  <c:v>5369453.6019681301</c:v>
                </c:pt>
                <c:pt idx="10">
                  <c:v>5379615.6058683395</c:v>
                </c:pt>
                <c:pt idx="11">
                  <c:v>5411295.5801886003</c:v>
                </c:pt>
                <c:pt idx="12">
                  <c:v>5415782.91017213</c:v>
                </c:pt>
                <c:pt idx="13">
                  <c:v>5379921.2127077403</c:v>
                </c:pt>
                <c:pt idx="14">
                  <c:v>5364065.50311145</c:v>
                </c:pt>
                <c:pt idx="15">
                  <c:v>5397349.8053236399</c:v>
                </c:pt>
                <c:pt idx="16">
                  <c:v>5439350.1894012196</c:v>
                </c:pt>
                <c:pt idx="17">
                  <c:v>5438983.2287488803</c:v>
                </c:pt>
                <c:pt idx="18">
                  <c:v>5400683.7005357305</c:v>
                </c:pt>
                <c:pt idx="19">
                  <c:v>5360252.2443874497</c:v>
                </c:pt>
                <c:pt idx="20">
                  <c:v>5339552.5387871899</c:v>
                </c:pt>
                <c:pt idx="21">
                  <c:v>5336403.1019243104</c:v>
                </c:pt>
                <c:pt idx="22">
                  <c:v>5302361.7493601805</c:v>
                </c:pt>
                <c:pt idx="23">
                  <c:v>5244530.9945273604</c:v>
                </c:pt>
                <c:pt idx="24">
                  <c:v>5211016.5647080299</c:v>
                </c:pt>
                <c:pt idx="25">
                  <c:v>4854661.9574237801</c:v>
                </c:pt>
                <c:pt idx="26">
                  <c:v>4929125.9323016005</c:v>
                </c:pt>
                <c:pt idx="27">
                  <c:v>5003670.1795987496</c:v>
                </c:pt>
                <c:pt idx="28">
                  <c:v>5046744.6492212303</c:v>
                </c:pt>
                <c:pt idx="29">
                  <c:v>5059688.8601501305</c:v>
                </c:pt>
                <c:pt idx="30">
                  <c:v>5078998.2375737801</c:v>
                </c:pt>
                <c:pt idx="31">
                  <c:v>5126133.16328339</c:v>
                </c:pt>
                <c:pt idx="32">
                  <c:v>5186416.2362502404</c:v>
                </c:pt>
                <c:pt idx="33">
                  <c:v>5229388.08813594</c:v>
                </c:pt>
                <c:pt idx="34">
                  <c:v>5257803.8204832897</c:v>
                </c:pt>
                <c:pt idx="35">
                  <c:v>5285171.4467836702</c:v>
                </c:pt>
                <c:pt idx="36">
                  <c:v>5315266.8582439097</c:v>
                </c:pt>
              </c:numCache>
            </c:numRef>
          </c:val>
          <c:smooth val="0"/>
          <c:extLst>
            <c:ext xmlns:c16="http://schemas.microsoft.com/office/drawing/2014/chart" uri="{C3380CC4-5D6E-409C-BE32-E72D297353CC}">
              <c16:uniqueId val="{00000001-A808-4AE6-8FDA-37DC252D7A4E}"/>
            </c:ext>
          </c:extLst>
        </c:ser>
        <c:dLbls>
          <c:showLegendKey val="0"/>
          <c:showVal val="0"/>
          <c:showCatName val="0"/>
          <c:showSerName val="0"/>
          <c:showPercent val="0"/>
          <c:showBubbleSize val="0"/>
        </c:dLbls>
        <c:marker val="1"/>
        <c:smooth val="0"/>
        <c:axId val="203651920"/>
        <c:axId val="203649960"/>
      </c:lineChart>
      <c:catAx>
        <c:axId val="203651920"/>
        <c:scaling>
          <c:orientation val="minMax"/>
        </c:scaling>
        <c:delete val="0"/>
        <c:axPos val="b"/>
        <c:numFmt formatCode="General" sourceLinked="1"/>
        <c:majorTickMark val="out"/>
        <c:minorTickMark val="none"/>
        <c:tickLblPos val="low"/>
        <c:spPr>
          <a:ln w="3175">
            <a:solidFill>
              <a:srgbClr val="000000"/>
            </a:solidFill>
            <a:prstDash val="solid"/>
          </a:ln>
        </c:spPr>
        <c:txPr>
          <a:bodyPr rot="0" vert="horz"/>
          <a:lstStyle/>
          <a:p>
            <a:pPr>
              <a:defRPr lang="es-MX" sz="700" b="0" i="0" u="none" strike="noStrike" baseline="0">
                <a:solidFill>
                  <a:srgbClr val="000000"/>
                </a:solidFill>
                <a:latin typeface="Arial"/>
                <a:ea typeface="Arial"/>
                <a:cs typeface="Arial"/>
              </a:defRPr>
            </a:pPr>
            <a:endParaRPr lang="es-MX"/>
          </a:p>
        </c:txPr>
        <c:crossAx val="203649960"/>
        <c:crosses val="autoZero"/>
        <c:auto val="1"/>
        <c:lblAlgn val="ctr"/>
        <c:lblOffset val="1"/>
        <c:tickLblSkip val="1"/>
        <c:tickMarkSkip val="4"/>
        <c:noMultiLvlLbl val="1"/>
      </c:catAx>
      <c:valAx>
        <c:axId val="203649960"/>
        <c:scaling>
          <c:orientation val="minMax"/>
          <c:max val="6000000"/>
          <c:min val="3600000"/>
        </c:scaling>
        <c:delete val="0"/>
        <c:axPos val="l"/>
        <c:numFmt formatCode="#\ ###\ ##0" sourceLinked="0"/>
        <c:majorTickMark val="out"/>
        <c:minorTickMark val="none"/>
        <c:tickLblPos val="nextTo"/>
        <c:spPr>
          <a:ln w="3175">
            <a:solidFill>
              <a:srgbClr val="000000"/>
            </a:solidFill>
          </a:ln>
        </c:spPr>
        <c:txPr>
          <a:bodyPr rot="0" vert="horz"/>
          <a:lstStyle/>
          <a:p>
            <a:pPr>
              <a:defRPr lang="es-MX" sz="700" b="0" i="0" u="none" strike="noStrike" baseline="0">
                <a:solidFill>
                  <a:srgbClr val="000000"/>
                </a:solidFill>
                <a:latin typeface="Arial"/>
                <a:ea typeface="Arial"/>
                <a:cs typeface="Arial"/>
              </a:defRPr>
            </a:pPr>
            <a:endParaRPr lang="es-MX"/>
          </a:p>
        </c:txPr>
        <c:crossAx val="203651920"/>
        <c:crosses val="autoZero"/>
        <c:crossBetween val="between"/>
        <c:majorUnit val="500000"/>
      </c:valAx>
      <c:spPr>
        <a:noFill/>
        <a:ln w="12700">
          <a:solidFill>
            <a:srgbClr val="808080"/>
          </a:solidFill>
          <a:prstDash val="solid"/>
        </a:ln>
      </c:spPr>
    </c:plotArea>
    <c:legend>
      <c:legendPos val="b"/>
      <c:layout>
        <c:manualLayout>
          <c:xMode val="edge"/>
          <c:yMode val="edge"/>
          <c:x val="2.8230308420750711E-2"/>
          <c:y val="0.93347222222222226"/>
          <c:w val="0.94796894574222679"/>
          <c:h val="6.2191666666666666E-2"/>
        </c:manualLayout>
      </c:layout>
      <c:overlay val="0"/>
      <c:txPr>
        <a:bodyPr/>
        <a:lstStyle/>
        <a:p>
          <a:pPr>
            <a:defRPr lang="es-MX" sz="700"/>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1000" b="0" i="0" u="none" strike="noStrike" baseline="0">
          <a:solidFill>
            <a:srgbClr val="000000"/>
          </a:solidFill>
          <a:latin typeface="Arial"/>
          <a:ea typeface="Arial"/>
          <a:cs typeface="Arial"/>
        </a:defRPr>
      </a:pPr>
      <a:endParaRPr lang="es-MX"/>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709104695246429"/>
          <c:y val="2.8292682926829286E-2"/>
          <c:w val="0.86073770778652681"/>
          <c:h val="0.80975595238095233"/>
        </c:manualLayout>
      </c:layout>
      <c:barChart>
        <c:barDir val="col"/>
        <c:grouping val="clustered"/>
        <c:varyColors val="0"/>
        <c:ser>
          <c:idx val="0"/>
          <c:order val="0"/>
          <c:tx>
            <c:strRef>
              <c:f>datos!$J$5</c:f>
              <c:strCache>
                <c:ptCount val="1"/>
                <c:pt idx="0">
                  <c:v>Serie desestacionalizada</c:v>
                </c:pt>
              </c:strCache>
            </c:strRef>
          </c:tx>
          <c:spPr>
            <a:solidFill>
              <a:schemeClr val="tx2">
                <a:lumMod val="60000"/>
                <a:lumOff val="40000"/>
              </a:schemeClr>
            </a:solidFill>
            <a:ln w="12700">
              <a:noFill/>
              <a:prstDash val="solid"/>
            </a:ln>
            <a:effectLst/>
          </c:spPr>
          <c:invertIfNegative val="0"/>
          <c:cat>
            <c:multiLvlStrRef>
              <c:f>datos!$B$51:$C$87</c:f>
              <c:multiLvlStrCache>
                <c:ptCount val="37"/>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lvl>
                <c:lvl>
                  <c:pt idx="0">
                    <c:v>2014</c:v>
                  </c:pt>
                  <c:pt idx="4">
                    <c:v>2015</c:v>
                  </c:pt>
                  <c:pt idx="8">
                    <c:v>2016</c:v>
                  </c:pt>
                  <c:pt idx="12">
                    <c:v>2017</c:v>
                  </c:pt>
                  <c:pt idx="16">
                    <c:v>2018</c:v>
                  </c:pt>
                  <c:pt idx="20">
                    <c:v>2019</c:v>
                  </c:pt>
                  <c:pt idx="24">
                    <c:v>2020</c:v>
                  </c:pt>
                  <c:pt idx="28">
                    <c:v>2021</c:v>
                  </c:pt>
                  <c:pt idx="32">
                    <c:v>2022</c:v>
                  </c:pt>
                  <c:pt idx="36">
                    <c:v>2023</c:v>
                  </c:pt>
                </c:lvl>
              </c:multiLvlStrCache>
            </c:multiLvlStrRef>
          </c:cat>
          <c:val>
            <c:numRef>
              <c:f>datos!$J$51:$J$87</c:f>
              <c:numCache>
                <c:formatCode>0.0</c:formatCode>
                <c:ptCount val="37"/>
                <c:pt idx="0">
                  <c:v>10063768.5447105</c:v>
                </c:pt>
                <c:pt idx="1">
                  <c:v>10184554.167923201</c:v>
                </c:pt>
                <c:pt idx="2">
                  <c:v>10260373.198128499</c:v>
                </c:pt>
                <c:pt idx="3">
                  <c:v>10377428.049373699</c:v>
                </c:pt>
                <c:pt idx="4">
                  <c:v>10491872.379700501</c:v>
                </c:pt>
                <c:pt idx="5">
                  <c:v>10649038.2050512</c:v>
                </c:pt>
                <c:pt idx="6">
                  <c:v>10759066.7033695</c:v>
                </c:pt>
                <c:pt idx="7">
                  <c:v>10764035.3192672</c:v>
                </c:pt>
                <c:pt idx="8">
                  <c:v>10859273.4154866</c:v>
                </c:pt>
                <c:pt idx="9">
                  <c:v>10932713.876269501</c:v>
                </c:pt>
                <c:pt idx="10">
                  <c:v>11060017.560851401</c:v>
                </c:pt>
                <c:pt idx="11">
                  <c:v>11202660.5770425</c:v>
                </c:pt>
                <c:pt idx="12">
                  <c:v>11293616.046855001</c:v>
                </c:pt>
                <c:pt idx="13">
                  <c:v>11343369.6032607</c:v>
                </c:pt>
                <c:pt idx="14">
                  <c:v>11345122.169555601</c:v>
                </c:pt>
                <c:pt idx="15">
                  <c:v>11506779.9579366</c:v>
                </c:pt>
                <c:pt idx="16">
                  <c:v>11646888.0005302</c:v>
                </c:pt>
                <c:pt idx="17">
                  <c:v>11659623.4449968</c:v>
                </c:pt>
                <c:pt idx="18">
                  <c:v>11744325.9569008</c:v>
                </c:pt>
                <c:pt idx="19">
                  <c:v>11768868.075562701</c:v>
                </c:pt>
                <c:pt idx="20">
                  <c:v>11771081.520270901</c:v>
                </c:pt>
                <c:pt idx="21">
                  <c:v>11736751.207914401</c:v>
                </c:pt>
                <c:pt idx="22">
                  <c:v>11792957.248074001</c:v>
                </c:pt>
                <c:pt idx="23">
                  <c:v>11794323.8321099</c:v>
                </c:pt>
                <c:pt idx="24">
                  <c:v>11686300.1907431</c:v>
                </c:pt>
                <c:pt idx="25">
                  <c:v>9764779.1767484508</c:v>
                </c:pt>
                <c:pt idx="26">
                  <c:v>10789246.740436001</c:v>
                </c:pt>
                <c:pt idx="27">
                  <c:v>11314641.8685077</c:v>
                </c:pt>
                <c:pt idx="28">
                  <c:v>11370635.5603422</c:v>
                </c:pt>
                <c:pt idx="29">
                  <c:v>11466721.058235301</c:v>
                </c:pt>
                <c:pt idx="30">
                  <c:v>11252626.8153152</c:v>
                </c:pt>
                <c:pt idx="31">
                  <c:v>11376421.0348373</c:v>
                </c:pt>
                <c:pt idx="32">
                  <c:v>11493410.278914301</c:v>
                </c:pt>
                <c:pt idx="33">
                  <c:v>11641745.7434547</c:v>
                </c:pt>
                <c:pt idx="34">
                  <c:v>11772332.513261801</c:v>
                </c:pt>
                <c:pt idx="35">
                  <c:v>11805199.4864427</c:v>
                </c:pt>
                <c:pt idx="36">
                  <c:v>11978147.180373199</c:v>
                </c:pt>
              </c:numCache>
            </c:numRef>
          </c:val>
          <c:extLst>
            <c:ext xmlns:c16="http://schemas.microsoft.com/office/drawing/2014/chart" uri="{C3380CC4-5D6E-409C-BE32-E72D297353CC}">
              <c16:uniqueId val="{00000000-65A8-4C22-BA7A-E313BFB39500}"/>
            </c:ext>
          </c:extLst>
        </c:ser>
        <c:dLbls>
          <c:showLegendKey val="0"/>
          <c:showVal val="0"/>
          <c:showCatName val="0"/>
          <c:showSerName val="0"/>
          <c:showPercent val="0"/>
          <c:showBubbleSize val="0"/>
        </c:dLbls>
        <c:gapWidth val="60"/>
        <c:axId val="204746424"/>
        <c:axId val="204747600"/>
      </c:barChart>
      <c:lineChart>
        <c:grouping val="standard"/>
        <c:varyColors val="0"/>
        <c:ser>
          <c:idx val="1"/>
          <c:order val="1"/>
          <c:tx>
            <c:strRef>
              <c:f>datos!$K$5</c:f>
              <c:strCache>
                <c:ptCount val="1"/>
                <c:pt idx="0">
                  <c:v>Serie de tendencia-ciclo</c:v>
                </c:pt>
              </c:strCache>
            </c:strRef>
          </c:tx>
          <c:spPr>
            <a:ln w="19050">
              <a:solidFill>
                <a:schemeClr val="tx2">
                  <a:lumMod val="75000"/>
                </a:schemeClr>
              </a:solidFill>
            </a:ln>
          </c:spPr>
          <c:marker>
            <c:symbol val="none"/>
          </c:marker>
          <c:cat>
            <c:multiLvlStrRef>
              <c:f>datos!$B$51:$C$87</c:f>
              <c:multiLvlStrCache>
                <c:ptCount val="37"/>
                <c:lvl>
                  <c:pt idx="0">
                    <c:v>I</c:v>
                  </c:pt>
                  <c:pt idx="1">
                    <c:v>II</c:v>
                  </c:pt>
                  <c:pt idx="2">
                    <c:v>III</c:v>
                  </c:pt>
                  <c:pt idx="3">
                    <c:v>IV</c:v>
                  </c:pt>
                  <c:pt idx="4">
                    <c:v>I</c:v>
                  </c:pt>
                  <c:pt idx="5">
                    <c:v>II</c:v>
                  </c:pt>
                  <c:pt idx="6">
                    <c:v>III</c:v>
                  </c:pt>
                  <c:pt idx="7">
                    <c:v>IV</c:v>
                  </c:pt>
                  <c:pt idx="8">
                    <c:v>I</c:v>
                  </c:pt>
                  <c:pt idx="9">
                    <c:v>II</c:v>
                  </c:pt>
                  <c:pt idx="10">
                    <c:v>III</c:v>
                  </c:pt>
                  <c:pt idx="11">
                    <c:v>IV</c:v>
                  </c:pt>
                  <c:pt idx="12">
                    <c:v>I</c:v>
                  </c:pt>
                  <c:pt idx="13">
                    <c:v>II</c:v>
                  </c:pt>
                  <c:pt idx="14">
                    <c:v>III</c:v>
                  </c:pt>
                  <c:pt idx="15">
                    <c:v>IV</c:v>
                  </c:pt>
                  <c:pt idx="16">
                    <c:v>I</c:v>
                  </c:pt>
                  <c:pt idx="17">
                    <c:v>II</c:v>
                  </c:pt>
                  <c:pt idx="18">
                    <c:v>III</c:v>
                  </c:pt>
                  <c:pt idx="19">
                    <c:v>IV</c:v>
                  </c:pt>
                  <c:pt idx="20">
                    <c:v>I</c:v>
                  </c:pt>
                  <c:pt idx="21">
                    <c:v>II</c:v>
                  </c:pt>
                  <c:pt idx="22">
                    <c:v>III</c:v>
                  </c:pt>
                  <c:pt idx="23">
                    <c:v>IV</c:v>
                  </c:pt>
                  <c:pt idx="24">
                    <c:v>I</c:v>
                  </c:pt>
                  <c:pt idx="25">
                    <c:v>II</c:v>
                  </c:pt>
                  <c:pt idx="26">
                    <c:v>III</c:v>
                  </c:pt>
                  <c:pt idx="27">
                    <c:v>IV</c:v>
                  </c:pt>
                  <c:pt idx="28">
                    <c:v>I</c:v>
                  </c:pt>
                  <c:pt idx="29">
                    <c:v>II</c:v>
                  </c:pt>
                  <c:pt idx="30">
                    <c:v>III</c:v>
                  </c:pt>
                  <c:pt idx="31">
                    <c:v>IV</c:v>
                  </c:pt>
                  <c:pt idx="32">
                    <c:v>I</c:v>
                  </c:pt>
                  <c:pt idx="33">
                    <c:v>II</c:v>
                  </c:pt>
                  <c:pt idx="34">
                    <c:v>III</c:v>
                  </c:pt>
                  <c:pt idx="35">
                    <c:v>IV</c:v>
                  </c:pt>
                  <c:pt idx="36">
                    <c:v>I</c:v>
                  </c:pt>
                </c:lvl>
                <c:lvl>
                  <c:pt idx="0">
                    <c:v>2014</c:v>
                  </c:pt>
                  <c:pt idx="4">
                    <c:v>2015</c:v>
                  </c:pt>
                  <c:pt idx="8">
                    <c:v>2016</c:v>
                  </c:pt>
                  <c:pt idx="12">
                    <c:v>2017</c:v>
                  </c:pt>
                  <c:pt idx="16">
                    <c:v>2018</c:v>
                  </c:pt>
                  <c:pt idx="20">
                    <c:v>2019</c:v>
                  </c:pt>
                  <c:pt idx="24">
                    <c:v>2020</c:v>
                  </c:pt>
                  <c:pt idx="28">
                    <c:v>2021</c:v>
                  </c:pt>
                  <c:pt idx="32">
                    <c:v>2022</c:v>
                  </c:pt>
                  <c:pt idx="36">
                    <c:v>2023</c:v>
                  </c:pt>
                </c:lvl>
              </c:multiLvlStrCache>
            </c:multiLvlStrRef>
          </c:cat>
          <c:val>
            <c:numRef>
              <c:f>datos!$K$51:$K$87</c:f>
              <c:numCache>
                <c:formatCode>0.0</c:formatCode>
                <c:ptCount val="37"/>
                <c:pt idx="0">
                  <c:v>10080659.7634214</c:v>
                </c:pt>
                <c:pt idx="1">
                  <c:v>10168786.74385</c:v>
                </c:pt>
                <c:pt idx="2">
                  <c:v>10269922.232708599</c:v>
                </c:pt>
                <c:pt idx="3">
                  <c:v>10370879.988145901</c:v>
                </c:pt>
                <c:pt idx="4">
                  <c:v>10501798.9796992</c:v>
                </c:pt>
                <c:pt idx="5">
                  <c:v>10646693.234423701</c:v>
                </c:pt>
                <c:pt idx="6">
                  <c:v>10740471.282808101</c:v>
                </c:pt>
                <c:pt idx="7">
                  <c:v>10786606.3893672</c:v>
                </c:pt>
                <c:pt idx="8">
                  <c:v>10845489.193546601</c:v>
                </c:pt>
                <c:pt idx="9">
                  <c:v>10941098.0713042</c:v>
                </c:pt>
                <c:pt idx="10">
                  <c:v>11062110.437431</c:v>
                </c:pt>
                <c:pt idx="11">
                  <c:v>11196969.098965099</c:v>
                </c:pt>
                <c:pt idx="12">
                  <c:v>11294885.203859201</c:v>
                </c:pt>
                <c:pt idx="13">
                  <c:v>11327604.529600101</c:v>
                </c:pt>
                <c:pt idx="14">
                  <c:v>11373711.6268335</c:v>
                </c:pt>
                <c:pt idx="15">
                  <c:v>11501226.550852001</c:v>
                </c:pt>
                <c:pt idx="16">
                  <c:v>11624480.962502301</c:v>
                </c:pt>
                <c:pt idx="17">
                  <c:v>11683961.9402804</c:v>
                </c:pt>
                <c:pt idx="18">
                  <c:v>11731846.4366934</c:v>
                </c:pt>
                <c:pt idx="19">
                  <c:v>11772689.6939207</c:v>
                </c:pt>
                <c:pt idx="20">
                  <c:v>11760706.698429899</c:v>
                </c:pt>
                <c:pt idx="21">
                  <c:v>11756756.712399101</c:v>
                </c:pt>
                <c:pt idx="22">
                  <c:v>11786288.276652399</c:v>
                </c:pt>
                <c:pt idx="23">
                  <c:v>11771450.917851601</c:v>
                </c:pt>
                <c:pt idx="24">
                  <c:v>11719999.800178301</c:v>
                </c:pt>
                <c:pt idx="25">
                  <c:v>11246658.814879499</c:v>
                </c:pt>
                <c:pt idx="26">
                  <c:v>11270604.6605682</c:v>
                </c:pt>
                <c:pt idx="27">
                  <c:v>11312792.042466801</c:v>
                </c:pt>
                <c:pt idx="28">
                  <c:v>11365392.8608892</c:v>
                </c:pt>
                <c:pt idx="29">
                  <c:v>11367358.9839678</c:v>
                </c:pt>
                <c:pt idx="30">
                  <c:v>11348220.643702799</c:v>
                </c:pt>
                <c:pt idx="31">
                  <c:v>11381556.7024488</c:v>
                </c:pt>
                <c:pt idx="32">
                  <c:v>11493224.947528999</c:v>
                </c:pt>
                <c:pt idx="33">
                  <c:v>11641834.646424999</c:v>
                </c:pt>
                <c:pt idx="34">
                  <c:v>11757712.550604001</c:v>
                </c:pt>
                <c:pt idx="35">
                  <c:v>11854822.380286301</c:v>
                </c:pt>
                <c:pt idx="36">
                  <c:v>11969495.4634241</c:v>
                </c:pt>
              </c:numCache>
            </c:numRef>
          </c:val>
          <c:smooth val="0"/>
          <c:extLst>
            <c:ext xmlns:c16="http://schemas.microsoft.com/office/drawing/2014/chart" uri="{C3380CC4-5D6E-409C-BE32-E72D297353CC}">
              <c16:uniqueId val="{00000001-65A8-4C22-BA7A-E313BFB39500}"/>
            </c:ext>
          </c:extLst>
        </c:ser>
        <c:dLbls>
          <c:showLegendKey val="0"/>
          <c:showVal val="0"/>
          <c:showCatName val="0"/>
          <c:showSerName val="0"/>
          <c:showPercent val="0"/>
          <c:showBubbleSize val="0"/>
        </c:dLbls>
        <c:marker val="1"/>
        <c:smooth val="0"/>
        <c:axId val="204746424"/>
        <c:axId val="204747600"/>
      </c:lineChart>
      <c:catAx>
        <c:axId val="204746424"/>
        <c:scaling>
          <c:orientation val="minMax"/>
        </c:scaling>
        <c:delete val="0"/>
        <c:axPos val="b"/>
        <c:numFmt formatCode="General" sourceLinked="1"/>
        <c:majorTickMark val="out"/>
        <c:minorTickMark val="none"/>
        <c:tickLblPos val="low"/>
        <c:spPr>
          <a:ln w="3175">
            <a:solidFill>
              <a:srgbClr val="000000"/>
            </a:solidFill>
            <a:prstDash val="solid"/>
          </a:ln>
        </c:spPr>
        <c:txPr>
          <a:bodyPr rot="0" vert="horz"/>
          <a:lstStyle/>
          <a:p>
            <a:pPr>
              <a:defRPr lang="es-MX" sz="700" b="0" i="0" u="none" strike="noStrike" baseline="0">
                <a:solidFill>
                  <a:srgbClr val="000000"/>
                </a:solidFill>
                <a:latin typeface="Arial"/>
                <a:ea typeface="Arial"/>
                <a:cs typeface="Arial"/>
              </a:defRPr>
            </a:pPr>
            <a:endParaRPr lang="es-MX"/>
          </a:p>
        </c:txPr>
        <c:crossAx val="204747600"/>
        <c:crosses val="autoZero"/>
        <c:auto val="1"/>
        <c:lblAlgn val="ctr"/>
        <c:lblOffset val="1"/>
        <c:tickLblSkip val="1"/>
        <c:tickMarkSkip val="4"/>
        <c:noMultiLvlLbl val="1"/>
      </c:catAx>
      <c:valAx>
        <c:axId val="204747600"/>
        <c:scaling>
          <c:orientation val="minMax"/>
          <c:max val="13100000"/>
          <c:min val="8000000"/>
        </c:scaling>
        <c:delete val="0"/>
        <c:axPos val="l"/>
        <c:numFmt formatCode="#\ ###\ ##0" sourceLinked="0"/>
        <c:majorTickMark val="out"/>
        <c:minorTickMark val="none"/>
        <c:tickLblPos val="nextTo"/>
        <c:spPr>
          <a:ln w="3175">
            <a:solidFill>
              <a:srgbClr val="000000"/>
            </a:solidFill>
          </a:ln>
        </c:spPr>
        <c:txPr>
          <a:bodyPr rot="0" vert="horz"/>
          <a:lstStyle/>
          <a:p>
            <a:pPr>
              <a:defRPr lang="es-MX" sz="700" b="0" i="0" u="none" strike="noStrike" baseline="0">
                <a:solidFill>
                  <a:srgbClr val="000000"/>
                </a:solidFill>
                <a:latin typeface="Arial"/>
                <a:ea typeface="Arial"/>
                <a:cs typeface="Arial"/>
              </a:defRPr>
            </a:pPr>
            <a:endParaRPr lang="es-MX"/>
          </a:p>
        </c:txPr>
        <c:crossAx val="204746424"/>
        <c:crosses val="autoZero"/>
        <c:crossBetween val="between"/>
        <c:majorUnit val="1000000"/>
      </c:valAx>
      <c:spPr>
        <a:noFill/>
        <a:ln w="12700">
          <a:solidFill>
            <a:srgbClr val="808080"/>
          </a:solidFill>
          <a:prstDash val="solid"/>
        </a:ln>
      </c:spPr>
    </c:plotArea>
    <c:legend>
      <c:legendPos val="b"/>
      <c:layout>
        <c:manualLayout>
          <c:xMode val="edge"/>
          <c:yMode val="edge"/>
          <c:x val="2.8230341880341882E-2"/>
          <c:y val="0.9435515873015875"/>
          <c:w val="0.94796894574222657"/>
          <c:h val="5.2112301587301589E-2"/>
        </c:manualLayout>
      </c:layout>
      <c:overlay val="0"/>
      <c:txPr>
        <a:bodyPr/>
        <a:lstStyle/>
        <a:p>
          <a:pPr>
            <a:defRPr lang="es-MX" sz="700"/>
          </a:pPr>
          <a:endParaRPr lang="es-MX"/>
        </a:p>
      </c:txPr>
    </c:legend>
    <c:plotVisOnly val="1"/>
    <c:dispBlanksAs val="gap"/>
    <c:showDLblsOverMax val="0"/>
  </c:chart>
  <c:spPr>
    <a:noFill/>
    <a:ln w="3175">
      <a:solidFill>
        <a:srgbClr val="000000"/>
      </a:solidFill>
      <a:prstDash val="solid"/>
    </a:ln>
    <a:effectLst>
      <a:outerShdw dist="12700" dir="2700000" algn="br">
        <a:srgbClr val="000000"/>
      </a:outerShdw>
    </a:effectLst>
  </c:spPr>
  <c:txPr>
    <a:bodyPr/>
    <a:lstStyle/>
    <a:p>
      <a:pPr>
        <a:defRPr sz="1000" b="0" i="0" u="none" strike="noStrike" baseline="0">
          <a:solidFill>
            <a:srgbClr val="000000"/>
          </a:solidFill>
          <a:latin typeface="Arial"/>
          <a:ea typeface="Arial"/>
          <a:cs typeface="Arial"/>
        </a:defRPr>
      </a:pPr>
      <a:endParaRPr lang="es-MX"/>
    </a:p>
  </c:txPr>
  <c:externalData r:id="rId1">
    <c:autoUpdate val="0"/>
  </c:externalData>
</c:chartSpace>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68D8128FBF1DCB4BB482DBB94943CBF1" ma:contentTypeVersion="4" ma:contentTypeDescription="Create a new document." ma:contentTypeScope="" ma:versionID="5dbb91214b65ddb1befca05659cde2de">
  <xsd:schema xmlns:xsd="http://www.w3.org/2001/XMLSchema" xmlns:xs="http://www.w3.org/2001/XMLSchema" xmlns:p="http://schemas.microsoft.com/office/2006/metadata/properties" xmlns:ns2="8d1394d2-d035-4f02-9e4e-321449527318" xmlns:ns3="ec0e31e1-6bce-4e36-ba83-434aaf6c7901" targetNamespace="http://schemas.microsoft.com/office/2006/metadata/properties" ma:root="true" ma:fieldsID="b4fcdd3674c30075db524b5f4645591a" ns2:_="" ns3:_="">
    <xsd:import namespace="8d1394d2-d035-4f02-9e4e-321449527318"/>
    <xsd:import namespace="ec0e31e1-6bce-4e36-ba83-434aaf6c7901"/>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d1394d2-d035-4f02-9e4e-32144952731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ec0e31e1-6bce-4e36-ba83-434aaf6c7901"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8B13FE-7254-4AB4-9619-7BEA57EAB96F}">
  <ds:schemaRefs>
    <ds:schemaRef ds:uri="http://schemas.microsoft.com/sharepoint/v3/contenttype/forms"/>
  </ds:schemaRefs>
</ds:datastoreItem>
</file>

<file path=customXml/itemProps2.xml><?xml version="1.0" encoding="utf-8"?>
<ds:datastoreItem xmlns:ds="http://schemas.openxmlformats.org/officeDocument/2006/customXml" ds:itemID="{F2A1ACC4-8BD9-4CAE-97F2-6EC940AD843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d1394d2-d035-4f02-9e4e-321449527318"/>
    <ds:schemaRef ds:uri="ec0e31e1-6bce-4e36-ba83-434aaf6c790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4806703-289D-42F1-A7EE-8C0F20AC0E5F}">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300856AD-29FB-4080-B712-BF404C6377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120</TotalTime>
  <Pages>9</Pages>
  <Words>2041</Words>
  <Characters>11228</Characters>
  <Application>Microsoft Office Word</Application>
  <DocSecurity>0</DocSecurity>
  <Lines>93</Lines>
  <Paragraphs>26</Paragraphs>
  <ScaleCrop>false</ScaleCrop>
  <HeadingPairs>
    <vt:vector size="2" baseType="variant">
      <vt:variant>
        <vt:lpstr>Título</vt:lpstr>
      </vt:variant>
      <vt:variant>
        <vt:i4>1</vt:i4>
      </vt:variant>
    </vt:vector>
  </HeadingPairs>
  <TitlesOfParts>
    <vt:vector size="1" baseType="lpstr">
      <vt:lpstr>Comunicado de prensa del PIB</vt:lpstr>
    </vt:vector>
  </TitlesOfParts>
  <Company>DGCNES y P.  "INEGI"</Company>
  <LinksUpToDate>false</LinksUpToDate>
  <CharactersWithSpaces>13243</CharactersWithSpaces>
  <SharedDoc>false</SharedDoc>
  <HLinks>
    <vt:vector size="12" baseType="variant">
      <vt:variant>
        <vt:i4>262227</vt:i4>
      </vt:variant>
      <vt:variant>
        <vt:i4>3</vt:i4>
      </vt:variant>
      <vt:variant>
        <vt:i4>0</vt:i4>
      </vt:variant>
      <vt:variant>
        <vt:i4>5</vt:i4>
      </vt:variant>
      <vt:variant>
        <vt:lpwstr>http://www.inegi.org.mx/</vt:lpwstr>
      </vt:variant>
      <vt:variant>
        <vt:lpwstr/>
      </vt:variant>
      <vt:variant>
        <vt:i4>2228345</vt:i4>
      </vt:variant>
      <vt:variant>
        <vt:i4>0</vt:i4>
      </vt:variant>
      <vt:variant>
        <vt:i4>0</vt:i4>
      </vt:variant>
      <vt:variant>
        <vt:i4>5</vt:i4>
      </vt:variant>
      <vt:variant>
        <vt:lpwstr>https://www.inegi.org.mx/app/biblioteca/ficha.html?upc=702825099060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Comunicado de prensa del PIB</dc:title>
  <dc:subject/>
  <dc:creator>MANUEL.CUENCA@inegi.org.mx</dc:creator>
  <cp:keywords/>
  <dc:description/>
  <cp:lastModifiedBy>MARTINEZ GALINDO MINERVA JOAQUINA</cp:lastModifiedBy>
  <cp:revision>34</cp:revision>
  <cp:lastPrinted>2023-02-22T21:36:00Z</cp:lastPrinted>
  <dcterms:created xsi:type="dcterms:W3CDTF">2023-05-23T22:19:00Z</dcterms:created>
  <dcterms:modified xsi:type="dcterms:W3CDTF">2023-05-25T22:28:00Z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0x01010068D8128FBF1DCB4BB482DBB94943CBF1</vt:lpwstr>
  </property>
  <property fmtid="{D5CDD505-2E9C-101B-9397-08002B2CF9AE}" pid="3" name="GrammarlyDocumentId">
    <vt:lpwstr>1d80cb89e5f212e8c619bf3abdbfcf482e5d6f0d55472a5aa0290deefc6582bf</vt:lpwstr>
  </property>
</Properties>
</file>