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12403743"/>
    <w:bookmarkStart w:id="1" w:name="_GoBack"/>
    <w:bookmarkEnd w:id="0"/>
    <w:bookmarkEnd w:id="1"/>
    <w:p w14:paraId="50473523" w14:textId="176EDBFA" w:rsidR="001D124A" w:rsidRDefault="001D124A" w:rsidP="00BB26A9">
      <w:pPr>
        <w:pStyle w:val="Ttulo"/>
        <w:tabs>
          <w:tab w:val="left" w:pos="567"/>
        </w:tabs>
        <w:rPr>
          <w:rFonts w:cs="Arial"/>
          <w:smallCaps/>
          <w:sz w:val="28"/>
          <w:szCs w:val="28"/>
        </w:rPr>
      </w:pPr>
      <w:r w:rsidRPr="003C0955">
        <w:rPr>
          <w:noProof/>
          <w:color w:val="244061" w:themeColor="accent1" w:themeShade="80"/>
          <w:lang w:eastAsia="es-MX"/>
        </w:rPr>
        <mc:AlternateContent>
          <mc:Choice Requires="wps">
            <w:drawing>
              <wp:anchor distT="45720" distB="45720" distL="114300" distR="114300" simplePos="0" relativeHeight="251660288" behindDoc="0" locked="0" layoutInCell="1" allowOverlap="1" wp14:anchorId="12F9D4DF" wp14:editId="21BF160F">
                <wp:simplePos x="0" y="0"/>
                <wp:positionH relativeFrom="margin">
                  <wp:posOffset>3038475</wp:posOffset>
                </wp:positionH>
                <wp:positionV relativeFrom="paragraph">
                  <wp:posOffset>0</wp:posOffset>
                </wp:positionV>
                <wp:extent cx="3336290" cy="266700"/>
                <wp:effectExtent l="0" t="0" r="0" b="0"/>
                <wp:wrapSquare wrapText="bothSides"/>
                <wp:docPr id="610586331" name="Cuadro de texto 610586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noFill/>
                        <a:ln w="9525">
                          <a:noFill/>
                          <a:miter lim="800000"/>
                          <a:headEnd/>
                          <a:tailEnd/>
                        </a:ln>
                      </wps:spPr>
                      <wps:txbx>
                        <w:txbxContent>
                          <w:p w14:paraId="5FB672E7" w14:textId="77777777" w:rsidR="001D124A" w:rsidRPr="00B30160" w:rsidRDefault="001D124A" w:rsidP="001D124A">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b/>
                                <w:bCs/>
                                <w:color w:val="07BFBA"/>
                              </w:rPr>
                              <w:t>29</w:t>
                            </w:r>
                            <w:r w:rsidRPr="00B30160">
                              <w:rPr>
                                <w:rFonts w:ascii="Arial Negrita" w:hAnsi="Arial Negrita"/>
                                <w:b/>
                                <w:bCs/>
                                <w:color w:val="07BFBA"/>
                              </w:rPr>
                              <w:t xml:space="preserve"> de </w:t>
                            </w:r>
                            <w:r>
                              <w:rPr>
                                <w:rFonts w:ascii="Arial Negrita" w:hAnsi="Arial Negrita"/>
                                <w:b/>
                                <w:bCs/>
                                <w:color w:val="07BFBA"/>
                              </w:rPr>
                              <w:t>febrero</w:t>
                            </w:r>
                          </w:p>
                          <w:p w14:paraId="7562E1E7" w14:textId="77777777" w:rsidR="001D124A" w:rsidRDefault="001D124A" w:rsidP="001D12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2F9D4DF" id="_x0000_t202" coordsize="21600,21600" o:spt="202" path="m,l,21600r21600,l21600,xe">
                <v:stroke joinstyle="miter"/>
                <v:path gradientshapeok="t" o:connecttype="rect"/>
              </v:shapetype>
              <v:shape id="Cuadro de texto 610586331" o:spid="_x0000_s1026" type="#_x0000_t202" style="position:absolute;left:0;text-align:left;margin-left:239.25pt;margin-top:0;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" filled="f" stroked="f">
                <v:textbox>
                  <w:txbxContent>
                    <w:p w14:paraId="5FB672E7" w14:textId="77777777" w:rsidR="001D124A" w:rsidRPr="00B30160" w:rsidRDefault="001D124A" w:rsidP="001D124A">
                      <w:pPr>
                        <w:jc w:val="right"/>
                        <w:rPr>
                          <w:rFonts w:ascii="Arial Negrita" w:hAnsi="Arial Negrita"/>
                          <w:color w:val="07BFBA"/>
                        </w:rPr>
                      </w:pPr>
                      <w:r w:rsidRPr="00B30160">
                        <w:rPr>
                          <w:rFonts w:ascii="Arial Negrita" w:hAnsi="Arial Negrita"/>
                          <w:color w:val="07BFBA"/>
                        </w:rPr>
                        <w:t xml:space="preserve">Próxima publicación: </w:t>
                      </w:r>
                      <w:r>
                        <w:rPr>
                          <w:rFonts w:ascii="Arial Negrita" w:hAnsi="Arial Negrita"/>
                          <w:b/>
                          <w:bCs/>
                          <w:color w:val="07BFBA"/>
                        </w:rPr>
                        <w:t>29</w:t>
                      </w:r>
                      <w:r w:rsidRPr="00B30160">
                        <w:rPr>
                          <w:rFonts w:ascii="Arial Negrita" w:hAnsi="Arial Negrita"/>
                          <w:b/>
                          <w:bCs/>
                          <w:color w:val="07BFBA"/>
                        </w:rPr>
                        <w:t xml:space="preserve"> de </w:t>
                      </w:r>
                      <w:r>
                        <w:rPr>
                          <w:rFonts w:ascii="Arial Negrita" w:hAnsi="Arial Negrita"/>
                          <w:b/>
                          <w:bCs/>
                          <w:color w:val="07BFBA"/>
                        </w:rPr>
                        <w:t>febrero</w:t>
                      </w:r>
                    </w:p>
                    <w:p w14:paraId="7562E1E7" w14:textId="77777777" w:rsidR="001D124A" w:rsidRDefault="001D124A" w:rsidP="001D124A"/>
                  </w:txbxContent>
                </v:textbox>
                <w10:wrap type="square" anchorx="margin"/>
              </v:shape>
            </w:pict>
          </mc:Fallback>
        </mc:AlternateContent>
      </w:r>
    </w:p>
    <w:p w14:paraId="47FD7AD0" w14:textId="77777777" w:rsidR="001D124A" w:rsidRDefault="001D124A" w:rsidP="00BB26A9">
      <w:pPr>
        <w:pStyle w:val="Ttulo"/>
        <w:tabs>
          <w:tab w:val="left" w:pos="567"/>
        </w:tabs>
        <w:rPr>
          <w:rFonts w:cs="Arial"/>
          <w:smallCaps/>
          <w:sz w:val="28"/>
          <w:szCs w:val="28"/>
        </w:rPr>
      </w:pPr>
    </w:p>
    <w:p w14:paraId="328A151B" w14:textId="77777777" w:rsidR="001D124A" w:rsidRDefault="001D124A" w:rsidP="00BB26A9">
      <w:pPr>
        <w:pStyle w:val="Ttulo"/>
        <w:tabs>
          <w:tab w:val="left" w:pos="567"/>
        </w:tabs>
        <w:rPr>
          <w:rFonts w:cs="Arial"/>
          <w:smallCaps/>
          <w:sz w:val="28"/>
          <w:szCs w:val="28"/>
        </w:rPr>
      </w:pPr>
    </w:p>
    <w:p w14:paraId="1783142D" w14:textId="625D5B72" w:rsidR="002D6584" w:rsidRPr="001D124A" w:rsidRDefault="00B242A7" w:rsidP="00BB26A9">
      <w:pPr>
        <w:pStyle w:val="Ttulo"/>
        <w:tabs>
          <w:tab w:val="left" w:pos="567"/>
        </w:tabs>
        <w:rPr>
          <w:rFonts w:ascii="Arial Negrita" w:hAnsi="Arial Negrita" w:cs="Arial"/>
          <w:szCs w:val="28"/>
        </w:rPr>
      </w:pPr>
      <w:r w:rsidRPr="001D124A">
        <w:rPr>
          <w:rFonts w:ascii="Arial Negrita" w:hAnsi="Arial Negrita" w:cs="Arial"/>
          <w:szCs w:val="28"/>
        </w:rPr>
        <w:t>INDICADORES DE OCUPACIÓN Y EMPLEO</w:t>
      </w:r>
    </w:p>
    <w:p w14:paraId="1AA9B2D4" w14:textId="01022E05" w:rsidR="002D6584" w:rsidRPr="001D124A" w:rsidRDefault="000E2871" w:rsidP="006B0651">
      <w:pPr>
        <w:pStyle w:val="Subttulo"/>
        <w:spacing w:before="60"/>
        <w:rPr>
          <w:b w:val="0"/>
          <w:szCs w:val="28"/>
        </w:rPr>
      </w:pPr>
      <w:r w:rsidRPr="001D124A">
        <w:rPr>
          <w:b w:val="0"/>
          <w:szCs w:val="28"/>
        </w:rPr>
        <w:t>Dic</w:t>
      </w:r>
      <w:r w:rsidR="00585680" w:rsidRPr="001D124A">
        <w:rPr>
          <w:b w:val="0"/>
          <w:szCs w:val="28"/>
        </w:rPr>
        <w:t>iembre</w:t>
      </w:r>
      <w:r w:rsidR="00B242A7" w:rsidRPr="001D124A">
        <w:rPr>
          <w:b w:val="0"/>
          <w:szCs w:val="28"/>
        </w:rPr>
        <w:t xml:space="preserve"> de 202</w:t>
      </w:r>
      <w:r w:rsidR="00CE11B2" w:rsidRPr="001D124A">
        <w:rPr>
          <w:b w:val="0"/>
          <w:szCs w:val="28"/>
        </w:rPr>
        <w:t>3</w:t>
      </w:r>
    </w:p>
    <w:p w14:paraId="7B9200EB" w14:textId="58F0A6E1" w:rsidR="00C87A42" w:rsidRPr="001D124A" w:rsidRDefault="00C87A42" w:rsidP="001D124A">
      <w:pPr>
        <w:pStyle w:val="bullet"/>
        <w:keepLines w:val="0"/>
        <w:spacing w:after="0"/>
        <w:ind w:left="0" w:right="51" w:firstLine="0"/>
        <w:rPr>
          <w:rFonts w:cs="Arial"/>
          <w:b w:val="0"/>
          <w:color w:val="auto"/>
          <w:spacing w:val="0"/>
          <w:szCs w:val="22"/>
          <w:lang w:val="es-ES_tradnl"/>
        </w:rPr>
      </w:pPr>
      <w:r w:rsidRPr="001D124A">
        <w:rPr>
          <w:rFonts w:cs="Arial"/>
          <w:b w:val="0"/>
          <w:color w:val="auto"/>
          <w:spacing w:val="0"/>
          <w:szCs w:val="22"/>
          <w:lang w:val="es-ES_tradnl"/>
        </w:rPr>
        <w:t xml:space="preserve">El Instituto Nacional de Estadística y Geografía </w:t>
      </w:r>
      <w:r w:rsidR="001D124A" w:rsidRPr="001D124A">
        <w:rPr>
          <w:rFonts w:cs="Arial"/>
          <w:b w:val="0"/>
          <w:color w:val="auto"/>
          <w:spacing w:val="0"/>
          <w:szCs w:val="22"/>
          <w:lang w:val="es-ES_tradnl"/>
        </w:rPr>
        <w:t>(</w:t>
      </w:r>
      <w:proofErr w:type="spellStart"/>
      <w:r w:rsidR="001D124A" w:rsidRPr="001D124A">
        <w:rPr>
          <w:rFonts w:cs="Arial"/>
          <w:b w:val="0"/>
          <w:smallCaps/>
          <w:color w:val="auto"/>
          <w:spacing w:val="0"/>
          <w:szCs w:val="22"/>
          <w:lang w:val="es-ES_tradnl"/>
        </w:rPr>
        <w:t>inegi</w:t>
      </w:r>
      <w:proofErr w:type="spellEnd"/>
      <w:r w:rsidR="001D124A" w:rsidRPr="001D124A">
        <w:rPr>
          <w:rFonts w:cs="Arial"/>
          <w:b w:val="0"/>
          <w:color w:val="auto"/>
          <w:spacing w:val="0"/>
          <w:szCs w:val="22"/>
          <w:lang w:val="es-ES_tradnl"/>
        </w:rPr>
        <w:t xml:space="preserve">) </w:t>
      </w:r>
      <w:r w:rsidRPr="001D124A">
        <w:rPr>
          <w:rFonts w:cs="Arial"/>
          <w:b w:val="0"/>
          <w:color w:val="auto"/>
          <w:spacing w:val="0"/>
          <w:szCs w:val="22"/>
          <w:lang w:val="es-ES_tradnl"/>
        </w:rPr>
        <w:t>presenta los resultados de la Encuesta Nacional de Ocupación y Empleo (</w:t>
      </w:r>
      <w:proofErr w:type="spellStart"/>
      <w:r w:rsidR="00801544" w:rsidRPr="001D124A">
        <w:rPr>
          <w:rFonts w:cs="Arial"/>
          <w:b w:val="0"/>
          <w:smallCaps/>
          <w:color w:val="auto"/>
          <w:spacing w:val="0"/>
          <w:szCs w:val="22"/>
          <w:lang w:val="es-ES_tradnl"/>
        </w:rPr>
        <w:t>enoe</w:t>
      </w:r>
      <w:proofErr w:type="spellEnd"/>
      <w:r w:rsidRPr="001D124A">
        <w:rPr>
          <w:rFonts w:cs="Arial"/>
          <w:b w:val="0"/>
          <w:color w:val="auto"/>
          <w:spacing w:val="0"/>
          <w:szCs w:val="22"/>
          <w:lang w:val="es-ES_tradnl"/>
        </w:rPr>
        <w:t>)</w:t>
      </w:r>
      <w:r w:rsidR="00270E31" w:rsidRPr="001D124A">
        <w:rPr>
          <w:rFonts w:cs="Arial"/>
          <w:b w:val="0"/>
          <w:color w:val="auto"/>
          <w:spacing w:val="0"/>
          <w:szCs w:val="22"/>
          <w:lang w:val="es-ES_tradnl"/>
        </w:rPr>
        <w:t xml:space="preserve">. Esta </w:t>
      </w:r>
      <w:r w:rsidR="00C173EB" w:rsidRPr="001D124A">
        <w:rPr>
          <w:rFonts w:cs="Arial"/>
          <w:b w:val="0"/>
          <w:color w:val="auto"/>
          <w:spacing w:val="0"/>
          <w:szCs w:val="22"/>
          <w:lang w:val="es-ES_tradnl"/>
        </w:rPr>
        <w:t>muestra</w:t>
      </w:r>
      <w:r w:rsidRPr="001D124A">
        <w:rPr>
          <w:rFonts w:cs="Arial"/>
          <w:b w:val="0"/>
          <w:color w:val="auto"/>
          <w:spacing w:val="0"/>
          <w:szCs w:val="22"/>
          <w:lang w:val="es-ES_tradnl"/>
        </w:rPr>
        <w:t xml:space="preserve"> el </w:t>
      </w:r>
      <w:r w:rsidR="006D075B" w:rsidRPr="001D124A">
        <w:rPr>
          <w:rFonts w:cs="Arial"/>
          <w:b w:val="0"/>
          <w:color w:val="auto"/>
          <w:spacing w:val="0"/>
          <w:szCs w:val="22"/>
          <w:lang w:val="es-ES_tradnl"/>
        </w:rPr>
        <w:t xml:space="preserve">comportamiento del </w:t>
      </w:r>
      <w:r w:rsidRPr="001D124A">
        <w:rPr>
          <w:rFonts w:cs="Arial"/>
          <w:b w:val="0"/>
          <w:color w:val="auto"/>
          <w:spacing w:val="0"/>
          <w:szCs w:val="22"/>
          <w:lang w:val="es-ES_tradnl"/>
        </w:rPr>
        <w:t xml:space="preserve">mercado laboral mexicano, al ofrecer datos </w:t>
      </w:r>
      <w:r w:rsidR="006D075B" w:rsidRPr="001D124A">
        <w:rPr>
          <w:rFonts w:cs="Arial"/>
          <w:b w:val="0"/>
          <w:color w:val="auto"/>
          <w:spacing w:val="0"/>
          <w:szCs w:val="22"/>
          <w:lang w:val="es-ES_tradnl"/>
        </w:rPr>
        <w:t xml:space="preserve">mensuales </w:t>
      </w:r>
      <w:r w:rsidRPr="001D124A">
        <w:rPr>
          <w:rFonts w:cs="Arial"/>
          <w:b w:val="0"/>
          <w:color w:val="auto"/>
          <w:spacing w:val="0"/>
          <w:szCs w:val="22"/>
          <w:lang w:val="es-ES_tradnl"/>
        </w:rPr>
        <w:t xml:space="preserve">de la </w:t>
      </w:r>
      <w:r w:rsidR="00FB1D4D" w:rsidRPr="001D124A">
        <w:rPr>
          <w:rFonts w:cs="Arial"/>
          <w:b w:val="0"/>
          <w:color w:val="auto"/>
          <w:spacing w:val="0"/>
          <w:szCs w:val="22"/>
          <w:lang w:val="es-ES_tradnl"/>
        </w:rPr>
        <w:t>población económicamente activa</w:t>
      </w:r>
      <w:r w:rsidRPr="001D124A">
        <w:rPr>
          <w:rFonts w:cs="Arial"/>
          <w:b w:val="0"/>
          <w:color w:val="auto"/>
          <w:spacing w:val="0"/>
          <w:szCs w:val="22"/>
          <w:lang w:val="es-ES_tradnl"/>
        </w:rPr>
        <w:t>, la ocupación, la informalidad laboral, la subocupación y la desocupación.</w:t>
      </w:r>
    </w:p>
    <w:p w14:paraId="521D7304" w14:textId="40A1F7A8" w:rsidR="00A14F9F" w:rsidRPr="001D124A" w:rsidRDefault="00A14F9F" w:rsidP="001D124A">
      <w:pPr>
        <w:pStyle w:val="bullet"/>
        <w:keepLines w:val="0"/>
        <w:spacing w:after="0"/>
        <w:ind w:left="0" w:right="51" w:firstLine="0"/>
        <w:rPr>
          <w:rFonts w:cs="Arial"/>
          <w:b w:val="0"/>
          <w:color w:val="auto"/>
          <w:spacing w:val="0"/>
          <w:lang w:val="es-ES_tradnl"/>
        </w:rPr>
      </w:pPr>
      <w:r w:rsidRPr="001D124A">
        <w:rPr>
          <w:rFonts w:cs="Arial"/>
          <w:b w:val="0"/>
          <w:color w:val="auto"/>
          <w:spacing w:val="0"/>
          <w:szCs w:val="22"/>
          <w:lang w:val="es-ES_tradnl"/>
        </w:rPr>
        <w:t xml:space="preserve">Derivado </w:t>
      </w:r>
      <w:r w:rsidR="00240423" w:rsidRPr="001D124A">
        <w:rPr>
          <w:rFonts w:cs="Arial"/>
          <w:b w:val="0"/>
          <w:color w:val="auto"/>
          <w:spacing w:val="0"/>
          <w:szCs w:val="22"/>
          <w:lang w:val="es-ES_tradnl"/>
        </w:rPr>
        <w:t>del</w:t>
      </w:r>
      <w:r w:rsidR="00077980" w:rsidRPr="001D124A">
        <w:rPr>
          <w:rFonts w:cs="Arial"/>
          <w:b w:val="0"/>
          <w:color w:val="auto"/>
          <w:spacing w:val="0"/>
          <w:szCs w:val="22"/>
          <w:lang w:val="es-ES_tradnl"/>
        </w:rPr>
        <w:t xml:space="preserve"> impacto</w:t>
      </w:r>
      <w:r w:rsidR="00240423" w:rsidRPr="001D124A">
        <w:rPr>
          <w:rFonts w:cs="Arial"/>
          <w:b w:val="0"/>
          <w:color w:val="auto"/>
          <w:spacing w:val="0"/>
          <w:szCs w:val="22"/>
          <w:lang w:val="es-ES_tradnl"/>
        </w:rPr>
        <w:t xml:space="preserve"> </w:t>
      </w:r>
      <w:r w:rsidR="00077980" w:rsidRPr="001D124A">
        <w:rPr>
          <w:rFonts w:cs="Arial"/>
          <w:b w:val="0"/>
          <w:color w:val="auto"/>
          <w:spacing w:val="0"/>
          <w:szCs w:val="22"/>
          <w:lang w:val="es-ES_tradnl"/>
        </w:rPr>
        <w:t>d</w:t>
      </w:r>
      <w:r w:rsidR="00240423" w:rsidRPr="001D124A">
        <w:rPr>
          <w:rFonts w:cs="Arial"/>
          <w:b w:val="0"/>
          <w:color w:val="auto"/>
          <w:spacing w:val="0"/>
          <w:szCs w:val="22"/>
          <w:lang w:val="es-ES_tradnl"/>
        </w:rPr>
        <w:t xml:space="preserve">el huracán Otis en el estado de Guerrero, </w:t>
      </w:r>
      <w:r w:rsidR="00077980" w:rsidRPr="001D124A">
        <w:rPr>
          <w:rFonts w:cs="Arial"/>
          <w:b w:val="0"/>
          <w:color w:val="auto"/>
          <w:spacing w:val="0"/>
          <w:szCs w:val="22"/>
          <w:lang w:val="es-ES_tradnl"/>
        </w:rPr>
        <w:t xml:space="preserve">se postergó </w:t>
      </w:r>
      <w:r w:rsidR="00240423" w:rsidRPr="001D124A">
        <w:rPr>
          <w:rFonts w:cs="Arial"/>
          <w:b w:val="0"/>
          <w:color w:val="auto"/>
          <w:spacing w:val="0"/>
          <w:szCs w:val="22"/>
          <w:lang w:val="es-ES_tradnl"/>
        </w:rPr>
        <w:t xml:space="preserve">la captación </w:t>
      </w:r>
      <w:r w:rsidR="00310DD1" w:rsidRPr="001D124A">
        <w:rPr>
          <w:rFonts w:cs="Arial"/>
          <w:b w:val="0"/>
          <w:color w:val="auto"/>
          <w:spacing w:val="0"/>
          <w:szCs w:val="18"/>
          <w:lang w:val="es-ES_tradnl"/>
        </w:rPr>
        <w:t xml:space="preserve">de </w:t>
      </w:r>
      <w:r w:rsidR="00D37E44" w:rsidRPr="001D124A">
        <w:rPr>
          <w:rFonts w:cs="Arial"/>
          <w:b w:val="0"/>
          <w:color w:val="auto"/>
          <w:spacing w:val="0"/>
          <w:szCs w:val="18"/>
          <w:lang w:val="es-ES_tradnl"/>
        </w:rPr>
        <w:t xml:space="preserve">datos </w:t>
      </w:r>
      <w:r w:rsidR="00077980" w:rsidRPr="001D124A">
        <w:rPr>
          <w:rFonts w:cs="Arial"/>
          <w:b w:val="0"/>
          <w:color w:val="auto"/>
          <w:spacing w:val="0"/>
          <w:szCs w:val="18"/>
          <w:lang w:val="es-ES_tradnl"/>
        </w:rPr>
        <w:t xml:space="preserve">en esta entidad </w:t>
      </w:r>
      <w:r w:rsidR="00DC38DE" w:rsidRPr="001D124A">
        <w:rPr>
          <w:rFonts w:cs="Arial"/>
          <w:b w:val="0"/>
          <w:color w:val="auto"/>
          <w:spacing w:val="0"/>
          <w:szCs w:val="18"/>
          <w:lang w:val="es-ES_tradnl"/>
        </w:rPr>
        <w:t xml:space="preserve">mediante </w:t>
      </w:r>
      <w:r w:rsidR="00310DD1" w:rsidRPr="001D124A">
        <w:rPr>
          <w:rFonts w:cs="Arial"/>
          <w:b w:val="0"/>
          <w:color w:val="auto"/>
          <w:spacing w:val="0"/>
          <w:szCs w:val="18"/>
          <w:lang w:val="es-ES_tradnl"/>
        </w:rPr>
        <w:t>encuestas en hogares, como es el caso</w:t>
      </w:r>
      <w:r w:rsidR="00310DD1" w:rsidRPr="001D124A">
        <w:rPr>
          <w:rFonts w:cs="Arial"/>
          <w:b w:val="0"/>
          <w:color w:val="auto"/>
          <w:spacing w:val="0"/>
          <w:szCs w:val="22"/>
          <w:lang w:val="es-ES_tradnl"/>
        </w:rPr>
        <w:t xml:space="preserve"> </w:t>
      </w:r>
      <w:r w:rsidR="00240423" w:rsidRPr="001D124A">
        <w:rPr>
          <w:rFonts w:cs="Arial"/>
          <w:b w:val="0"/>
          <w:color w:val="auto"/>
          <w:spacing w:val="0"/>
          <w:szCs w:val="22"/>
          <w:lang w:val="es-ES_tradnl"/>
        </w:rPr>
        <w:t xml:space="preserve">de la </w:t>
      </w:r>
      <w:proofErr w:type="spellStart"/>
      <w:r w:rsidR="00240423" w:rsidRPr="001D124A">
        <w:rPr>
          <w:rFonts w:cs="Arial"/>
          <w:b w:val="0"/>
          <w:smallCaps/>
          <w:color w:val="auto"/>
          <w:spacing w:val="0"/>
          <w:szCs w:val="22"/>
          <w:lang w:val="es-ES_tradnl"/>
        </w:rPr>
        <w:t>enoe</w:t>
      </w:r>
      <w:proofErr w:type="spellEnd"/>
      <w:r w:rsidR="00240423" w:rsidRPr="001D124A">
        <w:rPr>
          <w:rFonts w:cs="Arial"/>
          <w:b w:val="0"/>
          <w:color w:val="auto"/>
          <w:spacing w:val="0"/>
          <w:szCs w:val="22"/>
          <w:lang w:val="es-ES_tradnl"/>
        </w:rPr>
        <w:t>. En diciembre</w:t>
      </w:r>
      <w:r w:rsidR="00077980" w:rsidRPr="001D124A">
        <w:rPr>
          <w:rFonts w:cs="Arial"/>
          <w:b w:val="0"/>
          <w:color w:val="auto"/>
          <w:spacing w:val="0"/>
          <w:szCs w:val="22"/>
          <w:lang w:val="es-ES_tradnl"/>
        </w:rPr>
        <w:t xml:space="preserve"> de 2023</w:t>
      </w:r>
      <w:r w:rsidR="00240423" w:rsidRPr="001D124A">
        <w:rPr>
          <w:rFonts w:cs="Arial"/>
          <w:b w:val="0"/>
          <w:color w:val="auto"/>
          <w:spacing w:val="0"/>
          <w:szCs w:val="22"/>
          <w:lang w:val="es-ES_tradnl"/>
        </w:rPr>
        <w:t xml:space="preserve"> se retomó el levantamiento de información</w:t>
      </w:r>
      <w:r w:rsidR="008950AB" w:rsidRPr="001D124A">
        <w:rPr>
          <w:rFonts w:cs="Arial"/>
          <w:b w:val="0"/>
          <w:color w:val="auto"/>
          <w:spacing w:val="0"/>
          <w:szCs w:val="22"/>
          <w:lang w:val="es-ES_tradnl"/>
        </w:rPr>
        <w:t xml:space="preserve">. Si bien la tasa </w:t>
      </w:r>
      <w:r w:rsidR="00240423" w:rsidRPr="001D124A">
        <w:rPr>
          <w:rFonts w:cs="Arial"/>
          <w:b w:val="0"/>
          <w:color w:val="auto"/>
          <w:spacing w:val="0"/>
          <w:szCs w:val="22"/>
          <w:lang w:val="es-ES_tradnl"/>
        </w:rPr>
        <w:t xml:space="preserve">de respuesta </w:t>
      </w:r>
      <w:r w:rsidR="008950AB" w:rsidRPr="001D124A">
        <w:rPr>
          <w:rFonts w:cs="Arial"/>
          <w:b w:val="0"/>
          <w:color w:val="auto"/>
          <w:spacing w:val="0"/>
          <w:szCs w:val="22"/>
          <w:lang w:val="es-ES_tradnl"/>
        </w:rPr>
        <w:t xml:space="preserve">se acercó </w:t>
      </w:r>
      <w:r w:rsidR="00240423" w:rsidRPr="001D124A">
        <w:rPr>
          <w:rFonts w:cs="Arial"/>
          <w:b w:val="0"/>
          <w:color w:val="auto"/>
          <w:spacing w:val="0"/>
          <w:szCs w:val="22"/>
          <w:lang w:val="es-ES_tradnl"/>
        </w:rPr>
        <w:t>a 50</w:t>
      </w:r>
      <w:r w:rsidR="00077980" w:rsidRPr="001D124A">
        <w:rPr>
          <w:rFonts w:cs="Arial"/>
          <w:b w:val="0"/>
          <w:color w:val="auto"/>
          <w:spacing w:val="0"/>
          <w:szCs w:val="22"/>
          <w:lang w:val="es-ES_tradnl"/>
        </w:rPr>
        <w:t> </w:t>
      </w:r>
      <w:r w:rsidR="00240423" w:rsidRPr="001D124A">
        <w:rPr>
          <w:rFonts w:cs="Arial"/>
          <w:b w:val="0"/>
          <w:color w:val="auto"/>
          <w:spacing w:val="0"/>
          <w:szCs w:val="22"/>
          <w:lang w:val="es-ES_tradnl"/>
        </w:rPr>
        <w:t xml:space="preserve">% para Guerrero, los </w:t>
      </w:r>
      <w:r w:rsidR="006D1B86" w:rsidRPr="001D124A">
        <w:rPr>
          <w:rFonts w:cs="Arial"/>
          <w:b w:val="0"/>
          <w:color w:val="auto"/>
          <w:spacing w:val="0"/>
          <w:szCs w:val="22"/>
          <w:lang w:val="es-ES_tradnl"/>
        </w:rPr>
        <w:t xml:space="preserve">resultados de la encuesta </w:t>
      </w:r>
      <w:r w:rsidR="00240423" w:rsidRPr="001D124A">
        <w:rPr>
          <w:rFonts w:cs="Arial"/>
          <w:b w:val="0"/>
          <w:color w:val="auto"/>
          <w:spacing w:val="0"/>
          <w:szCs w:val="22"/>
          <w:lang w:val="es-ES_tradnl"/>
        </w:rPr>
        <w:t>mantienen sus niveles de calidad estadística.</w:t>
      </w:r>
    </w:p>
    <w:p w14:paraId="09CB0843" w14:textId="54E59910" w:rsidR="00B33A61" w:rsidRPr="001D124A" w:rsidRDefault="00C87A42" w:rsidP="001D124A">
      <w:pPr>
        <w:pStyle w:val="bullet"/>
        <w:keepLines w:val="0"/>
        <w:spacing w:after="0"/>
        <w:ind w:left="0" w:right="51" w:firstLine="0"/>
        <w:rPr>
          <w:rFonts w:cs="Arial"/>
          <w:b w:val="0"/>
          <w:color w:val="auto"/>
          <w:spacing w:val="0"/>
          <w:szCs w:val="22"/>
        </w:rPr>
      </w:pPr>
      <w:r w:rsidRPr="001D124A">
        <w:rPr>
          <w:rFonts w:cs="Arial"/>
          <w:b w:val="0"/>
          <w:color w:val="auto"/>
          <w:spacing w:val="0"/>
          <w:szCs w:val="22"/>
          <w:lang w:val="es-ES_tradnl"/>
        </w:rPr>
        <w:t>E</w:t>
      </w:r>
      <w:r w:rsidR="002A4B37" w:rsidRPr="001D124A">
        <w:rPr>
          <w:rFonts w:cs="Arial"/>
          <w:b w:val="0"/>
          <w:color w:val="auto"/>
          <w:spacing w:val="0"/>
          <w:szCs w:val="22"/>
          <w:lang w:val="es-ES_tradnl"/>
        </w:rPr>
        <w:t>n</w:t>
      </w:r>
      <w:r w:rsidR="00D5289C" w:rsidRPr="001D124A">
        <w:rPr>
          <w:rFonts w:cs="Arial"/>
          <w:b w:val="0"/>
          <w:color w:val="auto"/>
          <w:spacing w:val="0"/>
          <w:szCs w:val="22"/>
          <w:lang w:val="es-ES_tradnl"/>
        </w:rPr>
        <w:t xml:space="preserve"> </w:t>
      </w:r>
      <w:r w:rsidR="000E2871" w:rsidRPr="001D124A">
        <w:rPr>
          <w:rFonts w:cs="Arial"/>
          <w:b w:val="0"/>
          <w:color w:val="auto"/>
          <w:spacing w:val="0"/>
          <w:szCs w:val="22"/>
          <w:lang w:val="es-ES_tradnl"/>
        </w:rPr>
        <w:t>dic</w:t>
      </w:r>
      <w:r w:rsidR="00585680" w:rsidRPr="001D124A">
        <w:rPr>
          <w:rFonts w:cs="Arial"/>
          <w:b w:val="0"/>
          <w:color w:val="auto"/>
          <w:spacing w:val="0"/>
          <w:szCs w:val="22"/>
          <w:lang w:val="es-ES_tradnl"/>
        </w:rPr>
        <w:t>iembre</w:t>
      </w:r>
      <w:r w:rsidR="00D5289C" w:rsidRPr="001D124A">
        <w:rPr>
          <w:rFonts w:cs="Arial"/>
          <w:b w:val="0"/>
          <w:color w:val="auto"/>
          <w:spacing w:val="0"/>
          <w:szCs w:val="22"/>
          <w:lang w:val="es-ES_tradnl"/>
        </w:rPr>
        <w:t xml:space="preserve"> de 202</w:t>
      </w:r>
      <w:r w:rsidR="00CE11B2" w:rsidRPr="001D124A">
        <w:rPr>
          <w:rFonts w:cs="Arial"/>
          <w:b w:val="0"/>
          <w:color w:val="auto"/>
          <w:spacing w:val="0"/>
          <w:szCs w:val="22"/>
          <w:lang w:val="es-ES_tradnl"/>
        </w:rPr>
        <w:t>3</w:t>
      </w:r>
      <w:r w:rsidR="00D5289C" w:rsidRPr="001D124A">
        <w:rPr>
          <w:rFonts w:cs="Arial"/>
          <w:b w:val="0"/>
          <w:color w:val="auto"/>
          <w:spacing w:val="0"/>
          <w:szCs w:val="22"/>
          <w:lang w:val="es-ES_tradnl"/>
        </w:rPr>
        <w:t xml:space="preserve"> y </w:t>
      </w:r>
      <w:r w:rsidR="009A706E" w:rsidRPr="001D124A">
        <w:rPr>
          <w:rFonts w:cs="Arial"/>
          <w:b w:val="0"/>
          <w:color w:val="auto"/>
          <w:spacing w:val="0"/>
          <w:szCs w:val="22"/>
          <w:lang w:val="es-ES_tradnl"/>
        </w:rPr>
        <w:t xml:space="preserve">con cifras originales, </w:t>
      </w:r>
      <w:r w:rsidR="000F777E" w:rsidRPr="001D124A">
        <w:rPr>
          <w:rFonts w:cs="Arial"/>
          <w:b w:val="0"/>
          <w:color w:val="auto"/>
          <w:spacing w:val="0"/>
          <w:szCs w:val="22"/>
          <w:lang w:val="es-ES_tradnl"/>
        </w:rPr>
        <w:t xml:space="preserve">la </w:t>
      </w:r>
      <w:r w:rsidR="00AA06D5" w:rsidRPr="001D124A">
        <w:rPr>
          <w:rFonts w:cs="Arial"/>
          <w:b w:val="0"/>
          <w:color w:val="auto"/>
          <w:spacing w:val="0"/>
          <w:szCs w:val="22"/>
          <w:lang w:val="es-ES_tradnl"/>
        </w:rPr>
        <w:t>p</w:t>
      </w:r>
      <w:r w:rsidR="000F777E" w:rsidRPr="001D124A">
        <w:rPr>
          <w:rFonts w:cs="Arial"/>
          <w:b w:val="0"/>
          <w:color w:val="auto"/>
          <w:spacing w:val="0"/>
          <w:szCs w:val="22"/>
          <w:lang w:val="es-ES_tradnl"/>
        </w:rPr>
        <w:t xml:space="preserve">oblación </w:t>
      </w:r>
      <w:r w:rsidR="00AA06D5" w:rsidRPr="001D124A">
        <w:rPr>
          <w:rFonts w:cs="Arial"/>
          <w:b w:val="0"/>
          <w:color w:val="auto"/>
          <w:spacing w:val="0"/>
          <w:szCs w:val="22"/>
          <w:lang w:val="es-ES_tradnl"/>
        </w:rPr>
        <w:t>e</w:t>
      </w:r>
      <w:r w:rsidR="000F777E" w:rsidRPr="001D124A">
        <w:rPr>
          <w:rFonts w:cs="Arial"/>
          <w:b w:val="0"/>
          <w:color w:val="auto"/>
          <w:spacing w:val="0"/>
          <w:szCs w:val="22"/>
          <w:lang w:val="es-ES_tradnl"/>
        </w:rPr>
        <w:t xml:space="preserve">conómicamente </w:t>
      </w:r>
      <w:r w:rsidR="00AA06D5" w:rsidRPr="001D124A">
        <w:rPr>
          <w:rFonts w:cs="Arial"/>
          <w:b w:val="0"/>
          <w:color w:val="auto"/>
          <w:spacing w:val="0"/>
          <w:szCs w:val="22"/>
          <w:lang w:val="es-ES_tradnl"/>
        </w:rPr>
        <w:t>a</w:t>
      </w:r>
      <w:r w:rsidR="000F777E" w:rsidRPr="001D124A">
        <w:rPr>
          <w:rFonts w:cs="Arial"/>
          <w:b w:val="0"/>
          <w:color w:val="auto"/>
          <w:spacing w:val="0"/>
          <w:szCs w:val="22"/>
          <w:lang w:val="es-ES_tradnl"/>
        </w:rPr>
        <w:t>ctiva (</w:t>
      </w:r>
      <w:r w:rsidR="00801544" w:rsidRPr="001D124A">
        <w:rPr>
          <w:rFonts w:cs="Arial"/>
          <w:b w:val="0"/>
          <w:smallCaps/>
          <w:color w:val="auto"/>
          <w:spacing w:val="0"/>
          <w:szCs w:val="22"/>
          <w:lang w:val="es-ES_tradnl"/>
        </w:rPr>
        <w:t>pea</w:t>
      </w:r>
      <w:r w:rsidR="000F777E" w:rsidRPr="001D124A">
        <w:rPr>
          <w:rFonts w:cs="Arial"/>
          <w:b w:val="0"/>
          <w:color w:val="auto"/>
          <w:spacing w:val="0"/>
          <w:szCs w:val="22"/>
          <w:lang w:val="es-ES_tradnl"/>
        </w:rPr>
        <w:t xml:space="preserve">) fue de </w:t>
      </w:r>
      <w:r w:rsidR="00BC58DE" w:rsidRPr="001D124A">
        <w:rPr>
          <w:rFonts w:cs="Arial"/>
          <w:b w:val="0"/>
          <w:color w:val="auto"/>
          <w:spacing w:val="0"/>
          <w:szCs w:val="22"/>
          <w:lang w:val="es-ES_tradnl"/>
        </w:rPr>
        <w:t>60.7</w:t>
      </w:r>
      <w:r w:rsidR="00DA5D8E" w:rsidRPr="001D124A">
        <w:rPr>
          <w:rFonts w:cs="Arial"/>
          <w:b w:val="0"/>
          <w:color w:val="auto"/>
          <w:spacing w:val="0"/>
          <w:szCs w:val="22"/>
          <w:lang w:val="es-ES_tradnl"/>
        </w:rPr>
        <w:t xml:space="preserve"> millones de personas</w:t>
      </w:r>
      <w:r w:rsidR="002A3B1E" w:rsidRPr="001D124A">
        <w:rPr>
          <w:rFonts w:cs="Arial"/>
          <w:b w:val="0"/>
          <w:color w:val="auto"/>
          <w:spacing w:val="0"/>
          <w:szCs w:val="22"/>
          <w:lang w:val="es-ES_tradnl"/>
        </w:rPr>
        <w:t xml:space="preserve">, lo que </w:t>
      </w:r>
      <w:r w:rsidR="00F66682" w:rsidRPr="001D124A">
        <w:rPr>
          <w:rFonts w:cs="Arial"/>
          <w:b w:val="0"/>
          <w:color w:val="auto"/>
          <w:spacing w:val="0"/>
          <w:szCs w:val="22"/>
          <w:lang w:val="es-ES_tradnl"/>
        </w:rPr>
        <w:t>implicó</w:t>
      </w:r>
      <w:r w:rsidR="00306D56" w:rsidRPr="001D124A">
        <w:rPr>
          <w:rFonts w:cs="Arial"/>
          <w:b w:val="0"/>
          <w:color w:val="auto"/>
          <w:spacing w:val="0"/>
          <w:szCs w:val="22"/>
          <w:lang w:val="es-ES_tradnl"/>
        </w:rPr>
        <w:t xml:space="preserve"> una </w:t>
      </w:r>
      <w:r w:rsidR="004D5B06" w:rsidRPr="001D124A">
        <w:rPr>
          <w:rFonts w:cs="Arial"/>
          <w:b w:val="0"/>
          <w:color w:val="auto"/>
          <w:spacing w:val="0"/>
          <w:szCs w:val="22"/>
          <w:lang w:val="es-ES_tradnl"/>
        </w:rPr>
        <w:t xml:space="preserve">tasa </w:t>
      </w:r>
      <w:r w:rsidR="00307C94" w:rsidRPr="001D124A">
        <w:rPr>
          <w:rFonts w:cs="Arial"/>
          <w:b w:val="0"/>
          <w:color w:val="auto"/>
          <w:spacing w:val="0"/>
          <w:szCs w:val="22"/>
          <w:lang w:val="es-ES_tradnl"/>
        </w:rPr>
        <w:t xml:space="preserve">de </w:t>
      </w:r>
      <w:r w:rsidR="004D5B06" w:rsidRPr="001D124A">
        <w:rPr>
          <w:rFonts w:cs="Arial"/>
          <w:b w:val="0"/>
          <w:color w:val="auto"/>
          <w:spacing w:val="0"/>
          <w:szCs w:val="22"/>
          <w:lang w:val="es-ES_tradnl"/>
        </w:rPr>
        <w:t xml:space="preserve">participación </w:t>
      </w:r>
      <w:r w:rsidR="00DA5D8E" w:rsidRPr="001D124A">
        <w:rPr>
          <w:rFonts w:cs="Arial"/>
          <w:b w:val="0"/>
          <w:color w:val="auto"/>
          <w:spacing w:val="0"/>
          <w:szCs w:val="22"/>
          <w:lang w:val="es-ES_tradnl"/>
        </w:rPr>
        <w:t>de</w:t>
      </w:r>
      <w:r w:rsidR="00880306" w:rsidRPr="001D124A">
        <w:rPr>
          <w:rFonts w:cs="Arial"/>
          <w:b w:val="0"/>
          <w:color w:val="auto"/>
          <w:spacing w:val="0"/>
          <w:szCs w:val="22"/>
          <w:lang w:val="es-ES_tradnl"/>
        </w:rPr>
        <w:t xml:space="preserve"> </w:t>
      </w:r>
      <w:r w:rsidR="00BC58DE" w:rsidRPr="001D124A">
        <w:rPr>
          <w:rFonts w:cs="Arial"/>
          <w:b w:val="0"/>
          <w:color w:val="auto"/>
          <w:spacing w:val="0"/>
          <w:szCs w:val="22"/>
          <w:lang w:val="es-ES_tradnl"/>
        </w:rPr>
        <w:t>59.9</w:t>
      </w:r>
      <w:r w:rsidR="00FA494A" w:rsidRPr="001D124A">
        <w:rPr>
          <w:rFonts w:cs="Arial"/>
          <w:b w:val="0"/>
          <w:color w:val="auto"/>
          <w:spacing w:val="0"/>
          <w:szCs w:val="22"/>
          <w:lang w:val="es-ES_tradnl"/>
        </w:rPr>
        <w:t xml:space="preserve"> </w:t>
      </w:r>
      <w:r w:rsidR="00004E58" w:rsidRPr="001D124A">
        <w:rPr>
          <w:rFonts w:cs="Arial"/>
          <w:b w:val="0"/>
          <w:color w:val="auto"/>
          <w:spacing w:val="0"/>
          <w:szCs w:val="22"/>
          <w:lang w:val="es-ES_tradnl"/>
        </w:rPr>
        <w:t>por</w:t>
      </w:r>
      <w:r w:rsidR="00503C93" w:rsidRPr="001D124A">
        <w:rPr>
          <w:rFonts w:cs="Arial"/>
          <w:b w:val="0"/>
          <w:color w:val="auto"/>
          <w:spacing w:val="0"/>
          <w:szCs w:val="22"/>
          <w:lang w:val="es-ES_tradnl"/>
        </w:rPr>
        <w:t> </w:t>
      </w:r>
      <w:r w:rsidR="00004E58" w:rsidRPr="001D124A">
        <w:rPr>
          <w:rFonts w:cs="Arial"/>
          <w:b w:val="0"/>
          <w:color w:val="auto"/>
          <w:spacing w:val="0"/>
          <w:szCs w:val="22"/>
          <w:lang w:val="es-ES_tradnl"/>
        </w:rPr>
        <w:t>ciento</w:t>
      </w:r>
      <w:r w:rsidR="002E7F97" w:rsidRPr="001D124A">
        <w:rPr>
          <w:rFonts w:cs="Arial"/>
          <w:b w:val="0"/>
          <w:color w:val="auto"/>
          <w:spacing w:val="0"/>
          <w:szCs w:val="22"/>
          <w:lang w:val="es-ES_tradnl"/>
        </w:rPr>
        <w:t>.</w:t>
      </w:r>
      <w:r w:rsidR="00E01AA5" w:rsidRPr="001D124A">
        <w:rPr>
          <w:rFonts w:cs="Arial"/>
          <w:b w:val="0"/>
          <w:color w:val="auto"/>
          <w:spacing w:val="0"/>
          <w:szCs w:val="22"/>
          <w:lang w:val="es-ES_tradnl"/>
        </w:rPr>
        <w:t xml:space="preserve"> Dicha población </w:t>
      </w:r>
      <w:r w:rsidR="0095069D" w:rsidRPr="001D124A">
        <w:rPr>
          <w:rFonts w:cs="Arial"/>
          <w:b w:val="0"/>
          <w:color w:val="auto"/>
          <w:spacing w:val="0"/>
          <w:szCs w:val="22"/>
          <w:lang w:val="es-ES_tradnl"/>
        </w:rPr>
        <w:t>fue</w:t>
      </w:r>
      <w:r w:rsidR="00307C94" w:rsidRPr="001D124A">
        <w:rPr>
          <w:rFonts w:cs="Arial"/>
          <w:b w:val="0"/>
          <w:color w:val="auto"/>
          <w:spacing w:val="0"/>
          <w:szCs w:val="22"/>
          <w:lang w:val="es-ES_tradnl"/>
        </w:rPr>
        <w:t xml:space="preserve"> </w:t>
      </w:r>
      <w:r w:rsidR="008D74B7" w:rsidRPr="001D124A">
        <w:rPr>
          <w:rFonts w:cs="Arial"/>
          <w:b w:val="0"/>
          <w:color w:val="auto"/>
          <w:spacing w:val="0"/>
          <w:szCs w:val="22"/>
          <w:lang w:val="es-ES_tradnl"/>
        </w:rPr>
        <w:t xml:space="preserve">superior </w:t>
      </w:r>
      <w:r w:rsidR="0078100A" w:rsidRPr="001D124A">
        <w:rPr>
          <w:rFonts w:cs="Arial"/>
          <w:b w:val="0"/>
          <w:color w:val="auto"/>
          <w:spacing w:val="0"/>
          <w:szCs w:val="22"/>
          <w:lang w:val="es-ES_tradnl"/>
        </w:rPr>
        <w:t>en</w:t>
      </w:r>
      <w:r w:rsidR="000D2AF7" w:rsidRPr="001D124A">
        <w:rPr>
          <w:rFonts w:cs="Arial"/>
          <w:b w:val="0"/>
          <w:color w:val="auto"/>
          <w:spacing w:val="0"/>
          <w:szCs w:val="22"/>
          <w:lang w:val="es-ES_tradnl"/>
        </w:rPr>
        <w:t xml:space="preserve"> </w:t>
      </w:r>
      <w:r w:rsidR="00BC58DE" w:rsidRPr="001D124A">
        <w:rPr>
          <w:rFonts w:cs="Arial"/>
          <w:b w:val="0"/>
          <w:color w:val="auto"/>
          <w:spacing w:val="0"/>
          <w:szCs w:val="22"/>
          <w:lang w:val="es-ES_tradnl"/>
        </w:rPr>
        <w:t>1.1</w:t>
      </w:r>
      <w:r w:rsidR="00A65B16" w:rsidRPr="001D124A">
        <w:rPr>
          <w:rFonts w:cs="Arial"/>
          <w:b w:val="0"/>
          <w:color w:val="auto"/>
          <w:spacing w:val="0"/>
          <w:szCs w:val="22"/>
          <w:lang w:val="es-ES_tradnl"/>
        </w:rPr>
        <w:t xml:space="preserve"> </w:t>
      </w:r>
      <w:r w:rsidR="00DA5D8E" w:rsidRPr="001D124A">
        <w:rPr>
          <w:rFonts w:cs="Arial"/>
          <w:b w:val="0"/>
          <w:color w:val="auto"/>
          <w:spacing w:val="0"/>
          <w:szCs w:val="22"/>
          <w:lang w:val="es-ES_tradnl"/>
        </w:rPr>
        <w:t>mi</w:t>
      </w:r>
      <w:r w:rsidR="00654BB0" w:rsidRPr="001D124A">
        <w:rPr>
          <w:rFonts w:cs="Arial"/>
          <w:b w:val="0"/>
          <w:color w:val="auto"/>
          <w:spacing w:val="0"/>
          <w:szCs w:val="22"/>
          <w:lang w:val="es-ES_tradnl"/>
        </w:rPr>
        <w:t>l</w:t>
      </w:r>
      <w:r w:rsidR="00BC58DE" w:rsidRPr="001D124A">
        <w:rPr>
          <w:rFonts w:cs="Arial"/>
          <w:b w:val="0"/>
          <w:color w:val="auto"/>
          <w:spacing w:val="0"/>
          <w:szCs w:val="22"/>
          <w:lang w:val="es-ES_tradnl"/>
        </w:rPr>
        <w:t>lones de</w:t>
      </w:r>
      <w:r w:rsidR="00924963" w:rsidRPr="001D124A">
        <w:rPr>
          <w:rFonts w:cs="Arial"/>
          <w:b w:val="0"/>
          <w:color w:val="auto"/>
          <w:spacing w:val="0"/>
          <w:szCs w:val="22"/>
          <w:lang w:val="es-ES_tradnl"/>
        </w:rPr>
        <w:t xml:space="preserve"> </w:t>
      </w:r>
      <w:r w:rsidR="004105D6" w:rsidRPr="001D124A">
        <w:rPr>
          <w:rFonts w:cs="Arial"/>
          <w:b w:val="0"/>
          <w:color w:val="auto"/>
          <w:spacing w:val="0"/>
          <w:szCs w:val="22"/>
          <w:lang w:val="es-ES_tradnl"/>
        </w:rPr>
        <w:t xml:space="preserve">personas </w:t>
      </w:r>
      <w:r w:rsidR="00DA5D8E" w:rsidRPr="001D124A">
        <w:rPr>
          <w:rFonts w:cs="Arial"/>
          <w:b w:val="0"/>
          <w:color w:val="auto"/>
          <w:spacing w:val="0"/>
          <w:szCs w:val="22"/>
          <w:lang w:val="es-ES_tradnl"/>
        </w:rPr>
        <w:t xml:space="preserve">a la de </w:t>
      </w:r>
      <w:r w:rsidR="000E2871" w:rsidRPr="001D124A">
        <w:rPr>
          <w:rFonts w:cs="Arial"/>
          <w:b w:val="0"/>
          <w:color w:val="auto"/>
          <w:spacing w:val="0"/>
          <w:szCs w:val="22"/>
          <w:lang w:val="es-ES_tradnl"/>
        </w:rPr>
        <w:t>dic</w:t>
      </w:r>
      <w:r w:rsidR="00585680" w:rsidRPr="001D124A">
        <w:rPr>
          <w:rFonts w:cs="Arial"/>
          <w:b w:val="0"/>
          <w:color w:val="auto"/>
          <w:spacing w:val="0"/>
          <w:szCs w:val="22"/>
          <w:lang w:val="es-ES_tradnl"/>
        </w:rPr>
        <w:t>iembre</w:t>
      </w:r>
      <w:r w:rsidR="00A159E4" w:rsidRPr="001D124A">
        <w:rPr>
          <w:rFonts w:cs="Arial"/>
          <w:b w:val="0"/>
          <w:color w:val="auto"/>
          <w:spacing w:val="0"/>
          <w:szCs w:val="22"/>
          <w:lang w:val="es-ES_tradnl"/>
        </w:rPr>
        <w:t xml:space="preserve"> de </w:t>
      </w:r>
      <w:r w:rsidR="000E2B93" w:rsidRPr="001D124A">
        <w:rPr>
          <w:rFonts w:cs="Arial"/>
          <w:b w:val="0"/>
          <w:color w:val="auto"/>
          <w:spacing w:val="0"/>
          <w:szCs w:val="22"/>
          <w:lang w:val="es-ES_tradnl"/>
        </w:rPr>
        <w:t>202</w:t>
      </w:r>
      <w:r w:rsidR="00CE11B2" w:rsidRPr="001D124A">
        <w:rPr>
          <w:rFonts w:cs="Arial"/>
          <w:b w:val="0"/>
          <w:color w:val="auto"/>
          <w:spacing w:val="0"/>
          <w:szCs w:val="22"/>
          <w:lang w:val="es-ES_tradnl"/>
        </w:rPr>
        <w:t>2</w:t>
      </w:r>
      <w:r w:rsidR="00DA5D8E" w:rsidRPr="001D124A">
        <w:rPr>
          <w:rFonts w:cs="Arial"/>
          <w:b w:val="0"/>
          <w:color w:val="auto"/>
          <w:spacing w:val="0"/>
          <w:szCs w:val="22"/>
          <w:lang w:val="es-ES_tradnl"/>
        </w:rPr>
        <w:t>.</w:t>
      </w:r>
      <w:r w:rsidR="00640C72" w:rsidRPr="001D124A">
        <w:rPr>
          <w:rFonts w:cs="Arial"/>
          <w:b w:val="0"/>
          <w:color w:val="auto"/>
          <w:spacing w:val="0"/>
          <w:szCs w:val="22"/>
          <w:lang w:val="es-ES_tradnl"/>
        </w:rPr>
        <w:t xml:space="preserve"> </w:t>
      </w:r>
      <w:r w:rsidR="002D312D" w:rsidRPr="001D124A">
        <w:rPr>
          <w:rFonts w:cs="Arial"/>
          <w:b w:val="0"/>
          <w:color w:val="auto"/>
          <w:spacing w:val="0"/>
          <w:szCs w:val="22"/>
          <w:lang w:val="es-ES_tradnl"/>
        </w:rPr>
        <w:t>L</w:t>
      </w:r>
      <w:r w:rsidR="00640C72" w:rsidRPr="001D124A">
        <w:rPr>
          <w:rFonts w:cs="Arial"/>
          <w:b w:val="0"/>
          <w:color w:val="auto"/>
          <w:spacing w:val="0"/>
          <w:szCs w:val="22"/>
          <w:lang w:val="es-ES_tradnl"/>
        </w:rPr>
        <w:t xml:space="preserve">a </w:t>
      </w:r>
      <w:r w:rsidR="00AA06D5" w:rsidRPr="001D124A">
        <w:rPr>
          <w:rFonts w:cs="Arial"/>
          <w:b w:val="0"/>
          <w:color w:val="auto"/>
          <w:spacing w:val="0"/>
          <w:szCs w:val="22"/>
          <w:lang w:val="es-ES_tradnl"/>
        </w:rPr>
        <w:t>p</w:t>
      </w:r>
      <w:r w:rsidR="00640C72" w:rsidRPr="001D124A">
        <w:rPr>
          <w:rFonts w:cs="Arial"/>
          <w:b w:val="0"/>
          <w:color w:val="auto"/>
          <w:spacing w:val="0"/>
          <w:szCs w:val="22"/>
          <w:lang w:val="es-ES_tradnl"/>
        </w:rPr>
        <w:t xml:space="preserve">oblación </w:t>
      </w:r>
      <w:r w:rsidR="00AA06D5" w:rsidRPr="001D124A">
        <w:rPr>
          <w:rFonts w:cs="Arial"/>
          <w:b w:val="0"/>
          <w:color w:val="auto"/>
          <w:spacing w:val="0"/>
          <w:szCs w:val="22"/>
          <w:lang w:val="es-ES_tradnl"/>
        </w:rPr>
        <w:t>n</w:t>
      </w:r>
      <w:r w:rsidR="00640C72" w:rsidRPr="001D124A">
        <w:rPr>
          <w:rFonts w:cs="Arial"/>
          <w:b w:val="0"/>
          <w:color w:val="auto"/>
          <w:spacing w:val="0"/>
          <w:szCs w:val="22"/>
          <w:lang w:val="es-ES_tradnl"/>
        </w:rPr>
        <w:t xml:space="preserve">o </w:t>
      </w:r>
      <w:r w:rsidR="00AA06D5" w:rsidRPr="001D124A">
        <w:rPr>
          <w:rFonts w:cs="Arial"/>
          <w:b w:val="0"/>
          <w:color w:val="auto"/>
          <w:spacing w:val="0"/>
          <w:szCs w:val="22"/>
          <w:lang w:val="es-ES_tradnl"/>
        </w:rPr>
        <w:t>e</w:t>
      </w:r>
      <w:r w:rsidR="00640C72" w:rsidRPr="001D124A">
        <w:rPr>
          <w:rFonts w:cs="Arial"/>
          <w:b w:val="0"/>
          <w:color w:val="auto"/>
          <w:spacing w:val="0"/>
          <w:szCs w:val="22"/>
          <w:lang w:val="es-ES_tradnl"/>
        </w:rPr>
        <w:t xml:space="preserve">conómicamente </w:t>
      </w:r>
      <w:r w:rsidR="00AA06D5" w:rsidRPr="001D124A">
        <w:rPr>
          <w:rFonts w:cs="Arial"/>
          <w:b w:val="0"/>
          <w:color w:val="auto"/>
          <w:spacing w:val="0"/>
          <w:szCs w:val="22"/>
          <w:lang w:val="es-ES_tradnl"/>
        </w:rPr>
        <w:t>a</w:t>
      </w:r>
      <w:r w:rsidR="00640C72" w:rsidRPr="001D124A">
        <w:rPr>
          <w:rFonts w:cs="Arial"/>
          <w:b w:val="0"/>
          <w:color w:val="auto"/>
          <w:spacing w:val="0"/>
          <w:szCs w:val="22"/>
          <w:lang w:val="es-ES_tradnl"/>
        </w:rPr>
        <w:t xml:space="preserve">ctiva fue de </w:t>
      </w:r>
      <w:r w:rsidR="00BC58DE" w:rsidRPr="001D124A">
        <w:rPr>
          <w:rFonts w:cs="Arial"/>
          <w:b w:val="0"/>
          <w:color w:val="auto"/>
          <w:spacing w:val="0"/>
          <w:szCs w:val="22"/>
          <w:lang w:val="es-ES_tradnl"/>
        </w:rPr>
        <w:t>40.7</w:t>
      </w:r>
      <w:r w:rsidR="00640C72" w:rsidRPr="001D124A">
        <w:rPr>
          <w:rFonts w:cs="Arial"/>
          <w:b w:val="0"/>
          <w:color w:val="auto"/>
          <w:spacing w:val="0"/>
          <w:szCs w:val="22"/>
          <w:lang w:val="es-ES_tradnl"/>
        </w:rPr>
        <w:t xml:space="preserve"> millones de personas, </w:t>
      </w:r>
      <w:r w:rsidR="00BC58DE" w:rsidRPr="001D124A">
        <w:rPr>
          <w:rFonts w:cs="Arial"/>
          <w:b w:val="0"/>
          <w:color w:val="auto"/>
          <w:spacing w:val="0"/>
          <w:szCs w:val="22"/>
          <w:lang w:val="es-ES_tradnl"/>
        </w:rPr>
        <w:t>47</w:t>
      </w:r>
      <w:r w:rsidR="00DD0D01" w:rsidRPr="001D124A">
        <w:rPr>
          <w:rFonts w:cs="Arial"/>
          <w:b w:val="0"/>
          <w:color w:val="auto"/>
          <w:spacing w:val="0"/>
          <w:szCs w:val="22"/>
          <w:lang w:val="es-ES_tradnl"/>
        </w:rPr>
        <w:t>2</w:t>
      </w:r>
      <w:r w:rsidR="000B2BFA" w:rsidRPr="001D124A">
        <w:rPr>
          <w:rFonts w:cs="Arial"/>
          <w:b w:val="0"/>
          <w:color w:val="auto"/>
          <w:spacing w:val="0"/>
          <w:szCs w:val="22"/>
          <w:lang w:val="es-ES_tradnl"/>
        </w:rPr>
        <w:t xml:space="preserve"> mil</w:t>
      </w:r>
      <w:r w:rsidR="00D20A3E" w:rsidRPr="001D124A">
        <w:rPr>
          <w:rFonts w:cs="Arial"/>
          <w:b w:val="0"/>
          <w:color w:val="auto"/>
          <w:spacing w:val="0"/>
          <w:szCs w:val="22"/>
          <w:lang w:val="es-ES_tradnl"/>
        </w:rPr>
        <w:t xml:space="preserve"> personas</w:t>
      </w:r>
      <w:r w:rsidR="0091607D" w:rsidRPr="001D124A">
        <w:rPr>
          <w:rFonts w:cs="Arial"/>
          <w:b w:val="0"/>
          <w:color w:val="auto"/>
          <w:spacing w:val="0"/>
          <w:szCs w:val="22"/>
          <w:lang w:val="es-ES_tradnl"/>
        </w:rPr>
        <w:t xml:space="preserve"> </w:t>
      </w:r>
      <w:r w:rsidR="0093419F" w:rsidRPr="001D124A">
        <w:rPr>
          <w:rFonts w:cs="Arial"/>
          <w:b w:val="0"/>
          <w:color w:val="auto"/>
          <w:spacing w:val="0"/>
          <w:szCs w:val="22"/>
          <w:lang w:val="es-ES_tradnl"/>
        </w:rPr>
        <w:t>m</w:t>
      </w:r>
      <w:r w:rsidR="009A57F2" w:rsidRPr="001D124A">
        <w:rPr>
          <w:rFonts w:cs="Arial"/>
          <w:b w:val="0"/>
          <w:color w:val="auto"/>
          <w:spacing w:val="0"/>
          <w:szCs w:val="22"/>
          <w:lang w:val="es-ES_tradnl"/>
        </w:rPr>
        <w:t>ás</w:t>
      </w:r>
      <w:r w:rsidR="00CA649D" w:rsidRPr="001D124A">
        <w:rPr>
          <w:rFonts w:cs="Arial"/>
          <w:b w:val="0"/>
          <w:color w:val="auto"/>
          <w:spacing w:val="0"/>
          <w:szCs w:val="22"/>
          <w:lang w:val="es-ES_tradnl"/>
        </w:rPr>
        <w:t xml:space="preserve"> que </w:t>
      </w:r>
      <w:r w:rsidR="00640C72" w:rsidRPr="001D124A">
        <w:rPr>
          <w:rFonts w:cs="Arial"/>
          <w:b w:val="0"/>
          <w:color w:val="auto"/>
          <w:spacing w:val="0"/>
          <w:szCs w:val="22"/>
          <w:lang w:val="es-ES_tradnl"/>
        </w:rPr>
        <w:t>e</w:t>
      </w:r>
      <w:r w:rsidR="00CA649D" w:rsidRPr="001D124A">
        <w:rPr>
          <w:rFonts w:cs="Arial"/>
          <w:b w:val="0"/>
          <w:color w:val="auto"/>
          <w:spacing w:val="0"/>
          <w:szCs w:val="22"/>
          <w:lang w:val="es-ES_tradnl"/>
        </w:rPr>
        <w:t>n</w:t>
      </w:r>
      <w:r w:rsidR="005856F6" w:rsidRPr="001D124A">
        <w:rPr>
          <w:rFonts w:cs="Arial"/>
          <w:b w:val="0"/>
          <w:color w:val="auto"/>
          <w:spacing w:val="0"/>
          <w:szCs w:val="22"/>
          <w:lang w:val="es-ES_tradnl"/>
        </w:rPr>
        <w:t xml:space="preserve"> </w:t>
      </w:r>
      <w:r w:rsidR="00600DA1" w:rsidRPr="001D124A">
        <w:rPr>
          <w:rFonts w:cs="Arial"/>
          <w:b w:val="0"/>
          <w:color w:val="auto"/>
          <w:spacing w:val="0"/>
          <w:szCs w:val="22"/>
          <w:lang w:val="es-ES_tradnl"/>
        </w:rPr>
        <w:t>el</w:t>
      </w:r>
      <w:r w:rsidR="008039F4" w:rsidRPr="001D124A">
        <w:rPr>
          <w:rFonts w:cs="Arial"/>
          <w:b w:val="0"/>
          <w:color w:val="auto"/>
          <w:spacing w:val="0"/>
          <w:szCs w:val="22"/>
          <w:lang w:val="es-ES_tradnl"/>
        </w:rPr>
        <w:t xml:space="preserve"> </w:t>
      </w:r>
      <w:r w:rsidR="00585680" w:rsidRPr="001D124A">
        <w:rPr>
          <w:rFonts w:cs="Arial"/>
          <w:b w:val="0"/>
          <w:color w:val="auto"/>
          <w:spacing w:val="0"/>
          <w:szCs w:val="22"/>
          <w:lang w:val="es-ES_tradnl"/>
        </w:rPr>
        <w:t>último</w:t>
      </w:r>
      <w:r w:rsidR="00600DA1" w:rsidRPr="001D124A">
        <w:rPr>
          <w:rFonts w:cs="Arial"/>
          <w:b w:val="0"/>
          <w:color w:val="auto"/>
          <w:spacing w:val="0"/>
          <w:szCs w:val="22"/>
          <w:lang w:val="es-ES_tradnl"/>
        </w:rPr>
        <w:t xml:space="preserve"> mes d</w:t>
      </w:r>
      <w:r w:rsidR="00640C72" w:rsidRPr="001D124A">
        <w:rPr>
          <w:rFonts w:cs="Arial"/>
          <w:b w:val="0"/>
          <w:color w:val="auto"/>
          <w:spacing w:val="0"/>
          <w:szCs w:val="22"/>
          <w:lang w:val="es-ES_tradnl"/>
        </w:rPr>
        <w:t>e</w:t>
      </w:r>
      <w:r w:rsidR="00F23299" w:rsidRPr="001D124A">
        <w:rPr>
          <w:rFonts w:cs="Arial"/>
          <w:b w:val="0"/>
          <w:color w:val="auto"/>
          <w:spacing w:val="0"/>
          <w:szCs w:val="22"/>
          <w:lang w:val="es-ES_tradnl"/>
        </w:rPr>
        <w:t xml:space="preserve"> 202</w:t>
      </w:r>
      <w:r w:rsidR="00CE11B2" w:rsidRPr="001D124A">
        <w:rPr>
          <w:rFonts w:cs="Arial"/>
          <w:b w:val="0"/>
          <w:color w:val="auto"/>
          <w:spacing w:val="0"/>
          <w:szCs w:val="22"/>
          <w:lang w:val="es-ES_tradnl"/>
        </w:rPr>
        <w:t>2</w:t>
      </w:r>
      <w:r w:rsidR="00E26B1B" w:rsidRPr="001D124A">
        <w:rPr>
          <w:rFonts w:cs="Arial"/>
          <w:b w:val="0"/>
          <w:color w:val="auto"/>
          <w:spacing w:val="0"/>
          <w:szCs w:val="22"/>
          <w:lang w:val="es-ES_tradnl"/>
        </w:rPr>
        <w:t xml:space="preserve">. </w:t>
      </w:r>
    </w:p>
    <w:p w14:paraId="72731C87" w14:textId="46E3ED33" w:rsidR="00B33A61" w:rsidRPr="001D124A" w:rsidRDefault="002D6584" w:rsidP="001D124A">
      <w:pPr>
        <w:pStyle w:val="bullet"/>
        <w:keepLines w:val="0"/>
        <w:spacing w:after="0"/>
        <w:ind w:left="0" w:right="51" w:firstLine="0"/>
        <w:rPr>
          <w:rFonts w:cs="Arial"/>
          <w:b w:val="0"/>
          <w:color w:val="auto"/>
          <w:spacing w:val="0"/>
          <w:szCs w:val="22"/>
        </w:rPr>
      </w:pPr>
      <w:r w:rsidRPr="001D124A">
        <w:rPr>
          <w:rFonts w:cs="Arial"/>
          <w:b w:val="0"/>
          <w:color w:val="auto"/>
          <w:spacing w:val="0"/>
          <w:szCs w:val="22"/>
          <w:lang w:val="es-ES_tradnl"/>
        </w:rPr>
        <w:t xml:space="preserve">De la </w:t>
      </w:r>
      <w:r w:rsidR="00801544" w:rsidRPr="001D124A">
        <w:rPr>
          <w:rFonts w:cs="Arial"/>
          <w:b w:val="0"/>
          <w:smallCaps/>
          <w:color w:val="auto"/>
          <w:spacing w:val="0"/>
          <w:szCs w:val="22"/>
          <w:lang w:val="es-ES_tradnl"/>
        </w:rPr>
        <w:t>pea</w:t>
      </w:r>
      <w:r w:rsidRPr="001D124A">
        <w:rPr>
          <w:rFonts w:cs="Arial"/>
          <w:b w:val="0"/>
          <w:color w:val="auto"/>
          <w:spacing w:val="0"/>
          <w:szCs w:val="22"/>
          <w:lang w:val="es-ES_tradnl"/>
        </w:rPr>
        <w:t>,</w:t>
      </w:r>
      <w:r w:rsidR="00601159" w:rsidRPr="001D124A">
        <w:rPr>
          <w:rFonts w:cs="Arial"/>
          <w:b w:val="0"/>
          <w:color w:val="auto"/>
          <w:spacing w:val="0"/>
          <w:szCs w:val="22"/>
          <w:lang w:val="es-ES_tradnl"/>
        </w:rPr>
        <w:t xml:space="preserve"> </w:t>
      </w:r>
      <w:r w:rsidR="00345BD7" w:rsidRPr="001D124A">
        <w:rPr>
          <w:rFonts w:cs="Arial"/>
          <w:b w:val="0"/>
          <w:color w:val="auto"/>
          <w:spacing w:val="0"/>
          <w:szCs w:val="22"/>
          <w:lang w:val="es-ES_tradnl"/>
        </w:rPr>
        <w:t>5</w:t>
      </w:r>
      <w:r w:rsidR="00BC58DE" w:rsidRPr="001D124A">
        <w:rPr>
          <w:rFonts w:cs="Arial"/>
          <w:b w:val="0"/>
          <w:color w:val="auto"/>
          <w:spacing w:val="0"/>
          <w:szCs w:val="22"/>
          <w:lang w:val="es-ES_tradnl"/>
        </w:rPr>
        <w:t>9.1</w:t>
      </w:r>
      <w:r w:rsidR="00783C15" w:rsidRPr="001D124A">
        <w:rPr>
          <w:rFonts w:cs="Arial"/>
          <w:b w:val="0"/>
          <w:color w:val="auto"/>
          <w:spacing w:val="0"/>
          <w:szCs w:val="22"/>
          <w:lang w:val="es-ES_tradnl"/>
        </w:rPr>
        <w:t xml:space="preserve"> millones de personas </w:t>
      </w:r>
      <w:r w:rsidR="00640C72" w:rsidRPr="001D124A">
        <w:rPr>
          <w:rFonts w:cs="Arial"/>
          <w:b w:val="0"/>
          <w:color w:val="auto"/>
          <w:spacing w:val="0"/>
          <w:szCs w:val="22"/>
          <w:lang w:val="es-ES_tradnl"/>
        </w:rPr>
        <w:t>estuvieron</w:t>
      </w:r>
      <w:r w:rsidRPr="001D124A">
        <w:rPr>
          <w:rFonts w:cs="Arial"/>
          <w:b w:val="0"/>
          <w:color w:val="auto"/>
          <w:spacing w:val="0"/>
          <w:szCs w:val="22"/>
          <w:lang w:val="es-ES_tradnl"/>
        </w:rPr>
        <w:t xml:space="preserve"> ocupad</w:t>
      </w:r>
      <w:r w:rsidR="00BE5818" w:rsidRPr="001D124A">
        <w:rPr>
          <w:rFonts w:cs="Arial"/>
          <w:b w:val="0"/>
          <w:color w:val="auto"/>
          <w:spacing w:val="0"/>
          <w:szCs w:val="22"/>
          <w:lang w:val="es-ES_tradnl"/>
        </w:rPr>
        <w:t>a</w:t>
      </w:r>
      <w:r w:rsidR="00640C72" w:rsidRPr="001D124A">
        <w:rPr>
          <w:rFonts w:cs="Arial"/>
          <w:b w:val="0"/>
          <w:color w:val="auto"/>
          <w:spacing w:val="0"/>
          <w:szCs w:val="22"/>
          <w:lang w:val="es-ES_tradnl"/>
        </w:rPr>
        <w:t>s</w:t>
      </w:r>
      <w:r w:rsidRPr="001D124A">
        <w:rPr>
          <w:rFonts w:cs="Arial"/>
          <w:b w:val="0"/>
          <w:color w:val="auto"/>
          <w:spacing w:val="0"/>
          <w:szCs w:val="22"/>
          <w:lang w:val="es-ES_tradnl"/>
        </w:rPr>
        <w:t xml:space="preserve"> </w:t>
      </w:r>
      <w:r w:rsidR="004D5B06" w:rsidRPr="001D124A">
        <w:rPr>
          <w:rFonts w:cs="Arial"/>
          <w:b w:val="0"/>
          <w:color w:val="auto"/>
          <w:spacing w:val="0"/>
          <w:szCs w:val="22"/>
          <w:lang w:val="es-ES_tradnl"/>
        </w:rPr>
        <w:t>(97.</w:t>
      </w:r>
      <w:r w:rsidR="00BC58DE" w:rsidRPr="001D124A">
        <w:rPr>
          <w:rFonts w:cs="Arial"/>
          <w:b w:val="0"/>
          <w:color w:val="auto"/>
          <w:spacing w:val="0"/>
          <w:szCs w:val="22"/>
          <w:lang w:val="es-ES_tradnl"/>
        </w:rPr>
        <w:t>4</w:t>
      </w:r>
      <w:r w:rsidR="004D5B06" w:rsidRPr="001D124A">
        <w:rPr>
          <w:rFonts w:cs="Arial"/>
          <w:b w:val="0"/>
          <w:color w:val="auto"/>
          <w:spacing w:val="0"/>
          <w:szCs w:val="22"/>
          <w:lang w:val="es-ES_tradnl"/>
        </w:rPr>
        <w:t xml:space="preserve"> %) </w:t>
      </w:r>
      <w:r w:rsidR="007B6516" w:rsidRPr="001D124A">
        <w:rPr>
          <w:rFonts w:cs="Arial"/>
          <w:b w:val="0"/>
          <w:color w:val="auto"/>
          <w:spacing w:val="0"/>
          <w:szCs w:val="22"/>
          <w:lang w:val="es-ES_tradnl"/>
        </w:rPr>
        <w:t xml:space="preserve">durante </w:t>
      </w:r>
      <w:r w:rsidR="000E2871" w:rsidRPr="001D124A">
        <w:rPr>
          <w:rFonts w:cs="Arial"/>
          <w:b w:val="0"/>
          <w:color w:val="auto"/>
          <w:spacing w:val="0"/>
          <w:szCs w:val="22"/>
          <w:lang w:val="es-ES_tradnl"/>
        </w:rPr>
        <w:t>dic</w:t>
      </w:r>
      <w:r w:rsidR="00585680" w:rsidRPr="001D124A">
        <w:rPr>
          <w:rFonts w:cs="Arial"/>
          <w:b w:val="0"/>
          <w:color w:val="auto"/>
          <w:spacing w:val="0"/>
          <w:szCs w:val="22"/>
          <w:lang w:val="es-ES_tradnl"/>
        </w:rPr>
        <w:t>iembre</w:t>
      </w:r>
      <w:r w:rsidR="00CE11B2" w:rsidRPr="001D124A">
        <w:rPr>
          <w:rFonts w:cs="Arial"/>
          <w:b w:val="0"/>
          <w:color w:val="auto"/>
          <w:spacing w:val="0"/>
          <w:szCs w:val="22"/>
          <w:lang w:val="es-ES_tradnl"/>
        </w:rPr>
        <w:t xml:space="preserve"> pasado</w:t>
      </w:r>
      <w:r w:rsidR="00455E98" w:rsidRPr="001D124A">
        <w:rPr>
          <w:rFonts w:cs="Arial"/>
          <w:b w:val="0"/>
          <w:color w:val="auto"/>
          <w:spacing w:val="0"/>
          <w:szCs w:val="22"/>
          <w:lang w:val="es-ES_tradnl"/>
        </w:rPr>
        <w:t>:</w:t>
      </w:r>
      <w:r w:rsidR="005611D7" w:rsidRPr="001D124A">
        <w:rPr>
          <w:rFonts w:cs="Arial"/>
          <w:b w:val="0"/>
          <w:color w:val="auto"/>
          <w:spacing w:val="0"/>
          <w:szCs w:val="22"/>
          <w:lang w:val="es-ES_tradnl"/>
        </w:rPr>
        <w:t xml:space="preserve"> </w:t>
      </w:r>
      <w:r w:rsidR="00BC58DE" w:rsidRPr="001D124A">
        <w:rPr>
          <w:rFonts w:cs="Arial"/>
          <w:b w:val="0"/>
          <w:color w:val="auto"/>
          <w:spacing w:val="0"/>
          <w:szCs w:val="22"/>
          <w:lang w:val="es-ES_tradnl"/>
        </w:rPr>
        <w:t>1.2</w:t>
      </w:r>
      <w:r w:rsidR="00DD0D01" w:rsidRPr="001D124A">
        <w:rPr>
          <w:rFonts w:cs="Arial"/>
          <w:b w:val="0"/>
          <w:color w:val="auto"/>
          <w:spacing w:val="0"/>
          <w:szCs w:val="22"/>
          <w:lang w:val="es-ES_tradnl"/>
        </w:rPr>
        <w:t xml:space="preserve"> mil</w:t>
      </w:r>
      <w:r w:rsidR="00BC58DE" w:rsidRPr="001D124A">
        <w:rPr>
          <w:rFonts w:cs="Arial"/>
          <w:b w:val="0"/>
          <w:color w:val="auto"/>
          <w:spacing w:val="0"/>
          <w:szCs w:val="22"/>
          <w:lang w:val="es-ES_tradnl"/>
        </w:rPr>
        <w:t>lones</w:t>
      </w:r>
      <w:r w:rsidR="00783C15" w:rsidRPr="001D124A">
        <w:rPr>
          <w:rFonts w:cs="Arial"/>
          <w:b w:val="0"/>
          <w:color w:val="auto"/>
          <w:spacing w:val="0"/>
          <w:szCs w:val="22"/>
          <w:lang w:val="es-ES_tradnl"/>
        </w:rPr>
        <w:t xml:space="preserve"> </w:t>
      </w:r>
      <w:r w:rsidR="00782A18" w:rsidRPr="001D124A">
        <w:rPr>
          <w:rFonts w:cs="Arial"/>
          <w:b w:val="0"/>
          <w:color w:val="auto"/>
          <w:spacing w:val="0"/>
          <w:szCs w:val="22"/>
          <w:lang w:val="es-ES_tradnl"/>
        </w:rPr>
        <w:t xml:space="preserve">más </w:t>
      </w:r>
      <w:r w:rsidR="0001797D" w:rsidRPr="001D124A">
        <w:rPr>
          <w:rFonts w:cs="Arial"/>
          <w:b w:val="0"/>
          <w:color w:val="auto"/>
          <w:spacing w:val="0"/>
          <w:szCs w:val="22"/>
          <w:lang w:val="es-ES_tradnl"/>
        </w:rPr>
        <w:t xml:space="preserve">que </w:t>
      </w:r>
      <w:r w:rsidR="00C84FD6" w:rsidRPr="001D124A">
        <w:rPr>
          <w:rFonts w:cs="Arial"/>
          <w:b w:val="0"/>
          <w:color w:val="auto"/>
          <w:spacing w:val="0"/>
          <w:szCs w:val="22"/>
          <w:lang w:val="es-ES_tradnl"/>
        </w:rPr>
        <w:t xml:space="preserve">en </w:t>
      </w:r>
      <w:r w:rsidR="000E2871" w:rsidRPr="001D124A">
        <w:rPr>
          <w:rFonts w:cs="Arial"/>
          <w:b w:val="0"/>
          <w:color w:val="auto"/>
          <w:spacing w:val="0"/>
          <w:szCs w:val="22"/>
          <w:lang w:val="es-ES_tradnl"/>
        </w:rPr>
        <w:t>dic</w:t>
      </w:r>
      <w:r w:rsidR="00585680" w:rsidRPr="001D124A">
        <w:rPr>
          <w:rFonts w:cs="Arial"/>
          <w:b w:val="0"/>
          <w:color w:val="auto"/>
          <w:spacing w:val="0"/>
          <w:szCs w:val="22"/>
          <w:lang w:val="es-ES_tradnl"/>
        </w:rPr>
        <w:t>iembre</w:t>
      </w:r>
      <w:r w:rsidR="009A57F2" w:rsidRPr="001D124A">
        <w:rPr>
          <w:rFonts w:cs="Arial"/>
          <w:b w:val="0"/>
          <w:color w:val="auto"/>
          <w:spacing w:val="0"/>
          <w:szCs w:val="22"/>
          <w:lang w:val="es-ES_tradnl"/>
        </w:rPr>
        <w:t xml:space="preserve"> de 2022</w:t>
      </w:r>
      <w:r w:rsidR="00783C15" w:rsidRPr="001D124A">
        <w:rPr>
          <w:rFonts w:cs="Arial"/>
          <w:b w:val="0"/>
          <w:color w:val="auto"/>
          <w:spacing w:val="0"/>
          <w:szCs w:val="22"/>
          <w:lang w:val="es-ES_tradnl"/>
        </w:rPr>
        <w:t>. A</w:t>
      </w:r>
      <w:r w:rsidRPr="001D124A">
        <w:rPr>
          <w:rFonts w:cs="Arial"/>
          <w:b w:val="0"/>
          <w:color w:val="auto"/>
          <w:spacing w:val="0"/>
          <w:szCs w:val="22"/>
          <w:lang w:val="es-ES_tradnl"/>
        </w:rPr>
        <w:t xml:space="preserve"> su interior</w:t>
      </w:r>
      <w:r w:rsidR="005E6B34" w:rsidRPr="001D124A">
        <w:rPr>
          <w:rFonts w:cs="Arial"/>
          <w:b w:val="0"/>
          <w:color w:val="auto"/>
          <w:spacing w:val="0"/>
          <w:szCs w:val="22"/>
          <w:lang w:val="es-ES_tradnl"/>
        </w:rPr>
        <w:t>,</w:t>
      </w:r>
      <w:r w:rsidRPr="001D124A">
        <w:rPr>
          <w:rFonts w:cs="Arial"/>
          <w:b w:val="0"/>
          <w:color w:val="auto"/>
          <w:spacing w:val="0"/>
          <w:szCs w:val="22"/>
          <w:lang w:val="es-ES_tradnl"/>
        </w:rPr>
        <w:t xml:space="preserve"> </w:t>
      </w:r>
      <w:r w:rsidR="00E26B1B" w:rsidRPr="001D124A">
        <w:rPr>
          <w:rFonts w:cs="Arial"/>
          <w:b w:val="0"/>
          <w:color w:val="auto"/>
          <w:spacing w:val="0"/>
          <w:szCs w:val="22"/>
          <w:lang w:val="es-ES_tradnl"/>
        </w:rPr>
        <w:t>las</w:t>
      </w:r>
      <w:r w:rsidRPr="001D124A">
        <w:rPr>
          <w:rFonts w:cs="Arial"/>
          <w:b w:val="0"/>
          <w:color w:val="auto"/>
          <w:spacing w:val="0"/>
          <w:szCs w:val="22"/>
          <w:lang w:val="es-ES_tradnl"/>
        </w:rPr>
        <w:t xml:space="preserve"> personas</w:t>
      </w:r>
      <w:r w:rsidR="00227202" w:rsidRPr="001D124A">
        <w:rPr>
          <w:rFonts w:cs="Arial"/>
          <w:b w:val="0"/>
          <w:color w:val="auto"/>
          <w:spacing w:val="0"/>
          <w:szCs w:val="22"/>
          <w:lang w:val="es-ES_tradnl"/>
        </w:rPr>
        <w:t xml:space="preserve"> </w:t>
      </w:r>
      <w:proofErr w:type="spellStart"/>
      <w:r w:rsidR="00227202" w:rsidRPr="001D124A">
        <w:rPr>
          <w:rFonts w:cs="Arial"/>
          <w:b w:val="0"/>
          <w:color w:val="auto"/>
          <w:spacing w:val="0"/>
          <w:szCs w:val="22"/>
          <w:lang w:val="es-ES_tradnl"/>
        </w:rPr>
        <w:t>subocupadas</w:t>
      </w:r>
      <w:proofErr w:type="spellEnd"/>
      <w:r w:rsidR="003349C5" w:rsidRPr="001D124A">
        <w:rPr>
          <w:rFonts w:cs="Arial"/>
          <w:b w:val="0"/>
          <w:color w:val="auto"/>
          <w:spacing w:val="0"/>
          <w:szCs w:val="22"/>
          <w:lang w:val="es-ES_tradnl"/>
        </w:rPr>
        <w:t xml:space="preserve"> —</w:t>
      </w:r>
      <w:r w:rsidR="00606B1E" w:rsidRPr="001D124A">
        <w:rPr>
          <w:rFonts w:cs="Arial"/>
          <w:b w:val="0"/>
          <w:color w:val="auto"/>
          <w:spacing w:val="0"/>
          <w:szCs w:val="22"/>
          <w:lang w:val="es-ES_tradnl"/>
        </w:rPr>
        <w:t xml:space="preserve">las </w:t>
      </w:r>
      <w:r w:rsidRPr="001D124A">
        <w:rPr>
          <w:rFonts w:cs="Arial"/>
          <w:b w:val="0"/>
          <w:color w:val="auto"/>
          <w:spacing w:val="0"/>
          <w:szCs w:val="22"/>
          <w:lang w:val="es-ES_tradnl"/>
        </w:rPr>
        <w:t>que decla</w:t>
      </w:r>
      <w:r w:rsidR="002A3B1E" w:rsidRPr="001D124A">
        <w:rPr>
          <w:rFonts w:cs="Arial"/>
          <w:b w:val="0"/>
          <w:color w:val="auto"/>
          <w:spacing w:val="0"/>
          <w:szCs w:val="22"/>
          <w:lang w:val="es-ES_tradnl"/>
        </w:rPr>
        <w:t>raron</w:t>
      </w:r>
      <w:r w:rsidRPr="001D124A">
        <w:rPr>
          <w:rFonts w:cs="Arial"/>
          <w:b w:val="0"/>
          <w:color w:val="auto"/>
          <w:spacing w:val="0"/>
          <w:szCs w:val="22"/>
          <w:lang w:val="es-ES_tradnl"/>
        </w:rPr>
        <w:t xml:space="preserve"> tener necesidad y disponibilidad para trabajar más horas</w:t>
      </w:r>
      <w:r w:rsidR="003349C5" w:rsidRPr="001D124A">
        <w:rPr>
          <w:rFonts w:cs="Arial"/>
          <w:b w:val="0"/>
          <w:color w:val="auto"/>
          <w:spacing w:val="0"/>
          <w:szCs w:val="22"/>
          <w:lang w:val="es-ES_tradnl"/>
        </w:rPr>
        <w:t>—</w:t>
      </w:r>
      <w:r w:rsidRPr="001D124A">
        <w:rPr>
          <w:rFonts w:cs="Arial"/>
          <w:b w:val="0"/>
          <w:color w:val="auto"/>
          <w:spacing w:val="0"/>
          <w:szCs w:val="22"/>
          <w:lang w:val="es-ES_tradnl"/>
        </w:rPr>
        <w:t xml:space="preserve"> </w:t>
      </w:r>
      <w:r w:rsidR="00782A18" w:rsidRPr="001D124A">
        <w:rPr>
          <w:rFonts w:cs="Arial"/>
          <w:b w:val="0"/>
          <w:color w:val="auto"/>
          <w:spacing w:val="0"/>
          <w:szCs w:val="22"/>
          <w:lang w:val="es-ES_tradnl"/>
        </w:rPr>
        <w:t xml:space="preserve">fueron </w:t>
      </w:r>
      <w:r w:rsidR="00D20A3E" w:rsidRPr="001D124A">
        <w:rPr>
          <w:rFonts w:cs="Arial"/>
          <w:b w:val="0"/>
          <w:color w:val="auto"/>
          <w:spacing w:val="0"/>
          <w:szCs w:val="22"/>
          <w:lang w:val="es-ES_tradnl"/>
        </w:rPr>
        <w:t>4.</w:t>
      </w:r>
      <w:r w:rsidR="00BC58DE" w:rsidRPr="001D124A">
        <w:rPr>
          <w:rFonts w:cs="Arial"/>
          <w:b w:val="0"/>
          <w:color w:val="auto"/>
          <w:spacing w:val="0"/>
          <w:szCs w:val="22"/>
          <w:lang w:val="es-ES_tradnl"/>
        </w:rPr>
        <w:t>5</w:t>
      </w:r>
      <w:r w:rsidR="00783C15" w:rsidRPr="001D124A">
        <w:rPr>
          <w:rFonts w:cs="Arial"/>
          <w:b w:val="0"/>
          <w:color w:val="auto"/>
          <w:spacing w:val="0"/>
          <w:szCs w:val="22"/>
          <w:lang w:val="es-ES_tradnl"/>
        </w:rPr>
        <w:t xml:space="preserve"> millones (</w:t>
      </w:r>
      <w:r w:rsidR="00BC58DE" w:rsidRPr="001D124A">
        <w:rPr>
          <w:rFonts w:cs="Arial"/>
          <w:b w:val="0"/>
          <w:color w:val="auto"/>
          <w:spacing w:val="0"/>
          <w:szCs w:val="22"/>
          <w:lang w:val="es-ES_tradnl"/>
        </w:rPr>
        <w:t>7.6</w:t>
      </w:r>
      <w:r w:rsidR="00520FC0" w:rsidRPr="001D124A">
        <w:rPr>
          <w:rFonts w:cs="Arial"/>
          <w:b w:val="0"/>
          <w:color w:val="auto"/>
          <w:spacing w:val="0"/>
          <w:szCs w:val="22"/>
          <w:lang w:val="es-ES_tradnl"/>
        </w:rPr>
        <w:t> %</w:t>
      </w:r>
      <w:r w:rsidRPr="001D124A">
        <w:rPr>
          <w:rFonts w:cs="Arial"/>
          <w:b w:val="0"/>
          <w:color w:val="auto"/>
          <w:spacing w:val="0"/>
          <w:szCs w:val="22"/>
          <w:lang w:val="es-ES_tradnl"/>
        </w:rPr>
        <w:t xml:space="preserve"> de la población ocupada</w:t>
      </w:r>
      <w:r w:rsidR="00BD044C" w:rsidRPr="001D124A">
        <w:rPr>
          <w:rFonts w:cs="Arial"/>
          <w:b w:val="0"/>
          <w:color w:val="auto"/>
          <w:spacing w:val="0"/>
          <w:szCs w:val="22"/>
          <w:lang w:val="es-ES_tradnl"/>
        </w:rPr>
        <w:t>)</w:t>
      </w:r>
      <w:r w:rsidR="0085750C" w:rsidRPr="001D124A">
        <w:rPr>
          <w:rFonts w:cs="Arial"/>
          <w:b w:val="0"/>
          <w:color w:val="auto"/>
          <w:spacing w:val="0"/>
          <w:szCs w:val="22"/>
          <w:lang w:val="es-ES_tradnl"/>
        </w:rPr>
        <w:t>. E</w:t>
      </w:r>
      <w:r w:rsidR="00101D6C" w:rsidRPr="001D124A">
        <w:rPr>
          <w:rFonts w:cs="Arial"/>
          <w:b w:val="0"/>
          <w:color w:val="auto"/>
          <w:spacing w:val="0"/>
          <w:szCs w:val="22"/>
          <w:lang w:val="es-ES_tradnl"/>
        </w:rPr>
        <w:t>sto</w:t>
      </w:r>
      <w:r w:rsidR="001D5116" w:rsidRPr="001D124A">
        <w:rPr>
          <w:rFonts w:cs="Arial"/>
          <w:b w:val="0"/>
          <w:color w:val="auto"/>
          <w:spacing w:val="0"/>
          <w:szCs w:val="22"/>
          <w:lang w:val="es-ES_tradnl"/>
        </w:rPr>
        <w:t xml:space="preserve"> </w:t>
      </w:r>
      <w:r w:rsidR="00101D6C" w:rsidRPr="001D124A">
        <w:rPr>
          <w:rFonts w:cs="Arial"/>
          <w:b w:val="0"/>
          <w:color w:val="auto"/>
          <w:spacing w:val="0"/>
          <w:szCs w:val="22"/>
          <w:lang w:val="es-ES_tradnl"/>
        </w:rPr>
        <w:t xml:space="preserve">significó un </w:t>
      </w:r>
      <w:r w:rsidR="001D5116" w:rsidRPr="001D124A">
        <w:rPr>
          <w:rFonts w:cs="Arial"/>
          <w:b w:val="0"/>
          <w:color w:val="auto"/>
          <w:spacing w:val="0"/>
          <w:szCs w:val="22"/>
          <w:lang w:val="es-ES_tradnl"/>
        </w:rPr>
        <w:t xml:space="preserve">aumento de </w:t>
      </w:r>
      <w:r w:rsidR="00EA1313" w:rsidRPr="001D124A">
        <w:rPr>
          <w:rFonts w:cs="Arial"/>
          <w:b w:val="0"/>
          <w:color w:val="auto"/>
          <w:spacing w:val="0"/>
          <w:szCs w:val="22"/>
          <w:lang w:val="es-ES_tradnl"/>
        </w:rPr>
        <w:t>309</w:t>
      </w:r>
      <w:r w:rsidR="00783C15" w:rsidRPr="001D124A">
        <w:rPr>
          <w:rFonts w:cs="Arial"/>
          <w:b w:val="0"/>
          <w:color w:val="auto"/>
          <w:spacing w:val="0"/>
          <w:szCs w:val="22"/>
          <w:lang w:val="es-ES_tradnl"/>
        </w:rPr>
        <w:t xml:space="preserve"> mil</w:t>
      </w:r>
      <w:r w:rsidR="00D976D7" w:rsidRPr="001D124A">
        <w:rPr>
          <w:rFonts w:cs="Arial"/>
          <w:b w:val="0"/>
          <w:color w:val="auto"/>
          <w:spacing w:val="0"/>
          <w:szCs w:val="22"/>
          <w:lang w:val="es-ES_tradnl"/>
        </w:rPr>
        <w:t xml:space="preserve"> </w:t>
      </w:r>
      <w:r w:rsidR="00783C15" w:rsidRPr="001D124A">
        <w:rPr>
          <w:rFonts w:cs="Arial"/>
          <w:b w:val="0"/>
          <w:color w:val="auto"/>
          <w:spacing w:val="0"/>
          <w:szCs w:val="22"/>
          <w:lang w:val="es-ES_tradnl"/>
        </w:rPr>
        <w:t>personas</w:t>
      </w:r>
      <w:r w:rsidR="00925128" w:rsidRPr="001D124A">
        <w:rPr>
          <w:rFonts w:cs="Arial"/>
          <w:b w:val="0"/>
          <w:color w:val="auto"/>
          <w:spacing w:val="0"/>
          <w:szCs w:val="22"/>
          <w:lang w:val="es-ES_tradnl"/>
        </w:rPr>
        <w:t xml:space="preserve"> </w:t>
      </w:r>
      <w:r w:rsidR="00A159E4" w:rsidRPr="001D124A">
        <w:rPr>
          <w:rFonts w:cs="Arial"/>
          <w:b w:val="0"/>
          <w:color w:val="auto"/>
          <w:spacing w:val="0"/>
          <w:szCs w:val="22"/>
          <w:lang w:val="es-ES_tradnl"/>
        </w:rPr>
        <w:t>con relación</w:t>
      </w:r>
      <w:r w:rsidR="00A03DEA" w:rsidRPr="001D124A">
        <w:rPr>
          <w:rFonts w:cs="Arial"/>
          <w:b w:val="0"/>
          <w:color w:val="auto"/>
          <w:spacing w:val="0"/>
          <w:szCs w:val="22"/>
          <w:lang w:val="es-ES_tradnl"/>
        </w:rPr>
        <w:t xml:space="preserve"> </w:t>
      </w:r>
      <w:r w:rsidR="009A57F2" w:rsidRPr="001D124A">
        <w:rPr>
          <w:rFonts w:cs="Arial"/>
          <w:b w:val="0"/>
          <w:color w:val="auto"/>
          <w:spacing w:val="0"/>
          <w:szCs w:val="22"/>
          <w:lang w:val="es-ES_tradnl"/>
        </w:rPr>
        <w:t>al mismo mes de un año antes</w:t>
      </w:r>
      <w:r w:rsidR="00C53450" w:rsidRPr="001D124A">
        <w:rPr>
          <w:rFonts w:cs="Arial"/>
          <w:b w:val="0"/>
          <w:color w:val="auto"/>
          <w:spacing w:val="0"/>
          <w:szCs w:val="22"/>
          <w:lang w:val="es-ES_tradnl"/>
        </w:rPr>
        <w:t>.</w:t>
      </w:r>
    </w:p>
    <w:p w14:paraId="33D01E03" w14:textId="76E6042D" w:rsidR="00B33A61" w:rsidRPr="001D124A" w:rsidRDefault="00EE753D" w:rsidP="001D124A">
      <w:pPr>
        <w:pStyle w:val="bullet"/>
        <w:keepLines w:val="0"/>
        <w:spacing w:after="0"/>
        <w:ind w:left="0" w:right="51" w:firstLine="0"/>
        <w:rPr>
          <w:rFonts w:cs="Arial"/>
          <w:b w:val="0"/>
          <w:color w:val="auto"/>
          <w:spacing w:val="0"/>
          <w:szCs w:val="22"/>
        </w:rPr>
      </w:pPr>
      <w:r w:rsidRPr="001D124A">
        <w:rPr>
          <w:rFonts w:cs="Arial"/>
          <w:b w:val="0"/>
          <w:color w:val="auto"/>
          <w:spacing w:val="0"/>
          <w:szCs w:val="22"/>
          <w:lang w:val="es-ES_tradnl"/>
        </w:rPr>
        <w:t>En el mes de referencia, l</w:t>
      </w:r>
      <w:r w:rsidR="00BB6EE7" w:rsidRPr="001D124A">
        <w:rPr>
          <w:rFonts w:cs="Arial"/>
          <w:b w:val="0"/>
          <w:color w:val="auto"/>
          <w:spacing w:val="0"/>
          <w:szCs w:val="22"/>
          <w:lang w:val="es-ES_tradnl"/>
        </w:rPr>
        <w:t xml:space="preserve">a población desocupada </w:t>
      </w:r>
      <w:r w:rsidR="00782A18" w:rsidRPr="001D124A">
        <w:rPr>
          <w:rFonts w:cs="Arial"/>
          <w:b w:val="0"/>
          <w:color w:val="auto"/>
          <w:spacing w:val="0"/>
          <w:szCs w:val="22"/>
          <w:lang w:val="es-ES_tradnl"/>
        </w:rPr>
        <w:t>fue</w:t>
      </w:r>
      <w:r w:rsidR="00BB6EE7" w:rsidRPr="001D124A">
        <w:rPr>
          <w:rFonts w:cs="Arial"/>
          <w:b w:val="0"/>
          <w:color w:val="auto"/>
          <w:spacing w:val="0"/>
          <w:szCs w:val="22"/>
          <w:lang w:val="es-ES_tradnl"/>
        </w:rPr>
        <w:t xml:space="preserve"> </w:t>
      </w:r>
      <w:r w:rsidR="0008073E" w:rsidRPr="001D124A">
        <w:rPr>
          <w:rFonts w:cs="Arial"/>
          <w:b w:val="0"/>
          <w:color w:val="auto"/>
          <w:spacing w:val="0"/>
          <w:szCs w:val="22"/>
          <w:lang w:val="es-ES_tradnl"/>
        </w:rPr>
        <w:t xml:space="preserve">de </w:t>
      </w:r>
      <w:r w:rsidR="00F7033B" w:rsidRPr="001D124A">
        <w:rPr>
          <w:rFonts w:cs="Arial"/>
          <w:b w:val="0"/>
          <w:color w:val="auto"/>
          <w:spacing w:val="0"/>
          <w:szCs w:val="22"/>
          <w:lang w:val="es-ES_tradnl"/>
        </w:rPr>
        <w:t>1.</w:t>
      </w:r>
      <w:r w:rsidR="00DD0D01" w:rsidRPr="001D124A">
        <w:rPr>
          <w:rFonts w:cs="Arial"/>
          <w:b w:val="0"/>
          <w:color w:val="auto"/>
          <w:spacing w:val="0"/>
          <w:szCs w:val="22"/>
          <w:lang w:val="es-ES_tradnl"/>
        </w:rPr>
        <w:t>6</w:t>
      </w:r>
      <w:r w:rsidR="00BB6EE7" w:rsidRPr="001D124A">
        <w:rPr>
          <w:rFonts w:cs="Arial"/>
          <w:b w:val="0"/>
          <w:color w:val="auto"/>
          <w:spacing w:val="0"/>
          <w:szCs w:val="22"/>
          <w:lang w:val="es-ES_tradnl"/>
        </w:rPr>
        <w:t xml:space="preserve"> millones de personas</w:t>
      </w:r>
      <w:r w:rsidR="006355AB" w:rsidRPr="001D124A">
        <w:rPr>
          <w:rFonts w:cs="Arial"/>
          <w:b w:val="0"/>
          <w:color w:val="auto"/>
          <w:spacing w:val="0"/>
          <w:szCs w:val="22"/>
          <w:lang w:val="es-ES_tradnl"/>
        </w:rPr>
        <w:t xml:space="preserve"> y la </w:t>
      </w:r>
      <w:r w:rsidR="005615C3" w:rsidRPr="001D124A">
        <w:rPr>
          <w:rFonts w:cs="Arial"/>
          <w:b w:val="0"/>
          <w:color w:val="auto"/>
          <w:spacing w:val="0"/>
          <w:szCs w:val="22"/>
          <w:lang w:val="es-ES_tradnl"/>
        </w:rPr>
        <w:t xml:space="preserve">tasa </w:t>
      </w:r>
      <w:r w:rsidR="006355AB" w:rsidRPr="001D124A">
        <w:rPr>
          <w:rFonts w:cs="Arial"/>
          <w:b w:val="0"/>
          <w:color w:val="auto"/>
          <w:spacing w:val="0"/>
          <w:szCs w:val="22"/>
          <w:lang w:val="es-ES_tradnl"/>
        </w:rPr>
        <w:t xml:space="preserve">de </w:t>
      </w:r>
      <w:r w:rsidR="005615C3" w:rsidRPr="001D124A">
        <w:rPr>
          <w:rFonts w:cs="Arial"/>
          <w:b w:val="0"/>
          <w:color w:val="auto"/>
          <w:spacing w:val="0"/>
          <w:szCs w:val="22"/>
          <w:lang w:val="es-ES_tradnl"/>
        </w:rPr>
        <w:t xml:space="preserve">desocupación </w:t>
      </w:r>
      <w:r w:rsidR="006355AB" w:rsidRPr="001D124A">
        <w:rPr>
          <w:rFonts w:cs="Arial"/>
          <w:b w:val="0"/>
          <w:color w:val="auto"/>
          <w:spacing w:val="0"/>
          <w:szCs w:val="22"/>
          <w:lang w:val="es-ES_tradnl"/>
        </w:rPr>
        <w:t>(</w:t>
      </w:r>
      <w:proofErr w:type="spellStart"/>
      <w:r w:rsidR="00801544" w:rsidRPr="001D124A">
        <w:rPr>
          <w:rFonts w:cs="Arial"/>
          <w:b w:val="0"/>
          <w:smallCaps/>
          <w:color w:val="auto"/>
          <w:spacing w:val="0"/>
          <w:szCs w:val="22"/>
          <w:lang w:val="es-ES_tradnl"/>
        </w:rPr>
        <w:t>td</w:t>
      </w:r>
      <w:proofErr w:type="spellEnd"/>
      <w:r w:rsidR="006355AB" w:rsidRPr="001D124A">
        <w:rPr>
          <w:rFonts w:cs="Arial"/>
          <w:b w:val="0"/>
          <w:color w:val="auto"/>
          <w:spacing w:val="0"/>
          <w:szCs w:val="22"/>
          <w:lang w:val="es-ES_tradnl"/>
        </w:rPr>
        <w:t>)</w:t>
      </w:r>
      <w:r w:rsidR="00385C9A" w:rsidRPr="001D124A">
        <w:rPr>
          <w:rFonts w:cs="Arial"/>
          <w:b w:val="0"/>
          <w:color w:val="auto"/>
          <w:spacing w:val="0"/>
          <w:szCs w:val="22"/>
          <w:lang w:val="es-ES_tradnl"/>
        </w:rPr>
        <w:t>,</w:t>
      </w:r>
      <w:r w:rsidR="006355AB" w:rsidRPr="001D124A">
        <w:rPr>
          <w:rFonts w:cs="Arial"/>
          <w:b w:val="0"/>
          <w:color w:val="auto"/>
          <w:spacing w:val="0"/>
          <w:szCs w:val="22"/>
          <w:lang w:val="es-ES_tradnl"/>
        </w:rPr>
        <w:t xml:space="preserve"> </w:t>
      </w:r>
      <w:r w:rsidR="005A5012" w:rsidRPr="001D124A">
        <w:rPr>
          <w:rFonts w:cs="Arial"/>
          <w:b w:val="0"/>
          <w:color w:val="auto"/>
          <w:spacing w:val="0"/>
          <w:szCs w:val="22"/>
          <w:lang w:val="es-ES_tradnl"/>
        </w:rPr>
        <w:t>de</w:t>
      </w:r>
      <w:r w:rsidR="00BB6EE7" w:rsidRPr="001D124A">
        <w:rPr>
          <w:rFonts w:cs="Arial"/>
          <w:b w:val="0"/>
          <w:color w:val="auto"/>
          <w:spacing w:val="0"/>
          <w:szCs w:val="22"/>
          <w:lang w:val="es-ES_tradnl"/>
        </w:rPr>
        <w:t xml:space="preserve"> </w:t>
      </w:r>
      <w:r w:rsidR="006C6A7C" w:rsidRPr="001D124A">
        <w:rPr>
          <w:rFonts w:cs="Arial"/>
          <w:b w:val="0"/>
          <w:color w:val="auto"/>
          <w:spacing w:val="0"/>
          <w:szCs w:val="22"/>
          <w:lang w:val="es-ES_tradnl"/>
        </w:rPr>
        <w:t>2.</w:t>
      </w:r>
      <w:r w:rsidR="00EA1313" w:rsidRPr="001D124A">
        <w:rPr>
          <w:rFonts w:cs="Arial"/>
          <w:b w:val="0"/>
          <w:color w:val="auto"/>
          <w:spacing w:val="0"/>
          <w:szCs w:val="22"/>
          <w:lang w:val="es-ES_tradnl"/>
        </w:rPr>
        <w:t>6</w:t>
      </w:r>
      <w:r w:rsidR="00520FC0" w:rsidRPr="001D124A">
        <w:rPr>
          <w:rFonts w:cs="Arial"/>
          <w:b w:val="0"/>
          <w:color w:val="auto"/>
          <w:spacing w:val="0"/>
          <w:szCs w:val="22"/>
          <w:lang w:val="es-ES_tradnl"/>
        </w:rPr>
        <w:t> %</w:t>
      </w:r>
      <w:r w:rsidR="00B1799D" w:rsidRPr="001D124A">
        <w:rPr>
          <w:rFonts w:cs="Arial"/>
          <w:b w:val="0"/>
          <w:color w:val="auto"/>
          <w:spacing w:val="0"/>
          <w:szCs w:val="22"/>
          <w:lang w:val="es-ES_tradnl"/>
        </w:rPr>
        <w:t xml:space="preserve"> de la </w:t>
      </w:r>
      <w:r w:rsidR="00801544" w:rsidRPr="00605D64">
        <w:rPr>
          <w:rFonts w:cs="Arial"/>
          <w:b w:val="0"/>
          <w:smallCaps/>
          <w:color w:val="auto"/>
          <w:spacing w:val="0"/>
          <w:szCs w:val="22"/>
          <w:lang w:val="es-ES_tradnl"/>
        </w:rPr>
        <w:t>pea</w:t>
      </w:r>
      <w:r w:rsidR="00B1799D" w:rsidRPr="001D124A">
        <w:rPr>
          <w:rFonts w:cs="Arial"/>
          <w:b w:val="0"/>
          <w:color w:val="auto"/>
          <w:spacing w:val="0"/>
          <w:szCs w:val="22"/>
          <w:lang w:val="es-ES_tradnl"/>
        </w:rPr>
        <w:t xml:space="preserve">. </w:t>
      </w:r>
      <w:r w:rsidR="00311154" w:rsidRPr="001D124A" w:rsidDel="00E77E0A">
        <w:rPr>
          <w:rFonts w:cs="Arial"/>
          <w:b w:val="0"/>
          <w:color w:val="auto"/>
          <w:spacing w:val="0"/>
          <w:szCs w:val="22"/>
          <w:lang w:val="es-ES_tradnl"/>
        </w:rPr>
        <w:t xml:space="preserve">Respecto </w:t>
      </w:r>
      <w:r w:rsidR="00C20102" w:rsidRPr="001D124A" w:rsidDel="00E77E0A">
        <w:rPr>
          <w:rFonts w:cs="Arial"/>
          <w:b w:val="0"/>
          <w:color w:val="auto"/>
          <w:spacing w:val="0"/>
          <w:szCs w:val="22"/>
          <w:lang w:val="es-ES_tradnl"/>
        </w:rPr>
        <w:t>a</w:t>
      </w:r>
      <w:r w:rsidR="00CE11B2" w:rsidRPr="001D124A" w:rsidDel="00E77E0A">
        <w:rPr>
          <w:rFonts w:cs="Arial"/>
          <w:b w:val="0"/>
          <w:color w:val="auto"/>
          <w:spacing w:val="0"/>
          <w:szCs w:val="22"/>
          <w:lang w:val="es-ES_tradnl"/>
        </w:rPr>
        <w:t xml:space="preserve"> </w:t>
      </w:r>
      <w:r w:rsidR="000E2871" w:rsidRPr="001D124A">
        <w:rPr>
          <w:rFonts w:cs="Arial"/>
          <w:b w:val="0"/>
          <w:color w:val="auto"/>
          <w:spacing w:val="0"/>
          <w:szCs w:val="22"/>
          <w:lang w:val="es-ES_tradnl"/>
        </w:rPr>
        <w:t>dic</w:t>
      </w:r>
      <w:r w:rsidR="00585680" w:rsidRPr="001D124A" w:rsidDel="00E77E0A">
        <w:rPr>
          <w:rFonts w:cs="Arial"/>
          <w:b w:val="0"/>
          <w:color w:val="auto"/>
          <w:spacing w:val="0"/>
          <w:szCs w:val="22"/>
          <w:lang w:val="es-ES_tradnl"/>
        </w:rPr>
        <w:t>iembre</w:t>
      </w:r>
      <w:r w:rsidR="00C05319" w:rsidRPr="001D124A" w:rsidDel="00E77E0A">
        <w:rPr>
          <w:rFonts w:cs="Arial"/>
          <w:b w:val="0"/>
          <w:color w:val="auto"/>
          <w:spacing w:val="0"/>
          <w:szCs w:val="22"/>
          <w:lang w:val="es-ES_tradnl"/>
        </w:rPr>
        <w:t xml:space="preserve"> </w:t>
      </w:r>
      <w:r w:rsidR="00B1799D" w:rsidRPr="001D124A" w:rsidDel="00E77E0A">
        <w:rPr>
          <w:rFonts w:cs="Arial"/>
          <w:b w:val="0"/>
          <w:color w:val="auto"/>
          <w:spacing w:val="0"/>
          <w:szCs w:val="22"/>
          <w:lang w:val="es-ES_tradnl"/>
        </w:rPr>
        <w:t xml:space="preserve">de </w:t>
      </w:r>
      <w:r w:rsidR="005E41AB" w:rsidRPr="001D124A" w:rsidDel="00E77E0A">
        <w:rPr>
          <w:rFonts w:cs="Arial"/>
          <w:b w:val="0"/>
          <w:color w:val="auto"/>
          <w:spacing w:val="0"/>
          <w:szCs w:val="22"/>
          <w:lang w:val="es-ES_tradnl"/>
        </w:rPr>
        <w:t>202</w:t>
      </w:r>
      <w:r w:rsidR="00CE11B2" w:rsidRPr="001D124A" w:rsidDel="00E77E0A">
        <w:rPr>
          <w:rFonts w:cs="Arial"/>
          <w:b w:val="0"/>
          <w:color w:val="auto"/>
          <w:spacing w:val="0"/>
          <w:szCs w:val="22"/>
          <w:lang w:val="es-ES_tradnl"/>
        </w:rPr>
        <w:t>2</w:t>
      </w:r>
      <w:r w:rsidR="00291D8C" w:rsidRPr="001D124A" w:rsidDel="00E77E0A">
        <w:rPr>
          <w:rFonts w:cs="Arial"/>
          <w:b w:val="0"/>
          <w:color w:val="auto"/>
          <w:spacing w:val="0"/>
          <w:szCs w:val="22"/>
          <w:lang w:val="es-ES_tradnl"/>
        </w:rPr>
        <w:t>,</w:t>
      </w:r>
      <w:r w:rsidR="00B1799D" w:rsidRPr="001D124A" w:rsidDel="00E77E0A">
        <w:rPr>
          <w:rFonts w:cs="Arial"/>
          <w:b w:val="0"/>
          <w:color w:val="auto"/>
          <w:spacing w:val="0"/>
          <w:szCs w:val="22"/>
          <w:lang w:val="es-ES_tradnl"/>
        </w:rPr>
        <w:t xml:space="preserve"> la población desocupada </w:t>
      </w:r>
      <w:r w:rsidR="005A5012" w:rsidRPr="001D124A" w:rsidDel="00E77E0A">
        <w:rPr>
          <w:rFonts w:cs="Arial"/>
          <w:b w:val="0"/>
          <w:color w:val="auto"/>
          <w:spacing w:val="0"/>
          <w:szCs w:val="22"/>
          <w:lang w:val="es-ES_tradnl"/>
        </w:rPr>
        <w:t>descendió</w:t>
      </w:r>
      <w:r w:rsidR="007B6516" w:rsidRPr="001D124A" w:rsidDel="00E77E0A">
        <w:rPr>
          <w:rFonts w:cs="Arial"/>
          <w:b w:val="0"/>
          <w:color w:val="auto"/>
          <w:spacing w:val="0"/>
          <w:szCs w:val="22"/>
          <w:lang w:val="es-ES_tradnl"/>
        </w:rPr>
        <w:t xml:space="preserve"> </w:t>
      </w:r>
      <w:r w:rsidR="005A5012" w:rsidRPr="001D124A" w:rsidDel="00E77E0A">
        <w:rPr>
          <w:rFonts w:cs="Arial"/>
          <w:b w:val="0"/>
          <w:color w:val="auto"/>
          <w:spacing w:val="0"/>
          <w:szCs w:val="22"/>
          <w:lang w:val="es-ES_tradnl"/>
        </w:rPr>
        <w:t xml:space="preserve">en </w:t>
      </w:r>
      <w:r w:rsidR="00EA1313" w:rsidRPr="001D124A">
        <w:rPr>
          <w:rFonts w:cs="Arial"/>
          <w:b w:val="0"/>
          <w:color w:val="auto"/>
          <w:spacing w:val="0"/>
          <w:szCs w:val="22"/>
          <w:lang w:val="es-ES_tradnl"/>
        </w:rPr>
        <w:t>59</w:t>
      </w:r>
      <w:r w:rsidR="007B6516" w:rsidRPr="001D124A" w:rsidDel="00E77E0A">
        <w:rPr>
          <w:rFonts w:cs="Arial"/>
          <w:b w:val="0"/>
          <w:color w:val="auto"/>
          <w:spacing w:val="0"/>
          <w:szCs w:val="22"/>
          <w:lang w:val="es-ES_tradnl"/>
        </w:rPr>
        <w:t xml:space="preserve"> mil personas</w:t>
      </w:r>
      <w:r w:rsidR="00A159E4" w:rsidRPr="001D124A" w:rsidDel="00E77E0A">
        <w:rPr>
          <w:rFonts w:cs="Arial"/>
          <w:b w:val="0"/>
          <w:color w:val="auto"/>
          <w:spacing w:val="0"/>
          <w:szCs w:val="22"/>
          <w:lang w:val="es-ES_tradnl"/>
        </w:rPr>
        <w:t xml:space="preserve"> </w:t>
      </w:r>
      <w:r w:rsidR="00EF2F62" w:rsidRPr="001D124A" w:rsidDel="00E77E0A">
        <w:rPr>
          <w:rFonts w:cs="Arial"/>
          <w:b w:val="0"/>
          <w:color w:val="auto"/>
          <w:spacing w:val="0"/>
          <w:szCs w:val="22"/>
          <w:lang w:val="es-ES_tradnl"/>
        </w:rPr>
        <w:t>y</w:t>
      </w:r>
      <w:r w:rsidR="001D00F4" w:rsidRPr="001D124A" w:rsidDel="00E77E0A">
        <w:rPr>
          <w:rFonts w:cs="Arial"/>
          <w:b w:val="0"/>
          <w:color w:val="auto"/>
          <w:spacing w:val="0"/>
          <w:szCs w:val="22"/>
          <w:lang w:val="es-ES_tradnl"/>
        </w:rPr>
        <w:t xml:space="preserve"> </w:t>
      </w:r>
      <w:r w:rsidR="004E15E0" w:rsidRPr="001D124A" w:rsidDel="00E77E0A">
        <w:rPr>
          <w:rFonts w:cs="Arial"/>
          <w:b w:val="0"/>
          <w:color w:val="auto"/>
          <w:spacing w:val="0"/>
          <w:szCs w:val="22"/>
          <w:lang w:val="es-ES_tradnl"/>
        </w:rPr>
        <w:t xml:space="preserve">la </w:t>
      </w:r>
      <w:proofErr w:type="spellStart"/>
      <w:r w:rsidR="00801544" w:rsidRPr="001D124A" w:rsidDel="00E77E0A">
        <w:rPr>
          <w:rFonts w:cs="Arial"/>
          <w:b w:val="0"/>
          <w:smallCaps/>
          <w:color w:val="auto"/>
          <w:spacing w:val="0"/>
          <w:szCs w:val="22"/>
          <w:lang w:val="es-ES_tradnl"/>
        </w:rPr>
        <w:t>td</w:t>
      </w:r>
      <w:proofErr w:type="spellEnd"/>
      <w:r w:rsidR="004E15E0" w:rsidRPr="001D124A" w:rsidDel="00E77E0A">
        <w:rPr>
          <w:rFonts w:cs="Arial"/>
          <w:b w:val="0"/>
          <w:color w:val="auto"/>
          <w:spacing w:val="0"/>
          <w:szCs w:val="22"/>
          <w:lang w:val="es-ES_tradnl"/>
        </w:rPr>
        <w:t xml:space="preserve"> </w:t>
      </w:r>
      <w:r w:rsidR="004D21B2" w:rsidRPr="001D124A" w:rsidDel="00E77E0A">
        <w:rPr>
          <w:rFonts w:cs="Arial"/>
          <w:b w:val="0"/>
          <w:color w:val="auto"/>
          <w:spacing w:val="0"/>
          <w:szCs w:val="22"/>
          <w:lang w:val="es-ES_tradnl"/>
        </w:rPr>
        <w:t xml:space="preserve">fue menor </w:t>
      </w:r>
      <w:r w:rsidR="00C20102" w:rsidRPr="001D124A" w:rsidDel="00E77E0A">
        <w:rPr>
          <w:rFonts w:cs="Arial"/>
          <w:b w:val="0"/>
          <w:color w:val="auto"/>
          <w:spacing w:val="0"/>
          <w:szCs w:val="22"/>
          <w:lang w:val="es-ES_tradnl"/>
        </w:rPr>
        <w:t>en</w:t>
      </w:r>
      <w:r w:rsidR="00A057A0" w:rsidRPr="001D124A" w:rsidDel="00E77E0A">
        <w:rPr>
          <w:rFonts w:cs="Arial"/>
          <w:b w:val="0"/>
          <w:color w:val="auto"/>
          <w:spacing w:val="0"/>
          <w:szCs w:val="22"/>
          <w:lang w:val="es-ES_tradnl"/>
        </w:rPr>
        <w:t xml:space="preserve"> </w:t>
      </w:r>
      <w:r w:rsidR="00E66A4E" w:rsidRPr="001D124A" w:rsidDel="00E77E0A">
        <w:rPr>
          <w:rFonts w:cs="Arial"/>
          <w:b w:val="0"/>
          <w:color w:val="auto"/>
          <w:spacing w:val="0"/>
          <w:szCs w:val="22"/>
          <w:lang w:val="es-ES_tradnl"/>
        </w:rPr>
        <w:t>0.</w:t>
      </w:r>
      <w:r w:rsidR="00EA1313" w:rsidRPr="001D124A">
        <w:rPr>
          <w:rFonts w:cs="Arial"/>
          <w:b w:val="0"/>
          <w:color w:val="auto"/>
          <w:spacing w:val="0"/>
          <w:szCs w:val="22"/>
          <w:lang w:val="es-ES_tradnl"/>
        </w:rPr>
        <w:t>1</w:t>
      </w:r>
      <w:r w:rsidR="00002B0E" w:rsidRPr="001D124A" w:rsidDel="00E77E0A">
        <w:rPr>
          <w:rFonts w:cs="Arial"/>
          <w:b w:val="0"/>
          <w:color w:val="auto"/>
          <w:spacing w:val="0"/>
          <w:szCs w:val="22"/>
          <w:lang w:val="es-ES_tradnl"/>
        </w:rPr>
        <w:t xml:space="preserve"> </w:t>
      </w:r>
      <w:r w:rsidR="00520FC0" w:rsidRPr="001D124A" w:rsidDel="00E77E0A">
        <w:rPr>
          <w:rFonts w:cs="Arial"/>
          <w:b w:val="0"/>
          <w:color w:val="auto"/>
          <w:spacing w:val="0"/>
          <w:szCs w:val="22"/>
          <w:lang w:val="es-ES_tradnl"/>
        </w:rPr>
        <w:t>puntos</w:t>
      </w:r>
      <w:r w:rsidR="00C20102" w:rsidRPr="001D124A" w:rsidDel="00E77E0A">
        <w:rPr>
          <w:rFonts w:cs="Arial"/>
          <w:b w:val="0"/>
          <w:color w:val="auto"/>
          <w:spacing w:val="0"/>
          <w:szCs w:val="22"/>
          <w:lang w:val="es-ES_tradnl"/>
        </w:rPr>
        <w:t xml:space="preserve"> porcentual</w:t>
      </w:r>
      <w:r w:rsidR="00E66A4E" w:rsidRPr="001D124A" w:rsidDel="00E77E0A">
        <w:rPr>
          <w:rFonts w:cs="Arial"/>
          <w:b w:val="0"/>
          <w:color w:val="auto"/>
          <w:spacing w:val="0"/>
          <w:szCs w:val="22"/>
          <w:lang w:val="es-ES_tradnl"/>
        </w:rPr>
        <w:t>es</w:t>
      </w:r>
      <w:r w:rsidR="003C139C" w:rsidRPr="001D124A" w:rsidDel="00E77E0A">
        <w:rPr>
          <w:rFonts w:cs="Arial"/>
          <w:b w:val="0"/>
          <w:color w:val="auto"/>
          <w:spacing w:val="0"/>
          <w:szCs w:val="22"/>
          <w:lang w:val="es-ES_tradnl"/>
        </w:rPr>
        <w:t>.</w:t>
      </w:r>
      <w:r w:rsidR="003E41EA" w:rsidRPr="001D124A" w:rsidDel="00E77E0A">
        <w:rPr>
          <w:rFonts w:cs="Arial"/>
          <w:b w:val="0"/>
          <w:color w:val="auto"/>
          <w:spacing w:val="0"/>
          <w:szCs w:val="22"/>
          <w:lang w:val="es-ES_tradnl"/>
        </w:rPr>
        <w:t xml:space="preserve"> </w:t>
      </w:r>
    </w:p>
    <w:p w14:paraId="0FCADE13" w14:textId="6D4F40A7" w:rsidR="00AB5582" w:rsidRDefault="00560CBC" w:rsidP="001D124A">
      <w:pPr>
        <w:pStyle w:val="bullet"/>
        <w:keepLines w:val="0"/>
        <w:spacing w:after="0"/>
        <w:ind w:left="0" w:right="51" w:firstLine="0"/>
        <w:rPr>
          <w:rFonts w:cs="Arial"/>
          <w:b w:val="0"/>
          <w:color w:val="auto"/>
          <w:spacing w:val="0"/>
          <w:szCs w:val="22"/>
          <w:lang w:val="es-ES_tradnl"/>
        </w:rPr>
      </w:pPr>
      <w:r w:rsidRPr="001D124A">
        <w:rPr>
          <w:rFonts w:cs="Arial"/>
          <w:b w:val="0"/>
          <w:color w:val="auto"/>
          <w:spacing w:val="0"/>
          <w:szCs w:val="22"/>
          <w:lang w:val="es-ES_tradnl"/>
        </w:rPr>
        <w:t xml:space="preserve">En </w:t>
      </w:r>
      <w:r w:rsidR="000E2871" w:rsidRPr="001D124A">
        <w:rPr>
          <w:rFonts w:cs="Arial"/>
          <w:b w:val="0"/>
          <w:color w:val="auto"/>
          <w:spacing w:val="0"/>
          <w:szCs w:val="22"/>
          <w:lang w:val="es-ES_tradnl"/>
        </w:rPr>
        <w:t>dic</w:t>
      </w:r>
      <w:r w:rsidR="00585680" w:rsidRPr="001D124A">
        <w:rPr>
          <w:rFonts w:cs="Arial"/>
          <w:b w:val="0"/>
          <w:color w:val="auto"/>
          <w:spacing w:val="0"/>
          <w:szCs w:val="22"/>
          <w:lang w:val="es-ES_tradnl"/>
        </w:rPr>
        <w:t>iembre</w:t>
      </w:r>
      <w:r w:rsidRPr="001D124A">
        <w:rPr>
          <w:rFonts w:cs="Arial"/>
          <w:b w:val="0"/>
          <w:color w:val="auto"/>
          <w:spacing w:val="0"/>
          <w:szCs w:val="22"/>
          <w:lang w:val="es-ES_tradnl"/>
        </w:rPr>
        <w:t xml:space="preserve"> de 202</w:t>
      </w:r>
      <w:r w:rsidR="00CE11B2" w:rsidRPr="001D124A">
        <w:rPr>
          <w:rFonts w:cs="Arial"/>
          <w:b w:val="0"/>
          <w:color w:val="auto"/>
          <w:spacing w:val="0"/>
          <w:szCs w:val="22"/>
          <w:lang w:val="es-ES_tradnl"/>
        </w:rPr>
        <w:t>3</w:t>
      </w:r>
      <w:r w:rsidRPr="001D124A">
        <w:rPr>
          <w:rFonts w:cs="Arial"/>
          <w:b w:val="0"/>
          <w:color w:val="auto"/>
          <w:spacing w:val="0"/>
          <w:szCs w:val="22"/>
          <w:lang w:val="es-ES_tradnl"/>
        </w:rPr>
        <w:t>, a</w:t>
      </w:r>
      <w:r w:rsidR="009A706E" w:rsidRPr="001D124A">
        <w:rPr>
          <w:rFonts w:cs="Arial"/>
          <w:b w:val="0"/>
          <w:color w:val="auto"/>
          <w:spacing w:val="0"/>
          <w:szCs w:val="22"/>
          <w:lang w:val="es-ES_tradnl"/>
        </w:rPr>
        <w:t xml:space="preserve"> tasa mensual y c</w:t>
      </w:r>
      <w:r w:rsidR="00AB5582" w:rsidRPr="001D124A">
        <w:rPr>
          <w:rFonts w:cs="Arial"/>
          <w:b w:val="0"/>
          <w:color w:val="auto"/>
          <w:spacing w:val="0"/>
          <w:szCs w:val="22"/>
          <w:lang w:val="es-ES_tradnl"/>
        </w:rPr>
        <w:t>on cifras desestacionalizadas</w:t>
      </w:r>
      <w:r w:rsidR="00C053DB" w:rsidRPr="001D124A">
        <w:rPr>
          <w:rFonts w:cs="Arial"/>
          <w:b w:val="0"/>
          <w:color w:val="auto"/>
          <w:spacing w:val="0"/>
          <w:szCs w:val="22"/>
          <w:lang w:val="es-ES_tradnl"/>
        </w:rPr>
        <w:t xml:space="preserve">, </w:t>
      </w:r>
      <w:r w:rsidR="00AB5582" w:rsidRPr="001D124A">
        <w:rPr>
          <w:rFonts w:cs="Arial"/>
          <w:b w:val="0"/>
          <w:color w:val="auto"/>
          <w:spacing w:val="0"/>
          <w:szCs w:val="22"/>
          <w:lang w:val="es-ES_tradnl"/>
        </w:rPr>
        <w:t xml:space="preserve">la </w:t>
      </w:r>
      <w:proofErr w:type="spellStart"/>
      <w:r w:rsidR="00801544" w:rsidRPr="001D124A">
        <w:rPr>
          <w:rFonts w:cs="Arial"/>
          <w:b w:val="0"/>
          <w:smallCaps/>
          <w:color w:val="auto"/>
          <w:spacing w:val="0"/>
          <w:szCs w:val="22"/>
          <w:lang w:val="es-ES_tradnl"/>
        </w:rPr>
        <w:t>td</w:t>
      </w:r>
      <w:proofErr w:type="spellEnd"/>
      <w:r w:rsidR="00FA0D3E" w:rsidRPr="001D124A">
        <w:rPr>
          <w:rFonts w:cs="Arial"/>
          <w:b w:val="0"/>
          <w:color w:val="auto"/>
          <w:spacing w:val="0"/>
          <w:szCs w:val="22"/>
          <w:lang w:val="es-ES_tradnl"/>
        </w:rPr>
        <w:t xml:space="preserve"> </w:t>
      </w:r>
      <w:r w:rsidR="00B72DB5" w:rsidRPr="001D124A">
        <w:rPr>
          <w:rFonts w:cs="Arial"/>
          <w:b w:val="0"/>
          <w:color w:val="auto"/>
          <w:spacing w:val="0"/>
          <w:szCs w:val="22"/>
          <w:lang w:val="es-ES_tradnl"/>
        </w:rPr>
        <w:t>no presentó variación</w:t>
      </w:r>
      <w:r w:rsidR="00924A34" w:rsidRPr="001D124A">
        <w:rPr>
          <w:rFonts w:cs="Arial"/>
          <w:b w:val="0"/>
          <w:color w:val="auto"/>
          <w:spacing w:val="0"/>
          <w:szCs w:val="22"/>
          <w:lang w:val="es-ES_tradnl"/>
        </w:rPr>
        <w:t>.</w:t>
      </w:r>
      <w:r w:rsidR="002277C2" w:rsidRPr="001D124A">
        <w:rPr>
          <w:rFonts w:cs="Arial"/>
          <w:b w:val="0"/>
          <w:color w:val="auto"/>
          <w:spacing w:val="0"/>
          <w:szCs w:val="22"/>
          <w:lang w:val="es-ES_tradnl"/>
        </w:rPr>
        <w:t xml:space="preserve"> </w:t>
      </w:r>
      <w:r w:rsidR="00096F7F" w:rsidRPr="001D124A">
        <w:rPr>
          <w:rFonts w:cs="Arial"/>
          <w:b w:val="0"/>
          <w:color w:val="auto"/>
          <w:spacing w:val="0"/>
          <w:szCs w:val="22"/>
          <w:lang w:val="es-ES_tradnl"/>
        </w:rPr>
        <w:t>L</w:t>
      </w:r>
      <w:r w:rsidR="00AB5582" w:rsidRPr="001D124A">
        <w:rPr>
          <w:rFonts w:cs="Arial"/>
          <w:b w:val="0"/>
          <w:color w:val="auto"/>
          <w:spacing w:val="0"/>
          <w:szCs w:val="22"/>
          <w:lang w:val="es-ES_tradnl"/>
        </w:rPr>
        <w:t xml:space="preserve">a </w:t>
      </w:r>
      <w:r w:rsidR="005615C3" w:rsidRPr="001D124A">
        <w:rPr>
          <w:rFonts w:cs="Arial"/>
          <w:b w:val="0"/>
          <w:color w:val="auto"/>
          <w:spacing w:val="0"/>
          <w:szCs w:val="22"/>
          <w:lang w:val="es-ES_tradnl"/>
        </w:rPr>
        <w:t xml:space="preserve">tasa </w:t>
      </w:r>
      <w:r w:rsidR="00AB5582" w:rsidRPr="001D124A">
        <w:rPr>
          <w:rFonts w:cs="Arial"/>
          <w:b w:val="0"/>
          <w:color w:val="auto"/>
          <w:spacing w:val="0"/>
          <w:szCs w:val="22"/>
          <w:lang w:val="es-ES_tradnl"/>
        </w:rPr>
        <w:t xml:space="preserve">de </w:t>
      </w:r>
      <w:r w:rsidR="005615C3" w:rsidRPr="001D124A">
        <w:rPr>
          <w:rFonts w:cs="Arial"/>
          <w:b w:val="0"/>
          <w:color w:val="auto"/>
          <w:spacing w:val="0"/>
          <w:szCs w:val="22"/>
          <w:lang w:val="es-ES_tradnl"/>
        </w:rPr>
        <w:t xml:space="preserve">subocupación </w:t>
      </w:r>
      <w:r w:rsidR="00B72DB5" w:rsidRPr="001D124A">
        <w:rPr>
          <w:rFonts w:cs="Arial"/>
          <w:b w:val="0"/>
          <w:color w:val="auto"/>
          <w:spacing w:val="0"/>
          <w:szCs w:val="22"/>
          <w:lang w:val="es-ES_tradnl"/>
        </w:rPr>
        <w:t>disminuy</w:t>
      </w:r>
      <w:r w:rsidR="002E57C3" w:rsidRPr="001D124A">
        <w:rPr>
          <w:rFonts w:cs="Arial"/>
          <w:b w:val="0"/>
          <w:color w:val="auto"/>
          <w:spacing w:val="0"/>
          <w:szCs w:val="22"/>
          <w:lang w:val="es-ES_tradnl"/>
        </w:rPr>
        <w:t>ó 0.2 puntos porcentuales en el mismo periodo</w:t>
      </w:r>
      <w:r w:rsidR="000554AC" w:rsidRPr="001D124A">
        <w:rPr>
          <w:rFonts w:cs="Arial"/>
          <w:b w:val="0"/>
          <w:color w:val="auto"/>
          <w:spacing w:val="0"/>
          <w:szCs w:val="22"/>
          <w:lang w:val="es-ES_tradnl"/>
        </w:rPr>
        <w:t>.</w:t>
      </w:r>
      <w:r w:rsidR="00AB5582" w:rsidRPr="001D124A">
        <w:rPr>
          <w:rFonts w:cs="Arial"/>
          <w:b w:val="0"/>
          <w:color w:val="auto"/>
          <w:spacing w:val="0"/>
          <w:szCs w:val="22"/>
          <w:lang w:val="es-ES_tradnl"/>
        </w:rPr>
        <w:t xml:space="preserve"> </w:t>
      </w:r>
    </w:p>
    <w:p w14:paraId="7B551B94" w14:textId="77777777" w:rsidR="001D124A" w:rsidRPr="00F14BC5" w:rsidRDefault="001D124A" w:rsidP="001D124A">
      <w:pPr>
        <w:spacing w:before="360"/>
        <w:ind w:left="142" w:right="51"/>
        <w:jc w:val="center"/>
        <w:rPr>
          <w:bCs/>
          <w:snapToGrid w:val="0"/>
        </w:rPr>
      </w:pPr>
      <w:bookmarkStart w:id="2" w:name="_Hlk148955161"/>
      <w:r w:rsidRPr="00F14BC5">
        <w:rPr>
          <w:bCs/>
          <w:snapToGrid w:val="0"/>
        </w:rPr>
        <w:t>Se anexa Nota técnica</w:t>
      </w:r>
      <w:bookmarkEnd w:id="2"/>
    </w:p>
    <w:p w14:paraId="0B10048A" w14:textId="77777777" w:rsidR="001D124A" w:rsidRPr="00F14BC5" w:rsidRDefault="001D124A" w:rsidP="001D124A">
      <w:pPr>
        <w:pStyle w:val="NormalWeb"/>
        <w:ind w:left="-426" w:right="-518"/>
        <w:contextualSpacing/>
        <w:jc w:val="center"/>
        <w:rPr>
          <w:rFonts w:ascii="Arial" w:hAnsi="Arial" w:cs="Arial"/>
          <w:lang w:val="es-ES_tradnl"/>
        </w:rPr>
      </w:pPr>
      <w:bookmarkStart w:id="3" w:name="_Hlk147145049"/>
      <w:bookmarkStart w:id="4" w:name="_Hlk148018231"/>
      <w:r w:rsidRPr="00F14BC5">
        <w:rPr>
          <w:rFonts w:ascii="Arial" w:hAnsi="Arial" w:cs="Arial"/>
          <w:lang w:val="es-ES_tradnl"/>
        </w:rPr>
        <w:t xml:space="preserve">Para consultas de medios y periodistas, escribir a: </w:t>
      </w:r>
      <w:hyperlink r:id="rId11" w:history="1">
        <w:r w:rsidRPr="00F14BC5">
          <w:rPr>
            <w:rStyle w:val="Hipervnculo"/>
            <w:rFonts w:ascii="Arial" w:eastAsiaTheme="majorEastAsia" w:hAnsi="Arial" w:cs="Arial"/>
          </w:rPr>
          <w:t>comunicacionsocial@inegi.org.mx</w:t>
        </w:r>
      </w:hyperlink>
      <w:r w:rsidRPr="00F14BC5">
        <w:rPr>
          <w:rFonts w:ascii="Arial" w:hAnsi="Arial" w:cs="Arial"/>
          <w:lang w:val="es-ES_tradnl"/>
        </w:rPr>
        <w:t xml:space="preserve">    </w:t>
      </w:r>
    </w:p>
    <w:p w14:paraId="008ADAB5" w14:textId="77777777" w:rsidR="001D124A" w:rsidRPr="00F14BC5" w:rsidRDefault="001D124A" w:rsidP="001D124A">
      <w:pPr>
        <w:pStyle w:val="NormalWeb"/>
        <w:spacing w:before="0" w:beforeAutospacing="0" w:after="0" w:afterAutospacing="0"/>
        <w:ind w:left="-426" w:right="-518"/>
        <w:contextualSpacing/>
        <w:jc w:val="center"/>
        <w:rPr>
          <w:rFonts w:ascii="Arial" w:hAnsi="Arial" w:cs="Arial"/>
          <w:lang w:val="es-ES_tradnl"/>
        </w:rPr>
      </w:pPr>
      <w:r w:rsidRPr="00F14BC5">
        <w:rPr>
          <w:rFonts w:ascii="Arial" w:hAnsi="Arial" w:cs="Arial"/>
          <w:lang w:val="es-ES_tradnl"/>
        </w:rPr>
        <w:t>o llamar al teléfono (55) 52-78-10-00, extensiones 321064, 321134 y 321241.</w:t>
      </w:r>
    </w:p>
    <w:p w14:paraId="69F50A8C" w14:textId="77777777" w:rsidR="001D124A" w:rsidRPr="00F14BC5" w:rsidRDefault="001D124A" w:rsidP="001D124A">
      <w:pPr>
        <w:pStyle w:val="NormalWeb"/>
        <w:spacing w:before="0" w:beforeAutospacing="0" w:after="0" w:afterAutospacing="0"/>
        <w:ind w:left="-426" w:right="-518"/>
        <w:contextualSpacing/>
        <w:jc w:val="center"/>
        <w:rPr>
          <w:rFonts w:ascii="Arial" w:hAnsi="Arial" w:cs="Arial"/>
        </w:rPr>
      </w:pPr>
      <w:r w:rsidRPr="00F14BC5">
        <w:rPr>
          <w:rFonts w:ascii="Arial" w:hAnsi="Arial" w:cs="Arial"/>
        </w:rPr>
        <w:t>Dirección de Atención a Medios/ Dirección General Adjunta de Comunicación</w:t>
      </w:r>
    </w:p>
    <w:p w14:paraId="404D94E0" w14:textId="70C25361" w:rsidR="001D124A" w:rsidRDefault="001D124A" w:rsidP="001D124A">
      <w:pPr>
        <w:pStyle w:val="bullet"/>
        <w:keepLines w:val="0"/>
        <w:spacing w:after="0"/>
        <w:ind w:left="0" w:right="51" w:firstLine="0"/>
        <w:jc w:val="center"/>
        <w:rPr>
          <w:rFonts w:cs="Arial"/>
          <w:b w:val="0"/>
          <w:color w:val="auto"/>
          <w:spacing w:val="0"/>
          <w:szCs w:val="22"/>
          <w:lang w:val="es-ES_tradnl"/>
        </w:rPr>
      </w:pPr>
      <w:r w:rsidRPr="00F14BC5">
        <w:rPr>
          <w:noProof/>
          <w:lang w:eastAsia="es-MX"/>
        </w:rPr>
        <w:drawing>
          <wp:inline distT="0" distB="0" distL="0" distR="0" wp14:anchorId="538F7870" wp14:editId="1AA0E7DC">
            <wp:extent cx="372725" cy="360438"/>
            <wp:effectExtent l="0" t="0" r="0" b="0"/>
            <wp:docPr id="9" name="Imagen 9" descr="Icono&#10;&#10;Descripción generada automáticament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t="1648" b="1648"/>
                    <a:stretch>
                      <a:fillRect/>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sidRPr="00F14BC5">
        <w:rPr>
          <w:noProof/>
          <w:lang w:eastAsia="es-MX"/>
        </w:rPr>
        <w:drawing>
          <wp:inline distT="0" distB="0" distL="0" distR="0" wp14:anchorId="696207E5" wp14:editId="3E88A14D">
            <wp:extent cx="365760" cy="365760"/>
            <wp:effectExtent l="0" t="0" r="2540" b="2540"/>
            <wp:docPr id="1081653857" name="Imagen 1081653857" descr="Icono&#10;&#10;Descripción generada automáticamente">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cono&#10;&#10;Descripción generada automáticamente">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F14BC5">
        <w:rPr>
          <w:noProof/>
          <w:lang w:eastAsia="es-MX"/>
        </w:rPr>
        <w:drawing>
          <wp:inline distT="0" distB="0" distL="0" distR="0" wp14:anchorId="553E99D7" wp14:editId="439ECF6F">
            <wp:extent cx="365760" cy="365760"/>
            <wp:effectExtent l="0" t="0" r="2540" b="2540"/>
            <wp:docPr id="4" name="Imagen 4" descr="Imagen que contiene objeto, reloj&#10;&#10;Descripción generada automáticamente">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objeto, reloj&#10;&#10;Descripción generada automáticamente">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F14BC5">
        <w:rPr>
          <w:noProof/>
          <w:lang w:eastAsia="es-MX"/>
        </w:rPr>
        <w:drawing>
          <wp:inline distT="0" distB="0" distL="0" distR="0" wp14:anchorId="7811997F" wp14:editId="06D8BB87">
            <wp:extent cx="365760" cy="365760"/>
            <wp:effectExtent l="0" t="0" r="2540" b="2540"/>
            <wp:docPr id="5" name="Imagen 5" descr="Logotipo&#10;&#10;Descripción generada automáticament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365760" cy="365760"/>
                    </a:xfrm>
                    <a:prstGeom prst="rect">
                      <a:avLst/>
                    </a:prstGeom>
                    <a:noFill/>
                    <a:ln>
                      <a:noFill/>
                    </a:ln>
                  </pic:spPr>
                </pic:pic>
              </a:graphicData>
            </a:graphic>
          </wp:inline>
        </w:drawing>
      </w:r>
      <w:r w:rsidRPr="00F14BC5">
        <w:rPr>
          <w:noProof/>
          <w:lang w:eastAsia="es-MX"/>
        </w:rPr>
        <w:drawing>
          <wp:inline distT="0" distB="0" distL="0" distR="0" wp14:anchorId="1F73FE38" wp14:editId="69D0B5BB">
            <wp:extent cx="1436914" cy="152592"/>
            <wp:effectExtent l="0" t="0" r="0" b="0"/>
            <wp:docPr id="33" name="Imagen 33" descr="Icono&#10;&#10;Descripción generada automáticament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709956" cy="181587"/>
                    </a:xfrm>
                    <a:prstGeom prst="rect">
                      <a:avLst/>
                    </a:prstGeom>
                    <a:noFill/>
                    <a:ln>
                      <a:noFill/>
                    </a:ln>
                  </pic:spPr>
                </pic:pic>
              </a:graphicData>
            </a:graphic>
          </wp:inline>
        </w:drawing>
      </w:r>
      <w:bookmarkEnd w:id="3"/>
      <w:bookmarkEnd w:id="4"/>
      <w:r>
        <w:rPr>
          <w:rFonts w:cs="Arial"/>
          <w:b w:val="0"/>
          <w:color w:val="auto"/>
          <w:spacing w:val="0"/>
          <w:szCs w:val="22"/>
          <w:lang w:val="es-ES_tradnl"/>
        </w:rPr>
        <w:br w:type="page"/>
      </w:r>
    </w:p>
    <w:p w14:paraId="6766EB7E" w14:textId="77777777" w:rsidR="001D124A" w:rsidRDefault="001D124A" w:rsidP="001D124A">
      <w:pPr>
        <w:spacing w:before="120"/>
        <w:ind w:left="-425" w:right="-516"/>
        <w:contextualSpacing/>
        <w:jc w:val="center"/>
        <w:rPr>
          <w:b/>
          <w:bCs/>
          <w:noProof/>
          <w:lang w:eastAsia="es-MX"/>
        </w:rPr>
      </w:pPr>
      <w:bookmarkStart w:id="5" w:name="_Hlk155602562"/>
      <w:r w:rsidRPr="008F42F6">
        <w:rPr>
          <w:b/>
          <w:bCs/>
          <w:noProof/>
          <w:lang w:eastAsia="es-MX"/>
        </w:rPr>
        <w:lastRenderedPageBreak/>
        <w:t>NOTA TÉCNICA</w:t>
      </w:r>
    </w:p>
    <w:p w14:paraId="72653C8D" w14:textId="77777777" w:rsidR="001D124A" w:rsidRDefault="001D124A" w:rsidP="001D124A">
      <w:pPr>
        <w:spacing w:before="120"/>
        <w:ind w:left="-425" w:right="-516"/>
        <w:contextualSpacing/>
        <w:jc w:val="center"/>
        <w:rPr>
          <w:b/>
          <w:bCs/>
          <w:noProof/>
          <w:lang w:eastAsia="es-MX"/>
        </w:rPr>
      </w:pPr>
    </w:p>
    <w:p w14:paraId="30D0F020" w14:textId="77777777" w:rsidR="001D124A" w:rsidRPr="00F14BC5" w:rsidRDefault="001D124A" w:rsidP="001D124A">
      <w:pPr>
        <w:pStyle w:val="Ttulo"/>
        <w:rPr>
          <w:rFonts w:cs="Arial"/>
          <w:szCs w:val="28"/>
        </w:rPr>
      </w:pPr>
      <w:r w:rsidRPr="00F14BC5">
        <w:rPr>
          <w:rFonts w:cs="Arial"/>
          <w:szCs w:val="28"/>
        </w:rPr>
        <w:t>INDICADORES DE OCUPACIÓN Y EMPLE</w:t>
      </w:r>
      <w:r>
        <w:rPr>
          <w:rFonts w:cs="Arial"/>
          <w:szCs w:val="28"/>
        </w:rPr>
        <w:t>O</w:t>
      </w:r>
    </w:p>
    <w:p w14:paraId="5A98BBB0" w14:textId="77777777" w:rsidR="001D124A" w:rsidRPr="00F14BC5" w:rsidRDefault="001D124A" w:rsidP="001D124A">
      <w:pPr>
        <w:pStyle w:val="Subttulo"/>
        <w:spacing w:before="60"/>
        <w:rPr>
          <w:b w:val="0"/>
          <w:szCs w:val="28"/>
        </w:rPr>
      </w:pPr>
      <w:r w:rsidRPr="00F14BC5">
        <w:rPr>
          <w:b w:val="0"/>
          <w:szCs w:val="28"/>
        </w:rPr>
        <w:t>Diciembre de 2023</w:t>
      </w:r>
    </w:p>
    <w:bookmarkEnd w:id="5"/>
    <w:p w14:paraId="188F0C43" w14:textId="58E926D1" w:rsidR="00C87A42" w:rsidRPr="009E6D43" w:rsidRDefault="00C87A42" w:rsidP="00CD18FE">
      <w:pPr>
        <w:widowControl w:val="0"/>
        <w:spacing w:before="360"/>
        <w:rPr>
          <w:lang w:val="es-ES"/>
        </w:rPr>
      </w:pPr>
      <w:r w:rsidRPr="009E6D43">
        <w:rPr>
          <w:lang w:val="es-ES"/>
        </w:rPr>
        <w:t>La Encuesta Nacional de Ocupación y Empleo (</w:t>
      </w:r>
      <w:proofErr w:type="spellStart"/>
      <w:r w:rsidR="001617F5" w:rsidRPr="009E6D43">
        <w:rPr>
          <w:smallCaps/>
          <w:lang w:val="es-ES"/>
        </w:rPr>
        <w:t>enoe</w:t>
      </w:r>
      <w:proofErr w:type="spellEnd"/>
      <w:r w:rsidRPr="009E6D43">
        <w:rPr>
          <w:lang w:val="es-ES"/>
        </w:rPr>
        <w:t>)</w:t>
      </w:r>
      <w:r w:rsidR="00D81366">
        <w:rPr>
          <w:lang w:val="es-ES"/>
        </w:rPr>
        <w:t>,</w:t>
      </w:r>
      <w:r w:rsidRPr="009E6D43">
        <w:rPr>
          <w:lang w:val="es-ES"/>
        </w:rPr>
        <w:t xml:space="preserve"> que levanta el Instituto Nacional de Estadística y Geografía (</w:t>
      </w:r>
      <w:proofErr w:type="spellStart"/>
      <w:r w:rsidR="00C85CE4" w:rsidRPr="009E6D43">
        <w:rPr>
          <w:smallCaps/>
          <w:lang w:val="es-ES"/>
        </w:rPr>
        <w:t>inegi</w:t>
      </w:r>
      <w:proofErr w:type="spellEnd"/>
      <w:r w:rsidRPr="009E6D43">
        <w:rPr>
          <w:lang w:val="es-ES"/>
        </w:rPr>
        <w:t xml:space="preserve">) en todo el país, proporciona información mensual sobre el </w:t>
      </w:r>
      <w:r w:rsidR="000F6E31" w:rsidRPr="009E6D43">
        <w:rPr>
          <w:lang w:val="es-ES"/>
        </w:rPr>
        <w:t xml:space="preserve">comportamiento del </w:t>
      </w:r>
      <w:r w:rsidRPr="009E6D43">
        <w:rPr>
          <w:lang w:val="es-ES"/>
        </w:rPr>
        <w:t>mercado laboral mexicano</w:t>
      </w:r>
      <w:r w:rsidR="004E5BC1" w:rsidRPr="009E6D43">
        <w:rPr>
          <w:lang w:val="es-ES"/>
        </w:rPr>
        <w:t xml:space="preserve">. Esta </w:t>
      </w:r>
      <w:r w:rsidRPr="009E6D43">
        <w:rPr>
          <w:lang w:val="es-ES"/>
        </w:rPr>
        <w:t xml:space="preserve">ofrece datos de la </w:t>
      </w:r>
      <w:r w:rsidR="00FB1D4D" w:rsidRPr="009E6D43">
        <w:t>población económicamente activa</w:t>
      </w:r>
      <w:r w:rsidRPr="009E6D43">
        <w:rPr>
          <w:lang w:val="es-ES"/>
        </w:rPr>
        <w:t>, la ocupación, la informalidad laboral, la subocupación y la desocupación.</w:t>
      </w:r>
      <w:r w:rsidRPr="009E6D43">
        <w:rPr>
          <w:rStyle w:val="Refdenotaalpie"/>
          <w:smallCaps/>
          <w:spacing w:val="20"/>
        </w:rPr>
        <w:footnoteReference w:id="2"/>
      </w:r>
    </w:p>
    <w:p w14:paraId="7F1D8DD1" w14:textId="77777777" w:rsidR="007208DD" w:rsidRPr="009E6D43" w:rsidRDefault="007208DD" w:rsidP="007208DD">
      <w:pPr>
        <w:pStyle w:val="Prrafodelista"/>
        <w:keepNext/>
        <w:keepLines/>
        <w:widowControl w:val="0"/>
        <w:numPr>
          <w:ilvl w:val="0"/>
          <w:numId w:val="25"/>
        </w:numPr>
        <w:spacing w:before="360"/>
        <w:ind w:left="357" w:hanging="357"/>
        <w:jc w:val="center"/>
        <w:rPr>
          <w:b/>
          <w:lang w:val="es-ES"/>
        </w:rPr>
      </w:pPr>
      <w:r w:rsidRPr="009E6D43">
        <w:rPr>
          <w:b/>
          <w:iCs/>
          <w:smallCaps/>
          <w:szCs w:val="26"/>
          <w:lang w:val="es-ES"/>
        </w:rPr>
        <w:t>Cifras originales</w:t>
      </w:r>
    </w:p>
    <w:p w14:paraId="217340DC" w14:textId="3C121845" w:rsidR="002D6584" w:rsidRPr="009E6D43" w:rsidRDefault="002D6584" w:rsidP="00CD18FE">
      <w:pPr>
        <w:pStyle w:val="Prrafodelista"/>
        <w:widowControl w:val="0"/>
        <w:spacing w:before="360"/>
        <w:ind w:left="284"/>
        <w:rPr>
          <w:b/>
          <w:iCs/>
          <w:lang w:val="es-ES"/>
        </w:rPr>
      </w:pPr>
      <w:r w:rsidRPr="009E6D43">
        <w:rPr>
          <w:b/>
          <w:iCs/>
          <w:lang w:val="es-ES"/>
        </w:rPr>
        <w:t>Composición de la población de 15 años y más</w:t>
      </w:r>
    </w:p>
    <w:p w14:paraId="3EA6656E" w14:textId="2D7AAAC8" w:rsidR="00071234" w:rsidRPr="009E6D43" w:rsidRDefault="00BE1C82" w:rsidP="00071234">
      <w:pPr>
        <w:widowControl w:val="0"/>
        <w:spacing w:before="200"/>
        <w:rPr>
          <w:strike/>
        </w:rPr>
      </w:pPr>
      <w:r w:rsidRPr="009E6D43">
        <w:t xml:space="preserve">En </w:t>
      </w:r>
      <w:r w:rsidR="000E2871" w:rsidRPr="009E6D43">
        <w:t>dic</w:t>
      </w:r>
      <w:r w:rsidR="00585680" w:rsidRPr="009E6D43">
        <w:t>iembre</w:t>
      </w:r>
      <w:r w:rsidRPr="009E6D43">
        <w:t xml:space="preserve"> de 2023, l</w:t>
      </w:r>
      <w:r w:rsidR="004C3365" w:rsidRPr="009E6D43">
        <w:rPr>
          <w:lang w:val="es-ES"/>
        </w:rPr>
        <w:t xml:space="preserve">a </w:t>
      </w:r>
      <w:r w:rsidR="00E604DF" w:rsidRPr="009E6D43">
        <w:t>población económicamente activa</w:t>
      </w:r>
      <w:r w:rsidR="00E604DF" w:rsidRPr="009E6D43">
        <w:rPr>
          <w:smallCaps/>
          <w:lang w:val="es-ES"/>
        </w:rPr>
        <w:t xml:space="preserve"> (</w:t>
      </w:r>
      <w:r w:rsidR="00C85CE4" w:rsidRPr="009E6D43">
        <w:rPr>
          <w:smallCaps/>
          <w:lang w:val="es-ES"/>
        </w:rPr>
        <w:t>pea</w:t>
      </w:r>
      <w:r w:rsidR="00E604DF" w:rsidRPr="009E6D43">
        <w:rPr>
          <w:smallCaps/>
          <w:lang w:val="es-ES"/>
        </w:rPr>
        <w:t>)</w:t>
      </w:r>
      <w:r w:rsidR="004C3365" w:rsidRPr="009E6D43">
        <w:rPr>
          <w:lang w:val="es-ES"/>
        </w:rPr>
        <w:t xml:space="preserve"> fue de </w:t>
      </w:r>
      <w:r w:rsidR="00EA1313" w:rsidRPr="009E6D43">
        <w:rPr>
          <w:lang w:val="es-ES"/>
        </w:rPr>
        <w:t>60.7</w:t>
      </w:r>
      <w:r w:rsidR="004C3365" w:rsidRPr="009E6D43">
        <w:rPr>
          <w:lang w:val="es-ES"/>
        </w:rPr>
        <w:t xml:space="preserve"> millones de personas de 15 años y más,</w:t>
      </w:r>
      <w:r w:rsidR="00221D11" w:rsidRPr="009E6D43">
        <w:rPr>
          <w:rStyle w:val="Refdenotaalpie"/>
          <w:lang w:val="es-ES"/>
        </w:rPr>
        <w:footnoteReference w:id="3"/>
      </w:r>
      <w:r w:rsidR="004C3365" w:rsidRPr="009E6D43">
        <w:rPr>
          <w:lang w:val="es-ES"/>
        </w:rPr>
        <w:t xml:space="preserve"> lo que representó una </w:t>
      </w:r>
      <w:r w:rsidR="0086261B" w:rsidRPr="009E6D43">
        <w:rPr>
          <w:lang w:val="es-ES"/>
        </w:rPr>
        <w:t xml:space="preserve">tasa </w:t>
      </w:r>
      <w:r w:rsidR="004C3365" w:rsidRPr="009E6D43">
        <w:rPr>
          <w:lang w:val="es-ES"/>
        </w:rPr>
        <w:t xml:space="preserve">de </w:t>
      </w:r>
      <w:r w:rsidR="0086261B" w:rsidRPr="009E6D43">
        <w:rPr>
          <w:lang w:val="es-ES"/>
        </w:rPr>
        <w:t xml:space="preserve">participación </w:t>
      </w:r>
      <w:r w:rsidR="004C3365" w:rsidRPr="009E6D43">
        <w:rPr>
          <w:lang w:val="es-ES"/>
        </w:rPr>
        <w:t xml:space="preserve">de </w:t>
      </w:r>
      <w:r w:rsidR="00EA1313" w:rsidRPr="009E6D43">
        <w:rPr>
          <w:lang w:val="es-ES"/>
        </w:rPr>
        <w:t>59.9</w:t>
      </w:r>
      <w:r w:rsidR="004C3365" w:rsidRPr="009E6D43">
        <w:rPr>
          <w:lang w:val="es-ES"/>
        </w:rPr>
        <w:t xml:space="preserve"> por</w:t>
      </w:r>
      <w:r w:rsidR="009E128E" w:rsidRPr="009E6D43">
        <w:rPr>
          <w:lang w:val="es-ES"/>
        </w:rPr>
        <w:t xml:space="preserve"> </w:t>
      </w:r>
      <w:r w:rsidR="004C3365" w:rsidRPr="009E6D43">
        <w:rPr>
          <w:lang w:val="es-ES"/>
        </w:rPr>
        <w:t>ciento.</w:t>
      </w:r>
      <w:r w:rsidR="00414248" w:rsidRPr="009E6D43">
        <w:rPr>
          <w:bCs/>
          <w:spacing w:val="4"/>
          <w:vertAlign w:val="superscript"/>
        </w:rPr>
        <w:footnoteReference w:id="4"/>
      </w:r>
      <w:r w:rsidR="004C3365" w:rsidRPr="009E6D43">
        <w:rPr>
          <w:lang w:val="es-ES"/>
        </w:rPr>
        <w:t xml:space="preserve"> Dicha cantidad significó un aumento de </w:t>
      </w:r>
      <w:r w:rsidR="00EA1313" w:rsidRPr="009E6D43">
        <w:rPr>
          <w:lang w:val="es-ES"/>
        </w:rPr>
        <w:t>1.</w:t>
      </w:r>
      <w:r w:rsidR="00C93FA4" w:rsidRPr="009E6D43">
        <w:rPr>
          <w:lang w:val="es-ES"/>
        </w:rPr>
        <w:t xml:space="preserve">1 </w:t>
      </w:r>
      <w:r w:rsidR="004C3365" w:rsidRPr="009E6D43">
        <w:rPr>
          <w:lang w:val="es-ES"/>
        </w:rPr>
        <w:t>mi</w:t>
      </w:r>
      <w:r w:rsidR="00EA1313" w:rsidRPr="009E6D43">
        <w:rPr>
          <w:lang w:val="es-ES"/>
        </w:rPr>
        <w:t>l</w:t>
      </w:r>
      <w:r w:rsidR="00C56CF6" w:rsidRPr="009E6D43">
        <w:rPr>
          <w:lang w:val="es-ES"/>
        </w:rPr>
        <w:t>l</w:t>
      </w:r>
      <w:r w:rsidR="00EA1313" w:rsidRPr="009E6D43">
        <w:rPr>
          <w:lang w:val="es-ES"/>
        </w:rPr>
        <w:t>ones de</w:t>
      </w:r>
      <w:r w:rsidR="001C3B7B" w:rsidRPr="009E6D43">
        <w:rPr>
          <w:lang w:val="es-ES"/>
        </w:rPr>
        <w:t xml:space="preserve"> </w:t>
      </w:r>
      <w:r w:rsidR="004C3365" w:rsidRPr="009E6D43">
        <w:rPr>
          <w:lang w:val="es-ES"/>
        </w:rPr>
        <w:t xml:space="preserve">personas </w:t>
      </w:r>
      <w:r w:rsidR="004C3365" w:rsidRPr="009E6D43">
        <w:t>con relación a</w:t>
      </w:r>
      <w:r w:rsidR="00471FC9" w:rsidRPr="009E6D43">
        <w:t xml:space="preserve"> </w:t>
      </w:r>
      <w:r w:rsidR="000E2871" w:rsidRPr="009E6D43">
        <w:t>dic</w:t>
      </w:r>
      <w:r w:rsidR="00A37943" w:rsidRPr="009E6D43">
        <w:t>iembre</w:t>
      </w:r>
      <w:r w:rsidR="00471FC9" w:rsidRPr="009E6D43">
        <w:t xml:space="preserve"> </w:t>
      </w:r>
      <w:r w:rsidR="004C3365" w:rsidRPr="009E6D43">
        <w:t>de 202</w:t>
      </w:r>
      <w:r w:rsidR="00E1751B" w:rsidRPr="009E6D43">
        <w:t>2</w:t>
      </w:r>
      <w:r w:rsidR="009E128E" w:rsidRPr="009E6D43">
        <w:t xml:space="preserve"> </w:t>
      </w:r>
      <w:r w:rsidR="004C3365" w:rsidRPr="009E6D43">
        <w:rPr>
          <w:lang w:val="es-ES"/>
        </w:rPr>
        <w:t>(</w:t>
      </w:r>
      <w:r w:rsidR="007C3745" w:rsidRPr="009E6D43">
        <w:rPr>
          <w:lang w:val="es-ES"/>
        </w:rPr>
        <w:t>59</w:t>
      </w:r>
      <w:r w:rsidR="00EA1313" w:rsidRPr="009E6D43">
        <w:rPr>
          <w:lang w:val="es-ES"/>
        </w:rPr>
        <w:t>.6</w:t>
      </w:r>
      <w:r w:rsidR="00C230A5" w:rsidRPr="009E6D43">
        <w:rPr>
          <w:lang w:val="es-ES"/>
        </w:rPr>
        <w:t> </w:t>
      </w:r>
      <w:r w:rsidR="004C3365" w:rsidRPr="009E6D43">
        <w:rPr>
          <w:lang w:val="es-ES"/>
        </w:rPr>
        <w:t xml:space="preserve">millones). Al distinguir por sexo, la </w:t>
      </w:r>
      <w:r w:rsidR="0086261B" w:rsidRPr="009E6D43">
        <w:rPr>
          <w:lang w:val="es-ES"/>
        </w:rPr>
        <w:t xml:space="preserve">tasa </w:t>
      </w:r>
      <w:r w:rsidR="004C3365" w:rsidRPr="009E6D43">
        <w:rPr>
          <w:lang w:val="es-ES"/>
        </w:rPr>
        <w:t xml:space="preserve">de </w:t>
      </w:r>
      <w:r w:rsidR="0086261B" w:rsidRPr="009E6D43">
        <w:rPr>
          <w:lang w:val="es-ES"/>
        </w:rPr>
        <w:t xml:space="preserve">participación </w:t>
      </w:r>
      <w:r w:rsidR="004C3365" w:rsidRPr="009E6D43">
        <w:rPr>
          <w:lang w:val="es-ES"/>
        </w:rPr>
        <w:t xml:space="preserve">de los hombres fue </w:t>
      </w:r>
      <w:r w:rsidR="00D5216C" w:rsidRPr="009E6D43">
        <w:rPr>
          <w:lang w:val="es-ES"/>
        </w:rPr>
        <w:t xml:space="preserve">de </w:t>
      </w:r>
      <w:r w:rsidR="004C3365" w:rsidRPr="009E6D43">
        <w:rPr>
          <w:lang w:val="es-ES"/>
        </w:rPr>
        <w:t>7</w:t>
      </w:r>
      <w:r w:rsidR="00EA1313" w:rsidRPr="009E6D43">
        <w:rPr>
          <w:lang w:val="es-ES"/>
        </w:rPr>
        <w:t>5.2</w:t>
      </w:r>
      <w:r w:rsidR="00520FC0" w:rsidRPr="009E6D43">
        <w:rPr>
          <w:lang w:val="es-ES"/>
        </w:rPr>
        <w:t> %</w:t>
      </w:r>
      <w:r w:rsidR="004C3365" w:rsidRPr="009E6D43">
        <w:rPr>
          <w:lang w:val="es-ES"/>
        </w:rPr>
        <w:t xml:space="preserve"> y la de mujeres, </w:t>
      </w:r>
      <w:r w:rsidR="00D5216C" w:rsidRPr="009E6D43">
        <w:rPr>
          <w:lang w:val="es-ES"/>
        </w:rPr>
        <w:t xml:space="preserve">de </w:t>
      </w:r>
      <w:r w:rsidR="004C3365" w:rsidRPr="009E6D43">
        <w:rPr>
          <w:lang w:val="es-ES"/>
        </w:rPr>
        <w:t>4</w:t>
      </w:r>
      <w:r w:rsidR="00EA1313" w:rsidRPr="009E6D43">
        <w:rPr>
          <w:lang w:val="es-ES"/>
        </w:rPr>
        <w:t>6</w:t>
      </w:r>
      <w:r w:rsidR="007C3745" w:rsidRPr="009E6D43">
        <w:rPr>
          <w:lang w:val="es-ES"/>
        </w:rPr>
        <w:t>.3</w:t>
      </w:r>
      <w:r w:rsidR="004C3365" w:rsidRPr="009E6D43">
        <w:rPr>
          <w:lang w:val="es-ES"/>
        </w:rPr>
        <w:t xml:space="preserve"> por ciento. Respecto al año anterior, la </w:t>
      </w:r>
      <w:r w:rsidR="00263031" w:rsidRPr="009E6D43">
        <w:rPr>
          <w:lang w:val="es-ES"/>
        </w:rPr>
        <w:t xml:space="preserve">participación </w:t>
      </w:r>
      <w:r w:rsidR="004C3365" w:rsidRPr="009E6D43">
        <w:rPr>
          <w:lang w:val="es-ES"/>
        </w:rPr>
        <w:t xml:space="preserve">de hombres </w:t>
      </w:r>
      <w:r w:rsidR="00A14F18" w:rsidRPr="009E6D43">
        <w:rPr>
          <w:lang w:val="es-ES"/>
        </w:rPr>
        <w:t>c</w:t>
      </w:r>
      <w:r w:rsidR="007C3745" w:rsidRPr="009E6D43">
        <w:rPr>
          <w:lang w:val="es-ES"/>
        </w:rPr>
        <w:t>ay</w:t>
      </w:r>
      <w:r w:rsidR="00A14F18" w:rsidRPr="009E6D43">
        <w:rPr>
          <w:lang w:val="es-ES"/>
        </w:rPr>
        <w:t xml:space="preserve">ó </w:t>
      </w:r>
      <w:r w:rsidR="005C2EDA" w:rsidRPr="009E6D43">
        <w:rPr>
          <w:lang w:val="es-ES"/>
        </w:rPr>
        <w:t>0.</w:t>
      </w:r>
      <w:r w:rsidR="00EA1313" w:rsidRPr="009E6D43">
        <w:rPr>
          <w:lang w:val="es-ES"/>
        </w:rPr>
        <w:t>2</w:t>
      </w:r>
      <w:r w:rsidR="00A14F18" w:rsidRPr="009E6D43">
        <w:rPr>
          <w:lang w:val="es-ES"/>
        </w:rPr>
        <w:t xml:space="preserve"> puntos porcentuales y la de mujeres</w:t>
      </w:r>
      <w:r w:rsidR="00E415A0" w:rsidRPr="009E6D43">
        <w:rPr>
          <w:lang w:val="es-ES"/>
        </w:rPr>
        <w:t xml:space="preserve"> </w:t>
      </w:r>
      <w:r w:rsidR="009A4A49" w:rsidRPr="009E6D43">
        <w:rPr>
          <w:lang w:val="es-ES"/>
        </w:rPr>
        <w:t>creci</w:t>
      </w:r>
      <w:r w:rsidR="00E415A0" w:rsidRPr="009E6D43">
        <w:rPr>
          <w:lang w:val="es-ES"/>
        </w:rPr>
        <w:t>ó</w:t>
      </w:r>
      <w:r w:rsidR="00A14F18" w:rsidRPr="009E6D43">
        <w:rPr>
          <w:lang w:val="es-ES"/>
        </w:rPr>
        <w:t xml:space="preserve"> </w:t>
      </w:r>
      <w:r w:rsidR="00E415A0" w:rsidRPr="009E6D43">
        <w:rPr>
          <w:lang w:val="es-ES"/>
        </w:rPr>
        <w:t>0.</w:t>
      </w:r>
      <w:r w:rsidR="00EA1313" w:rsidRPr="009E6D43">
        <w:rPr>
          <w:lang w:val="es-ES"/>
        </w:rPr>
        <w:t>5</w:t>
      </w:r>
      <w:r w:rsidR="004C3365" w:rsidRPr="009E6D43">
        <w:rPr>
          <w:lang w:val="es-ES"/>
        </w:rPr>
        <w:t>.</w:t>
      </w:r>
      <w:r w:rsidR="004C3365" w:rsidRPr="009E6D43">
        <w:t xml:space="preserve"> </w:t>
      </w:r>
      <w:r w:rsidR="00071234" w:rsidRPr="009E6D43">
        <w:t xml:space="preserve">La </w:t>
      </w:r>
      <w:proofErr w:type="spellStart"/>
      <w:r w:rsidR="00C85CE4" w:rsidRPr="009E6D43">
        <w:rPr>
          <w:smallCaps/>
        </w:rPr>
        <w:t>enoe</w:t>
      </w:r>
      <w:proofErr w:type="spellEnd"/>
      <w:r w:rsidR="00071234" w:rsidRPr="009E6D43">
        <w:t xml:space="preserve"> considera como población en edad de trabajar a </w:t>
      </w:r>
      <w:r w:rsidR="00E77E0A" w:rsidRPr="009E6D43">
        <w:t>aquella</w:t>
      </w:r>
      <w:r w:rsidR="00071234" w:rsidRPr="009E6D43">
        <w:t xml:space="preserve"> de 15 </w:t>
      </w:r>
      <w:r w:rsidR="005077D3" w:rsidRPr="009E6D43">
        <w:t>años</w:t>
      </w:r>
      <w:r w:rsidR="00071234" w:rsidRPr="009E6D43">
        <w:t xml:space="preserve"> en adelante.</w:t>
      </w:r>
    </w:p>
    <w:p w14:paraId="5FC08C76" w14:textId="230357E8" w:rsidR="00FB3945" w:rsidRPr="009E6D43" w:rsidRDefault="00BB691B" w:rsidP="00804DFB">
      <w:pPr>
        <w:pStyle w:val="Ttulo"/>
        <w:widowControl w:val="0"/>
        <w:spacing w:before="240"/>
        <w:jc w:val="both"/>
        <w:rPr>
          <w:rFonts w:cs="Arial"/>
          <w:b w:val="0"/>
          <w:lang w:val="es-MX"/>
        </w:rPr>
      </w:pPr>
      <w:r w:rsidRPr="009E6D43">
        <w:rPr>
          <w:rFonts w:cs="Arial"/>
          <w:b w:val="0"/>
        </w:rPr>
        <w:t>L</w:t>
      </w:r>
      <w:r w:rsidR="00455E98" w:rsidRPr="009E6D43">
        <w:rPr>
          <w:rFonts w:cs="Arial"/>
          <w:b w:val="0"/>
        </w:rPr>
        <w:t xml:space="preserve">a </w:t>
      </w:r>
      <w:r w:rsidR="00AA06D5" w:rsidRPr="009E6D43">
        <w:rPr>
          <w:rFonts w:cs="Arial"/>
          <w:b w:val="0"/>
        </w:rPr>
        <w:t>p</w:t>
      </w:r>
      <w:r w:rsidR="003D79BD" w:rsidRPr="009E6D43">
        <w:rPr>
          <w:rFonts w:cs="Arial"/>
          <w:b w:val="0"/>
        </w:rPr>
        <w:t xml:space="preserve">oblación </w:t>
      </w:r>
      <w:r w:rsidR="00AA06D5" w:rsidRPr="009E6D43">
        <w:rPr>
          <w:rFonts w:cs="Arial"/>
          <w:b w:val="0"/>
        </w:rPr>
        <w:t>n</w:t>
      </w:r>
      <w:r w:rsidR="003D79BD" w:rsidRPr="009E6D43">
        <w:rPr>
          <w:rFonts w:cs="Arial"/>
          <w:b w:val="0"/>
        </w:rPr>
        <w:t xml:space="preserve">o </w:t>
      </w:r>
      <w:r w:rsidR="00AA06D5" w:rsidRPr="009E6D43">
        <w:rPr>
          <w:rFonts w:cs="Arial"/>
          <w:b w:val="0"/>
        </w:rPr>
        <w:t>e</w:t>
      </w:r>
      <w:r w:rsidR="003D79BD" w:rsidRPr="009E6D43">
        <w:rPr>
          <w:rFonts w:cs="Arial"/>
          <w:b w:val="0"/>
        </w:rPr>
        <w:t xml:space="preserve">conómicamente </w:t>
      </w:r>
      <w:r w:rsidR="00AA06D5" w:rsidRPr="009E6D43">
        <w:rPr>
          <w:rFonts w:cs="Arial"/>
          <w:b w:val="0"/>
        </w:rPr>
        <w:t>a</w:t>
      </w:r>
      <w:r w:rsidR="003D79BD" w:rsidRPr="009E6D43">
        <w:rPr>
          <w:rFonts w:cs="Arial"/>
          <w:b w:val="0"/>
        </w:rPr>
        <w:t>ctiva</w:t>
      </w:r>
      <w:r w:rsidR="00966838" w:rsidRPr="009E6D43">
        <w:rPr>
          <w:rFonts w:cs="Arial"/>
          <w:b w:val="0"/>
        </w:rPr>
        <w:t xml:space="preserve"> (</w:t>
      </w:r>
      <w:proofErr w:type="spellStart"/>
      <w:r w:rsidR="00C85CE4" w:rsidRPr="009E6D43">
        <w:rPr>
          <w:rFonts w:cs="Arial"/>
          <w:b w:val="0"/>
          <w:smallCaps/>
        </w:rPr>
        <w:t>pnea</w:t>
      </w:r>
      <w:proofErr w:type="spellEnd"/>
      <w:r w:rsidR="00966838" w:rsidRPr="009E6D43">
        <w:rPr>
          <w:rFonts w:cs="Arial"/>
          <w:b w:val="0"/>
        </w:rPr>
        <w:t>)</w:t>
      </w:r>
      <w:r w:rsidR="00A87B83" w:rsidRPr="009E6D43">
        <w:rPr>
          <w:rFonts w:cs="Arial"/>
          <w:b w:val="0"/>
        </w:rPr>
        <w:t xml:space="preserve"> fue </w:t>
      </w:r>
      <w:r w:rsidR="00F77F8A" w:rsidRPr="009E6D43">
        <w:rPr>
          <w:rFonts w:cs="Arial"/>
          <w:b w:val="0"/>
        </w:rPr>
        <w:t>de</w:t>
      </w:r>
      <w:r w:rsidR="003D79BD" w:rsidRPr="009E6D43">
        <w:rPr>
          <w:rFonts w:cs="Arial"/>
          <w:b w:val="0"/>
        </w:rPr>
        <w:t xml:space="preserve"> </w:t>
      </w:r>
      <w:r w:rsidR="00EA1313" w:rsidRPr="009E6D43">
        <w:rPr>
          <w:rFonts w:cs="Arial"/>
          <w:b w:val="0"/>
        </w:rPr>
        <w:t>40.7</w:t>
      </w:r>
      <w:r w:rsidR="003D79BD" w:rsidRPr="009E6D43">
        <w:rPr>
          <w:rFonts w:cs="Arial"/>
          <w:b w:val="0"/>
        </w:rPr>
        <w:t xml:space="preserve"> millones de personas</w:t>
      </w:r>
      <w:r w:rsidR="00AA103D" w:rsidRPr="009E6D43">
        <w:rPr>
          <w:rFonts w:cs="Arial"/>
          <w:b w:val="0"/>
          <w:spacing w:val="4"/>
          <w:vertAlign w:val="superscript"/>
        </w:rPr>
        <w:footnoteReference w:id="5"/>
      </w:r>
      <w:r w:rsidR="00C472F7" w:rsidRPr="009E6D43">
        <w:rPr>
          <w:rFonts w:cs="Arial"/>
          <w:b w:val="0"/>
        </w:rPr>
        <w:t xml:space="preserve"> (</w:t>
      </w:r>
      <w:r w:rsidR="00EA1313" w:rsidRPr="009E6D43">
        <w:rPr>
          <w:rFonts w:cs="Arial"/>
          <w:b w:val="0"/>
        </w:rPr>
        <w:t>40.1</w:t>
      </w:r>
      <w:r w:rsidR="00520FC0" w:rsidRPr="009E6D43">
        <w:rPr>
          <w:rFonts w:cs="Arial"/>
          <w:b w:val="0"/>
        </w:rPr>
        <w:t> %</w:t>
      </w:r>
      <w:r w:rsidR="00C472F7" w:rsidRPr="009E6D43">
        <w:rPr>
          <w:rFonts w:cs="Arial"/>
          <w:b w:val="0"/>
        </w:rPr>
        <w:t xml:space="preserve"> de la población de 15 años y más)</w:t>
      </w:r>
      <w:r w:rsidR="005D16CB" w:rsidRPr="009E6D43">
        <w:rPr>
          <w:rFonts w:cs="Arial"/>
          <w:b w:val="0"/>
        </w:rPr>
        <w:t xml:space="preserve">, </w:t>
      </w:r>
      <w:r w:rsidR="006D6D58" w:rsidRPr="009E6D43">
        <w:rPr>
          <w:rFonts w:cs="Arial"/>
          <w:b w:val="0"/>
        </w:rPr>
        <w:t>un</w:t>
      </w:r>
      <w:r w:rsidR="00564F5B" w:rsidRPr="009E6D43">
        <w:rPr>
          <w:rFonts w:cs="Arial"/>
          <w:b w:val="0"/>
        </w:rPr>
        <w:t xml:space="preserve"> </w:t>
      </w:r>
      <w:r w:rsidR="00022C19" w:rsidRPr="009E6D43">
        <w:rPr>
          <w:rFonts w:cs="Arial"/>
          <w:b w:val="0"/>
        </w:rPr>
        <w:t>incremento</w:t>
      </w:r>
      <w:r w:rsidR="006D6D58" w:rsidRPr="009E6D43">
        <w:rPr>
          <w:rFonts w:cs="Arial"/>
          <w:b w:val="0"/>
        </w:rPr>
        <w:t xml:space="preserve"> de</w:t>
      </w:r>
      <w:r w:rsidR="00B87E79" w:rsidRPr="009E6D43">
        <w:rPr>
          <w:rFonts w:cs="Arial"/>
          <w:b w:val="0"/>
        </w:rPr>
        <w:t xml:space="preserve"> </w:t>
      </w:r>
      <w:r w:rsidR="00EA1313" w:rsidRPr="009E6D43">
        <w:rPr>
          <w:rFonts w:cs="Arial"/>
          <w:b w:val="0"/>
        </w:rPr>
        <w:t>47</w:t>
      </w:r>
      <w:r w:rsidR="009A4A49" w:rsidRPr="009E6D43">
        <w:rPr>
          <w:rFonts w:cs="Arial"/>
          <w:b w:val="0"/>
        </w:rPr>
        <w:t>2</w:t>
      </w:r>
      <w:r w:rsidR="005C2EDA" w:rsidRPr="009E6D43">
        <w:rPr>
          <w:rFonts w:cs="Arial"/>
          <w:b w:val="0"/>
        </w:rPr>
        <w:t xml:space="preserve"> mil </w:t>
      </w:r>
      <w:r w:rsidR="00B87E79" w:rsidRPr="009E6D43">
        <w:rPr>
          <w:rFonts w:cs="Arial"/>
          <w:b w:val="0"/>
        </w:rPr>
        <w:t>personas respecto a</w:t>
      </w:r>
      <w:r w:rsidR="00B372B2" w:rsidRPr="009E6D43">
        <w:rPr>
          <w:rFonts w:cs="Arial"/>
          <w:b w:val="0"/>
        </w:rPr>
        <w:t xml:space="preserve"> </w:t>
      </w:r>
      <w:r w:rsidR="000E2871" w:rsidRPr="009E6D43">
        <w:rPr>
          <w:rFonts w:cs="Arial"/>
          <w:b w:val="0"/>
        </w:rPr>
        <w:t>dic</w:t>
      </w:r>
      <w:r w:rsidR="00A37943" w:rsidRPr="009E6D43">
        <w:rPr>
          <w:rFonts w:cs="Arial"/>
          <w:b w:val="0"/>
        </w:rPr>
        <w:t>iembre</w:t>
      </w:r>
      <w:r w:rsidR="00C472F7" w:rsidRPr="009E6D43">
        <w:rPr>
          <w:rFonts w:cs="Arial"/>
          <w:b w:val="0"/>
        </w:rPr>
        <w:t xml:space="preserve"> de</w:t>
      </w:r>
      <w:r w:rsidR="0096737F" w:rsidRPr="009E6D43">
        <w:rPr>
          <w:rFonts w:cs="Arial"/>
          <w:b w:val="0"/>
        </w:rPr>
        <w:t xml:space="preserve"> </w:t>
      </w:r>
      <w:r w:rsidR="00C776F4" w:rsidRPr="009E6D43">
        <w:rPr>
          <w:rFonts w:cs="Arial"/>
          <w:b w:val="0"/>
        </w:rPr>
        <w:t>202</w:t>
      </w:r>
      <w:r w:rsidR="00E1751B" w:rsidRPr="009E6D43">
        <w:rPr>
          <w:rFonts w:cs="Arial"/>
          <w:b w:val="0"/>
        </w:rPr>
        <w:t>2</w:t>
      </w:r>
      <w:r w:rsidR="009B42F9" w:rsidRPr="009E6D43">
        <w:rPr>
          <w:rFonts w:cs="Arial"/>
          <w:b w:val="0"/>
        </w:rPr>
        <w:t>.</w:t>
      </w:r>
      <w:r w:rsidR="00710AD1" w:rsidRPr="009E6D43">
        <w:rPr>
          <w:rFonts w:cs="Arial"/>
          <w:b w:val="0"/>
        </w:rPr>
        <w:t xml:space="preserve"> </w:t>
      </w:r>
      <w:r w:rsidR="009B42F9" w:rsidRPr="009E6D43">
        <w:rPr>
          <w:rFonts w:cs="Arial"/>
          <w:b w:val="0"/>
        </w:rPr>
        <w:t>D</w:t>
      </w:r>
      <w:r w:rsidR="003D79BD" w:rsidRPr="009E6D43">
        <w:rPr>
          <w:rFonts w:cs="Arial"/>
          <w:b w:val="0"/>
        </w:rPr>
        <w:t>e</w:t>
      </w:r>
      <w:r w:rsidR="00634752" w:rsidRPr="009E6D43">
        <w:rPr>
          <w:rFonts w:cs="Arial"/>
          <w:b w:val="0"/>
        </w:rPr>
        <w:t xml:space="preserve"> </w:t>
      </w:r>
      <w:r w:rsidR="00C472F7" w:rsidRPr="009E6D43">
        <w:rPr>
          <w:rFonts w:cs="Arial"/>
          <w:b w:val="0"/>
        </w:rPr>
        <w:t>e</w:t>
      </w:r>
      <w:r w:rsidR="00634752" w:rsidRPr="009E6D43">
        <w:rPr>
          <w:rFonts w:cs="Arial"/>
          <w:b w:val="0"/>
        </w:rPr>
        <w:t>st</w:t>
      </w:r>
      <w:r w:rsidR="008B7BFB" w:rsidRPr="009E6D43">
        <w:rPr>
          <w:rFonts w:cs="Arial"/>
          <w:b w:val="0"/>
        </w:rPr>
        <w:t>a</w:t>
      </w:r>
      <w:r w:rsidR="00C472F7" w:rsidRPr="009E6D43">
        <w:rPr>
          <w:rFonts w:cs="Arial"/>
          <w:b w:val="0"/>
        </w:rPr>
        <w:t xml:space="preserve"> categoría</w:t>
      </w:r>
      <w:r w:rsidR="00634752" w:rsidRPr="009E6D43">
        <w:rPr>
          <w:rFonts w:cs="Arial"/>
          <w:b w:val="0"/>
        </w:rPr>
        <w:t xml:space="preserve">, </w:t>
      </w:r>
      <w:r w:rsidR="00EA1313" w:rsidRPr="009E6D43">
        <w:rPr>
          <w:rFonts w:cs="Arial"/>
          <w:b w:val="0"/>
        </w:rPr>
        <w:t>4.9</w:t>
      </w:r>
      <w:r w:rsidR="003D79BD" w:rsidRPr="009E6D43">
        <w:rPr>
          <w:rFonts w:cs="Arial"/>
          <w:b w:val="0"/>
        </w:rPr>
        <w:t xml:space="preserve"> millones </w:t>
      </w:r>
      <w:r w:rsidR="003D79BD" w:rsidRPr="009E6D43">
        <w:rPr>
          <w:rFonts w:cs="Arial"/>
          <w:b w:val="0"/>
          <w:lang w:val="es-MX"/>
        </w:rPr>
        <w:t>se declararon disponibles para trabajar, pero no</w:t>
      </w:r>
      <w:r w:rsidR="001A379E" w:rsidRPr="009E6D43">
        <w:rPr>
          <w:rFonts w:cs="Arial"/>
          <w:b w:val="0"/>
          <w:lang w:val="es-MX"/>
        </w:rPr>
        <w:t xml:space="preserve"> </w:t>
      </w:r>
      <w:r w:rsidR="003D79BD" w:rsidRPr="009E6D43">
        <w:rPr>
          <w:rFonts w:cs="Arial"/>
          <w:b w:val="0"/>
          <w:lang w:val="es-MX"/>
        </w:rPr>
        <w:t xml:space="preserve">llevaron a cabo acciones </w:t>
      </w:r>
      <w:r w:rsidR="00985EF3" w:rsidRPr="009E6D43">
        <w:rPr>
          <w:rFonts w:cs="Arial"/>
          <w:b w:val="0"/>
          <w:lang w:val="es-MX"/>
        </w:rPr>
        <w:t>para hacerlo</w:t>
      </w:r>
      <w:r w:rsidR="003D79BD" w:rsidRPr="009E6D43">
        <w:rPr>
          <w:rFonts w:cs="Arial"/>
          <w:b w:val="0"/>
          <w:lang w:val="es-MX"/>
        </w:rPr>
        <w:t xml:space="preserve">, por lo que constituyen el sector que eventualmente </w:t>
      </w:r>
      <w:r w:rsidR="00985EF3" w:rsidRPr="009E6D43">
        <w:rPr>
          <w:rFonts w:cs="Arial"/>
          <w:b w:val="0"/>
          <w:lang w:val="es-MX"/>
        </w:rPr>
        <w:t xml:space="preserve">podría participar </w:t>
      </w:r>
      <w:r w:rsidR="003D79BD" w:rsidRPr="009E6D43">
        <w:rPr>
          <w:rFonts w:cs="Arial"/>
          <w:b w:val="0"/>
          <w:lang w:val="es-MX"/>
        </w:rPr>
        <w:t>en el mercado</w:t>
      </w:r>
      <w:r w:rsidR="00985EF3" w:rsidRPr="009E6D43">
        <w:rPr>
          <w:rFonts w:cs="Arial"/>
          <w:b w:val="0"/>
          <w:lang w:val="es-MX"/>
        </w:rPr>
        <w:t>.</w:t>
      </w:r>
      <w:r w:rsidR="00804DFB" w:rsidRPr="009E6D43">
        <w:rPr>
          <w:rFonts w:cs="Arial"/>
          <w:b w:val="0"/>
          <w:lang w:val="es-MX"/>
        </w:rPr>
        <w:t xml:space="preserve"> En términos relativos, </w:t>
      </w:r>
      <w:r w:rsidR="00966838" w:rsidRPr="009E6D43">
        <w:rPr>
          <w:rFonts w:cs="Arial"/>
          <w:b w:val="0"/>
          <w:lang w:val="es-MX"/>
        </w:rPr>
        <w:t xml:space="preserve">la </w:t>
      </w:r>
      <w:proofErr w:type="spellStart"/>
      <w:r w:rsidR="00C85CE4" w:rsidRPr="009E6D43">
        <w:rPr>
          <w:rFonts w:cs="Arial"/>
          <w:b w:val="0"/>
          <w:smallCaps/>
          <w:lang w:val="es-MX"/>
        </w:rPr>
        <w:t>pnea</w:t>
      </w:r>
      <w:proofErr w:type="spellEnd"/>
      <w:r w:rsidR="00966838" w:rsidRPr="009E6D43">
        <w:rPr>
          <w:rFonts w:cs="Arial"/>
          <w:b w:val="0"/>
          <w:lang w:val="es-MX"/>
        </w:rPr>
        <w:t xml:space="preserve"> disponible </w:t>
      </w:r>
      <w:r w:rsidR="00804DFB" w:rsidRPr="009E6D43">
        <w:rPr>
          <w:rFonts w:cs="Arial"/>
          <w:b w:val="0"/>
          <w:lang w:val="es-MX"/>
        </w:rPr>
        <w:t>represent</w:t>
      </w:r>
      <w:r w:rsidR="00966838" w:rsidRPr="009E6D43">
        <w:rPr>
          <w:rFonts w:cs="Arial"/>
          <w:b w:val="0"/>
          <w:lang w:val="es-MX"/>
        </w:rPr>
        <w:t>ó</w:t>
      </w:r>
      <w:r w:rsidR="00DB2450" w:rsidRPr="009E6D43">
        <w:rPr>
          <w:rFonts w:cs="Arial"/>
          <w:b w:val="0"/>
          <w:lang w:val="es-MX"/>
        </w:rPr>
        <w:t xml:space="preserve"> </w:t>
      </w:r>
      <w:r w:rsidR="00950C02" w:rsidRPr="009E6D43">
        <w:rPr>
          <w:rFonts w:cs="Arial"/>
          <w:b w:val="0"/>
          <w:lang w:val="es-MX"/>
        </w:rPr>
        <w:t>1</w:t>
      </w:r>
      <w:r w:rsidR="00312D0F" w:rsidRPr="009E6D43">
        <w:rPr>
          <w:rFonts w:cs="Arial"/>
          <w:b w:val="0"/>
          <w:lang w:val="es-MX"/>
        </w:rPr>
        <w:t>2</w:t>
      </w:r>
      <w:r w:rsidR="00520FC0" w:rsidRPr="009E6D43">
        <w:rPr>
          <w:rFonts w:cs="Arial"/>
          <w:b w:val="0"/>
        </w:rPr>
        <w:t> %</w:t>
      </w:r>
      <w:r w:rsidR="00804DFB" w:rsidRPr="009E6D43">
        <w:rPr>
          <w:rFonts w:cs="Arial"/>
          <w:b w:val="0"/>
          <w:lang w:val="es-MX"/>
        </w:rPr>
        <w:t xml:space="preserve"> de la </w:t>
      </w:r>
      <w:proofErr w:type="spellStart"/>
      <w:r w:rsidR="00C85CE4" w:rsidRPr="009E6D43">
        <w:rPr>
          <w:rFonts w:cs="Arial"/>
          <w:b w:val="0"/>
          <w:smallCaps/>
          <w:lang w:val="es-MX"/>
        </w:rPr>
        <w:t>pnea</w:t>
      </w:r>
      <w:bookmarkStart w:id="6" w:name="_Hlk49818448"/>
      <w:proofErr w:type="spellEnd"/>
      <w:r w:rsidR="001A379E" w:rsidRPr="009E6D43">
        <w:rPr>
          <w:rFonts w:cs="Arial"/>
          <w:b w:val="0"/>
          <w:lang w:val="es-MX"/>
        </w:rPr>
        <w:t xml:space="preserve">. En </w:t>
      </w:r>
      <w:r w:rsidR="000E2871" w:rsidRPr="009E6D43">
        <w:rPr>
          <w:rFonts w:cs="Arial"/>
          <w:b w:val="0"/>
          <w:lang w:val="es-MX"/>
        </w:rPr>
        <w:t>dic</w:t>
      </w:r>
      <w:r w:rsidR="00A37943" w:rsidRPr="009E6D43">
        <w:rPr>
          <w:rFonts w:cs="Arial"/>
          <w:b w:val="0"/>
          <w:lang w:val="es-MX"/>
        </w:rPr>
        <w:t>iembre</w:t>
      </w:r>
      <w:r w:rsidR="001A379E" w:rsidRPr="009E6D43">
        <w:rPr>
          <w:rFonts w:cs="Arial"/>
          <w:b w:val="0"/>
          <w:lang w:val="es-MX"/>
        </w:rPr>
        <w:t xml:space="preserve"> de </w:t>
      </w:r>
      <w:r w:rsidR="00966838" w:rsidRPr="009E6D43">
        <w:rPr>
          <w:rFonts w:cs="Arial"/>
          <w:b w:val="0"/>
          <w:lang w:val="es-MX"/>
        </w:rPr>
        <w:t>202</w:t>
      </w:r>
      <w:r w:rsidR="00E1751B" w:rsidRPr="009E6D43">
        <w:rPr>
          <w:rFonts w:cs="Arial"/>
          <w:b w:val="0"/>
          <w:lang w:val="es-MX"/>
        </w:rPr>
        <w:t>2</w:t>
      </w:r>
      <w:r w:rsidR="00827B27" w:rsidRPr="009E6D43">
        <w:rPr>
          <w:rFonts w:cs="Arial"/>
          <w:b w:val="0"/>
          <w:lang w:val="es-MX"/>
        </w:rPr>
        <w:t xml:space="preserve"> </w:t>
      </w:r>
      <w:r w:rsidR="00F67B78" w:rsidRPr="009E6D43">
        <w:rPr>
          <w:rFonts w:cs="Arial"/>
          <w:b w:val="0"/>
          <w:lang w:val="es-MX"/>
        </w:rPr>
        <w:t xml:space="preserve">fue </w:t>
      </w:r>
      <w:r w:rsidR="0026760D" w:rsidRPr="009E6D43">
        <w:rPr>
          <w:rFonts w:cs="Arial"/>
          <w:b w:val="0"/>
          <w:lang w:val="es-MX"/>
        </w:rPr>
        <w:t xml:space="preserve">de </w:t>
      </w:r>
      <w:r w:rsidR="00263031" w:rsidRPr="009E6D43">
        <w:rPr>
          <w:rFonts w:cs="Arial"/>
          <w:b w:val="0"/>
          <w:lang w:val="es-MX"/>
        </w:rPr>
        <w:t>1</w:t>
      </w:r>
      <w:r w:rsidR="00312D0F" w:rsidRPr="009E6D43">
        <w:rPr>
          <w:rFonts w:cs="Arial"/>
          <w:b w:val="0"/>
          <w:lang w:val="es-MX"/>
        </w:rPr>
        <w:t>3.7</w:t>
      </w:r>
      <w:r w:rsidR="00263031" w:rsidRPr="009E6D43">
        <w:rPr>
          <w:rFonts w:cs="Arial"/>
          <w:b w:val="0"/>
          <w:lang w:val="es-MX"/>
        </w:rPr>
        <w:t xml:space="preserve"> </w:t>
      </w:r>
      <w:r w:rsidR="00F60845" w:rsidRPr="009E6D43">
        <w:rPr>
          <w:rFonts w:cs="Arial"/>
          <w:b w:val="0"/>
          <w:lang w:val="es-MX"/>
        </w:rPr>
        <w:t>por ciento</w:t>
      </w:r>
      <w:r w:rsidR="00804DFB" w:rsidRPr="009E6D43">
        <w:rPr>
          <w:rFonts w:cs="Arial"/>
          <w:b w:val="0"/>
          <w:lang w:val="es-MX"/>
        </w:rPr>
        <w:t>.</w:t>
      </w:r>
    </w:p>
    <w:p w14:paraId="78D973B0" w14:textId="77777777" w:rsidR="00003693" w:rsidRPr="009E6D43" w:rsidRDefault="00003693" w:rsidP="00804DFB">
      <w:pPr>
        <w:pStyle w:val="Ttulo"/>
        <w:widowControl w:val="0"/>
        <w:spacing w:before="240"/>
        <w:jc w:val="both"/>
        <w:rPr>
          <w:rFonts w:cs="Arial"/>
          <w:sz w:val="20"/>
          <w:szCs w:val="22"/>
        </w:rPr>
      </w:pPr>
      <w:r w:rsidRPr="009E6D43">
        <w:rPr>
          <w:rFonts w:cs="Arial"/>
          <w:b w:val="0"/>
          <w:sz w:val="20"/>
          <w:szCs w:val="22"/>
        </w:rPr>
        <w:br w:type="page"/>
      </w:r>
    </w:p>
    <w:p w14:paraId="49382B8F" w14:textId="77777777" w:rsidR="008D5C8D" w:rsidRPr="009E6D43" w:rsidRDefault="00926B61" w:rsidP="00926B61">
      <w:pPr>
        <w:pStyle w:val="Ttulo"/>
        <w:keepNext/>
        <w:keepLines/>
        <w:widowControl w:val="0"/>
        <w:spacing w:before="240"/>
        <w:rPr>
          <w:rFonts w:cs="Arial"/>
          <w:b w:val="0"/>
          <w:sz w:val="20"/>
          <w:szCs w:val="22"/>
        </w:rPr>
      </w:pPr>
      <w:r w:rsidRPr="009E6D43">
        <w:rPr>
          <w:rFonts w:cs="Arial"/>
          <w:b w:val="0"/>
          <w:sz w:val="20"/>
          <w:szCs w:val="22"/>
        </w:rPr>
        <w:lastRenderedPageBreak/>
        <w:t>Cuadro 1</w:t>
      </w:r>
    </w:p>
    <w:p w14:paraId="0AEBFA46" w14:textId="7872879B" w:rsidR="003D79BD" w:rsidRPr="009E6D43" w:rsidRDefault="00926B61" w:rsidP="00CD18FE">
      <w:pPr>
        <w:pStyle w:val="Ttulo"/>
        <w:rPr>
          <w:rFonts w:cs="Arial"/>
        </w:rPr>
      </w:pPr>
      <w:r w:rsidRPr="009E6D43">
        <w:rPr>
          <w:rFonts w:cs="Arial"/>
          <w:smallCaps/>
          <w:sz w:val="22"/>
          <w:szCs w:val="22"/>
        </w:rPr>
        <w:t xml:space="preserve">Población de 15 </w:t>
      </w:r>
      <w:r w:rsidR="00172132" w:rsidRPr="009E6D43">
        <w:rPr>
          <w:rFonts w:cs="Arial"/>
          <w:smallCaps/>
          <w:sz w:val="22"/>
          <w:szCs w:val="22"/>
        </w:rPr>
        <w:t xml:space="preserve">años </w:t>
      </w:r>
      <w:r w:rsidRPr="009E6D43">
        <w:rPr>
          <w:rFonts w:cs="Arial"/>
          <w:smallCaps/>
          <w:sz w:val="22"/>
          <w:szCs w:val="22"/>
        </w:rPr>
        <w:t>y más</w:t>
      </w:r>
      <w:r w:rsidR="00295FC2" w:rsidRPr="009E6D43">
        <w:rPr>
          <w:rFonts w:cs="Arial"/>
          <w:smallCaps/>
          <w:sz w:val="22"/>
          <w:szCs w:val="22"/>
        </w:rPr>
        <w:t>,</w:t>
      </w:r>
      <w:r w:rsidRPr="009E6D43">
        <w:rPr>
          <w:rFonts w:cs="Arial"/>
          <w:smallCaps/>
          <w:sz w:val="22"/>
          <w:szCs w:val="22"/>
        </w:rPr>
        <w:t xml:space="preserve"> </w:t>
      </w:r>
      <w:r w:rsidR="00C95B4F" w:rsidRPr="009E6D43">
        <w:rPr>
          <w:rFonts w:cs="Arial"/>
          <w:smallCaps/>
          <w:sz w:val="22"/>
          <w:szCs w:val="22"/>
        </w:rPr>
        <w:t>según</w:t>
      </w:r>
      <w:r w:rsidRPr="009E6D43">
        <w:rPr>
          <w:rFonts w:cs="Arial"/>
          <w:smallCaps/>
          <w:sz w:val="22"/>
          <w:szCs w:val="22"/>
        </w:rPr>
        <w:t xml:space="preserve"> condición de actividad económica, </w:t>
      </w:r>
      <w:r w:rsidR="00FB293A" w:rsidRPr="009E6D43">
        <w:rPr>
          <w:rFonts w:cs="Arial"/>
          <w:smallCaps/>
          <w:sz w:val="22"/>
          <w:szCs w:val="22"/>
        </w:rPr>
        <w:br/>
      </w:r>
      <w:r w:rsidRPr="009E6D43">
        <w:rPr>
          <w:rFonts w:cs="Arial"/>
          <w:smallCaps/>
          <w:sz w:val="22"/>
          <w:szCs w:val="22"/>
        </w:rPr>
        <w:t>ocupación</w:t>
      </w:r>
      <w:r w:rsidR="0027623E" w:rsidRPr="009E6D43">
        <w:rPr>
          <w:rFonts w:cs="Arial"/>
          <w:smallCaps/>
          <w:sz w:val="22"/>
          <w:szCs w:val="22"/>
        </w:rPr>
        <w:t>,</w:t>
      </w:r>
      <w:r w:rsidRPr="009E6D43">
        <w:rPr>
          <w:rFonts w:cs="Arial"/>
          <w:smallCaps/>
          <w:sz w:val="22"/>
          <w:szCs w:val="22"/>
        </w:rPr>
        <w:t xml:space="preserve"> disponibilidad para trabajar</w:t>
      </w:r>
      <w:r w:rsidR="00B6363E" w:rsidRPr="009E6D43">
        <w:rPr>
          <w:rFonts w:cs="Arial"/>
          <w:smallCaps/>
          <w:sz w:val="22"/>
          <w:szCs w:val="22"/>
        </w:rPr>
        <w:t xml:space="preserve"> y</w:t>
      </w:r>
      <w:bookmarkEnd w:id="6"/>
      <w:r w:rsidRPr="009E6D43">
        <w:rPr>
          <w:rFonts w:cs="Arial"/>
          <w:smallCaps/>
          <w:sz w:val="22"/>
          <w:szCs w:val="22"/>
        </w:rPr>
        <w:t xml:space="preserve"> sexo</w:t>
      </w:r>
      <w:r w:rsidRPr="009E6D43">
        <w:rPr>
          <w:rFonts w:cs="Arial"/>
        </w:rPr>
        <w:t xml:space="preserve"> </w:t>
      </w:r>
    </w:p>
    <w:p w14:paraId="5D7CB77A" w14:textId="74B7F7A4" w:rsidR="003671CE" w:rsidRPr="009E6D43" w:rsidRDefault="000E2871" w:rsidP="00CD18FE">
      <w:pPr>
        <w:pStyle w:val="Ttulo"/>
        <w:rPr>
          <w:rFonts w:cs="Arial"/>
          <w:b w:val="0"/>
          <w:sz w:val="20"/>
          <w:lang w:val="es-MX"/>
        </w:rPr>
      </w:pPr>
      <w:r w:rsidRPr="009E6D43">
        <w:rPr>
          <w:rFonts w:cs="Arial"/>
          <w:b w:val="0"/>
          <w:sz w:val="20"/>
        </w:rPr>
        <w:t>dic</w:t>
      </w:r>
      <w:r w:rsidR="00E24F6A" w:rsidRPr="009E6D43">
        <w:rPr>
          <w:rFonts w:cs="Arial"/>
          <w:b w:val="0"/>
          <w:sz w:val="20"/>
        </w:rPr>
        <w:t>iembre</w:t>
      </w:r>
      <w:r w:rsidR="003671CE" w:rsidRPr="009E6D43">
        <w:rPr>
          <w:rFonts w:cs="Arial"/>
          <w:b w:val="0"/>
          <w:sz w:val="20"/>
        </w:rPr>
        <w:t xml:space="preserve"> de 2022 y 2023</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C3555C" w:rsidRPr="009E6D43" w14:paraId="4865DA21" w14:textId="77777777" w:rsidTr="00CC3EA6">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9ED036F" w14:textId="37683053" w:rsidR="00C3555C" w:rsidRPr="009E6D43" w:rsidRDefault="008438D0" w:rsidP="00CD18FE">
            <w:pPr>
              <w:jc w:val="left"/>
              <w:rPr>
                <w:b/>
                <w:bCs/>
                <w:color w:val="000000"/>
                <w:sz w:val="16"/>
                <w:szCs w:val="16"/>
                <w:lang w:val="es-MX" w:eastAsia="es-MX"/>
              </w:rPr>
            </w:pPr>
            <w:bookmarkStart w:id="7" w:name="OLE_LINK3"/>
            <w:r w:rsidRPr="009E6D43">
              <w:rPr>
                <w:b/>
                <w:bCs/>
                <w:color w:val="000000"/>
                <w:sz w:val="16"/>
                <w:szCs w:val="16"/>
                <w:lang w:val="es-MX" w:eastAsia="es-MX"/>
              </w:rPr>
              <w:t>C</w:t>
            </w:r>
            <w:r w:rsidR="00C3555C" w:rsidRPr="009E6D43">
              <w:rPr>
                <w:b/>
                <w:bCs/>
                <w:color w:val="000000"/>
                <w:sz w:val="16"/>
                <w:szCs w:val="16"/>
                <w:lang w:val="es-MX" w:eastAsia="es-MX"/>
              </w:rPr>
              <w:t>ondición de actividad económica, ocupación</w:t>
            </w:r>
            <w:r w:rsidR="00C95B4F" w:rsidRPr="009E6D43">
              <w:rPr>
                <w:b/>
                <w:bCs/>
                <w:color w:val="000000"/>
                <w:sz w:val="16"/>
                <w:szCs w:val="16"/>
                <w:lang w:val="es-MX" w:eastAsia="es-MX"/>
              </w:rPr>
              <w:t xml:space="preserve">, </w:t>
            </w:r>
            <w:r w:rsidR="00C3555C" w:rsidRPr="009E6D43">
              <w:rPr>
                <w:b/>
                <w:bCs/>
                <w:color w:val="000000"/>
                <w:sz w:val="16"/>
                <w:szCs w:val="16"/>
                <w:lang w:val="es-MX" w:eastAsia="es-MX"/>
              </w:rPr>
              <w:t>disponibilidad para trabajar</w:t>
            </w:r>
            <w:r w:rsidR="00B6363E" w:rsidRPr="009E6D43">
              <w:rPr>
                <w:b/>
                <w:bCs/>
                <w:color w:val="000000"/>
                <w:sz w:val="16"/>
                <w:szCs w:val="16"/>
                <w:lang w:val="es-MX" w:eastAsia="es-MX"/>
              </w:rPr>
              <w:t xml:space="preserve"> y</w:t>
            </w:r>
            <w:r w:rsidR="00C3555C" w:rsidRPr="009E6D43">
              <w:rPr>
                <w:b/>
                <w:bCs/>
                <w:color w:val="000000"/>
                <w:sz w:val="16"/>
                <w:szCs w:val="16"/>
                <w:lang w:val="es-MX" w:eastAsia="es-MX"/>
              </w:rPr>
              <w:t xml:space="preserve">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4A96F0C" w14:textId="0C415BAB" w:rsidR="00C3555C" w:rsidRPr="009E6D43" w:rsidRDefault="000E2871" w:rsidP="00CD18FE">
            <w:pPr>
              <w:jc w:val="center"/>
              <w:rPr>
                <w:b/>
                <w:bCs/>
                <w:sz w:val="16"/>
                <w:szCs w:val="16"/>
                <w:lang w:val="es-MX" w:eastAsia="es-MX"/>
              </w:rPr>
            </w:pPr>
            <w:r w:rsidRPr="009E6D43">
              <w:rPr>
                <w:b/>
                <w:bCs/>
                <w:sz w:val="16"/>
                <w:szCs w:val="16"/>
                <w:lang w:val="es-MX" w:eastAsia="es-MX"/>
              </w:rPr>
              <w:t>Dic</w:t>
            </w:r>
            <w:r w:rsidR="00E24F6A" w:rsidRPr="009E6D43">
              <w:rPr>
                <w:b/>
                <w:bCs/>
                <w:sz w:val="16"/>
                <w:szCs w:val="16"/>
                <w:lang w:val="es-MX" w:eastAsia="es-MX"/>
              </w:rPr>
              <w:t>iembre</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3160243" w14:textId="6A0359BD" w:rsidR="00C3555C" w:rsidRPr="009E6D43" w:rsidRDefault="00C3555C" w:rsidP="00CD18FE">
            <w:pPr>
              <w:jc w:val="center"/>
              <w:rPr>
                <w:b/>
                <w:bCs/>
                <w:sz w:val="16"/>
                <w:szCs w:val="16"/>
                <w:lang w:val="es-MX" w:eastAsia="es-MX"/>
              </w:rPr>
            </w:pPr>
            <w:r w:rsidRPr="009E6D43">
              <w:rPr>
                <w:b/>
                <w:bCs/>
                <w:sz w:val="16"/>
                <w:szCs w:val="16"/>
                <w:lang w:val="es-MX" w:eastAsia="es-MX"/>
              </w:rPr>
              <w:t>Diferencia 202</w:t>
            </w:r>
            <w:r w:rsidR="00C67203" w:rsidRPr="009E6D43">
              <w:rPr>
                <w:b/>
                <w:bCs/>
                <w:sz w:val="16"/>
                <w:szCs w:val="16"/>
                <w:lang w:val="es-MX" w:eastAsia="es-MX"/>
              </w:rPr>
              <w:t>3</w:t>
            </w:r>
            <w:r w:rsidRPr="009E6D43">
              <w:rPr>
                <w:b/>
                <w:bCs/>
                <w:sz w:val="16"/>
                <w:szCs w:val="16"/>
                <w:lang w:val="es-MX" w:eastAsia="es-MX"/>
              </w:rPr>
              <w:t>-202</w:t>
            </w:r>
            <w:r w:rsidR="00C67203" w:rsidRPr="009E6D43">
              <w:rPr>
                <w:b/>
                <w:bCs/>
                <w:sz w:val="16"/>
                <w:szCs w:val="16"/>
                <w:lang w:val="es-MX" w:eastAsia="es-MX"/>
              </w:rPr>
              <w:t>2</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E61BB8D" w14:textId="151CE093" w:rsidR="00C3555C" w:rsidRPr="009E6D43" w:rsidRDefault="000E2871" w:rsidP="00D7086C">
            <w:pPr>
              <w:ind w:left="284" w:hanging="284"/>
              <w:jc w:val="center"/>
              <w:rPr>
                <w:b/>
                <w:bCs/>
                <w:sz w:val="16"/>
                <w:szCs w:val="16"/>
                <w:lang w:val="es-MX" w:eastAsia="es-MX"/>
              </w:rPr>
            </w:pPr>
            <w:r w:rsidRPr="009E6D43">
              <w:rPr>
                <w:b/>
                <w:bCs/>
                <w:sz w:val="16"/>
                <w:szCs w:val="16"/>
                <w:lang w:val="es-MX" w:eastAsia="es-MX"/>
              </w:rPr>
              <w:t>Dic</w:t>
            </w:r>
            <w:r w:rsidR="00E24F6A" w:rsidRPr="009E6D43">
              <w:rPr>
                <w:b/>
                <w:bCs/>
                <w:sz w:val="16"/>
                <w:szCs w:val="16"/>
                <w:lang w:val="es-MX" w:eastAsia="es-MX"/>
              </w:rPr>
              <w:t>iembre</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64E9AF" w14:textId="35A621F1" w:rsidR="00C3555C" w:rsidRPr="009E6D43" w:rsidRDefault="00C3555C" w:rsidP="00CD18FE">
            <w:pPr>
              <w:jc w:val="center"/>
              <w:rPr>
                <w:b/>
                <w:bCs/>
                <w:color w:val="000000"/>
                <w:sz w:val="16"/>
                <w:szCs w:val="16"/>
                <w:lang w:val="es-MX" w:eastAsia="es-MX"/>
              </w:rPr>
            </w:pPr>
            <w:r w:rsidRPr="009E6D43">
              <w:rPr>
                <w:b/>
                <w:bCs/>
                <w:color w:val="000000"/>
                <w:sz w:val="16"/>
                <w:szCs w:val="16"/>
                <w:lang w:val="es-MX" w:eastAsia="es-MX"/>
              </w:rPr>
              <w:t>Diferencia 202</w:t>
            </w:r>
            <w:r w:rsidR="00C67203" w:rsidRPr="009E6D43">
              <w:rPr>
                <w:b/>
                <w:bCs/>
                <w:color w:val="000000"/>
                <w:sz w:val="16"/>
                <w:szCs w:val="16"/>
                <w:lang w:val="es-MX" w:eastAsia="es-MX"/>
              </w:rPr>
              <w:t>3</w:t>
            </w:r>
            <w:r w:rsidRPr="009E6D43">
              <w:rPr>
                <w:b/>
                <w:bCs/>
                <w:color w:val="000000"/>
                <w:sz w:val="16"/>
                <w:szCs w:val="16"/>
                <w:lang w:val="es-MX" w:eastAsia="es-MX"/>
              </w:rPr>
              <w:t>-202</w:t>
            </w:r>
            <w:r w:rsidR="00C67203" w:rsidRPr="009E6D43">
              <w:rPr>
                <w:b/>
                <w:bCs/>
                <w:color w:val="000000"/>
                <w:sz w:val="16"/>
                <w:szCs w:val="16"/>
                <w:lang w:val="es-MX" w:eastAsia="es-MX"/>
              </w:rPr>
              <w:t>2</w:t>
            </w:r>
          </w:p>
        </w:tc>
      </w:tr>
      <w:tr w:rsidR="00E1751B" w:rsidRPr="009E6D43" w14:paraId="14C8AC77" w14:textId="77777777" w:rsidTr="00C545B6">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066E11FD" w14:textId="77777777" w:rsidR="00E1751B" w:rsidRPr="009E6D43" w:rsidRDefault="00E1751B" w:rsidP="00E1751B">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B4BCE6" w14:textId="0C8CC68C" w:rsidR="00E1751B" w:rsidRPr="009E6D43" w:rsidRDefault="00E1751B" w:rsidP="00206DF8">
            <w:pPr>
              <w:jc w:val="center"/>
              <w:rPr>
                <w:b/>
                <w:bCs/>
                <w:sz w:val="16"/>
                <w:szCs w:val="16"/>
                <w:lang w:val="es-MX" w:eastAsia="es-MX"/>
              </w:rPr>
            </w:pPr>
            <w:r w:rsidRPr="009E6D43">
              <w:rPr>
                <w:b/>
                <w:bCs/>
                <w:sz w:val="16"/>
                <w:szCs w:val="16"/>
                <w:lang w:val="es-MX" w:eastAsia="es-MX"/>
              </w:rPr>
              <w:t>2022</w:t>
            </w:r>
            <w:r w:rsidR="00206DF8" w:rsidRPr="009E6D43">
              <w:rPr>
                <w:b/>
                <w:bCs/>
                <w:sz w:val="16"/>
                <w:szCs w:val="16"/>
                <w:lang w:val="es-MX" w:eastAsia="es-MX"/>
              </w:rPr>
              <w:br/>
            </w:r>
            <w:proofErr w:type="spellStart"/>
            <w:r w:rsidR="00AB2A0F" w:rsidRPr="009E6D43">
              <w:rPr>
                <w:b/>
                <w:bCs/>
                <w:smallCaps/>
                <w:sz w:val="16"/>
                <w:szCs w:val="16"/>
                <w:lang w:val="es-MX" w:eastAsia="es-MX"/>
              </w:rPr>
              <w:t>enoe</w:t>
            </w:r>
            <w:r w:rsidR="00AB2A0F" w:rsidRPr="009E6D43">
              <w:rPr>
                <w:b/>
                <w:bCs/>
                <w:smallCaps/>
                <w:sz w:val="16"/>
                <w:szCs w:val="16"/>
                <w:vertAlign w:val="superscript"/>
                <w:lang w:val="es-MX" w:eastAsia="es-MX"/>
              </w:rPr>
              <w:t>n</w:t>
            </w:r>
            <w:proofErr w:type="spellEnd"/>
          </w:p>
        </w:tc>
        <w:tc>
          <w:tcPr>
            <w:tcW w:w="1013" w:type="dxa"/>
            <w:tcBorders>
              <w:top w:val="nil"/>
              <w:left w:val="nil"/>
              <w:bottom w:val="single" w:sz="4" w:space="0" w:color="1F497D"/>
              <w:right w:val="single" w:sz="4" w:space="0" w:color="1F497D"/>
            </w:tcBorders>
            <w:shd w:val="clear" w:color="000000" w:fill="BDD7EE"/>
            <w:vAlign w:val="center"/>
            <w:hideMark/>
          </w:tcPr>
          <w:p w14:paraId="5D333639" w14:textId="5E1ABD0C" w:rsidR="00E1751B" w:rsidRPr="009E6D43" w:rsidRDefault="00E1751B" w:rsidP="00E1751B">
            <w:pPr>
              <w:jc w:val="center"/>
              <w:rPr>
                <w:b/>
                <w:bCs/>
                <w:sz w:val="16"/>
                <w:szCs w:val="16"/>
                <w:lang w:val="es-MX" w:eastAsia="es-MX"/>
              </w:rPr>
            </w:pPr>
            <w:r w:rsidRPr="009E6D43">
              <w:rPr>
                <w:b/>
                <w:bCs/>
                <w:sz w:val="16"/>
                <w:szCs w:val="16"/>
                <w:lang w:val="es-MX" w:eastAsia="es-MX"/>
              </w:rPr>
              <w:t>2023</w:t>
            </w:r>
          </w:p>
          <w:p w14:paraId="7BBFA0E9" w14:textId="42DA8FEB" w:rsidR="00E1751B" w:rsidRPr="009E6D43" w:rsidRDefault="00AB2A0F" w:rsidP="00E1751B">
            <w:pPr>
              <w:jc w:val="center"/>
              <w:rPr>
                <w:b/>
                <w:bCs/>
                <w:smallCaps/>
                <w:sz w:val="16"/>
                <w:szCs w:val="16"/>
                <w:lang w:val="es-MX" w:eastAsia="es-MX"/>
              </w:rPr>
            </w:pPr>
            <w:proofErr w:type="spellStart"/>
            <w:r w:rsidRPr="009E6D43">
              <w:rPr>
                <w:b/>
                <w:bCs/>
                <w:smallCaps/>
                <w:sz w:val="16"/>
                <w:szCs w:val="16"/>
                <w:lang w:val="es-MX" w:eastAsia="es-MX"/>
              </w:rPr>
              <w:t>enoe</w:t>
            </w:r>
            <w:proofErr w:type="spellEnd"/>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18D174A" w14:textId="77777777" w:rsidR="00E1751B" w:rsidRPr="009E6D43" w:rsidRDefault="00E1751B" w:rsidP="00E1751B">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AE36733" w14:textId="77777777" w:rsidR="00E1751B" w:rsidRPr="009E6D43" w:rsidRDefault="00E1751B" w:rsidP="00E1751B">
            <w:pPr>
              <w:jc w:val="center"/>
              <w:rPr>
                <w:b/>
                <w:bCs/>
                <w:sz w:val="16"/>
                <w:szCs w:val="16"/>
                <w:lang w:val="es-MX" w:eastAsia="es-MX"/>
              </w:rPr>
            </w:pPr>
            <w:r w:rsidRPr="009E6D43">
              <w:rPr>
                <w:b/>
                <w:bCs/>
                <w:sz w:val="16"/>
                <w:szCs w:val="16"/>
                <w:lang w:val="es-MX" w:eastAsia="es-MX"/>
              </w:rPr>
              <w:t>2022</w:t>
            </w:r>
          </w:p>
          <w:p w14:paraId="1CC3231D" w14:textId="31AC8F4A" w:rsidR="00E1751B" w:rsidRPr="009E6D43" w:rsidRDefault="00AB2A0F" w:rsidP="00E1751B">
            <w:pPr>
              <w:jc w:val="center"/>
              <w:rPr>
                <w:b/>
                <w:bCs/>
                <w:smallCaps/>
                <w:sz w:val="16"/>
                <w:szCs w:val="16"/>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693" w:type="dxa"/>
            <w:tcBorders>
              <w:top w:val="nil"/>
              <w:left w:val="nil"/>
              <w:bottom w:val="single" w:sz="4" w:space="0" w:color="1F497D"/>
              <w:right w:val="single" w:sz="4" w:space="0" w:color="1F497D"/>
            </w:tcBorders>
            <w:shd w:val="clear" w:color="000000" w:fill="BDD7EE"/>
            <w:vAlign w:val="center"/>
            <w:hideMark/>
          </w:tcPr>
          <w:p w14:paraId="7D0DC893" w14:textId="77777777" w:rsidR="00E1751B" w:rsidRPr="009E6D43" w:rsidRDefault="00E1751B" w:rsidP="00E1751B">
            <w:pPr>
              <w:jc w:val="center"/>
              <w:rPr>
                <w:b/>
                <w:bCs/>
                <w:sz w:val="16"/>
                <w:szCs w:val="16"/>
                <w:lang w:val="es-MX" w:eastAsia="es-MX"/>
              </w:rPr>
            </w:pPr>
            <w:r w:rsidRPr="009E6D43">
              <w:rPr>
                <w:b/>
                <w:bCs/>
                <w:sz w:val="16"/>
                <w:szCs w:val="16"/>
                <w:lang w:val="es-MX" w:eastAsia="es-MX"/>
              </w:rPr>
              <w:t>2023</w:t>
            </w:r>
          </w:p>
          <w:p w14:paraId="0526CFFB" w14:textId="16F7687A" w:rsidR="00E1751B" w:rsidRPr="009E6D43" w:rsidRDefault="00AB2A0F" w:rsidP="00E1751B">
            <w:pPr>
              <w:jc w:val="center"/>
              <w:rPr>
                <w:b/>
                <w:bCs/>
                <w:smallCaps/>
                <w:sz w:val="16"/>
                <w:szCs w:val="16"/>
                <w:lang w:val="es-MX" w:eastAsia="es-MX"/>
              </w:rPr>
            </w:pPr>
            <w:proofErr w:type="spellStart"/>
            <w:r w:rsidRPr="009E6D43">
              <w:rPr>
                <w:b/>
                <w:bCs/>
                <w:smallCaps/>
                <w:sz w:val="16"/>
                <w:szCs w:val="16"/>
                <w:lang w:val="es-MX" w:eastAsia="es-MX"/>
              </w:rPr>
              <w:t>enoe</w:t>
            </w:r>
            <w:proofErr w:type="spellEnd"/>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D0570E4" w14:textId="77777777" w:rsidR="00E1751B" w:rsidRPr="009E6D43" w:rsidRDefault="00E1751B" w:rsidP="00E1751B">
            <w:pPr>
              <w:jc w:val="center"/>
              <w:rPr>
                <w:b/>
                <w:bCs/>
                <w:color w:val="000000"/>
                <w:sz w:val="16"/>
                <w:szCs w:val="16"/>
                <w:lang w:val="es-MX" w:eastAsia="es-MX"/>
              </w:rPr>
            </w:pPr>
          </w:p>
        </w:tc>
      </w:tr>
      <w:tr w:rsidR="00C3555C" w:rsidRPr="009E6D43" w14:paraId="3451342B"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18D13EA" w14:textId="77777777" w:rsidR="00C3555C" w:rsidRPr="009E6D43" w:rsidRDefault="00C3555C" w:rsidP="00CD18FE">
            <w:pPr>
              <w:jc w:val="left"/>
              <w:rPr>
                <w:b/>
                <w:bCs/>
                <w:color w:val="000000"/>
                <w:sz w:val="16"/>
                <w:szCs w:val="16"/>
                <w:lang w:val="es-MX"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C41EB2C" w14:textId="77777777" w:rsidR="00C3555C" w:rsidRPr="009E6D43" w:rsidRDefault="00C3555C" w:rsidP="00CD18FE">
            <w:pPr>
              <w:jc w:val="center"/>
              <w:rPr>
                <w:b/>
                <w:bCs/>
                <w:color w:val="000000"/>
                <w:sz w:val="16"/>
                <w:szCs w:val="16"/>
                <w:lang w:val="es-MX" w:eastAsia="es-MX"/>
              </w:rPr>
            </w:pPr>
            <w:r w:rsidRPr="009E6D43">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7E7D7DF" w14:textId="77777777" w:rsidR="00C3555C" w:rsidRPr="009E6D43" w:rsidRDefault="00C3555C" w:rsidP="00CD18FE">
            <w:pPr>
              <w:jc w:val="center"/>
              <w:rPr>
                <w:b/>
                <w:bCs/>
                <w:color w:val="000000"/>
                <w:sz w:val="16"/>
                <w:szCs w:val="16"/>
                <w:lang w:val="es-MX" w:eastAsia="es-MX"/>
              </w:rPr>
            </w:pPr>
            <w:r w:rsidRPr="009E6D43">
              <w:rPr>
                <w:b/>
                <w:bCs/>
                <w:color w:val="000000"/>
                <w:sz w:val="16"/>
                <w:szCs w:val="16"/>
                <w:lang w:val="es-MX" w:eastAsia="es-MX"/>
              </w:rPr>
              <w:t>Relativos</w:t>
            </w:r>
          </w:p>
        </w:tc>
      </w:tr>
      <w:tr w:rsidR="00165DD6" w:rsidRPr="009E6D43" w14:paraId="3B52A864"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2A4B2B44" w14:textId="77777777" w:rsidR="00165DD6" w:rsidRPr="009E6D43" w:rsidRDefault="00165DD6" w:rsidP="00165DD6">
            <w:pPr>
              <w:jc w:val="left"/>
              <w:rPr>
                <w:b/>
                <w:bCs/>
                <w:color w:val="000000"/>
                <w:sz w:val="16"/>
                <w:szCs w:val="16"/>
                <w:lang w:val="es-MX" w:eastAsia="es-MX"/>
              </w:rPr>
            </w:pPr>
            <w:r w:rsidRPr="009E6D43">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0C79AC9" w14:textId="6318C964" w:rsidR="00165DD6" w:rsidRPr="009E6D43" w:rsidRDefault="00165DD6" w:rsidP="00165DD6">
            <w:pPr>
              <w:tabs>
                <w:tab w:val="decimal" w:pos="787"/>
              </w:tabs>
              <w:ind w:left="-57"/>
              <w:jc w:val="left"/>
              <w:rPr>
                <w:b/>
                <w:bCs/>
                <w:color w:val="000000"/>
                <w:sz w:val="16"/>
                <w:szCs w:val="16"/>
                <w:lang w:val="es-MX" w:eastAsia="es-MX"/>
              </w:rPr>
            </w:pPr>
            <w:r w:rsidRPr="009E6D43">
              <w:rPr>
                <w:b/>
                <w:bCs/>
                <w:sz w:val="16"/>
                <w:szCs w:val="16"/>
              </w:rPr>
              <w:t xml:space="preserve"> 99 838 978</w:t>
            </w:r>
          </w:p>
        </w:tc>
        <w:tc>
          <w:tcPr>
            <w:tcW w:w="1013" w:type="dxa"/>
            <w:tcBorders>
              <w:top w:val="nil"/>
              <w:left w:val="nil"/>
              <w:bottom w:val="nil"/>
              <w:right w:val="nil"/>
            </w:tcBorders>
            <w:shd w:val="clear" w:color="auto" w:fill="auto"/>
            <w:noWrap/>
            <w:vAlign w:val="center"/>
          </w:tcPr>
          <w:p w14:paraId="2489C4A6" w14:textId="2ACB6FE5" w:rsidR="00165DD6" w:rsidRPr="009E6D43" w:rsidRDefault="00165DD6" w:rsidP="00165DD6">
            <w:pPr>
              <w:tabs>
                <w:tab w:val="decimal" w:pos="873"/>
              </w:tabs>
              <w:ind w:left="-57" w:right="-30"/>
              <w:jc w:val="left"/>
              <w:rPr>
                <w:b/>
                <w:bCs/>
                <w:color w:val="000000"/>
                <w:sz w:val="16"/>
                <w:szCs w:val="16"/>
                <w:lang w:val="es-MX" w:eastAsia="es-MX"/>
              </w:rPr>
            </w:pPr>
            <w:r w:rsidRPr="009E6D43">
              <w:rPr>
                <w:b/>
                <w:bCs/>
                <w:sz w:val="16"/>
                <w:szCs w:val="16"/>
              </w:rPr>
              <w:t xml:space="preserve"> 101 448 216</w:t>
            </w:r>
          </w:p>
        </w:tc>
        <w:tc>
          <w:tcPr>
            <w:tcW w:w="999" w:type="dxa"/>
            <w:tcBorders>
              <w:top w:val="nil"/>
              <w:left w:val="nil"/>
              <w:bottom w:val="nil"/>
              <w:right w:val="single" w:sz="4" w:space="0" w:color="1F497D"/>
            </w:tcBorders>
            <w:shd w:val="clear" w:color="auto" w:fill="auto"/>
            <w:noWrap/>
            <w:vAlign w:val="center"/>
          </w:tcPr>
          <w:p w14:paraId="5449CD8D" w14:textId="13E17161" w:rsidR="00165DD6" w:rsidRPr="009E6D43" w:rsidRDefault="00165DD6" w:rsidP="00165DD6">
            <w:pPr>
              <w:tabs>
                <w:tab w:val="decimal" w:pos="812"/>
              </w:tabs>
              <w:ind w:left="-57"/>
              <w:jc w:val="left"/>
              <w:rPr>
                <w:b/>
                <w:bCs/>
                <w:color w:val="000000"/>
                <w:sz w:val="16"/>
                <w:szCs w:val="16"/>
                <w:lang w:val="es-MX" w:eastAsia="es-MX"/>
              </w:rPr>
            </w:pPr>
            <w:r w:rsidRPr="009E6D43">
              <w:rPr>
                <w:b/>
                <w:bCs/>
                <w:color w:val="000000"/>
                <w:sz w:val="16"/>
                <w:szCs w:val="16"/>
              </w:rPr>
              <w:t xml:space="preserve"> 1 609 238</w:t>
            </w:r>
          </w:p>
        </w:tc>
        <w:tc>
          <w:tcPr>
            <w:tcW w:w="693" w:type="dxa"/>
            <w:tcBorders>
              <w:top w:val="nil"/>
              <w:left w:val="nil"/>
              <w:bottom w:val="nil"/>
              <w:right w:val="nil"/>
            </w:tcBorders>
            <w:shd w:val="clear" w:color="auto" w:fill="auto"/>
            <w:noWrap/>
            <w:vAlign w:val="center"/>
          </w:tcPr>
          <w:p w14:paraId="2E5F6B5F" w14:textId="5B9FF4ED" w:rsidR="00165DD6" w:rsidRPr="009E6D43" w:rsidRDefault="00165DD6" w:rsidP="00165DD6">
            <w:pPr>
              <w:tabs>
                <w:tab w:val="decimal" w:pos="317"/>
              </w:tabs>
              <w:ind w:left="-57"/>
              <w:jc w:val="left"/>
              <w:rPr>
                <w:b/>
                <w:bCs/>
                <w:color w:val="000000"/>
                <w:sz w:val="16"/>
                <w:szCs w:val="16"/>
                <w:lang w:val="es-MX" w:eastAsia="es-MX"/>
              </w:rPr>
            </w:pPr>
            <w:r w:rsidRPr="009E6D43">
              <w:rPr>
                <w:b/>
                <w:bCs/>
                <w:color w:val="000000"/>
                <w:sz w:val="16"/>
                <w:szCs w:val="16"/>
              </w:rPr>
              <w:t>100.0</w:t>
            </w:r>
          </w:p>
        </w:tc>
        <w:tc>
          <w:tcPr>
            <w:tcW w:w="693" w:type="dxa"/>
            <w:tcBorders>
              <w:top w:val="nil"/>
              <w:left w:val="nil"/>
              <w:bottom w:val="nil"/>
              <w:right w:val="nil"/>
            </w:tcBorders>
            <w:shd w:val="clear" w:color="auto" w:fill="auto"/>
            <w:noWrap/>
            <w:vAlign w:val="center"/>
          </w:tcPr>
          <w:p w14:paraId="1DA6EA7D" w14:textId="3E481A7B" w:rsidR="00165DD6" w:rsidRPr="009E6D43" w:rsidRDefault="00165DD6" w:rsidP="00165DD6">
            <w:pPr>
              <w:tabs>
                <w:tab w:val="decimal" w:pos="324"/>
              </w:tabs>
              <w:ind w:left="-57"/>
              <w:jc w:val="left"/>
              <w:rPr>
                <w:b/>
                <w:color w:val="000000"/>
                <w:sz w:val="16"/>
                <w:szCs w:val="16"/>
              </w:rPr>
            </w:pPr>
            <w:r w:rsidRPr="009E6D43">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77E821F" w14:textId="1F505722" w:rsidR="00165DD6" w:rsidRPr="009E6D43" w:rsidRDefault="00165DD6" w:rsidP="00165DD6">
            <w:pPr>
              <w:tabs>
                <w:tab w:val="decimal" w:pos="372"/>
              </w:tabs>
              <w:ind w:left="-57"/>
              <w:jc w:val="left"/>
              <w:rPr>
                <w:b/>
                <w:bCs/>
                <w:color w:val="000000"/>
                <w:sz w:val="16"/>
                <w:szCs w:val="16"/>
                <w:lang w:val="es-MX" w:eastAsia="es-MX"/>
              </w:rPr>
            </w:pPr>
            <w:r w:rsidRPr="009E6D43">
              <w:rPr>
                <w:b/>
                <w:bCs/>
                <w:color w:val="000000"/>
                <w:sz w:val="16"/>
                <w:szCs w:val="16"/>
              </w:rPr>
              <w:t> </w:t>
            </w:r>
          </w:p>
        </w:tc>
      </w:tr>
      <w:tr w:rsidR="00165DD6" w:rsidRPr="009E6D43" w14:paraId="612976AC"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6D12E8F4" w14:textId="712DE1FD" w:rsidR="00165DD6" w:rsidRPr="009E6D43" w:rsidRDefault="00165DD6" w:rsidP="00165DD6">
            <w:pPr>
              <w:ind w:firstLineChars="100" w:firstLine="160"/>
              <w:jc w:val="left"/>
              <w:rPr>
                <w:color w:val="000000"/>
                <w:sz w:val="16"/>
                <w:szCs w:val="16"/>
                <w:lang w:val="es-MX" w:eastAsia="es-MX"/>
              </w:rPr>
            </w:pPr>
            <w:r w:rsidRPr="009E6D43">
              <w:rPr>
                <w:color w:val="000000"/>
                <w:sz w:val="16"/>
                <w:szCs w:val="16"/>
                <w:lang w:val="es-MX" w:eastAsia="es-MX"/>
              </w:rPr>
              <w:t>Población económicamente activa (</w:t>
            </w:r>
            <w:r w:rsidRPr="009E6D43">
              <w:rPr>
                <w:smallCaps/>
                <w:color w:val="000000"/>
                <w:sz w:val="16"/>
                <w:szCs w:val="16"/>
                <w:lang w:val="es-MX" w:eastAsia="es-MX"/>
              </w:rPr>
              <w:t>pea</w:t>
            </w:r>
            <w:r w:rsidRPr="009E6D43">
              <w:rPr>
                <w:color w:val="000000"/>
                <w:sz w:val="16"/>
                <w:szCs w:val="16"/>
                <w:lang w:val="es-MX" w:eastAsia="es-MX"/>
              </w:rPr>
              <w:t>)</w:t>
            </w:r>
            <w:r w:rsidRPr="009E6D43">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97FD6AC" w14:textId="6744FFF5" w:rsidR="00165DD6" w:rsidRPr="009E6D43" w:rsidRDefault="00165DD6" w:rsidP="00165DD6">
            <w:pPr>
              <w:tabs>
                <w:tab w:val="decimal" w:pos="787"/>
              </w:tabs>
              <w:ind w:left="-57"/>
              <w:jc w:val="left"/>
              <w:rPr>
                <w:color w:val="000000"/>
                <w:sz w:val="16"/>
                <w:szCs w:val="16"/>
              </w:rPr>
            </w:pPr>
            <w:r w:rsidRPr="009E6D43">
              <w:rPr>
                <w:color w:val="000000"/>
                <w:sz w:val="16"/>
                <w:szCs w:val="16"/>
              </w:rPr>
              <w:t xml:space="preserve"> 59 596 846</w:t>
            </w:r>
          </w:p>
        </w:tc>
        <w:tc>
          <w:tcPr>
            <w:tcW w:w="1013" w:type="dxa"/>
            <w:tcBorders>
              <w:top w:val="nil"/>
              <w:left w:val="nil"/>
              <w:bottom w:val="nil"/>
              <w:right w:val="nil"/>
            </w:tcBorders>
            <w:shd w:val="clear" w:color="auto" w:fill="auto"/>
            <w:noWrap/>
            <w:vAlign w:val="center"/>
          </w:tcPr>
          <w:p w14:paraId="085B4C0B" w14:textId="20C0D754" w:rsidR="00165DD6" w:rsidRPr="009E6D43" w:rsidRDefault="00165DD6" w:rsidP="00165DD6">
            <w:pPr>
              <w:tabs>
                <w:tab w:val="decimal" w:pos="873"/>
              </w:tabs>
              <w:ind w:left="-57" w:right="-30"/>
              <w:jc w:val="left"/>
              <w:rPr>
                <w:color w:val="000000"/>
                <w:sz w:val="16"/>
                <w:szCs w:val="16"/>
              </w:rPr>
            </w:pPr>
            <w:r w:rsidRPr="009E6D43">
              <w:rPr>
                <w:color w:val="000000"/>
                <w:sz w:val="16"/>
                <w:szCs w:val="16"/>
              </w:rPr>
              <w:t xml:space="preserve"> 60 733 852</w:t>
            </w:r>
          </w:p>
        </w:tc>
        <w:tc>
          <w:tcPr>
            <w:tcW w:w="999" w:type="dxa"/>
            <w:tcBorders>
              <w:top w:val="nil"/>
              <w:left w:val="nil"/>
              <w:bottom w:val="nil"/>
              <w:right w:val="single" w:sz="4" w:space="0" w:color="1F497D"/>
            </w:tcBorders>
            <w:shd w:val="clear" w:color="auto" w:fill="auto"/>
            <w:noWrap/>
            <w:vAlign w:val="center"/>
          </w:tcPr>
          <w:p w14:paraId="31810762" w14:textId="369810B3" w:rsidR="00165DD6" w:rsidRPr="009E6D43" w:rsidRDefault="00165DD6" w:rsidP="00165DD6">
            <w:pPr>
              <w:tabs>
                <w:tab w:val="decimal" w:pos="812"/>
              </w:tabs>
              <w:ind w:left="-57"/>
              <w:jc w:val="left"/>
              <w:rPr>
                <w:color w:val="000000"/>
                <w:sz w:val="16"/>
                <w:szCs w:val="16"/>
              </w:rPr>
            </w:pPr>
            <w:r w:rsidRPr="009E6D43">
              <w:rPr>
                <w:color w:val="000000"/>
                <w:sz w:val="16"/>
                <w:szCs w:val="16"/>
              </w:rPr>
              <w:t xml:space="preserve"> 1 137 006</w:t>
            </w:r>
          </w:p>
        </w:tc>
        <w:tc>
          <w:tcPr>
            <w:tcW w:w="693" w:type="dxa"/>
            <w:tcBorders>
              <w:top w:val="nil"/>
              <w:left w:val="nil"/>
              <w:bottom w:val="nil"/>
              <w:right w:val="nil"/>
            </w:tcBorders>
            <w:shd w:val="clear" w:color="auto" w:fill="auto"/>
            <w:noWrap/>
            <w:vAlign w:val="center"/>
          </w:tcPr>
          <w:p w14:paraId="3E04F5B8" w14:textId="6D9EDEF5" w:rsidR="00165DD6" w:rsidRPr="009E6D43" w:rsidRDefault="00165DD6" w:rsidP="00165DD6">
            <w:pPr>
              <w:tabs>
                <w:tab w:val="decimal" w:pos="317"/>
              </w:tabs>
              <w:ind w:left="-57"/>
              <w:jc w:val="left"/>
              <w:rPr>
                <w:color w:val="000000"/>
                <w:sz w:val="16"/>
                <w:szCs w:val="16"/>
              </w:rPr>
            </w:pPr>
            <w:r w:rsidRPr="009E6D43">
              <w:rPr>
                <w:color w:val="000000"/>
                <w:sz w:val="16"/>
                <w:szCs w:val="16"/>
              </w:rPr>
              <w:t>59.7</w:t>
            </w:r>
          </w:p>
        </w:tc>
        <w:tc>
          <w:tcPr>
            <w:tcW w:w="693" w:type="dxa"/>
            <w:tcBorders>
              <w:top w:val="nil"/>
              <w:left w:val="nil"/>
              <w:bottom w:val="nil"/>
              <w:right w:val="nil"/>
            </w:tcBorders>
            <w:shd w:val="clear" w:color="auto" w:fill="auto"/>
            <w:noWrap/>
            <w:vAlign w:val="center"/>
          </w:tcPr>
          <w:p w14:paraId="5F5379BF" w14:textId="56505836" w:rsidR="00165DD6" w:rsidRPr="009E6D43" w:rsidRDefault="00165DD6" w:rsidP="00165DD6">
            <w:pPr>
              <w:tabs>
                <w:tab w:val="decimal" w:pos="324"/>
              </w:tabs>
              <w:ind w:left="-57"/>
              <w:jc w:val="left"/>
              <w:rPr>
                <w:color w:val="000000"/>
                <w:sz w:val="16"/>
                <w:szCs w:val="16"/>
              </w:rPr>
            </w:pPr>
            <w:r w:rsidRPr="009E6D43">
              <w:rPr>
                <w:color w:val="000000"/>
                <w:sz w:val="16"/>
                <w:szCs w:val="16"/>
              </w:rPr>
              <w:t>59.9</w:t>
            </w:r>
          </w:p>
        </w:tc>
        <w:tc>
          <w:tcPr>
            <w:tcW w:w="914" w:type="dxa"/>
            <w:tcBorders>
              <w:top w:val="nil"/>
              <w:left w:val="nil"/>
              <w:bottom w:val="nil"/>
              <w:right w:val="single" w:sz="4" w:space="0" w:color="1F497D"/>
            </w:tcBorders>
            <w:shd w:val="clear" w:color="auto" w:fill="auto"/>
            <w:noWrap/>
            <w:vAlign w:val="center"/>
          </w:tcPr>
          <w:p w14:paraId="20726F6D" w14:textId="4B9B7588" w:rsidR="00165DD6" w:rsidRPr="009E6D43" w:rsidRDefault="00165DD6" w:rsidP="00165DD6">
            <w:pPr>
              <w:tabs>
                <w:tab w:val="decimal" w:pos="372"/>
              </w:tabs>
              <w:ind w:left="-57"/>
              <w:jc w:val="left"/>
              <w:rPr>
                <w:color w:val="000000"/>
                <w:sz w:val="16"/>
                <w:szCs w:val="16"/>
              </w:rPr>
            </w:pPr>
            <w:r w:rsidRPr="009E6D43">
              <w:rPr>
                <w:color w:val="000000"/>
                <w:sz w:val="16"/>
                <w:szCs w:val="16"/>
              </w:rPr>
              <w:t>0.2</w:t>
            </w:r>
          </w:p>
        </w:tc>
      </w:tr>
      <w:tr w:rsidR="00165DD6" w:rsidRPr="009E6D43" w14:paraId="072B5EAE"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0EBA88AB" w14:textId="0593E8FF" w:rsidR="00165DD6" w:rsidRPr="009E6D43" w:rsidRDefault="00165DD6" w:rsidP="00165DD6">
            <w:pPr>
              <w:ind w:firstLineChars="200" w:firstLine="320"/>
              <w:jc w:val="left"/>
              <w:rPr>
                <w:color w:val="000000"/>
                <w:sz w:val="16"/>
                <w:szCs w:val="16"/>
                <w:lang w:val="es-MX" w:eastAsia="es-MX"/>
              </w:rPr>
            </w:pPr>
            <w:proofErr w:type="spellStart"/>
            <w:r w:rsidRPr="009E6D43">
              <w:rPr>
                <w:color w:val="000000"/>
                <w:sz w:val="16"/>
                <w:szCs w:val="16"/>
                <w:lang w:val="es-MX" w:eastAsia="es-MX"/>
              </w:rPr>
              <w:t>Ocupada</w:t>
            </w:r>
            <w:r w:rsidRPr="009E6D43">
              <w:rPr>
                <w:color w:val="000000"/>
                <w:sz w:val="18"/>
                <w:szCs w:val="16"/>
                <w:vertAlign w:val="superscript"/>
                <w:lang w:val="es-MX" w:eastAsia="es-MX"/>
              </w:rPr>
              <w:t>b</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2519B5FB" w14:textId="5396C055" w:rsidR="00165DD6" w:rsidRPr="009E6D43" w:rsidRDefault="00165DD6" w:rsidP="00165DD6">
            <w:pPr>
              <w:tabs>
                <w:tab w:val="decimal" w:pos="787"/>
              </w:tabs>
              <w:ind w:left="-57"/>
              <w:jc w:val="left"/>
              <w:rPr>
                <w:color w:val="000000"/>
                <w:sz w:val="16"/>
                <w:szCs w:val="16"/>
              </w:rPr>
            </w:pPr>
            <w:r w:rsidRPr="009E6D43">
              <w:rPr>
                <w:color w:val="000000"/>
                <w:sz w:val="16"/>
                <w:szCs w:val="16"/>
              </w:rPr>
              <w:t xml:space="preserve"> 57 949 976</w:t>
            </w:r>
          </w:p>
        </w:tc>
        <w:tc>
          <w:tcPr>
            <w:tcW w:w="1013" w:type="dxa"/>
            <w:tcBorders>
              <w:top w:val="nil"/>
              <w:left w:val="nil"/>
              <w:bottom w:val="nil"/>
              <w:right w:val="nil"/>
            </w:tcBorders>
            <w:shd w:val="clear" w:color="auto" w:fill="auto"/>
            <w:noWrap/>
            <w:vAlign w:val="center"/>
          </w:tcPr>
          <w:p w14:paraId="666717F4" w14:textId="6DD19722" w:rsidR="00165DD6" w:rsidRPr="009E6D43" w:rsidRDefault="00165DD6" w:rsidP="00165DD6">
            <w:pPr>
              <w:tabs>
                <w:tab w:val="decimal" w:pos="873"/>
              </w:tabs>
              <w:ind w:left="-57" w:right="-30"/>
              <w:jc w:val="left"/>
              <w:rPr>
                <w:color w:val="000000"/>
                <w:sz w:val="16"/>
                <w:szCs w:val="16"/>
              </w:rPr>
            </w:pPr>
            <w:r w:rsidRPr="009E6D43">
              <w:rPr>
                <w:color w:val="000000"/>
                <w:sz w:val="16"/>
                <w:szCs w:val="16"/>
              </w:rPr>
              <w:t xml:space="preserve"> 59 146 415</w:t>
            </w:r>
          </w:p>
        </w:tc>
        <w:tc>
          <w:tcPr>
            <w:tcW w:w="999" w:type="dxa"/>
            <w:tcBorders>
              <w:top w:val="nil"/>
              <w:left w:val="nil"/>
              <w:bottom w:val="nil"/>
              <w:right w:val="single" w:sz="4" w:space="0" w:color="1F497D"/>
            </w:tcBorders>
            <w:shd w:val="clear" w:color="auto" w:fill="auto"/>
            <w:noWrap/>
            <w:vAlign w:val="center"/>
          </w:tcPr>
          <w:p w14:paraId="1C0EC735" w14:textId="3CA33F1D" w:rsidR="00165DD6" w:rsidRPr="009E6D43" w:rsidRDefault="00165DD6" w:rsidP="00165DD6">
            <w:pPr>
              <w:tabs>
                <w:tab w:val="decimal" w:pos="812"/>
              </w:tabs>
              <w:ind w:left="-57"/>
              <w:jc w:val="left"/>
              <w:rPr>
                <w:color w:val="000000"/>
                <w:sz w:val="16"/>
                <w:szCs w:val="16"/>
              </w:rPr>
            </w:pPr>
            <w:r w:rsidRPr="009E6D43">
              <w:rPr>
                <w:color w:val="000000"/>
                <w:sz w:val="16"/>
                <w:szCs w:val="16"/>
              </w:rPr>
              <w:t xml:space="preserve"> 1 196 439</w:t>
            </w:r>
          </w:p>
        </w:tc>
        <w:tc>
          <w:tcPr>
            <w:tcW w:w="693" w:type="dxa"/>
            <w:tcBorders>
              <w:top w:val="nil"/>
              <w:left w:val="nil"/>
              <w:bottom w:val="nil"/>
              <w:right w:val="nil"/>
            </w:tcBorders>
            <w:shd w:val="clear" w:color="auto" w:fill="auto"/>
            <w:noWrap/>
            <w:vAlign w:val="center"/>
          </w:tcPr>
          <w:p w14:paraId="7DFCEE61" w14:textId="1EF1C702" w:rsidR="00165DD6" w:rsidRPr="009E6D43" w:rsidRDefault="00165DD6" w:rsidP="00165DD6">
            <w:pPr>
              <w:tabs>
                <w:tab w:val="decimal" w:pos="317"/>
              </w:tabs>
              <w:ind w:left="-57"/>
              <w:jc w:val="left"/>
              <w:rPr>
                <w:color w:val="000000"/>
                <w:sz w:val="16"/>
                <w:szCs w:val="16"/>
              </w:rPr>
            </w:pPr>
            <w:r w:rsidRPr="009E6D43">
              <w:rPr>
                <w:color w:val="000000"/>
                <w:sz w:val="16"/>
                <w:szCs w:val="16"/>
              </w:rPr>
              <w:t>97.2</w:t>
            </w:r>
          </w:p>
        </w:tc>
        <w:tc>
          <w:tcPr>
            <w:tcW w:w="693" w:type="dxa"/>
            <w:tcBorders>
              <w:top w:val="nil"/>
              <w:left w:val="nil"/>
              <w:bottom w:val="nil"/>
              <w:right w:val="nil"/>
            </w:tcBorders>
            <w:shd w:val="clear" w:color="auto" w:fill="auto"/>
            <w:noWrap/>
            <w:vAlign w:val="center"/>
          </w:tcPr>
          <w:p w14:paraId="6B51ECEE" w14:textId="245F5B1B" w:rsidR="00165DD6" w:rsidRPr="009E6D43" w:rsidRDefault="00165DD6" w:rsidP="00165DD6">
            <w:pPr>
              <w:tabs>
                <w:tab w:val="decimal" w:pos="324"/>
              </w:tabs>
              <w:ind w:left="-57"/>
              <w:jc w:val="left"/>
              <w:rPr>
                <w:color w:val="000000"/>
                <w:sz w:val="16"/>
                <w:szCs w:val="16"/>
              </w:rPr>
            </w:pPr>
            <w:r w:rsidRPr="009E6D43">
              <w:rPr>
                <w:color w:val="000000"/>
                <w:sz w:val="16"/>
                <w:szCs w:val="16"/>
              </w:rPr>
              <w:t>97.4</w:t>
            </w:r>
          </w:p>
        </w:tc>
        <w:tc>
          <w:tcPr>
            <w:tcW w:w="914" w:type="dxa"/>
            <w:tcBorders>
              <w:top w:val="nil"/>
              <w:left w:val="nil"/>
              <w:bottom w:val="nil"/>
              <w:right w:val="single" w:sz="4" w:space="0" w:color="1F497D"/>
            </w:tcBorders>
            <w:shd w:val="clear" w:color="auto" w:fill="auto"/>
            <w:noWrap/>
            <w:vAlign w:val="center"/>
          </w:tcPr>
          <w:p w14:paraId="40FB63AB" w14:textId="46B9F683" w:rsidR="00165DD6" w:rsidRPr="009E6D43" w:rsidRDefault="00165DD6" w:rsidP="00165DD6">
            <w:pPr>
              <w:tabs>
                <w:tab w:val="decimal" w:pos="372"/>
              </w:tabs>
              <w:ind w:left="-57"/>
              <w:jc w:val="left"/>
              <w:rPr>
                <w:color w:val="000000"/>
                <w:sz w:val="16"/>
                <w:szCs w:val="16"/>
              </w:rPr>
            </w:pPr>
            <w:r w:rsidRPr="009E6D43">
              <w:rPr>
                <w:color w:val="000000"/>
                <w:sz w:val="16"/>
                <w:szCs w:val="16"/>
              </w:rPr>
              <w:t>0.1</w:t>
            </w:r>
          </w:p>
        </w:tc>
      </w:tr>
      <w:tr w:rsidR="00165DD6" w:rsidRPr="009E6D43" w14:paraId="6EA75876"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25DBFE99" w14:textId="165E4406" w:rsidR="00165DD6" w:rsidRPr="009E6D43" w:rsidRDefault="00165DD6" w:rsidP="00165DD6">
            <w:pPr>
              <w:ind w:firstLineChars="200" w:firstLine="320"/>
              <w:jc w:val="left"/>
              <w:rPr>
                <w:color w:val="000000"/>
                <w:sz w:val="16"/>
                <w:szCs w:val="16"/>
                <w:lang w:val="es-MX" w:eastAsia="es-MX"/>
              </w:rPr>
            </w:pPr>
            <w:proofErr w:type="spellStart"/>
            <w:r w:rsidRPr="009E6D43">
              <w:rPr>
                <w:color w:val="000000"/>
                <w:sz w:val="16"/>
                <w:szCs w:val="16"/>
                <w:lang w:val="es-MX" w:eastAsia="es-MX"/>
              </w:rPr>
              <w:t>Desocupada</w:t>
            </w:r>
            <w:r w:rsidRPr="009E6D43">
              <w:rPr>
                <w:color w:val="000000"/>
                <w:sz w:val="18"/>
                <w:szCs w:val="16"/>
                <w:vertAlign w:val="superscript"/>
                <w:lang w:val="es-MX" w:eastAsia="es-MX"/>
              </w:rPr>
              <w:t>b</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03C2EEB4" w14:textId="22763D89" w:rsidR="00165DD6" w:rsidRPr="009E6D43" w:rsidRDefault="00165DD6" w:rsidP="00165DD6">
            <w:pPr>
              <w:tabs>
                <w:tab w:val="decimal" w:pos="787"/>
              </w:tabs>
              <w:ind w:left="-57"/>
              <w:jc w:val="left"/>
              <w:rPr>
                <w:color w:val="000000"/>
                <w:sz w:val="16"/>
                <w:szCs w:val="16"/>
              </w:rPr>
            </w:pPr>
            <w:r w:rsidRPr="009E6D43">
              <w:rPr>
                <w:color w:val="000000"/>
                <w:sz w:val="16"/>
                <w:szCs w:val="16"/>
              </w:rPr>
              <w:t xml:space="preserve"> 1 646 870</w:t>
            </w:r>
          </w:p>
        </w:tc>
        <w:tc>
          <w:tcPr>
            <w:tcW w:w="1013" w:type="dxa"/>
            <w:tcBorders>
              <w:top w:val="nil"/>
              <w:left w:val="nil"/>
              <w:bottom w:val="nil"/>
              <w:right w:val="nil"/>
            </w:tcBorders>
            <w:shd w:val="clear" w:color="auto" w:fill="auto"/>
            <w:noWrap/>
            <w:vAlign w:val="center"/>
          </w:tcPr>
          <w:p w14:paraId="684C2EED" w14:textId="43B24093" w:rsidR="00165DD6" w:rsidRPr="009E6D43" w:rsidRDefault="00165DD6" w:rsidP="00165DD6">
            <w:pPr>
              <w:tabs>
                <w:tab w:val="decimal" w:pos="873"/>
              </w:tabs>
              <w:ind w:left="-57" w:right="-30"/>
              <w:jc w:val="left"/>
              <w:rPr>
                <w:color w:val="000000"/>
                <w:sz w:val="16"/>
                <w:szCs w:val="16"/>
              </w:rPr>
            </w:pPr>
            <w:r w:rsidRPr="009E6D43">
              <w:rPr>
                <w:color w:val="000000"/>
                <w:sz w:val="16"/>
                <w:szCs w:val="16"/>
              </w:rPr>
              <w:t xml:space="preserve"> 1 587 437</w:t>
            </w:r>
          </w:p>
        </w:tc>
        <w:tc>
          <w:tcPr>
            <w:tcW w:w="999" w:type="dxa"/>
            <w:tcBorders>
              <w:top w:val="nil"/>
              <w:left w:val="nil"/>
              <w:bottom w:val="nil"/>
              <w:right w:val="single" w:sz="4" w:space="0" w:color="1F497D"/>
            </w:tcBorders>
            <w:shd w:val="clear" w:color="auto" w:fill="auto"/>
            <w:noWrap/>
            <w:vAlign w:val="center"/>
          </w:tcPr>
          <w:p w14:paraId="4DB13B80" w14:textId="22C9AB4E" w:rsidR="00165DD6" w:rsidRPr="009E6D43" w:rsidRDefault="00165DD6" w:rsidP="00165DD6">
            <w:pPr>
              <w:tabs>
                <w:tab w:val="decimal" w:pos="812"/>
              </w:tabs>
              <w:ind w:left="-57"/>
              <w:jc w:val="left"/>
              <w:rPr>
                <w:color w:val="000000"/>
                <w:sz w:val="16"/>
                <w:szCs w:val="16"/>
              </w:rPr>
            </w:pPr>
            <w:r w:rsidRPr="009E6D43">
              <w:rPr>
                <w:color w:val="000000"/>
                <w:sz w:val="16"/>
                <w:szCs w:val="16"/>
              </w:rPr>
              <w:t>-59 433</w:t>
            </w:r>
          </w:p>
        </w:tc>
        <w:tc>
          <w:tcPr>
            <w:tcW w:w="693" w:type="dxa"/>
            <w:tcBorders>
              <w:top w:val="nil"/>
              <w:left w:val="nil"/>
              <w:bottom w:val="nil"/>
              <w:right w:val="nil"/>
            </w:tcBorders>
            <w:shd w:val="clear" w:color="auto" w:fill="auto"/>
            <w:noWrap/>
            <w:vAlign w:val="center"/>
          </w:tcPr>
          <w:p w14:paraId="23446B94" w14:textId="5A78756C" w:rsidR="00165DD6" w:rsidRPr="009E6D43" w:rsidRDefault="00165DD6" w:rsidP="00165DD6">
            <w:pPr>
              <w:tabs>
                <w:tab w:val="decimal" w:pos="317"/>
              </w:tabs>
              <w:ind w:left="-57"/>
              <w:jc w:val="left"/>
              <w:rPr>
                <w:color w:val="000000"/>
                <w:sz w:val="16"/>
                <w:szCs w:val="16"/>
              </w:rPr>
            </w:pPr>
            <w:r w:rsidRPr="009E6D43">
              <w:rPr>
                <w:color w:val="000000"/>
                <w:sz w:val="16"/>
                <w:szCs w:val="16"/>
              </w:rPr>
              <w:t>2.8</w:t>
            </w:r>
          </w:p>
        </w:tc>
        <w:tc>
          <w:tcPr>
            <w:tcW w:w="693" w:type="dxa"/>
            <w:tcBorders>
              <w:top w:val="nil"/>
              <w:left w:val="nil"/>
              <w:bottom w:val="nil"/>
              <w:right w:val="nil"/>
            </w:tcBorders>
            <w:shd w:val="clear" w:color="auto" w:fill="auto"/>
            <w:noWrap/>
            <w:vAlign w:val="center"/>
          </w:tcPr>
          <w:p w14:paraId="12DFCA96" w14:textId="08AFAC81" w:rsidR="00165DD6" w:rsidRPr="009E6D43" w:rsidRDefault="00165DD6" w:rsidP="00165DD6">
            <w:pPr>
              <w:tabs>
                <w:tab w:val="decimal" w:pos="324"/>
              </w:tabs>
              <w:ind w:left="-57"/>
              <w:jc w:val="left"/>
              <w:rPr>
                <w:color w:val="000000"/>
                <w:sz w:val="16"/>
                <w:szCs w:val="16"/>
              </w:rPr>
            </w:pPr>
            <w:r w:rsidRPr="009E6D43">
              <w:rPr>
                <w:color w:val="000000"/>
                <w:sz w:val="16"/>
                <w:szCs w:val="16"/>
              </w:rPr>
              <w:t>2.6</w:t>
            </w:r>
          </w:p>
        </w:tc>
        <w:tc>
          <w:tcPr>
            <w:tcW w:w="914" w:type="dxa"/>
            <w:tcBorders>
              <w:top w:val="nil"/>
              <w:left w:val="nil"/>
              <w:bottom w:val="nil"/>
              <w:right w:val="single" w:sz="4" w:space="0" w:color="1F497D"/>
            </w:tcBorders>
            <w:shd w:val="clear" w:color="auto" w:fill="auto"/>
            <w:noWrap/>
            <w:vAlign w:val="center"/>
          </w:tcPr>
          <w:p w14:paraId="2E6B8A5A" w14:textId="10D67843" w:rsidR="00165DD6" w:rsidRPr="009E6D43" w:rsidRDefault="00165DD6" w:rsidP="00165DD6">
            <w:pPr>
              <w:tabs>
                <w:tab w:val="decimal" w:pos="372"/>
              </w:tabs>
              <w:ind w:left="-57"/>
              <w:jc w:val="left"/>
              <w:rPr>
                <w:color w:val="000000"/>
                <w:sz w:val="16"/>
                <w:szCs w:val="16"/>
              </w:rPr>
            </w:pPr>
            <w:r w:rsidRPr="009E6D43">
              <w:rPr>
                <w:color w:val="000000"/>
                <w:sz w:val="16"/>
                <w:szCs w:val="16"/>
              </w:rPr>
              <w:t>-0.1</w:t>
            </w:r>
          </w:p>
        </w:tc>
      </w:tr>
      <w:tr w:rsidR="00165DD6" w:rsidRPr="009E6D43" w14:paraId="0C8E594C"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24F9A8CB" w14:textId="438C1C7E" w:rsidR="00165DD6" w:rsidRPr="009E6D43" w:rsidRDefault="00165DD6" w:rsidP="00165DD6">
            <w:pPr>
              <w:ind w:firstLineChars="100" w:firstLine="160"/>
              <w:jc w:val="left"/>
              <w:rPr>
                <w:color w:val="000000"/>
                <w:sz w:val="16"/>
                <w:szCs w:val="16"/>
                <w:lang w:val="es-MX" w:eastAsia="es-MX"/>
              </w:rPr>
            </w:pPr>
            <w:r w:rsidRPr="009E6D43">
              <w:rPr>
                <w:color w:val="000000"/>
                <w:sz w:val="16"/>
                <w:szCs w:val="16"/>
                <w:lang w:val="es-MX" w:eastAsia="es-MX"/>
              </w:rPr>
              <w:t>Población no económicamente activa (</w:t>
            </w:r>
            <w:proofErr w:type="spellStart"/>
            <w:r w:rsidRPr="009E6D43">
              <w:rPr>
                <w:smallCaps/>
                <w:color w:val="000000"/>
                <w:sz w:val="16"/>
                <w:szCs w:val="16"/>
                <w:lang w:val="es-MX" w:eastAsia="es-MX"/>
              </w:rPr>
              <w:t>pnea</w:t>
            </w:r>
            <w:proofErr w:type="spellEnd"/>
            <w:r w:rsidRPr="009E6D43">
              <w:rPr>
                <w:color w:val="000000"/>
                <w:sz w:val="16"/>
                <w:szCs w:val="16"/>
                <w:lang w:val="es-MX" w:eastAsia="es-MX"/>
              </w:rPr>
              <w:t>)</w:t>
            </w:r>
            <w:r w:rsidRPr="009E6D43">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8CD4C64" w14:textId="68B58D64" w:rsidR="00165DD6" w:rsidRPr="009E6D43" w:rsidRDefault="00165DD6" w:rsidP="00165DD6">
            <w:pPr>
              <w:tabs>
                <w:tab w:val="decimal" w:pos="787"/>
              </w:tabs>
              <w:ind w:left="-57"/>
              <w:jc w:val="left"/>
              <w:rPr>
                <w:color w:val="000000"/>
                <w:sz w:val="16"/>
                <w:szCs w:val="16"/>
              </w:rPr>
            </w:pPr>
            <w:r w:rsidRPr="009E6D43">
              <w:rPr>
                <w:color w:val="000000"/>
                <w:sz w:val="16"/>
                <w:szCs w:val="16"/>
              </w:rPr>
              <w:t xml:space="preserve"> 40 242 132</w:t>
            </w:r>
          </w:p>
        </w:tc>
        <w:tc>
          <w:tcPr>
            <w:tcW w:w="1013" w:type="dxa"/>
            <w:tcBorders>
              <w:top w:val="nil"/>
              <w:left w:val="nil"/>
              <w:bottom w:val="nil"/>
              <w:right w:val="nil"/>
            </w:tcBorders>
            <w:shd w:val="clear" w:color="auto" w:fill="auto"/>
            <w:noWrap/>
            <w:vAlign w:val="center"/>
          </w:tcPr>
          <w:p w14:paraId="16F8473C" w14:textId="0A47E2E6" w:rsidR="00165DD6" w:rsidRPr="009E6D43" w:rsidRDefault="00165DD6" w:rsidP="00165DD6">
            <w:pPr>
              <w:tabs>
                <w:tab w:val="decimal" w:pos="873"/>
              </w:tabs>
              <w:ind w:left="-57" w:right="-30"/>
              <w:jc w:val="left"/>
              <w:rPr>
                <w:color w:val="000000"/>
                <w:sz w:val="16"/>
                <w:szCs w:val="16"/>
              </w:rPr>
            </w:pPr>
            <w:r w:rsidRPr="009E6D43">
              <w:rPr>
                <w:color w:val="000000"/>
                <w:sz w:val="16"/>
                <w:szCs w:val="16"/>
              </w:rPr>
              <w:t xml:space="preserve"> 40 714 364</w:t>
            </w:r>
          </w:p>
        </w:tc>
        <w:tc>
          <w:tcPr>
            <w:tcW w:w="999" w:type="dxa"/>
            <w:tcBorders>
              <w:top w:val="nil"/>
              <w:left w:val="nil"/>
              <w:bottom w:val="nil"/>
              <w:right w:val="single" w:sz="4" w:space="0" w:color="1F497D"/>
            </w:tcBorders>
            <w:shd w:val="clear" w:color="auto" w:fill="auto"/>
            <w:noWrap/>
            <w:vAlign w:val="center"/>
          </w:tcPr>
          <w:p w14:paraId="4DD19765" w14:textId="3D251DDB" w:rsidR="00165DD6" w:rsidRPr="009E6D43" w:rsidRDefault="00165DD6" w:rsidP="00165DD6">
            <w:pPr>
              <w:tabs>
                <w:tab w:val="decimal" w:pos="812"/>
              </w:tabs>
              <w:ind w:left="-57"/>
              <w:jc w:val="left"/>
              <w:rPr>
                <w:color w:val="000000"/>
                <w:sz w:val="16"/>
                <w:szCs w:val="16"/>
              </w:rPr>
            </w:pPr>
            <w:r w:rsidRPr="009E6D43">
              <w:rPr>
                <w:color w:val="000000"/>
                <w:sz w:val="16"/>
                <w:szCs w:val="16"/>
              </w:rPr>
              <w:t>472 232</w:t>
            </w:r>
          </w:p>
        </w:tc>
        <w:tc>
          <w:tcPr>
            <w:tcW w:w="693" w:type="dxa"/>
            <w:tcBorders>
              <w:top w:val="nil"/>
              <w:left w:val="nil"/>
              <w:bottom w:val="nil"/>
              <w:right w:val="nil"/>
            </w:tcBorders>
            <w:shd w:val="clear" w:color="auto" w:fill="auto"/>
            <w:noWrap/>
            <w:vAlign w:val="center"/>
          </w:tcPr>
          <w:p w14:paraId="7CA9EC48" w14:textId="4CD8DEC8" w:rsidR="00165DD6" w:rsidRPr="009E6D43" w:rsidRDefault="00165DD6" w:rsidP="00165DD6">
            <w:pPr>
              <w:tabs>
                <w:tab w:val="decimal" w:pos="317"/>
              </w:tabs>
              <w:ind w:left="-57"/>
              <w:jc w:val="left"/>
              <w:rPr>
                <w:color w:val="000000"/>
                <w:sz w:val="16"/>
                <w:szCs w:val="16"/>
              </w:rPr>
            </w:pPr>
            <w:r w:rsidRPr="009E6D43">
              <w:rPr>
                <w:color w:val="000000"/>
                <w:sz w:val="16"/>
                <w:szCs w:val="16"/>
              </w:rPr>
              <w:t>40.3</w:t>
            </w:r>
          </w:p>
        </w:tc>
        <w:tc>
          <w:tcPr>
            <w:tcW w:w="693" w:type="dxa"/>
            <w:tcBorders>
              <w:top w:val="nil"/>
              <w:left w:val="nil"/>
              <w:bottom w:val="nil"/>
              <w:right w:val="nil"/>
            </w:tcBorders>
            <w:shd w:val="clear" w:color="auto" w:fill="auto"/>
            <w:noWrap/>
            <w:vAlign w:val="center"/>
          </w:tcPr>
          <w:p w14:paraId="1DDA8A42" w14:textId="6A95FFD4" w:rsidR="00165DD6" w:rsidRPr="009E6D43" w:rsidRDefault="00165DD6" w:rsidP="00165DD6">
            <w:pPr>
              <w:tabs>
                <w:tab w:val="decimal" w:pos="324"/>
              </w:tabs>
              <w:ind w:left="-57"/>
              <w:jc w:val="left"/>
              <w:rPr>
                <w:color w:val="000000"/>
                <w:sz w:val="16"/>
                <w:szCs w:val="16"/>
              </w:rPr>
            </w:pPr>
            <w:r w:rsidRPr="009E6D43">
              <w:rPr>
                <w:color w:val="000000"/>
                <w:sz w:val="16"/>
                <w:szCs w:val="16"/>
              </w:rPr>
              <w:t>40.1</w:t>
            </w:r>
          </w:p>
        </w:tc>
        <w:tc>
          <w:tcPr>
            <w:tcW w:w="914" w:type="dxa"/>
            <w:tcBorders>
              <w:top w:val="nil"/>
              <w:left w:val="nil"/>
              <w:bottom w:val="nil"/>
              <w:right w:val="single" w:sz="4" w:space="0" w:color="1F497D"/>
            </w:tcBorders>
            <w:shd w:val="clear" w:color="auto" w:fill="auto"/>
            <w:noWrap/>
            <w:vAlign w:val="center"/>
          </w:tcPr>
          <w:p w14:paraId="63F6C271" w14:textId="4DF25A44" w:rsidR="00165DD6" w:rsidRPr="009E6D43" w:rsidRDefault="00165DD6" w:rsidP="00165DD6">
            <w:pPr>
              <w:tabs>
                <w:tab w:val="decimal" w:pos="372"/>
              </w:tabs>
              <w:ind w:left="-57"/>
              <w:jc w:val="left"/>
              <w:rPr>
                <w:color w:val="000000"/>
                <w:sz w:val="16"/>
                <w:szCs w:val="16"/>
              </w:rPr>
            </w:pPr>
            <w:r w:rsidRPr="009E6D43">
              <w:rPr>
                <w:color w:val="000000"/>
                <w:sz w:val="16"/>
                <w:szCs w:val="16"/>
              </w:rPr>
              <w:t>-0.2</w:t>
            </w:r>
          </w:p>
        </w:tc>
      </w:tr>
      <w:tr w:rsidR="00165DD6" w:rsidRPr="009E6D43" w14:paraId="2DB79B5E"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4C046FD5" w14:textId="3964554D" w:rsidR="00165DD6" w:rsidRPr="009E6D43" w:rsidRDefault="00165DD6" w:rsidP="00165DD6">
            <w:pPr>
              <w:ind w:firstLineChars="200" w:firstLine="320"/>
              <w:jc w:val="left"/>
              <w:rPr>
                <w:color w:val="000000"/>
                <w:sz w:val="16"/>
                <w:szCs w:val="16"/>
                <w:lang w:val="es-MX" w:eastAsia="es-MX"/>
              </w:rPr>
            </w:pPr>
            <w:proofErr w:type="spellStart"/>
            <w:r w:rsidRPr="009E6D43">
              <w:rPr>
                <w:color w:val="000000"/>
                <w:sz w:val="16"/>
                <w:szCs w:val="16"/>
                <w:lang w:val="es-MX" w:eastAsia="es-MX"/>
              </w:rPr>
              <w:t>Disponible</w:t>
            </w:r>
            <w:r w:rsidRPr="009E6D43">
              <w:rPr>
                <w:color w:val="000000"/>
                <w:sz w:val="18"/>
                <w:szCs w:val="16"/>
                <w:vertAlign w:val="superscript"/>
                <w:lang w:val="es-MX" w:eastAsia="es-MX"/>
              </w:rPr>
              <w:t>c</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61431332" w14:textId="22FC1A94" w:rsidR="00165DD6" w:rsidRPr="009E6D43" w:rsidRDefault="00165DD6" w:rsidP="00165DD6">
            <w:pPr>
              <w:tabs>
                <w:tab w:val="decimal" w:pos="787"/>
              </w:tabs>
              <w:ind w:left="-57"/>
              <w:jc w:val="left"/>
              <w:rPr>
                <w:color w:val="000000"/>
                <w:sz w:val="16"/>
                <w:szCs w:val="16"/>
              </w:rPr>
            </w:pPr>
            <w:r w:rsidRPr="009E6D43">
              <w:rPr>
                <w:color w:val="000000"/>
                <w:sz w:val="16"/>
                <w:szCs w:val="16"/>
              </w:rPr>
              <w:t xml:space="preserve"> 5 511 252</w:t>
            </w:r>
          </w:p>
        </w:tc>
        <w:tc>
          <w:tcPr>
            <w:tcW w:w="1013" w:type="dxa"/>
            <w:tcBorders>
              <w:top w:val="nil"/>
              <w:left w:val="nil"/>
              <w:bottom w:val="nil"/>
              <w:right w:val="nil"/>
            </w:tcBorders>
            <w:shd w:val="clear" w:color="auto" w:fill="auto"/>
            <w:noWrap/>
            <w:vAlign w:val="center"/>
          </w:tcPr>
          <w:p w14:paraId="654456AE" w14:textId="211F2523" w:rsidR="00165DD6" w:rsidRPr="009E6D43" w:rsidRDefault="00165DD6" w:rsidP="00165DD6">
            <w:pPr>
              <w:tabs>
                <w:tab w:val="decimal" w:pos="873"/>
              </w:tabs>
              <w:ind w:left="-57" w:right="-30"/>
              <w:jc w:val="left"/>
              <w:rPr>
                <w:color w:val="000000"/>
                <w:sz w:val="16"/>
                <w:szCs w:val="16"/>
              </w:rPr>
            </w:pPr>
            <w:r w:rsidRPr="009E6D43">
              <w:rPr>
                <w:color w:val="000000"/>
                <w:sz w:val="16"/>
                <w:szCs w:val="16"/>
              </w:rPr>
              <w:t xml:space="preserve"> 4 905 387</w:t>
            </w:r>
          </w:p>
        </w:tc>
        <w:tc>
          <w:tcPr>
            <w:tcW w:w="999" w:type="dxa"/>
            <w:tcBorders>
              <w:top w:val="nil"/>
              <w:left w:val="nil"/>
              <w:bottom w:val="nil"/>
              <w:right w:val="single" w:sz="4" w:space="0" w:color="1F497D"/>
            </w:tcBorders>
            <w:shd w:val="clear" w:color="auto" w:fill="auto"/>
            <w:noWrap/>
            <w:vAlign w:val="center"/>
          </w:tcPr>
          <w:p w14:paraId="09BE322C" w14:textId="38BC98C5" w:rsidR="00165DD6" w:rsidRPr="009E6D43" w:rsidRDefault="00165DD6" w:rsidP="00165DD6">
            <w:pPr>
              <w:tabs>
                <w:tab w:val="decimal" w:pos="812"/>
              </w:tabs>
              <w:ind w:left="-57"/>
              <w:jc w:val="left"/>
              <w:rPr>
                <w:color w:val="000000"/>
                <w:sz w:val="16"/>
                <w:szCs w:val="16"/>
              </w:rPr>
            </w:pPr>
            <w:r w:rsidRPr="009E6D43">
              <w:rPr>
                <w:color w:val="000000"/>
                <w:sz w:val="16"/>
                <w:szCs w:val="16"/>
              </w:rPr>
              <w:t>-605 865</w:t>
            </w:r>
          </w:p>
        </w:tc>
        <w:tc>
          <w:tcPr>
            <w:tcW w:w="693" w:type="dxa"/>
            <w:tcBorders>
              <w:top w:val="nil"/>
              <w:left w:val="nil"/>
              <w:bottom w:val="nil"/>
              <w:right w:val="nil"/>
            </w:tcBorders>
            <w:shd w:val="clear" w:color="auto" w:fill="auto"/>
            <w:noWrap/>
            <w:vAlign w:val="center"/>
          </w:tcPr>
          <w:p w14:paraId="6097771B" w14:textId="73F4A1CE" w:rsidR="00165DD6" w:rsidRPr="009E6D43" w:rsidRDefault="00165DD6" w:rsidP="00165DD6">
            <w:pPr>
              <w:tabs>
                <w:tab w:val="decimal" w:pos="317"/>
              </w:tabs>
              <w:ind w:left="-57"/>
              <w:jc w:val="left"/>
              <w:rPr>
                <w:color w:val="000000"/>
                <w:sz w:val="16"/>
                <w:szCs w:val="16"/>
              </w:rPr>
            </w:pPr>
            <w:r w:rsidRPr="009E6D43">
              <w:rPr>
                <w:color w:val="000000"/>
                <w:sz w:val="16"/>
                <w:szCs w:val="16"/>
              </w:rPr>
              <w:t>13.7</w:t>
            </w:r>
          </w:p>
        </w:tc>
        <w:tc>
          <w:tcPr>
            <w:tcW w:w="693" w:type="dxa"/>
            <w:tcBorders>
              <w:top w:val="nil"/>
              <w:left w:val="nil"/>
              <w:bottom w:val="nil"/>
              <w:right w:val="nil"/>
            </w:tcBorders>
            <w:shd w:val="clear" w:color="auto" w:fill="auto"/>
            <w:noWrap/>
            <w:vAlign w:val="center"/>
          </w:tcPr>
          <w:p w14:paraId="2DC13EB2" w14:textId="3EE001CC" w:rsidR="00165DD6" w:rsidRPr="009E6D43" w:rsidRDefault="00165DD6" w:rsidP="00165DD6">
            <w:pPr>
              <w:tabs>
                <w:tab w:val="decimal" w:pos="324"/>
              </w:tabs>
              <w:ind w:left="-57"/>
              <w:jc w:val="left"/>
              <w:rPr>
                <w:color w:val="000000"/>
                <w:sz w:val="16"/>
                <w:szCs w:val="16"/>
              </w:rPr>
            </w:pPr>
            <w:r w:rsidRPr="009E6D43">
              <w:rPr>
                <w:color w:val="000000"/>
                <w:sz w:val="16"/>
                <w:szCs w:val="16"/>
              </w:rPr>
              <w:t>12.0</w:t>
            </w:r>
          </w:p>
        </w:tc>
        <w:tc>
          <w:tcPr>
            <w:tcW w:w="914" w:type="dxa"/>
            <w:tcBorders>
              <w:top w:val="nil"/>
              <w:left w:val="nil"/>
              <w:bottom w:val="nil"/>
              <w:right w:val="single" w:sz="4" w:space="0" w:color="1F497D"/>
            </w:tcBorders>
            <w:shd w:val="clear" w:color="auto" w:fill="auto"/>
            <w:noWrap/>
            <w:vAlign w:val="center"/>
          </w:tcPr>
          <w:p w14:paraId="698EFE1D" w14:textId="66CDA299" w:rsidR="00165DD6" w:rsidRPr="009E6D43" w:rsidRDefault="00165DD6" w:rsidP="00165DD6">
            <w:pPr>
              <w:tabs>
                <w:tab w:val="decimal" w:pos="372"/>
              </w:tabs>
              <w:ind w:left="-57"/>
              <w:jc w:val="left"/>
              <w:rPr>
                <w:color w:val="000000"/>
                <w:sz w:val="16"/>
                <w:szCs w:val="16"/>
              </w:rPr>
            </w:pPr>
            <w:r w:rsidRPr="009E6D43">
              <w:rPr>
                <w:color w:val="000000"/>
                <w:sz w:val="16"/>
                <w:szCs w:val="16"/>
              </w:rPr>
              <w:t>-1.6</w:t>
            </w:r>
          </w:p>
        </w:tc>
      </w:tr>
      <w:tr w:rsidR="00165DD6" w:rsidRPr="009E6D43" w14:paraId="66D5AC62"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77D03026" w14:textId="59292A83" w:rsidR="00165DD6" w:rsidRPr="009E6D43" w:rsidRDefault="00165DD6" w:rsidP="00165DD6">
            <w:pPr>
              <w:ind w:firstLineChars="200" w:firstLine="320"/>
              <w:jc w:val="left"/>
              <w:rPr>
                <w:color w:val="000000"/>
                <w:sz w:val="16"/>
                <w:szCs w:val="16"/>
                <w:lang w:val="es-MX" w:eastAsia="es-MX"/>
              </w:rPr>
            </w:pPr>
            <w:r w:rsidRPr="009E6D43">
              <w:rPr>
                <w:color w:val="000000"/>
                <w:sz w:val="16"/>
                <w:szCs w:val="16"/>
                <w:lang w:val="es-MX" w:eastAsia="es-MX"/>
              </w:rPr>
              <w:t xml:space="preserve">No </w:t>
            </w:r>
            <w:proofErr w:type="spellStart"/>
            <w:r w:rsidRPr="009E6D43">
              <w:rPr>
                <w:color w:val="000000"/>
                <w:sz w:val="16"/>
                <w:szCs w:val="16"/>
                <w:lang w:val="es-MX" w:eastAsia="es-MX"/>
              </w:rPr>
              <w:t>disponible</w:t>
            </w:r>
            <w:r w:rsidRPr="009E6D43">
              <w:rPr>
                <w:color w:val="000000"/>
                <w:sz w:val="18"/>
                <w:szCs w:val="16"/>
                <w:vertAlign w:val="superscript"/>
                <w:lang w:val="es-MX" w:eastAsia="es-MX"/>
              </w:rPr>
              <w:t>c</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08D41B31" w14:textId="2F46C04B" w:rsidR="00165DD6" w:rsidRPr="009E6D43" w:rsidRDefault="00165DD6" w:rsidP="00165DD6">
            <w:pPr>
              <w:tabs>
                <w:tab w:val="decimal" w:pos="787"/>
              </w:tabs>
              <w:ind w:left="-57"/>
              <w:jc w:val="left"/>
              <w:rPr>
                <w:color w:val="000000"/>
                <w:sz w:val="16"/>
                <w:szCs w:val="16"/>
              </w:rPr>
            </w:pPr>
            <w:r w:rsidRPr="009E6D43">
              <w:rPr>
                <w:color w:val="000000"/>
                <w:sz w:val="16"/>
                <w:szCs w:val="16"/>
              </w:rPr>
              <w:t xml:space="preserve"> 34 730 880</w:t>
            </w:r>
          </w:p>
        </w:tc>
        <w:tc>
          <w:tcPr>
            <w:tcW w:w="1013" w:type="dxa"/>
            <w:tcBorders>
              <w:top w:val="nil"/>
              <w:left w:val="nil"/>
              <w:bottom w:val="nil"/>
              <w:right w:val="nil"/>
            </w:tcBorders>
            <w:shd w:val="clear" w:color="auto" w:fill="auto"/>
            <w:noWrap/>
            <w:vAlign w:val="center"/>
          </w:tcPr>
          <w:p w14:paraId="4C23E42B" w14:textId="1D066104" w:rsidR="00165DD6" w:rsidRPr="009E6D43" w:rsidRDefault="00165DD6" w:rsidP="00165DD6">
            <w:pPr>
              <w:tabs>
                <w:tab w:val="decimal" w:pos="873"/>
              </w:tabs>
              <w:ind w:left="-57" w:right="-30"/>
              <w:jc w:val="left"/>
              <w:rPr>
                <w:color w:val="000000"/>
                <w:sz w:val="16"/>
                <w:szCs w:val="16"/>
              </w:rPr>
            </w:pPr>
            <w:r w:rsidRPr="009E6D43">
              <w:rPr>
                <w:color w:val="000000"/>
                <w:sz w:val="16"/>
                <w:szCs w:val="16"/>
              </w:rPr>
              <w:t xml:space="preserve"> 35 808 977</w:t>
            </w:r>
          </w:p>
        </w:tc>
        <w:tc>
          <w:tcPr>
            <w:tcW w:w="999" w:type="dxa"/>
            <w:tcBorders>
              <w:top w:val="nil"/>
              <w:left w:val="nil"/>
              <w:bottom w:val="nil"/>
              <w:right w:val="single" w:sz="4" w:space="0" w:color="1F497D"/>
            </w:tcBorders>
            <w:shd w:val="clear" w:color="auto" w:fill="auto"/>
            <w:noWrap/>
            <w:vAlign w:val="center"/>
          </w:tcPr>
          <w:p w14:paraId="17F51666" w14:textId="49D1DFC4" w:rsidR="00165DD6" w:rsidRPr="009E6D43" w:rsidRDefault="00165DD6" w:rsidP="00165DD6">
            <w:pPr>
              <w:tabs>
                <w:tab w:val="decimal" w:pos="812"/>
              </w:tabs>
              <w:ind w:left="-57"/>
              <w:jc w:val="left"/>
              <w:rPr>
                <w:color w:val="000000"/>
                <w:sz w:val="16"/>
                <w:szCs w:val="16"/>
              </w:rPr>
            </w:pPr>
            <w:r w:rsidRPr="009E6D43">
              <w:rPr>
                <w:color w:val="000000"/>
                <w:sz w:val="16"/>
                <w:szCs w:val="16"/>
              </w:rPr>
              <w:t xml:space="preserve"> 1 078 097</w:t>
            </w:r>
          </w:p>
        </w:tc>
        <w:tc>
          <w:tcPr>
            <w:tcW w:w="693" w:type="dxa"/>
            <w:tcBorders>
              <w:top w:val="nil"/>
              <w:left w:val="nil"/>
              <w:bottom w:val="nil"/>
              <w:right w:val="nil"/>
            </w:tcBorders>
            <w:shd w:val="clear" w:color="auto" w:fill="auto"/>
            <w:noWrap/>
            <w:vAlign w:val="center"/>
          </w:tcPr>
          <w:p w14:paraId="3068F330" w14:textId="07D8B191" w:rsidR="00165DD6" w:rsidRPr="009E6D43" w:rsidRDefault="00165DD6" w:rsidP="00165DD6">
            <w:pPr>
              <w:tabs>
                <w:tab w:val="decimal" w:pos="317"/>
              </w:tabs>
              <w:ind w:left="-57"/>
              <w:jc w:val="left"/>
              <w:rPr>
                <w:color w:val="000000"/>
                <w:sz w:val="16"/>
                <w:szCs w:val="16"/>
              </w:rPr>
            </w:pPr>
            <w:r w:rsidRPr="009E6D43">
              <w:rPr>
                <w:color w:val="000000"/>
                <w:sz w:val="16"/>
                <w:szCs w:val="16"/>
              </w:rPr>
              <w:t>86.3</w:t>
            </w:r>
          </w:p>
        </w:tc>
        <w:tc>
          <w:tcPr>
            <w:tcW w:w="693" w:type="dxa"/>
            <w:tcBorders>
              <w:top w:val="nil"/>
              <w:left w:val="nil"/>
              <w:bottom w:val="nil"/>
              <w:right w:val="nil"/>
            </w:tcBorders>
            <w:shd w:val="clear" w:color="auto" w:fill="auto"/>
            <w:noWrap/>
            <w:vAlign w:val="center"/>
          </w:tcPr>
          <w:p w14:paraId="454651C1" w14:textId="456DDC34" w:rsidR="00165DD6" w:rsidRPr="009E6D43" w:rsidRDefault="00165DD6" w:rsidP="00165DD6">
            <w:pPr>
              <w:tabs>
                <w:tab w:val="decimal" w:pos="324"/>
              </w:tabs>
              <w:ind w:left="-57"/>
              <w:jc w:val="left"/>
              <w:rPr>
                <w:color w:val="000000"/>
                <w:sz w:val="16"/>
                <w:szCs w:val="16"/>
              </w:rPr>
            </w:pPr>
            <w:r w:rsidRPr="009E6D43">
              <w:rPr>
                <w:color w:val="000000"/>
                <w:sz w:val="16"/>
                <w:szCs w:val="16"/>
              </w:rPr>
              <w:t>88.0</w:t>
            </w:r>
          </w:p>
        </w:tc>
        <w:tc>
          <w:tcPr>
            <w:tcW w:w="914" w:type="dxa"/>
            <w:tcBorders>
              <w:top w:val="nil"/>
              <w:left w:val="nil"/>
              <w:bottom w:val="nil"/>
              <w:right w:val="single" w:sz="4" w:space="0" w:color="1F497D"/>
            </w:tcBorders>
            <w:shd w:val="clear" w:color="auto" w:fill="auto"/>
            <w:noWrap/>
            <w:vAlign w:val="center"/>
          </w:tcPr>
          <w:p w14:paraId="35BB205F" w14:textId="436C3617" w:rsidR="00165DD6" w:rsidRPr="009E6D43" w:rsidRDefault="00165DD6" w:rsidP="00165DD6">
            <w:pPr>
              <w:tabs>
                <w:tab w:val="decimal" w:pos="372"/>
              </w:tabs>
              <w:ind w:left="-57"/>
              <w:jc w:val="left"/>
              <w:rPr>
                <w:color w:val="000000"/>
                <w:sz w:val="16"/>
                <w:szCs w:val="16"/>
              </w:rPr>
            </w:pPr>
            <w:r w:rsidRPr="009E6D43">
              <w:rPr>
                <w:color w:val="000000"/>
                <w:sz w:val="16"/>
                <w:szCs w:val="16"/>
              </w:rPr>
              <w:t>1.6</w:t>
            </w:r>
          </w:p>
        </w:tc>
      </w:tr>
      <w:tr w:rsidR="00165DD6" w:rsidRPr="009E6D43" w14:paraId="0F54FFEB"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2E431D92" w14:textId="77777777" w:rsidR="00165DD6" w:rsidRPr="009E6D43" w:rsidRDefault="00165DD6" w:rsidP="00165DD6">
            <w:pPr>
              <w:jc w:val="left"/>
              <w:rPr>
                <w:b/>
                <w:bCs/>
                <w:color w:val="000000"/>
                <w:sz w:val="16"/>
                <w:szCs w:val="16"/>
                <w:lang w:val="es-MX" w:eastAsia="es-MX"/>
              </w:rPr>
            </w:pPr>
            <w:r w:rsidRPr="009E6D43">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5FD22814" w14:textId="7939108A" w:rsidR="00165DD6" w:rsidRPr="009E6D43" w:rsidRDefault="00165DD6" w:rsidP="00165DD6">
            <w:pPr>
              <w:tabs>
                <w:tab w:val="decimal" w:pos="787"/>
              </w:tabs>
              <w:ind w:left="-57"/>
              <w:jc w:val="left"/>
              <w:rPr>
                <w:b/>
                <w:bCs/>
                <w:color w:val="000000"/>
                <w:sz w:val="16"/>
                <w:szCs w:val="16"/>
                <w:lang w:val="es-MX" w:eastAsia="es-MX"/>
              </w:rPr>
            </w:pPr>
            <w:r w:rsidRPr="009E6D43">
              <w:rPr>
                <w:b/>
                <w:bCs/>
                <w:sz w:val="16"/>
                <w:szCs w:val="16"/>
              </w:rPr>
              <w:t xml:space="preserve"> 46 842 156</w:t>
            </w:r>
          </w:p>
        </w:tc>
        <w:tc>
          <w:tcPr>
            <w:tcW w:w="1013" w:type="dxa"/>
            <w:tcBorders>
              <w:top w:val="nil"/>
              <w:left w:val="nil"/>
              <w:bottom w:val="nil"/>
              <w:right w:val="nil"/>
            </w:tcBorders>
            <w:shd w:val="clear" w:color="auto" w:fill="auto"/>
            <w:noWrap/>
            <w:vAlign w:val="center"/>
          </w:tcPr>
          <w:p w14:paraId="1C587064" w14:textId="344900AE" w:rsidR="00165DD6" w:rsidRPr="009E6D43" w:rsidRDefault="00165DD6" w:rsidP="00165DD6">
            <w:pPr>
              <w:tabs>
                <w:tab w:val="decimal" w:pos="873"/>
              </w:tabs>
              <w:ind w:left="-57" w:right="-30"/>
              <w:jc w:val="left"/>
              <w:rPr>
                <w:b/>
                <w:bCs/>
                <w:color w:val="000000"/>
                <w:sz w:val="16"/>
                <w:szCs w:val="16"/>
                <w:lang w:val="es-MX" w:eastAsia="es-MX"/>
              </w:rPr>
            </w:pPr>
            <w:r w:rsidRPr="009E6D43">
              <w:rPr>
                <w:b/>
                <w:bCs/>
                <w:sz w:val="16"/>
                <w:szCs w:val="16"/>
              </w:rPr>
              <w:t xml:space="preserve"> 47 604 905</w:t>
            </w:r>
          </w:p>
        </w:tc>
        <w:tc>
          <w:tcPr>
            <w:tcW w:w="999" w:type="dxa"/>
            <w:tcBorders>
              <w:top w:val="nil"/>
              <w:left w:val="nil"/>
              <w:bottom w:val="nil"/>
              <w:right w:val="single" w:sz="4" w:space="0" w:color="1F497D"/>
            </w:tcBorders>
            <w:shd w:val="clear" w:color="auto" w:fill="auto"/>
            <w:noWrap/>
            <w:vAlign w:val="center"/>
          </w:tcPr>
          <w:p w14:paraId="07DC801A" w14:textId="31198440" w:rsidR="00165DD6" w:rsidRPr="009E6D43" w:rsidRDefault="00165DD6" w:rsidP="00165DD6">
            <w:pPr>
              <w:tabs>
                <w:tab w:val="decimal" w:pos="812"/>
              </w:tabs>
              <w:ind w:left="-57"/>
              <w:jc w:val="left"/>
              <w:rPr>
                <w:b/>
                <w:bCs/>
                <w:color w:val="000000"/>
                <w:sz w:val="16"/>
                <w:szCs w:val="16"/>
                <w:lang w:val="es-MX" w:eastAsia="es-MX"/>
              </w:rPr>
            </w:pPr>
            <w:r w:rsidRPr="009E6D43">
              <w:rPr>
                <w:b/>
                <w:bCs/>
                <w:color w:val="000000"/>
                <w:sz w:val="16"/>
                <w:szCs w:val="16"/>
              </w:rPr>
              <w:t>762 749</w:t>
            </w:r>
          </w:p>
        </w:tc>
        <w:tc>
          <w:tcPr>
            <w:tcW w:w="693" w:type="dxa"/>
            <w:tcBorders>
              <w:top w:val="nil"/>
              <w:left w:val="nil"/>
              <w:bottom w:val="nil"/>
              <w:right w:val="nil"/>
            </w:tcBorders>
            <w:shd w:val="clear" w:color="auto" w:fill="auto"/>
            <w:noWrap/>
            <w:vAlign w:val="center"/>
          </w:tcPr>
          <w:p w14:paraId="312B1BC5" w14:textId="24A849FB" w:rsidR="00165DD6" w:rsidRPr="009E6D43" w:rsidRDefault="00165DD6" w:rsidP="00165DD6">
            <w:pPr>
              <w:tabs>
                <w:tab w:val="decimal" w:pos="317"/>
              </w:tabs>
              <w:ind w:left="-57"/>
              <w:jc w:val="left"/>
              <w:rPr>
                <w:b/>
                <w:bCs/>
                <w:color w:val="000000"/>
                <w:sz w:val="16"/>
                <w:szCs w:val="16"/>
                <w:lang w:val="es-MX" w:eastAsia="es-MX"/>
              </w:rPr>
            </w:pPr>
            <w:r w:rsidRPr="009E6D43">
              <w:rPr>
                <w:b/>
                <w:bCs/>
                <w:color w:val="000000"/>
                <w:sz w:val="16"/>
                <w:szCs w:val="16"/>
              </w:rPr>
              <w:t>100.0</w:t>
            </w:r>
          </w:p>
        </w:tc>
        <w:tc>
          <w:tcPr>
            <w:tcW w:w="693" w:type="dxa"/>
            <w:tcBorders>
              <w:top w:val="nil"/>
              <w:left w:val="nil"/>
              <w:bottom w:val="nil"/>
              <w:right w:val="nil"/>
            </w:tcBorders>
            <w:shd w:val="clear" w:color="auto" w:fill="auto"/>
            <w:noWrap/>
            <w:vAlign w:val="center"/>
          </w:tcPr>
          <w:p w14:paraId="5DD5227E" w14:textId="73926C33" w:rsidR="00165DD6" w:rsidRPr="009E6D43" w:rsidRDefault="00165DD6" w:rsidP="00165DD6">
            <w:pPr>
              <w:tabs>
                <w:tab w:val="decimal" w:pos="324"/>
              </w:tabs>
              <w:ind w:left="-57"/>
              <w:jc w:val="left"/>
              <w:rPr>
                <w:sz w:val="16"/>
                <w:szCs w:val="16"/>
                <w:lang w:val="es-MX" w:eastAsia="es-MX"/>
              </w:rPr>
            </w:pPr>
            <w:r w:rsidRPr="009E6D43">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991204" w14:textId="6AD91887" w:rsidR="00165DD6" w:rsidRPr="009E6D43" w:rsidRDefault="00165DD6" w:rsidP="00165DD6">
            <w:pPr>
              <w:tabs>
                <w:tab w:val="decimal" w:pos="372"/>
              </w:tabs>
              <w:ind w:left="-57"/>
              <w:jc w:val="left"/>
              <w:rPr>
                <w:b/>
                <w:bCs/>
                <w:color w:val="000000"/>
                <w:sz w:val="16"/>
                <w:szCs w:val="16"/>
                <w:lang w:val="es-MX" w:eastAsia="es-MX"/>
              </w:rPr>
            </w:pPr>
            <w:r w:rsidRPr="009E6D43">
              <w:rPr>
                <w:b/>
                <w:bCs/>
                <w:color w:val="000000"/>
                <w:sz w:val="16"/>
                <w:szCs w:val="16"/>
              </w:rPr>
              <w:t> </w:t>
            </w:r>
          </w:p>
        </w:tc>
      </w:tr>
      <w:tr w:rsidR="00165DD6" w:rsidRPr="009E6D43" w14:paraId="40FBC384"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4AEA9364" w14:textId="0843AD69" w:rsidR="00165DD6" w:rsidRPr="009E6D43" w:rsidRDefault="00165DD6" w:rsidP="00165DD6">
            <w:pPr>
              <w:ind w:firstLineChars="100" w:firstLine="160"/>
              <w:jc w:val="left"/>
              <w:rPr>
                <w:color w:val="000000"/>
                <w:sz w:val="16"/>
                <w:szCs w:val="16"/>
                <w:lang w:val="es-MX" w:eastAsia="es-MX"/>
              </w:rPr>
            </w:pPr>
            <w:r w:rsidRPr="009E6D43">
              <w:rPr>
                <w:color w:val="000000"/>
                <w:sz w:val="16"/>
                <w:szCs w:val="16"/>
                <w:lang w:val="es-MX" w:eastAsia="es-MX"/>
              </w:rPr>
              <w:t>Población económicamente activa (</w:t>
            </w:r>
            <w:r w:rsidRPr="009E6D43">
              <w:rPr>
                <w:smallCaps/>
                <w:color w:val="000000"/>
                <w:sz w:val="16"/>
                <w:szCs w:val="16"/>
                <w:lang w:val="es-MX" w:eastAsia="es-MX"/>
              </w:rPr>
              <w:t>pea</w:t>
            </w:r>
            <w:r w:rsidRPr="009E6D43">
              <w:rPr>
                <w:color w:val="000000"/>
                <w:sz w:val="16"/>
                <w:szCs w:val="16"/>
                <w:lang w:val="es-MX" w:eastAsia="es-MX"/>
              </w:rPr>
              <w:t>)</w:t>
            </w:r>
            <w:r w:rsidRPr="009E6D43">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42545F0" w14:textId="74F48DA3"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35 345 971</w:t>
            </w:r>
          </w:p>
        </w:tc>
        <w:tc>
          <w:tcPr>
            <w:tcW w:w="1013" w:type="dxa"/>
            <w:tcBorders>
              <w:top w:val="nil"/>
              <w:left w:val="nil"/>
              <w:bottom w:val="nil"/>
              <w:right w:val="nil"/>
            </w:tcBorders>
            <w:shd w:val="clear" w:color="auto" w:fill="auto"/>
            <w:noWrap/>
            <w:vAlign w:val="center"/>
          </w:tcPr>
          <w:p w14:paraId="44F8BD29" w14:textId="18C2CB69"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35 815 748</w:t>
            </w:r>
          </w:p>
        </w:tc>
        <w:tc>
          <w:tcPr>
            <w:tcW w:w="999" w:type="dxa"/>
            <w:tcBorders>
              <w:top w:val="nil"/>
              <w:left w:val="nil"/>
              <w:bottom w:val="nil"/>
              <w:right w:val="single" w:sz="4" w:space="0" w:color="1F497D"/>
            </w:tcBorders>
            <w:shd w:val="clear" w:color="auto" w:fill="auto"/>
            <w:noWrap/>
            <w:vAlign w:val="center"/>
          </w:tcPr>
          <w:p w14:paraId="157DB7D9" w14:textId="66415336"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469 777</w:t>
            </w:r>
          </w:p>
        </w:tc>
        <w:tc>
          <w:tcPr>
            <w:tcW w:w="693" w:type="dxa"/>
            <w:tcBorders>
              <w:top w:val="nil"/>
              <w:left w:val="nil"/>
              <w:bottom w:val="nil"/>
              <w:right w:val="nil"/>
            </w:tcBorders>
            <w:shd w:val="clear" w:color="auto" w:fill="auto"/>
            <w:noWrap/>
            <w:vAlign w:val="center"/>
          </w:tcPr>
          <w:p w14:paraId="1302AD2B" w14:textId="0166CBC5"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75.5</w:t>
            </w:r>
          </w:p>
        </w:tc>
        <w:tc>
          <w:tcPr>
            <w:tcW w:w="693" w:type="dxa"/>
            <w:tcBorders>
              <w:top w:val="nil"/>
              <w:left w:val="nil"/>
              <w:bottom w:val="nil"/>
              <w:right w:val="nil"/>
            </w:tcBorders>
            <w:shd w:val="clear" w:color="auto" w:fill="auto"/>
            <w:noWrap/>
            <w:vAlign w:val="center"/>
          </w:tcPr>
          <w:p w14:paraId="68B9F9F9" w14:textId="30EE09FB"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75.2</w:t>
            </w:r>
          </w:p>
        </w:tc>
        <w:tc>
          <w:tcPr>
            <w:tcW w:w="914" w:type="dxa"/>
            <w:tcBorders>
              <w:top w:val="nil"/>
              <w:left w:val="nil"/>
              <w:bottom w:val="nil"/>
              <w:right w:val="single" w:sz="4" w:space="0" w:color="1F497D"/>
            </w:tcBorders>
            <w:shd w:val="clear" w:color="auto" w:fill="auto"/>
            <w:noWrap/>
            <w:vAlign w:val="center"/>
          </w:tcPr>
          <w:p w14:paraId="41B7BDDE" w14:textId="561040F3"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-0.2</w:t>
            </w:r>
          </w:p>
        </w:tc>
      </w:tr>
      <w:tr w:rsidR="00165DD6" w:rsidRPr="009E6D43" w14:paraId="3260970D"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15887EF0" w14:textId="1B50BEA1" w:rsidR="00165DD6" w:rsidRPr="009E6D43" w:rsidRDefault="00165DD6" w:rsidP="00165DD6">
            <w:pPr>
              <w:ind w:firstLineChars="200" w:firstLine="320"/>
              <w:jc w:val="left"/>
              <w:rPr>
                <w:color w:val="000000"/>
                <w:sz w:val="16"/>
                <w:szCs w:val="16"/>
                <w:lang w:val="es-MX" w:eastAsia="es-MX"/>
              </w:rPr>
            </w:pPr>
            <w:proofErr w:type="spellStart"/>
            <w:r w:rsidRPr="009E6D43">
              <w:rPr>
                <w:color w:val="000000"/>
                <w:sz w:val="16"/>
                <w:szCs w:val="16"/>
                <w:lang w:val="es-MX" w:eastAsia="es-MX"/>
              </w:rPr>
              <w:t>Ocupada</w:t>
            </w:r>
            <w:r w:rsidRPr="009E6D43">
              <w:rPr>
                <w:color w:val="000000"/>
                <w:sz w:val="18"/>
                <w:szCs w:val="16"/>
                <w:vertAlign w:val="superscript"/>
                <w:lang w:val="es-MX" w:eastAsia="es-MX"/>
              </w:rPr>
              <w:t>b</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307A8AD1" w14:textId="1EFA1A19"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34 306 353</w:t>
            </w:r>
          </w:p>
        </w:tc>
        <w:tc>
          <w:tcPr>
            <w:tcW w:w="1013" w:type="dxa"/>
            <w:tcBorders>
              <w:top w:val="nil"/>
              <w:left w:val="nil"/>
              <w:bottom w:val="nil"/>
              <w:right w:val="nil"/>
            </w:tcBorders>
            <w:shd w:val="clear" w:color="auto" w:fill="auto"/>
            <w:noWrap/>
            <w:vAlign w:val="center"/>
          </w:tcPr>
          <w:p w14:paraId="682C2E4B" w14:textId="403EA09C"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34 874 362</w:t>
            </w:r>
          </w:p>
        </w:tc>
        <w:tc>
          <w:tcPr>
            <w:tcW w:w="999" w:type="dxa"/>
            <w:tcBorders>
              <w:top w:val="nil"/>
              <w:left w:val="nil"/>
              <w:bottom w:val="nil"/>
              <w:right w:val="single" w:sz="4" w:space="0" w:color="1F497D"/>
            </w:tcBorders>
            <w:shd w:val="clear" w:color="auto" w:fill="auto"/>
            <w:noWrap/>
            <w:vAlign w:val="center"/>
          </w:tcPr>
          <w:p w14:paraId="01F8E032" w14:textId="66565812"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 xml:space="preserve">  568 009</w:t>
            </w:r>
          </w:p>
        </w:tc>
        <w:tc>
          <w:tcPr>
            <w:tcW w:w="693" w:type="dxa"/>
            <w:tcBorders>
              <w:top w:val="nil"/>
              <w:left w:val="nil"/>
              <w:bottom w:val="nil"/>
              <w:right w:val="nil"/>
            </w:tcBorders>
            <w:shd w:val="clear" w:color="auto" w:fill="auto"/>
            <w:noWrap/>
            <w:vAlign w:val="center"/>
          </w:tcPr>
          <w:p w14:paraId="43BD95B0" w14:textId="7F7A4CD6"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97.1</w:t>
            </w:r>
          </w:p>
        </w:tc>
        <w:tc>
          <w:tcPr>
            <w:tcW w:w="693" w:type="dxa"/>
            <w:tcBorders>
              <w:top w:val="nil"/>
              <w:left w:val="nil"/>
              <w:bottom w:val="nil"/>
              <w:right w:val="nil"/>
            </w:tcBorders>
            <w:shd w:val="clear" w:color="auto" w:fill="auto"/>
            <w:noWrap/>
            <w:vAlign w:val="center"/>
          </w:tcPr>
          <w:p w14:paraId="5B244B44" w14:textId="41C49CD0"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97.4</w:t>
            </w:r>
          </w:p>
        </w:tc>
        <w:tc>
          <w:tcPr>
            <w:tcW w:w="914" w:type="dxa"/>
            <w:tcBorders>
              <w:top w:val="nil"/>
              <w:left w:val="nil"/>
              <w:bottom w:val="nil"/>
              <w:right w:val="single" w:sz="4" w:space="0" w:color="1F497D"/>
            </w:tcBorders>
            <w:shd w:val="clear" w:color="auto" w:fill="auto"/>
            <w:noWrap/>
            <w:vAlign w:val="center"/>
          </w:tcPr>
          <w:p w14:paraId="1A6867BE" w14:textId="335F5733"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0.3</w:t>
            </w:r>
          </w:p>
        </w:tc>
      </w:tr>
      <w:tr w:rsidR="00165DD6" w:rsidRPr="009E6D43" w14:paraId="35F0A923"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3E8F9BF3" w14:textId="03ADF491" w:rsidR="00165DD6" w:rsidRPr="009E6D43" w:rsidRDefault="00165DD6" w:rsidP="00165DD6">
            <w:pPr>
              <w:ind w:firstLineChars="200" w:firstLine="320"/>
              <w:jc w:val="left"/>
              <w:rPr>
                <w:color w:val="000000"/>
                <w:sz w:val="16"/>
                <w:szCs w:val="16"/>
                <w:lang w:val="es-MX" w:eastAsia="es-MX"/>
              </w:rPr>
            </w:pPr>
            <w:proofErr w:type="spellStart"/>
            <w:r w:rsidRPr="009E6D43">
              <w:rPr>
                <w:color w:val="000000"/>
                <w:sz w:val="16"/>
                <w:szCs w:val="16"/>
                <w:lang w:val="es-MX" w:eastAsia="es-MX"/>
              </w:rPr>
              <w:t>Desocupada</w:t>
            </w:r>
            <w:r w:rsidRPr="009E6D43">
              <w:rPr>
                <w:color w:val="000000"/>
                <w:sz w:val="18"/>
                <w:szCs w:val="16"/>
                <w:vertAlign w:val="superscript"/>
                <w:lang w:val="es-MX" w:eastAsia="es-MX"/>
              </w:rPr>
              <w:t>b</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265E8508" w14:textId="1E319E81"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1 039 618</w:t>
            </w:r>
          </w:p>
        </w:tc>
        <w:tc>
          <w:tcPr>
            <w:tcW w:w="1013" w:type="dxa"/>
            <w:tcBorders>
              <w:top w:val="nil"/>
              <w:left w:val="nil"/>
              <w:bottom w:val="nil"/>
              <w:right w:val="nil"/>
            </w:tcBorders>
            <w:shd w:val="clear" w:color="auto" w:fill="auto"/>
            <w:noWrap/>
            <w:vAlign w:val="center"/>
          </w:tcPr>
          <w:p w14:paraId="13224FE3" w14:textId="71C0F7AB"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941 386</w:t>
            </w:r>
          </w:p>
        </w:tc>
        <w:tc>
          <w:tcPr>
            <w:tcW w:w="999" w:type="dxa"/>
            <w:tcBorders>
              <w:top w:val="nil"/>
              <w:left w:val="nil"/>
              <w:bottom w:val="nil"/>
              <w:right w:val="single" w:sz="4" w:space="0" w:color="1F497D"/>
            </w:tcBorders>
            <w:shd w:val="clear" w:color="auto" w:fill="auto"/>
            <w:noWrap/>
            <w:vAlign w:val="center"/>
          </w:tcPr>
          <w:p w14:paraId="265F71FC" w14:textId="42206386"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-98 232</w:t>
            </w:r>
          </w:p>
        </w:tc>
        <w:tc>
          <w:tcPr>
            <w:tcW w:w="693" w:type="dxa"/>
            <w:tcBorders>
              <w:top w:val="nil"/>
              <w:left w:val="nil"/>
              <w:bottom w:val="nil"/>
              <w:right w:val="nil"/>
            </w:tcBorders>
            <w:shd w:val="clear" w:color="auto" w:fill="auto"/>
            <w:noWrap/>
            <w:vAlign w:val="center"/>
          </w:tcPr>
          <w:p w14:paraId="36A4A511" w14:textId="08DC28EB"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2.9</w:t>
            </w:r>
          </w:p>
        </w:tc>
        <w:tc>
          <w:tcPr>
            <w:tcW w:w="693" w:type="dxa"/>
            <w:tcBorders>
              <w:top w:val="nil"/>
              <w:left w:val="nil"/>
              <w:bottom w:val="nil"/>
              <w:right w:val="nil"/>
            </w:tcBorders>
            <w:shd w:val="clear" w:color="auto" w:fill="auto"/>
            <w:noWrap/>
            <w:vAlign w:val="center"/>
          </w:tcPr>
          <w:p w14:paraId="655D52D1" w14:textId="6DEB898E"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2.6</w:t>
            </w:r>
          </w:p>
        </w:tc>
        <w:tc>
          <w:tcPr>
            <w:tcW w:w="914" w:type="dxa"/>
            <w:tcBorders>
              <w:top w:val="nil"/>
              <w:left w:val="nil"/>
              <w:bottom w:val="nil"/>
              <w:right w:val="single" w:sz="4" w:space="0" w:color="1F497D"/>
            </w:tcBorders>
            <w:shd w:val="clear" w:color="auto" w:fill="auto"/>
            <w:noWrap/>
            <w:vAlign w:val="center"/>
          </w:tcPr>
          <w:p w14:paraId="483F0D5E" w14:textId="73681F41"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-0.3</w:t>
            </w:r>
          </w:p>
        </w:tc>
      </w:tr>
      <w:tr w:rsidR="00165DD6" w:rsidRPr="009E6D43" w14:paraId="450F920A"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6C958352" w14:textId="27604A6C" w:rsidR="00165DD6" w:rsidRPr="009E6D43" w:rsidRDefault="00165DD6" w:rsidP="00165DD6">
            <w:pPr>
              <w:ind w:firstLineChars="100" w:firstLine="160"/>
              <w:jc w:val="left"/>
              <w:rPr>
                <w:color w:val="000000"/>
                <w:sz w:val="16"/>
                <w:szCs w:val="16"/>
                <w:lang w:val="es-MX" w:eastAsia="es-MX"/>
              </w:rPr>
            </w:pPr>
            <w:r w:rsidRPr="009E6D43">
              <w:rPr>
                <w:color w:val="000000"/>
                <w:sz w:val="16"/>
                <w:szCs w:val="16"/>
                <w:lang w:val="es-MX" w:eastAsia="es-MX"/>
              </w:rPr>
              <w:t>Población no económicamente activa (</w:t>
            </w:r>
            <w:proofErr w:type="spellStart"/>
            <w:r w:rsidRPr="009E6D43">
              <w:rPr>
                <w:smallCaps/>
                <w:color w:val="000000"/>
                <w:sz w:val="16"/>
                <w:szCs w:val="16"/>
                <w:lang w:val="es-MX" w:eastAsia="es-MX"/>
              </w:rPr>
              <w:t>pnea</w:t>
            </w:r>
            <w:proofErr w:type="spellEnd"/>
            <w:r w:rsidRPr="009E6D43">
              <w:rPr>
                <w:color w:val="000000"/>
                <w:sz w:val="16"/>
                <w:szCs w:val="16"/>
                <w:lang w:val="es-MX" w:eastAsia="es-MX"/>
              </w:rPr>
              <w:t>)</w:t>
            </w:r>
            <w:r w:rsidRPr="009E6D43">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EDBD84D" w14:textId="70598349"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11 496 185</w:t>
            </w:r>
          </w:p>
        </w:tc>
        <w:tc>
          <w:tcPr>
            <w:tcW w:w="1013" w:type="dxa"/>
            <w:tcBorders>
              <w:top w:val="nil"/>
              <w:left w:val="nil"/>
              <w:bottom w:val="nil"/>
              <w:right w:val="nil"/>
            </w:tcBorders>
            <w:shd w:val="clear" w:color="auto" w:fill="auto"/>
            <w:noWrap/>
            <w:vAlign w:val="center"/>
          </w:tcPr>
          <w:p w14:paraId="1305D106" w14:textId="07C4A99D"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11 789 157</w:t>
            </w:r>
          </w:p>
        </w:tc>
        <w:tc>
          <w:tcPr>
            <w:tcW w:w="999" w:type="dxa"/>
            <w:tcBorders>
              <w:top w:val="nil"/>
              <w:left w:val="nil"/>
              <w:bottom w:val="nil"/>
              <w:right w:val="single" w:sz="4" w:space="0" w:color="1F497D"/>
            </w:tcBorders>
            <w:shd w:val="clear" w:color="auto" w:fill="auto"/>
            <w:noWrap/>
            <w:vAlign w:val="center"/>
          </w:tcPr>
          <w:p w14:paraId="61309EDB" w14:textId="3BF03549"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292 972</w:t>
            </w:r>
          </w:p>
        </w:tc>
        <w:tc>
          <w:tcPr>
            <w:tcW w:w="693" w:type="dxa"/>
            <w:tcBorders>
              <w:top w:val="nil"/>
              <w:left w:val="nil"/>
              <w:bottom w:val="nil"/>
              <w:right w:val="nil"/>
            </w:tcBorders>
            <w:shd w:val="clear" w:color="auto" w:fill="auto"/>
            <w:noWrap/>
            <w:vAlign w:val="center"/>
          </w:tcPr>
          <w:p w14:paraId="214B22EF" w14:textId="6A2294DD"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24.5</w:t>
            </w:r>
          </w:p>
        </w:tc>
        <w:tc>
          <w:tcPr>
            <w:tcW w:w="693" w:type="dxa"/>
            <w:tcBorders>
              <w:top w:val="nil"/>
              <w:left w:val="nil"/>
              <w:bottom w:val="nil"/>
              <w:right w:val="nil"/>
            </w:tcBorders>
            <w:shd w:val="clear" w:color="auto" w:fill="auto"/>
            <w:noWrap/>
            <w:vAlign w:val="center"/>
          </w:tcPr>
          <w:p w14:paraId="5A87E977" w14:textId="17497A6D"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24.8</w:t>
            </w:r>
          </w:p>
        </w:tc>
        <w:tc>
          <w:tcPr>
            <w:tcW w:w="914" w:type="dxa"/>
            <w:tcBorders>
              <w:top w:val="nil"/>
              <w:left w:val="nil"/>
              <w:bottom w:val="nil"/>
              <w:right w:val="single" w:sz="4" w:space="0" w:color="1F497D"/>
            </w:tcBorders>
            <w:shd w:val="clear" w:color="auto" w:fill="auto"/>
            <w:noWrap/>
            <w:vAlign w:val="center"/>
          </w:tcPr>
          <w:p w14:paraId="2B144E60" w14:textId="555AEF8B"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0.2</w:t>
            </w:r>
          </w:p>
        </w:tc>
      </w:tr>
      <w:tr w:rsidR="00165DD6" w:rsidRPr="009E6D43" w14:paraId="461C14CA"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01626952" w14:textId="3413CA55" w:rsidR="00165DD6" w:rsidRPr="009E6D43" w:rsidRDefault="00165DD6" w:rsidP="00165DD6">
            <w:pPr>
              <w:ind w:firstLineChars="200" w:firstLine="320"/>
              <w:jc w:val="left"/>
              <w:rPr>
                <w:color w:val="000000"/>
                <w:sz w:val="16"/>
                <w:szCs w:val="16"/>
                <w:lang w:val="es-MX" w:eastAsia="es-MX"/>
              </w:rPr>
            </w:pPr>
            <w:proofErr w:type="spellStart"/>
            <w:r w:rsidRPr="009E6D43">
              <w:rPr>
                <w:color w:val="000000"/>
                <w:sz w:val="16"/>
                <w:szCs w:val="16"/>
                <w:lang w:val="es-MX" w:eastAsia="es-MX"/>
              </w:rPr>
              <w:t>Disponible</w:t>
            </w:r>
            <w:r w:rsidRPr="009E6D43">
              <w:rPr>
                <w:color w:val="000000"/>
                <w:sz w:val="18"/>
                <w:szCs w:val="16"/>
                <w:vertAlign w:val="superscript"/>
                <w:lang w:val="es-MX" w:eastAsia="es-MX"/>
              </w:rPr>
              <w:t>c</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376F208B" w14:textId="6E758CBD"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1 837 568</w:t>
            </w:r>
          </w:p>
        </w:tc>
        <w:tc>
          <w:tcPr>
            <w:tcW w:w="1013" w:type="dxa"/>
            <w:tcBorders>
              <w:top w:val="nil"/>
              <w:left w:val="nil"/>
              <w:bottom w:val="nil"/>
              <w:right w:val="nil"/>
            </w:tcBorders>
            <w:shd w:val="clear" w:color="auto" w:fill="auto"/>
            <w:noWrap/>
            <w:vAlign w:val="center"/>
          </w:tcPr>
          <w:p w14:paraId="3D403F5A" w14:textId="103D7A78"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1 700 510</w:t>
            </w:r>
          </w:p>
        </w:tc>
        <w:tc>
          <w:tcPr>
            <w:tcW w:w="999" w:type="dxa"/>
            <w:tcBorders>
              <w:top w:val="nil"/>
              <w:left w:val="nil"/>
              <w:bottom w:val="nil"/>
              <w:right w:val="single" w:sz="4" w:space="0" w:color="1F497D"/>
            </w:tcBorders>
            <w:shd w:val="clear" w:color="auto" w:fill="auto"/>
            <w:noWrap/>
            <w:vAlign w:val="center"/>
          </w:tcPr>
          <w:p w14:paraId="64CB303E" w14:textId="2D57B7C6"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-137 058</w:t>
            </w:r>
          </w:p>
        </w:tc>
        <w:tc>
          <w:tcPr>
            <w:tcW w:w="693" w:type="dxa"/>
            <w:tcBorders>
              <w:top w:val="nil"/>
              <w:left w:val="nil"/>
              <w:bottom w:val="nil"/>
              <w:right w:val="nil"/>
            </w:tcBorders>
            <w:shd w:val="clear" w:color="auto" w:fill="auto"/>
            <w:noWrap/>
            <w:vAlign w:val="center"/>
          </w:tcPr>
          <w:p w14:paraId="62069E7A" w14:textId="296C2FC1"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16.0</w:t>
            </w:r>
          </w:p>
        </w:tc>
        <w:tc>
          <w:tcPr>
            <w:tcW w:w="693" w:type="dxa"/>
            <w:tcBorders>
              <w:top w:val="nil"/>
              <w:left w:val="nil"/>
              <w:bottom w:val="nil"/>
              <w:right w:val="nil"/>
            </w:tcBorders>
            <w:shd w:val="clear" w:color="auto" w:fill="auto"/>
            <w:noWrap/>
            <w:vAlign w:val="center"/>
          </w:tcPr>
          <w:p w14:paraId="32FA9400" w14:textId="21DB3ED7"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14.4</w:t>
            </w:r>
          </w:p>
        </w:tc>
        <w:tc>
          <w:tcPr>
            <w:tcW w:w="914" w:type="dxa"/>
            <w:tcBorders>
              <w:top w:val="nil"/>
              <w:left w:val="nil"/>
              <w:bottom w:val="nil"/>
              <w:right w:val="single" w:sz="4" w:space="0" w:color="1F497D"/>
            </w:tcBorders>
            <w:shd w:val="clear" w:color="auto" w:fill="auto"/>
            <w:noWrap/>
            <w:vAlign w:val="center"/>
          </w:tcPr>
          <w:p w14:paraId="520C8A22" w14:textId="5D8D2144"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-1.6</w:t>
            </w:r>
          </w:p>
        </w:tc>
      </w:tr>
      <w:tr w:rsidR="00165DD6" w:rsidRPr="009E6D43" w14:paraId="6DACFD9F"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3E566C70" w14:textId="7645E216" w:rsidR="00165DD6" w:rsidRPr="009E6D43" w:rsidRDefault="00165DD6" w:rsidP="00165DD6">
            <w:pPr>
              <w:ind w:firstLineChars="200" w:firstLine="320"/>
              <w:jc w:val="left"/>
              <w:rPr>
                <w:color w:val="000000"/>
                <w:sz w:val="16"/>
                <w:szCs w:val="16"/>
                <w:lang w:val="es-MX" w:eastAsia="es-MX"/>
              </w:rPr>
            </w:pPr>
            <w:r w:rsidRPr="009E6D43">
              <w:rPr>
                <w:color w:val="000000"/>
                <w:sz w:val="16"/>
                <w:szCs w:val="16"/>
                <w:lang w:val="es-MX" w:eastAsia="es-MX"/>
              </w:rPr>
              <w:t xml:space="preserve">No </w:t>
            </w:r>
            <w:proofErr w:type="spellStart"/>
            <w:r w:rsidRPr="009E6D43">
              <w:rPr>
                <w:color w:val="000000"/>
                <w:sz w:val="16"/>
                <w:szCs w:val="16"/>
                <w:lang w:val="es-MX" w:eastAsia="es-MX"/>
              </w:rPr>
              <w:t>disponible</w:t>
            </w:r>
            <w:r w:rsidRPr="009E6D43">
              <w:rPr>
                <w:color w:val="000000"/>
                <w:sz w:val="18"/>
                <w:szCs w:val="16"/>
                <w:vertAlign w:val="superscript"/>
                <w:lang w:val="es-MX" w:eastAsia="es-MX"/>
              </w:rPr>
              <w:t>c</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148AE37A" w14:textId="2707B90B"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9 658 617</w:t>
            </w:r>
          </w:p>
        </w:tc>
        <w:tc>
          <w:tcPr>
            <w:tcW w:w="1013" w:type="dxa"/>
            <w:tcBorders>
              <w:top w:val="nil"/>
              <w:left w:val="nil"/>
              <w:bottom w:val="nil"/>
              <w:right w:val="nil"/>
            </w:tcBorders>
            <w:shd w:val="clear" w:color="auto" w:fill="auto"/>
            <w:noWrap/>
            <w:vAlign w:val="center"/>
          </w:tcPr>
          <w:p w14:paraId="2F456A2E" w14:textId="724CF150"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10 088 647</w:t>
            </w:r>
          </w:p>
        </w:tc>
        <w:tc>
          <w:tcPr>
            <w:tcW w:w="999" w:type="dxa"/>
            <w:tcBorders>
              <w:top w:val="nil"/>
              <w:left w:val="nil"/>
              <w:bottom w:val="nil"/>
              <w:right w:val="single" w:sz="4" w:space="0" w:color="1F497D"/>
            </w:tcBorders>
            <w:shd w:val="clear" w:color="auto" w:fill="auto"/>
            <w:noWrap/>
            <w:vAlign w:val="center"/>
          </w:tcPr>
          <w:p w14:paraId="15073CA8" w14:textId="02E431E7"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430 030</w:t>
            </w:r>
          </w:p>
        </w:tc>
        <w:tc>
          <w:tcPr>
            <w:tcW w:w="693" w:type="dxa"/>
            <w:tcBorders>
              <w:top w:val="nil"/>
              <w:left w:val="nil"/>
              <w:bottom w:val="nil"/>
              <w:right w:val="nil"/>
            </w:tcBorders>
            <w:shd w:val="clear" w:color="auto" w:fill="auto"/>
            <w:noWrap/>
            <w:vAlign w:val="center"/>
          </w:tcPr>
          <w:p w14:paraId="51AEB99E" w14:textId="4FA0E3BC"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84.0</w:t>
            </w:r>
          </w:p>
        </w:tc>
        <w:tc>
          <w:tcPr>
            <w:tcW w:w="693" w:type="dxa"/>
            <w:tcBorders>
              <w:top w:val="nil"/>
              <w:left w:val="nil"/>
              <w:bottom w:val="nil"/>
              <w:right w:val="nil"/>
            </w:tcBorders>
            <w:shd w:val="clear" w:color="auto" w:fill="auto"/>
            <w:noWrap/>
            <w:vAlign w:val="center"/>
          </w:tcPr>
          <w:p w14:paraId="3713D244" w14:textId="388FAB58"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85.6</w:t>
            </w:r>
          </w:p>
        </w:tc>
        <w:tc>
          <w:tcPr>
            <w:tcW w:w="914" w:type="dxa"/>
            <w:tcBorders>
              <w:top w:val="nil"/>
              <w:left w:val="nil"/>
              <w:bottom w:val="nil"/>
              <w:right w:val="single" w:sz="4" w:space="0" w:color="1F497D"/>
            </w:tcBorders>
            <w:shd w:val="clear" w:color="auto" w:fill="auto"/>
            <w:noWrap/>
            <w:vAlign w:val="center"/>
          </w:tcPr>
          <w:p w14:paraId="0E765BD0" w14:textId="5D573DA6"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1.6</w:t>
            </w:r>
          </w:p>
        </w:tc>
      </w:tr>
      <w:tr w:rsidR="00165DD6" w:rsidRPr="009E6D43" w14:paraId="7E474D37"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208AAC68" w14:textId="77777777" w:rsidR="00165DD6" w:rsidRPr="009E6D43" w:rsidRDefault="00165DD6" w:rsidP="00165DD6">
            <w:pPr>
              <w:jc w:val="left"/>
              <w:rPr>
                <w:b/>
                <w:bCs/>
                <w:color w:val="000000"/>
                <w:sz w:val="16"/>
                <w:szCs w:val="16"/>
                <w:lang w:val="es-MX" w:eastAsia="es-MX"/>
              </w:rPr>
            </w:pPr>
            <w:r w:rsidRPr="009E6D43">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0304DE23" w14:textId="491B2F62" w:rsidR="00165DD6" w:rsidRPr="009E6D43" w:rsidRDefault="00165DD6" w:rsidP="00165DD6">
            <w:pPr>
              <w:tabs>
                <w:tab w:val="decimal" w:pos="787"/>
              </w:tabs>
              <w:ind w:left="-57"/>
              <w:jc w:val="left"/>
              <w:rPr>
                <w:b/>
                <w:bCs/>
                <w:color w:val="000000"/>
                <w:sz w:val="16"/>
                <w:szCs w:val="16"/>
                <w:lang w:val="es-MX" w:eastAsia="es-MX"/>
              </w:rPr>
            </w:pPr>
            <w:r w:rsidRPr="009E6D43">
              <w:rPr>
                <w:b/>
                <w:bCs/>
                <w:sz w:val="16"/>
                <w:szCs w:val="16"/>
              </w:rPr>
              <w:t xml:space="preserve"> 52 996 822</w:t>
            </w:r>
          </w:p>
        </w:tc>
        <w:tc>
          <w:tcPr>
            <w:tcW w:w="1013" w:type="dxa"/>
            <w:tcBorders>
              <w:top w:val="nil"/>
              <w:left w:val="nil"/>
              <w:bottom w:val="nil"/>
              <w:right w:val="nil"/>
            </w:tcBorders>
            <w:shd w:val="clear" w:color="auto" w:fill="auto"/>
            <w:noWrap/>
            <w:vAlign w:val="center"/>
          </w:tcPr>
          <w:p w14:paraId="6CCA9BB6" w14:textId="16484CA7" w:rsidR="00165DD6" w:rsidRPr="009E6D43" w:rsidRDefault="00165DD6" w:rsidP="00165DD6">
            <w:pPr>
              <w:tabs>
                <w:tab w:val="decimal" w:pos="873"/>
              </w:tabs>
              <w:ind w:left="-57" w:right="-30"/>
              <w:jc w:val="left"/>
              <w:rPr>
                <w:b/>
                <w:bCs/>
                <w:color w:val="000000"/>
                <w:sz w:val="16"/>
                <w:szCs w:val="16"/>
                <w:lang w:val="es-MX" w:eastAsia="es-MX"/>
              </w:rPr>
            </w:pPr>
            <w:r w:rsidRPr="009E6D43">
              <w:rPr>
                <w:b/>
                <w:bCs/>
                <w:sz w:val="16"/>
                <w:szCs w:val="16"/>
              </w:rPr>
              <w:t xml:space="preserve"> 53 843 311</w:t>
            </w:r>
          </w:p>
        </w:tc>
        <w:tc>
          <w:tcPr>
            <w:tcW w:w="999" w:type="dxa"/>
            <w:tcBorders>
              <w:top w:val="nil"/>
              <w:left w:val="nil"/>
              <w:bottom w:val="nil"/>
              <w:right w:val="single" w:sz="4" w:space="0" w:color="1F497D"/>
            </w:tcBorders>
            <w:shd w:val="clear" w:color="auto" w:fill="auto"/>
            <w:noWrap/>
            <w:vAlign w:val="center"/>
          </w:tcPr>
          <w:p w14:paraId="33C47B66" w14:textId="26424418" w:rsidR="00165DD6" w:rsidRPr="009E6D43" w:rsidRDefault="00165DD6" w:rsidP="00165DD6">
            <w:pPr>
              <w:tabs>
                <w:tab w:val="decimal" w:pos="812"/>
              </w:tabs>
              <w:ind w:left="-57"/>
              <w:jc w:val="left"/>
              <w:rPr>
                <w:b/>
                <w:bCs/>
                <w:color w:val="000000"/>
                <w:sz w:val="16"/>
                <w:szCs w:val="16"/>
                <w:lang w:val="es-MX" w:eastAsia="es-MX"/>
              </w:rPr>
            </w:pPr>
            <w:r w:rsidRPr="009E6D43">
              <w:rPr>
                <w:b/>
                <w:bCs/>
                <w:color w:val="000000"/>
                <w:sz w:val="16"/>
                <w:szCs w:val="16"/>
              </w:rPr>
              <w:t xml:space="preserve">  846 489</w:t>
            </w:r>
          </w:p>
        </w:tc>
        <w:tc>
          <w:tcPr>
            <w:tcW w:w="693" w:type="dxa"/>
            <w:tcBorders>
              <w:top w:val="nil"/>
              <w:left w:val="nil"/>
              <w:bottom w:val="nil"/>
              <w:right w:val="nil"/>
            </w:tcBorders>
            <w:shd w:val="clear" w:color="auto" w:fill="auto"/>
            <w:noWrap/>
            <w:vAlign w:val="center"/>
          </w:tcPr>
          <w:p w14:paraId="13BEC037" w14:textId="127F966B" w:rsidR="00165DD6" w:rsidRPr="009E6D43" w:rsidRDefault="00165DD6" w:rsidP="00165DD6">
            <w:pPr>
              <w:tabs>
                <w:tab w:val="decimal" w:pos="317"/>
              </w:tabs>
              <w:ind w:left="-57"/>
              <w:jc w:val="left"/>
              <w:rPr>
                <w:b/>
                <w:bCs/>
                <w:color w:val="000000"/>
                <w:sz w:val="16"/>
                <w:szCs w:val="16"/>
                <w:lang w:val="es-MX" w:eastAsia="es-MX"/>
              </w:rPr>
            </w:pPr>
            <w:r w:rsidRPr="009E6D43">
              <w:rPr>
                <w:b/>
                <w:bCs/>
                <w:color w:val="000000"/>
                <w:sz w:val="16"/>
                <w:szCs w:val="16"/>
              </w:rPr>
              <w:t>100.0</w:t>
            </w:r>
          </w:p>
        </w:tc>
        <w:tc>
          <w:tcPr>
            <w:tcW w:w="693" w:type="dxa"/>
            <w:tcBorders>
              <w:top w:val="nil"/>
              <w:left w:val="nil"/>
              <w:bottom w:val="nil"/>
              <w:right w:val="nil"/>
            </w:tcBorders>
            <w:shd w:val="clear" w:color="auto" w:fill="auto"/>
            <w:noWrap/>
            <w:vAlign w:val="center"/>
          </w:tcPr>
          <w:p w14:paraId="17E0AE63" w14:textId="5C0C669B" w:rsidR="00165DD6" w:rsidRPr="009E6D43" w:rsidRDefault="00165DD6" w:rsidP="00165DD6">
            <w:pPr>
              <w:tabs>
                <w:tab w:val="decimal" w:pos="324"/>
              </w:tabs>
              <w:ind w:left="-57"/>
              <w:jc w:val="left"/>
              <w:rPr>
                <w:sz w:val="16"/>
                <w:szCs w:val="16"/>
                <w:lang w:val="es-MX" w:eastAsia="es-MX"/>
              </w:rPr>
            </w:pPr>
            <w:r w:rsidRPr="009E6D43">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18ECC7B" w14:textId="5877E5C1" w:rsidR="00165DD6" w:rsidRPr="009E6D43" w:rsidRDefault="00165DD6" w:rsidP="00165DD6">
            <w:pPr>
              <w:tabs>
                <w:tab w:val="decimal" w:pos="372"/>
              </w:tabs>
              <w:ind w:left="-57"/>
              <w:jc w:val="left"/>
              <w:rPr>
                <w:b/>
                <w:bCs/>
                <w:color w:val="000000"/>
                <w:sz w:val="16"/>
                <w:szCs w:val="16"/>
                <w:lang w:val="es-MX" w:eastAsia="es-MX"/>
              </w:rPr>
            </w:pPr>
            <w:r w:rsidRPr="009E6D43">
              <w:rPr>
                <w:b/>
                <w:bCs/>
                <w:color w:val="000000"/>
                <w:sz w:val="16"/>
                <w:szCs w:val="16"/>
              </w:rPr>
              <w:t> </w:t>
            </w:r>
          </w:p>
        </w:tc>
      </w:tr>
      <w:tr w:rsidR="00165DD6" w:rsidRPr="009E6D43" w14:paraId="2491A1BB"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106A4293" w14:textId="0980B35E" w:rsidR="00165DD6" w:rsidRPr="009E6D43" w:rsidRDefault="00165DD6" w:rsidP="00165DD6">
            <w:pPr>
              <w:ind w:firstLineChars="100" w:firstLine="160"/>
              <w:jc w:val="left"/>
              <w:rPr>
                <w:color w:val="000000"/>
                <w:sz w:val="16"/>
                <w:szCs w:val="16"/>
                <w:lang w:val="es-MX" w:eastAsia="es-MX"/>
              </w:rPr>
            </w:pPr>
            <w:r w:rsidRPr="009E6D43">
              <w:rPr>
                <w:color w:val="000000"/>
                <w:sz w:val="16"/>
                <w:szCs w:val="16"/>
                <w:lang w:val="es-MX" w:eastAsia="es-MX"/>
              </w:rPr>
              <w:t>Población económicamente activa (</w:t>
            </w:r>
            <w:r w:rsidRPr="009E6D43">
              <w:rPr>
                <w:smallCaps/>
                <w:color w:val="000000"/>
                <w:sz w:val="16"/>
                <w:szCs w:val="16"/>
                <w:lang w:val="es-MX" w:eastAsia="es-MX"/>
              </w:rPr>
              <w:t>pea</w:t>
            </w:r>
            <w:r w:rsidRPr="009E6D43">
              <w:rPr>
                <w:color w:val="000000"/>
                <w:sz w:val="16"/>
                <w:szCs w:val="16"/>
                <w:lang w:val="es-MX" w:eastAsia="es-MX"/>
              </w:rPr>
              <w:t>)</w:t>
            </w:r>
            <w:r w:rsidRPr="009E6D43">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788C42A" w14:textId="0106895F"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24 250 875</w:t>
            </w:r>
          </w:p>
        </w:tc>
        <w:tc>
          <w:tcPr>
            <w:tcW w:w="1013" w:type="dxa"/>
            <w:tcBorders>
              <w:top w:val="nil"/>
              <w:left w:val="nil"/>
              <w:bottom w:val="nil"/>
              <w:right w:val="nil"/>
            </w:tcBorders>
            <w:shd w:val="clear" w:color="auto" w:fill="auto"/>
            <w:noWrap/>
            <w:vAlign w:val="center"/>
          </w:tcPr>
          <w:p w14:paraId="34DA5307" w14:textId="48E7C02C"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24 918 104</w:t>
            </w:r>
          </w:p>
        </w:tc>
        <w:tc>
          <w:tcPr>
            <w:tcW w:w="999" w:type="dxa"/>
            <w:tcBorders>
              <w:top w:val="nil"/>
              <w:left w:val="nil"/>
              <w:bottom w:val="nil"/>
              <w:right w:val="single" w:sz="4" w:space="0" w:color="1F497D"/>
            </w:tcBorders>
            <w:shd w:val="clear" w:color="auto" w:fill="auto"/>
            <w:noWrap/>
            <w:vAlign w:val="center"/>
          </w:tcPr>
          <w:p w14:paraId="36B0103B" w14:textId="6CC92587"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 xml:space="preserve">  667 229</w:t>
            </w:r>
          </w:p>
        </w:tc>
        <w:tc>
          <w:tcPr>
            <w:tcW w:w="693" w:type="dxa"/>
            <w:tcBorders>
              <w:top w:val="nil"/>
              <w:left w:val="nil"/>
              <w:bottom w:val="nil"/>
              <w:right w:val="nil"/>
            </w:tcBorders>
            <w:shd w:val="clear" w:color="auto" w:fill="auto"/>
            <w:noWrap/>
            <w:vAlign w:val="center"/>
          </w:tcPr>
          <w:p w14:paraId="1B6B755D" w14:textId="65B771D8"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45.8</w:t>
            </w:r>
          </w:p>
        </w:tc>
        <w:tc>
          <w:tcPr>
            <w:tcW w:w="693" w:type="dxa"/>
            <w:tcBorders>
              <w:top w:val="nil"/>
              <w:left w:val="nil"/>
              <w:bottom w:val="nil"/>
              <w:right w:val="nil"/>
            </w:tcBorders>
            <w:shd w:val="clear" w:color="auto" w:fill="auto"/>
            <w:noWrap/>
            <w:vAlign w:val="center"/>
          </w:tcPr>
          <w:p w14:paraId="048220AB" w14:textId="4F610A4C"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46.3</w:t>
            </w:r>
          </w:p>
        </w:tc>
        <w:tc>
          <w:tcPr>
            <w:tcW w:w="914" w:type="dxa"/>
            <w:tcBorders>
              <w:top w:val="nil"/>
              <w:left w:val="nil"/>
              <w:bottom w:val="nil"/>
              <w:right w:val="single" w:sz="4" w:space="0" w:color="1F497D"/>
            </w:tcBorders>
            <w:shd w:val="clear" w:color="auto" w:fill="auto"/>
            <w:noWrap/>
            <w:vAlign w:val="center"/>
          </w:tcPr>
          <w:p w14:paraId="0F2BF639" w14:textId="78E657F2"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0.5</w:t>
            </w:r>
          </w:p>
        </w:tc>
      </w:tr>
      <w:tr w:rsidR="00165DD6" w:rsidRPr="009E6D43" w14:paraId="46329591"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01F63F2E" w14:textId="07414367" w:rsidR="00165DD6" w:rsidRPr="009E6D43" w:rsidRDefault="00165DD6" w:rsidP="00165DD6">
            <w:pPr>
              <w:ind w:firstLineChars="200" w:firstLine="320"/>
              <w:jc w:val="left"/>
              <w:rPr>
                <w:color w:val="000000"/>
                <w:sz w:val="16"/>
                <w:szCs w:val="16"/>
                <w:lang w:val="es-MX" w:eastAsia="es-MX"/>
              </w:rPr>
            </w:pPr>
            <w:proofErr w:type="spellStart"/>
            <w:r w:rsidRPr="009E6D43">
              <w:rPr>
                <w:color w:val="000000"/>
                <w:sz w:val="16"/>
                <w:szCs w:val="16"/>
                <w:lang w:val="es-MX" w:eastAsia="es-MX"/>
              </w:rPr>
              <w:t>Ocupada</w:t>
            </w:r>
            <w:r w:rsidRPr="009E6D43">
              <w:rPr>
                <w:color w:val="000000"/>
                <w:sz w:val="18"/>
                <w:szCs w:val="16"/>
                <w:vertAlign w:val="superscript"/>
                <w:lang w:val="es-MX" w:eastAsia="es-MX"/>
              </w:rPr>
              <w:t>b</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5EE27CAF" w14:textId="31664529"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23 643 623</w:t>
            </w:r>
          </w:p>
        </w:tc>
        <w:tc>
          <w:tcPr>
            <w:tcW w:w="1013" w:type="dxa"/>
            <w:tcBorders>
              <w:top w:val="nil"/>
              <w:left w:val="nil"/>
              <w:bottom w:val="nil"/>
              <w:right w:val="nil"/>
            </w:tcBorders>
            <w:shd w:val="clear" w:color="auto" w:fill="auto"/>
            <w:noWrap/>
            <w:vAlign w:val="center"/>
          </w:tcPr>
          <w:p w14:paraId="31D62F87" w14:textId="08CC87CA"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24 272 053</w:t>
            </w:r>
          </w:p>
        </w:tc>
        <w:tc>
          <w:tcPr>
            <w:tcW w:w="999" w:type="dxa"/>
            <w:tcBorders>
              <w:top w:val="nil"/>
              <w:left w:val="nil"/>
              <w:bottom w:val="nil"/>
              <w:right w:val="single" w:sz="4" w:space="0" w:color="1F497D"/>
            </w:tcBorders>
            <w:shd w:val="clear" w:color="auto" w:fill="auto"/>
            <w:noWrap/>
            <w:vAlign w:val="center"/>
          </w:tcPr>
          <w:p w14:paraId="00EA1262" w14:textId="7DEEA8AA"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 xml:space="preserve">  628 430</w:t>
            </w:r>
          </w:p>
        </w:tc>
        <w:tc>
          <w:tcPr>
            <w:tcW w:w="693" w:type="dxa"/>
            <w:tcBorders>
              <w:top w:val="nil"/>
              <w:left w:val="nil"/>
              <w:bottom w:val="nil"/>
              <w:right w:val="nil"/>
            </w:tcBorders>
            <w:shd w:val="clear" w:color="auto" w:fill="auto"/>
            <w:noWrap/>
            <w:vAlign w:val="center"/>
          </w:tcPr>
          <w:p w14:paraId="2ECFDFE4" w14:textId="19352490"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97.5</w:t>
            </w:r>
          </w:p>
        </w:tc>
        <w:tc>
          <w:tcPr>
            <w:tcW w:w="693" w:type="dxa"/>
            <w:tcBorders>
              <w:top w:val="nil"/>
              <w:left w:val="nil"/>
              <w:bottom w:val="nil"/>
              <w:right w:val="nil"/>
            </w:tcBorders>
            <w:shd w:val="clear" w:color="auto" w:fill="auto"/>
            <w:noWrap/>
            <w:vAlign w:val="center"/>
          </w:tcPr>
          <w:p w14:paraId="77CD00B2" w14:textId="6F8A4526"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97.4</w:t>
            </w:r>
          </w:p>
        </w:tc>
        <w:tc>
          <w:tcPr>
            <w:tcW w:w="914" w:type="dxa"/>
            <w:tcBorders>
              <w:top w:val="nil"/>
              <w:left w:val="nil"/>
              <w:bottom w:val="nil"/>
              <w:right w:val="single" w:sz="4" w:space="0" w:color="1F497D"/>
            </w:tcBorders>
            <w:shd w:val="clear" w:color="auto" w:fill="auto"/>
            <w:noWrap/>
            <w:vAlign w:val="center"/>
          </w:tcPr>
          <w:p w14:paraId="0EA0B453" w14:textId="566107F7"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-0.1</w:t>
            </w:r>
          </w:p>
        </w:tc>
      </w:tr>
      <w:tr w:rsidR="00165DD6" w:rsidRPr="009E6D43" w14:paraId="0FB9DF14"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1DA0A51C" w14:textId="6DC37CBD" w:rsidR="00165DD6" w:rsidRPr="009E6D43" w:rsidRDefault="00165DD6" w:rsidP="00165DD6">
            <w:pPr>
              <w:ind w:firstLineChars="200" w:firstLine="320"/>
              <w:jc w:val="left"/>
              <w:rPr>
                <w:color w:val="000000"/>
                <w:sz w:val="16"/>
                <w:szCs w:val="16"/>
                <w:lang w:val="es-MX" w:eastAsia="es-MX"/>
              </w:rPr>
            </w:pPr>
            <w:proofErr w:type="spellStart"/>
            <w:r w:rsidRPr="009E6D43">
              <w:rPr>
                <w:color w:val="000000"/>
                <w:sz w:val="16"/>
                <w:szCs w:val="16"/>
                <w:lang w:val="es-MX" w:eastAsia="es-MX"/>
              </w:rPr>
              <w:t>Desocupada</w:t>
            </w:r>
            <w:r w:rsidRPr="009E6D43">
              <w:rPr>
                <w:color w:val="000000"/>
                <w:sz w:val="18"/>
                <w:szCs w:val="16"/>
                <w:vertAlign w:val="superscript"/>
                <w:lang w:val="es-MX" w:eastAsia="es-MX"/>
              </w:rPr>
              <w:t>b</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36EAD6F3" w14:textId="10591B5C"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607 252</w:t>
            </w:r>
          </w:p>
        </w:tc>
        <w:tc>
          <w:tcPr>
            <w:tcW w:w="1013" w:type="dxa"/>
            <w:tcBorders>
              <w:top w:val="nil"/>
              <w:left w:val="nil"/>
              <w:bottom w:val="nil"/>
              <w:right w:val="nil"/>
            </w:tcBorders>
            <w:shd w:val="clear" w:color="auto" w:fill="auto"/>
            <w:noWrap/>
            <w:vAlign w:val="center"/>
          </w:tcPr>
          <w:p w14:paraId="6A44EF75" w14:textId="2920C571"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646 051</w:t>
            </w:r>
          </w:p>
        </w:tc>
        <w:tc>
          <w:tcPr>
            <w:tcW w:w="999" w:type="dxa"/>
            <w:tcBorders>
              <w:top w:val="nil"/>
              <w:left w:val="nil"/>
              <w:bottom w:val="nil"/>
              <w:right w:val="single" w:sz="4" w:space="0" w:color="1F497D"/>
            </w:tcBorders>
            <w:shd w:val="clear" w:color="auto" w:fill="auto"/>
            <w:noWrap/>
            <w:vAlign w:val="center"/>
          </w:tcPr>
          <w:p w14:paraId="71A34AC5" w14:textId="52A3ADA3"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38 799</w:t>
            </w:r>
          </w:p>
        </w:tc>
        <w:tc>
          <w:tcPr>
            <w:tcW w:w="693" w:type="dxa"/>
            <w:tcBorders>
              <w:top w:val="nil"/>
              <w:left w:val="nil"/>
              <w:bottom w:val="nil"/>
              <w:right w:val="nil"/>
            </w:tcBorders>
            <w:shd w:val="clear" w:color="auto" w:fill="auto"/>
            <w:noWrap/>
            <w:vAlign w:val="center"/>
          </w:tcPr>
          <w:p w14:paraId="20785DA8" w14:textId="4C066EC4"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2.5</w:t>
            </w:r>
          </w:p>
        </w:tc>
        <w:tc>
          <w:tcPr>
            <w:tcW w:w="693" w:type="dxa"/>
            <w:tcBorders>
              <w:top w:val="nil"/>
              <w:left w:val="nil"/>
              <w:bottom w:val="nil"/>
              <w:right w:val="nil"/>
            </w:tcBorders>
            <w:shd w:val="clear" w:color="auto" w:fill="auto"/>
            <w:noWrap/>
            <w:vAlign w:val="center"/>
          </w:tcPr>
          <w:p w14:paraId="44ADB3B3" w14:textId="41F4F575"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2.6</w:t>
            </w:r>
          </w:p>
        </w:tc>
        <w:tc>
          <w:tcPr>
            <w:tcW w:w="914" w:type="dxa"/>
            <w:tcBorders>
              <w:top w:val="nil"/>
              <w:left w:val="nil"/>
              <w:bottom w:val="nil"/>
              <w:right w:val="single" w:sz="4" w:space="0" w:color="1F497D"/>
            </w:tcBorders>
            <w:shd w:val="clear" w:color="auto" w:fill="auto"/>
            <w:noWrap/>
            <w:vAlign w:val="center"/>
          </w:tcPr>
          <w:p w14:paraId="56D3A04F" w14:textId="67072011"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0.1</w:t>
            </w:r>
          </w:p>
        </w:tc>
      </w:tr>
      <w:tr w:rsidR="00165DD6" w:rsidRPr="009E6D43" w14:paraId="463B7FFE"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68AFB6B7" w14:textId="7F9552F2" w:rsidR="00165DD6" w:rsidRPr="009E6D43" w:rsidRDefault="00165DD6" w:rsidP="00165DD6">
            <w:pPr>
              <w:ind w:firstLineChars="100" w:firstLine="160"/>
              <w:jc w:val="left"/>
              <w:rPr>
                <w:color w:val="000000"/>
                <w:sz w:val="16"/>
                <w:szCs w:val="16"/>
                <w:lang w:val="es-MX" w:eastAsia="es-MX"/>
              </w:rPr>
            </w:pPr>
            <w:r w:rsidRPr="009E6D43">
              <w:rPr>
                <w:color w:val="000000"/>
                <w:sz w:val="16"/>
                <w:szCs w:val="16"/>
                <w:lang w:val="es-MX" w:eastAsia="es-MX"/>
              </w:rPr>
              <w:t>Población no económicamente activa (</w:t>
            </w:r>
            <w:proofErr w:type="spellStart"/>
            <w:r w:rsidRPr="009E6D43">
              <w:rPr>
                <w:smallCaps/>
                <w:color w:val="000000"/>
                <w:sz w:val="16"/>
                <w:szCs w:val="16"/>
                <w:lang w:val="es-MX" w:eastAsia="es-MX"/>
              </w:rPr>
              <w:t>pnea</w:t>
            </w:r>
            <w:proofErr w:type="spellEnd"/>
            <w:r w:rsidRPr="009E6D43">
              <w:rPr>
                <w:color w:val="000000"/>
                <w:sz w:val="16"/>
                <w:szCs w:val="16"/>
                <w:lang w:val="es-MX" w:eastAsia="es-MX"/>
              </w:rPr>
              <w:t>)</w:t>
            </w:r>
            <w:r w:rsidRPr="009E6D43">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8016A04" w14:textId="435472D8"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28 745 947</w:t>
            </w:r>
          </w:p>
        </w:tc>
        <w:tc>
          <w:tcPr>
            <w:tcW w:w="1013" w:type="dxa"/>
            <w:tcBorders>
              <w:top w:val="nil"/>
              <w:left w:val="nil"/>
              <w:bottom w:val="nil"/>
              <w:right w:val="nil"/>
            </w:tcBorders>
            <w:shd w:val="clear" w:color="auto" w:fill="auto"/>
            <w:noWrap/>
            <w:vAlign w:val="center"/>
          </w:tcPr>
          <w:p w14:paraId="294CE5A2" w14:textId="756735B2"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28 925 207</w:t>
            </w:r>
          </w:p>
        </w:tc>
        <w:tc>
          <w:tcPr>
            <w:tcW w:w="999" w:type="dxa"/>
            <w:tcBorders>
              <w:top w:val="nil"/>
              <w:left w:val="nil"/>
              <w:bottom w:val="nil"/>
              <w:right w:val="single" w:sz="4" w:space="0" w:color="1F497D"/>
            </w:tcBorders>
            <w:shd w:val="clear" w:color="auto" w:fill="auto"/>
            <w:noWrap/>
            <w:vAlign w:val="center"/>
          </w:tcPr>
          <w:p w14:paraId="06124AF3" w14:textId="442FD317"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179 260</w:t>
            </w:r>
          </w:p>
        </w:tc>
        <w:tc>
          <w:tcPr>
            <w:tcW w:w="693" w:type="dxa"/>
            <w:tcBorders>
              <w:top w:val="nil"/>
              <w:left w:val="nil"/>
              <w:bottom w:val="nil"/>
              <w:right w:val="nil"/>
            </w:tcBorders>
            <w:shd w:val="clear" w:color="auto" w:fill="auto"/>
            <w:noWrap/>
            <w:vAlign w:val="center"/>
          </w:tcPr>
          <w:p w14:paraId="06D2109E" w14:textId="1F9042DE"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54.2</w:t>
            </w:r>
          </w:p>
        </w:tc>
        <w:tc>
          <w:tcPr>
            <w:tcW w:w="693" w:type="dxa"/>
            <w:tcBorders>
              <w:top w:val="nil"/>
              <w:left w:val="nil"/>
              <w:bottom w:val="nil"/>
              <w:right w:val="nil"/>
            </w:tcBorders>
            <w:shd w:val="clear" w:color="auto" w:fill="auto"/>
            <w:noWrap/>
            <w:vAlign w:val="center"/>
          </w:tcPr>
          <w:p w14:paraId="43D423B0" w14:textId="5475C897"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53.7</w:t>
            </w:r>
          </w:p>
        </w:tc>
        <w:tc>
          <w:tcPr>
            <w:tcW w:w="914" w:type="dxa"/>
            <w:tcBorders>
              <w:top w:val="nil"/>
              <w:left w:val="nil"/>
              <w:bottom w:val="nil"/>
              <w:right w:val="single" w:sz="4" w:space="0" w:color="1F497D"/>
            </w:tcBorders>
            <w:shd w:val="clear" w:color="auto" w:fill="auto"/>
            <w:noWrap/>
            <w:vAlign w:val="center"/>
          </w:tcPr>
          <w:p w14:paraId="3C69E9CF" w14:textId="38A4D433"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-0.5</w:t>
            </w:r>
          </w:p>
        </w:tc>
      </w:tr>
      <w:tr w:rsidR="00165DD6" w:rsidRPr="009E6D43" w14:paraId="016F726F" w14:textId="77777777" w:rsidTr="00165DD6">
        <w:trPr>
          <w:trHeight w:val="227"/>
          <w:jc w:val="center"/>
        </w:trPr>
        <w:tc>
          <w:tcPr>
            <w:tcW w:w="3843" w:type="dxa"/>
            <w:tcBorders>
              <w:top w:val="nil"/>
              <w:left w:val="single" w:sz="4" w:space="0" w:color="1F497D"/>
              <w:bottom w:val="nil"/>
              <w:right w:val="nil"/>
            </w:tcBorders>
            <w:shd w:val="clear" w:color="auto" w:fill="auto"/>
            <w:noWrap/>
            <w:vAlign w:val="center"/>
            <w:hideMark/>
          </w:tcPr>
          <w:p w14:paraId="73AA0C49" w14:textId="4F4DD5AE" w:rsidR="00165DD6" w:rsidRPr="009E6D43" w:rsidRDefault="00165DD6" w:rsidP="00165DD6">
            <w:pPr>
              <w:ind w:firstLineChars="200" w:firstLine="320"/>
              <w:jc w:val="left"/>
              <w:rPr>
                <w:color w:val="000000"/>
                <w:sz w:val="16"/>
                <w:szCs w:val="16"/>
                <w:lang w:val="es-MX" w:eastAsia="es-MX"/>
              </w:rPr>
            </w:pPr>
            <w:proofErr w:type="spellStart"/>
            <w:r w:rsidRPr="009E6D43">
              <w:rPr>
                <w:color w:val="000000"/>
                <w:sz w:val="16"/>
                <w:szCs w:val="16"/>
                <w:lang w:val="es-MX" w:eastAsia="es-MX"/>
              </w:rPr>
              <w:t>Disponible</w:t>
            </w:r>
            <w:r w:rsidRPr="009E6D43">
              <w:rPr>
                <w:color w:val="000000"/>
                <w:sz w:val="18"/>
                <w:szCs w:val="16"/>
                <w:vertAlign w:val="superscript"/>
                <w:lang w:val="es-MX" w:eastAsia="es-MX"/>
              </w:rPr>
              <w:t>c</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nil"/>
              <w:right w:val="nil"/>
            </w:tcBorders>
            <w:shd w:val="clear" w:color="auto" w:fill="auto"/>
            <w:noWrap/>
            <w:vAlign w:val="center"/>
          </w:tcPr>
          <w:p w14:paraId="5DA644A1" w14:textId="4F99FF91"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3 673 684</w:t>
            </w:r>
          </w:p>
        </w:tc>
        <w:tc>
          <w:tcPr>
            <w:tcW w:w="1013" w:type="dxa"/>
            <w:tcBorders>
              <w:top w:val="nil"/>
              <w:left w:val="nil"/>
              <w:bottom w:val="nil"/>
              <w:right w:val="nil"/>
            </w:tcBorders>
            <w:shd w:val="clear" w:color="auto" w:fill="auto"/>
            <w:noWrap/>
            <w:vAlign w:val="center"/>
          </w:tcPr>
          <w:p w14:paraId="4EA3B4EC" w14:textId="091428CE"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3 204 877</w:t>
            </w:r>
          </w:p>
        </w:tc>
        <w:tc>
          <w:tcPr>
            <w:tcW w:w="999" w:type="dxa"/>
            <w:tcBorders>
              <w:top w:val="nil"/>
              <w:left w:val="nil"/>
              <w:bottom w:val="nil"/>
              <w:right w:val="single" w:sz="4" w:space="0" w:color="1F497D"/>
            </w:tcBorders>
            <w:shd w:val="clear" w:color="auto" w:fill="auto"/>
            <w:noWrap/>
            <w:vAlign w:val="center"/>
          </w:tcPr>
          <w:p w14:paraId="796092CE" w14:textId="4A7E918C"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-468 807</w:t>
            </w:r>
          </w:p>
        </w:tc>
        <w:tc>
          <w:tcPr>
            <w:tcW w:w="693" w:type="dxa"/>
            <w:tcBorders>
              <w:top w:val="nil"/>
              <w:left w:val="nil"/>
              <w:bottom w:val="nil"/>
              <w:right w:val="nil"/>
            </w:tcBorders>
            <w:shd w:val="clear" w:color="auto" w:fill="auto"/>
            <w:noWrap/>
            <w:vAlign w:val="center"/>
          </w:tcPr>
          <w:p w14:paraId="08ECD736" w14:textId="191184CE"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12.8</w:t>
            </w:r>
          </w:p>
        </w:tc>
        <w:tc>
          <w:tcPr>
            <w:tcW w:w="693" w:type="dxa"/>
            <w:tcBorders>
              <w:top w:val="nil"/>
              <w:left w:val="nil"/>
              <w:bottom w:val="nil"/>
              <w:right w:val="nil"/>
            </w:tcBorders>
            <w:shd w:val="clear" w:color="auto" w:fill="auto"/>
            <w:noWrap/>
            <w:vAlign w:val="center"/>
          </w:tcPr>
          <w:p w14:paraId="0108D52A" w14:textId="0E14D6F9"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11.1</w:t>
            </w:r>
          </w:p>
        </w:tc>
        <w:tc>
          <w:tcPr>
            <w:tcW w:w="914" w:type="dxa"/>
            <w:tcBorders>
              <w:top w:val="nil"/>
              <w:left w:val="nil"/>
              <w:bottom w:val="nil"/>
              <w:right w:val="single" w:sz="4" w:space="0" w:color="1F497D"/>
            </w:tcBorders>
            <w:shd w:val="clear" w:color="auto" w:fill="auto"/>
            <w:noWrap/>
            <w:vAlign w:val="center"/>
          </w:tcPr>
          <w:p w14:paraId="4AE6559E" w14:textId="06B9D660"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-1.7</w:t>
            </w:r>
          </w:p>
        </w:tc>
      </w:tr>
      <w:tr w:rsidR="00165DD6" w:rsidRPr="009E6D43" w14:paraId="1DE42C3E" w14:textId="77777777" w:rsidTr="00165DD6">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B85B7B6" w14:textId="780B5AA3" w:rsidR="00165DD6" w:rsidRPr="009E6D43" w:rsidRDefault="00165DD6" w:rsidP="00165DD6">
            <w:pPr>
              <w:ind w:firstLineChars="200" w:firstLine="320"/>
              <w:jc w:val="left"/>
              <w:rPr>
                <w:color w:val="000000"/>
                <w:sz w:val="16"/>
                <w:szCs w:val="16"/>
                <w:lang w:val="es-MX" w:eastAsia="es-MX"/>
              </w:rPr>
            </w:pPr>
            <w:r w:rsidRPr="009E6D43">
              <w:rPr>
                <w:color w:val="000000"/>
                <w:sz w:val="16"/>
                <w:szCs w:val="16"/>
                <w:lang w:val="es-MX" w:eastAsia="es-MX"/>
              </w:rPr>
              <w:t xml:space="preserve">No </w:t>
            </w:r>
            <w:proofErr w:type="spellStart"/>
            <w:r w:rsidRPr="009E6D43">
              <w:rPr>
                <w:color w:val="000000"/>
                <w:sz w:val="16"/>
                <w:szCs w:val="16"/>
                <w:lang w:val="es-MX" w:eastAsia="es-MX"/>
              </w:rPr>
              <w:t>disponible</w:t>
            </w:r>
            <w:r w:rsidRPr="009E6D43">
              <w:rPr>
                <w:color w:val="000000"/>
                <w:sz w:val="18"/>
                <w:szCs w:val="16"/>
                <w:vertAlign w:val="superscript"/>
                <w:lang w:val="es-MX" w:eastAsia="es-MX"/>
              </w:rPr>
              <w:t>c</w:t>
            </w:r>
            <w:proofErr w:type="spellEnd"/>
            <w:r w:rsidRPr="009E6D43">
              <w:rPr>
                <w:color w:val="000000"/>
                <w:sz w:val="18"/>
                <w:szCs w:val="16"/>
                <w:vertAlign w:val="superscript"/>
                <w:lang w:val="es-MX" w:eastAsia="es-MX"/>
              </w:rPr>
              <w:t>/</w:t>
            </w:r>
          </w:p>
        </w:tc>
        <w:tc>
          <w:tcPr>
            <w:tcW w:w="1001" w:type="dxa"/>
            <w:tcBorders>
              <w:top w:val="nil"/>
              <w:left w:val="single" w:sz="4" w:space="0" w:color="1F497D"/>
              <w:bottom w:val="single" w:sz="4" w:space="0" w:color="1F497D"/>
              <w:right w:val="nil"/>
            </w:tcBorders>
            <w:shd w:val="clear" w:color="auto" w:fill="auto"/>
            <w:noWrap/>
            <w:vAlign w:val="center"/>
          </w:tcPr>
          <w:p w14:paraId="43E57B1D" w14:textId="1D1F5DC0" w:rsidR="00165DD6" w:rsidRPr="009E6D43" w:rsidRDefault="00165DD6" w:rsidP="00165DD6">
            <w:pPr>
              <w:tabs>
                <w:tab w:val="decimal" w:pos="787"/>
              </w:tabs>
              <w:ind w:left="-57"/>
              <w:jc w:val="left"/>
              <w:rPr>
                <w:color w:val="000000"/>
                <w:sz w:val="16"/>
                <w:szCs w:val="16"/>
                <w:lang w:val="es-MX" w:eastAsia="es-MX"/>
              </w:rPr>
            </w:pPr>
            <w:r w:rsidRPr="009E6D43">
              <w:rPr>
                <w:color w:val="000000"/>
                <w:sz w:val="16"/>
                <w:szCs w:val="16"/>
              </w:rPr>
              <w:t xml:space="preserve"> 25 072 263</w:t>
            </w:r>
          </w:p>
        </w:tc>
        <w:tc>
          <w:tcPr>
            <w:tcW w:w="1013" w:type="dxa"/>
            <w:tcBorders>
              <w:top w:val="nil"/>
              <w:left w:val="nil"/>
              <w:bottom w:val="single" w:sz="4" w:space="0" w:color="1F497D"/>
              <w:right w:val="nil"/>
            </w:tcBorders>
            <w:shd w:val="clear" w:color="auto" w:fill="auto"/>
            <w:noWrap/>
            <w:vAlign w:val="center"/>
          </w:tcPr>
          <w:p w14:paraId="55B0DD24" w14:textId="0BEF1F85" w:rsidR="00165DD6" w:rsidRPr="009E6D43" w:rsidRDefault="00165DD6" w:rsidP="00165DD6">
            <w:pPr>
              <w:tabs>
                <w:tab w:val="decimal" w:pos="873"/>
              </w:tabs>
              <w:ind w:left="-57" w:right="-30"/>
              <w:jc w:val="left"/>
              <w:rPr>
                <w:color w:val="000000"/>
                <w:sz w:val="16"/>
                <w:szCs w:val="16"/>
                <w:lang w:val="es-MX" w:eastAsia="es-MX"/>
              </w:rPr>
            </w:pPr>
            <w:r w:rsidRPr="009E6D43">
              <w:rPr>
                <w:color w:val="000000"/>
                <w:sz w:val="16"/>
                <w:szCs w:val="16"/>
              </w:rPr>
              <w:t xml:space="preserve"> 25 720 330</w:t>
            </w:r>
          </w:p>
        </w:tc>
        <w:tc>
          <w:tcPr>
            <w:tcW w:w="999" w:type="dxa"/>
            <w:tcBorders>
              <w:top w:val="nil"/>
              <w:left w:val="nil"/>
              <w:bottom w:val="single" w:sz="4" w:space="0" w:color="1F497D"/>
              <w:right w:val="single" w:sz="4" w:space="0" w:color="1F497D"/>
            </w:tcBorders>
            <w:shd w:val="clear" w:color="auto" w:fill="auto"/>
            <w:noWrap/>
            <w:vAlign w:val="center"/>
          </w:tcPr>
          <w:p w14:paraId="7D2088E3" w14:textId="55E4A48F" w:rsidR="00165DD6" w:rsidRPr="009E6D43" w:rsidRDefault="00165DD6" w:rsidP="00165DD6">
            <w:pPr>
              <w:tabs>
                <w:tab w:val="decimal" w:pos="812"/>
              </w:tabs>
              <w:ind w:left="-57"/>
              <w:jc w:val="left"/>
              <w:rPr>
                <w:color w:val="000000"/>
                <w:sz w:val="16"/>
                <w:szCs w:val="16"/>
                <w:lang w:val="es-MX" w:eastAsia="es-MX"/>
              </w:rPr>
            </w:pPr>
            <w:r w:rsidRPr="009E6D43">
              <w:rPr>
                <w:color w:val="000000"/>
                <w:sz w:val="16"/>
                <w:szCs w:val="16"/>
              </w:rPr>
              <w:t xml:space="preserve"> 648 067</w:t>
            </w:r>
          </w:p>
        </w:tc>
        <w:tc>
          <w:tcPr>
            <w:tcW w:w="693" w:type="dxa"/>
            <w:tcBorders>
              <w:top w:val="nil"/>
              <w:left w:val="nil"/>
              <w:bottom w:val="single" w:sz="4" w:space="0" w:color="1F497D"/>
              <w:right w:val="nil"/>
            </w:tcBorders>
            <w:shd w:val="clear" w:color="auto" w:fill="auto"/>
            <w:noWrap/>
            <w:vAlign w:val="center"/>
          </w:tcPr>
          <w:p w14:paraId="6430725C" w14:textId="2620AD4C" w:rsidR="00165DD6" w:rsidRPr="009E6D43" w:rsidRDefault="00165DD6" w:rsidP="00165DD6">
            <w:pPr>
              <w:tabs>
                <w:tab w:val="decimal" w:pos="317"/>
              </w:tabs>
              <w:ind w:left="-57"/>
              <w:jc w:val="left"/>
              <w:rPr>
                <w:color w:val="000000"/>
                <w:sz w:val="16"/>
                <w:szCs w:val="16"/>
                <w:lang w:val="es-MX" w:eastAsia="es-MX"/>
              </w:rPr>
            </w:pPr>
            <w:r w:rsidRPr="009E6D43">
              <w:rPr>
                <w:color w:val="000000"/>
                <w:sz w:val="16"/>
                <w:szCs w:val="16"/>
              </w:rPr>
              <w:t>87.2</w:t>
            </w:r>
          </w:p>
        </w:tc>
        <w:tc>
          <w:tcPr>
            <w:tcW w:w="693" w:type="dxa"/>
            <w:tcBorders>
              <w:top w:val="nil"/>
              <w:left w:val="nil"/>
              <w:bottom w:val="single" w:sz="4" w:space="0" w:color="1F497D"/>
              <w:right w:val="nil"/>
            </w:tcBorders>
            <w:shd w:val="clear" w:color="auto" w:fill="auto"/>
            <w:noWrap/>
            <w:vAlign w:val="center"/>
          </w:tcPr>
          <w:p w14:paraId="31A0240A" w14:textId="2E60CB31" w:rsidR="00165DD6" w:rsidRPr="009E6D43" w:rsidRDefault="00165DD6" w:rsidP="00165DD6">
            <w:pPr>
              <w:tabs>
                <w:tab w:val="decimal" w:pos="324"/>
              </w:tabs>
              <w:ind w:left="-57"/>
              <w:jc w:val="left"/>
              <w:rPr>
                <w:color w:val="000000"/>
                <w:sz w:val="16"/>
                <w:szCs w:val="16"/>
                <w:lang w:val="es-MX" w:eastAsia="es-MX"/>
              </w:rPr>
            </w:pPr>
            <w:r w:rsidRPr="009E6D43">
              <w:rPr>
                <w:color w:val="000000"/>
                <w:sz w:val="16"/>
                <w:szCs w:val="16"/>
              </w:rPr>
              <w:t>88.9</w:t>
            </w:r>
          </w:p>
        </w:tc>
        <w:tc>
          <w:tcPr>
            <w:tcW w:w="914" w:type="dxa"/>
            <w:tcBorders>
              <w:top w:val="nil"/>
              <w:left w:val="nil"/>
              <w:bottom w:val="single" w:sz="4" w:space="0" w:color="1F497D"/>
              <w:right w:val="single" w:sz="4" w:space="0" w:color="1F497D"/>
            </w:tcBorders>
            <w:shd w:val="clear" w:color="auto" w:fill="auto"/>
            <w:noWrap/>
            <w:vAlign w:val="center"/>
          </w:tcPr>
          <w:p w14:paraId="67936DB2" w14:textId="44522440" w:rsidR="00165DD6" w:rsidRPr="009E6D43" w:rsidRDefault="00165DD6" w:rsidP="00165DD6">
            <w:pPr>
              <w:tabs>
                <w:tab w:val="decimal" w:pos="372"/>
              </w:tabs>
              <w:ind w:left="-57"/>
              <w:jc w:val="left"/>
              <w:rPr>
                <w:color w:val="000000"/>
                <w:sz w:val="16"/>
                <w:szCs w:val="16"/>
                <w:lang w:val="es-MX" w:eastAsia="es-MX"/>
              </w:rPr>
            </w:pPr>
            <w:r w:rsidRPr="009E6D43">
              <w:rPr>
                <w:color w:val="000000"/>
                <w:sz w:val="16"/>
                <w:szCs w:val="16"/>
              </w:rPr>
              <w:t>1.7</w:t>
            </w:r>
          </w:p>
        </w:tc>
      </w:tr>
    </w:tbl>
    <w:bookmarkEnd w:id="7"/>
    <w:p w14:paraId="7A34D792" w14:textId="6EA9964B" w:rsidR="00F42A10" w:rsidRPr="009E6D43" w:rsidRDefault="00F42A10" w:rsidP="0086261B">
      <w:pPr>
        <w:pStyle w:val="n0"/>
        <w:keepLines w:val="0"/>
        <w:spacing w:before="0"/>
        <w:ind w:left="1092" w:right="476" w:hanging="616"/>
        <w:rPr>
          <w:color w:val="auto"/>
          <w:sz w:val="16"/>
          <w:szCs w:val="16"/>
        </w:rPr>
      </w:pPr>
      <w:r w:rsidRPr="009E6D43">
        <w:rPr>
          <w:color w:val="auto"/>
          <w:sz w:val="18"/>
          <w:szCs w:val="18"/>
          <w:vertAlign w:val="superscript"/>
        </w:rPr>
        <w:t>a/</w:t>
      </w:r>
      <w:r w:rsidRPr="009E6D43">
        <w:rPr>
          <w:color w:val="auto"/>
          <w:sz w:val="16"/>
          <w:szCs w:val="16"/>
        </w:rPr>
        <w:tab/>
      </w:r>
      <w:r w:rsidR="0028205F" w:rsidRPr="009E6D43">
        <w:rPr>
          <w:color w:val="auto"/>
          <w:sz w:val="16"/>
          <w:szCs w:val="16"/>
        </w:rPr>
        <w:t>V</w:t>
      </w:r>
      <w:r w:rsidR="00FD031B" w:rsidRPr="009E6D43">
        <w:rPr>
          <w:color w:val="auto"/>
          <w:sz w:val="16"/>
          <w:szCs w:val="16"/>
        </w:rPr>
        <w:t>alor relativo</w:t>
      </w:r>
      <w:r w:rsidR="0028205F" w:rsidRPr="009E6D43">
        <w:rPr>
          <w:color w:val="auto"/>
          <w:sz w:val="16"/>
          <w:szCs w:val="16"/>
        </w:rPr>
        <w:t xml:space="preserve"> respecto</w:t>
      </w:r>
      <w:r w:rsidR="00FD031B" w:rsidRPr="009E6D43">
        <w:rPr>
          <w:color w:val="auto"/>
          <w:sz w:val="16"/>
          <w:szCs w:val="16"/>
        </w:rPr>
        <w:t xml:space="preserve"> a</w:t>
      </w:r>
      <w:r w:rsidRPr="009E6D43">
        <w:rPr>
          <w:color w:val="auto"/>
          <w:sz w:val="16"/>
          <w:szCs w:val="16"/>
        </w:rPr>
        <w:t xml:space="preserve"> la población de 15 años y más</w:t>
      </w:r>
      <w:r w:rsidR="00633799" w:rsidRPr="009E6D43">
        <w:rPr>
          <w:color w:val="auto"/>
          <w:sz w:val="16"/>
          <w:szCs w:val="16"/>
        </w:rPr>
        <w:t>.</w:t>
      </w:r>
    </w:p>
    <w:p w14:paraId="583EE397" w14:textId="09AAAD81" w:rsidR="00F42A10" w:rsidRPr="009E6D43" w:rsidRDefault="00F42A10" w:rsidP="00C173EB">
      <w:pPr>
        <w:pStyle w:val="n0"/>
        <w:keepLines w:val="0"/>
        <w:spacing w:before="0"/>
        <w:ind w:left="1092" w:right="476" w:hanging="616"/>
        <w:rPr>
          <w:color w:val="auto"/>
          <w:sz w:val="16"/>
          <w:szCs w:val="16"/>
        </w:rPr>
      </w:pPr>
      <w:proofErr w:type="spellStart"/>
      <w:r w:rsidRPr="009E6D43">
        <w:rPr>
          <w:color w:val="auto"/>
          <w:sz w:val="18"/>
          <w:szCs w:val="18"/>
          <w:vertAlign w:val="superscript"/>
        </w:rPr>
        <w:t>b/</w:t>
      </w:r>
      <w:proofErr w:type="spellEnd"/>
      <w:r w:rsidRPr="009E6D43">
        <w:rPr>
          <w:color w:val="auto"/>
          <w:sz w:val="16"/>
          <w:szCs w:val="16"/>
        </w:rPr>
        <w:tab/>
      </w:r>
      <w:r w:rsidR="00832083" w:rsidRPr="009E6D43">
        <w:rPr>
          <w:color w:val="auto"/>
          <w:sz w:val="16"/>
          <w:szCs w:val="16"/>
        </w:rPr>
        <w:t>V</w:t>
      </w:r>
      <w:r w:rsidR="00127E38" w:rsidRPr="009E6D43">
        <w:rPr>
          <w:color w:val="auto"/>
          <w:sz w:val="16"/>
          <w:szCs w:val="16"/>
        </w:rPr>
        <w:t>alor relativo</w:t>
      </w:r>
      <w:r w:rsidR="00832083" w:rsidRPr="009E6D43">
        <w:rPr>
          <w:color w:val="auto"/>
          <w:sz w:val="16"/>
          <w:szCs w:val="16"/>
        </w:rPr>
        <w:t xml:space="preserve"> respecto a</w:t>
      </w:r>
      <w:r w:rsidR="00127E38" w:rsidRPr="009E6D43">
        <w:rPr>
          <w:color w:val="auto"/>
          <w:sz w:val="16"/>
          <w:szCs w:val="16"/>
        </w:rPr>
        <w:t xml:space="preserve"> </w:t>
      </w:r>
      <w:r w:rsidRPr="009E6D43">
        <w:rPr>
          <w:color w:val="auto"/>
          <w:sz w:val="16"/>
          <w:szCs w:val="16"/>
        </w:rPr>
        <w:t xml:space="preserve">la </w:t>
      </w:r>
      <w:r w:rsidR="004325DA" w:rsidRPr="009E6D43">
        <w:rPr>
          <w:smallCaps/>
          <w:color w:val="auto"/>
          <w:sz w:val="16"/>
          <w:szCs w:val="16"/>
        </w:rPr>
        <w:t>pea</w:t>
      </w:r>
      <w:r w:rsidR="00633799" w:rsidRPr="009E6D43">
        <w:rPr>
          <w:color w:val="auto"/>
          <w:sz w:val="16"/>
          <w:szCs w:val="16"/>
        </w:rPr>
        <w:t>.</w:t>
      </w:r>
    </w:p>
    <w:p w14:paraId="7FADF2E4" w14:textId="4330C507" w:rsidR="00F42A10" w:rsidRPr="009E6D43" w:rsidRDefault="00F42A10" w:rsidP="00C173EB">
      <w:pPr>
        <w:pStyle w:val="n0"/>
        <w:keepLines w:val="0"/>
        <w:spacing w:before="0"/>
        <w:ind w:left="1092" w:right="476" w:hanging="616"/>
        <w:rPr>
          <w:color w:val="auto"/>
          <w:sz w:val="16"/>
          <w:szCs w:val="16"/>
        </w:rPr>
      </w:pPr>
      <w:r w:rsidRPr="009E6D43">
        <w:rPr>
          <w:color w:val="auto"/>
          <w:sz w:val="18"/>
          <w:szCs w:val="18"/>
          <w:vertAlign w:val="superscript"/>
        </w:rPr>
        <w:t>c/</w:t>
      </w:r>
      <w:r w:rsidRPr="009E6D43">
        <w:rPr>
          <w:color w:val="auto"/>
          <w:sz w:val="16"/>
          <w:szCs w:val="16"/>
        </w:rPr>
        <w:tab/>
      </w:r>
      <w:r w:rsidR="0028205F" w:rsidRPr="009E6D43">
        <w:rPr>
          <w:color w:val="auto"/>
          <w:sz w:val="16"/>
          <w:szCs w:val="16"/>
        </w:rPr>
        <w:t>V</w:t>
      </w:r>
      <w:r w:rsidR="00127E38" w:rsidRPr="009E6D43">
        <w:rPr>
          <w:color w:val="auto"/>
          <w:sz w:val="16"/>
          <w:szCs w:val="16"/>
        </w:rPr>
        <w:t>alor relativo</w:t>
      </w:r>
      <w:r w:rsidR="0028205F" w:rsidRPr="009E6D43">
        <w:rPr>
          <w:color w:val="auto"/>
          <w:sz w:val="16"/>
          <w:szCs w:val="16"/>
        </w:rPr>
        <w:t xml:space="preserve"> respecto</w:t>
      </w:r>
      <w:r w:rsidR="00127E38" w:rsidRPr="009E6D43">
        <w:rPr>
          <w:color w:val="auto"/>
          <w:sz w:val="16"/>
          <w:szCs w:val="16"/>
        </w:rPr>
        <w:t xml:space="preserve"> a </w:t>
      </w:r>
      <w:r w:rsidRPr="009E6D43">
        <w:rPr>
          <w:color w:val="auto"/>
          <w:sz w:val="16"/>
          <w:szCs w:val="16"/>
        </w:rPr>
        <w:t xml:space="preserve">la </w:t>
      </w:r>
      <w:proofErr w:type="spellStart"/>
      <w:r w:rsidR="004325DA" w:rsidRPr="009E6D43">
        <w:rPr>
          <w:smallCaps/>
          <w:color w:val="auto"/>
          <w:sz w:val="16"/>
          <w:szCs w:val="16"/>
        </w:rPr>
        <w:t>pnea</w:t>
      </w:r>
      <w:proofErr w:type="spellEnd"/>
      <w:r w:rsidR="00633799" w:rsidRPr="009E6D43">
        <w:rPr>
          <w:color w:val="auto"/>
          <w:sz w:val="16"/>
          <w:szCs w:val="16"/>
        </w:rPr>
        <w:t>.</w:t>
      </w:r>
      <w:r w:rsidRPr="009E6D43">
        <w:rPr>
          <w:color w:val="auto"/>
          <w:sz w:val="16"/>
          <w:szCs w:val="16"/>
        </w:rPr>
        <w:t xml:space="preserve"> </w:t>
      </w:r>
    </w:p>
    <w:p w14:paraId="3CE62568" w14:textId="4F7AC257" w:rsidR="007F3759" w:rsidRPr="009E6D43" w:rsidRDefault="00FE48FB" w:rsidP="00C173EB">
      <w:pPr>
        <w:pStyle w:val="n0"/>
        <w:keepLines w:val="0"/>
        <w:spacing w:before="0"/>
        <w:ind w:left="1092" w:right="476" w:hanging="616"/>
        <w:rPr>
          <w:color w:val="auto"/>
          <w:sz w:val="16"/>
          <w:szCs w:val="16"/>
        </w:rPr>
      </w:pPr>
      <w:r w:rsidRPr="009E6D43">
        <w:rPr>
          <w:color w:val="auto"/>
          <w:sz w:val="16"/>
          <w:szCs w:val="16"/>
        </w:rPr>
        <w:t xml:space="preserve">Fuente: </w:t>
      </w:r>
      <w:proofErr w:type="spellStart"/>
      <w:r w:rsidR="007711CE" w:rsidRPr="009E6D43">
        <w:rPr>
          <w:smallCaps/>
          <w:color w:val="auto"/>
          <w:sz w:val="16"/>
          <w:szCs w:val="16"/>
        </w:rPr>
        <w:t>inegi</w:t>
      </w:r>
      <w:proofErr w:type="spellEnd"/>
      <w:r w:rsidR="00F21652" w:rsidRPr="009E6D43">
        <w:rPr>
          <w:color w:val="auto"/>
          <w:sz w:val="16"/>
          <w:szCs w:val="16"/>
        </w:rPr>
        <w:t>.</w:t>
      </w:r>
      <w:r w:rsidR="006B63D7" w:rsidRPr="009E6D43">
        <w:rPr>
          <w:color w:val="auto"/>
          <w:sz w:val="16"/>
          <w:szCs w:val="16"/>
        </w:rPr>
        <w:t xml:space="preserve"> </w:t>
      </w:r>
      <w:r w:rsidR="00FA0C74" w:rsidRPr="009E6D43">
        <w:rPr>
          <w:color w:val="auto"/>
          <w:sz w:val="16"/>
          <w:szCs w:val="16"/>
        </w:rPr>
        <w:t>Encuesta Nacional de Ocupación y Empleo, Nueva Edición (</w:t>
      </w:r>
      <w:proofErr w:type="spellStart"/>
      <w:r w:rsidR="004325DA" w:rsidRPr="009E6D43">
        <w:rPr>
          <w:smallCaps/>
          <w:color w:val="auto"/>
          <w:sz w:val="16"/>
          <w:szCs w:val="16"/>
        </w:rPr>
        <w:t>enoe</w:t>
      </w:r>
      <w:r w:rsidR="004325DA" w:rsidRPr="009E6D43">
        <w:rPr>
          <w:smallCaps/>
          <w:color w:val="auto"/>
          <w:sz w:val="16"/>
          <w:szCs w:val="16"/>
          <w:vertAlign w:val="superscript"/>
        </w:rPr>
        <w:t>n</w:t>
      </w:r>
      <w:proofErr w:type="spellEnd"/>
      <w:r w:rsidR="00FA0C74" w:rsidRPr="009E6D43">
        <w:rPr>
          <w:color w:val="auto"/>
          <w:sz w:val="16"/>
          <w:szCs w:val="16"/>
        </w:rPr>
        <w:t>)</w:t>
      </w:r>
      <w:r w:rsidR="00DF5BF2" w:rsidRPr="009E6D43">
        <w:rPr>
          <w:color w:val="auto"/>
          <w:sz w:val="16"/>
          <w:szCs w:val="16"/>
        </w:rPr>
        <w:t>, 2022</w:t>
      </w:r>
      <w:r w:rsidR="00E61FF2" w:rsidRPr="009E6D43">
        <w:rPr>
          <w:color w:val="auto"/>
          <w:sz w:val="16"/>
          <w:szCs w:val="16"/>
        </w:rPr>
        <w:t>.</w:t>
      </w:r>
    </w:p>
    <w:p w14:paraId="4F4C0944" w14:textId="337E6EE7" w:rsidR="00FE48FB" w:rsidRPr="009E6D43" w:rsidRDefault="006B63D7" w:rsidP="00E24F6A">
      <w:pPr>
        <w:pStyle w:val="n0"/>
        <w:keepLines w:val="0"/>
        <w:spacing w:before="0"/>
        <w:ind w:left="1106" w:right="476" w:firstLine="352"/>
        <w:rPr>
          <w:color w:val="auto"/>
          <w:sz w:val="16"/>
          <w:szCs w:val="16"/>
        </w:rPr>
      </w:pPr>
      <w:r w:rsidRPr="009E6D43">
        <w:rPr>
          <w:color w:val="auto"/>
          <w:sz w:val="16"/>
          <w:szCs w:val="16"/>
        </w:rPr>
        <w:t xml:space="preserve"> </w:t>
      </w:r>
      <w:r w:rsidR="00FA0C74" w:rsidRPr="009E6D43">
        <w:rPr>
          <w:color w:val="auto"/>
          <w:sz w:val="16"/>
          <w:szCs w:val="16"/>
        </w:rPr>
        <w:t>Encuesta Nacional de Ocupación y Empleo</w:t>
      </w:r>
      <w:r w:rsidR="006C0CB4" w:rsidRPr="009E6D43">
        <w:rPr>
          <w:color w:val="auto"/>
          <w:sz w:val="16"/>
          <w:szCs w:val="16"/>
        </w:rPr>
        <w:t xml:space="preserve"> </w:t>
      </w:r>
      <w:r w:rsidR="00FA0C74" w:rsidRPr="009E6D43">
        <w:rPr>
          <w:color w:val="auto"/>
          <w:sz w:val="16"/>
          <w:szCs w:val="16"/>
        </w:rPr>
        <w:t>(</w:t>
      </w:r>
      <w:proofErr w:type="spellStart"/>
      <w:r w:rsidR="004325DA" w:rsidRPr="009E6D43">
        <w:rPr>
          <w:smallCaps/>
          <w:color w:val="auto"/>
          <w:sz w:val="16"/>
          <w:szCs w:val="16"/>
        </w:rPr>
        <w:t>enoe</w:t>
      </w:r>
      <w:proofErr w:type="spellEnd"/>
      <w:r w:rsidR="00FA0C74" w:rsidRPr="009E6D43">
        <w:rPr>
          <w:color w:val="auto"/>
          <w:sz w:val="16"/>
          <w:szCs w:val="16"/>
        </w:rPr>
        <w:t>)</w:t>
      </w:r>
      <w:r w:rsidR="00DF5BF2" w:rsidRPr="009E6D43">
        <w:rPr>
          <w:color w:val="auto"/>
          <w:sz w:val="16"/>
          <w:szCs w:val="16"/>
        </w:rPr>
        <w:t>, 2023</w:t>
      </w:r>
      <w:r w:rsidR="00E61FF2" w:rsidRPr="009E6D43">
        <w:rPr>
          <w:color w:val="auto"/>
          <w:sz w:val="16"/>
          <w:szCs w:val="16"/>
        </w:rPr>
        <w:t>.</w:t>
      </w:r>
    </w:p>
    <w:p w14:paraId="330C5A09" w14:textId="1A9DB4D2" w:rsidR="00A0548E" w:rsidRPr="009E6D43" w:rsidRDefault="00330F9E" w:rsidP="00CD18FE">
      <w:pPr>
        <w:spacing w:before="240"/>
        <w:rPr>
          <w:lang w:val="es-ES"/>
        </w:rPr>
      </w:pPr>
      <w:r w:rsidRPr="009E6D43">
        <w:rPr>
          <w:lang w:val="es-ES"/>
        </w:rPr>
        <w:t>En particular</w:t>
      </w:r>
      <w:r w:rsidR="00A91405" w:rsidRPr="009E6D43">
        <w:rPr>
          <w:lang w:val="es-ES"/>
        </w:rPr>
        <w:t>, e</w:t>
      </w:r>
      <w:r w:rsidR="009F09ED" w:rsidRPr="009E6D43">
        <w:rPr>
          <w:lang w:val="es-ES"/>
        </w:rPr>
        <w:t>n el ámbito urbano</w:t>
      </w:r>
      <w:r w:rsidR="006764AF" w:rsidRPr="009E6D43">
        <w:rPr>
          <w:lang w:val="es-ES"/>
        </w:rPr>
        <w:t xml:space="preserve"> </w:t>
      </w:r>
      <w:r w:rsidR="009F09ED" w:rsidRPr="009E6D43">
        <w:rPr>
          <w:lang w:val="es-ES"/>
        </w:rPr>
        <w:t xml:space="preserve">de alta densidad de población </w:t>
      </w:r>
      <w:r w:rsidR="00455E98" w:rsidRPr="009E6D43">
        <w:rPr>
          <w:lang w:val="es-ES"/>
        </w:rPr>
        <w:t>—</w:t>
      </w:r>
      <w:r w:rsidR="009F09ED" w:rsidRPr="009E6D43">
        <w:rPr>
          <w:lang w:val="es-ES"/>
        </w:rPr>
        <w:t>conformado por 32 ciudades de más de 100 mil habitante</w:t>
      </w:r>
      <w:r w:rsidR="00B420C8" w:rsidRPr="009E6D43">
        <w:rPr>
          <w:lang w:val="es-ES"/>
        </w:rPr>
        <w:t>s</w:t>
      </w:r>
      <w:r w:rsidR="00455E98" w:rsidRPr="009E6D43">
        <w:rPr>
          <w:lang w:val="es-ES"/>
        </w:rPr>
        <w:t>—</w:t>
      </w:r>
      <w:r w:rsidR="00416635" w:rsidRPr="009E6D43">
        <w:rPr>
          <w:lang w:val="es-ES"/>
        </w:rPr>
        <w:t>,</w:t>
      </w:r>
      <w:r w:rsidR="00221D11" w:rsidRPr="009E6D43">
        <w:rPr>
          <w:szCs w:val="23"/>
          <w:vertAlign w:val="superscript"/>
        </w:rPr>
        <w:footnoteReference w:id="6"/>
      </w:r>
      <w:r w:rsidR="009F09ED" w:rsidRPr="009E6D43">
        <w:rPr>
          <w:lang w:val="es-ES"/>
        </w:rPr>
        <w:t xml:space="preserve"> </w:t>
      </w:r>
      <w:r w:rsidR="00454743" w:rsidRPr="009E6D43">
        <w:rPr>
          <w:lang w:val="es-ES"/>
        </w:rPr>
        <w:t xml:space="preserve">la </w:t>
      </w:r>
      <w:r w:rsidR="0086261B" w:rsidRPr="009E6D43">
        <w:rPr>
          <w:lang w:val="es-ES"/>
        </w:rPr>
        <w:t xml:space="preserve">tasa </w:t>
      </w:r>
      <w:r w:rsidR="00454743" w:rsidRPr="009E6D43">
        <w:rPr>
          <w:lang w:val="es-ES"/>
        </w:rPr>
        <w:t>de</w:t>
      </w:r>
      <w:r w:rsidR="00557A15" w:rsidRPr="009E6D43">
        <w:rPr>
          <w:lang w:val="es-ES"/>
        </w:rPr>
        <w:t xml:space="preserve"> </w:t>
      </w:r>
      <w:r w:rsidR="0086261B" w:rsidRPr="009E6D43">
        <w:rPr>
          <w:lang w:val="es-ES"/>
        </w:rPr>
        <w:t xml:space="preserve">participación </w:t>
      </w:r>
      <w:r w:rsidR="00BD5B7F" w:rsidRPr="009E6D43">
        <w:rPr>
          <w:lang w:val="es-ES"/>
        </w:rPr>
        <w:t xml:space="preserve">se ubicó en </w:t>
      </w:r>
      <w:r w:rsidR="00834EAA" w:rsidRPr="009E6D43">
        <w:rPr>
          <w:lang w:val="es-ES"/>
        </w:rPr>
        <w:t>6</w:t>
      </w:r>
      <w:r w:rsidR="00312D0F" w:rsidRPr="009E6D43">
        <w:rPr>
          <w:lang w:val="es-ES"/>
        </w:rPr>
        <w:t>0.2</w:t>
      </w:r>
      <w:r w:rsidR="00834EAA" w:rsidRPr="009E6D43">
        <w:rPr>
          <w:lang w:val="es-ES"/>
        </w:rPr>
        <w:t xml:space="preserve"> por ciento</w:t>
      </w:r>
      <w:r w:rsidR="00557A15" w:rsidRPr="009E6D43">
        <w:rPr>
          <w:lang w:val="es-ES"/>
        </w:rPr>
        <w:t>.</w:t>
      </w:r>
    </w:p>
    <w:p w14:paraId="7BE6C70F" w14:textId="77777777" w:rsidR="002A6AA6" w:rsidRPr="009E6D43" w:rsidRDefault="002A6AA6">
      <w:pPr>
        <w:jc w:val="left"/>
        <w:rPr>
          <w:sz w:val="20"/>
          <w:szCs w:val="22"/>
          <w:lang w:val="es-ES"/>
        </w:rPr>
      </w:pPr>
      <w:r w:rsidRPr="009E6D43">
        <w:rPr>
          <w:b/>
          <w:sz w:val="20"/>
          <w:szCs w:val="22"/>
        </w:rPr>
        <w:br w:type="page"/>
      </w:r>
    </w:p>
    <w:p w14:paraId="5F6F88B4" w14:textId="77777777" w:rsidR="0076675E" w:rsidRPr="009E6D43" w:rsidRDefault="0076675E" w:rsidP="00285718">
      <w:pPr>
        <w:pStyle w:val="Ttulo"/>
        <w:widowControl w:val="0"/>
        <w:spacing w:before="240"/>
        <w:rPr>
          <w:rFonts w:cs="Arial"/>
          <w:b w:val="0"/>
          <w:sz w:val="20"/>
          <w:szCs w:val="22"/>
        </w:rPr>
      </w:pPr>
      <w:r w:rsidRPr="009E6D43">
        <w:rPr>
          <w:rFonts w:cs="Arial"/>
          <w:b w:val="0"/>
          <w:sz w:val="20"/>
          <w:szCs w:val="22"/>
        </w:rPr>
        <w:lastRenderedPageBreak/>
        <w:t>Cuadro 2</w:t>
      </w:r>
    </w:p>
    <w:p w14:paraId="54DC3DC7" w14:textId="17EFE09E" w:rsidR="00762487" w:rsidRPr="009E6D43" w:rsidRDefault="00762487" w:rsidP="00E25F17">
      <w:pPr>
        <w:jc w:val="center"/>
        <w:rPr>
          <w:b/>
          <w:smallCaps/>
          <w:sz w:val="22"/>
          <w:szCs w:val="22"/>
        </w:rPr>
      </w:pPr>
      <w:r w:rsidRPr="009E6D43">
        <w:rPr>
          <w:b/>
          <w:smallCaps/>
          <w:sz w:val="22"/>
          <w:szCs w:val="22"/>
        </w:rPr>
        <w:t xml:space="preserve">Población de 15 </w:t>
      </w:r>
      <w:r w:rsidR="00295FC2" w:rsidRPr="009E6D43">
        <w:rPr>
          <w:b/>
          <w:smallCaps/>
          <w:sz w:val="22"/>
          <w:szCs w:val="22"/>
        </w:rPr>
        <w:t xml:space="preserve">años </w:t>
      </w:r>
      <w:r w:rsidRPr="009E6D43">
        <w:rPr>
          <w:b/>
          <w:smallCaps/>
          <w:sz w:val="22"/>
          <w:szCs w:val="22"/>
        </w:rPr>
        <w:t>y más</w:t>
      </w:r>
      <w:r w:rsidR="00295FC2" w:rsidRPr="009E6D43">
        <w:rPr>
          <w:b/>
          <w:smallCaps/>
          <w:sz w:val="22"/>
          <w:szCs w:val="22"/>
        </w:rPr>
        <w:t xml:space="preserve">, </w:t>
      </w:r>
      <w:r w:rsidR="00455E98" w:rsidRPr="009E6D43">
        <w:rPr>
          <w:b/>
          <w:smallCaps/>
          <w:sz w:val="22"/>
          <w:szCs w:val="22"/>
        </w:rPr>
        <w:t>según</w:t>
      </w:r>
      <w:r w:rsidRPr="009E6D43">
        <w:rPr>
          <w:b/>
          <w:smallCaps/>
          <w:sz w:val="22"/>
          <w:szCs w:val="22"/>
        </w:rPr>
        <w:t xml:space="preserve"> </w:t>
      </w:r>
      <w:r w:rsidR="00C95B4F" w:rsidRPr="009E6D43">
        <w:rPr>
          <w:b/>
          <w:smallCaps/>
          <w:sz w:val="22"/>
          <w:szCs w:val="22"/>
        </w:rPr>
        <w:t xml:space="preserve">sexo </w:t>
      </w:r>
      <w:r w:rsidR="00455E98" w:rsidRPr="009E6D43">
        <w:rPr>
          <w:b/>
          <w:smallCaps/>
          <w:sz w:val="22"/>
          <w:szCs w:val="22"/>
        </w:rPr>
        <w:t>y</w:t>
      </w:r>
      <w:r w:rsidR="00C95B4F" w:rsidRPr="009E6D43">
        <w:rPr>
          <w:b/>
          <w:smallCaps/>
          <w:sz w:val="22"/>
          <w:szCs w:val="22"/>
        </w:rPr>
        <w:t xml:space="preserve"> </w:t>
      </w:r>
      <w:r w:rsidRPr="009E6D43">
        <w:rPr>
          <w:b/>
          <w:smallCaps/>
          <w:sz w:val="22"/>
          <w:szCs w:val="22"/>
        </w:rPr>
        <w:t xml:space="preserve">condición de actividad económica, </w:t>
      </w:r>
      <w:r w:rsidR="00C95B4F" w:rsidRPr="009E6D43">
        <w:rPr>
          <w:b/>
          <w:smallCaps/>
          <w:sz w:val="22"/>
          <w:szCs w:val="22"/>
        </w:rPr>
        <w:br/>
      </w:r>
      <w:r w:rsidRPr="009E6D43">
        <w:rPr>
          <w:b/>
          <w:smallCaps/>
          <w:sz w:val="22"/>
          <w:szCs w:val="22"/>
        </w:rPr>
        <w:t>ocupación y disponibilidad para trabajar p</w:t>
      </w:r>
      <w:r w:rsidR="00E71A25" w:rsidRPr="009E6D43">
        <w:rPr>
          <w:b/>
          <w:smallCaps/>
          <w:sz w:val="22"/>
          <w:szCs w:val="22"/>
        </w:rPr>
        <w:t>a</w:t>
      </w:r>
      <w:r w:rsidRPr="009E6D43">
        <w:rPr>
          <w:b/>
          <w:smallCaps/>
          <w:sz w:val="22"/>
          <w:szCs w:val="22"/>
        </w:rPr>
        <w:t>r</w:t>
      </w:r>
      <w:r w:rsidR="00E71A25" w:rsidRPr="009E6D43">
        <w:rPr>
          <w:b/>
          <w:smallCaps/>
          <w:sz w:val="22"/>
          <w:szCs w:val="22"/>
        </w:rPr>
        <w:t>a</w:t>
      </w:r>
      <w:r w:rsidRPr="009E6D43">
        <w:rPr>
          <w:b/>
          <w:smallCaps/>
          <w:sz w:val="22"/>
          <w:szCs w:val="22"/>
        </w:rPr>
        <w:t xml:space="preserve"> </w:t>
      </w:r>
      <w:r w:rsidR="00E71A25" w:rsidRPr="009E6D43">
        <w:rPr>
          <w:b/>
          <w:smallCaps/>
          <w:sz w:val="22"/>
          <w:szCs w:val="22"/>
        </w:rPr>
        <w:t xml:space="preserve">el </w:t>
      </w:r>
      <w:r w:rsidRPr="009E6D43">
        <w:rPr>
          <w:b/>
          <w:smallCaps/>
          <w:sz w:val="22"/>
          <w:szCs w:val="22"/>
        </w:rPr>
        <w:t xml:space="preserve">agregado de 32 ciudades </w:t>
      </w:r>
    </w:p>
    <w:p w14:paraId="203AD3B6" w14:textId="4822369F" w:rsidR="00762487" w:rsidRPr="009E6D43" w:rsidRDefault="000E2871" w:rsidP="00762487">
      <w:pPr>
        <w:contextualSpacing/>
        <w:jc w:val="center"/>
        <w:rPr>
          <w:bCs/>
          <w:sz w:val="20"/>
          <w:szCs w:val="20"/>
        </w:rPr>
      </w:pPr>
      <w:r w:rsidRPr="009E6D43">
        <w:rPr>
          <w:bCs/>
          <w:sz w:val="20"/>
          <w:szCs w:val="20"/>
        </w:rPr>
        <w:t>dic</w:t>
      </w:r>
      <w:r w:rsidR="00062E2F" w:rsidRPr="009E6D43">
        <w:rPr>
          <w:bCs/>
          <w:sz w:val="20"/>
          <w:szCs w:val="20"/>
        </w:rPr>
        <w:t>iembre</w:t>
      </w:r>
      <w:r w:rsidR="00834EAA" w:rsidRPr="009E6D43">
        <w:rPr>
          <w:bCs/>
          <w:sz w:val="20"/>
          <w:szCs w:val="20"/>
        </w:rPr>
        <w:t xml:space="preserve"> </w:t>
      </w:r>
      <w:r w:rsidR="00762487" w:rsidRPr="009E6D43">
        <w:rPr>
          <w:bCs/>
          <w:sz w:val="20"/>
          <w:szCs w:val="20"/>
        </w:rPr>
        <w:t>de 202</w:t>
      </w:r>
      <w:r w:rsidR="00E1751B" w:rsidRPr="009E6D43">
        <w:rPr>
          <w:bCs/>
          <w:sz w:val="20"/>
          <w:szCs w:val="20"/>
        </w:rPr>
        <w:t>3</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9E6D43" w14:paraId="3ECC70A6"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0BD8AD7C" w14:textId="7618CCFF" w:rsidR="0061139C" w:rsidRPr="009E6D43" w:rsidRDefault="00DC544E" w:rsidP="006A58F5">
            <w:pPr>
              <w:jc w:val="left"/>
              <w:rPr>
                <w:b/>
                <w:bCs/>
                <w:color w:val="000000"/>
                <w:sz w:val="16"/>
                <w:szCs w:val="16"/>
                <w:highlight w:val="yellow"/>
                <w:lang w:val="es-MX" w:eastAsia="es-MX"/>
              </w:rPr>
            </w:pPr>
            <w:r w:rsidRPr="009E6D43">
              <w:rPr>
                <w:b/>
                <w:bCs/>
                <w:color w:val="000000"/>
                <w:sz w:val="16"/>
                <w:szCs w:val="16"/>
                <w:lang w:val="es-MX" w:eastAsia="es-MX"/>
              </w:rPr>
              <w:t>C</w:t>
            </w:r>
            <w:r w:rsidR="0061139C" w:rsidRPr="009E6D43">
              <w:rPr>
                <w:b/>
                <w:bCs/>
                <w:color w:val="000000"/>
                <w:sz w:val="16"/>
                <w:szCs w:val="16"/>
                <w:lang w:val="es-MX" w:eastAsia="es-MX"/>
              </w:rPr>
              <w:t>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128422A6" w14:textId="77777777" w:rsidR="0061139C" w:rsidRPr="009E6D43" w:rsidRDefault="0061139C" w:rsidP="006A58F5">
            <w:pPr>
              <w:jc w:val="center"/>
              <w:rPr>
                <w:b/>
                <w:bCs/>
                <w:color w:val="000000"/>
                <w:sz w:val="16"/>
                <w:szCs w:val="16"/>
                <w:lang w:val="es-MX" w:eastAsia="es-MX"/>
              </w:rPr>
            </w:pPr>
            <w:r w:rsidRPr="009E6D43">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2320169" w14:textId="77777777" w:rsidR="0061139C" w:rsidRPr="009E6D43" w:rsidRDefault="0061139C" w:rsidP="006A58F5">
            <w:pPr>
              <w:jc w:val="center"/>
              <w:rPr>
                <w:b/>
                <w:bCs/>
                <w:color w:val="000000"/>
                <w:sz w:val="16"/>
                <w:szCs w:val="16"/>
                <w:lang w:val="es-MX" w:eastAsia="es-MX"/>
              </w:rPr>
            </w:pPr>
            <w:r w:rsidRPr="009E6D43">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36D0173" w14:textId="77777777" w:rsidR="0061139C" w:rsidRPr="009E6D43" w:rsidRDefault="0061139C" w:rsidP="006A58F5">
            <w:pPr>
              <w:jc w:val="center"/>
              <w:rPr>
                <w:b/>
                <w:bCs/>
                <w:color w:val="000000"/>
                <w:sz w:val="16"/>
                <w:szCs w:val="16"/>
                <w:lang w:val="es-MX" w:eastAsia="es-MX"/>
              </w:rPr>
            </w:pPr>
            <w:r w:rsidRPr="009E6D43">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7DD4643" w14:textId="77777777" w:rsidR="0061139C" w:rsidRPr="009E6D43" w:rsidRDefault="0061139C" w:rsidP="006A58F5">
            <w:pPr>
              <w:jc w:val="center"/>
              <w:rPr>
                <w:b/>
                <w:bCs/>
                <w:color w:val="000000"/>
                <w:sz w:val="16"/>
                <w:szCs w:val="16"/>
                <w:lang w:val="es-MX" w:eastAsia="es-MX"/>
              </w:rPr>
            </w:pPr>
            <w:r w:rsidRPr="009E6D43">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EDD35A1" w14:textId="77777777" w:rsidR="0061139C" w:rsidRPr="009E6D43" w:rsidRDefault="0061139C" w:rsidP="006A58F5">
            <w:pPr>
              <w:jc w:val="center"/>
              <w:rPr>
                <w:b/>
                <w:bCs/>
                <w:color w:val="000000"/>
                <w:sz w:val="16"/>
                <w:szCs w:val="16"/>
                <w:lang w:val="es-MX" w:eastAsia="es-MX"/>
              </w:rPr>
            </w:pPr>
            <w:r w:rsidRPr="009E6D43">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75F51A9" w14:textId="77777777" w:rsidR="0061139C" w:rsidRPr="009E6D43" w:rsidRDefault="0061139C" w:rsidP="006A58F5">
            <w:pPr>
              <w:jc w:val="center"/>
              <w:rPr>
                <w:b/>
                <w:bCs/>
                <w:color w:val="000000"/>
                <w:sz w:val="16"/>
                <w:szCs w:val="16"/>
                <w:lang w:val="es-MX" w:eastAsia="es-MX"/>
              </w:rPr>
            </w:pPr>
            <w:r w:rsidRPr="009E6D43">
              <w:rPr>
                <w:b/>
                <w:bCs/>
                <w:color w:val="000000"/>
                <w:sz w:val="16"/>
                <w:szCs w:val="16"/>
                <w:lang w:val="es-MX" w:eastAsia="es-MX"/>
              </w:rPr>
              <w:t>Mujeres</w:t>
            </w:r>
          </w:p>
        </w:tc>
      </w:tr>
      <w:tr w:rsidR="0061139C" w:rsidRPr="009E6D43" w14:paraId="5E3973E3"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40A693F" w14:textId="77777777" w:rsidR="0061139C" w:rsidRPr="009E6D43"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7460AA" w14:textId="77777777" w:rsidR="0061139C" w:rsidRPr="009E6D43" w:rsidRDefault="0061139C" w:rsidP="006A58F5">
            <w:pPr>
              <w:jc w:val="center"/>
              <w:rPr>
                <w:b/>
                <w:bCs/>
                <w:color w:val="000000"/>
                <w:sz w:val="16"/>
                <w:szCs w:val="16"/>
                <w:lang w:val="es-MX" w:eastAsia="es-MX"/>
              </w:rPr>
            </w:pPr>
            <w:r w:rsidRPr="009E6D43">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31AD3E3D" w14:textId="77777777" w:rsidR="0061139C" w:rsidRPr="009E6D43" w:rsidRDefault="0061139C" w:rsidP="006A58F5">
            <w:pPr>
              <w:jc w:val="center"/>
              <w:rPr>
                <w:b/>
                <w:bCs/>
                <w:color w:val="000000"/>
                <w:sz w:val="16"/>
                <w:szCs w:val="16"/>
                <w:lang w:val="es-MX" w:eastAsia="es-MX"/>
              </w:rPr>
            </w:pPr>
            <w:r w:rsidRPr="009E6D43">
              <w:rPr>
                <w:b/>
                <w:bCs/>
                <w:color w:val="000000"/>
                <w:sz w:val="16"/>
                <w:szCs w:val="16"/>
                <w:lang w:val="es-MX" w:eastAsia="es-MX"/>
              </w:rPr>
              <w:t>Relativos</w:t>
            </w:r>
          </w:p>
        </w:tc>
      </w:tr>
      <w:tr w:rsidR="00165DD6" w:rsidRPr="009E6D43" w14:paraId="2591C9E5" w14:textId="77777777" w:rsidTr="00165DD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D1FC17A" w14:textId="2779E5DB" w:rsidR="00165DD6" w:rsidRPr="009E6D43" w:rsidRDefault="00165DD6" w:rsidP="00165DD6">
            <w:pPr>
              <w:jc w:val="left"/>
              <w:rPr>
                <w:color w:val="000000"/>
                <w:sz w:val="16"/>
                <w:szCs w:val="16"/>
                <w:lang w:val="es-MX" w:eastAsia="es-MX"/>
              </w:rPr>
            </w:pPr>
            <w:r w:rsidRPr="009E6D43">
              <w:rPr>
                <w:color w:val="000000"/>
                <w:sz w:val="16"/>
                <w:szCs w:val="16"/>
                <w:lang w:val="es-MX" w:eastAsia="es-MX"/>
              </w:rPr>
              <w:t>Población económicamente activa (</w:t>
            </w:r>
            <w:r w:rsidRPr="009E6D43">
              <w:rPr>
                <w:smallCaps/>
                <w:color w:val="000000"/>
                <w:sz w:val="16"/>
                <w:szCs w:val="16"/>
                <w:lang w:val="es-MX" w:eastAsia="es-MX"/>
              </w:rPr>
              <w:t>pea</w:t>
            </w:r>
            <w:r w:rsidRPr="009E6D43">
              <w:rPr>
                <w:color w:val="000000"/>
                <w:sz w:val="16"/>
                <w:szCs w:val="16"/>
                <w:lang w:val="es-MX" w:eastAsia="es-MX"/>
              </w:rPr>
              <w:t>)</w:t>
            </w:r>
            <w:r w:rsidRPr="009E6D43">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264E4262" w14:textId="0051D6EB" w:rsidR="00165DD6" w:rsidRPr="009E6D43" w:rsidRDefault="00165DD6" w:rsidP="00165DD6">
            <w:pPr>
              <w:tabs>
                <w:tab w:val="decimal" w:pos="261"/>
              </w:tabs>
              <w:ind w:firstLineChars="37" w:firstLine="59"/>
              <w:jc w:val="left"/>
              <w:rPr>
                <w:color w:val="000000"/>
                <w:sz w:val="16"/>
                <w:szCs w:val="16"/>
                <w:lang w:val="es-MX" w:eastAsia="es-MX"/>
              </w:rPr>
            </w:pPr>
            <w:r w:rsidRPr="009E6D43">
              <w:rPr>
                <w:color w:val="000000"/>
                <w:sz w:val="16"/>
                <w:szCs w:val="16"/>
              </w:rPr>
              <w:t xml:space="preserve"> 26 353 669</w:t>
            </w:r>
          </w:p>
        </w:tc>
        <w:tc>
          <w:tcPr>
            <w:tcW w:w="1054" w:type="dxa"/>
            <w:tcBorders>
              <w:top w:val="single" w:sz="4" w:space="0" w:color="1F497D"/>
              <w:bottom w:val="nil"/>
            </w:tcBorders>
            <w:shd w:val="clear" w:color="auto" w:fill="auto"/>
            <w:noWrap/>
            <w:vAlign w:val="center"/>
          </w:tcPr>
          <w:p w14:paraId="23557402" w14:textId="6E6514EF" w:rsidR="00165DD6" w:rsidRPr="009E6D43" w:rsidRDefault="00165DD6" w:rsidP="00165DD6">
            <w:pPr>
              <w:tabs>
                <w:tab w:val="decimal" w:pos="261"/>
              </w:tabs>
              <w:ind w:firstLineChars="37" w:firstLine="59"/>
              <w:jc w:val="left"/>
              <w:rPr>
                <w:color w:val="000000"/>
                <w:sz w:val="16"/>
                <w:szCs w:val="16"/>
                <w:lang w:val="es-MX" w:eastAsia="es-MX"/>
              </w:rPr>
            </w:pPr>
            <w:r w:rsidRPr="009E6D43">
              <w:rPr>
                <w:color w:val="000000"/>
                <w:sz w:val="16"/>
                <w:szCs w:val="16"/>
              </w:rPr>
              <w:t xml:space="preserve"> 15 004 646</w:t>
            </w:r>
          </w:p>
        </w:tc>
        <w:tc>
          <w:tcPr>
            <w:tcW w:w="1054" w:type="dxa"/>
            <w:tcBorders>
              <w:top w:val="single" w:sz="4" w:space="0" w:color="1F497D"/>
              <w:bottom w:val="nil"/>
              <w:right w:val="single" w:sz="4" w:space="0" w:color="1F497D"/>
            </w:tcBorders>
            <w:shd w:val="clear" w:color="auto" w:fill="auto"/>
            <w:noWrap/>
            <w:vAlign w:val="center"/>
          </w:tcPr>
          <w:p w14:paraId="2050325E" w14:textId="70922616" w:rsidR="00165DD6" w:rsidRPr="009E6D43" w:rsidRDefault="00165DD6" w:rsidP="00165DD6">
            <w:pPr>
              <w:tabs>
                <w:tab w:val="decimal" w:pos="261"/>
              </w:tabs>
              <w:ind w:firstLineChars="37" w:firstLine="59"/>
              <w:jc w:val="left"/>
              <w:rPr>
                <w:color w:val="000000"/>
                <w:sz w:val="16"/>
                <w:szCs w:val="16"/>
                <w:lang w:val="es-MX" w:eastAsia="es-MX"/>
              </w:rPr>
            </w:pPr>
            <w:r w:rsidRPr="009E6D43">
              <w:rPr>
                <w:color w:val="000000"/>
                <w:sz w:val="16"/>
                <w:szCs w:val="16"/>
              </w:rPr>
              <w:t xml:space="preserve"> 11 349 023</w:t>
            </w:r>
          </w:p>
        </w:tc>
        <w:tc>
          <w:tcPr>
            <w:tcW w:w="794" w:type="dxa"/>
            <w:tcBorders>
              <w:top w:val="single" w:sz="4" w:space="0" w:color="1F497D"/>
              <w:left w:val="single" w:sz="4" w:space="0" w:color="1F497D"/>
              <w:bottom w:val="nil"/>
            </w:tcBorders>
            <w:vAlign w:val="center"/>
          </w:tcPr>
          <w:p w14:paraId="3FA8F81F" w14:textId="7A9D89F2" w:rsidR="00165DD6" w:rsidRPr="009E6D43" w:rsidRDefault="00165DD6" w:rsidP="00165DD6">
            <w:pPr>
              <w:tabs>
                <w:tab w:val="decimal" w:pos="337"/>
              </w:tabs>
              <w:ind w:firstLineChars="37" w:firstLine="59"/>
              <w:jc w:val="left"/>
              <w:rPr>
                <w:color w:val="000000"/>
                <w:sz w:val="16"/>
                <w:szCs w:val="16"/>
                <w:lang w:val="es-MX" w:eastAsia="es-MX"/>
              </w:rPr>
            </w:pPr>
            <w:r w:rsidRPr="009E6D43">
              <w:rPr>
                <w:color w:val="000000"/>
                <w:sz w:val="16"/>
                <w:szCs w:val="16"/>
              </w:rPr>
              <w:t>60.2</w:t>
            </w:r>
          </w:p>
        </w:tc>
        <w:tc>
          <w:tcPr>
            <w:tcW w:w="846" w:type="dxa"/>
            <w:tcBorders>
              <w:top w:val="single" w:sz="4" w:space="0" w:color="1F497D"/>
              <w:bottom w:val="nil"/>
            </w:tcBorders>
            <w:vAlign w:val="center"/>
          </w:tcPr>
          <w:p w14:paraId="50438B09" w14:textId="1446D3DB" w:rsidR="00165DD6" w:rsidRPr="009E6D43" w:rsidRDefault="00165DD6" w:rsidP="00165DD6">
            <w:pPr>
              <w:tabs>
                <w:tab w:val="decimal" w:pos="381"/>
              </w:tabs>
              <w:ind w:firstLineChars="37" w:firstLine="59"/>
              <w:jc w:val="left"/>
              <w:rPr>
                <w:color w:val="000000"/>
                <w:sz w:val="16"/>
                <w:szCs w:val="16"/>
                <w:lang w:val="es-MX" w:eastAsia="es-MX"/>
              </w:rPr>
            </w:pPr>
            <w:r w:rsidRPr="009E6D43">
              <w:rPr>
                <w:color w:val="000000"/>
                <w:sz w:val="16"/>
                <w:szCs w:val="16"/>
              </w:rPr>
              <w:t>73.1</w:t>
            </w:r>
          </w:p>
        </w:tc>
        <w:tc>
          <w:tcPr>
            <w:tcW w:w="828" w:type="dxa"/>
            <w:tcBorders>
              <w:top w:val="single" w:sz="4" w:space="0" w:color="1F497D"/>
              <w:bottom w:val="nil"/>
              <w:right w:val="single" w:sz="4" w:space="0" w:color="1F497D"/>
            </w:tcBorders>
            <w:shd w:val="clear" w:color="auto" w:fill="auto"/>
            <w:noWrap/>
            <w:vAlign w:val="center"/>
          </w:tcPr>
          <w:p w14:paraId="4A39C6F0" w14:textId="60E8ADB9" w:rsidR="00165DD6" w:rsidRPr="009E6D43" w:rsidRDefault="00165DD6" w:rsidP="00165DD6">
            <w:pPr>
              <w:tabs>
                <w:tab w:val="decimal" w:pos="386"/>
              </w:tabs>
              <w:ind w:firstLineChars="37" w:firstLine="59"/>
              <w:jc w:val="left"/>
              <w:rPr>
                <w:color w:val="000000"/>
                <w:sz w:val="16"/>
                <w:szCs w:val="16"/>
                <w:lang w:val="es-MX" w:eastAsia="es-MX"/>
              </w:rPr>
            </w:pPr>
            <w:r w:rsidRPr="009E6D43">
              <w:rPr>
                <w:color w:val="000000"/>
                <w:sz w:val="16"/>
                <w:szCs w:val="16"/>
              </w:rPr>
              <w:t>48.8</w:t>
            </w:r>
          </w:p>
        </w:tc>
      </w:tr>
      <w:tr w:rsidR="00165DD6" w:rsidRPr="009E6D43" w14:paraId="16EEF884" w14:textId="77777777" w:rsidTr="00165DD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4FB0E76" w14:textId="09E2D6E8" w:rsidR="00165DD6" w:rsidRPr="009E6D43" w:rsidRDefault="00165DD6" w:rsidP="00165DD6">
            <w:pPr>
              <w:ind w:firstLineChars="100" w:firstLine="160"/>
              <w:jc w:val="left"/>
              <w:rPr>
                <w:color w:val="000000"/>
                <w:sz w:val="16"/>
                <w:szCs w:val="16"/>
                <w:lang w:val="es-MX" w:eastAsia="es-MX"/>
              </w:rPr>
            </w:pPr>
            <w:proofErr w:type="spellStart"/>
            <w:r w:rsidRPr="009E6D43">
              <w:rPr>
                <w:color w:val="000000"/>
                <w:sz w:val="16"/>
                <w:szCs w:val="16"/>
                <w:lang w:val="es-MX" w:eastAsia="es-MX"/>
              </w:rPr>
              <w:t>Ocupada</w:t>
            </w:r>
            <w:r w:rsidRPr="009E6D43">
              <w:rPr>
                <w:color w:val="000000"/>
                <w:sz w:val="18"/>
                <w:szCs w:val="16"/>
                <w:vertAlign w:val="superscript"/>
                <w:lang w:val="es-MX" w:eastAsia="es-MX"/>
              </w:rPr>
              <w:t>b</w:t>
            </w:r>
            <w:proofErr w:type="spellEnd"/>
            <w:r w:rsidRPr="009E6D43">
              <w:rPr>
                <w:color w:val="000000"/>
                <w:sz w:val="18"/>
                <w:szCs w:val="16"/>
                <w:vertAlign w:val="superscript"/>
                <w:lang w:val="es-MX" w:eastAsia="es-MX"/>
              </w:rPr>
              <w:t>/</w:t>
            </w:r>
          </w:p>
        </w:tc>
        <w:tc>
          <w:tcPr>
            <w:tcW w:w="1054" w:type="dxa"/>
            <w:tcBorders>
              <w:top w:val="nil"/>
              <w:left w:val="single" w:sz="4" w:space="0" w:color="1F497D"/>
              <w:bottom w:val="nil"/>
            </w:tcBorders>
            <w:shd w:val="clear" w:color="auto" w:fill="auto"/>
            <w:noWrap/>
            <w:vAlign w:val="center"/>
          </w:tcPr>
          <w:p w14:paraId="0E66AE85" w14:textId="7046172F" w:rsidR="00165DD6" w:rsidRPr="009E6D43" w:rsidRDefault="00165DD6" w:rsidP="00165DD6">
            <w:pPr>
              <w:tabs>
                <w:tab w:val="decimal" w:pos="261"/>
              </w:tabs>
              <w:ind w:firstLineChars="37" w:firstLine="59"/>
              <w:jc w:val="left"/>
              <w:rPr>
                <w:color w:val="000000"/>
                <w:sz w:val="16"/>
                <w:szCs w:val="16"/>
              </w:rPr>
            </w:pPr>
            <w:r w:rsidRPr="009E6D43">
              <w:rPr>
                <w:color w:val="000000"/>
                <w:sz w:val="16"/>
                <w:szCs w:val="16"/>
              </w:rPr>
              <w:t xml:space="preserve"> 25 541 675</w:t>
            </w:r>
          </w:p>
        </w:tc>
        <w:tc>
          <w:tcPr>
            <w:tcW w:w="1054" w:type="dxa"/>
            <w:tcBorders>
              <w:top w:val="nil"/>
              <w:bottom w:val="nil"/>
            </w:tcBorders>
            <w:shd w:val="clear" w:color="auto" w:fill="auto"/>
            <w:noWrap/>
            <w:vAlign w:val="center"/>
          </w:tcPr>
          <w:p w14:paraId="1441DC24" w14:textId="77DC9C5E" w:rsidR="00165DD6" w:rsidRPr="009E6D43" w:rsidRDefault="00165DD6" w:rsidP="00165DD6">
            <w:pPr>
              <w:tabs>
                <w:tab w:val="decimal" w:pos="261"/>
              </w:tabs>
              <w:ind w:firstLineChars="37" w:firstLine="59"/>
              <w:jc w:val="left"/>
              <w:rPr>
                <w:color w:val="000000"/>
                <w:sz w:val="16"/>
                <w:szCs w:val="16"/>
                <w:lang w:val="es-MX" w:eastAsia="es-MX"/>
              </w:rPr>
            </w:pPr>
            <w:r w:rsidRPr="009E6D43">
              <w:rPr>
                <w:color w:val="000000"/>
                <w:sz w:val="16"/>
                <w:szCs w:val="16"/>
              </w:rPr>
              <w:t xml:space="preserve"> 14 528 075</w:t>
            </w:r>
          </w:p>
        </w:tc>
        <w:tc>
          <w:tcPr>
            <w:tcW w:w="1054" w:type="dxa"/>
            <w:tcBorders>
              <w:top w:val="nil"/>
              <w:bottom w:val="nil"/>
              <w:right w:val="single" w:sz="4" w:space="0" w:color="1F497D"/>
            </w:tcBorders>
            <w:shd w:val="clear" w:color="auto" w:fill="auto"/>
            <w:noWrap/>
            <w:vAlign w:val="center"/>
          </w:tcPr>
          <w:p w14:paraId="3DA710EB" w14:textId="5769F618" w:rsidR="00165DD6" w:rsidRPr="009E6D43" w:rsidRDefault="00165DD6" w:rsidP="00165DD6">
            <w:pPr>
              <w:tabs>
                <w:tab w:val="decimal" w:pos="252"/>
              </w:tabs>
              <w:ind w:firstLineChars="37" w:firstLine="59"/>
              <w:jc w:val="left"/>
              <w:rPr>
                <w:color w:val="000000"/>
                <w:sz w:val="16"/>
                <w:szCs w:val="16"/>
                <w:lang w:val="es-MX" w:eastAsia="es-MX"/>
              </w:rPr>
            </w:pPr>
            <w:r w:rsidRPr="009E6D43">
              <w:rPr>
                <w:color w:val="000000"/>
                <w:sz w:val="16"/>
                <w:szCs w:val="16"/>
              </w:rPr>
              <w:t xml:space="preserve"> 11 013 600</w:t>
            </w:r>
          </w:p>
        </w:tc>
        <w:tc>
          <w:tcPr>
            <w:tcW w:w="794" w:type="dxa"/>
            <w:tcBorders>
              <w:top w:val="nil"/>
              <w:left w:val="single" w:sz="4" w:space="0" w:color="1F497D"/>
              <w:bottom w:val="nil"/>
            </w:tcBorders>
            <w:vAlign w:val="center"/>
          </w:tcPr>
          <w:p w14:paraId="4D40D7EB" w14:textId="4B7845D9" w:rsidR="00165DD6" w:rsidRPr="009E6D43" w:rsidRDefault="00165DD6" w:rsidP="00165DD6">
            <w:pPr>
              <w:tabs>
                <w:tab w:val="decimal" w:pos="337"/>
              </w:tabs>
              <w:ind w:firstLineChars="37" w:firstLine="59"/>
              <w:jc w:val="left"/>
              <w:rPr>
                <w:color w:val="000000"/>
                <w:sz w:val="16"/>
                <w:szCs w:val="16"/>
              </w:rPr>
            </w:pPr>
            <w:r w:rsidRPr="009E6D43">
              <w:rPr>
                <w:color w:val="000000"/>
                <w:sz w:val="16"/>
                <w:szCs w:val="16"/>
              </w:rPr>
              <w:t>96.9</w:t>
            </w:r>
          </w:p>
        </w:tc>
        <w:tc>
          <w:tcPr>
            <w:tcW w:w="846" w:type="dxa"/>
            <w:tcBorders>
              <w:top w:val="nil"/>
              <w:bottom w:val="nil"/>
            </w:tcBorders>
            <w:vAlign w:val="center"/>
          </w:tcPr>
          <w:p w14:paraId="4BA83653" w14:textId="3FA137E3" w:rsidR="00165DD6" w:rsidRPr="009E6D43" w:rsidRDefault="00165DD6" w:rsidP="00165DD6">
            <w:pPr>
              <w:tabs>
                <w:tab w:val="decimal" w:pos="381"/>
              </w:tabs>
              <w:ind w:firstLineChars="37" w:firstLine="59"/>
              <w:jc w:val="left"/>
              <w:rPr>
                <w:color w:val="000000"/>
                <w:sz w:val="16"/>
                <w:szCs w:val="16"/>
                <w:lang w:val="es-MX" w:eastAsia="es-MX"/>
              </w:rPr>
            </w:pPr>
            <w:r w:rsidRPr="009E6D43">
              <w:rPr>
                <w:color w:val="000000"/>
                <w:sz w:val="16"/>
                <w:szCs w:val="16"/>
              </w:rPr>
              <w:t>96.8</w:t>
            </w:r>
          </w:p>
        </w:tc>
        <w:tc>
          <w:tcPr>
            <w:tcW w:w="828" w:type="dxa"/>
            <w:tcBorders>
              <w:top w:val="nil"/>
              <w:bottom w:val="nil"/>
              <w:right w:val="single" w:sz="4" w:space="0" w:color="1F497D"/>
            </w:tcBorders>
            <w:shd w:val="clear" w:color="auto" w:fill="auto"/>
            <w:noWrap/>
            <w:vAlign w:val="center"/>
          </w:tcPr>
          <w:p w14:paraId="0F38F3D5" w14:textId="7428782B" w:rsidR="00165DD6" w:rsidRPr="009E6D43" w:rsidRDefault="00165DD6" w:rsidP="00165DD6">
            <w:pPr>
              <w:tabs>
                <w:tab w:val="decimal" w:pos="386"/>
              </w:tabs>
              <w:ind w:firstLineChars="37" w:firstLine="59"/>
              <w:jc w:val="left"/>
              <w:rPr>
                <w:color w:val="000000"/>
                <w:sz w:val="16"/>
                <w:szCs w:val="16"/>
                <w:lang w:val="es-MX" w:eastAsia="es-MX"/>
              </w:rPr>
            </w:pPr>
            <w:r w:rsidRPr="009E6D43">
              <w:rPr>
                <w:color w:val="000000"/>
                <w:sz w:val="16"/>
                <w:szCs w:val="16"/>
              </w:rPr>
              <w:t>97.0</w:t>
            </w:r>
          </w:p>
        </w:tc>
      </w:tr>
      <w:tr w:rsidR="00165DD6" w:rsidRPr="009E6D43" w14:paraId="0CB89ED1" w14:textId="77777777" w:rsidTr="00165DD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8C09407" w14:textId="5E5B25DF" w:rsidR="00165DD6" w:rsidRPr="009E6D43" w:rsidRDefault="00165DD6" w:rsidP="00165DD6">
            <w:pPr>
              <w:ind w:firstLineChars="100" w:firstLine="160"/>
              <w:jc w:val="left"/>
              <w:rPr>
                <w:color w:val="000000"/>
                <w:sz w:val="16"/>
                <w:szCs w:val="16"/>
                <w:lang w:val="es-MX" w:eastAsia="es-MX"/>
              </w:rPr>
            </w:pPr>
            <w:proofErr w:type="spellStart"/>
            <w:r w:rsidRPr="009E6D43">
              <w:rPr>
                <w:color w:val="000000"/>
                <w:sz w:val="16"/>
                <w:szCs w:val="16"/>
                <w:lang w:val="es-MX" w:eastAsia="es-MX"/>
              </w:rPr>
              <w:t>Desocupada</w:t>
            </w:r>
            <w:r w:rsidRPr="009E6D43">
              <w:rPr>
                <w:color w:val="000000"/>
                <w:sz w:val="18"/>
                <w:szCs w:val="16"/>
                <w:vertAlign w:val="superscript"/>
                <w:lang w:val="es-MX" w:eastAsia="es-MX"/>
              </w:rPr>
              <w:t>b</w:t>
            </w:r>
            <w:proofErr w:type="spellEnd"/>
            <w:r w:rsidRPr="009E6D43">
              <w:rPr>
                <w:color w:val="000000"/>
                <w:sz w:val="18"/>
                <w:szCs w:val="16"/>
                <w:vertAlign w:val="superscript"/>
                <w:lang w:val="es-MX" w:eastAsia="es-MX"/>
              </w:rPr>
              <w:t>/</w:t>
            </w:r>
          </w:p>
        </w:tc>
        <w:tc>
          <w:tcPr>
            <w:tcW w:w="1054" w:type="dxa"/>
            <w:tcBorders>
              <w:top w:val="nil"/>
              <w:left w:val="single" w:sz="4" w:space="0" w:color="1F497D"/>
              <w:bottom w:val="nil"/>
            </w:tcBorders>
            <w:shd w:val="clear" w:color="auto" w:fill="auto"/>
            <w:noWrap/>
            <w:vAlign w:val="center"/>
          </w:tcPr>
          <w:p w14:paraId="3EFBB399" w14:textId="701E984C" w:rsidR="00165DD6" w:rsidRPr="009E6D43" w:rsidRDefault="00165DD6" w:rsidP="00165DD6">
            <w:pPr>
              <w:tabs>
                <w:tab w:val="decimal" w:pos="613"/>
              </w:tabs>
              <w:ind w:firstLineChars="37" w:firstLine="59"/>
              <w:jc w:val="left"/>
              <w:rPr>
                <w:color w:val="000000"/>
                <w:sz w:val="16"/>
                <w:szCs w:val="16"/>
              </w:rPr>
            </w:pPr>
            <w:r w:rsidRPr="009E6D43">
              <w:rPr>
                <w:color w:val="000000"/>
                <w:sz w:val="16"/>
                <w:szCs w:val="16"/>
              </w:rPr>
              <w:t xml:space="preserve">  811 994</w:t>
            </w:r>
          </w:p>
        </w:tc>
        <w:tc>
          <w:tcPr>
            <w:tcW w:w="1054" w:type="dxa"/>
            <w:tcBorders>
              <w:top w:val="nil"/>
              <w:bottom w:val="nil"/>
            </w:tcBorders>
            <w:shd w:val="clear" w:color="auto" w:fill="auto"/>
            <w:noWrap/>
            <w:vAlign w:val="center"/>
          </w:tcPr>
          <w:p w14:paraId="5925D35D" w14:textId="14DB1036" w:rsidR="00165DD6" w:rsidRPr="009E6D43" w:rsidRDefault="00165DD6" w:rsidP="00165DD6">
            <w:pPr>
              <w:tabs>
                <w:tab w:val="decimal" w:pos="579"/>
              </w:tabs>
              <w:ind w:firstLineChars="37" w:firstLine="59"/>
              <w:jc w:val="left"/>
              <w:rPr>
                <w:color w:val="000000"/>
                <w:sz w:val="16"/>
                <w:szCs w:val="16"/>
                <w:lang w:val="es-MX" w:eastAsia="es-MX"/>
              </w:rPr>
            </w:pPr>
            <w:r w:rsidRPr="009E6D43">
              <w:rPr>
                <w:color w:val="000000"/>
                <w:sz w:val="16"/>
                <w:szCs w:val="16"/>
              </w:rPr>
              <w:t xml:space="preserve">  476 571</w:t>
            </w:r>
          </w:p>
        </w:tc>
        <w:tc>
          <w:tcPr>
            <w:tcW w:w="1054" w:type="dxa"/>
            <w:tcBorders>
              <w:top w:val="nil"/>
              <w:bottom w:val="nil"/>
              <w:right w:val="single" w:sz="4" w:space="0" w:color="1F497D"/>
            </w:tcBorders>
            <w:shd w:val="clear" w:color="auto" w:fill="auto"/>
            <w:noWrap/>
            <w:vAlign w:val="center"/>
          </w:tcPr>
          <w:p w14:paraId="1B2A8E60" w14:textId="132DD248" w:rsidR="00165DD6" w:rsidRPr="009E6D43" w:rsidRDefault="00165DD6" w:rsidP="00165DD6">
            <w:pPr>
              <w:tabs>
                <w:tab w:val="decimal" w:pos="619"/>
              </w:tabs>
              <w:ind w:firstLineChars="37" w:firstLine="59"/>
              <w:jc w:val="left"/>
              <w:rPr>
                <w:color w:val="000000"/>
                <w:sz w:val="16"/>
                <w:szCs w:val="16"/>
                <w:lang w:val="es-MX" w:eastAsia="es-MX"/>
              </w:rPr>
            </w:pPr>
            <w:r w:rsidRPr="009E6D43">
              <w:rPr>
                <w:color w:val="000000"/>
                <w:sz w:val="16"/>
                <w:szCs w:val="16"/>
              </w:rPr>
              <w:t xml:space="preserve">  335 423</w:t>
            </w:r>
          </w:p>
        </w:tc>
        <w:tc>
          <w:tcPr>
            <w:tcW w:w="794" w:type="dxa"/>
            <w:tcBorders>
              <w:top w:val="nil"/>
              <w:left w:val="single" w:sz="4" w:space="0" w:color="1F497D"/>
              <w:bottom w:val="nil"/>
            </w:tcBorders>
            <w:vAlign w:val="center"/>
          </w:tcPr>
          <w:p w14:paraId="4AA4A874" w14:textId="00B53E3A" w:rsidR="00165DD6" w:rsidRPr="009E6D43" w:rsidRDefault="00165DD6" w:rsidP="00165DD6">
            <w:pPr>
              <w:tabs>
                <w:tab w:val="decimal" w:pos="337"/>
              </w:tabs>
              <w:ind w:firstLineChars="37" w:firstLine="59"/>
              <w:jc w:val="left"/>
              <w:rPr>
                <w:color w:val="000000"/>
                <w:sz w:val="16"/>
                <w:szCs w:val="16"/>
              </w:rPr>
            </w:pPr>
            <w:r w:rsidRPr="009E6D43">
              <w:rPr>
                <w:color w:val="000000"/>
                <w:sz w:val="16"/>
                <w:szCs w:val="16"/>
              </w:rPr>
              <w:t>3.1</w:t>
            </w:r>
          </w:p>
        </w:tc>
        <w:tc>
          <w:tcPr>
            <w:tcW w:w="846" w:type="dxa"/>
            <w:tcBorders>
              <w:top w:val="nil"/>
              <w:bottom w:val="nil"/>
            </w:tcBorders>
            <w:vAlign w:val="center"/>
          </w:tcPr>
          <w:p w14:paraId="29DF5118" w14:textId="3B6E8A14" w:rsidR="00165DD6" w:rsidRPr="009E6D43" w:rsidRDefault="00165DD6" w:rsidP="00165DD6">
            <w:pPr>
              <w:tabs>
                <w:tab w:val="decimal" w:pos="381"/>
              </w:tabs>
              <w:ind w:firstLineChars="37" w:firstLine="59"/>
              <w:jc w:val="left"/>
              <w:rPr>
                <w:color w:val="000000"/>
                <w:sz w:val="16"/>
                <w:szCs w:val="16"/>
                <w:lang w:val="es-MX" w:eastAsia="es-MX"/>
              </w:rPr>
            </w:pPr>
            <w:r w:rsidRPr="009E6D43">
              <w:rPr>
                <w:color w:val="000000"/>
                <w:sz w:val="16"/>
                <w:szCs w:val="16"/>
              </w:rPr>
              <w:t>3.2</w:t>
            </w:r>
          </w:p>
        </w:tc>
        <w:tc>
          <w:tcPr>
            <w:tcW w:w="828" w:type="dxa"/>
            <w:tcBorders>
              <w:top w:val="nil"/>
              <w:bottom w:val="nil"/>
              <w:right w:val="single" w:sz="4" w:space="0" w:color="1F497D"/>
            </w:tcBorders>
            <w:shd w:val="clear" w:color="auto" w:fill="auto"/>
            <w:noWrap/>
            <w:vAlign w:val="center"/>
          </w:tcPr>
          <w:p w14:paraId="7736CF38" w14:textId="06AC415D" w:rsidR="00165DD6" w:rsidRPr="009E6D43" w:rsidRDefault="00165DD6" w:rsidP="00165DD6">
            <w:pPr>
              <w:tabs>
                <w:tab w:val="decimal" w:pos="386"/>
              </w:tabs>
              <w:ind w:firstLineChars="37" w:firstLine="59"/>
              <w:jc w:val="left"/>
              <w:rPr>
                <w:color w:val="000000"/>
                <w:sz w:val="16"/>
                <w:szCs w:val="16"/>
                <w:lang w:val="es-MX" w:eastAsia="es-MX"/>
              </w:rPr>
            </w:pPr>
            <w:r w:rsidRPr="009E6D43">
              <w:rPr>
                <w:color w:val="000000"/>
                <w:sz w:val="16"/>
                <w:szCs w:val="16"/>
              </w:rPr>
              <w:t>3.0</w:t>
            </w:r>
          </w:p>
        </w:tc>
      </w:tr>
      <w:tr w:rsidR="00165DD6" w:rsidRPr="009E6D43" w14:paraId="0CDF45DD" w14:textId="77777777" w:rsidTr="00165DD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1B17AFD" w14:textId="1BA86D68" w:rsidR="00165DD6" w:rsidRPr="009E6D43" w:rsidRDefault="00165DD6" w:rsidP="00165DD6">
            <w:pPr>
              <w:jc w:val="left"/>
              <w:rPr>
                <w:color w:val="000000"/>
                <w:sz w:val="16"/>
                <w:szCs w:val="16"/>
                <w:lang w:val="es-MX" w:eastAsia="es-MX"/>
              </w:rPr>
            </w:pPr>
            <w:r w:rsidRPr="009E6D43">
              <w:rPr>
                <w:color w:val="000000"/>
                <w:sz w:val="16"/>
                <w:szCs w:val="16"/>
                <w:lang w:val="es-MX" w:eastAsia="es-MX"/>
              </w:rPr>
              <w:t>Población no económicamente activa (</w:t>
            </w:r>
            <w:proofErr w:type="spellStart"/>
            <w:r w:rsidRPr="009E6D43">
              <w:rPr>
                <w:smallCaps/>
                <w:color w:val="000000"/>
                <w:sz w:val="16"/>
                <w:szCs w:val="16"/>
                <w:lang w:val="es-MX" w:eastAsia="es-MX"/>
              </w:rPr>
              <w:t>pnea</w:t>
            </w:r>
            <w:proofErr w:type="spellEnd"/>
            <w:r w:rsidRPr="009E6D43">
              <w:rPr>
                <w:color w:val="000000"/>
                <w:sz w:val="16"/>
                <w:szCs w:val="16"/>
                <w:lang w:val="es-MX" w:eastAsia="es-MX"/>
              </w:rPr>
              <w:t>)</w:t>
            </w:r>
            <w:r w:rsidRPr="009E6D43">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30C80531" w14:textId="4EC22C91" w:rsidR="00165DD6" w:rsidRPr="009E6D43" w:rsidRDefault="00165DD6" w:rsidP="00165DD6">
            <w:pPr>
              <w:tabs>
                <w:tab w:val="decimal" w:pos="284"/>
              </w:tabs>
              <w:ind w:firstLineChars="37" w:firstLine="59"/>
              <w:jc w:val="left"/>
              <w:rPr>
                <w:color w:val="000000"/>
                <w:sz w:val="16"/>
                <w:szCs w:val="16"/>
              </w:rPr>
            </w:pPr>
            <w:r w:rsidRPr="009E6D43">
              <w:rPr>
                <w:color w:val="000000"/>
                <w:sz w:val="16"/>
                <w:szCs w:val="16"/>
              </w:rPr>
              <w:t xml:space="preserve"> 17 398 170</w:t>
            </w:r>
          </w:p>
        </w:tc>
        <w:tc>
          <w:tcPr>
            <w:tcW w:w="1054" w:type="dxa"/>
            <w:tcBorders>
              <w:top w:val="nil"/>
              <w:bottom w:val="nil"/>
            </w:tcBorders>
            <w:shd w:val="clear" w:color="auto" w:fill="auto"/>
            <w:noWrap/>
            <w:vAlign w:val="center"/>
          </w:tcPr>
          <w:p w14:paraId="047BF502" w14:textId="1C17BAF5" w:rsidR="00165DD6" w:rsidRPr="009E6D43" w:rsidRDefault="00165DD6" w:rsidP="00165DD6">
            <w:pPr>
              <w:tabs>
                <w:tab w:val="decimal" w:pos="261"/>
              </w:tabs>
              <w:ind w:firstLineChars="37" w:firstLine="59"/>
              <w:jc w:val="left"/>
              <w:rPr>
                <w:color w:val="000000"/>
                <w:sz w:val="16"/>
                <w:szCs w:val="16"/>
                <w:lang w:val="es-MX" w:eastAsia="es-MX"/>
              </w:rPr>
            </w:pPr>
            <w:r w:rsidRPr="009E6D43">
              <w:rPr>
                <w:color w:val="000000"/>
                <w:sz w:val="16"/>
                <w:szCs w:val="16"/>
              </w:rPr>
              <w:t xml:space="preserve"> 5 510 894</w:t>
            </w:r>
          </w:p>
        </w:tc>
        <w:tc>
          <w:tcPr>
            <w:tcW w:w="1054" w:type="dxa"/>
            <w:tcBorders>
              <w:top w:val="nil"/>
              <w:bottom w:val="nil"/>
              <w:right w:val="single" w:sz="4" w:space="0" w:color="1F497D"/>
            </w:tcBorders>
            <w:shd w:val="clear" w:color="auto" w:fill="auto"/>
            <w:noWrap/>
            <w:vAlign w:val="center"/>
          </w:tcPr>
          <w:p w14:paraId="2272F6CA" w14:textId="2CF53302" w:rsidR="00165DD6" w:rsidRPr="009E6D43" w:rsidRDefault="00165DD6" w:rsidP="00165DD6">
            <w:pPr>
              <w:tabs>
                <w:tab w:val="decimal" w:pos="261"/>
              </w:tabs>
              <w:ind w:firstLineChars="37" w:firstLine="59"/>
              <w:jc w:val="left"/>
              <w:rPr>
                <w:color w:val="000000"/>
                <w:sz w:val="16"/>
                <w:szCs w:val="16"/>
                <w:lang w:val="es-MX" w:eastAsia="es-MX"/>
              </w:rPr>
            </w:pPr>
            <w:r w:rsidRPr="009E6D43">
              <w:rPr>
                <w:color w:val="000000"/>
                <w:sz w:val="16"/>
                <w:szCs w:val="16"/>
              </w:rPr>
              <w:t xml:space="preserve"> 11 887 276</w:t>
            </w:r>
          </w:p>
        </w:tc>
        <w:tc>
          <w:tcPr>
            <w:tcW w:w="794" w:type="dxa"/>
            <w:tcBorders>
              <w:top w:val="nil"/>
              <w:left w:val="single" w:sz="4" w:space="0" w:color="1F497D"/>
              <w:bottom w:val="nil"/>
            </w:tcBorders>
            <w:vAlign w:val="center"/>
          </w:tcPr>
          <w:p w14:paraId="2F726B8A" w14:textId="4257A9BF" w:rsidR="00165DD6" w:rsidRPr="009E6D43" w:rsidRDefault="00165DD6" w:rsidP="00165DD6">
            <w:pPr>
              <w:tabs>
                <w:tab w:val="decimal" w:pos="337"/>
              </w:tabs>
              <w:ind w:firstLineChars="37" w:firstLine="59"/>
              <w:jc w:val="left"/>
              <w:rPr>
                <w:color w:val="000000"/>
                <w:sz w:val="16"/>
                <w:szCs w:val="16"/>
              </w:rPr>
            </w:pPr>
            <w:r w:rsidRPr="009E6D43">
              <w:rPr>
                <w:color w:val="000000"/>
                <w:sz w:val="16"/>
                <w:szCs w:val="16"/>
              </w:rPr>
              <w:t>39.8</w:t>
            </w:r>
          </w:p>
        </w:tc>
        <w:tc>
          <w:tcPr>
            <w:tcW w:w="846" w:type="dxa"/>
            <w:tcBorders>
              <w:top w:val="nil"/>
              <w:bottom w:val="nil"/>
            </w:tcBorders>
            <w:vAlign w:val="center"/>
          </w:tcPr>
          <w:p w14:paraId="539463E6" w14:textId="04A4408B" w:rsidR="00165DD6" w:rsidRPr="009E6D43" w:rsidRDefault="00165DD6" w:rsidP="00165DD6">
            <w:pPr>
              <w:tabs>
                <w:tab w:val="decimal" w:pos="381"/>
              </w:tabs>
              <w:ind w:firstLineChars="37" w:firstLine="59"/>
              <w:jc w:val="left"/>
              <w:rPr>
                <w:color w:val="000000"/>
                <w:sz w:val="16"/>
                <w:szCs w:val="16"/>
                <w:lang w:val="es-MX" w:eastAsia="es-MX"/>
              </w:rPr>
            </w:pPr>
            <w:r w:rsidRPr="009E6D43">
              <w:rPr>
                <w:color w:val="000000"/>
                <w:sz w:val="16"/>
                <w:szCs w:val="16"/>
              </w:rPr>
              <w:t>26.9</w:t>
            </w:r>
          </w:p>
        </w:tc>
        <w:tc>
          <w:tcPr>
            <w:tcW w:w="828" w:type="dxa"/>
            <w:tcBorders>
              <w:top w:val="nil"/>
              <w:bottom w:val="nil"/>
              <w:right w:val="single" w:sz="4" w:space="0" w:color="1F497D"/>
            </w:tcBorders>
            <w:shd w:val="clear" w:color="auto" w:fill="auto"/>
            <w:noWrap/>
            <w:vAlign w:val="center"/>
          </w:tcPr>
          <w:p w14:paraId="7EC9556D" w14:textId="17363D6D" w:rsidR="00165DD6" w:rsidRPr="009E6D43" w:rsidRDefault="00165DD6" w:rsidP="00165DD6">
            <w:pPr>
              <w:tabs>
                <w:tab w:val="decimal" w:pos="386"/>
              </w:tabs>
              <w:ind w:firstLineChars="37" w:firstLine="59"/>
              <w:jc w:val="left"/>
              <w:rPr>
                <w:color w:val="000000"/>
                <w:sz w:val="16"/>
                <w:szCs w:val="16"/>
                <w:lang w:val="es-MX" w:eastAsia="es-MX"/>
              </w:rPr>
            </w:pPr>
            <w:r w:rsidRPr="009E6D43">
              <w:rPr>
                <w:color w:val="000000"/>
                <w:sz w:val="16"/>
                <w:szCs w:val="16"/>
              </w:rPr>
              <w:t>51.2</w:t>
            </w:r>
          </w:p>
        </w:tc>
      </w:tr>
      <w:tr w:rsidR="00165DD6" w:rsidRPr="009E6D43" w14:paraId="6EAB2686" w14:textId="77777777" w:rsidTr="00165DD6">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87EE26" w14:textId="69C8C090" w:rsidR="00165DD6" w:rsidRPr="009E6D43" w:rsidRDefault="00165DD6" w:rsidP="00165DD6">
            <w:pPr>
              <w:ind w:firstLineChars="100" w:firstLine="160"/>
              <w:jc w:val="left"/>
              <w:rPr>
                <w:color w:val="000000"/>
                <w:sz w:val="16"/>
                <w:szCs w:val="16"/>
                <w:lang w:val="es-MX" w:eastAsia="es-MX"/>
              </w:rPr>
            </w:pPr>
            <w:proofErr w:type="spellStart"/>
            <w:r w:rsidRPr="009E6D43">
              <w:rPr>
                <w:color w:val="000000"/>
                <w:sz w:val="16"/>
                <w:szCs w:val="16"/>
                <w:lang w:val="es-MX" w:eastAsia="es-MX"/>
              </w:rPr>
              <w:t>Disponible</w:t>
            </w:r>
            <w:r w:rsidRPr="009E6D43">
              <w:rPr>
                <w:color w:val="000000"/>
                <w:sz w:val="18"/>
                <w:szCs w:val="16"/>
                <w:vertAlign w:val="superscript"/>
                <w:lang w:val="es-MX" w:eastAsia="es-MX"/>
              </w:rPr>
              <w:t>c</w:t>
            </w:r>
            <w:proofErr w:type="spellEnd"/>
            <w:r w:rsidRPr="009E6D43">
              <w:rPr>
                <w:color w:val="000000"/>
                <w:sz w:val="18"/>
                <w:szCs w:val="16"/>
                <w:vertAlign w:val="superscript"/>
                <w:lang w:val="es-MX" w:eastAsia="es-MX"/>
              </w:rPr>
              <w:t>/</w:t>
            </w:r>
          </w:p>
        </w:tc>
        <w:tc>
          <w:tcPr>
            <w:tcW w:w="1054" w:type="dxa"/>
            <w:tcBorders>
              <w:top w:val="nil"/>
              <w:left w:val="single" w:sz="4" w:space="0" w:color="1F497D"/>
              <w:bottom w:val="nil"/>
            </w:tcBorders>
            <w:shd w:val="clear" w:color="auto" w:fill="auto"/>
            <w:noWrap/>
            <w:vAlign w:val="center"/>
          </w:tcPr>
          <w:p w14:paraId="35C810DB" w14:textId="0E9331EB" w:rsidR="00165DD6" w:rsidRPr="009E6D43" w:rsidRDefault="00165DD6" w:rsidP="00165DD6">
            <w:pPr>
              <w:tabs>
                <w:tab w:val="decimal" w:pos="284"/>
              </w:tabs>
              <w:ind w:firstLineChars="37" w:firstLine="59"/>
              <w:jc w:val="left"/>
              <w:rPr>
                <w:color w:val="000000"/>
                <w:sz w:val="16"/>
                <w:szCs w:val="16"/>
              </w:rPr>
            </w:pPr>
            <w:r w:rsidRPr="009E6D43">
              <w:rPr>
                <w:color w:val="000000"/>
                <w:sz w:val="16"/>
                <w:szCs w:val="16"/>
              </w:rPr>
              <w:t xml:space="preserve"> 1 898 290</w:t>
            </w:r>
          </w:p>
        </w:tc>
        <w:tc>
          <w:tcPr>
            <w:tcW w:w="1054" w:type="dxa"/>
            <w:tcBorders>
              <w:top w:val="nil"/>
              <w:bottom w:val="nil"/>
            </w:tcBorders>
            <w:shd w:val="clear" w:color="auto" w:fill="auto"/>
            <w:noWrap/>
            <w:vAlign w:val="center"/>
          </w:tcPr>
          <w:p w14:paraId="573B6E82" w14:textId="45350450" w:rsidR="00165DD6" w:rsidRPr="009E6D43" w:rsidRDefault="00165DD6" w:rsidP="00165DD6">
            <w:pPr>
              <w:tabs>
                <w:tab w:val="decimal" w:pos="581"/>
              </w:tabs>
              <w:ind w:firstLineChars="37" w:firstLine="59"/>
              <w:jc w:val="left"/>
              <w:rPr>
                <w:color w:val="000000"/>
                <w:sz w:val="16"/>
                <w:szCs w:val="16"/>
                <w:lang w:val="es-MX" w:eastAsia="es-MX"/>
              </w:rPr>
            </w:pPr>
            <w:r w:rsidRPr="009E6D43">
              <w:rPr>
                <w:color w:val="000000"/>
                <w:sz w:val="16"/>
                <w:szCs w:val="16"/>
              </w:rPr>
              <w:t xml:space="preserve">  714 845</w:t>
            </w:r>
          </w:p>
        </w:tc>
        <w:tc>
          <w:tcPr>
            <w:tcW w:w="1054" w:type="dxa"/>
            <w:tcBorders>
              <w:top w:val="nil"/>
              <w:bottom w:val="nil"/>
              <w:right w:val="single" w:sz="4" w:space="0" w:color="1F497D"/>
            </w:tcBorders>
            <w:shd w:val="clear" w:color="auto" w:fill="auto"/>
            <w:noWrap/>
            <w:vAlign w:val="center"/>
          </w:tcPr>
          <w:p w14:paraId="1E0B5FF9" w14:textId="19BB4F86" w:rsidR="00165DD6" w:rsidRPr="009E6D43" w:rsidRDefault="00165DD6" w:rsidP="00165DD6">
            <w:pPr>
              <w:tabs>
                <w:tab w:val="decimal" w:pos="279"/>
              </w:tabs>
              <w:ind w:firstLineChars="37" w:firstLine="59"/>
              <w:jc w:val="left"/>
              <w:rPr>
                <w:color w:val="000000"/>
                <w:sz w:val="16"/>
                <w:szCs w:val="16"/>
                <w:lang w:val="es-MX" w:eastAsia="es-MX"/>
              </w:rPr>
            </w:pPr>
            <w:r w:rsidRPr="009E6D43">
              <w:rPr>
                <w:color w:val="000000"/>
                <w:sz w:val="16"/>
                <w:szCs w:val="16"/>
              </w:rPr>
              <w:t xml:space="preserve"> 1 183 445</w:t>
            </w:r>
          </w:p>
        </w:tc>
        <w:tc>
          <w:tcPr>
            <w:tcW w:w="794" w:type="dxa"/>
            <w:tcBorders>
              <w:top w:val="nil"/>
              <w:left w:val="single" w:sz="4" w:space="0" w:color="1F497D"/>
              <w:bottom w:val="nil"/>
            </w:tcBorders>
            <w:vAlign w:val="center"/>
          </w:tcPr>
          <w:p w14:paraId="356D98C4" w14:textId="439C2D5B" w:rsidR="00165DD6" w:rsidRPr="009E6D43" w:rsidRDefault="00165DD6" w:rsidP="00165DD6">
            <w:pPr>
              <w:tabs>
                <w:tab w:val="decimal" w:pos="337"/>
              </w:tabs>
              <w:ind w:firstLineChars="37" w:firstLine="59"/>
              <w:jc w:val="left"/>
              <w:rPr>
                <w:color w:val="000000"/>
                <w:sz w:val="16"/>
                <w:szCs w:val="16"/>
              </w:rPr>
            </w:pPr>
            <w:r w:rsidRPr="009E6D43">
              <w:rPr>
                <w:color w:val="000000"/>
                <w:sz w:val="16"/>
                <w:szCs w:val="16"/>
              </w:rPr>
              <w:t>10.9</w:t>
            </w:r>
          </w:p>
        </w:tc>
        <w:tc>
          <w:tcPr>
            <w:tcW w:w="846" w:type="dxa"/>
            <w:tcBorders>
              <w:top w:val="nil"/>
              <w:bottom w:val="nil"/>
            </w:tcBorders>
            <w:vAlign w:val="center"/>
          </w:tcPr>
          <w:p w14:paraId="488A71B7" w14:textId="59001F5D" w:rsidR="00165DD6" w:rsidRPr="009E6D43" w:rsidRDefault="00165DD6" w:rsidP="00165DD6">
            <w:pPr>
              <w:tabs>
                <w:tab w:val="decimal" w:pos="381"/>
              </w:tabs>
              <w:ind w:firstLineChars="37" w:firstLine="59"/>
              <w:jc w:val="left"/>
              <w:rPr>
                <w:color w:val="000000"/>
                <w:sz w:val="16"/>
                <w:szCs w:val="16"/>
                <w:lang w:val="es-MX" w:eastAsia="es-MX"/>
              </w:rPr>
            </w:pPr>
            <w:r w:rsidRPr="009E6D43">
              <w:rPr>
                <w:color w:val="000000"/>
                <w:sz w:val="16"/>
                <w:szCs w:val="16"/>
              </w:rPr>
              <w:t>13.0</w:t>
            </w:r>
          </w:p>
        </w:tc>
        <w:tc>
          <w:tcPr>
            <w:tcW w:w="828" w:type="dxa"/>
            <w:tcBorders>
              <w:top w:val="nil"/>
              <w:bottom w:val="nil"/>
              <w:right w:val="single" w:sz="4" w:space="0" w:color="1F497D"/>
            </w:tcBorders>
            <w:shd w:val="clear" w:color="auto" w:fill="auto"/>
            <w:noWrap/>
            <w:vAlign w:val="center"/>
          </w:tcPr>
          <w:p w14:paraId="02396382" w14:textId="067D6A21" w:rsidR="00165DD6" w:rsidRPr="009E6D43" w:rsidRDefault="00165DD6" w:rsidP="00165DD6">
            <w:pPr>
              <w:tabs>
                <w:tab w:val="decimal" w:pos="386"/>
              </w:tabs>
              <w:ind w:firstLineChars="37" w:firstLine="59"/>
              <w:jc w:val="left"/>
              <w:rPr>
                <w:color w:val="000000"/>
                <w:sz w:val="16"/>
                <w:szCs w:val="16"/>
                <w:lang w:val="es-MX" w:eastAsia="es-MX"/>
              </w:rPr>
            </w:pPr>
            <w:r w:rsidRPr="009E6D43">
              <w:rPr>
                <w:color w:val="000000"/>
                <w:sz w:val="16"/>
                <w:szCs w:val="16"/>
              </w:rPr>
              <w:t>10.0</w:t>
            </w:r>
          </w:p>
        </w:tc>
      </w:tr>
      <w:tr w:rsidR="00165DD6" w:rsidRPr="009E6D43" w14:paraId="0A335890" w14:textId="77777777" w:rsidTr="00165DD6">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6F1DAA5" w14:textId="55904B5F" w:rsidR="00165DD6" w:rsidRPr="009E6D43" w:rsidRDefault="00165DD6" w:rsidP="00165DD6">
            <w:pPr>
              <w:ind w:firstLineChars="100" w:firstLine="160"/>
              <w:jc w:val="left"/>
              <w:rPr>
                <w:color w:val="000000"/>
                <w:sz w:val="16"/>
                <w:szCs w:val="16"/>
                <w:lang w:val="es-MX" w:eastAsia="es-MX"/>
              </w:rPr>
            </w:pPr>
            <w:r w:rsidRPr="009E6D43">
              <w:rPr>
                <w:color w:val="000000"/>
                <w:sz w:val="16"/>
                <w:szCs w:val="16"/>
                <w:lang w:val="es-MX" w:eastAsia="es-MX"/>
              </w:rPr>
              <w:t xml:space="preserve">No </w:t>
            </w:r>
            <w:proofErr w:type="spellStart"/>
            <w:r w:rsidRPr="009E6D43">
              <w:rPr>
                <w:color w:val="000000"/>
                <w:sz w:val="16"/>
                <w:szCs w:val="16"/>
                <w:lang w:val="es-MX" w:eastAsia="es-MX"/>
              </w:rPr>
              <w:t>disponible</w:t>
            </w:r>
            <w:r w:rsidRPr="009E6D43">
              <w:rPr>
                <w:color w:val="000000"/>
                <w:sz w:val="18"/>
                <w:szCs w:val="16"/>
                <w:vertAlign w:val="superscript"/>
                <w:lang w:val="es-MX" w:eastAsia="es-MX"/>
              </w:rPr>
              <w:t>c</w:t>
            </w:r>
            <w:proofErr w:type="spellEnd"/>
            <w:r w:rsidRPr="009E6D43">
              <w:rPr>
                <w:color w:val="000000"/>
                <w:sz w:val="18"/>
                <w:szCs w:val="16"/>
                <w:vertAlign w:val="superscript"/>
                <w:lang w:val="es-MX" w:eastAsia="es-MX"/>
              </w:rPr>
              <w:t>/</w:t>
            </w:r>
          </w:p>
        </w:tc>
        <w:tc>
          <w:tcPr>
            <w:tcW w:w="1054" w:type="dxa"/>
            <w:tcBorders>
              <w:top w:val="nil"/>
              <w:left w:val="single" w:sz="4" w:space="0" w:color="1F497D"/>
              <w:bottom w:val="single" w:sz="4" w:space="0" w:color="1F497D"/>
            </w:tcBorders>
            <w:shd w:val="clear" w:color="auto" w:fill="auto"/>
            <w:noWrap/>
            <w:vAlign w:val="center"/>
          </w:tcPr>
          <w:p w14:paraId="775DAF00" w14:textId="544CD713" w:rsidR="00165DD6" w:rsidRPr="009E6D43" w:rsidRDefault="00165DD6" w:rsidP="00165DD6">
            <w:pPr>
              <w:tabs>
                <w:tab w:val="decimal" w:pos="291"/>
              </w:tabs>
              <w:ind w:firstLineChars="37" w:firstLine="59"/>
              <w:jc w:val="left"/>
              <w:rPr>
                <w:color w:val="000000"/>
                <w:sz w:val="16"/>
                <w:szCs w:val="16"/>
              </w:rPr>
            </w:pPr>
            <w:r w:rsidRPr="009E6D43">
              <w:rPr>
                <w:color w:val="000000"/>
                <w:sz w:val="16"/>
                <w:szCs w:val="16"/>
              </w:rPr>
              <w:t xml:space="preserve"> 15 499 880</w:t>
            </w:r>
          </w:p>
        </w:tc>
        <w:tc>
          <w:tcPr>
            <w:tcW w:w="1054" w:type="dxa"/>
            <w:tcBorders>
              <w:top w:val="nil"/>
              <w:bottom w:val="single" w:sz="4" w:space="0" w:color="1F497D"/>
            </w:tcBorders>
            <w:shd w:val="clear" w:color="auto" w:fill="auto"/>
            <w:noWrap/>
            <w:vAlign w:val="center"/>
          </w:tcPr>
          <w:p w14:paraId="600F82A4" w14:textId="19FC70D1" w:rsidR="00165DD6" w:rsidRPr="009E6D43" w:rsidRDefault="00165DD6" w:rsidP="00165DD6">
            <w:pPr>
              <w:tabs>
                <w:tab w:val="decimal" w:pos="261"/>
              </w:tabs>
              <w:ind w:firstLineChars="37" w:firstLine="59"/>
              <w:jc w:val="left"/>
              <w:rPr>
                <w:color w:val="000000"/>
                <w:sz w:val="16"/>
                <w:szCs w:val="16"/>
                <w:lang w:val="es-MX" w:eastAsia="es-MX"/>
              </w:rPr>
            </w:pPr>
            <w:r w:rsidRPr="009E6D43">
              <w:rPr>
                <w:color w:val="000000"/>
                <w:sz w:val="16"/>
                <w:szCs w:val="16"/>
              </w:rPr>
              <w:t xml:space="preserve"> 4 796 049</w:t>
            </w:r>
          </w:p>
        </w:tc>
        <w:tc>
          <w:tcPr>
            <w:tcW w:w="1054" w:type="dxa"/>
            <w:tcBorders>
              <w:top w:val="nil"/>
              <w:bottom w:val="single" w:sz="4" w:space="0" w:color="1F497D"/>
              <w:right w:val="single" w:sz="4" w:space="0" w:color="1F497D"/>
            </w:tcBorders>
            <w:shd w:val="clear" w:color="auto" w:fill="auto"/>
            <w:noWrap/>
            <w:vAlign w:val="center"/>
          </w:tcPr>
          <w:p w14:paraId="4E13C04B" w14:textId="5A7C6DEA" w:rsidR="00165DD6" w:rsidRPr="009E6D43" w:rsidRDefault="00165DD6" w:rsidP="00165DD6">
            <w:pPr>
              <w:tabs>
                <w:tab w:val="decimal" w:pos="261"/>
              </w:tabs>
              <w:ind w:firstLineChars="37" w:firstLine="59"/>
              <w:jc w:val="left"/>
              <w:rPr>
                <w:color w:val="000000"/>
                <w:sz w:val="16"/>
                <w:szCs w:val="16"/>
                <w:lang w:val="es-MX" w:eastAsia="es-MX"/>
              </w:rPr>
            </w:pPr>
            <w:r w:rsidRPr="009E6D43">
              <w:rPr>
                <w:color w:val="000000"/>
                <w:sz w:val="16"/>
                <w:szCs w:val="16"/>
              </w:rPr>
              <w:t xml:space="preserve"> 10 703 831</w:t>
            </w:r>
          </w:p>
        </w:tc>
        <w:tc>
          <w:tcPr>
            <w:tcW w:w="794" w:type="dxa"/>
            <w:tcBorders>
              <w:top w:val="nil"/>
              <w:left w:val="single" w:sz="4" w:space="0" w:color="1F497D"/>
              <w:bottom w:val="single" w:sz="4" w:space="0" w:color="1F497D"/>
            </w:tcBorders>
            <w:vAlign w:val="center"/>
          </w:tcPr>
          <w:p w14:paraId="66C4DA9B" w14:textId="54CF1E3E" w:rsidR="00165DD6" w:rsidRPr="009E6D43" w:rsidRDefault="00165DD6" w:rsidP="00165DD6">
            <w:pPr>
              <w:tabs>
                <w:tab w:val="decimal" w:pos="337"/>
              </w:tabs>
              <w:ind w:firstLineChars="37" w:firstLine="59"/>
              <w:jc w:val="left"/>
              <w:rPr>
                <w:color w:val="000000"/>
                <w:sz w:val="16"/>
                <w:szCs w:val="16"/>
              </w:rPr>
            </w:pPr>
            <w:r w:rsidRPr="009E6D43">
              <w:rPr>
                <w:color w:val="000000"/>
                <w:sz w:val="16"/>
                <w:szCs w:val="16"/>
              </w:rPr>
              <w:t>89.1</w:t>
            </w:r>
          </w:p>
        </w:tc>
        <w:tc>
          <w:tcPr>
            <w:tcW w:w="846" w:type="dxa"/>
            <w:tcBorders>
              <w:top w:val="nil"/>
              <w:bottom w:val="single" w:sz="4" w:space="0" w:color="1F497D"/>
            </w:tcBorders>
            <w:vAlign w:val="center"/>
          </w:tcPr>
          <w:p w14:paraId="29035296" w14:textId="1F0E4EC4" w:rsidR="00165DD6" w:rsidRPr="009E6D43" w:rsidRDefault="00165DD6" w:rsidP="00165DD6">
            <w:pPr>
              <w:tabs>
                <w:tab w:val="decimal" w:pos="381"/>
              </w:tabs>
              <w:ind w:firstLineChars="37" w:firstLine="59"/>
              <w:jc w:val="left"/>
              <w:rPr>
                <w:color w:val="000000"/>
                <w:sz w:val="16"/>
                <w:szCs w:val="16"/>
                <w:lang w:val="es-MX" w:eastAsia="es-MX"/>
              </w:rPr>
            </w:pPr>
            <w:r w:rsidRPr="009E6D43">
              <w:rPr>
                <w:color w:val="000000"/>
                <w:sz w:val="16"/>
                <w:szCs w:val="16"/>
              </w:rPr>
              <w:t>87.0</w:t>
            </w:r>
          </w:p>
        </w:tc>
        <w:tc>
          <w:tcPr>
            <w:tcW w:w="828" w:type="dxa"/>
            <w:tcBorders>
              <w:top w:val="nil"/>
              <w:bottom w:val="single" w:sz="4" w:space="0" w:color="1F497D"/>
              <w:right w:val="single" w:sz="4" w:space="0" w:color="1F497D"/>
            </w:tcBorders>
            <w:shd w:val="clear" w:color="auto" w:fill="auto"/>
            <w:noWrap/>
            <w:vAlign w:val="center"/>
          </w:tcPr>
          <w:p w14:paraId="7F841C01" w14:textId="608737DC" w:rsidR="00165DD6" w:rsidRPr="009E6D43" w:rsidRDefault="00165DD6" w:rsidP="00165DD6">
            <w:pPr>
              <w:tabs>
                <w:tab w:val="decimal" w:pos="386"/>
              </w:tabs>
              <w:ind w:firstLineChars="37" w:firstLine="59"/>
              <w:jc w:val="left"/>
              <w:rPr>
                <w:color w:val="000000"/>
                <w:sz w:val="16"/>
                <w:szCs w:val="16"/>
                <w:lang w:val="es-MX" w:eastAsia="es-MX"/>
              </w:rPr>
            </w:pPr>
            <w:r w:rsidRPr="009E6D43">
              <w:rPr>
                <w:color w:val="000000"/>
                <w:sz w:val="16"/>
                <w:szCs w:val="16"/>
              </w:rPr>
              <w:t>90.0</w:t>
            </w:r>
          </w:p>
        </w:tc>
      </w:tr>
    </w:tbl>
    <w:p w14:paraId="6ED94C13" w14:textId="386158DF" w:rsidR="00493018" w:rsidRPr="009E6D43" w:rsidRDefault="00493018" w:rsidP="001D124A">
      <w:pPr>
        <w:pStyle w:val="n0"/>
        <w:keepLines w:val="0"/>
        <w:widowControl w:val="0"/>
        <w:spacing w:before="0"/>
        <w:ind w:left="993" w:right="11" w:hanging="567"/>
        <w:jc w:val="left"/>
        <w:rPr>
          <w:color w:val="auto"/>
          <w:sz w:val="16"/>
          <w:szCs w:val="16"/>
        </w:rPr>
      </w:pPr>
      <w:r w:rsidRPr="009E6D43">
        <w:rPr>
          <w:color w:val="auto"/>
          <w:sz w:val="18"/>
          <w:szCs w:val="18"/>
          <w:vertAlign w:val="superscript"/>
        </w:rPr>
        <w:t>a/</w:t>
      </w:r>
      <w:r w:rsidRPr="009E6D43">
        <w:rPr>
          <w:color w:val="auto"/>
          <w:sz w:val="16"/>
          <w:szCs w:val="16"/>
        </w:rPr>
        <w:tab/>
      </w:r>
      <w:r w:rsidR="00363B8F" w:rsidRPr="009E6D43">
        <w:rPr>
          <w:color w:val="auto"/>
          <w:sz w:val="16"/>
          <w:szCs w:val="16"/>
        </w:rPr>
        <w:t>V</w:t>
      </w:r>
      <w:r w:rsidRPr="009E6D43">
        <w:rPr>
          <w:color w:val="auto"/>
          <w:sz w:val="16"/>
          <w:szCs w:val="16"/>
        </w:rPr>
        <w:t>alor relativo</w:t>
      </w:r>
      <w:r w:rsidR="00411A7A" w:rsidRPr="009E6D43">
        <w:rPr>
          <w:color w:val="auto"/>
          <w:sz w:val="16"/>
          <w:szCs w:val="16"/>
        </w:rPr>
        <w:t xml:space="preserve"> </w:t>
      </w:r>
      <w:r w:rsidR="00363B8F" w:rsidRPr="009E6D43">
        <w:rPr>
          <w:color w:val="auto"/>
          <w:sz w:val="16"/>
          <w:szCs w:val="16"/>
        </w:rPr>
        <w:t>respecto</w:t>
      </w:r>
      <w:r w:rsidRPr="009E6D43">
        <w:rPr>
          <w:color w:val="auto"/>
          <w:sz w:val="16"/>
          <w:szCs w:val="16"/>
        </w:rPr>
        <w:t xml:space="preserve"> a la población de 15 años y más</w:t>
      </w:r>
      <w:r w:rsidR="00633799" w:rsidRPr="009E6D43">
        <w:rPr>
          <w:color w:val="auto"/>
          <w:sz w:val="16"/>
          <w:szCs w:val="16"/>
        </w:rPr>
        <w:t>.</w:t>
      </w:r>
    </w:p>
    <w:p w14:paraId="214864D9" w14:textId="5DE6E3A4" w:rsidR="00493018" w:rsidRPr="009E6D43" w:rsidRDefault="00493018" w:rsidP="001D124A">
      <w:pPr>
        <w:pStyle w:val="n0"/>
        <w:keepLines w:val="0"/>
        <w:widowControl w:val="0"/>
        <w:spacing w:before="0"/>
        <w:ind w:left="993" w:right="11" w:hanging="567"/>
        <w:jc w:val="left"/>
        <w:rPr>
          <w:color w:val="auto"/>
          <w:sz w:val="16"/>
          <w:szCs w:val="16"/>
        </w:rPr>
      </w:pPr>
      <w:proofErr w:type="spellStart"/>
      <w:r w:rsidRPr="009E6D43">
        <w:rPr>
          <w:color w:val="auto"/>
          <w:sz w:val="18"/>
          <w:szCs w:val="18"/>
          <w:vertAlign w:val="superscript"/>
        </w:rPr>
        <w:t>b/</w:t>
      </w:r>
      <w:proofErr w:type="spellEnd"/>
      <w:r w:rsidRPr="009E6D43">
        <w:rPr>
          <w:color w:val="auto"/>
          <w:sz w:val="16"/>
          <w:szCs w:val="16"/>
        </w:rPr>
        <w:tab/>
        <w:t>Valor relativo</w:t>
      </w:r>
      <w:r w:rsidR="00411A7A" w:rsidRPr="009E6D43">
        <w:rPr>
          <w:color w:val="auto"/>
          <w:sz w:val="16"/>
          <w:szCs w:val="16"/>
        </w:rPr>
        <w:t xml:space="preserve"> </w:t>
      </w:r>
      <w:r w:rsidRPr="009E6D43">
        <w:rPr>
          <w:color w:val="auto"/>
          <w:sz w:val="16"/>
          <w:szCs w:val="16"/>
        </w:rPr>
        <w:t xml:space="preserve">respecto a la </w:t>
      </w:r>
      <w:r w:rsidR="00EA3AA3" w:rsidRPr="009E6D43">
        <w:rPr>
          <w:smallCaps/>
          <w:color w:val="auto"/>
          <w:sz w:val="16"/>
          <w:szCs w:val="16"/>
        </w:rPr>
        <w:t>pea</w:t>
      </w:r>
      <w:r w:rsidR="00633799" w:rsidRPr="009E6D43">
        <w:rPr>
          <w:color w:val="auto"/>
          <w:sz w:val="16"/>
          <w:szCs w:val="16"/>
        </w:rPr>
        <w:t>.</w:t>
      </w:r>
    </w:p>
    <w:p w14:paraId="71519AB1" w14:textId="3D077D5C" w:rsidR="00493018" w:rsidRPr="009E6D43" w:rsidRDefault="00493018" w:rsidP="001D124A">
      <w:pPr>
        <w:pStyle w:val="n0"/>
        <w:keepLines w:val="0"/>
        <w:widowControl w:val="0"/>
        <w:spacing w:before="0"/>
        <w:ind w:left="993" w:right="11" w:hanging="567"/>
        <w:jc w:val="left"/>
        <w:rPr>
          <w:color w:val="auto"/>
          <w:sz w:val="16"/>
          <w:szCs w:val="16"/>
        </w:rPr>
      </w:pPr>
      <w:r w:rsidRPr="009E6D43">
        <w:rPr>
          <w:color w:val="auto"/>
          <w:sz w:val="18"/>
          <w:szCs w:val="18"/>
          <w:vertAlign w:val="superscript"/>
        </w:rPr>
        <w:t>c/</w:t>
      </w:r>
      <w:r w:rsidRPr="009E6D43">
        <w:rPr>
          <w:color w:val="auto"/>
          <w:sz w:val="16"/>
          <w:szCs w:val="16"/>
        </w:rPr>
        <w:tab/>
      </w:r>
      <w:r w:rsidR="00363B8F" w:rsidRPr="009E6D43">
        <w:rPr>
          <w:color w:val="auto"/>
          <w:sz w:val="16"/>
          <w:szCs w:val="16"/>
        </w:rPr>
        <w:t>V</w:t>
      </w:r>
      <w:r w:rsidRPr="009E6D43">
        <w:rPr>
          <w:color w:val="auto"/>
          <w:sz w:val="16"/>
          <w:szCs w:val="16"/>
        </w:rPr>
        <w:t>alor relativo</w:t>
      </w:r>
      <w:r w:rsidR="00411A7A" w:rsidRPr="009E6D43">
        <w:rPr>
          <w:color w:val="auto"/>
          <w:sz w:val="16"/>
          <w:szCs w:val="16"/>
        </w:rPr>
        <w:t xml:space="preserve"> </w:t>
      </w:r>
      <w:r w:rsidR="00363B8F" w:rsidRPr="009E6D43">
        <w:rPr>
          <w:color w:val="auto"/>
          <w:sz w:val="16"/>
          <w:szCs w:val="16"/>
        </w:rPr>
        <w:t>respecto</w:t>
      </w:r>
      <w:r w:rsidRPr="009E6D43">
        <w:rPr>
          <w:color w:val="auto"/>
          <w:sz w:val="16"/>
          <w:szCs w:val="16"/>
        </w:rPr>
        <w:t xml:space="preserve"> a la </w:t>
      </w:r>
      <w:proofErr w:type="spellStart"/>
      <w:r w:rsidR="00EA3AA3" w:rsidRPr="009E6D43">
        <w:rPr>
          <w:smallCaps/>
          <w:color w:val="auto"/>
          <w:sz w:val="16"/>
          <w:szCs w:val="16"/>
        </w:rPr>
        <w:t>pnea</w:t>
      </w:r>
      <w:proofErr w:type="spellEnd"/>
      <w:r w:rsidR="00633799" w:rsidRPr="009E6D43">
        <w:rPr>
          <w:color w:val="auto"/>
          <w:sz w:val="16"/>
          <w:szCs w:val="16"/>
        </w:rPr>
        <w:t>.</w:t>
      </w:r>
    </w:p>
    <w:p w14:paraId="62A86B8A" w14:textId="4746B720" w:rsidR="00FE48FB" w:rsidRPr="009E6D43" w:rsidRDefault="00FE48FB" w:rsidP="00560514">
      <w:pPr>
        <w:pStyle w:val="n0"/>
        <w:keepLines w:val="0"/>
        <w:widowControl w:val="0"/>
        <w:spacing w:before="0"/>
        <w:ind w:left="426" w:right="11" w:firstLine="0"/>
        <w:jc w:val="left"/>
        <w:rPr>
          <w:color w:val="auto"/>
          <w:sz w:val="16"/>
          <w:szCs w:val="16"/>
        </w:rPr>
      </w:pPr>
      <w:r w:rsidRPr="009E6D43">
        <w:rPr>
          <w:color w:val="auto"/>
          <w:sz w:val="16"/>
          <w:szCs w:val="16"/>
        </w:rPr>
        <w:t xml:space="preserve">Fuente: </w:t>
      </w:r>
      <w:proofErr w:type="spellStart"/>
      <w:r w:rsidR="00EA3AA3" w:rsidRPr="009E6D43">
        <w:rPr>
          <w:smallCaps/>
          <w:color w:val="auto"/>
          <w:sz w:val="16"/>
          <w:szCs w:val="16"/>
        </w:rPr>
        <w:t>inegi</w:t>
      </w:r>
      <w:proofErr w:type="spellEnd"/>
      <w:r w:rsidR="00CC5019" w:rsidRPr="009E6D43">
        <w:rPr>
          <w:color w:val="auto"/>
          <w:sz w:val="16"/>
          <w:szCs w:val="16"/>
        </w:rPr>
        <w:t xml:space="preserve">. </w:t>
      </w:r>
      <w:proofErr w:type="spellStart"/>
      <w:r w:rsidR="00EA3AA3" w:rsidRPr="009E6D43">
        <w:rPr>
          <w:smallCaps/>
          <w:color w:val="auto"/>
          <w:sz w:val="16"/>
          <w:szCs w:val="16"/>
        </w:rPr>
        <w:t>enoe</w:t>
      </w:r>
      <w:proofErr w:type="spellEnd"/>
      <w:r w:rsidR="00DF5BF2" w:rsidRPr="009E6D43">
        <w:rPr>
          <w:color w:val="auto"/>
          <w:sz w:val="16"/>
          <w:szCs w:val="16"/>
        </w:rPr>
        <w:t>, 2023</w:t>
      </w:r>
      <w:r w:rsidR="00E61FF2" w:rsidRPr="009E6D43">
        <w:rPr>
          <w:color w:val="auto"/>
          <w:sz w:val="16"/>
          <w:szCs w:val="16"/>
        </w:rPr>
        <w:t>.</w:t>
      </w:r>
    </w:p>
    <w:p w14:paraId="7232750E" w14:textId="77777777" w:rsidR="00655EAD" w:rsidRPr="009E6D43" w:rsidRDefault="00655EAD" w:rsidP="00737E1C">
      <w:pPr>
        <w:pStyle w:val="Prrafodelista"/>
        <w:widowControl w:val="0"/>
        <w:spacing w:before="360"/>
        <w:ind w:left="284"/>
        <w:rPr>
          <w:b/>
          <w:iCs/>
          <w:lang w:val="es-ES"/>
        </w:rPr>
      </w:pPr>
      <w:r w:rsidRPr="009E6D43">
        <w:rPr>
          <w:b/>
          <w:iCs/>
          <w:lang w:val="es-ES"/>
        </w:rPr>
        <w:t>Características de la población ocupada</w:t>
      </w:r>
    </w:p>
    <w:p w14:paraId="14C197D2" w14:textId="1D6C0C67" w:rsidR="00E60191" w:rsidRPr="009E6D43" w:rsidRDefault="00366D1D" w:rsidP="00655EAD">
      <w:pPr>
        <w:spacing w:before="240"/>
        <w:rPr>
          <w:bCs/>
        </w:rPr>
      </w:pPr>
      <w:r w:rsidRPr="009E6D43">
        <w:rPr>
          <w:lang w:val="es-ES"/>
        </w:rPr>
        <w:t>En</w:t>
      </w:r>
      <w:r w:rsidR="00FF0AD1" w:rsidRPr="009E6D43">
        <w:rPr>
          <w:lang w:val="es-ES"/>
        </w:rPr>
        <w:t xml:space="preserve"> </w:t>
      </w:r>
      <w:r w:rsidR="000E2871" w:rsidRPr="009E6D43">
        <w:rPr>
          <w:lang w:val="es-ES"/>
        </w:rPr>
        <w:t>dic</w:t>
      </w:r>
      <w:r w:rsidR="003D7058" w:rsidRPr="009E6D43">
        <w:rPr>
          <w:lang w:val="es-ES"/>
        </w:rPr>
        <w:t>iembre</w:t>
      </w:r>
      <w:r w:rsidRPr="009E6D43">
        <w:rPr>
          <w:lang w:val="es-ES"/>
        </w:rPr>
        <w:t xml:space="preserve"> de 202</w:t>
      </w:r>
      <w:r w:rsidR="00E46F1F" w:rsidRPr="009E6D43">
        <w:rPr>
          <w:lang w:val="es-ES"/>
        </w:rPr>
        <w:t>3</w:t>
      </w:r>
      <w:r w:rsidRPr="009E6D43">
        <w:rPr>
          <w:lang w:val="es-ES"/>
        </w:rPr>
        <w:t>, l</w:t>
      </w:r>
      <w:r w:rsidR="00655EAD" w:rsidRPr="009E6D43">
        <w:t xml:space="preserve">a </w:t>
      </w:r>
      <w:r w:rsidR="00EC62A4" w:rsidRPr="009E6D43">
        <w:t>p</w:t>
      </w:r>
      <w:r w:rsidR="00655EAD" w:rsidRPr="009E6D43">
        <w:t xml:space="preserve">oblación </w:t>
      </w:r>
      <w:r w:rsidR="00EC62A4" w:rsidRPr="009E6D43">
        <w:t>o</w:t>
      </w:r>
      <w:r w:rsidR="00655EAD" w:rsidRPr="009E6D43">
        <w:t>cupada</w:t>
      </w:r>
      <w:r w:rsidR="009C5CDF" w:rsidRPr="009E6D43">
        <w:t xml:space="preserve"> (</w:t>
      </w:r>
      <w:proofErr w:type="spellStart"/>
      <w:r w:rsidR="00780012" w:rsidRPr="009E6D43">
        <w:rPr>
          <w:smallCaps/>
        </w:rPr>
        <w:t>po</w:t>
      </w:r>
      <w:proofErr w:type="spellEnd"/>
      <w:r w:rsidR="009C5CDF" w:rsidRPr="009E6D43">
        <w:t>)</w:t>
      </w:r>
      <w:r w:rsidR="008276D0" w:rsidRPr="009E6D43">
        <w:rPr>
          <w:szCs w:val="23"/>
          <w:vertAlign w:val="superscript"/>
        </w:rPr>
        <w:footnoteReference w:id="7"/>
      </w:r>
      <w:r w:rsidR="00655EAD" w:rsidRPr="009E6D43">
        <w:t xml:space="preserve"> alcanzó</w:t>
      </w:r>
      <w:r w:rsidR="00664DBB" w:rsidRPr="009E6D43">
        <w:t xml:space="preserve"> </w:t>
      </w:r>
      <w:r w:rsidR="00B420C8" w:rsidRPr="009E6D43">
        <w:t>5</w:t>
      </w:r>
      <w:r w:rsidR="00312D0F" w:rsidRPr="009E6D43">
        <w:t>9.1</w:t>
      </w:r>
      <w:r w:rsidR="00664DBB" w:rsidRPr="009E6D43">
        <w:t xml:space="preserve"> millones de personas</w:t>
      </w:r>
      <w:r w:rsidR="003247C7" w:rsidRPr="009E6D43">
        <w:t xml:space="preserve"> </w:t>
      </w:r>
      <w:r w:rsidR="00664DBB" w:rsidRPr="009E6D43">
        <w:t>(9</w:t>
      </w:r>
      <w:r w:rsidR="00451AA6" w:rsidRPr="009E6D43">
        <w:t>7</w:t>
      </w:r>
      <w:r w:rsidR="002A0F2F" w:rsidRPr="009E6D43">
        <w:t>.</w:t>
      </w:r>
      <w:r w:rsidR="00312D0F" w:rsidRPr="009E6D43">
        <w:t>4</w:t>
      </w:r>
      <w:r w:rsidR="00520FC0" w:rsidRPr="009E6D43">
        <w:t> %</w:t>
      </w:r>
      <w:r w:rsidR="00AF096B">
        <w:t> </w:t>
      </w:r>
      <w:r w:rsidR="009845D0" w:rsidRPr="009E6D43">
        <w:t xml:space="preserve">de la </w:t>
      </w:r>
      <w:r w:rsidR="003D68DB" w:rsidRPr="009E6D43">
        <w:rPr>
          <w:smallCaps/>
        </w:rPr>
        <w:t>pea</w:t>
      </w:r>
      <w:r w:rsidR="009845D0" w:rsidRPr="009E6D43">
        <w:t>)</w:t>
      </w:r>
      <w:r w:rsidR="00455E98" w:rsidRPr="009E6D43">
        <w:t>:</w:t>
      </w:r>
      <w:r w:rsidR="009845D0" w:rsidRPr="009E6D43">
        <w:t xml:space="preserve"> </w:t>
      </w:r>
      <w:r w:rsidR="00664DBB" w:rsidRPr="009E6D43">
        <w:t xml:space="preserve">un </w:t>
      </w:r>
      <w:r w:rsidR="00C776F4" w:rsidRPr="009E6D43">
        <w:t xml:space="preserve">aumento </w:t>
      </w:r>
      <w:r w:rsidR="004851FE" w:rsidRPr="009E6D43">
        <w:t xml:space="preserve">anual </w:t>
      </w:r>
      <w:r w:rsidR="00664DBB" w:rsidRPr="009E6D43">
        <w:t>d</w:t>
      </w:r>
      <w:r w:rsidR="00B94025" w:rsidRPr="009E6D43">
        <w:t xml:space="preserve">e </w:t>
      </w:r>
      <w:r w:rsidR="00312D0F" w:rsidRPr="009E6D43">
        <w:t>1.2</w:t>
      </w:r>
      <w:r w:rsidR="00786D4E" w:rsidRPr="009E6D43">
        <w:t xml:space="preserve"> mil</w:t>
      </w:r>
      <w:r w:rsidR="00312D0F" w:rsidRPr="009E6D43">
        <w:t>lones</w:t>
      </w:r>
      <w:r w:rsidR="00E64B52" w:rsidRPr="009E6D43">
        <w:t xml:space="preserve">. </w:t>
      </w:r>
      <w:r w:rsidR="004B3639" w:rsidRPr="009E6D43">
        <w:t xml:space="preserve">Al distinguir </w:t>
      </w:r>
      <w:r w:rsidR="00C03C44" w:rsidRPr="009E6D43">
        <w:t>p</w:t>
      </w:r>
      <w:r w:rsidR="00E60191" w:rsidRPr="009E6D43">
        <w:t xml:space="preserve">or sexo, </w:t>
      </w:r>
      <w:r w:rsidR="00E60191" w:rsidRPr="009E6D43">
        <w:rPr>
          <w:bCs/>
        </w:rPr>
        <w:t>la ocupación de hombres fue de 3</w:t>
      </w:r>
      <w:r w:rsidR="00786D4E" w:rsidRPr="009E6D43">
        <w:rPr>
          <w:bCs/>
        </w:rPr>
        <w:t>4.</w:t>
      </w:r>
      <w:r w:rsidR="00312D0F" w:rsidRPr="009E6D43">
        <w:rPr>
          <w:bCs/>
        </w:rPr>
        <w:t>9</w:t>
      </w:r>
      <w:r w:rsidR="006155C8" w:rsidRPr="009E6D43">
        <w:rPr>
          <w:bCs/>
        </w:rPr>
        <w:t xml:space="preserve"> </w:t>
      </w:r>
      <w:r w:rsidR="00E60191" w:rsidRPr="009E6D43">
        <w:rPr>
          <w:bCs/>
        </w:rPr>
        <w:t>millones</w:t>
      </w:r>
      <w:r w:rsidR="00855177" w:rsidRPr="009E6D43">
        <w:rPr>
          <w:bCs/>
        </w:rPr>
        <w:t>:</w:t>
      </w:r>
      <w:r w:rsidR="00E25F17" w:rsidRPr="009E6D43">
        <w:rPr>
          <w:b/>
          <w:smallCaps/>
          <w:sz w:val="22"/>
          <w:szCs w:val="22"/>
        </w:rPr>
        <w:t xml:space="preserve"> </w:t>
      </w:r>
      <w:r w:rsidR="00C93FA4" w:rsidRPr="009E6D43">
        <w:rPr>
          <w:bCs/>
        </w:rPr>
        <w:t xml:space="preserve">568 </w:t>
      </w:r>
      <w:r w:rsidR="00036AD1" w:rsidRPr="009E6D43">
        <w:rPr>
          <w:bCs/>
        </w:rPr>
        <w:t xml:space="preserve">mil </w:t>
      </w:r>
      <w:r w:rsidR="00762BD4" w:rsidRPr="009E6D43">
        <w:rPr>
          <w:bCs/>
        </w:rPr>
        <w:t>m</w:t>
      </w:r>
      <w:r w:rsidR="00B94025" w:rsidRPr="009E6D43">
        <w:rPr>
          <w:bCs/>
        </w:rPr>
        <w:t>ás</w:t>
      </w:r>
      <w:r w:rsidR="00762BD4" w:rsidRPr="009E6D43">
        <w:rPr>
          <w:bCs/>
        </w:rPr>
        <w:t xml:space="preserve"> </w:t>
      </w:r>
      <w:r w:rsidR="00FE575D" w:rsidRPr="009E6D43">
        <w:rPr>
          <w:bCs/>
        </w:rPr>
        <w:t xml:space="preserve">respecto </w:t>
      </w:r>
      <w:r w:rsidR="00E60191" w:rsidRPr="009E6D43">
        <w:rPr>
          <w:bCs/>
        </w:rPr>
        <w:t>al</w:t>
      </w:r>
      <w:r w:rsidR="0096737F" w:rsidRPr="009E6D43">
        <w:rPr>
          <w:bCs/>
        </w:rPr>
        <w:t xml:space="preserve"> </w:t>
      </w:r>
      <w:r w:rsidR="00786D4E" w:rsidRPr="009E6D43">
        <w:rPr>
          <w:bCs/>
        </w:rPr>
        <w:t>último</w:t>
      </w:r>
      <w:r w:rsidR="00292ABA" w:rsidRPr="009E6D43">
        <w:rPr>
          <w:bCs/>
        </w:rPr>
        <w:t xml:space="preserve"> </w:t>
      </w:r>
      <w:r w:rsidR="0096737F" w:rsidRPr="009E6D43">
        <w:rPr>
          <w:bCs/>
        </w:rPr>
        <w:t>mes</w:t>
      </w:r>
      <w:r w:rsidR="00E60191" w:rsidRPr="009E6D43">
        <w:rPr>
          <w:bCs/>
        </w:rPr>
        <w:t xml:space="preserve"> de 202</w:t>
      </w:r>
      <w:r w:rsidR="00B94025" w:rsidRPr="009E6D43">
        <w:rPr>
          <w:bCs/>
        </w:rPr>
        <w:t>2</w:t>
      </w:r>
      <w:r w:rsidR="00B34A3E" w:rsidRPr="009E6D43">
        <w:rPr>
          <w:bCs/>
        </w:rPr>
        <w:t>.</w:t>
      </w:r>
      <w:r w:rsidR="00232A44" w:rsidRPr="009E6D43">
        <w:rPr>
          <w:bCs/>
        </w:rPr>
        <w:t xml:space="preserve"> L</w:t>
      </w:r>
      <w:r w:rsidR="00E60191" w:rsidRPr="009E6D43">
        <w:rPr>
          <w:bCs/>
        </w:rPr>
        <w:t xml:space="preserve">a </w:t>
      </w:r>
      <w:r w:rsidR="00FE48FB" w:rsidRPr="009E6D43">
        <w:rPr>
          <w:bCs/>
        </w:rPr>
        <w:t xml:space="preserve">ocupación </w:t>
      </w:r>
      <w:r w:rsidR="00E60191" w:rsidRPr="009E6D43">
        <w:rPr>
          <w:bCs/>
        </w:rPr>
        <w:t>de mujeres fue de</w:t>
      </w:r>
      <w:r w:rsidR="003247C7" w:rsidRPr="009E6D43">
        <w:rPr>
          <w:bCs/>
        </w:rPr>
        <w:t xml:space="preserve"> </w:t>
      </w:r>
      <w:r w:rsidR="00E60191" w:rsidRPr="009E6D43">
        <w:rPr>
          <w:bCs/>
        </w:rPr>
        <w:t>2</w:t>
      </w:r>
      <w:r w:rsidR="00312D0F" w:rsidRPr="009E6D43">
        <w:rPr>
          <w:bCs/>
        </w:rPr>
        <w:t>4.3</w:t>
      </w:r>
      <w:r w:rsidR="00E60191" w:rsidRPr="009E6D43">
        <w:rPr>
          <w:bCs/>
        </w:rPr>
        <w:t xml:space="preserve"> millones</w:t>
      </w:r>
      <w:r w:rsidR="00855177" w:rsidRPr="009E6D43">
        <w:rPr>
          <w:bCs/>
        </w:rPr>
        <w:t>, es decir,</w:t>
      </w:r>
      <w:r w:rsidR="00E60191" w:rsidRPr="009E6D43">
        <w:rPr>
          <w:bCs/>
        </w:rPr>
        <w:t xml:space="preserve"> </w:t>
      </w:r>
      <w:r w:rsidR="00786D4E" w:rsidRPr="009E6D43">
        <w:rPr>
          <w:bCs/>
        </w:rPr>
        <w:t>6</w:t>
      </w:r>
      <w:r w:rsidR="00312D0F" w:rsidRPr="009E6D43">
        <w:rPr>
          <w:bCs/>
        </w:rPr>
        <w:t>28</w:t>
      </w:r>
      <w:r w:rsidR="002A0F2F" w:rsidRPr="009E6D43">
        <w:rPr>
          <w:bCs/>
        </w:rPr>
        <w:t xml:space="preserve"> mil</w:t>
      </w:r>
      <w:r w:rsidR="00E60191" w:rsidRPr="009E6D43">
        <w:rPr>
          <w:bCs/>
        </w:rPr>
        <w:t xml:space="preserve"> </w:t>
      </w:r>
      <w:r w:rsidR="006A58F5" w:rsidRPr="009E6D43">
        <w:rPr>
          <w:bCs/>
        </w:rPr>
        <w:t xml:space="preserve">más </w:t>
      </w:r>
      <w:r w:rsidR="00680AB3" w:rsidRPr="009E6D43">
        <w:rPr>
          <w:bCs/>
        </w:rPr>
        <w:t xml:space="preserve">que </w:t>
      </w:r>
      <w:r w:rsidR="00E60191" w:rsidRPr="009E6D43">
        <w:rPr>
          <w:bCs/>
        </w:rPr>
        <w:t xml:space="preserve">en </w:t>
      </w:r>
      <w:r w:rsidR="005C04B9" w:rsidRPr="009E6D43">
        <w:rPr>
          <w:bCs/>
        </w:rPr>
        <w:t xml:space="preserve">el mismo </w:t>
      </w:r>
      <w:r w:rsidR="00FA5AC9" w:rsidRPr="009E6D43">
        <w:rPr>
          <w:bCs/>
        </w:rPr>
        <w:t xml:space="preserve">periodo </w:t>
      </w:r>
      <w:r w:rsidR="00E60191" w:rsidRPr="009E6D43">
        <w:rPr>
          <w:bCs/>
        </w:rPr>
        <w:t>de comparación.</w:t>
      </w:r>
    </w:p>
    <w:p w14:paraId="61E9FEF8" w14:textId="77777777" w:rsidR="00F119FB" w:rsidRPr="009E6D43" w:rsidRDefault="00F119FB" w:rsidP="00F119FB">
      <w:pPr>
        <w:pStyle w:val="n0"/>
        <w:keepLines w:val="0"/>
        <w:ind w:left="0" w:right="0" w:firstLine="0"/>
        <w:jc w:val="center"/>
        <w:rPr>
          <w:color w:val="auto"/>
          <w:sz w:val="20"/>
        </w:rPr>
      </w:pPr>
      <w:r w:rsidRPr="009E6D43">
        <w:rPr>
          <w:color w:val="auto"/>
          <w:sz w:val="20"/>
        </w:rPr>
        <w:t>Gráfica 1</w:t>
      </w:r>
    </w:p>
    <w:p w14:paraId="68E76C53" w14:textId="00E0F641" w:rsidR="00F119FB" w:rsidRPr="009E6D43" w:rsidRDefault="00367389" w:rsidP="00F119FB">
      <w:pPr>
        <w:pStyle w:val="n0"/>
        <w:keepLines w:val="0"/>
        <w:spacing w:before="0"/>
        <w:ind w:left="0" w:right="0" w:firstLine="0"/>
        <w:jc w:val="center"/>
        <w:rPr>
          <w:b/>
          <w:smallCaps/>
          <w:color w:val="auto"/>
          <w:sz w:val="22"/>
        </w:rPr>
      </w:pPr>
      <w:r w:rsidRPr="009E6D43">
        <w:rPr>
          <w:b/>
          <w:smallCaps/>
          <w:color w:val="auto"/>
          <w:sz w:val="22"/>
        </w:rPr>
        <w:t>O</w:t>
      </w:r>
      <w:r w:rsidR="00F119FB" w:rsidRPr="009E6D43">
        <w:rPr>
          <w:b/>
          <w:smallCaps/>
          <w:color w:val="auto"/>
          <w:sz w:val="22"/>
        </w:rPr>
        <w:t xml:space="preserve">cupación </w:t>
      </w:r>
      <w:r w:rsidR="00203D1B" w:rsidRPr="009E6D43">
        <w:rPr>
          <w:b/>
          <w:smallCaps/>
          <w:color w:val="auto"/>
          <w:sz w:val="22"/>
        </w:rPr>
        <w:t>según</w:t>
      </w:r>
      <w:r w:rsidR="008E0E71" w:rsidRPr="009E6D43">
        <w:rPr>
          <w:b/>
          <w:smallCaps/>
          <w:color w:val="auto"/>
          <w:sz w:val="22"/>
        </w:rPr>
        <w:t xml:space="preserve"> sexo </w:t>
      </w:r>
    </w:p>
    <w:p w14:paraId="730720A7" w14:textId="7406BD11" w:rsidR="003671CE" w:rsidRPr="009E6D43" w:rsidRDefault="000E2871" w:rsidP="003671CE">
      <w:pPr>
        <w:pStyle w:val="Ttulo"/>
        <w:rPr>
          <w:rFonts w:cs="Arial"/>
          <w:b w:val="0"/>
          <w:sz w:val="20"/>
          <w:lang w:val="es-MX"/>
        </w:rPr>
      </w:pPr>
      <w:r w:rsidRPr="009E6D43">
        <w:rPr>
          <w:rFonts w:cs="Arial"/>
          <w:b w:val="0"/>
          <w:sz w:val="20"/>
        </w:rPr>
        <w:t>dic</w:t>
      </w:r>
      <w:r w:rsidR="003D7058" w:rsidRPr="009E6D43">
        <w:rPr>
          <w:rFonts w:cs="Arial"/>
          <w:b w:val="0"/>
          <w:sz w:val="20"/>
        </w:rPr>
        <w:t>iembre</w:t>
      </w:r>
      <w:r w:rsidR="003671CE" w:rsidRPr="009E6D43">
        <w:rPr>
          <w:rFonts w:cs="Arial"/>
          <w:b w:val="0"/>
          <w:sz w:val="20"/>
        </w:rPr>
        <w:t xml:space="preserve"> de 2022 y 2023</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7"/>
        <w:gridCol w:w="5007"/>
      </w:tblGrid>
      <w:tr w:rsidR="00F119FB" w:rsidRPr="009E6D43" w14:paraId="22453257" w14:textId="77777777" w:rsidTr="007D6127">
        <w:trPr>
          <w:jc w:val="center"/>
        </w:trPr>
        <w:tc>
          <w:tcPr>
            <w:tcW w:w="2463" w:type="pct"/>
          </w:tcPr>
          <w:p w14:paraId="11338C23" w14:textId="77777777" w:rsidR="00F119FB" w:rsidRPr="009E6D43"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9E6D43">
              <w:rPr>
                <w:rFonts w:ascii="Arial" w:hAnsi="Arial" w:cs="Arial"/>
                <w:b/>
                <w:smallCaps/>
                <w:sz w:val="20"/>
                <w:szCs w:val="18"/>
                <w:lang w:val="es-MX"/>
              </w:rPr>
              <w:t>Población ocupada</w:t>
            </w:r>
          </w:p>
        </w:tc>
        <w:tc>
          <w:tcPr>
            <w:tcW w:w="2537" w:type="pct"/>
          </w:tcPr>
          <w:p w14:paraId="0193E858" w14:textId="77777777" w:rsidR="00F119FB" w:rsidRPr="009E6D43"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9E6D43">
              <w:rPr>
                <w:rFonts w:ascii="Arial" w:hAnsi="Arial" w:cs="Arial"/>
                <w:b/>
                <w:smallCaps/>
                <w:sz w:val="20"/>
                <w:szCs w:val="18"/>
                <w:lang w:val="es-MX"/>
              </w:rPr>
              <w:t>Tasa de ocupación</w:t>
            </w:r>
          </w:p>
        </w:tc>
      </w:tr>
      <w:tr w:rsidR="00F119FB" w:rsidRPr="009E6D43" w14:paraId="639433AA" w14:textId="77777777" w:rsidTr="007D6127">
        <w:trPr>
          <w:jc w:val="center"/>
        </w:trPr>
        <w:tc>
          <w:tcPr>
            <w:tcW w:w="2463" w:type="pct"/>
          </w:tcPr>
          <w:p w14:paraId="53A8FA30" w14:textId="42C8BCF4" w:rsidR="00F119FB" w:rsidRPr="009E6D43"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sidRPr="009E6D43">
              <w:rPr>
                <w:rFonts w:ascii="Arial" w:hAnsi="Arial" w:cs="Arial"/>
                <w:sz w:val="18"/>
                <w:szCs w:val="18"/>
                <w:lang w:val="es-MX"/>
              </w:rPr>
              <w:t>(</w:t>
            </w:r>
            <w:r w:rsidR="00780012" w:rsidRPr="009E6D43">
              <w:rPr>
                <w:rFonts w:ascii="Arial" w:hAnsi="Arial" w:cs="Arial"/>
                <w:sz w:val="18"/>
                <w:szCs w:val="18"/>
                <w:lang w:val="es-MX"/>
              </w:rPr>
              <w:t>m</w:t>
            </w:r>
            <w:r w:rsidRPr="009E6D43">
              <w:rPr>
                <w:rFonts w:ascii="Arial" w:hAnsi="Arial" w:cs="Arial"/>
                <w:sz w:val="18"/>
                <w:szCs w:val="18"/>
                <w:lang w:val="es-MX"/>
              </w:rPr>
              <w:t>illones de personas)</w:t>
            </w:r>
          </w:p>
        </w:tc>
        <w:tc>
          <w:tcPr>
            <w:tcW w:w="2537" w:type="pct"/>
          </w:tcPr>
          <w:p w14:paraId="1492ECD4" w14:textId="6A6A9575" w:rsidR="00F119FB" w:rsidRPr="009E6D43"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sidRPr="009E6D43">
              <w:rPr>
                <w:rFonts w:ascii="Arial" w:hAnsi="Arial" w:cs="Arial"/>
                <w:sz w:val="18"/>
                <w:szCs w:val="18"/>
                <w:lang w:val="es-MX"/>
              </w:rPr>
              <w:t>(</w:t>
            </w:r>
            <w:r w:rsidR="00780012" w:rsidRPr="009E6D43">
              <w:rPr>
                <w:rFonts w:ascii="Arial" w:hAnsi="Arial" w:cs="Arial"/>
                <w:sz w:val="18"/>
                <w:szCs w:val="18"/>
                <w:lang w:val="es-MX"/>
              </w:rPr>
              <w:t>p</w:t>
            </w:r>
            <w:r w:rsidRPr="009E6D43">
              <w:rPr>
                <w:rFonts w:ascii="Arial" w:hAnsi="Arial" w:cs="Arial"/>
                <w:sz w:val="18"/>
                <w:szCs w:val="18"/>
                <w:lang w:val="es-MX"/>
              </w:rPr>
              <w:t xml:space="preserve">orcentaje </w:t>
            </w:r>
            <w:r w:rsidR="00E02E94" w:rsidRPr="009E6D43">
              <w:rPr>
                <w:rFonts w:ascii="Arial" w:hAnsi="Arial" w:cs="Arial"/>
                <w:sz w:val="18"/>
                <w:szCs w:val="18"/>
                <w:lang w:val="es-MX"/>
              </w:rPr>
              <w:t>respecto a</w:t>
            </w:r>
            <w:r w:rsidRPr="009E6D43">
              <w:rPr>
                <w:rFonts w:ascii="Arial" w:hAnsi="Arial" w:cs="Arial"/>
                <w:sz w:val="18"/>
                <w:szCs w:val="18"/>
                <w:lang w:val="es-MX"/>
              </w:rPr>
              <w:t xml:space="preserve"> la </w:t>
            </w:r>
            <w:r w:rsidR="00780012" w:rsidRPr="009E6D43">
              <w:rPr>
                <w:rFonts w:ascii="Arial" w:hAnsi="Arial" w:cs="Arial"/>
                <w:smallCaps/>
                <w:sz w:val="18"/>
                <w:szCs w:val="18"/>
                <w:lang w:val="es-MX"/>
              </w:rPr>
              <w:t>pea</w:t>
            </w:r>
            <w:r w:rsidRPr="009E6D43">
              <w:rPr>
                <w:rFonts w:ascii="Arial" w:hAnsi="Arial" w:cs="Arial"/>
                <w:sz w:val="18"/>
                <w:szCs w:val="18"/>
                <w:lang w:val="es-MX"/>
              </w:rPr>
              <w:t>)</w:t>
            </w:r>
          </w:p>
        </w:tc>
      </w:tr>
      <w:tr w:rsidR="00F119FB" w:rsidRPr="009E6D43" w14:paraId="18A73FD5" w14:textId="77777777" w:rsidTr="007D6127">
        <w:tblPrEx>
          <w:tblCellMar>
            <w:left w:w="70" w:type="dxa"/>
            <w:right w:w="70" w:type="dxa"/>
          </w:tblCellMar>
        </w:tblPrEx>
        <w:trPr>
          <w:trHeight w:val="3006"/>
          <w:jc w:val="center"/>
        </w:trPr>
        <w:tc>
          <w:tcPr>
            <w:tcW w:w="2463" w:type="pct"/>
          </w:tcPr>
          <w:p w14:paraId="478EF8DE" w14:textId="736391D5" w:rsidR="00F119FB" w:rsidRPr="009E6D43" w:rsidRDefault="007D6127" w:rsidP="00645BAB">
            <w:pPr>
              <w:pStyle w:val="NormalWeb"/>
              <w:keepNext/>
              <w:keepLines/>
              <w:widowControl w:val="0"/>
              <w:spacing w:before="20" w:beforeAutospacing="0" w:after="0" w:afterAutospacing="0"/>
              <w:ind w:left="-41"/>
              <w:jc w:val="center"/>
              <w:rPr>
                <w:rFonts w:ascii="Arial" w:hAnsi="Arial" w:cs="Arial"/>
                <w:sz w:val="18"/>
                <w:szCs w:val="18"/>
                <w:lang w:val="es-MX"/>
              </w:rPr>
            </w:pPr>
            <w:r w:rsidRPr="009E6D43">
              <w:rPr>
                <w:rFonts w:ascii="Arial" w:hAnsi="Arial" w:cs="Arial"/>
                <w:noProof/>
              </w:rPr>
              <w:drawing>
                <wp:inline distT="0" distB="0" distL="0" distR="0" wp14:anchorId="4DDE8998" wp14:editId="5BADC1DB">
                  <wp:extent cx="3096000" cy="1904400"/>
                  <wp:effectExtent l="0" t="0" r="28575" b="19685"/>
                  <wp:docPr id="1733243337" name="Gráfico 1">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2537" w:type="pct"/>
          </w:tcPr>
          <w:p w14:paraId="52EE3D01" w14:textId="78C77F03" w:rsidR="00F119FB" w:rsidRPr="009E6D43" w:rsidRDefault="007D6127" w:rsidP="00474046">
            <w:pPr>
              <w:pStyle w:val="NormalWeb"/>
              <w:keepNext/>
              <w:keepLines/>
              <w:widowControl w:val="0"/>
              <w:spacing w:before="20" w:beforeAutospacing="0" w:after="0" w:afterAutospacing="0"/>
              <w:jc w:val="center"/>
              <w:rPr>
                <w:rFonts w:ascii="Arial" w:hAnsi="Arial" w:cs="Arial"/>
                <w:sz w:val="18"/>
                <w:szCs w:val="18"/>
                <w:lang w:val="es-MX"/>
              </w:rPr>
            </w:pPr>
            <w:r w:rsidRPr="009E6D43">
              <w:rPr>
                <w:rFonts w:ascii="Arial" w:hAnsi="Arial" w:cs="Arial"/>
                <w:noProof/>
              </w:rPr>
              <w:drawing>
                <wp:inline distT="0" distB="0" distL="0" distR="0" wp14:anchorId="186099AB" wp14:editId="054953DC">
                  <wp:extent cx="3096000" cy="1904400"/>
                  <wp:effectExtent l="0" t="0" r="28575" b="19685"/>
                  <wp:docPr id="438593400" name="Gráfico 1">
                    <a:extLst xmlns:a="http://schemas.openxmlformats.org/drawingml/2006/main">
                      <a:ext uri="{FF2B5EF4-FFF2-40B4-BE49-F238E27FC236}">
                        <a16:creationId xmlns:a16="http://schemas.microsoft.com/office/drawing/2014/main" id="{00000000-0008-0000-03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1A600BF1" w14:textId="6AF84BAA" w:rsidR="002846DB" w:rsidRPr="009E6D43" w:rsidRDefault="00F119FB" w:rsidP="006856BB">
      <w:pPr>
        <w:pStyle w:val="n0"/>
        <w:keepLines w:val="0"/>
        <w:spacing w:before="0"/>
        <w:ind w:left="993" w:right="476" w:hanging="851"/>
        <w:rPr>
          <w:color w:val="auto"/>
          <w:sz w:val="16"/>
          <w:szCs w:val="16"/>
        </w:rPr>
      </w:pPr>
      <w:r w:rsidRPr="009E6D43">
        <w:rPr>
          <w:color w:val="auto"/>
          <w:sz w:val="16"/>
          <w:szCs w:val="16"/>
        </w:rPr>
        <w:t xml:space="preserve">Fuente: </w:t>
      </w:r>
      <w:proofErr w:type="spellStart"/>
      <w:r w:rsidR="00780012" w:rsidRPr="009E6D43">
        <w:rPr>
          <w:smallCaps/>
          <w:color w:val="auto"/>
          <w:sz w:val="16"/>
          <w:szCs w:val="16"/>
        </w:rPr>
        <w:t>inegi</w:t>
      </w:r>
      <w:proofErr w:type="spellEnd"/>
      <w:r w:rsidR="002361CF" w:rsidRPr="009E6D43">
        <w:rPr>
          <w:color w:val="auto"/>
          <w:sz w:val="16"/>
          <w:szCs w:val="16"/>
        </w:rPr>
        <w:t xml:space="preserve">. </w:t>
      </w:r>
      <w:proofErr w:type="spellStart"/>
      <w:r w:rsidR="00780012" w:rsidRPr="009E6D43">
        <w:rPr>
          <w:smallCaps/>
          <w:color w:val="auto"/>
          <w:sz w:val="16"/>
          <w:szCs w:val="16"/>
        </w:rPr>
        <w:t>enoe</w:t>
      </w:r>
      <w:r w:rsidR="00780012" w:rsidRPr="009E6D43">
        <w:rPr>
          <w:smallCaps/>
          <w:color w:val="auto"/>
          <w:sz w:val="16"/>
          <w:szCs w:val="16"/>
          <w:vertAlign w:val="superscript"/>
        </w:rPr>
        <w:t>n</w:t>
      </w:r>
      <w:proofErr w:type="spellEnd"/>
      <w:r w:rsidR="007F3759" w:rsidRPr="009E6D43">
        <w:rPr>
          <w:color w:val="auto"/>
          <w:sz w:val="16"/>
          <w:szCs w:val="16"/>
        </w:rPr>
        <w:t>,</w:t>
      </w:r>
      <w:r w:rsidR="00253B78" w:rsidRPr="009E6D43">
        <w:rPr>
          <w:color w:val="auto"/>
          <w:sz w:val="16"/>
          <w:szCs w:val="16"/>
        </w:rPr>
        <w:t xml:space="preserve"> </w:t>
      </w:r>
      <w:r w:rsidR="007F3759" w:rsidRPr="009E6D43">
        <w:rPr>
          <w:color w:val="auto"/>
          <w:sz w:val="16"/>
          <w:szCs w:val="16"/>
        </w:rPr>
        <w:t>2022.</w:t>
      </w:r>
      <w:r w:rsidR="006856BB" w:rsidRPr="009E6D43">
        <w:rPr>
          <w:color w:val="auto"/>
          <w:sz w:val="16"/>
          <w:szCs w:val="16"/>
        </w:rPr>
        <w:t xml:space="preserve"> </w:t>
      </w:r>
      <w:proofErr w:type="spellStart"/>
      <w:r w:rsidR="00780012" w:rsidRPr="009E6D43">
        <w:rPr>
          <w:smallCaps/>
          <w:color w:val="auto"/>
          <w:sz w:val="16"/>
          <w:szCs w:val="16"/>
        </w:rPr>
        <w:t>enoe</w:t>
      </w:r>
      <w:proofErr w:type="spellEnd"/>
      <w:r w:rsidR="007F3759" w:rsidRPr="009E6D43">
        <w:rPr>
          <w:color w:val="auto"/>
          <w:sz w:val="16"/>
          <w:szCs w:val="16"/>
        </w:rPr>
        <w:t>,</w:t>
      </w:r>
      <w:r w:rsidR="00253B78" w:rsidRPr="009E6D43">
        <w:rPr>
          <w:color w:val="auto"/>
          <w:sz w:val="16"/>
          <w:szCs w:val="16"/>
        </w:rPr>
        <w:t xml:space="preserve"> </w:t>
      </w:r>
      <w:r w:rsidR="007F3759" w:rsidRPr="009E6D43">
        <w:rPr>
          <w:color w:val="auto"/>
          <w:sz w:val="16"/>
          <w:szCs w:val="16"/>
        </w:rPr>
        <w:t>2023</w:t>
      </w:r>
      <w:r w:rsidR="002361CF" w:rsidRPr="009E6D43">
        <w:rPr>
          <w:color w:val="auto"/>
          <w:sz w:val="16"/>
          <w:szCs w:val="16"/>
        </w:rPr>
        <w:t>.</w:t>
      </w:r>
    </w:p>
    <w:p w14:paraId="1703C773" w14:textId="77777777" w:rsidR="001D124A" w:rsidRDefault="001D124A" w:rsidP="00655EAD">
      <w:pPr>
        <w:spacing w:before="240"/>
      </w:pPr>
    </w:p>
    <w:p w14:paraId="3C46F64B" w14:textId="77777777" w:rsidR="001D124A" w:rsidRDefault="001D124A" w:rsidP="00655EAD">
      <w:pPr>
        <w:spacing w:before="240"/>
      </w:pPr>
    </w:p>
    <w:p w14:paraId="735C35AE" w14:textId="070740A0" w:rsidR="00655EAD" w:rsidRPr="009E6D43" w:rsidRDefault="00655EAD" w:rsidP="00655EAD">
      <w:pPr>
        <w:spacing w:before="240"/>
        <w:rPr>
          <w:spacing w:val="-2"/>
        </w:rPr>
      </w:pPr>
      <w:r w:rsidRPr="009E6D43">
        <w:lastRenderedPageBreak/>
        <w:t xml:space="preserve">Del total de </w:t>
      </w:r>
      <w:r w:rsidR="00455E98" w:rsidRPr="009E6D43">
        <w:t xml:space="preserve">personas ocupadas, </w:t>
      </w:r>
      <w:r w:rsidR="00D454FF" w:rsidRPr="009E6D43">
        <w:t>4</w:t>
      </w:r>
      <w:r w:rsidR="00312D0F" w:rsidRPr="009E6D43">
        <w:t>1.4</w:t>
      </w:r>
      <w:r w:rsidR="005215A6" w:rsidRPr="009E6D43">
        <w:t xml:space="preserve"> </w:t>
      </w:r>
      <w:r w:rsidR="00614DA7" w:rsidRPr="009E6D43">
        <w:t xml:space="preserve">millones </w:t>
      </w:r>
      <w:r w:rsidR="00634752" w:rsidRPr="009E6D43">
        <w:t>(</w:t>
      </w:r>
      <w:r w:rsidR="00312D0F" w:rsidRPr="009E6D43">
        <w:t>70</w:t>
      </w:r>
      <w:r w:rsidR="00520FC0" w:rsidRPr="009E6D43">
        <w:t> %</w:t>
      </w:r>
      <w:r w:rsidR="00634752" w:rsidRPr="009E6D43">
        <w:t>)</w:t>
      </w:r>
      <w:r w:rsidRPr="009E6D43">
        <w:t xml:space="preserve"> opera</w:t>
      </w:r>
      <w:r w:rsidR="00775772" w:rsidRPr="009E6D43">
        <w:t>ro</w:t>
      </w:r>
      <w:r w:rsidR="005B024A" w:rsidRPr="009E6D43">
        <w:t>n</w:t>
      </w:r>
      <w:r w:rsidRPr="009E6D43">
        <w:t xml:space="preserve"> como </w:t>
      </w:r>
      <w:r w:rsidR="00455E98" w:rsidRPr="009E6D43">
        <w:t xml:space="preserve">trabajadoras o </w:t>
      </w:r>
      <w:r w:rsidRPr="009E6D43">
        <w:t>trabajador</w:t>
      </w:r>
      <w:r w:rsidR="00775772" w:rsidRPr="009E6D43">
        <w:t>es</w:t>
      </w:r>
      <w:r w:rsidRPr="009E6D43">
        <w:t xml:space="preserve"> subordinado</w:t>
      </w:r>
      <w:r w:rsidR="00775772" w:rsidRPr="009E6D43">
        <w:t>s</w:t>
      </w:r>
      <w:r w:rsidRPr="009E6D43">
        <w:t xml:space="preserve"> y remunerado</w:t>
      </w:r>
      <w:r w:rsidR="00775772" w:rsidRPr="009E6D43">
        <w:t>s</w:t>
      </w:r>
      <w:r w:rsidRPr="009E6D43">
        <w:t xml:space="preserve"> </w:t>
      </w:r>
      <w:r w:rsidR="005077D3" w:rsidRPr="009E6D43">
        <w:t xml:space="preserve">al ocupar </w:t>
      </w:r>
      <w:r w:rsidRPr="009E6D43">
        <w:t>una plaza o puesto de trabajo,</w:t>
      </w:r>
      <w:r w:rsidR="007261DF" w:rsidRPr="009E6D43">
        <w:t xml:space="preserve"> lo que representó</w:t>
      </w:r>
      <w:r w:rsidR="00614DA7" w:rsidRPr="009E6D43">
        <w:t xml:space="preserve"> </w:t>
      </w:r>
      <w:r w:rsidR="00104698" w:rsidRPr="009E6D43">
        <w:t xml:space="preserve">un </w:t>
      </w:r>
      <w:r w:rsidR="00995252" w:rsidRPr="009E6D43">
        <w:t>alza</w:t>
      </w:r>
      <w:r w:rsidR="00104698" w:rsidRPr="009E6D43">
        <w:t xml:space="preserve"> anual de</w:t>
      </w:r>
      <w:r w:rsidR="00DC0993" w:rsidRPr="009E6D43">
        <w:t xml:space="preserve"> </w:t>
      </w:r>
      <w:r w:rsidR="00D609EA" w:rsidRPr="009E6D43">
        <w:t>2.1</w:t>
      </w:r>
      <w:r w:rsidR="005970D0" w:rsidRPr="009E6D43">
        <w:t xml:space="preserve"> </w:t>
      </w:r>
      <w:r w:rsidR="00614DA7" w:rsidRPr="009E6D43">
        <w:t>mi</w:t>
      </w:r>
      <w:r w:rsidR="008B4ED2" w:rsidRPr="009E6D43">
        <w:t>l</w:t>
      </w:r>
      <w:r w:rsidR="00D609EA" w:rsidRPr="009E6D43">
        <w:t>lones</w:t>
      </w:r>
      <w:r w:rsidR="0067101F" w:rsidRPr="009E6D43">
        <w:t xml:space="preserve">. Además, </w:t>
      </w:r>
      <w:r w:rsidR="00614DA7" w:rsidRPr="009E6D43">
        <w:t>1</w:t>
      </w:r>
      <w:r w:rsidR="00786D4E" w:rsidRPr="009E6D43">
        <w:t>2.</w:t>
      </w:r>
      <w:r w:rsidR="005970D0" w:rsidRPr="009E6D43">
        <w:t>9</w:t>
      </w:r>
      <w:r w:rsidR="00614DA7" w:rsidRPr="009E6D43">
        <w:t xml:space="preserve"> millones (2</w:t>
      </w:r>
      <w:r w:rsidR="00786D4E" w:rsidRPr="009E6D43">
        <w:t>1.</w:t>
      </w:r>
      <w:r w:rsidR="005970D0" w:rsidRPr="009E6D43">
        <w:t>7</w:t>
      </w:r>
      <w:r w:rsidR="00520FC0" w:rsidRPr="009E6D43">
        <w:t> %</w:t>
      </w:r>
      <w:r w:rsidR="00614DA7" w:rsidRPr="009E6D43">
        <w:t>)</w:t>
      </w:r>
      <w:r w:rsidRPr="009E6D43">
        <w:t xml:space="preserve"> trabaja</w:t>
      </w:r>
      <w:r w:rsidR="00562EE6" w:rsidRPr="009E6D43">
        <w:t>ro</w:t>
      </w:r>
      <w:r w:rsidR="00C871A4" w:rsidRPr="009E6D43">
        <w:t>n</w:t>
      </w:r>
      <w:r w:rsidRPr="009E6D43">
        <w:t xml:space="preserve"> de manera independiente o por su cuenta sin contratar </w:t>
      </w:r>
      <w:r w:rsidR="004B1FBE" w:rsidRPr="009E6D43">
        <w:t xml:space="preserve">empleadas o </w:t>
      </w:r>
      <w:r w:rsidRPr="009E6D43">
        <w:t>empleados</w:t>
      </w:r>
      <w:r w:rsidR="0047749B" w:rsidRPr="009E6D43">
        <w:t>:</w:t>
      </w:r>
      <w:r w:rsidR="00822007" w:rsidRPr="009E6D43">
        <w:t xml:space="preserve"> </w:t>
      </w:r>
      <w:r w:rsidR="008B7FBC" w:rsidRPr="009E6D43">
        <w:t>398</w:t>
      </w:r>
      <w:r w:rsidR="0047749B" w:rsidRPr="009E6D43">
        <w:t xml:space="preserve"> mil</w:t>
      </w:r>
      <w:r w:rsidR="00D454FF" w:rsidRPr="009E6D43">
        <w:t xml:space="preserve"> </w:t>
      </w:r>
      <w:r w:rsidR="0047749B" w:rsidRPr="009E6D43">
        <w:t>personas m</w:t>
      </w:r>
      <w:r w:rsidR="008B7FBC" w:rsidRPr="009E6D43">
        <w:t>enos</w:t>
      </w:r>
      <w:r w:rsidR="00F52F62" w:rsidRPr="009E6D43">
        <w:t xml:space="preserve"> respecto a </w:t>
      </w:r>
      <w:r w:rsidR="000E2871" w:rsidRPr="009E6D43">
        <w:t>dic</w:t>
      </w:r>
      <w:r w:rsidR="000B4B54" w:rsidRPr="009E6D43">
        <w:t>iembre</w:t>
      </w:r>
      <w:r w:rsidR="00F52F62" w:rsidRPr="009E6D43">
        <w:t xml:space="preserve"> </w:t>
      </w:r>
      <w:r w:rsidR="00D41FB3" w:rsidRPr="009E6D43">
        <w:t>de</w:t>
      </w:r>
      <w:r w:rsidR="000E2871" w:rsidRPr="009E6D43">
        <w:t xml:space="preserve"> 2022</w:t>
      </w:r>
      <w:r w:rsidR="0072306F" w:rsidRPr="009E6D43">
        <w:t>.</w:t>
      </w:r>
      <w:r w:rsidR="00710AD1" w:rsidRPr="009E6D43">
        <w:t xml:space="preserve"> </w:t>
      </w:r>
      <w:r w:rsidR="0072306F" w:rsidRPr="009E6D43">
        <w:t>P</w:t>
      </w:r>
      <w:r w:rsidR="00614DA7" w:rsidRPr="009E6D43">
        <w:t>or su parte</w:t>
      </w:r>
      <w:r w:rsidR="008D18C5" w:rsidRPr="009E6D43">
        <w:t>,</w:t>
      </w:r>
      <w:r w:rsidR="00614DA7" w:rsidRPr="009E6D43">
        <w:t xml:space="preserve"> </w:t>
      </w:r>
      <w:r w:rsidR="00786D4E" w:rsidRPr="009E6D43">
        <w:t>2.</w:t>
      </w:r>
      <w:r w:rsidR="008B7FBC" w:rsidRPr="009E6D43">
        <w:t>8</w:t>
      </w:r>
      <w:r w:rsidR="00614DA7" w:rsidRPr="009E6D43">
        <w:t xml:space="preserve"> millones (</w:t>
      </w:r>
      <w:r w:rsidR="008B7FBC" w:rsidRPr="009E6D43">
        <w:t>4.8</w:t>
      </w:r>
      <w:r w:rsidR="00520FC0" w:rsidRPr="009E6D43">
        <w:t> %</w:t>
      </w:r>
      <w:r w:rsidR="00614DA7" w:rsidRPr="009E6D43">
        <w:t>)</w:t>
      </w:r>
      <w:r w:rsidRPr="009E6D43">
        <w:t xml:space="preserve"> </w:t>
      </w:r>
      <w:r w:rsidR="00562EE6" w:rsidRPr="009E6D43">
        <w:t xml:space="preserve">fueron </w:t>
      </w:r>
      <w:r w:rsidR="00455E98" w:rsidRPr="009E6D43">
        <w:t xml:space="preserve">patronas, </w:t>
      </w:r>
      <w:r w:rsidRPr="009E6D43">
        <w:t>patrones o empleadores</w:t>
      </w:r>
      <w:r w:rsidR="00FE48FB" w:rsidRPr="009E6D43">
        <w:t xml:space="preserve">, cifra </w:t>
      </w:r>
      <w:r w:rsidR="008D18C5" w:rsidRPr="009E6D43">
        <w:t xml:space="preserve">que </w:t>
      </w:r>
      <w:r w:rsidR="008B7FBC" w:rsidRPr="009E6D43">
        <w:t>descend</w:t>
      </w:r>
      <w:r w:rsidR="0047749B" w:rsidRPr="009E6D43">
        <w:t>i</w:t>
      </w:r>
      <w:r w:rsidR="008D18C5" w:rsidRPr="009E6D43">
        <w:t>ó en</w:t>
      </w:r>
      <w:r w:rsidR="006B7991" w:rsidRPr="009E6D43">
        <w:t xml:space="preserve"> </w:t>
      </w:r>
      <w:r w:rsidR="008B7FBC" w:rsidRPr="009E6D43">
        <w:t>81</w:t>
      </w:r>
      <w:r w:rsidR="00BD2C86" w:rsidRPr="009E6D43">
        <w:t xml:space="preserve"> </w:t>
      </w:r>
      <w:r w:rsidR="006B7991" w:rsidRPr="009E6D43">
        <w:t>mil</w:t>
      </w:r>
      <w:r w:rsidR="005077D3" w:rsidRPr="009E6D43">
        <w:t xml:space="preserve"> personas</w:t>
      </w:r>
      <w:r w:rsidR="0067101F" w:rsidRPr="009E6D43">
        <w:t>. F</w:t>
      </w:r>
      <w:r w:rsidR="004C6544" w:rsidRPr="009E6D43">
        <w:t>inalmente</w:t>
      </w:r>
      <w:r w:rsidR="0067101F" w:rsidRPr="009E6D43">
        <w:t>,</w:t>
      </w:r>
      <w:r w:rsidR="004C6544" w:rsidRPr="009E6D43">
        <w:t xml:space="preserve"> 2</w:t>
      </w:r>
      <w:r w:rsidR="00995252" w:rsidRPr="009E6D43">
        <w:t>.</w:t>
      </w:r>
      <w:r w:rsidR="008B7FBC" w:rsidRPr="009E6D43">
        <w:t>1</w:t>
      </w:r>
      <w:r w:rsidR="004C6544" w:rsidRPr="009E6D43">
        <w:t xml:space="preserve"> millones de personas</w:t>
      </w:r>
      <w:r w:rsidR="0067101F" w:rsidRPr="009E6D43">
        <w:t xml:space="preserve"> </w:t>
      </w:r>
      <w:r w:rsidR="0067101F" w:rsidRPr="009E6D43">
        <w:rPr>
          <w:spacing w:val="-2"/>
        </w:rPr>
        <w:t>(</w:t>
      </w:r>
      <w:r w:rsidR="00A46B12" w:rsidRPr="009E6D43">
        <w:rPr>
          <w:spacing w:val="-2"/>
        </w:rPr>
        <w:t>3.</w:t>
      </w:r>
      <w:r w:rsidR="008B7FBC" w:rsidRPr="009E6D43">
        <w:rPr>
          <w:spacing w:val="-2"/>
        </w:rPr>
        <w:t>5</w:t>
      </w:r>
      <w:r w:rsidR="00520FC0" w:rsidRPr="009E6D43">
        <w:rPr>
          <w:spacing w:val="-2"/>
        </w:rPr>
        <w:t> %</w:t>
      </w:r>
      <w:r w:rsidR="0067101F" w:rsidRPr="009E6D43">
        <w:rPr>
          <w:spacing w:val="-2"/>
        </w:rPr>
        <w:t>)</w:t>
      </w:r>
      <w:r w:rsidRPr="009E6D43">
        <w:t xml:space="preserve"> se desempeña</w:t>
      </w:r>
      <w:r w:rsidR="003C6506" w:rsidRPr="009E6D43">
        <w:t>ro</w:t>
      </w:r>
      <w:r w:rsidR="006B7991" w:rsidRPr="009E6D43">
        <w:t>n</w:t>
      </w:r>
      <w:r w:rsidRPr="009E6D43">
        <w:t xml:space="preserve"> en los negocios o en las parcelas familiares</w:t>
      </w:r>
      <w:r w:rsidR="00431ED0" w:rsidRPr="009E6D43">
        <w:t>,</w:t>
      </w:r>
      <w:r w:rsidRPr="009E6D43">
        <w:t xml:space="preserve"> </w:t>
      </w:r>
      <w:r w:rsidR="00E301F5" w:rsidRPr="009E6D43">
        <w:t>es decir</w:t>
      </w:r>
      <w:r w:rsidR="00D9535E" w:rsidRPr="009E6D43">
        <w:t xml:space="preserve">, </w:t>
      </w:r>
      <w:r w:rsidRPr="009E6D43">
        <w:t>contribuye</w:t>
      </w:r>
      <w:r w:rsidR="00D9535E" w:rsidRPr="009E6D43">
        <w:t>ron</w:t>
      </w:r>
      <w:r w:rsidRPr="009E6D43">
        <w:t xml:space="preserve"> de manera directa a los procesos productivos</w:t>
      </w:r>
      <w:r w:rsidR="005E6B34" w:rsidRPr="009E6D43">
        <w:t>,</w:t>
      </w:r>
      <w:r w:rsidRPr="009E6D43">
        <w:t xml:space="preserve"> pero sin un acuerdo de remuneración </w:t>
      </w:r>
      <w:r w:rsidRPr="009E6D43">
        <w:rPr>
          <w:spacing w:val="-2"/>
        </w:rPr>
        <w:t>monetaria</w:t>
      </w:r>
      <w:r w:rsidR="00A87B83" w:rsidRPr="009E6D43">
        <w:rPr>
          <w:spacing w:val="-2"/>
        </w:rPr>
        <w:t>. Lo anterior</w:t>
      </w:r>
      <w:r w:rsidR="00455E98" w:rsidRPr="009E6D43">
        <w:rPr>
          <w:spacing w:val="-2"/>
        </w:rPr>
        <w:t xml:space="preserve"> significó</w:t>
      </w:r>
      <w:r w:rsidR="00634752" w:rsidRPr="009E6D43">
        <w:rPr>
          <w:spacing w:val="-2"/>
        </w:rPr>
        <w:t xml:space="preserve"> </w:t>
      </w:r>
      <w:r w:rsidR="008B7FBC" w:rsidRPr="009E6D43">
        <w:rPr>
          <w:spacing w:val="-2"/>
        </w:rPr>
        <w:t>421</w:t>
      </w:r>
      <w:r w:rsidR="009A4B47" w:rsidRPr="009E6D43">
        <w:rPr>
          <w:spacing w:val="-2"/>
        </w:rPr>
        <w:t xml:space="preserve"> </w:t>
      </w:r>
      <w:r w:rsidR="00634752" w:rsidRPr="009E6D43">
        <w:rPr>
          <w:spacing w:val="-2"/>
        </w:rPr>
        <w:t xml:space="preserve">mil personas </w:t>
      </w:r>
      <w:r w:rsidR="001F4303" w:rsidRPr="009E6D43">
        <w:rPr>
          <w:spacing w:val="-2"/>
        </w:rPr>
        <w:t>m</w:t>
      </w:r>
      <w:r w:rsidR="00A46B12" w:rsidRPr="009E6D43">
        <w:rPr>
          <w:spacing w:val="-2"/>
        </w:rPr>
        <w:t>enos</w:t>
      </w:r>
      <w:r w:rsidR="00154FC7" w:rsidRPr="009E6D43">
        <w:rPr>
          <w:spacing w:val="-2"/>
        </w:rPr>
        <w:t xml:space="preserve"> </w:t>
      </w:r>
      <w:r w:rsidR="00D41FB3" w:rsidRPr="009E6D43">
        <w:rPr>
          <w:spacing w:val="-2"/>
        </w:rPr>
        <w:t xml:space="preserve">que en </w:t>
      </w:r>
      <w:r w:rsidR="000E2871" w:rsidRPr="009E6D43">
        <w:rPr>
          <w:spacing w:val="-2"/>
        </w:rPr>
        <w:t>el último mes</w:t>
      </w:r>
      <w:r w:rsidR="00D41FB3" w:rsidRPr="009E6D43">
        <w:rPr>
          <w:spacing w:val="-2"/>
        </w:rPr>
        <w:t xml:space="preserve"> de 2022</w:t>
      </w:r>
      <w:r w:rsidRPr="009E6D43">
        <w:rPr>
          <w:spacing w:val="-2"/>
        </w:rPr>
        <w:t>.</w:t>
      </w:r>
    </w:p>
    <w:p w14:paraId="338446DA" w14:textId="77777777" w:rsidR="00655EAD" w:rsidRPr="009E6D43" w:rsidRDefault="00B2441D" w:rsidP="007E7BDA">
      <w:pPr>
        <w:pStyle w:val="n0"/>
        <w:keepLines w:val="0"/>
        <w:widowControl w:val="0"/>
        <w:spacing w:before="200"/>
        <w:ind w:left="0" w:right="0" w:firstLine="0"/>
        <w:jc w:val="center"/>
        <w:rPr>
          <w:color w:val="auto"/>
          <w:sz w:val="20"/>
        </w:rPr>
      </w:pPr>
      <w:r w:rsidRPr="009E6D43">
        <w:rPr>
          <w:color w:val="auto"/>
          <w:sz w:val="20"/>
        </w:rPr>
        <w:t xml:space="preserve">Gráfica </w:t>
      </w:r>
      <w:r w:rsidR="00F119FB" w:rsidRPr="009E6D43">
        <w:rPr>
          <w:color w:val="auto"/>
          <w:sz w:val="20"/>
        </w:rPr>
        <w:t>2</w:t>
      </w:r>
    </w:p>
    <w:p w14:paraId="749EEFBC" w14:textId="42D2C98F" w:rsidR="00655EAD" w:rsidRPr="009E6D43" w:rsidRDefault="00B31345" w:rsidP="007E7BDA">
      <w:pPr>
        <w:pStyle w:val="n0"/>
        <w:keepLines w:val="0"/>
        <w:widowControl w:val="0"/>
        <w:spacing w:before="0"/>
        <w:ind w:left="0" w:right="0" w:firstLine="0"/>
        <w:jc w:val="center"/>
        <w:rPr>
          <w:b/>
          <w:smallCaps/>
          <w:color w:val="auto"/>
          <w:sz w:val="22"/>
        </w:rPr>
      </w:pPr>
      <w:r w:rsidRPr="009E6D43">
        <w:rPr>
          <w:b/>
          <w:smallCaps/>
          <w:color w:val="auto"/>
          <w:sz w:val="22"/>
        </w:rPr>
        <w:t>Porcentaje de p</w:t>
      </w:r>
      <w:r w:rsidR="00655EAD" w:rsidRPr="009E6D43">
        <w:rPr>
          <w:b/>
          <w:smallCaps/>
          <w:color w:val="auto"/>
          <w:sz w:val="22"/>
        </w:rPr>
        <w:t>oblación oc</w:t>
      </w:r>
      <w:r w:rsidR="00B2441D" w:rsidRPr="009E6D43">
        <w:rPr>
          <w:b/>
          <w:smallCaps/>
          <w:color w:val="auto"/>
          <w:sz w:val="22"/>
        </w:rPr>
        <w:t>upada</w:t>
      </w:r>
      <w:r w:rsidR="0019675B" w:rsidRPr="009E6D43">
        <w:rPr>
          <w:b/>
          <w:smallCaps/>
          <w:color w:val="auto"/>
          <w:sz w:val="22"/>
        </w:rPr>
        <w:t>,</w:t>
      </w:r>
      <w:r w:rsidR="00B2441D" w:rsidRPr="009E6D43">
        <w:rPr>
          <w:b/>
          <w:smallCaps/>
          <w:color w:val="auto"/>
          <w:sz w:val="22"/>
        </w:rPr>
        <w:t xml:space="preserve"> según su posición </w:t>
      </w:r>
    </w:p>
    <w:p w14:paraId="4A4F2491" w14:textId="74F3A647" w:rsidR="003671CE" w:rsidRPr="009E6D43" w:rsidRDefault="000E2871" w:rsidP="003671CE">
      <w:pPr>
        <w:pStyle w:val="Ttulo"/>
        <w:rPr>
          <w:rFonts w:cs="Arial"/>
          <w:b w:val="0"/>
          <w:sz w:val="20"/>
          <w:lang w:val="es-MX"/>
        </w:rPr>
      </w:pPr>
      <w:r w:rsidRPr="009E6D43">
        <w:rPr>
          <w:rFonts w:cs="Arial"/>
          <w:b w:val="0"/>
          <w:sz w:val="20"/>
        </w:rPr>
        <w:t>dic</w:t>
      </w:r>
      <w:r w:rsidR="000B4B54" w:rsidRPr="009E6D43">
        <w:rPr>
          <w:rFonts w:cs="Arial"/>
          <w:b w:val="0"/>
          <w:sz w:val="20"/>
        </w:rPr>
        <w:t>iembre</w:t>
      </w:r>
      <w:r w:rsidR="003671CE" w:rsidRPr="009E6D43">
        <w:rPr>
          <w:rFonts w:cs="Arial"/>
          <w:b w:val="0"/>
          <w:sz w:val="20"/>
        </w:rPr>
        <w:t xml:space="preserve"> de 2022 y 2023</w:t>
      </w:r>
    </w:p>
    <w:p w14:paraId="4CABD0E7" w14:textId="4CB1F3EF" w:rsidR="00657134" w:rsidRPr="009E6D43" w:rsidRDefault="006D1B86" w:rsidP="00296F96">
      <w:pPr>
        <w:widowControl w:val="0"/>
        <w:jc w:val="center"/>
        <w:rPr>
          <w:strike/>
          <w:lang w:val="es-ES"/>
        </w:rPr>
      </w:pPr>
      <w:r>
        <w:rPr>
          <w:noProof/>
        </w:rPr>
        <w:drawing>
          <wp:inline distT="0" distB="0" distL="0" distR="0" wp14:anchorId="61E7FB07" wp14:editId="02FBBEC9">
            <wp:extent cx="4680000" cy="2520000"/>
            <wp:effectExtent l="0" t="0" r="25400" b="33020"/>
            <wp:docPr id="1751667731" name="Gráfico 1">
              <a:extLst xmlns:a="http://schemas.openxmlformats.org/drawingml/2006/main">
                <a:ext uri="{FF2B5EF4-FFF2-40B4-BE49-F238E27FC236}">
                  <a16:creationId xmlns:a16="http://schemas.microsoft.com/office/drawing/2014/main" id="{22F064D9-BCFC-4143-A405-A543FEA651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679F998" w14:textId="3AE76C61" w:rsidR="00296F96" w:rsidRPr="009E6D43" w:rsidRDefault="00296F96" w:rsidP="008A497D">
      <w:pPr>
        <w:pStyle w:val="Prrafodelista"/>
        <w:ind w:left="1985" w:right="1327" w:hanging="567"/>
        <w:rPr>
          <w:sz w:val="16"/>
          <w:szCs w:val="16"/>
        </w:rPr>
      </w:pPr>
      <w:r w:rsidRPr="009E6D43">
        <w:rPr>
          <w:sz w:val="16"/>
          <w:szCs w:val="16"/>
        </w:rPr>
        <w:t>Nota:</w:t>
      </w:r>
      <w:r w:rsidRPr="009E6D43">
        <w:rPr>
          <w:sz w:val="16"/>
          <w:szCs w:val="16"/>
        </w:rPr>
        <w:tab/>
        <w:t>Los porcentajes resultan de considerar los Indicadores de Ocupación y Empleo con todos sus decimales</w:t>
      </w:r>
      <w:r w:rsidR="00A5736D" w:rsidRPr="009E6D43">
        <w:rPr>
          <w:sz w:val="16"/>
          <w:szCs w:val="16"/>
        </w:rPr>
        <w:t>. Por esta</w:t>
      </w:r>
      <w:r w:rsidRPr="009E6D43">
        <w:rPr>
          <w:sz w:val="16"/>
          <w:szCs w:val="16"/>
        </w:rPr>
        <w:t xml:space="preserve"> razón</w:t>
      </w:r>
      <w:r w:rsidR="00A5736D" w:rsidRPr="009E6D43">
        <w:rPr>
          <w:sz w:val="16"/>
          <w:szCs w:val="16"/>
        </w:rPr>
        <w:t xml:space="preserve">, </w:t>
      </w:r>
      <w:r w:rsidRPr="009E6D43">
        <w:rPr>
          <w:sz w:val="16"/>
          <w:szCs w:val="16"/>
        </w:rPr>
        <w:t xml:space="preserve">las sumas de los componentes a un decimal pueden no </w:t>
      </w:r>
      <w:r w:rsidR="00784A04" w:rsidRPr="009E6D43">
        <w:rPr>
          <w:sz w:val="16"/>
          <w:szCs w:val="16"/>
        </w:rPr>
        <w:t xml:space="preserve">sumar </w:t>
      </w:r>
      <w:r w:rsidRPr="009E6D43">
        <w:rPr>
          <w:sz w:val="16"/>
          <w:szCs w:val="16"/>
        </w:rPr>
        <w:t>100.</w:t>
      </w:r>
    </w:p>
    <w:p w14:paraId="4185D687" w14:textId="76D1E77C" w:rsidR="003107FF" w:rsidRPr="009E6D43" w:rsidRDefault="003107FF" w:rsidP="000B4B54">
      <w:pPr>
        <w:pStyle w:val="n0"/>
        <w:keepLines w:val="0"/>
        <w:spacing w:before="0"/>
        <w:ind w:left="993" w:right="476" w:firstLine="425"/>
        <w:rPr>
          <w:color w:val="auto"/>
          <w:sz w:val="16"/>
          <w:szCs w:val="16"/>
        </w:rPr>
      </w:pPr>
      <w:r w:rsidRPr="009E6D43">
        <w:rPr>
          <w:color w:val="auto"/>
          <w:sz w:val="16"/>
          <w:szCs w:val="16"/>
        </w:rPr>
        <w:t xml:space="preserve">Fuente: </w:t>
      </w:r>
      <w:proofErr w:type="spellStart"/>
      <w:r w:rsidRPr="009E6D43">
        <w:rPr>
          <w:smallCaps/>
          <w:color w:val="auto"/>
          <w:sz w:val="16"/>
          <w:szCs w:val="16"/>
        </w:rPr>
        <w:t>inegi</w:t>
      </w:r>
      <w:proofErr w:type="spellEnd"/>
      <w:r w:rsidRPr="009E6D43">
        <w:rPr>
          <w:color w:val="auto"/>
          <w:sz w:val="16"/>
          <w:szCs w:val="16"/>
        </w:rPr>
        <w:t xml:space="preserve">. </w:t>
      </w:r>
      <w:proofErr w:type="spellStart"/>
      <w:r w:rsidRPr="009E6D43">
        <w:rPr>
          <w:smallCaps/>
          <w:color w:val="auto"/>
          <w:sz w:val="16"/>
          <w:szCs w:val="16"/>
        </w:rPr>
        <w:t>enoe</w:t>
      </w:r>
      <w:r w:rsidRPr="009E6D43">
        <w:rPr>
          <w:smallCaps/>
          <w:color w:val="auto"/>
          <w:sz w:val="16"/>
          <w:szCs w:val="16"/>
          <w:vertAlign w:val="superscript"/>
        </w:rPr>
        <w:t>n</w:t>
      </w:r>
      <w:proofErr w:type="spellEnd"/>
      <w:r w:rsidRPr="009E6D43">
        <w:rPr>
          <w:color w:val="auto"/>
          <w:sz w:val="16"/>
          <w:szCs w:val="16"/>
        </w:rPr>
        <w:t>, 2022.</w:t>
      </w:r>
      <w:r w:rsidR="000B4B54" w:rsidRPr="009E6D43">
        <w:rPr>
          <w:color w:val="auto"/>
          <w:sz w:val="16"/>
          <w:szCs w:val="16"/>
        </w:rPr>
        <w:t xml:space="preserve"> </w:t>
      </w:r>
      <w:proofErr w:type="spellStart"/>
      <w:r w:rsidRPr="009E6D43">
        <w:rPr>
          <w:smallCaps/>
          <w:color w:val="auto"/>
          <w:sz w:val="16"/>
          <w:szCs w:val="16"/>
        </w:rPr>
        <w:t>enoe</w:t>
      </w:r>
      <w:proofErr w:type="spellEnd"/>
      <w:r w:rsidRPr="009E6D43">
        <w:rPr>
          <w:color w:val="auto"/>
          <w:sz w:val="16"/>
          <w:szCs w:val="16"/>
        </w:rPr>
        <w:t>, 2023.</w:t>
      </w:r>
    </w:p>
    <w:p w14:paraId="0A309BF1" w14:textId="01DF4CB0" w:rsidR="007A631B" w:rsidRPr="009E6D43" w:rsidRDefault="00B07E0B" w:rsidP="00EB5FAB">
      <w:pPr>
        <w:widowControl w:val="0"/>
        <w:spacing w:before="240"/>
      </w:pPr>
      <w:r w:rsidRPr="009E6D43">
        <w:t xml:space="preserve">En </w:t>
      </w:r>
      <w:r w:rsidR="000E2871" w:rsidRPr="009E6D43">
        <w:t>dic</w:t>
      </w:r>
      <w:r w:rsidR="003A6C62" w:rsidRPr="009E6D43">
        <w:t>iembre</w:t>
      </w:r>
      <w:r w:rsidRPr="009E6D43">
        <w:t xml:space="preserve"> de </w:t>
      </w:r>
      <w:r w:rsidR="000E2871" w:rsidRPr="009E6D43">
        <w:t>2023</w:t>
      </w:r>
      <w:r w:rsidRPr="009E6D43">
        <w:t>, l</w:t>
      </w:r>
      <w:r w:rsidR="00655EAD" w:rsidRPr="009E6D43">
        <w:t>a población ocupada por sector de actividad se distribuyó de la siguiente maner</w:t>
      </w:r>
      <w:r w:rsidR="000A7107" w:rsidRPr="009E6D43">
        <w:t>a: los servicios concentraron 2</w:t>
      </w:r>
      <w:r w:rsidR="003516CC" w:rsidRPr="009E6D43">
        <w:t>5.</w:t>
      </w:r>
      <w:r w:rsidR="008B7FBC" w:rsidRPr="009E6D43">
        <w:t>8</w:t>
      </w:r>
      <w:r w:rsidR="000A7107" w:rsidRPr="009E6D43">
        <w:t xml:space="preserve"> millones de personas</w:t>
      </w:r>
      <w:r w:rsidR="00655EAD" w:rsidRPr="009E6D43">
        <w:t xml:space="preserve"> </w:t>
      </w:r>
      <w:r w:rsidR="000A7107" w:rsidRPr="009E6D43">
        <w:t>(</w:t>
      </w:r>
      <w:r w:rsidR="00C45D6B" w:rsidRPr="009E6D43">
        <w:t>4</w:t>
      </w:r>
      <w:r w:rsidR="007D50A0" w:rsidRPr="009E6D43">
        <w:t>3.</w:t>
      </w:r>
      <w:r w:rsidR="008B7FBC" w:rsidRPr="009E6D43">
        <w:t>6</w:t>
      </w:r>
      <w:r w:rsidR="00520FC0" w:rsidRPr="009E6D43">
        <w:t> %</w:t>
      </w:r>
      <w:r w:rsidR="00655EAD" w:rsidRPr="009E6D43">
        <w:t xml:space="preserve"> del total</w:t>
      </w:r>
      <w:r w:rsidR="000A7107" w:rsidRPr="009E6D43">
        <w:t>)</w:t>
      </w:r>
      <w:r w:rsidR="00A5736D" w:rsidRPr="009E6D43">
        <w:t>;</w:t>
      </w:r>
      <w:r w:rsidR="00655EAD" w:rsidRPr="009E6D43">
        <w:t xml:space="preserve"> el comercio</w:t>
      </w:r>
      <w:r w:rsidR="00A5736D" w:rsidRPr="009E6D43">
        <w:t>,</w:t>
      </w:r>
      <w:r w:rsidR="000A7107" w:rsidRPr="009E6D43">
        <w:t xml:space="preserve"> 1</w:t>
      </w:r>
      <w:r w:rsidR="001F00FD" w:rsidRPr="009E6D43">
        <w:t>1</w:t>
      </w:r>
      <w:r w:rsidR="006C185E" w:rsidRPr="009E6D43">
        <w:t>.</w:t>
      </w:r>
      <w:r w:rsidR="003516CC" w:rsidRPr="009E6D43">
        <w:t>5</w:t>
      </w:r>
      <w:r w:rsidR="00CB6C69" w:rsidRPr="009E6D43">
        <w:t xml:space="preserve"> </w:t>
      </w:r>
      <w:r w:rsidR="000A7107" w:rsidRPr="009E6D43">
        <w:t>millones</w:t>
      </w:r>
      <w:r w:rsidR="00655EAD" w:rsidRPr="009E6D43">
        <w:t xml:space="preserve"> </w:t>
      </w:r>
      <w:r w:rsidR="000A7107" w:rsidRPr="009E6D43">
        <w:t>(</w:t>
      </w:r>
      <w:r w:rsidR="00E85E3B" w:rsidRPr="009E6D43">
        <w:t>19.</w:t>
      </w:r>
      <w:r w:rsidR="008B7FBC" w:rsidRPr="009E6D43">
        <w:t>5</w:t>
      </w:r>
      <w:r w:rsidR="00520FC0" w:rsidRPr="009E6D43">
        <w:t> %</w:t>
      </w:r>
      <w:r w:rsidR="000A7107" w:rsidRPr="009E6D43">
        <w:t>)</w:t>
      </w:r>
      <w:r w:rsidR="00A5736D" w:rsidRPr="009E6D43">
        <w:t>;</w:t>
      </w:r>
      <w:r w:rsidR="00655EAD" w:rsidRPr="009E6D43">
        <w:t xml:space="preserve"> la industria manufacturera</w:t>
      </w:r>
      <w:r w:rsidR="00EF367D" w:rsidRPr="009E6D43">
        <w:t>,</w:t>
      </w:r>
      <w:r w:rsidR="00655EAD" w:rsidRPr="009E6D43">
        <w:t xml:space="preserve"> </w:t>
      </w:r>
      <w:r w:rsidR="008B7FBC" w:rsidRPr="009E6D43">
        <w:t>10.1</w:t>
      </w:r>
      <w:r w:rsidR="000A7107" w:rsidRPr="009E6D43">
        <w:t xml:space="preserve"> millones (</w:t>
      </w:r>
      <w:r w:rsidR="00655EAD" w:rsidRPr="009E6D43">
        <w:t>1</w:t>
      </w:r>
      <w:r w:rsidR="008B7FBC" w:rsidRPr="009E6D43">
        <w:t>7.1</w:t>
      </w:r>
      <w:r w:rsidR="00520FC0" w:rsidRPr="009E6D43">
        <w:t> %</w:t>
      </w:r>
      <w:r w:rsidR="000A7107" w:rsidRPr="009E6D43">
        <w:t>)</w:t>
      </w:r>
      <w:r w:rsidR="00EF367D" w:rsidRPr="009E6D43">
        <w:t>;</w:t>
      </w:r>
      <w:r w:rsidR="00655EAD" w:rsidRPr="009E6D43">
        <w:t xml:space="preserve"> las actividades agropecuarias</w:t>
      </w:r>
      <w:r w:rsidR="00EF367D" w:rsidRPr="009E6D43">
        <w:t>,</w:t>
      </w:r>
      <w:r w:rsidR="00655EAD" w:rsidRPr="009E6D43">
        <w:t xml:space="preserve"> </w:t>
      </w:r>
      <w:r w:rsidR="008B7FBC" w:rsidRPr="009E6D43">
        <w:t>6.2</w:t>
      </w:r>
      <w:r w:rsidR="00C2383F" w:rsidRPr="009E6D43">
        <w:t xml:space="preserve"> </w:t>
      </w:r>
      <w:r w:rsidR="000A7107" w:rsidRPr="009E6D43">
        <w:t>millones (1</w:t>
      </w:r>
      <w:r w:rsidR="003516CC" w:rsidRPr="009E6D43">
        <w:t>0.</w:t>
      </w:r>
      <w:r w:rsidR="008B7FBC" w:rsidRPr="009E6D43">
        <w:t>5</w:t>
      </w:r>
      <w:r w:rsidR="00520FC0" w:rsidRPr="009E6D43">
        <w:t> %</w:t>
      </w:r>
      <w:r w:rsidR="000A7107" w:rsidRPr="009E6D43">
        <w:t>)</w:t>
      </w:r>
      <w:r w:rsidR="00EF367D" w:rsidRPr="009E6D43">
        <w:t>;</w:t>
      </w:r>
      <w:r w:rsidR="00655EAD" w:rsidRPr="009E6D43">
        <w:t xml:space="preserve"> la construcción</w:t>
      </w:r>
      <w:r w:rsidR="00EF367D" w:rsidRPr="009E6D43">
        <w:t>,</w:t>
      </w:r>
      <w:r w:rsidR="00655EAD" w:rsidRPr="009E6D43">
        <w:t xml:space="preserve"> </w:t>
      </w:r>
      <w:r w:rsidR="00E4569E" w:rsidRPr="009E6D43">
        <w:t>4.</w:t>
      </w:r>
      <w:r w:rsidR="008B7FBC" w:rsidRPr="009E6D43">
        <w:t>7</w:t>
      </w:r>
      <w:r w:rsidR="00A45DC6" w:rsidRPr="009E6D43">
        <w:t xml:space="preserve"> </w:t>
      </w:r>
      <w:r w:rsidR="000A7107" w:rsidRPr="009E6D43">
        <w:t>millones</w:t>
      </w:r>
      <w:r w:rsidR="00E25F17" w:rsidRPr="009E6D43">
        <w:t xml:space="preserve"> </w:t>
      </w:r>
      <w:r w:rsidR="000A7107" w:rsidRPr="009E6D43">
        <w:t>(</w:t>
      </w:r>
      <w:r w:rsidR="003516CC" w:rsidRPr="009E6D43">
        <w:t>7.</w:t>
      </w:r>
      <w:r w:rsidR="008B7FBC" w:rsidRPr="009E6D43">
        <w:t>9</w:t>
      </w:r>
      <w:r w:rsidR="00520FC0" w:rsidRPr="009E6D43">
        <w:t> %</w:t>
      </w:r>
      <w:r w:rsidR="000A7107" w:rsidRPr="009E6D43">
        <w:t>)</w:t>
      </w:r>
      <w:r w:rsidR="00B46EEF" w:rsidRPr="009E6D43">
        <w:t xml:space="preserve"> y</w:t>
      </w:r>
      <w:r w:rsidR="00655EAD" w:rsidRPr="009E6D43">
        <w:t xml:space="preserve"> </w:t>
      </w:r>
      <w:r w:rsidR="00E25F17" w:rsidRPr="009E6D43">
        <w:t>«</w:t>
      </w:r>
      <w:r w:rsidR="00655EAD" w:rsidRPr="009E6D43">
        <w:t>otras actividades económicas</w:t>
      </w:r>
      <w:r w:rsidR="00E25F17" w:rsidRPr="009E6D43">
        <w:t>»</w:t>
      </w:r>
      <w:r w:rsidR="00E85E3B" w:rsidRPr="009E6D43">
        <w:t xml:space="preserve"> </w:t>
      </w:r>
      <w:r w:rsidR="00F55076" w:rsidRPr="009E6D43">
        <w:t>—</w:t>
      </w:r>
      <w:r w:rsidR="00655EAD" w:rsidRPr="009E6D43">
        <w:t>que incluyen la minería, electricidad, agua y suministro de gas</w:t>
      </w:r>
      <w:r w:rsidR="00F55076" w:rsidRPr="009E6D43">
        <w:t>—</w:t>
      </w:r>
      <w:r w:rsidR="00A5736D" w:rsidRPr="009E6D43">
        <w:t>,</w:t>
      </w:r>
      <w:r w:rsidR="00655EAD" w:rsidRPr="009E6D43">
        <w:t xml:space="preserve"> </w:t>
      </w:r>
      <w:r w:rsidR="005E0903" w:rsidRPr="009E6D43">
        <w:t>4</w:t>
      </w:r>
      <w:r w:rsidR="008B7FBC" w:rsidRPr="009E6D43">
        <w:t>12</w:t>
      </w:r>
      <w:r w:rsidR="00451AAA" w:rsidRPr="009E6D43">
        <w:t xml:space="preserve"> </w:t>
      </w:r>
      <w:r w:rsidR="000A7107" w:rsidRPr="009E6D43">
        <w:t>mil (</w:t>
      </w:r>
      <w:r w:rsidR="00655EAD" w:rsidRPr="009E6D43">
        <w:t>0.</w:t>
      </w:r>
      <w:r w:rsidR="008B7FBC" w:rsidRPr="009E6D43">
        <w:t>7</w:t>
      </w:r>
      <w:r w:rsidR="00520FC0" w:rsidRPr="009E6D43">
        <w:t> %</w:t>
      </w:r>
      <w:r w:rsidR="000A7107" w:rsidRPr="009E6D43">
        <w:t>)</w:t>
      </w:r>
      <w:r w:rsidR="00B46EEF" w:rsidRPr="009E6D43">
        <w:t>.</w:t>
      </w:r>
      <w:r w:rsidR="00ED2D6A" w:rsidRPr="009E6D43">
        <w:t xml:space="preserve"> Por su parte, </w:t>
      </w:r>
      <w:r w:rsidR="005E0903" w:rsidRPr="009E6D43">
        <w:t>3</w:t>
      </w:r>
      <w:r w:rsidR="008B7FBC" w:rsidRPr="009E6D43">
        <w:t>79</w:t>
      </w:r>
      <w:r w:rsidR="000A7107" w:rsidRPr="009E6D43">
        <w:t xml:space="preserve"> mil </w:t>
      </w:r>
      <w:r w:rsidR="005301D7" w:rsidRPr="009E6D43">
        <w:t xml:space="preserve">personas </w:t>
      </w:r>
      <w:r w:rsidR="000A7107" w:rsidRPr="009E6D43">
        <w:t>(</w:t>
      </w:r>
      <w:r w:rsidR="00655EAD" w:rsidRPr="009E6D43">
        <w:t>0.</w:t>
      </w:r>
      <w:r w:rsidR="003516CC" w:rsidRPr="009E6D43">
        <w:t>6</w:t>
      </w:r>
      <w:r w:rsidR="00520FC0" w:rsidRPr="009E6D43">
        <w:t> %</w:t>
      </w:r>
      <w:r w:rsidR="000A7107" w:rsidRPr="009E6D43">
        <w:t>)</w:t>
      </w:r>
      <w:r w:rsidR="00655EAD" w:rsidRPr="009E6D43">
        <w:t xml:space="preserve"> no especific</w:t>
      </w:r>
      <w:r w:rsidR="005301D7" w:rsidRPr="009E6D43">
        <w:t>aron</w:t>
      </w:r>
      <w:r w:rsidR="00655EAD" w:rsidRPr="009E6D43">
        <w:t xml:space="preserve"> su actividad</w:t>
      </w:r>
      <w:r w:rsidR="000A7107" w:rsidRPr="009E6D43">
        <w:t>.</w:t>
      </w:r>
      <w:r w:rsidR="0079160D" w:rsidRPr="009E6D43">
        <w:t xml:space="preserve"> En comparación con </w:t>
      </w:r>
      <w:r w:rsidR="000B6748" w:rsidRPr="009E6D43">
        <w:t>el mismo</w:t>
      </w:r>
      <w:r w:rsidR="0079160D" w:rsidRPr="009E6D43">
        <w:t xml:space="preserve"> mes de</w:t>
      </w:r>
      <w:r w:rsidR="001E66FB" w:rsidRPr="009E6D43">
        <w:t xml:space="preserve"> 202</w:t>
      </w:r>
      <w:r w:rsidR="00E538FB" w:rsidRPr="009E6D43">
        <w:t>2</w:t>
      </w:r>
      <w:r w:rsidR="0079160D" w:rsidRPr="009E6D43">
        <w:t xml:space="preserve">, </w:t>
      </w:r>
      <w:r w:rsidR="009423DE" w:rsidRPr="009E6D43">
        <w:t xml:space="preserve">los </w:t>
      </w:r>
      <w:r w:rsidR="00614BA8" w:rsidRPr="009E6D43">
        <w:t>sector</w:t>
      </w:r>
      <w:r w:rsidR="009423DE" w:rsidRPr="009E6D43">
        <w:t>es</w:t>
      </w:r>
      <w:r w:rsidR="0079160D" w:rsidRPr="009E6D43">
        <w:t xml:space="preserve"> </w:t>
      </w:r>
      <w:r w:rsidR="00E60191" w:rsidRPr="009E6D43">
        <w:t xml:space="preserve">con mayor </w:t>
      </w:r>
      <w:r w:rsidR="00F34F60" w:rsidRPr="009E6D43">
        <w:t xml:space="preserve">incremento </w:t>
      </w:r>
      <w:r w:rsidR="00614BA8" w:rsidRPr="009E6D43">
        <w:t xml:space="preserve">en su población ocupada </w:t>
      </w:r>
      <w:r w:rsidR="00E60191" w:rsidRPr="009E6D43">
        <w:t>fue</w:t>
      </w:r>
      <w:r w:rsidR="009423DE" w:rsidRPr="009E6D43">
        <w:t>ron:</w:t>
      </w:r>
      <w:r w:rsidR="00FF24E3" w:rsidRPr="009E6D43">
        <w:t xml:space="preserve"> </w:t>
      </w:r>
      <w:r w:rsidR="004C4EF9" w:rsidRPr="009E6D43">
        <w:t>industria manufacturera, con 568 mil personas; comercio, con 519 mil y transportes, comunicaciones, correo y almacenamiento</w:t>
      </w:r>
      <w:r w:rsidR="00451AAA" w:rsidRPr="009E6D43">
        <w:t xml:space="preserve">, con </w:t>
      </w:r>
      <w:r w:rsidR="004C4EF9" w:rsidRPr="009E6D43">
        <w:t>319</w:t>
      </w:r>
      <w:r w:rsidR="00451AAA" w:rsidRPr="009E6D43">
        <w:t xml:space="preserve"> </w:t>
      </w:r>
      <w:r w:rsidR="002602A4" w:rsidRPr="009E6D43">
        <w:t>mil</w:t>
      </w:r>
      <w:r w:rsidR="002B2D24" w:rsidRPr="009E6D43">
        <w:t>.</w:t>
      </w:r>
      <w:r w:rsidR="007A631B" w:rsidRPr="009E6D43">
        <w:rPr>
          <w:b/>
          <w:sz w:val="20"/>
          <w:szCs w:val="22"/>
        </w:rPr>
        <w:br w:type="page"/>
      </w:r>
    </w:p>
    <w:p w14:paraId="05DB1B3C" w14:textId="77777777" w:rsidR="0076675E" w:rsidRPr="009E6D43" w:rsidRDefault="0076675E" w:rsidP="0076675E">
      <w:pPr>
        <w:pStyle w:val="Ttulo"/>
        <w:keepNext/>
        <w:keepLines/>
        <w:widowControl w:val="0"/>
        <w:spacing w:before="240"/>
        <w:rPr>
          <w:rFonts w:cs="Arial"/>
          <w:b w:val="0"/>
          <w:sz w:val="20"/>
          <w:szCs w:val="22"/>
        </w:rPr>
      </w:pPr>
      <w:r w:rsidRPr="009E6D43">
        <w:rPr>
          <w:rFonts w:cs="Arial"/>
          <w:b w:val="0"/>
          <w:sz w:val="20"/>
          <w:szCs w:val="22"/>
        </w:rPr>
        <w:lastRenderedPageBreak/>
        <w:t>Cuadro 3</w:t>
      </w:r>
    </w:p>
    <w:p w14:paraId="41B0867E" w14:textId="786C426F" w:rsidR="0076675E" w:rsidRPr="009E6D43" w:rsidRDefault="00953010" w:rsidP="0076675E">
      <w:pPr>
        <w:pStyle w:val="Ttulo"/>
        <w:keepNext/>
        <w:keepLines/>
        <w:widowControl w:val="0"/>
        <w:rPr>
          <w:rFonts w:cs="Arial"/>
          <w:smallCaps/>
          <w:sz w:val="22"/>
          <w:szCs w:val="22"/>
        </w:rPr>
      </w:pPr>
      <w:r w:rsidRPr="009E6D43">
        <w:rPr>
          <w:rFonts w:cs="Arial"/>
          <w:smallCaps/>
          <w:sz w:val="22"/>
          <w:szCs w:val="22"/>
        </w:rPr>
        <w:t>Características de la p</w:t>
      </w:r>
      <w:r w:rsidR="0076675E" w:rsidRPr="009E6D43">
        <w:rPr>
          <w:rFonts w:cs="Arial"/>
          <w:smallCaps/>
          <w:sz w:val="22"/>
          <w:szCs w:val="22"/>
        </w:rPr>
        <w:t>oblación ocupada</w:t>
      </w:r>
      <w:r w:rsidR="006B37C7" w:rsidRPr="009E6D43">
        <w:rPr>
          <w:rFonts w:cs="Arial"/>
          <w:smallCaps/>
          <w:sz w:val="22"/>
          <w:szCs w:val="22"/>
        </w:rPr>
        <w:t>,</w:t>
      </w:r>
      <w:r w:rsidR="0076675E" w:rsidRPr="009E6D43">
        <w:rPr>
          <w:rFonts w:cs="Arial"/>
          <w:smallCaps/>
          <w:sz w:val="22"/>
          <w:szCs w:val="22"/>
        </w:rPr>
        <w:t xml:space="preserve"> </w:t>
      </w:r>
      <w:r w:rsidR="006218AC" w:rsidRPr="009E6D43">
        <w:rPr>
          <w:rFonts w:cs="Arial"/>
          <w:smallCaps/>
          <w:sz w:val="22"/>
          <w:szCs w:val="22"/>
        </w:rPr>
        <w:t xml:space="preserve">según </w:t>
      </w:r>
      <w:r w:rsidR="0076675E" w:rsidRPr="009E6D43">
        <w:rPr>
          <w:rFonts w:cs="Arial"/>
          <w:smallCaps/>
          <w:sz w:val="22"/>
          <w:szCs w:val="22"/>
        </w:rPr>
        <w:t>condición</w:t>
      </w:r>
    </w:p>
    <w:p w14:paraId="4260E12E" w14:textId="0021D0F5" w:rsidR="003671CE" w:rsidRPr="009E6D43" w:rsidRDefault="000E2871" w:rsidP="003671CE">
      <w:pPr>
        <w:pStyle w:val="Ttulo"/>
        <w:rPr>
          <w:rFonts w:cs="Arial"/>
          <w:b w:val="0"/>
          <w:sz w:val="20"/>
          <w:lang w:val="es-MX"/>
        </w:rPr>
      </w:pPr>
      <w:r w:rsidRPr="009E6D43">
        <w:rPr>
          <w:rFonts w:cs="Arial"/>
          <w:b w:val="0"/>
          <w:sz w:val="20"/>
        </w:rPr>
        <w:t>dic</w:t>
      </w:r>
      <w:r w:rsidR="003A6C62" w:rsidRPr="009E6D43">
        <w:rPr>
          <w:rFonts w:cs="Arial"/>
          <w:b w:val="0"/>
          <w:sz w:val="20"/>
        </w:rPr>
        <w:t>iembre</w:t>
      </w:r>
      <w:r w:rsidR="003671CE" w:rsidRPr="009E6D43">
        <w:rPr>
          <w:rFonts w:cs="Arial"/>
          <w:b w:val="0"/>
          <w:sz w:val="20"/>
        </w:rPr>
        <w:t xml:space="preserve"> de 2022 y 2023</w:t>
      </w:r>
    </w:p>
    <w:tbl>
      <w:tblPr>
        <w:tblW w:w="9302"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63"/>
        <w:gridCol w:w="916"/>
      </w:tblGrid>
      <w:tr w:rsidR="00C3555C" w:rsidRPr="009E6D43" w14:paraId="5260BBE7" w14:textId="77777777" w:rsidTr="006C2D06">
        <w:trPr>
          <w:trHeight w:val="255"/>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C24645E" w14:textId="058ACA8B" w:rsidR="00C3555C" w:rsidRPr="009E6D43" w:rsidRDefault="00C3555C" w:rsidP="00C3555C">
            <w:pPr>
              <w:jc w:val="left"/>
              <w:rPr>
                <w:b/>
                <w:bCs/>
                <w:color w:val="000000"/>
                <w:sz w:val="16"/>
                <w:szCs w:val="16"/>
                <w:lang w:val="es-MX" w:eastAsia="es-MX"/>
              </w:rPr>
            </w:pPr>
            <w:r w:rsidRPr="009E6D43">
              <w:rPr>
                <w:b/>
                <w:bCs/>
                <w:color w:val="000000"/>
                <w:sz w:val="16"/>
                <w:szCs w:val="16"/>
                <w:lang w:val="es-MX" w:eastAsia="es-MX"/>
              </w:rPr>
              <w:t>Características de la</w:t>
            </w:r>
            <w:r w:rsidR="008B1BC6" w:rsidRPr="009E6D43">
              <w:rPr>
                <w:b/>
                <w:bCs/>
                <w:color w:val="000000"/>
                <w:sz w:val="16"/>
                <w:szCs w:val="16"/>
                <w:lang w:val="es-MX" w:eastAsia="es-MX"/>
              </w:rPr>
              <w:t xml:space="preserve"> </w:t>
            </w:r>
            <w:r w:rsidRPr="009E6D43">
              <w:rPr>
                <w:b/>
                <w:bCs/>
                <w:color w:val="000000"/>
                <w:sz w:val="16"/>
                <w:szCs w:val="16"/>
                <w:lang w:val="es-MX" w:eastAsia="es-MX"/>
              </w:rPr>
              <w:t xml:space="preserve">ocupación </w:t>
            </w:r>
            <w:r w:rsidR="006218AC" w:rsidRPr="009E6D43">
              <w:rPr>
                <w:b/>
                <w:bCs/>
                <w:color w:val="000000"/>
                <w:sz w:val="16"/>
                <w:szCs w:val="16"/>
                <w:lang w:val="es-MX" w:eastAsia="es-MX"/>
              </w:rPr>
              <w:t xml:space="preserve">según </w:t>
            </w:r>
            <w:r w:rsidRPr="009E6D43">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B2B46C3" w14:textId="4ED2A81D" w:rsidR="00C3555C" w:rsidRPr="009E6D43" w:rsidRDefault="000E2871" w:rsidP="00A86D6B">
            <w:pPr>
              <w:ind w:left="284" w:hanging="284"/>
              <w:jc w:val="center"/>
              <w:rPr>
                <w:b/>
                <w:bCs/>
                <w:sz w:val="16"/>
                <w:szCs w:val="16"/>
                <w:lang w:val="es-MX" w:eastAsia="es-MX"/>
              </w:rPr>
            </w:pPr>
            <w:r w:rsidRPr="009E6D43">
              <w:rPr>
                <w:b/>
                <w:bCs/>
                <w:sz w:val="16"/>
                <w:szCs w:val="16"/>
                <w:lang w:val="es-MX" w:eastAsia="es-MX"/>
              </w:rPr>
              <w:t>Dic</w:t>
            </w:r>
            <w:r w:rsidR="003A6C62" w:rsidRPr="009E6D43">
              <w:rPr>
                <w:b/>
                <w:bCs/>
                <w:sz w:val="16"/>
                <w:szCs w:val="16"/>
                <w:lang w:val="es-MX" w:eastAsia="es-MX"/>
              </w:rPr>
              <w:t>iembre</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466DCD" w14:textId="641646DE" w:rsidR="00C3555C" w:rsidRPr="009E6D43" w:rsidRDefault="00C3555C" w:rsidP="00CA476D">
            <w:pPr>
              <w:jc w:val="center"/>
              <w:rPr>
                <w:b/>
                <w:bCs/>
                <w:sz w:val="16"/>
                <w:szCs w:val="16"/>
                <w:lang w:val="es-MX" w:eastAsia="es-MX"/>
              </w:rPr>
            </w:pPr>
            <w:r w:rsidRPr="009E6D43">
              <w:rPr>
                <w:b/>
                <w:bCs/>
                <w:sz w:val="16"/>
                <w:szCs w:val="16"/>
                <w:lang w:val="es-MX" w:eastAsia="es-MX"/>
              </w:rPr>
              <w:t>Diferencia 202</w:t>
            </w:r>
            <w:r w:rsidR="00E538FB" w:rsidRPr="009E6D43">
              <w:rPr>
                <w:b/>
                <w:bCs/>
                <w:sz w:val="16"/>
                <w:szCs w:val="16"/>
                <w:lang w:val="es-MX" w:eastAsia="es-MX"/>
              </w:rPr>
              <w:t>3</w:t>
            </w:r>
            <w:r w:rsidRPr="009E6D43">
              <w:rPr>
                <w:b/>
                <w:bCs/>
                <w:sz w:val="16"/>
                <w:szCs w:val="16"/>
                <w:lang w:val="es-MX" w:eastAsia="es-MX"/>
              </w:rPr>
              <w:t>-202</w:t>
            </w:r>
            <w:r w:rsidR="00E538FB" w:rsidRPr="009E6D43">
              <w:rPr>
                <w:b/>
                <w:bCs/>
                <w:sz w:val="16"/>
                <w:szCs w:val="16"/>
                <w:lang w:val="es-MX" w:eastAsia="es-MX"/>
              </w:rPr>
              <w:t>2</w:t>
            </w:r>
          </w:p>
        </w:tc>
        <w:tc>
          <w:tcPr>
            <w:tcW w:w="1483"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6EF057A" w14:textId="0F580915" w:rsidR="00C3555C" w:rsidRPr="009E6D43" w:rsidRDefault="000E2871" w:rsidP="001F00FD">
            <w:pPr>
              <w:jc w:val="center"/>
              <w:rPr>
                <w:b/>
                <w:bCs/>
                <w:sz w:val="16"/>
                <w:szCs w:val="16"/>
                <w:lang w:val="es-MX" w:eastAsia="es-MX"/>
              </w:rPr>
            </w:pPr>
            <w:r w:rsidRPr="009E6D43">
              <w:rPr>
                <w:b/>
                <w:bCs/>
                <w:sz w:val="16"/>
                <w:szCs w:val="16"/>
                <w:lang w:val="es-MX" w:eastAsia="es-MX"/>
              </w:rPr>
              <w:t>Dic</w:t>
            </w:r>
            <w:r w:rsidR="003A6C62" w:rsidRPr="009E6D43">
              <w:rPr>
                <w:b/>
                <w:bCs/>
                <w:sz w:val="16"/>
                <w:szCs w:val="16"/>
                <w:lang w:val="es-MX" w:eastAsia="es-MX"/>
              </w:rPr>
              <w:t>iembre</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AB1CF0B" w14:textId="5B0B3A5F" w:rsidR="00C3555C" w:rsidRPr="009E6D43" w:rsidRDefault="00C3555C" w:rsidP="00CA476D">
            <w:pPr>
              <w:jc w:val="center"/>
              <w:rPr>
                <w:b/>
                <w:bCs/>
                <w:color w:val="000000"/>
                <w:sz w:val="16"/>
                <w:szCs w:val="16"/>
                <w:lang w:val="es-MX" w:eastAsia="es-MX"/>
              </w:rPr>
            </w:pPr>
            <w:r w:rsidRPr="009E6D43">
              <w:rPr>
                <w:b/>
                <w:bCs/>
                <w:color w:val="000000"/>
                <w:sz w:val="16"/>
                <w:szCs w:val="16"/>
                <w:lang w:val="es-MX" w:eastAsia="es-MX"/>
              </w:rPr>
              <w:t>Diferencia 202</w:t>
            </w:r>
            <w:r w:rsidR="00E538FB" w:rsidRPr="009E6D43">
              <w:rPr>
                <w:b/>
                <w:bCs/>
                <w:color w:val="000000"/>
                <w:sz w:val="16"/>
                <w:szCs w:val="16"/>
                <w:lang w:val="es-MX" w:eastAsia="es-MX"/>
              </w:rPr>
              <w:t>3</w:t>
            </w:r>
            <w:r w:rsidRPr="009E6D43">
              <w:rPr>
                <w:b/>
                <w:bCs/>
                <w:color w:val="000000"/>
                <w:sz w:val="16"/>
                <w:szCs w:val="16"/>
                <w:lang w:val="es-MX" w:eastAsia="es-MX"/>
              </w:rPr>
              <w:t>-202</w:t>
            </w:r>
            <w:r w:rsidR="00E538FB" w:rsidRPr="009E6D43">
              <w:rPr>
                <w:b/>
                <w:bCs/>
                <w:color w:val="000000"/>
                <w:sz w:val="16"/>
                <w:szCs w:val="16"/>
                <w:lang w:val="es-MX" w:eastAsia="es-MX"/>
              </w:rPr>
              <w:t>2</w:t>
            </w:r>
          </w:p>
        </w:tc>
      </w:tr>
      <w:tr w:rsidR="00E538FB" w:rsidRPr="009E6D43" w14:paraId="6E0E6A8C" w14:textId="77777777" w:rsidTr="006C2D06">
        <w:trPr>
          <w:trHeight w:val="397"/>
          <w:jc w:val="center"/>
        </w:trPr>
        <w:tc>
          <w:tcPr>
            <w:tcW w:w="3850" w:type="dxa"/>
            <w:vMerge/>
            <w:tcBorders>
              <w:top w:val="single" w:sz="4" w:space="0" w:color="1F497D"/>
              <w:left w:val="single" w:sz="4" w:space="0" w:color="1F497D"/>
              <w:bottom w:val="single" w:sz="4" w:space="0" w:color="1F497D"/>
              <w:right w:val="nil"/>
            </w:tcBorders>
            <w:vAlign w:val="center"/>
            <w:hideMark/>
          </w:tcPr>
          <w:p w14:paraId="64155DC4" w14:textId="77777777" w:rsidR="00E538FB" w:rsidRPr="009E6D43" w:rsidRDefault="00E538FB" w:rsidP="00E538FB">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DB5D0CC" w14:textId="77777777" w:rsidR="00E538FB" w:rsidRPr="009E6D43" w:rsidRDefault="00E538FB" w:rsidP="00E538FB">
            <w:pPr>
              <w:jc w:val="center"/>
              <w:rPr>
                <w:b/>
                <w:bCs/>
                <w:sz w:val="16"/>
                <w:szCs w:val="16"/>
                <w:lang w:val="es-MX" w:eastAsia="es-MX"/>
              </w:rPr>
            </w:pPr>
            <w:r w:rsidRPr="009E6D43">
              <w:rPr>
                <w:b/>
                <w:bCs/>
                <w:sz w:val="16"/>
                <w:szCs w:val="16"/>
                <w:lang w:val="es-MX" w:eastAsia="es-MX"/>
              </w:rPr>
              <w:t>2022</w:t>
            </w:r>
          </w:p>
          <w:p w14:paraId="22BB01AB" w14:textId="39311622" w:rsidR="00E538FB" w:rsidRPr="009E6D43" w:rsidRDefault="00555F05" w:rsidP="00E538FB">
            <w:pPr>
              <w:jc w:val="center"/>
              <w:rPr>
                <w:b/>
                <w:bCs/>
                <w:smallCaps/>
                <w:sz w:val="16"/>
                <w:szCs w:val="16"/>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1020" w:type="dxa"/>
            <w:tcBorders>
              <w:top w:val="nil"/>
              <w:left w:val="nil"/>
              <w:bottom w:val="single" w:sz="4" w:space="0" w:color="1F497D"/>
              <w:right w:val="single" w:sz="4" w:space="0" w:color="1F497D"/>
            </w:tcBorders>
            <w:shd w:val="clear" w:color="000000" w:fill="BDD7EE"/>
            <w:vAlign w:val="center"/>
            <w:hideMark/>
          </w:tcPr>
          <w:p w14:paraId="01163FE7" w14:textId="77777777" w:rsidR="00E538FB" w:rsidRPr="009E6D43" w:rsidRDefault="00E538FB" w:rsidP="00E538FB">
            <w:pPr>
              <w:jc w:val="center"/>
              <w:rPr>
                <w:b/>
                <w:bCs/>
                <w:sz w:val="16"/>
                <w:szCs w:val="16"/>
                <w:lang w:val="es-MX" w:eastAsia="es-MX"/>
              </w:rPr>
            </w:pPr>
            <w:r w:rsidRPr="009E6D43">
              <w:rPr>
                <w:b/>
                <w:bCs/>
                <w:sz w:val="16"/>
                <w:szCs w:val="16"/>
                <w:lang w:val="es-MX" w:eastAsia="es-MX"/>
              </w:rPr>
              <w:t>2023</w:t>
            </w:r>
          </w:p>
          <w:p w14:paraId="7B3BD250" w14:textId="294A799B" w:rsidR="00E538FB" w:rsidRPr="009E6D43" w:rsidRDefault="00555F05" w:rsidP="00E538FB">
            <w:pPr>
              <w:jc w:val="center"/>
              <w:rPr>
                <w:b/>
                <w:bCs/>
                <w:smallCaps/>
                <w:sz w:val="16"/>
                <w:szCs w:val="16"/>
                <w:lang w:val="es-MX" w:eastAsia="es-MX"/>
              </w:rPr>
            </w:pPr>
            <w:proofErr w:type="spellStart"/>
            <w:r w:rsidRPr="009E6D43">
              <w:rPr>
                <w:b/>
                <w:bCs/>
                <w:smallCaps/>
                <w:sz w:val="16"/>
                <w:szCs w:val="16"/>
                <w:lang w:val="es-MX" w:eastAsia="es-MX"/>
              </w:rPr>
              <w:t>enoe</w:t>
            </w:r>
            <w:proofErr w:type="spellEnd"/>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4100350F" w14:textId="77777777" w:rsidR="00E538FB" w:rsidRPr="009E6D43" w:rsidRDefault="00E538FB" w:rsidP="00E538FB">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593D2405" w14:textId="77777777" w:rsidR="00E538FB" w:rsidRPr="009E6D43" w:rsidRDefault="00E538FB" w:rsidP="00E538FB">
            <w:pPr>
              <w:jc w:val="center"/>
              <w:rPr>
                <w:b/>
                <w:bCs/>
                <w:sz w:val="16"/>
                <w:szCs w:val="16"/>
                <w:lang w:val="es-MX" w:eastAsia="es-MX"/>
              </w:rPr>
            </w:pPr>
            <w:r w:rsidRPr="009E6D43">
              <w:rPr>
                <w:b/>
                <w:bCs/>
                <w:sz w:val="16"/>
                <w:szCs w:val="16"/>
                <w:lang w:val="es-MX" w:eastAsia="es-MX"/>
              </w:rPr>
              <w:t>2022</w:t>
            </w:r>
          </w:p>
          <w:p w14:paraId="40004CCD" w14:textId="46680B9C" w:rsidR="00E538FB" w:rsidRPr="009E6D43" w:rsidRDefault="00555F05" w:rsidP="00E538FB">
            <w:pPr>
              <w:jc w:val="center"/>
              <w:rPr>
                <w:b/>
                <w:bCs/>
                <w:smallCaps/>
                <w:sz w:val="16"/>
                <w:szCs w:val="16"/>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763" w:type="dxa"/>
            <w:tcBorders>
              <w:top w:val="nil"/>
              <w:left w:val="nil"/>
              <w:bottom w:val="single" w:sz="4" w:space="0" w:color="1F497D"/>
              <w:right w:val="single" w:sz="4" w:space="0" w:color="1F497D"/>
            </w:tcBorders>
            <w:shd w:val="clear" w:color="000000" w:fill="BDD7EE"/>
            <w:vAlign w:val="center"/>
            <w:hideMark/>
          </w:tcPr>
          <w:p w14:paraId="6554541A" w14:textId="77777777" w:rsidR="00E538FB" w:rsidRPr="009E6D43" w:rsidRDefault="00E538FB" w:rsidP="00E538FB">
            <w:pPr>
              <w:jc w:val="center"/>
              <w:rPr>
                <w:b/>
                <w:bCs/>
                <w:sz w:val="16"/>
                <w:szCs w:val="16"/>
                <w:lang w:val="es-MX" w:eastAsia="es-MX"/>
              </w:rPr>
            </w:pPr>
            <w:r w:rsidRPr="009E6D43">
              <w:rPr>
                <w:b/>
                <w:bCs/>
                <w:sz w:val="16"/>
                <w:szCs w:val="16"/>
                <w:lang w:val="es-MX" w:eastAsia="es-MX"/>
              </w:rPr>
              <w:t>2023</w:t>
            </w:r>
          </w:p>
          <w:p w14:paraId="668F31D5" w14:textId="27922749" w:rsidR="00E538FB" w:rsidRPr="009E6D43" w:rsidRDefault="00555F05" w:rsidP="00E538FB">
            <w:pPr>
              <w:jc w:val="center"/>
              <w:rPr>
                <w:b/>
                <w:bCs/>
                <w:smallCaps/>
                <w:sz w:val="16"/>
                <w:szCs w:val="16"/>
                <w:lang w:val="es-MX" w:eastAsia="es-MX"/>
              </w:rPr>
            </w:pPr>
            <w:proofErr w:type="spellStart"/>
            <w:r w:rsidRPr="009E6D43">
              <w:rPr>
                <w:b/>
                <w:bCs/>
                <w:smallCaps/>
                <w:sz w:val="16"/>
                <w:szCs w:val="16"/>
                <w:lang w:val="es-MX" w:eastAsia="es-MX"/>
              </w:rPr>
              <w:t>enoe</w:t>
            </w:r>
            <w:proofErr w:type="spellEnd"/>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E779EA9" w14:textId="77777777" w:rsidR="00E538FB" w:rsidRPr="009E6D43" w:rsidRDefault="00E538FB" w:rsidP="00E538FB">
            <w:pPr>
              <w:jc w:val="center"/>
              <w:rPr>
                <w:b/>
                <w:bCs/>
                <w:color w:val="000000"/>
                <w:sz w:val="16"/>
                <w:szCs w:val="16"/>
                <w:lang w:val="es-MX" w:eastAsia="es-MX"/>
              </w:rPr>
            </w:pPr>
          </w:p>
        </w:tc>
      </w:tr>
      <w:tr w:rsidR="00C3555C" w:rsidRPr="009E6D43" w14:paraId="5C153F35" w14:textId="77777777" w:rsidTr="006C2D06">
        <w:trPr>
          <w:trHeight w:val="255"/>
          <w:jc w:val="center"/>
        </w:trPr>
        <w:tc>
          <w:tcPr>
            <w:tcW w:w="3850" w:type="dxa"/>
            <w:vMerge/>
            <w:tcBorders>
              <w:top w:val="single" w:sz="4" w:space="0" w:color="1F497D"/>
              <w:left w:val="single" w:sz="4" w:space="0" w:color="1F497D"/>
              <w:bottom w:val="single" w:sz="4" w:space="0" w:color="1F497D"/>
              <w:right w:val="nil"/>
            </w:tcBorders>
            <w:vAlign w:val="center"/>
            <w:hideMark/>
          </w:tcPr>
          <w:p w14:paraId="3A1A5CB1" w14:textId="77777777" w:rsidR="00C3555C" w:rsidRPr="009E6D43"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062D86E" w14:textId="77777777" w:rsidR="00C3555C" w:rsidRPr="009E6D43" w:rsidRDefault="00C3555C" w:rsidP="00C3555C">
            <w:pPr>
              <w:jc w:val="center"/>
              <w:rPr>
                <w:b/>
                <w:bCs/>
                <w:color w:val="000000"/>
                <w:sz w:val="16"/>
                <w:szCs w:val="16"/>
                <w:lang w:val="es-MX" w:eastAsia="es-MX"/>
              </w:rPr>
            </w:pPr>
            <w:r w:rsidRPr="009E6D43">
              <w:rPr>
                <w:b/>
                <w:bCs/>
                <w:color w:val="000000"/>
                <w:sz w:val="16"/>
                <w:szCs w:val="16"/>
                <w:lang w:val="es-MX" w:eastAsia="es-MX"/>
              </w:rPr>
              <w:t>Absolutos</w:t>
            </w:r>
          </w:p>
        </w:tc>
        <w:tc>
          <w:tcPr>
            <w:tcW w:w="2399"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B15BD8B" w14:textId="09636F9E" w:rsidR="00C3555C" w:rsidRPr="009E6D43" w:rsidRDefault="00C3555C" w:rsidP="00C3555C">
            <w:pPr>
              <w:jc w:val="center"/>
              <w:rPr>
                <w:b/>
                <w:bCs/>
                <w:color w:val="000000"/>
                <w:sz w:val="16"/>
                <w:szCs w:val="16"/>
                <w:lang w:val="es-MX" w:eastAsia="es-MX"/>
              </w:rPr>
            </w:pPr>
            <w:proofErr w:type="spellStart"/>
            <w:r w:rsidRPr="009E6D43">
              <w:rPr>
                <w:b/>
                <w:bCs/>
                <w:color w:val="000000"/>
                <w:sz w:val="16"/>
                <w:szCs w:val="16"/>
                <w:lang w:val="es-MX" w:eastAsia="es-MX"/>
              </w:rPr>
              <w:t>Relativos</w:t>
            </w:r>
            <w:r w:rsidR="00F42A10" w:rsidRPr="009E6D43">
              <w:rPr>
                <w:b/>
                <w:bCs/>
                <w:color w:val="000000"/>
                <w:sz w:val="18"/>
                <w:szCs w:val="16"/>
                <w:vertAlign w:val="superscript"/>
                <w:lang w:val="es-MX" w:eastAsia="es-MX"/>
              </w:rPr>
              <w:t>a</w:t>
            </w:r>
            <w:proofErr w:type="spellEnd"/>
            <w:r w:rsidR="00F42A10" w:rsidRPr="009E6D43">
              <w:rPr>
                <w:b/>
                <w:bCs/>
                <w:color w:val="000000"/>
                <w:sz w:val="18"/>
                <w:szCs w:val="16"/>
                <w:vertAlign w:val="superscript"/>
                <w:lang w:val="es-MX" w:eastAsia="es-MX"/>
              </w:rPr>
              <w:t>/</w:t>
            </w:r>
          </w:p>
        </w:tc>
      </w:tr>
      <w:tr w:rsidR="00165DD6" w:rsidRPr="009E6D43" w14:paraId="7B37167A"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3626B98F" w14:textId="77777777" w:rsidR="00165DD6" w:rsidRPr="009E6D43" w:rsidRDefault="00165DD6" w:rsidP="00165DD6">
            <w:pPr>
              <w:jc w:val="left"/>
              <w:rPr>
                <w:b/>
                <w:bCs/>
                <w:sz w:val="16"/>
                <w:szCs w:val="16"/>
                <w:lang w:val="es-MX" w:eastAsia="es-MX"/>
              </w:rPr>
            </w:pPr>
            <w:r w:rsidRPr="009E6D43">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06A96C9C" w14:textId="7642D29A" w:rsidR="00165DD6" w:rsidRPr="009E6D43" w:rsidRDefault="00165DD6" w:rsidP="00165DD6">
            <w:pPr>
              <w:tabs>
                <w:tab w:val="decimal" w:pos="821"/>
              </w:tabs>
              <w:jc w:val="left"/>
              <w:rPr>
                <w:b/>
                <w:bCs/>
                <w:color w:val="000000"/>
                <w:sz w:val="16"/>
                <w:szCs w:val="16"/>
                <w:highlight w:val="yellow"/>
                <w:lang w:val="es-MX" w:eastAsia="es-MX"/>
              </w:rPr>
            </w:pPr>
            <w:r w:rsidRPr="009E6D43">
              <w:rPr>
                <w:b/>
                <w:bCs/>
                <w:color w:val="000000"/>
                <w:sz w:val="16"/>
                <w:szCs w:val="16"/>
              </w:rPr>
              <w:t xml:space="preserve"> 57 949 976</w:t>
            </w:r>
          </w:p>
        </w:tc>
        <w:tc>
          <w:tcPr>
            <w:tcW w:w="1020" w:type="dxa"/>
            <w:tcBorders>
              <w:top w:val="nil"/>
              <w:left w:val="nil"/>
              <w:bottom w:val="nil"/>
              <w:right w:val="nil"/>
            </w:tcBorders>
            <w:shd w:val="clear" w:color="auto" w:fill="auto"/>
            <w:noWrap/>
            <w:vAlign w:val="center"/>
          </w:tcPr>
          <w:p w14:paraId="2CB83EFE" w14:textId="2C650F0F" w:rsidR="00165DD6" w:rsidRPr="009E6D43" w:rsidRDefault="00165DD6" w:rsidP="00165DD6">
            <w:pPr>
              <w:tabs>
                <w:tab w:val="decimal" w:pos="836"/>
              </w:tabs>
              <w:jc w:val="left"/>
              <w:rPr>
                <w:b/>
                <w:bCs/>
                <w:color w:val="000000"/>
                <w:sz w:val="16"/>
                <w:szCs w:val="16"/>
              </w:rPr>
            </w:pPr>
            <w:r w:rsidRPr="009E6D43">
              <w:rPr>
                <w:b/>
                <w:bCs/>
                <w:color w:val="000000"/>
                <w:sz w:val="16"/>
                <w:szCs w:val="16"/>
              </w:rPr>
              <w:t xml:space="preserve"> 59 146 415</w:t>
            </w:r>
          </w:p>
        </w:tc>
        <w:tc>
          <w:tcPr>
            <w:tcW w:w="1013" w:type="dxa"/>
            <w:tcBorders>
              <w:top w:val="nil"/>
              <w:left w:val="nil"/>
              <w:bottom w:val="nil"/>
              <w:right w:val="single" w:sz="4" w:space="0" w:color="1F497D"/>
            </w:tcBorders>
            <w:shd w:val="clear" w:color="auto" w:fill="auto"/>
            <w:noWrap/>
            <w:vAlign w:val="center"/>
          </w:tcPr>
          <w:p w14:paraId="33555118" w14:textId="51D3314D" w:rsidR="00165DD6" w:rsidRPr="009E6D43" w:rsidRDefault="00165DD6" w:rsidP="00165DD6">
            <w:pPr>
              <w:tabs>
                <w:tab w:val="decimal" w:pos="839"/>
              </w:tabs>
              <w:jc w:val="left"/>
              <w:rPr>
                <w:b/>
                <w:bCs/>
                <w:color w:val="000000"/>
                <w:sz w:val="16"/>
                <w:szCs w:val="16"/>
                <w:highlight w:val="yellow"/>
                <w:lang w:val="es-MX" w:eastAsia="es-MX"/>
              </w:rPr>
            </w:pPr>
            <w:r w:rsidRPr="009E6D43">
              <w:rPr>
                <w:b/>
                <w:bCs/>
                <w:color w:val="000000"/>
                <w:sz w:val="16"/>
                <w:szCs w:val="16"/>
              </w:rPr>
              <w:t xml:space="preserve"> 1 196 439</w:t>
            </w:r>
          </w:p>
        </w:tc>
        <w:tc>
          <w:tcPr>
            <w:tcW w:w="720" w:type="dxa"/>
            <w:tcBorders>
              <w:top w:val="nil"/>
              <w:left w:val="nil"/>
              <w:bottom w:val="nil"/>
              <w:right w:val="nil"/>
            </w:tcBorders>
            <w:shd w:val="clear" w:color="auto" w:fill="auto"/>
            <w:noWrap/>
            <w:vAlign w:val="center"/>
          </w:tcPr>
          <w:p w14:paraId="6B14CFBF" w14:textId="4B9E62E3" w:rsidR="00165DD6" w:rsidRPr="009E6D43" w:rsidRDefault="00165DD6" w:rsidP="00165DD6">
            <w:pPr>
              <w:tabs>
                <w:tab w:val="decimal" w:pos="357"/>
              </w:tabs>
              <w:jc w:val="left"/>
              <w:rPr>
                <w:b/>
                <w:bCs/>
                <w:color w:val="000000"/>
                <w:sz w:val="16"/>
                <w:szCs w:val="16"/>
                <w:highlight w:val="yellow"/>
                <w:lang w:val="es-MX" w:eastAsia="es-MX"/>
              </w:rPr>
            </w:pPr>
            <w:r w:rsidRPr="009E6D43">
              <w:rPr>
                <w:b/>
                <w:bCs/>
                <w:color w:val="000000"/>
                <w:sz w:val="16"/>
                <w:szCs w:val="16"/>
              </w:rPr>
              <w:t>100.0</w:t>
            </w:r>
          </w:p>
        </w:tc>
        <w:tc>
          <w:tcPr>
            <w:tcW w:w="763" w:type="dxa"/>
            <w:tcBorders>
              <w:top w:val="nil"/>
              <w:left w:val="nil"/>
              <w:bottom w:val="nil"/>
              <w:right w:val="nil"/>
            </w:tcBorders>
            <w:shd w:val="clear" w:color="auto" w:fill="auto"/>
            <w:noWrap/>
            <w:vAlign w:val="center"/>
          </w:tcPr>
          <w:p w14:paraId="1872BDE9" w14:textId="5E0CBFE2" w:rsidR="00165DD6" w:rsidRPr="009E6D43" w:rsidRDefault="00165DD6" w:rsidP="00165DD6">
            <w:pPr>
              <w:tabs>
                <w:tab w:val="decimal" w:pos="357"/>
              </w:tabs>
              <w:jc w:val="left"/>
              <w:rPr>
                <w:b/>
                <w:bCs/>
                <w:color w:val="000000"/>
                <w:sz w:val="16"/>
                <w:szCs w:val="16"/>
                <w:highlight w:val="yellow"/>
                <w:lang w:val="es-MX" w:eastAsia="es-MX"/>
              </w:rPr>
            </w:pPr>
            <w:r w:rsidRPr="009E6D43">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4EC604D" w14:textId="2E01CE15" w:rsidR="00165DD6" w:rsidRPr="009E6D43" w:rsidRDefault="00165DD6" w:rsidP="00165DD6">
            <w:pPr>
              <w:tabs>
                <w:tab w:val="decimal" w:pos="357"/>
              </w:tabs>
              <w:jc w:val="left"/>
              <w:rPr>
                <w:b/>
                <w:bCs/>
                <w:color w:val="000000"/>
                <w:sz w:val="16"/>
                <w:szCs w:val="16"/>
                <w:highlight w:val="yellow"/>
                <w:lang w:val="es-MX" w:eastAsia="es-MX"/>
              </w:rPr>
            </w:pPr>
            <w:r w:rsidRPr="009E6D43">
              <w:rPr>
                <w:b/>
                <w:bCs/>
                <w:color w:val="000000"/>
                <w:sz w:val="16"/>
                <w:szCs w:val="16"/>
              </w:rPr>
              <w:t> </w:t>
            </w:r>
          </w:p>
        </w:tc>
      </w:tr>
      <w:tr w:rsidR="00165DD6" w:rsidRPr="009E6D43" w14:paraId="37DD96B5"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0B66427B"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6D111B68" w14:textId="76CD6850" w:rsidR="00165DD6" w:rsidRPr="009E6D43" w:rsidRDefault="00165DD6" w:rsidP="00165DD6">
            <w:pPr>
              <w:tabs>
                <w:tab w:val="decimal" w:pos="821"/>
              </w:tabs>
              <w:jc w:val="left"/>
              <w:rPr>
                <w:color w:val="000000"/>
                <w:sz w:val="16"/>
                <w:szCs w:val="16"/>
                <w:highlight w:val="yellow"/>
                <w:lang w:val="es-MX" w:eastAsia="es-MX"/>
              </w:rPr>
            </w:pPr>
            <w:r w:rsidRPr="009E6D43">
              <w:rPr>
                <w:color w:val="000000"/>
                <w:sz w:val="16"/>
                <w:szCs w:val="16"/>
              </w:rPr>
              <w:t xml:space="preserve"> 39 295 532</w:t>
            </w:r>
          </w:p>
        </w:tc>
        <w:tc>
          <w:tcPr>
            <w:tcW w:w="1020" w:type="dxa"/>
            <w:tcBorders>
              <w:top w:val="nil"/>
              <w:left w:val="nil"/>
              <w:bottom w:val="nil"/>
              <w:right w:val="nil"/>
            </w:tcBorders>
            <w:shd w:val="clear" w:color="auto" w:fill="auto"/>
            <w:noWrap/>
            <w:vAlign w:val="center"/>
          </w:tcPr>
          <w:p w14:paraId="445563DC" w14:textId="2E0C9059" w:rsidR="00165DD6" w:rsidRPr="009E6D43" w:rsidRDefault="00165DD6" w:rsidP="00165DD6">
            <w:pPr>
              <w:tabs>
                <w:tab w:val="decimal" w:pos="836"/>
              </w:tabs>
              <w:jc w:val="left"/>
              <w:rPr>
                <w:bCs/>
                <w:color w:val="000000"/>
                <w:sz w:val="16"/>
                <w:szCs w:val="16"/>
              </w:rPr>
            </w:pPr>
            <w:r w:rsidRPr="009E6D43">
              <w:rPr>
                <w:color w:val="000000"/>
                <w:sz w:val="16"/>
                <w:szCs w:val="16"/>
              </w:rPr>
              <w:t xml:space="preserve"> 41 391 975</w:t>
            </w:r>
          </w:p>
        </w:tc>
        <w:tc>
          <w:tcPr>
            <w:tcW w:w="1013" w:type="dxa"/>
            <w:tcBorders>
              <w:top w:val="nil"/>
              <w:left w:val="nil"/>
              <w:bottom w:val="nil"/>
              <w:right w:val="single" w:sz="4" w:space="0" w:color="1F497D"/>
            </w:tcBorders>
            <w:shd w:val="clear" w:color="auto" w:fill="auto"/>
            <w:noWrap/>
            <w:vAlign w:val="center"/>
          </w:tcPr>
          <w:p w14:paraId="1AE4CB29" w14:textId="328B24B0" w:rsidR="00165DD6" w:rsidRPr="009E6D43" w:rsidRDefault="00165DD6" w:rsidP="00165DD6">
            <w:pPr>
              <w:tabs>
                <w:tab w:val="decimal" w:pos="839"/>
              </w:tabs>
              <w:jc w:val="left"/>
              <w:rPr>
                <w:color w:val="000000"/>
                <w:sz w:val="16"/>
                <w:szCs w:val="16"/>
                <w:highlight w:val="yellow"/>
                <w:lang w:val="es-MX" w:eastAsia="es-MX"/>
              </w:rPr>
            </w:pPr>
            <w:r w:rsidRPr="009E6D43">
              <w:rPr>
                <w:color w:val="000000"/>
                <w:sz w:val="16"/>
                <w:szCs w:val="16"/>
              </w:rPr>
              <w:t xml:space="preserve"> 2 096 443</w:t>
            </w:r>
          </w:p>
        </w:tc>
        <w:tc>
          <w:tcPr>
            <w:tcW w:w="720" w:type="dxa"/>
            <w:tcBorders>
              <w:top w:val="nil"/>
              <w:left w:val="nil"/>
              <w:bottom w:val="nil"/>
              <w:right w:val="nil"/>
            </w:tcBorders>
            <w:shd w:val="clear" w:color="auto" w:fill="auto"/>
            <w:noWrap/>
            <w:vAlign w:val="center"/>
          </w:tcPr>
          <w:p w14:paraId="5652AE5F" w14:textId="0C7AA216"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67.8</w:t>
            </w:r>
          </w:p>
        </w:tc>
        <w:tc>
          <w:tcPr>
            <w:tcW w:w="763" w:type="dxa"/>
            <w:tcBorders>
              <w:top w:val="nil"/>
              <w:left w:val="nil"/>
              <w:bottom w:val="nil"/>
              <w:right w:val="nil"/>
            </w:tcBorders>
            <w:shd w:val="clear" w:color="auto" w:fill="auto"/>
            <w:noWrap/>
            <w:vAlign w:val="center"/>
          </w:tcPr>
          <w:p w14:paraId="3CF8617B" w14:textId="02A04E4C"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70.0</w:t>
            </w:r>
          </w:p>
        </w:tc>
        <w:tc>
          <w:tcPr>
            <w:tcW w:w="916" w:type="dxa"/>
            <w:tcBorders>
              <w:top w:val="nil"/>
              <w:left w:val="nil"/>
              <w:bottom w:val="nil"/>
              <w:right w:val="single" w:sz="4" w:space="0" w:color="1F497D"/>
            </w:tcBorders>
            <w:shd w:val="clear" w:color="auto" w:fill="auto"/>
            <w:noWrap/>
            <w:vAlign w:val="center"/>
          </w:tcPr>
          <w:p w14:paraId="1FC085E6" w14:textId="218E1817" w:rsidR="00165DD6" w:rsidRPr="009E6D43" w:rsidRDefault="00165DD6" w:rsidP="00165DD6">
            <w:pPr>
              <w:tabs>
                <w:tab w:val="decimal" w:pos="389"/>
              </w:tabs>
              <w:jc w:val="left"/>
              <w:rPr>
                <w:color w:val="000000"/>
                <w:sz w:val="16"/>
                <w:szCs w:val="16"/>
                <w:highlight w:val="yellow"/>
                <w:lang w:val="es-MX" w:eastAsia="es-MX"/>
              </w:rPr>
            </w:pPr>
            <w:r w:rsidRPr="009E6D43">
              <w:rPr>
                <w:color w:val="000000"/>
                <w:sz w:val="16"/>
                <w:szCs w:val="16"/>
              </w:rPr>
              <w:t>2.2</w:t>
            </w:r>
          </w:p>
        </w:tc>
      </w:tr>
      <w:tr w:rsidR="00165DD6" w:rsidRPr="009E6D43" w14:paraId="68F4157B"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4AEB628A"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4330183B" w14:textId="023D931A" w:rsidR="00165DD6" w:rsidRPr="009E6D43" w:rsidRDefault="00165DD6" w:rsidP="00165DD6">
            <w:pPr>
              <w:tabs>
                <w:tab w:val="decimal" w:pos="821"/>
              </w:tabs>
              <w:jc w:val="left"/>
              <w:rPr>
                <w:color w:val="000000"/>
                <w:sz w:val="16"/>
                <w:szCs w:val="16"/>
                <w:highlight w:val="yellow"/>
                <w:lang w:val="es-MX" w:eastAsia="es-MX"/>
              </w:rPr>
            </w:pPr>
            <w:r w:rsidRPr="009E6D43">
              <w:rPr>
                <w:color w:val="000000"/>
                <w:sz w:val="16"/>
                <w:szCs w:val="16"/>
              </w:rPr>
              <w:t xml:space="preserve"> 2 900 997</w:t>
            </w:r>
          </w:p>
        </w:tc>
        <w:tc>
          <w:tcPr>
            <w:tcW w:w="1020" w:type="dxa"/>
            <w:tcBorders>
              <w:top w:val="nil"/>
              <w:left w:val="nil"/>
              <w:bottom w:val="nil"/>
              <w:right w:val="nil"/>
            </w:tcBorders>
            <w:shd w:val="clear" w:color="auto" w:fill="auto"/>
            <w:noWrap/>
            <w:vAlign w:val="center"/>
          </w:tcPr>
          <w:p w14:paraId="271E6FF1" w14:textId="49B868A7" w:rsidR="00165DD6" w:rsidRPr="009E6D43" w:rsidRDefault="00165DD6" w:rsidP="00165DD6">
            <w:pPr>
              <w:tabs>
                <w:tab w:val="decimal" w:pos="836"/>
              </w:tabs>
              <w:jc w:val="left"/>
              <w:rPr>
                <w:bCs/>
                <w:color w:val="000000"/>
                <w:sz w:val="16"/>
                <w:szCs w:val="16"/>
              </w:rPr>
            </w:pPr>
            <w:r w:rsidRPr="009E6D43">
              <w:rPr>
                <w:color w:val="000000"/>
                <w:sz w:val="16"/>
                <w:szCs w:val="16"/>
              </w:rPr>
              <w:t xml:space="preserve"> 2 820 011</w:t>
            </w:r>
          </w:p>
        </w:tc>
        <w:tc>
          <w:tcPr>
            <w:tcW w:w="1013" w:type="dxa"/>
            <w:tcBorders>
              <w:top w:val="nil"/>
              <w:left w:val="nil"/>
              <w:bottom w:val="nil"/>
              <w:right w:val="single" w:sz="4" w:space="0" w:color="1F497D"/>
            </w:tcBorders>
            <w:shd w:val="clear" w:color="auto" w:fill="auto"/>
            <w:noWrap/>
            <w:vAlign w:val="center"/>
          </w:tcPr>
          <w:p w14:paraId="55B94897" w14:textId="361330A2" w:rsidR="00165DD6" w:rsidRPr="009E6D43" w:rsidRDefault="00165DD6" w:rsidP="00165DD6">
            <w:pPr>
              <w:tabs>
                <w:tab w:val="decimal" w:pos="839"/>
              </w:tabs>
              <w:jc w:val="left"/>
              <w:rPr>
                <w:color w:val="000000"/>
                <w:sz w:val="16"/>
                <w:szCs w:val="16"/>
                <w:highlight w:val="yellow"/>
                <w:lang w:val="es-MX" w:eastAsia="es-MX"/>
              </w:rPr>
            </w:pPr>
            <w:r w:rsidRPr="009E6D43">
              <w:rPr>
                <w:color w:val="000000"/>
                <w:sz w:val="16"/>
                <w:szCs w:val="16"/>
              </w:rPr>
              <w:t>-80 986</w:t>
            </w:r>
          </w:p>
        </w:tc>
        <w:tc>
          <w:tcPr>
            <w:tcW w:w="720" w:type="dxa"/>
            <w:tcBorders>
              <w:top w:val="nil"/>
              <w:left w:val="nil"/>
              <w:bottom w:val="nil"/>
              <w:right w:val="nil"/>
            </w:tcBorders>
            <w:shd w:val="clear" w:color="auto" w:fill="auto"/>
            <w:noWrap/>
            <w:vAlign w:val="center"/>
          </w:tcPr>
          <w:p w14:paraId="4022B31B" w14:textId="66B16CD4"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5.0</w:t>
            </w:r>
          </w:p>
        </w:tc>
        <w:tc>
          <w:tcPr>
            <w:tcW w:w="763" w:type="dxa"/>
            <w:tcBorders>
              <w:top w:val="nil"/>
              <w:left w:val="nil"/>
              <w:bottom w:val="nil"/>
              <w:right w:val="nil"/>
            </w:tcBorders>
            <w:shd w:val="clear" w:color="auto" w:fill="auto"/>
            <w:noWrap/>
            <w:vAlign w:val="center"/>
          </w:tcPr>
          <w:p w14:paraId="0E3DDC04" w14:textId="4F590D45"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4.8</w:t>
            </w:r>
          </w:p>
        </w:tc>
        <w:tc>
          <w:tcPr>
            <w:tcW w:w="916" w:type="dxa"/>
            <w:tcBorders>
              <w:top w:val="nil"/>
              <w:left w:val="nil"/>
              <w:bottom w:val="nil"/>
              <w:right w:val="single" w:sz="4" w:space="0" w:color="1F497D"/>
            </w:tcBorders>
            <w:shd w:val="clear" w:color="auto" w:fill="auto"/>
            <w:noWrap/>
            <w:vAlign w:val="center"/>
          </w:tcPr>
          <w:p w14:paraId="762E4AAF" w14:textId="21126889" w:rsidR="00165DD6" w:rsidRPr="009E6D43" w:rsidRDefault="00165DD6" w:rsidP="00165DD6">
            <w:pPr>
              <w:tabs>
                <w:tab w:val="decimal" w:pos="389"/>
              </w:tabs>
              <w:jc w:val="left"/>
              <w:rPr>
                <w:color w:val="000000"/>
                <w:sz w:val="16"/>
                <w:szCs w:val="16"/>
                <w:highlight w:val="yellow"/>
                <w:lang w:val="es-MX" w:eastAsia="es-MX"/>
              </w:rPr>
            </w:pPr>
            <w:r w:rsidRPr="009E6D43">
              <w:rPr>
                <w:color w:val="000000"/>
                <w:sz w:val="16"/>
                <w:szCs w:val="16"/>
              </w:rPr>
              <w:t>-0.2</w:t>
            </w:r>
          </w:p>
        </w:tc>
      </w:tr>
      <w:tr w:rsidR="00165DD6" w:rsidRPr="009E6D43" w14:paraId="058FF04D"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76E8FDE6"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6361682C" w14:textId="0CB027D8" w:rsidR="00165DD6" w:rsidRPr="009E6D43" w:rsidRDefault="00165DD6" w:rsidP="00165DD6">
            <w:pPr>
              <w:tabs>
                <w:tab w:val="decimal" w:pos="821"/>
              </w:tabs>
              <w:jc w:val="left"/>
              <w:rPr>
                <w:color w:val="000000"/>
                <w:sz w:val="16"/>
                <w:szCs w:val="16"/>
                <w:highlight w:val="yellow"/>
                <w:lang w:val="es-MX" w:eastAsia="es-MX"/>
              </w:rPr>
            </w:pPr>
            <w:r w:rsidRPr="009E6D43">
              <w:rPr>
                <w:color w:val="000000"/>
                <w:sz w:val="16"/>
                <w:szCs w:val="16"/>
              </w:rPr>
              <w:t xml:space="preserve"> 13 249 246</w:t>
            </w:r>
          </w:p>
        </w:tc>
        <w:tc>
          <w:tcPr>
            <w:tcW w:w="1020" w:type="dxa"/>
            <w:tcBorders>
              <w:top w:val="nil"/>
              <w:left w:val="nil"/>
              <w:bottom w:val="nil"/>
              <w:right w:val="nil"/>
            </w:tcBorders>
            <w:shd w:val="clear" w:color="auto" w:fill="auto"/>
            <w:noWrap/>
            <w:vAlign w:val="center"/>
          </w:tcPr>
          <w:p w14:paraId="2AE6577F" w14:textId="48BF6F9C" w:rsidR="00165DD6" w:rsidRPr="009E6D43" w:rsidRDefault="00165DD6" w:rsidP="00165DD6">
            <w:pPr>
              <w:tabs>
                <w:tab w:val="decimal" w:pos="836"/>
              </w:tabs>
              <w:jc w:val="left"/>
              <w:rPr>
                <w:bCs/>
                <w:color w:val="000000"/>
                <w:sz w:val="16"/>
                <w:szCs w:val="16"/>
              </w:rPr>
            </w:pPr>
            <w:r w:rsidRPr="009E6D43">
              <w:rPr>
                <w:color w:val="000000"/>
                <w:sz w:val="16"/>
                <w:szCs w:val="16"/>
              </w:rPr>
              <w:t xml:space="preserve"> 12 850 848</w:t>
            </w:r>
          </w:p>
        </w:tc>
        <w:tc>
          <w:tcPr>
            <w:tcW w:w="1013" w:type="dxa"/>
            <w:tcBorders>
              <w:top w:val="nil"/>
              <w:left w:val="nil"/>
              <w:bottom w:val="nil"/>
              <w:right w:val="single" w:sz="4" w:space="0" w:color="1F497D"/>
            </w:tcBorders>
            <w:shd w:val="clear" w:color="auto" w:fill="auto"/>
            <w:noWrap/>
            <w:vAlign w:val="center"/>
          </w:tcPr>
          <w:p w14:paraId="61B7721C" w14:textId="1C7A0884" w:rsidR="00165DD6" w:rsidRPr="009E6D43" w:rsidRDefault="00165DD6" w:rsidP="00165DD6">
            <w:pPr>
              <w:tabs>
                <w:tab w:val="decimal" w:pos="839"/>
              </w:tabs>
              <w:jc w:val="left"/>
              <w:rPr>
                <w:color w:val="000000"/>
                <w:sz w:val="16"/>
                <w:szCs w:val="16"/>
                <w:highlight w:val="yellow"/>
                <w:lang w:val="es-MX" w:eastAsia="es-MX"/>
              </w:rPr>
            </w:pPr>
            <w:r w:rsidRPr="009E6D43">
              <w:rPr>
                <w:color w:val="000000"/>
                <w:sz w:val="16"/>
                <w:szCs w:val="16"/>
              </w:rPr>
              <w:t>-398 398</w:t>
            </w:r>
          </w:p>
        </w:tc>
        <w:tc>
          <w:tcPr>
            <w:tcW w:w="720" w:type="dxa"/>
            <w:tcBorders>
              <w:top w:val="nil"/>
              <w:left w:val="nil"/>
              <w:bottom w:val="nil"/>
              <w:right w:val="nil"/>
            </w:tcBorders>
            <w:shd w:val="clear" w:color="auto" w:fill="auto"/>
            <w:noWrap/>
            <w:vAlign w:val="center"/>
          </w:tcPr>
          <w:p w14:paraId="55A1873E" w14:textId="332C4CE9"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22.9</w:t>
            </w:r>
          </w:p>
        </w:tc>
        <w:tc>
          <w:tcPr>
            <w:tcW w:w="763" w:type="dxa"/>
            <w:tcBorders>
              <w:top w:val="nil"/>
              <w:left w:val="nil"/>
              <w:bottom w:val="nil"/>
              <w:right w:val="nil"/>
            </w:tcBorders>
            <w:shd w:val="clear" w:color="auto" w:fill="auto"/>
            <w:noWrap/>
            <w:vAlign w:val="center"/>
          </w:tcPr>
          <w:p w14:paraId="30CE4505" w14:textId="27AC0FC6"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21.7</w:t>
            </w:r>
          </w:p>
        </w:tc>
        <w:tc>
          <w:tcPr>
            <w:tcW w:w="916" w:type="dxa"/>
            <w:tcBorders>
              <w:top w:val="nil"/>
              <w:left w:val="nil"/>
              <w:bottom w:val="nil"/>
              <w:right w:val="single" w:sz="4" w:space="0" w:color="1F497D"/>
            </w:tcBorders>
            <w:shd w:val="clear" w:color="auto" w:fill="auto"/>
            <w:noWrap/>
            <w:vAlign w:val="center"/>
          </w:tcPr>
          <w:p w14:paraId="743A8F14" w14:textId="24B10FD5" w:rsidR="00165DD6" w:rsidRPr="009E6D43" w:rsidRDefault="00165DD6" w:rsidP="00165DD6">
            <w:pPr>
              <w:tabs>
                <w:tab w:val="decimal" w:pos="389"/>
              </w:tabs>
              <w:jc w:val="left"/>
              <w:rPr>
                <w:color w:val="000000"/>
                <w:sz w:val="16"/>
                <w:szCs w:val="16"/>
                <w:highlight w:val="yellow"/>
                <w:lang w:val="es-MX" w:eastAsia="es-MX"/>
              </w:rPr>
            </w:pPr>
            <w:r w:rsidRPr="009E6D43">
              <w:rPr>
                <w:color w:val="000000"/>
                <w:sz w:val="16"/>
                <w:szCs w:val="16"/>
              </w:rPr>
              <w:t>-1.1</w:t>
            </w:r>
          </w:p>
        </w:tc>
      </w:tr>
      <w:tr w:rsidR="00165DD6" w:rsidRPr="009E6D43" w14:paraId="1A45596B"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7E025B2A"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3B704601" w14:textId="52450C5A" w:rsidR="00165DD6" w:rsidRPr="009E6D43" w:rsidRDefault="00165DD6" w:rsidP="00165DD6">
            <w:pPr>
              <w:tabs>
                <w:tab w:val="decimal" w:pos="821"/>
              </w:tabs>
              <w:jc w:val="left"/>
              <w:rPr>
                <w:color w:val="000000"/>
                <w:sz w:val="16"/>
                <w:szCs w:val="16"/>
                <w:highlight w:val="yellow"/>
                <w:lang w:val="es-MX" w:eastAsia="es-MX"/>
              </w:rPr>
            </w:pPr>
            <w:r w:rsidRPr="009E6D43">
              <w:rPr>
                <w:color w:val="000000"/>
                <w:sz w:val="16"/>
                <w:szCs w:val="16"/>
              </w:rPr>
              <w:t xml:space="preserve"> 2 504 201</w:t>
            </w:r>
          </w:p>
        </w:tc>
        <w:tc>
          <w:tcPr>
            <w:tcW w:w="1020" w:type="dxa"/>
            <w:tcBorders>
              <w:top w:val="nil"/>
              <w:left w:val="nil"/>
              <w:bottom w:val="nil"/>
              <w:right w:val="nil"/>
            </w:tcBorders>
            <w:shd w:val="clear" w:color="auto" w:fill="auto"/>
            <w:noWrap/>
            <w:vAlign w:val="center"/>
          </w:tcPr>
          <w:p w14:paraId="5D3A75FE" w14:textId="613012F5" w:rsidR="00165DD6" w:rsidRPr="009E6D43" w:rsidRDefault="00165DD6" w:rsidP="00165DD6">
            <w:pPr>
              <w:tabs>
                <w:tab w:val="decimal" w:pos="836"/>
              </w:tabs>
              <w:jc w:val="left"/>
              <w:rPr>
                <w:bCs/>
                <w:color w:val="000000"/>
                <w:sz w:val="16"/>
                <w:szCs w:val="16"/>
              </w:rPr>
            </w:pPr>
            <w:r w:rsidRPr="009E6D43">
              <w:rPr>
                <w:color w:val="000000"/>
                <w:sz w:val="16"/>
                <w:szCs w:val="16"/>
              </w:rPr>
              <w:t xml:space="preserve"> 2 083 581</w:t>
            </w:r>
          </w:p>
        </w:tc>
        <w:tc>
          <w:tcPr>
            <w:tcW w:w="1013" w:type="dxa"/>
            <w:tcBorders>
              <w:top w:val="nil"/>
              <w:left w:val="nil"/>
              <w:bottom w:val="nil"/>
              <w:right w:val="single" w:sz="4" w:space="0" w:color="1F497D"/>
            </w:tcBorders>
            <w:shd w:val="clear" w:color="auto" w:fill="auto"/>
            <w:noWrap/>
            <w:vAlign w:val="center"/>
          </w:tcPr>
          <w:p w14:paraId="26CD851D" w14:textId="16A427F2" w:rsidR="00165DD6" w:rsidRPr="009E6D43" w:rsidRDefault="00165DD6" w:rsidP="00165DD6">
            <w:pPr>
              <w:tabs>
                <w:tab w:val="decimal" w:pos="839"/>
              </w:tabs>
              <w:jc w:val="left"/>
              <w:rPr>
                <w:color w:val="000000"/>
                <w:sz w:val="16"/>
                <w:szCs w:val="16"/>
                <w:highlight w:val="yellow"/>
                <w:lang w:val="es-MX" w:eastAsia="es-MX"/>
              </w:rPr>
            </w:pPr>
            <w:r w:rsidRPr="009E6D43">
              <w:rPr>
                <w:color w:val="000000"/>
                <w:sz w:val="16"/>
                <w:szCs w:val="16"/>
              </w:rPr>
              <w:t>-420 620</w:t>
            </w:r>
          </w:p>
        </w:tc>
        <w:tc>
          <w:tcPr>
            <w:tcW w:w="720" w:type="dxa"/>
            <w:tcBorders>
              <w:top w:val="nil"/>
              <w:left w:val="nil"/>
              <w:bottom w:val="nil"/>
              <w:right w:val="nil"/>
            </w:tcBorders>
            <w:shd w:val="clear" w:color="auto" w:fill="auto"/>
            <w:noWrap/>
            <w:vAlign w:val="center"/>
          </w:tcPr>
          <w:p w14:paraId="35787C55" w14:textId="54F77D10"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4.3</w:t>
            </w:r>
          </w:p>
        </w:tc>
        <w:tc>
          <w:tcPr>
            <w:tcW w:w="763" w:type="dxa"/>
            <w:tcBorders>
              <w:top w:val="nil"/>
              <w:left w:val="nil"/>
              <w:bottom w:val="nil"/>
              <w:right w:val="nil"/>
            </w:tcBorders>
            <w:shd w:val="clear" w:color="auto" w:fill="auto"/>
            <w:noWrap/>
            <w:vAlign w:val="center"/>
          </w:tcPr>
          <w:p w14:paraId="6A4697B4" w14:textId="65810ADF"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3.5</w:t>
            </w:r>
          </w:p>
        </w:tc>
        <w:tc>
          <w:tcPr>
            <w:tcW w:w="916" w:type="dxa"/>
            <w:tcBorders>
              <w:top w:val="nil"/>
              <w:left w:val="nil"/>
              <w:bottom w:val="nil"/>
              <w:right w:val="single" w:sz="4" w:space="0" w:color="1F497D"/>
            </w:tcBorders>
            <w:shd w:val="clear" w:color="auto" w:fill="auto"/>
            <w:noWrap/>
            <w:vAlign w:val="center"/>
          </w:tcPr>
          <w:p w14:paraId="3136B187" w14:textId="46AD0085" w:rsidR="00165DD6" w:rsidRPr="009E6D43" w:rsidRDefault="00165DD6" w:rsidP="00165DD6">
            <w:pPr>
              <w:tabs>
                <w:tab w:val="decimal" w:pos="389"/>
              </w:tabs>
              <w:jc w:val="left"/>
              <w:rPr>
                <w:color w:val="000000"/>
                <w:sz w:val="16"/>
                <w:szCs w:val="16"/>
                <w:highlight w:val="yellow"/>
                <w:lang w:val="es-MX" w:eastAsia="es-MX"/>
              </w:rPr>
            </w:pPr>
            <w:r w:rsidRPr="009E6D43">
              <w:rPr>
                <w:color w:val="000000"/>
                <w:sz w:val="16"/>
                <w:szCs w:val="16"/>
              </w:rPr>
              <w:t>-0.8</w:t>
            </w:r>
          </w:p>
        </w:tc>
      </w:tr>
      <w:tr w:rsidR="00165DD6" w:rsidRPr="009E6D43" w14:paraId="06023F8F"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71841B62" w14:textId="77777777" w:rsidR="00165DD6" w:rsidRPr="009E6D43" w:rsidRDefault="00165DD6" w:rsidP="00165DD6">
            <w:pPr>
              <w:jc w:val="left"/>
              <w:rPr>
                <w:b/>
                <w:bCs/>
                <w:sz w:val="16"/>
                <w:szCs w:val="16"/>
                <w:lang w:val="es-MX" w:eastAsia="es-MX"/>
              </w:rPr>
            </w:pPr>
            <w:r w:rsidRPr="009E6D43">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41B83AC" w14:textId="0CC51E15" w:rsidR="00165DD6" w:rsidRPr="009E6D43" w:rsidRDefault="00165DD6" w:rsidP="00165DD6">
            <w:pPr>
              <w:tabs>
                <w:tab w:val="decimal" w:pos="821"/>
              </w:tabs>
              <w:jc w:val="left"/>
              <w:rPr>
                <w:b/>
                <w:bCs/>
                <w:color w:val="000000"/>
                <w:sz w:val="16"/>
                <w:szCs w:val="16"/>
                <w:highlight w:val="yellow"/>
                <w:lang w:val="es-MX" w:eastAsia="es-MX"/>
              </w:rPr>
            </w:pPr>
            <w:r w:rsidRPr="009E6D43">
              <w:rPr>
                <w:b/>
                <w:bCs/>
                <w:color w:val="000000"/>
                <w:sz w:val="16"/>
                <w:szCs w:val="16"/>
              </w:rPr>
              <w:t xml:space="preserve"> 57 949 976</w:t>
            </w:r>
          </w:p>
        </w:tc>
        <w:tc>
          <w:tcPr>
            <w:tcW w:w="1020" w:type="dxa"/>
            <w:tcBorders>
              <w:top w:val="nil"/>
              <w:left w:val="nil"/>
              <w:bottom w:val="nil"/>
              <w:right w:val="nil"/>
            </w:tcBorders>
            <w:shd w:val="clear" w:color="auto" w:fill="auto"/>
            <w:noWrap/>
            <w:vAlign w:val="center"/>
          </w:tcPr>
          <w:p w14:paraId="5E974E1A" w14:textId="3B9CAD57" w:rsidR="00165DD6" w:rsidRPr="009E6D43" w:rsidRDefault="00165DD6" w:rsidP="00165DD6">
            <w:pPr>
              <w:tabs>
                <w:tab w:val="decimal" w:pos="836"/>
              </w:tabs>
              <w:jc w:val="left"/>
              <w:rPr>
                <w:b/>
                <w:bCs/>
                <w:color w:val="000000"/>
                <w:sz w:val="16"/>
                <w:szCs w:val="16"/>
              </w:rPr>
            </w:pPr>
            <w:r w:rsidRPr="009E6D43">
              <w:rPr>
                <w:b/>
                <w:bCs/>
                <w:color w:val="000000"/>
                <w:sz w:val="16"/>
                <w:szCs w:val="16"/>
              </w:rPr>
              <w:t xml:space="preserve"> 59 146 415</w:t>
            </w:r>
          </w:p>
        </w:tc>
        <w:tc>
          <w:tcPr>
            <w:tcW w:w="1013" w:type="dxa"/>
            <w:tcBorders>
              <w:top w:val="nil"/>
              <w:left w:val="nil"/>
              <w:bottom w:val="nil"/>
              <w:right w:val="single" w:sz="4" w:space="0" w:color="1F497D"/>
            </w:tcBorders>
            <w:shd w:val="clear" w:color="auto" w:fill="auto"/>
            <w:noWrap/>
            <w:vAlign w:val="center"/>
          </w:tcPr>
          <w:p w14:paraId="6D9C1595" w14:textId="5878789A" w:rsidR="00165DD6" w:rsidRPr="009E6D43" w:rsidRDefault="00165DD6" w:rsidP="00165DD6">
            <w:pPr>
              <w:tabs>
                <w:tab w:val="decimal" w:pos="839"/>
              </w:tabs>
              <w:jc w:val="left"/>
              <w:rPr>
                <w:b/>
                <w:bCs/>
                <w:color w:val="000000"/>
                <w:sz w:val="16"/>
                <w:szCs w:val="16"/>
                <w:highlight w:val="yellow"/>
                <w:lang w:val="es-MX" w:eastAsia="es-MX"/>
              </w:rPr>
            </w:pPr>
            <w:r w:rsidRPr="009E6D43">
              <w:rPr>
                <w:b/>
                <w:bCs/>
                <w:color w:val="000000"/>
                <w:sz w:val="16"/>
                <w:szCs w:val="16"/>
              </w:rPr>
              <w:t xml:space="preserve"> 1 196 439</w:t>
            </w:r>
          </w:p>
        </w:tc>
        <w:tc>
          <w:tcPr>
            <w:tcW w:w="720" w:type="dxa"/>
            <w:tcBorders>
              <w:top w:val="nil"/>
              <w:left w:val="nil"/>
              <w:bottom w:val="nil"/>
              <w:right w:val="nil"/>
            </w:tcBorders>
            <w:shd w:val="clear" w:color="auto" w:fill="auto"/>
            <w:noWrap/>
            <w:vAlign w:val="center"/>
          </w:tcPr>
          <w:p w14:paraId="17F4E2AD" w14:textId="3AA5AC6D" w:rsidR="00165DD6" w:rsidRPr="009E6D43" w:rsidRDefault="00165DD6" w:rsidP="00165DD6">
            <w:pPr>
              <w:tabs>
                <w:tab w:val="decimal" w:pos="357"/>
              </w:tabs>
              <w:jc w:val="left"/>
              <w:rPr>
                <w:b/>
                <w:bCs/>
                <w:color w:val="000000"/>
                <w:sz w:val="16"/>
                <w:szCs w:val="16"/>
                <w:highlight w:val="yellow"/>
                <w:lang w:val="es-MX" w:eastAsia="es-MX"/>
              </w:rPr>
            </w:pPr>
            <w:r w:rsidRPr="009E6D43">
              <w:rPr>
                <w:b/>
                <w:bCs/>
                <w:color w:val="000000"/>
                <w:sz w:val="16"/>
                <w:szCs w:val="16"/>
              </w:rPr>
              <w:t>100.0</w:t>
            </w:r>
          </w:p>
        </w:tc>
        <w:tc>
          <w:tcPr>
            <w:tcW w:w="763" w:type="dxa"/>
            <w:tcBorders>
              <w:top w:val="nil"/>
              <w:left w:val="nil"/>
              <w:bottom w:val="nil"/>
              <w:right w:val="nil"/>
            </w:tcBorders>
            <w:shd w:val="clear" w:color="auto" w:fill="auto"/>
            <w:noWrap/>
            <w:vAlign w:val="center"/>
          </w:tcPr>
          <w:p w14:paraId="28A8CFE8" w14:textId="7934DFB1" w:rsidR="00165DD6" w:rsidRPr="009E6D43" w:rsidRDefault="00165DD6" w:rsidP="00165DD6">
            <w:pPr>
              <w:tabs>
                <w:tab w:val="decimal" w:pos="357"/>
              </w:tabs>
              <w:jc w:val="left"/>
              <w:rPr>
                <w:b/>
                <w:bCs/>
                <w:color w:val="000000"/>
                <w:sz w:val="16"/>
                <w:szCs w:val="16"/>
                <w:highlight w:val="yellow"/>
                <w:lang w:val="es-MX" w:eastAsia="es-MX"/>
              </w:rPr>
            </w:pPr>
            <w:r w:rsidRPr="009E6D43">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F3CAE93" w14:textId="6BF8C664" w:rsidR="00165DD6" w:rsidRPr="009E6D43" w:rsidRDefault="00165DD6" w:rsidP="00165DD6">
            <w:pPr>
              <w:tabs>
                <w:tab w:val="decimal" w:pos="389"/>
              </w:tabs>
              <w:jc w:val="left"/>
              <w:rPr>
                <w:b/>
                <w:bCs/>
                <w:color w:val="000000"/>
                <w:sz w:val="16"/>
                <w:szCs w:val="16"/>
                <w:highlight w:val="yellow"/>
                <w:lang w:val="es-MX" w:eastAsia="es-MX"/>
              </w:rPr>
            </w:pPr>
            <w:r w:rsidRPr="009E6D43">
              <w:rPr>
                <w:b/>
                <w:bCs/>
                <w:color w:val="000000"/>
                <w:sz w:val="16"/>
                <w:szCs w:val="16"/>
              </w:rPr>
              <w:t> </w:t>
            </w:r>
          </w:p>
        </w:tc>
      </w:tr>
      <w:tr w:rsidR="00165DD6" w:rsidRPr="009E6D43" w14:paraId="4C414B01"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1F4CF1B2"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5E0FB99" w14:textId="4110B062" w:rsidR="00165DD6" w:rsidRPr="009E6D43" w:rsidRDefault="00165DD6" w:rsidP="00165DD6">
            <w:pPr>
              <w:tabs>
                <w:tab w:val="decimal" w:pos="821"/>
              </w:tabs>
              <w:jc w:val="left"/>
              <w:rPr>
                <w:color w:val="000000"/>
                <w:sz w:val="16"/>
                <w:szCs w:val="16"/>
                <w:highlight w:val="yellow"/>
                <w:lang w:val="es-MX" w:eastAsia="es-MX"/>
              </w:rPr>
            </w:pPr>
            <w:r w:rsidRPr="009E6D43">
              <w:rPr>
                <w:color w:val="000000"/>
                <w:sz w:val="16"/>
                <w:szCs w:val="16"/>
              </w:rPr>
              <w:t xml:space="preserve"> 6 672 540</w:t>
            </w:r>
          </w:p>
        </w:tc>
        <w:tc>
          <w:tcPr>
            <w:tcW w:w="1020" w:type="dxa"/>
            <w:tcBorders>
              <w:top w:val="nil"/>
              <w:left w:val="nil"/>
              <w:bottom w:val="nil"/>
              <w:right w:val="nil"/>
            </w:tcBorders>
            <w:shd w:val="clear" w:color="auto" w:fill="auto"/>
            <w:noWrap/>
            <w:vAlign w:val="center"/>
          </w:tcPr>
          <w:p w14:paraId="032116CB" w14:textId="449DFD48" w:rsidR="00165DD6" w:rsidRPr="009E6D43" w:rsidRDefault="00165DD6" w:rsidP="00165DD6">
            <w:pPr>
              <w:tabs>
                <w:tab w:val="decimal" w:pos="836"/>
              </w:tabs>
              <w:jc w:val="left"/>
              <w:rPr>
                <w:bCs/>
                <w:color w:val="000000"/>
                <w:sz w:val="16"/>
                <w:szCs w:val="16"/>
              </w:rPr>
            </w:pPr>
            <w:r w:rsidRPr="009E6D43">
              <w:rPr>
                <w:color w:val="000000"/>
                <w:sz w:val="16"/>
                <w:szCs w:val="16"/>
              </w:rPr>
              <w:t xml:space="preserve"> 6 233 119</w:t>
            </w:r>
          </w:p>
        </w:tc>
        <w:tc>
          <w:tcPr>
            <w:tcW w:w="1013" w:type="dxa"/>
            <w:tcBorders>
              <w:top w:val="nil"/>
              <w:left w:val="nil"/>
              <w:bottom w:val="nil"/>
              <w:right w:val="single" w:sz="4" w:space="0" w:color="1F497D"/>
            </w:tcBorders>
            <w:shd w:val="clear" w:color="auto" w:fill="auto"/>
            <w:noWrap/>
            <w:vAlign w:val="center"/>
          </w:tcPr>
          <w:p w14:paraId="2774270A" w14:textId="3A011921" w:rsidR="00165DD6" w:rsidRPr="009E6D43" w:rsidRDefault="00165DD6" w:rsidP="00165DD6">
            <w:pPr>
              <w:tabs>
                <w:tab w:val="decimal" w:pos="839"/>
              </w:tabs>
              <w:jc w:val="left"/>
              <w:rPr>
                <w:color w:val="000000"/>
                <w:sz w:val="16"/>
                <w:szCs w:val="16"/>
                <w:highlight w:val="yellow"/>
                <w:lang w:val="es-MX" w:eastAsia="es-MX"/>
              </w:rPr>
            </w:pPr>
            <w:r w:rsidRPr="009E6D43">
              <w:rPr>
                <w:color w:val="000000"/>
                <w:sz w:val="16"/>
                <w:szCs w:val="16"/>
              </w:rPr>
              <w:t>-439 421</w:t>
            </w:r>
          </w:p>
        </w:tc>
        <w:tc>
          <w:tcPr>
            <w:tcW w:w="720" w:type="dxa"/>
            <w:tcBorders>
              <w:top w:val="nil"/>
              <w:left w:val="nil"/>
              <w:bottom w:val="nil"/>
              <w:right w:val="nil"/>
            </w:tcBorders>
            <w:shd w:val="clear" w:color="auto" w:fill="auto"/>
            <w:noWrap/>
            <w:vAlign w:val="center"/>
          </w:tcPr>
          <w:p w14:paraId="2E0A7471" w14:textId="17BAA3CF"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11.5</w:t>
            </w:r>
          </w:p>
        </w:tc>
        <w:tc>
          <w:tcPr>
            <w:tcW w:w="763" w:type="dxa"/>
            <w:tcBorders>
              <w:top w:val="nil"/>
              <w:left w:val="nil"/>
              <w:bottom w:val="nil"/>
              <w:right w:val="nil"/>
            </w:tcBorders>
            <w:shd w:val="clear" w:color="auto" w:fill="auto"/>
            <w:noWrap/>
            <w:vAlign w:val="center"/>
          </w:tcPr>
          <w:p w14:paraId="6221DA4E" w14:textId="01F9FD59"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10.5</w:t>
            </w:r>
          </w:p>
        </w:tc>
        <w:tc>
          <w:tcPr>
            <w:tcW w:w="916" w:type="dxa"/>
            <w:tcBorders>
              <w:top w:val="nil"/>
              <w:left w:val="nil"/>
              <w:bottom w:val="nil"/>
              <w:right w:val="single" w:sz="4" w:space="0" w:color="1F497D"/>
            </w:tcBorders>
            <w:shd w:val="clear" w:color="auto" w:fill="auto"/>
            <w:noWrap/>
            <w:vAlign w:val="center"/>
          </w:tcPr>
          <w:p w14:paraId="47C0D893" w14:textId="3260B15B" w:rsidR="00165DD6" w:rsidRPr="009E6D43" w:rsidRDefault="00165DD6" w:rsidP="00165DD6">
            <w:pPr>
              <w:tabs>
                <w:tab w:val="decimal" w:pos="389"/>
              </w:tabs>
              <w:jc w:val="left"/>
              <w:rPr>
                <w:color w:val="000000"/>
                <w:sz w:val="16"/>
                <w:szCs w:val="16"/>
                <w:highlight w:val="yellow"/>
                <w:lang w:val="es-MX" w:eastAsia="es-MX"/>
              </w:rPr>
            </w:pPr>
            <w:r w:rsidRPr="009E6D43">
              <w:rPr>
                <w:color w:val="000000"/>
                <w:sz w:val="16"/>
                <w:szCs w:val="16"/>
              </w:rPr>
              <w:t>-1.0</w:t>
            </w:r>
          </w:p>
        </w:tc>
      </w:tr>
      <w:tr w:rsidR="00165DD6" w:rsidRPr="009E6D43" w14:paraId="4271E9BC"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tcPr>
          <w:p w14:paraId="7FE749C3" w14:textId="77777777" w:rsidR="00165DD6" w:rsidRPr="009E6D43" w:rsidRDefault="00165DD6" w:rsidP="00165DD6">
            <w:pPr>
              <w:ind w:left="313" w:right="-53" w:firstLineChars="4" w:firstLine="6"/>
              <w:jc w:val="left"/>
              <w:rPr>
                <w:sz w:val="16"/>
                <w:szCs w:val="16"/>
                <w:lang w:val="es-MX" w:eastAsia="es-MX"/>
              </w:rPr>
            </w:pPr>
            <w:r w:rsidRPr="009E6D43">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6705CD53" w14:textId="6013A224"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6 672 540</w:t>
            </w:r>
          </w:p>
        </w:tc>
        <w:tc>
          <w:tcPr>
            <w:tcW w:w="1020" w:type="dxa"/>
            <w:tcBorders>
              <w:top w:val="nil"/>
              <w:left w:val="nil"/>
              <w:bottom w:val="nil"/>
              <w:right w:val="nil"/>
            </w:tcBorders>
            <w:shd w:val="clear" w:color="auto" w:fill="auto"/>
            <w:noWrap/>
            <w:vAlign w:val="center"/>
          </w:tcPr>
          <w:p w14:paraId="64A2E35C" w14:textId="75169DDD" w:rsidR="00165DD6" w:rsidRPr="009E6D43" w:rsidRDefault="00165DD6" w:rsidP="00165DD6">
            <w:pPr>
              <w:tabs>
                <w:tab w:val="decimal" w:pos="836"/>
              </w:tabs>
              <w:jc w:val="left"/>
              <w:rPr>
                <w:bCs/>
                <w:color w:val="000000"/>
                <w:sz w:val="16"/>
                <w:szCs w:val="16"/>
              </w:rPr>
            </w:pPr>
            <w:r w:rsidRPr="009E6D43">
              <w:rPr>
                <w:color w:val="000000"/>
                <w:sz w:val="16"/>
                <w:szCs w:val="16"/>
              </w:rPr>
              <w:t xml:space="preserve"> 6 233 119</w:t>
            </w:r>
          </w:p>
        </w:tc>
        <w:tc>
          <w:tcPr>
            <w:tcW w:w="1013" w:type="dxa"/>
            <w:tcBorders>
              <w:top w:val="nil"/>
              <w:left w:val="nil"/>
              <w:bottom w:val="nil"/>
              <w:right w:val="single" w:sz="4" w:space="0" w:color="1F497D"/>
            </w:tcBorders>
            <w:shd w:val="clear" w:color="auto" w:fill="auto"/>
            <w:noWrap/>
            <w:vAlign w:val="center"/>
          </w:tcPr>
          <w:p w14:paraId="57F92413" w14:textId="15B14729" w:rsidR="00165DD6" w:rsidRPr="009E6D43" w:rsidRDefault="00165DD6" w:rsidP="00165DD6">
            <w:pPr>
              <w:tabs>
                <w:tab w:val="decimal" w:pos="839"/>
              </w:tabs>
              <w:jc w:val="left"/>
              <w:rPr>
                <w:color w:val="000000"/>
                <w:sz w:val="16"/>
                <w:szCs w:val="16"/>
                <w:highlight w:val="yellow"/>
              </w:rPr>
            </w:pPr>
            <w:r w:rsidRPr="009E6D43">
              <w:rPr>
                <w:color w:val="000000"/>
                <w:sz w:val="16"/>
                <w:szCs w:val="16"/>
              </w:rPr>
              <w:t>-439 421</w:t>
            </w:r>
          </w:p>
        </w:tc>
        <w:tc>
          <w:tcPr>
            <w:tcW w:w="720" w:type="dxa"/>
            <w:tcBorders>
              <w:top w:val="nil"/>
              <w:left w:val="nil"/>
              <w:bottom w:val="nil"/>
              <w:right w:val="nil"/>
            </w:tcBorders>
            <w:shd w:val="clear" w:color="auto" w:fill="auto"/>
            <w:noWrap/>
            <w:vAlign w:val="center"/>
          </w:tcPr>
          <w:p w14:paraId="0BE9DD13" w14:textId="23429B49" w:rsidR="00165DD6" w:rsidRPr="009E6D43" w:rsidRDefault="00165DD6" w:rsidP="00165DD6">
            <w:pPr>
              <w:tabs>
                <w:tab w:val="decimal" w:pos="357"/>
              </w:tabs>
              <w:jc w:val="left"/>
              <w:rPr>
                <w:color w:val="000000"/>
                <w:sz w:val="16"/>
                <w:szCs w:val="16"/>
                <w:highlight w:val="yellow"/>
              </w:rPr>
            </w:pPr>
            <w:r w:rsidRPr="009E6D43">
              <w:rPr>
                <w:color w:val="000000"/>
                <w:sz w:val="16"/>
                <w:szCs w:val="16"/>
              </w:rPr>
              <w:t>11.5</w:t>
            </w:r>
          </w:p>
        </w:tc>
        <w:tc>
          <w:tcPr>
            <w:tcW w:w="763" w:type="dxa"/>
            <w:tcBorders>
              <w:top w:val="nil"/>
              <w:left w:val="nil"/>
              <w:bottom w:val="nil"/>
              <w:right w:val="nil"/>
            </w:tcBorders>
            <w:shd w:val="clear" w:color="auto" w:fill="auto"/>
            <w:noWrap/>
            <w:vAlign w:val="center"/>
          </w:tcPr>
          <w:p w14:paraId="25D2D228" w14:textId="76C42626" w:rsidR="00165DD6" w:rsidRPr="009E6D43" w:rsidRDefault="00165DD6" w:rsidP="00165DD6">
            <w:pPr>
              <w:tabs>
                <w:tab w:val="decimal" w:pos="357"/>
              </w:tabs>
              <w:jc w:val="left"/>
              <w:rPr>
                <w:color w:val="000000"/>
                <w:sz w:val="16"/>
                <w:szCs w:val="16"/>
                <w:highlight w:val="yellow"/>
              </w:rPr>
            </w:pPr>
            <w:r w:rsidRPr="009E6D43">
              <w:rPr>
                <w:color w:val="000000"/>
                <w:sz w:val="16"/>
                <w:szCs w:val="16"/>
              </w:rPr>
              <w:t>10.5</w:t>
            </w:r>
          </w:p>
        </w:tc>
        <w:tc>
          <w:tcPr>
            <w:tcW w:w="916" w:type="dxa"/>
            <w:tcBorders>
              <w:top w:val="nil"/>
              <w:left w:val="nil"/>
              <w:bottom w:val="nil"/>
              <w:right w:val="single" w:sz="4" w:space="0" w:color="1F497D"/>
            </w:tcBorders>
            <w:shd w:val="clear" w:color="auto" w:fill="auto"/>
            <w:noWrap/>
            <w:vAlign w:val="center"/>
          </w:tcPr>
          <w:p w14:paraId="23D52179" w14:textId="20B2A5B8" w:rsidR="00165DD6" w:rsidRPr="009E6D43" w:rsidRDefault="00165DD6" w:rsidP="00165DD6">
            <w:pPr>
              <w:tabs>
                <w:tab w:val="decimal" w:pos="389"/>
              </w:tabs>
              <w:jc w:val="left"/>
              <w:rPr>
                <w:color w:val="000000"/>
                <w:sz w:val="16"/>
                <w:szCs w:val="16"/>
                <w:highlight w:val="yellow"/>
              </w:rPr>
            </w:pPr>
            <w:r w:rsidRPr="009E6D43">
              <w:rPr>
                <w:color w:val="000000"/>
                <w:sz w:val="16"/>
                <w:szCs w:val="16"/>
              </w:rPr>
              <w:t>-1.0</w:t>
            </w:r>
          </w:p>
        </w:tc>
      </w:tr>
      <w:tr w:rsidR="00165DD6" w:rsidRPr="009E6D43" w14:paraId="739FEF6E"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2720B5C7"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2CEA5D06" w14:textId="1F442A2D" w:rsidR="00165DD6" w:rsidRPr="009E6D43" w:rsidRDefault="00165DD6" w:rsidP="00165DD6">
            <w:pPr>
              <w:tabs>
                <w:tab w:val="decimal" w:pos="821"/>
              </w:tabs>
              <w:jc w:val="left"/>
              <w:rPr>
                <w:color w:val="000000"/>
                <w:sz w:val="16"/>
                <w:szCs w:val="16"/>
                <w:highlight w:val="yellow"/>
                <w:lang w:val="es-MX" w:eastAsia="es-MX"/>
              </w:rPr>
            </w:pPr>
            <w:r w:rsidRPr="009E6D43">
              <w:rPr>
                <w:color w:val="000000"/>
                <w:sz w:val="16"/>
                <w:szCs w:val="16"/>
              </w:rPr>
              <w:t xml:space="preserve"> 14 536 538</w:t>
            </w:r>
          </w:p>
        </w:tc>
        <w:tc>
          <w:tcPr>
            <w:tcW w:w="1020" w:type="dxa"/>
            <w:tcBorders>
              <w:top w:val="nil"/>
              <w:left w:val="nil"/>
              <w:bottom w:val="nil"/>
              <w:right w:val="nil"/>
            </w:tcBorders>
            <w:shd w:val="clear" w:color="auto" w:fill="auto"/>
            <w:noWrap/>
            <w:vAlign w:val="center"/>
          </w:tcPr>
          <w:p w14:paraId="35FF7ED4" w14:textId="0E0A2EF8" w:rsidR="00165DD6" w:rsidRPr="009E6D43" w:rsidRDefault="00165DD6" w:rsidP="00165DD6">
            <w:pPr>
              <w:tabs>
                <w:tab w:val="decimal" w:pos="836"/>
              </w:tabs>
              <w:jc w:val="left"/>
              <w:rPr>
                <w:bCs/>
                <w:color w:val="000000"/>
                <w:sz w:val="16"/>
                <w:szCs w:val="16"/>
              </w:rPr>
            </w:pPr>
            <w:r w:rsidRPr="009E6D43">
              <w:rPr>
                <w:color w:val="000000"/>
                <w:sz w:val="16"/>
                <w:szCs w:val="16"/>
              </w:rPr>
              <w:t xml:space="preserve"> 15 188 953</w:t>
            </w:r>
          </w:p>
        </w:tc>
        <w:tc>
          <w:tcPr>
            <w:tcW w:w="1013" w:type="dxa"/>
            <w:tcBorders>
              <w:top w:val="nil"/>
              <w:left w:val="nil"/>
              <w:bottom w:val="nil"/>
              <w:right w:val="single" w:sz="4" w:space="0" w:color="1F497D"/>
            </w:tcBorders>
            <w:shd w:val="clear" w:color="auto" w:fill="auto"/>
            <w:noWrap/>
            <w:vAlign w:val="center"/>
          </w:tcPr>
          <w:p w14:paraId="25B16814" w14:textId="40B2B63F" w:rsidR="00165DD6" w:rsidRPr="009E6D43" w:rsidRDefault="00165DD6" w:rsidP="00165DD6">
            <w:pPr>
              <w:tabs>
                <w:tab w:val="decimal" w:pos="839"/>
              </w:tabs>
              <w:jc w:val="left"/>
              <w:rPr>
                <w:color w:val="000000"/>
                <w:sz w:val="16"/>
                <w:szCs w:val="16"/>
                <w:highlight w:val="yellow"/>
                <w:lang w:val="es-MX" w:eastAsia="es-MX"/>
              </w:rPr>
            </w:pPr>
            <w:r w:rsidRPr="009E6D43">
              <w:rPr>
                <w:color w:val="000000"/>
                <w:sz w:val="16"/>
                <w:szCs w:val="16"/>
              </w:rPr>
              <w:t>652 415</w:t>
            </w:r>
          </w:p>
        </w:tc>
        <w:tc>
          <w:tcPr>
            <w:tcW w:w="720" w:type="dxa"/>
            <w:tcBorders>
              <w:top w:val="nil"/>
              <w:left w:val="nil"/>
              <w:bottom w:val="nil"/>
              <w:right w:val="nil"/>
            </w:tcBorders>
            <w:shd w:val="clear" w:color="auto" w:fill="auto"/>
            <w:noWrap/>
            <w:vAlign w:val="center"/>
          </w:tcPr>
          <w:p w14:paraId="21F291AC" w14:textId="49C6C3E7"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25.1</w:t>
            </w:r>
          </w:p>
        </w:tc>
        <w:tc>
          <w:tcPr>
            <w:tcW w:w="763" w:type="dxa"/>
            <w:tcBorders>
              <w:top w:val="nil"/>
              <w:left w:val="nil"/>
              <w:bottom w:val="nil"/>
              <w:right w:val="nil"/>
            </w:tcBorders>
            <w:shd w:val="clear" w:color="auto" w:fill="auto"/>
            <w:noWrap/>
            <w:vAlign w:val="center"/>
          </w:tcPr>
          <w:p w14:paraId="71CB351E" w14:textId="309C48B1"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25.7</w:t>
            </w:r>
          </w:p>
        </w:tc>
        <w:tc>
          <w:tcPr>
            <w:tcW w:w="916" w:type="dxa"/>
            <w:tcBorders>
              <w:top w:val="nil"/>
              <w:left w:val="nil"/>
              <w:bottom w:val="nil"/>
              <w:right w:val="single" w:sz="4" w:space="0" w:color="1F497D"/>
            </w:tcBorders>
            <w:shd w:val="clear" w:color="auto" w:fill="auto"/>
            <w:noWrap/>
            <w:vAlign w:val="center"/>
          </w:tcPr>
          <w:p w14:paraId="1BC1C499" w14:textId="1188A0C4" w:rsidR="00165DD6" w:rsidRPr="009E6D43" w:rsidRDefault="00165DD6" w:rsidP="00165DD6">
            <w:pPr>
              <w:tabs>
                <w:tab w:val="decimal" w:pos="389"/>
              </w:tabs>
              <w:jc w:val="left"/>
              <w:rPr>
                <w:color w:val="000000"/>
                <w:sz w:val="16"/>
                <w:szCs w:val="16"/>
                <w:highlight w:val="yellow"/>
                <w:lang w:val="es-MX" w:eastAsia="es-MX"/>
              </w:rPr>
            </w:pPr>
            <w:r w:rsidRPr="009E6D43">
              <w:rPr>
                <w:color w:val="000000"/>
                <w:sz w:val="16"/>
                <w:szCs w:val="16"/>
              </w:rPr>
              <w:t>0.6</w:t>
            </w:r>
          </w:p>
        </w:tc>
      </w:tr>
      <w:tr w:rsidR="00165DD6" w:rsidRPr="009E6D43" w14:paraId="530CD306"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59B14499" w14:textId="77777777" w:rsidR="00165DD6" w:rsidRPr="009E6D43" w:rsidRDefault="00165DD6" w:rsidP="00165DD6">
            <w:pPr>
              <w:ind w:left="313" w:firstLineChars="4" w:firstLine="6"/>
              <w:jc w:val="left"/>
              <w:rPr>
                <w:sz w:val="16"/>
                <w:szCs w:val="16"/>
                <w:lang w:val="es-MX" w:eastAsia="es-MX"/>
              </w:rPr>
            </w:pPr>
            <w:r w:rsidRPr="009E6D43">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00A18252" w14:textId="3BE57ED9"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409 371</w:t>
            </w:r>
          </w:p>
        </w:tc>
        <w:tc>
          <w:tcPr>
            <w:tcW w:w="1020" w:type="dxa"/>
            <w:tcBorders>
              <w:top w:val="nil"/>
              <w:left w:val="nil"/>
              <w:bottom w:val="nil"/>
              <w:right w:val="nil"/>
            </w:tcBorders>
            <w:shd w:val="clear" w:color="auto" w:fill="auto"/>
            <w:noWrap/>
            <w:vAlign w:val="center"/>
          </w:tcPr>
          <w:p w14:paraId="4F112402" w14:textId="2BE30225" w:rsidR="00165DD6" w:rsidRPr="009E6D43" w:rsidRDefault="00165DD6" w:rsidP="00165DD6">
            <w:pPr>
              <w:tabs>
                <w:tab w:val="decimal" w:pos="836"/>
              </w:tabs>
              <w:jc w:val="left"/>
              <w:rPr>
                <w:bCs/>
                <w:color w:val="000000"/>
                <w:sz w:val="16"/>
                <w:szCs w:val="16"/>
              </w:rPr>
            </w:pPr>
            <w:r w:rsidRPr="009E6D43">
              <w:rPr>
                <w:color w:val="000000"/>
                <w:sz w:val="16"/>
                <w:szCs w:val="16"/>
              </w:rPr>
              <w:t xml:space="preserve">  411 716</w:t>
            </w:r>
          </w:p>
        </w:tc>
        <w:tc>
          <w:tcPr>
            <w:tcW w:w="1013" w:type="dxa"/>
            <w:tcBorders>
              <w:top w:val="nil"/>
              <w:left w:val="nil"/>
              <w:bottom w:val="nil"/>
              <w:right w:val="single" w:sz="4" w:space="0" w:color="1F497D"/>
            </w:tcBorders>
            <w:shd w:val="clear" w:color="auto" w:fill="auto"/>
            <w:noWrap/>
            <w:vAlign w:val="center"/>
          </w:tcPr>
          <w:p w14:paraId="5F9F3E9C" w14:textId="332B107E" w:rsidR="00165DD6" w:rsidRPr="009E6D43" w:rsidRDefault="00165DD6" w:rsidP="00165DD6">
            <w:pPr>
              <w:tabs>
                <w:tab w:val="decimal" w:pos="839"/>
              </w:tabs>
              <w:jc w:val="left"/>
              <w:rPr>
                <w:color w:val="000000"/>
                <w:sz w:val="16"/>
                <w:szCs w:val="16"/>
                <w:highlight w:val="yellow"/>
              </w:rPr>
            </w:pPr>
            <w:r w:rsidRPr="009E6D43">
              <w:rPr>
                <w:color w:val="000000"/>
                <w:sz w:val="16"/>
                <w:szCs w:val="16"/>
              </w:rPr>
              <w:t>2 345</w:t>
            </w:r>
          </w:p>
        </w:tc>
        <w:tc>
          <w:tcPr>
            <w:tcW w:w="720" w:type="dxa"/>
            <w:tcBorders>
              <w:top w:val="nil"/>
              <w:left w:val="nil"/>
              <w:bottom w:val="nil"/>
              <w:right w:val="nil"/>
            </w:tcBorders>
            <w:shd w:val="clear" w:color="auto" w:fill="auto"/>
            <w:noWrap/>
            <w:vAlign w:val="center"/>
          </w:tcPr>
          <w:p w14:paraId="7B31E2D3" w14:textId="0EABCA26" w:rsidR="00165DD6" w:rsidRPr="009E6D43" w:rsidRDefault="00165DD6" w:rsidP="00165DD6">
            <w:pPr>
              <w:tabs>
                <w:tab w:val="decimal" w:pos="357"/>
              </w:tabs>
              <w:jc w:val="left"/>
              <w:rPr>
                <w:color w:val="000000"/>
                <w:sz w:val="16"/>
                <w:szCs w:val="16"/>
                <w:highlight w:val="yellow"/>
              </w:rPr>
            </w:pPr>
            <w:r w:rsidRPr="009E6D43">
              <w:rPr>
                <w:color w:val="000000"/>
                <w:sz w:val="16"/>
                <w:szCs w:val="16"/>
              </w:rPr>
              <w:t>0.7</w:t>
            </w:r>
          </w:p>
        </w:tc>
        <w:tc>
          <w:tcPr>
            <w:tcW w:w="763" w:type="dxa"/>
            <w:tcBorders>
              <w:top w:val="nil"/>
              <w:left w:val="nil"/>
              <w:bottom w:val="nil"/>
              <w:right w:val="nil"/>
            </w:tcBorders>
            <w:shd w:val="clear" w:color="auto" w:fill="auto"/>
            <w:noWrap/>
            <w:vAlign w:val="center"/>
          </w:tcPr>
          <w:p w14:paraId="43D7B808" w14:textId="3A1B6E97" w:rsidR="00165DD6" w:rsidRPr="009E6D43" w:rsidRDefault="00165DD6" w:rsidP="00165DD6">
            <w:pPr>
              <w:tabs>
                <w:tab w:val="decimal" w:pos="357"/>
              </w:tabs>
              <w:jc w:val="left"/>
              <w:rPr>
                <w:color w:val="000000"/>
                <w:sz w:val="16"/>
                <w:szCs w:val="16"/>
                <w:highlight w:val="yellow"/>
              </w:rPr>
            </w:pPr>
            <w:r w:rsidRPr="009E6D43">
              <w:rPr>
                <w:color w:val="000000"/>
                <w:sz w:val="16"/>
                <w:szCs w:val="16"/>
              </w:rPr>
              <w:t>0.7</w:t>
            </w:r>
          </w:p>
        </w:tc>
        <w:tc>
          <w:tcPr>
            <w:tcW w:w="916" w:type="dxa"/>
            <w:tcBorders>
              <w:top w:val="nil"/>
              <w:left w:val="nil"/>
              <w:bottom w:val="nil"/>
              <w:right w:val="single" w:sz="4" w:space="0" w:color="1F497D"/>
            </w:tcBorders>
            <w:shd w:val="clear" w:color="auto" w:fill="auto"/>
            <w:noWrap/>
            <w:vAlign w:val="center"/>
          </w:tcPr>
          <w:p w14:paraId="45BBDCA7" w14:textId="29AA5395" w:rsidR="00165DD6" w:rsidRPr="009E6D43" w:rsidRDefault="00165DD6" w:rsidP="00165DD6">
            <w:pPr>
              <w:tabs>
                <w:tab w:val="decimal" w:pos="389"/>
              </w:tabs>
              <w:jc w:val="left"/>
              <w:rPr>
                <w:color w:val="000000"/>
                <w:sz w:val="16"/>
                <w:szCs w:val="16"/>
                <w:highlight w:val="yellow"/>
              </w:rPr>
            </w:pPr>
            <w:r w:rsidRPr="009E6D43">
              <w:rPr>
                <w:color w:val="000000"/>
                <w:sz w:val="16"/>
                <w:szCs w:val="16"/>
              </w:rPr>
              <w:t>0.0</w:t>
            </w:r>
          </w:p>
        </w:tc>
      </w:tr>
      <w:tr w:rsidR="00165DD6" w:rsidRPr="009E6D43" w14:paraId="14692A99"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2E087DA6" w14:textId="77777777" w:rsidR="00165DD6" w:rsidRPr="009E6D43" w:rsidRDefault="00165DD6" w:rsidP="00165DD6">
            <w:pPr>
              <w:ind w:left="313" w:firstLineChars="4" w:firstLine="6"/>
              <w:jc w:val="left"/>
              <w:rPr>
                <w:sz w:val="16"/>
                <w:szCs w:val="16"/>
                <w:lang w:val="es-MX" w:eastAsia="es-MX"/>
              </w:rPr>
            </w:pPr>
            <w:r w:rsidRPr="009E6D43">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16C9156F" w14:textId="123C44AF"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9 533 008</w:t>
            </w:r>
          </w:p>
        </w:tc>
        <w:tc>
          <w:tcPr>
            <w:tcW w:w="1020" w:type="dxa"/>
            <w:tcBorders>
              <w:top w:val="nil"/>
              <w:left w:val="nil"/>
              <w:bottom w:val="nil"/>
              <w:right w:val="nil"/>
            </w:tcBorders>
            <w:shd w:val="clear" w:color="auto" w:fill="auto"/>
            <w:noWrap/>
            <w:vAlign w:val="center"/>
          </w:tcPr>
          <w:p w14:paraId="3B480BC8" w14:textId="4B4DBCBD" w:rsidR="00165DD6" w:rsidRPr="009E6D43" w:rsidRDefault="00165DD6" w:rsidP="00165DD6">
            <w:pPr>
              <w:tabs>
                <w:tab w:val="decimal" w:pos="836"/>
              </w:tabs>
              <w:jc w:val="left"/>
              <w:rPr>
                <w:bCs/>
                <w:color w:val="000000"/>
                <w:sz w:val="16"/>
                <w:szCs w:val="16"/>
              </w:rPr>
            </w:pPr>
            <w:r w:rsidRPr="009E6D43">
              <w:rPr>
                <w:color w:val="000000"/>
                <w:sz w:val="16"/>
                <w:szCs w:val="16"/>
              </w:rPr>
              <w:t xml:space="preserve"> 10 101 239</w:t>
            </w:r>
          </w:p>
        </w:tc>
        <w:tc>
          <w:tcPr>
            <w:tcW w:w="1013" w:type="dxa"/>
            <w:tcBorders>
              <w:top w:val="nil"/>
              <w:left w:val="nil"/>
              <w:bottom w:val="nil"/>
              <w:right w:val="single" w:sz="4" w:space="0" w:color="1F497D"/>
            </w:tcBorders>
            <w:shd w:val="clear" w:color="auto" w:fill="auto"/>
            <w:noWrap/>
            <w:vAlign w:val="center"/>
          </w:tcPr>
          <w:p w14:paraId="55F8C3EF" w14:textId="5E23D027" w:rsidR="00165DD6" w:rsidRPr="009E6D43" w:rsidRDefault="00165DD6" w:rsidP="00165DD6">
            <w:pPr>
              <w:tabs>
                <w:tab w:val="decimal" w:pos="839"/>
              </w:tabs>
              <w:jc w:val="left"/>
              <w:rPr>
                <w:color w:val="000000"/>
                <w:sz w:val="16"/>
                <w:szCs w:val="16"/>
                <w:highlight w:val="yellow"/>
              </w:rPr>
            </w:pPr>
            <w:r w:rsidRPr="009E6D43">
              <w:rPr>
                <w:color w:val="000000"/>
                <w:sz w:val="16"/>
                <w:szCs w:val="16"/>
              </w:rPr>
              <w:t>568 231</w:t>
            </w:r>
          </w:p>
        </w:tc>
        <w:tc>
          <w:tcPr>
            <w:tcW w:w="720" w:type="dxa"/>
            <w:tcBorders>
              <w:top w:val="nil"/>
              <w:left w:val="nil"/>
              <w:bottom w:val="nil"/>
              <w:right w:val="nil"/>
            </w:tcBorders>
            <w:shd w:val="clear" w:color="auto" w:fill="auto"/>
            <w:noWrap/>
            <w:vAlign w:val="center"/>
          </w:tcPr>
          <w:p w14:paraId="43817E37" w14:textId="43D5110F" w:rsidR="00165DD6" w:rsidRPr="009E6D43" w:rsidRDefault="00165DD6" w:rsidP="00165DD6">
            <w:pPr>
              <w:tabs>
                <w:tab w:val="decimal" w:pos="357"/>
              </w:tabs>
              <w:jc w:val="left"/>
              <w:rPr>
                <w:color w:val="000000"/>
                <w:sz w:val="16"/>
                <w:szCs w:val="16"/>
                <w:highlight w:val="yellow"/>
              </w:rPr>
            </w:pPr>
            <w:r w:rsidRPr="009E6D43">
              <w:rPr>
                <w:color w:val="000000"/>
                <w:sz w:val="16"/>
                <w:szCs w:val="16"/>
              </w:rPr>
              <w:t>16.5</w:t>
            </w:r>
          </w:p>
        </w:tc>
        <w:tc>
          <w:tcPr>
            <w:tcW w:w="763" w:type="dxa"/>
            <w:tcBorders>
              <w:top w:val="nil"/>
              <w:left w:val="nil"/>
              <w:bottom w:val="nil"/>
              <w:right w:val="nil"/>
            </w:tcBorders>
            <w:shd w:val="clear" w:color="auto" w:fill="auto"/>
            <w:noWrap/>
            <w:vAlign w:val="center"/>
          </w:tcPr>
          <w:p w14:paraId="59D3EE61" w14:textId="6B1322B5" w:rsidR="00165DD6" w:rsidRPr="009E6D43" w:rsidRDefault="00165DD6" w:rsidP="00165DD6">
            <w:pPr>
              <w:tabs>
                <w:tab w:val="decimal" w:pos="357"/>
              </w:tabs>
              <w:jc w:val="left"/>
              <w:rPr>
                <w:color w:val="000000"/>
                <w:sz w:val="16"/>
                <w:szCs w:val="16"/>
                <w:highlight w:val="yellow"/>
              </w:rPr>
            </w:pPr>
            <w:r w:rsidRPr="009E6D43">
              <w:rPr>
                <w:color w:val="000000"/>
                <w:sz w:val="16"/>
                <w:szCs w:val="16"/>
              </w:rPr>
              <w:t>17.1</w:t>
            </w:r>
          </w:p>
        </w:tc>
        <w:tc>
          <w:tcPr>
            <w:tcW w:w="916" w:type="dxa"/>
            <w:tcBorders>
              <w:top w:val="nil"/>
              <w:left w:val="nil"/>
              <w:bottom w:val="nil"/>
              <w:right w:val="single" w:sz="4" w:space="0" w:color="1F497D"/>
            </w:tcBorders>
            <w:shd w:val="clear" w:color="auto" w:fill="auto"/>
            <w:noWrap/>
            <w:vAlign w:val="center"/>
          </w:tcPr>
          <w:p w14:paraId="326CD662" w14:textId="7DFCF80F" w:rsidR="00165DD6" w:rsidRPr="009E6D43" w:rsidRDefault="00165DD6" w:rsidP="00165DD6">
            <w:pPr>
              <w:tabs>
                <w:tab w:val="decimal" w:pos="389"/>
              </w:tabs>
              <w:jc w:val="left"/>
              <w:rPr>
                <w:color w:val="000000"/>
                <w:sz w:val="16"/>
                <w:szCs w:val="16"/>
                <w:highlight w:val="yellow"/>
              </w:rPr>
            </w:pPr>
            <w:r w:rsidRPr="009E6D43">
              <w:rPr>
                <w:color w:val="000000"/>
                <w:sz w:val="16"/>
                <w:szCs w:val="16"/>
              </w:rPr>
              <w:t>0.6</w:t>
            </w:r>
          </w:p>
        </w:tc>
      </w:tr>
      <w:tr w:rsidR="00165DD6" w:rsidRPr="009E6D43" w14:paraId="6864BC16"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2193DD84" w14:textId="77777777" w:rsidR="00165DD6" w:rsidRPr="009E6D43" w:rsidRDefault="00165DD6" w:rsidP="00165DD6">
            <w:pPr>
              <w:ind w:left="313" w:firstLineChars="4" w:firstLine="6"/>
              <w:jc w:val="left"/>
              <w:rPr>
                <w:sz w:val="16"/>
                <w:szCs w:val="16"/>
                <w:lang w:val="es-MX" w:eastAsia="es-MX"/>
              </w:rPr>
            </w:pPr>
            <w:r w:rsidRPr="009E6D43">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40A5D1B1" w14:textId="668D3858"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4 594 159</w:t>
            </w:r>
          </w:p>
        </w:tc>
        <w:tc>
          <w:tcPr>
            <w:tcW w:w="1020" w:type="dxa"/>
            <w:tcBorders>
              <w:top w:val="nil"/>
              <w:left w:val="nil"/>
              <w:bottom w:val="nil"/>
              <w:right w:val="nil"/>
            </w:tcBorders>
            <w:shd w:val="clear" w:color="auto" w:fill="auto"/>
            <w:noWrap/>
            <w:vAlign w:val="center"/>
          </w:tcPr>
          <w:p w14:paraId="346A4ABE" w14:textId="65C1D3B9" w:rsidR="00165DD6" w:rsidRPr="009E6D43" w:rsidRDefault="00165DD6" w:rsidP="00165DD6">
            <w:pPr>
              <w:tabs>
                <w:tab w:val="decimal" w:pos="836"/>
              </w:tabs>
              <w:jc w:val="left"/>
              <w:rPr>
                <w:bCs/>
                <w:color w:val="000000"/>
                <w:sz w:val="16"/>
                <w:szCs w:val="16"/>
              </w:rPr>
            </w:pPr>
            <w:r w:rsidRPr="009E6D43">
              <w:rPr>
                <w:color w:val="000000"/>
                <w:sz w:val="16"/>
                <w:szCs w:val="16"/>
              </w:rPr>
              <w:t xml:space="preserve"> 4 675 998</w:t>
            </w:r>
          </w:p>
        </w:tc>
        <w:tc>
          <w:tcPr>
            <w:tcW w:w="1013" w:type="dxa"/>
            <w:tcBorders>
              <w:top w:val="nil"/>
              <w:left w:val="nil"/>
              <w:bottom w:val="nil"/>
              <w:right w:val="single" w:sz="4" w:space="0" w:color="1F497D"/>
            </w:tcBorders>
            <w:shd w:val="clear" w:color="auto" w:fill="auto"/>
            <w:noWrap/>
            <w:vAlign w:val="center"/>
          </w:tcPr>
          <w:p w14:paraId="6CC233E3" w14:textId="6DA44136" w:rsidR="00165DD6" w:rsidRPr="009E6D43" w:rsidRDefault="00165DD6" w:rsidP="00165DD6">
            <w:pPr>
              <w:tabs>
                <w:tab w:val="decimal" w:pos="839"/>
              </w:tabs>
              <w:jc w:val="left"/>
              <w:rPr>
                <w:color w:val="000000"/>
                <w:sz w:val="16"/>
                <w:szCs w:val="16"/>
                <w:highlight w:val="yellow"/>
              </w:rPr>
            </w:pPr>
            <w:r w:rsidRPr="009E6D43">
              <w:rPr>
                <w:color w:val="000000"/>
                <w:sz w:val="16"/>
                <w:szCs w:val="16"/>
              </w:rPr>
              <w:t>81 839</w:t>
            </w:r>
          </w:p>
        </w:tc>
        <w:tc>
          <w:tcPr>
            <w:tcW w:w="720" w:type="dxa"/>
            <w:tcBorders>
              <w:top w:val="nil"/>
              <w:left w:val="nil"/>
              <w:bottom w:val="nil"/>
              <w:right w:val="nil"/>
            </w:tcBorders>
            <w:shd w:val="clear" w:color="auto" w:fill="auto"/>
            <w:noWrap/>
            <w:vAlign w:val="center"/>
          </w:tcPr>
          <w:p w14:paraId="714D75A3" w14:textId="6CC9274F" w:rsidR="00165DD6" w:rsidRPr="009E6D43" w:rsidRDefault="00165DD6" w:rsidP="00165DD6">
            <w:pPr>
              <w:tabs>
                <w:tab w:val="decimal" w:pos="357"/>
              </w:tabs>
              <w:jc w:val="left"/>
              <w:rPr>
                <w:color w:val="000000"/>
                <w:sz w:val="16"/>
                <w:szCs w:val="16"/>
                <w:highlight w:val="yellow"/>
              </w:rPr>
            </w:pPr>
            <w:r w:rsidRPr="009E6D43">
              <w:rPr>
                <w:color w:val="000000"/>
                <w:sz w:val="16"/>
                <w:szCs w:val="16"/>
              </w:rPr>
              <w:t>7.9</w:t>
            </w:r>
          </w:p>
        </w:tc>
        <w:tc>
          <w:tcPr>
            <w:tcW w:w="763" w:type="dxa"/>
            <w:tcBorders>
              <w:top w:val="nil"/>
              <w:left w:val="nil"/>
              <w:bottom w:val="nil"/>
              <w:right w:val="nil"/>
            </w:tcBorders>
            <w:shd w:val="clear" w:color="auto" w:fill="auto"/>
            <w:noWrap/>
            <w:vAlign w:val="center"/>
          </w:tcPr>
          <w:p w14:paraId="43A6D6E4" w14:textId="254F884A" w:rsidR="00165DD6" w:rsidRPr="009E6D43" w:rsidRDefault="00165DD6" w:rsidP="00165DD6">
            <w:pPr>
              <w:tabs>
                <w:tab w:val="decimal" w:pos="357"/>
              </w:tabs>
              <w:jc w:val="left"/>
              <w:rPr>
                <w:color w:val="000000"/>
                <w:sz w:val="16"/>
                <w:szCs w:val="16"/>
                <w:highlight w:val="yellow"/>
              </w:rPr>
            </w:pPr>
            <w:r w:rsidRPr="009E6D43">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728EB939" w14:textId="76EDB592" w:rsidR="00165DD6" w:rsidRPr="009E6D43" w:rsidRDefault="00165DD6" w:rsidP="00165DD6">
            <w:pPr>
              <w:tabs>
                <w:tab w:val="decimal" w:pos="389"/>
              </w:tabs>
              <w:jc w:val="left"/>
              <w:rPr>
                <w:color w:val="000000"/>
                <w:sz w:val="16"/>
                <w:szCs w:val="16"/>
                <w:highlight w:val="yellow"/>
              </w:rPr>
            </w:pPr>
            <w:r w:rsidRPr="009E6D43">
              <w:rPr>
                <w:color w:val="000000"/>
                <w:sz w:val="16"/>
                <w:szCs w:val="16"/>
              </w:rPr>
              <w:t>0.0</w:t>
            </w:r>
          </w:p>
        </w:tc>
      </w:tr>
      <w:tr w:rsidR="00165DD6" w:rsidRPr="009E6D43" w14:paraId="4340A374"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7B9085E9"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726E2764" w14:textId="0F016F8C" w:rsidR="00165DD6" w:rsidRPr="009E6D43" w:rsidRDefault="00165DD6" w:rsidP="00165DD6">
            <w:pPr>
              <w:tabs>
                <w:tab w:val="decimal" w:pos="821"/>
              </w:tabs>
              <w:jc w:val="left"/>
              <w:rPr>
                <w:color w:val="000000"/>
                <w:sz w:val="16"/>
                <w:szCs w:val="16"/>
                <w:highlight w:val="yellow"/>
                <w:lang w:val="es-MX" w:eastAsia="es-MX"/>
              </w:rPr>
            </w:pPr>
            <w:r w:rsidRPr="009E6D43">
              <w:rPr>
                <w:color w:val="000000"/>
                <w:sz w:val="16"/>
                <w:szCs w:val="16"/>
              </w:rPr>
              <w:t xml:space="preserve"> 36 363 448</w:t>
            </w:r>
          </w:p>
        </w:tc>
        <w:tc>
          <w:tcPr>
            <w:tcW w:w="1020" w:type="dxa"/>
            <w:tcBorders>
              <w:top w:val="nil"/>
              <w:left w:val="nil"/>
              <w:bottom w:val="nil"/>
              <w:right w:val="nil"/>
            </w:tcBorders>
            <w:shd w:val="clear" w:color="auto" w:fill="auto"/>
            <w:noWrap/>
            <w:vAlign w:val="center"/>
          </w:tcPr>
          <w:p w14:paraId="06EA08F7" w14:textId="21988B3F" w:rsidR="00165DD6" w:rsidRPr="009E6D43" w:rsidRDefault="00165DD6" w:rsidP="00165DD6">
            <w:pPr>
              <w:tabs>
                <w:tab w:val="decimal" w:pos="836"/>
              </w:tabs>
              <w:jc w:val="left"/>
              <w:rPr>
                <w:bCs/>
                <w:color w:val="000000"/>
                <w:sz w:val="16"/>
                <w:szCs w:val="16"/>
              </w:rPr>
            </w:pPr>
            <w:r w:rsidRPr="009E6D43">
              <w:rPr>
                <w:color w:val="000000"/>
                <w:sz w:val="16"/>
                <w:szCs w:val="16"/>
              </w:rPr>
              <w:t xml:space="preserve"> 37 345 814</w:t>
            </w:r>
          </w:p>
        </w:tc>
        <w:tc>
          <w:tcPr>
            <w:tcW w:w="1013" w:type="dxa"/>
            <w:tcBorders>
              <w:top w:val="nil"/>
              <w:left w:val="nil"/>
              <w:bottom w:val="nil"/>
              <w:right w:val="single" w:sz="4" w:space="0" w:color="1F497D"/>
            </w:tcBorders>
            <w:shd w:val="clear" w:color="auto" w:fill="auto"/>
            <w:noWrap/>
            <w:vAlign w:val="center"/>
          </w:tcPr>
          <w:p w14:paraId="5B6692EB" w14:textId="74E11EE7" w:rsidR="00165DD6" w:rsidRPr="009E6D43" w:rsidRDefault="00165DD6" w:rsidP="00165DD6">
            <w:pPr>
              <w:tabs>
                <w:tab w:val="decimal" w:pos="839"/>
              </w:tabs>
              <w:jc w:val="left"/>
              <w:rPr>
                <w:color w:val="000000"/>
                <w:sz w:val="16"/>
                <w:szCs w:val="16"/>
                <w:highlight w:val="yellow"/>
                <w:lang w:val="es-MX" w:eastAsia="es-MX"/>
              </w:rPr>
            </w:pPr>
            <w:r w:rsidRPr="009E6D43">
              <w:rPr>
                <w:color w:val="000000"/>
                <w:sz w:val="16"/>
                <w:szCs w:val="16"/>
              </w:rPr>
              <w:t xml:space="preserve">  982 366</w:t>
            </w:r>
          </w:p>
        </w:tc>
        <w:tc>
          <w:tcPr>
            <w:tcW w:w="720" w:type="dxa"/>
            <w:tcBorders>
              <w:top w:val="nil"/>
              <w:left w:val="nil"/>
              <w:bottom w:val="nil"/>
              <w:right w:val="nil"/>
            </w:tcBorders>
            <w:shd w:val="clear" w:color="auto" w:fill="auto"/>
            <w:noWrap/>
            <w:vAlign w:val="center"/>
          </w:tcPr>
          <w:p w14:paraId="091F1B24" w14:textId="67CC5E97"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62.7</w:t>
            </w:r>
          </w:p>
        </w:tc>
        <w:tc>
          <w:tcPr>
            <w:tcW w:w="763" w:type="dxa"/>
            <w:tcBorders>
              <w:top w:val="nil"/>
              <w:left w:val="nil"/>
              <w:bottom w:val="nil"/>
              <w:right w:val="nil"/>
            </w:tcBorders>
            <w:shd w:val="clear" w:color="auto" w:fill="auto"/>
            <w:noWrap/>
            <w:vAlign w:val="center"/>
          </w:tcPr>
          <w:p w14:paraId="0960D86C" w14:textId="42F3656F"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63.1</w:t>
            </w:r>
          </w:p>
        </w:tc>
        <w:tc>
          <w:tcPr>
            <w:tcW w:w="916" w:type="dxa"/>
            <w:tcBorders>
              <w:top w:val="nil"/>
              <w:left w:val="nil"/>
              <w:bottom w:val="nil"/>
              <w:right w:val="single" w:sz="4" w:space="0" w:color="1F497D"/>
            </w:tcBorders>
            <w:shd w:val="clear" w:color="auto" w:fill="auto"/>
            <w:noWrap/>
            <w:vAlign w:val="center"/>
          </w:tcPr>
          <w:p w14:paraId="635B5E61" w14:textId="7144484B" w:rsidR="00165DD6" w:rsidRPr="009E6D43" w:rsidRDefault="00165DD6" w:rsidP="00165DD6">
            <w:pPr>
              <w:tabs>
                <w:tab w:val="decimal" w:pos="389"/>
              </w:tabs>
              <w:jc w:val="left"/>
              <w:rPr>
                <w:color w:val="000000"/>
                <w:sz w:val="16"/>
                <w:szCs w:val="16"/>
                <w:highlight w:val="yellow"/>
                <w:lang w:val="es-MX" w:eastAsia="es-MX"/>
              </w:rPr>
            </w:pPr>
            <w:r w:rsidRPr="009E6D43">
              <w:rPr>
                <w:color w:val="000000"/>
                <w:sz w:val="16"/>
                <w:szCs w:val="16"/>
              </w:rPr>
              <w:t>0.4</w:t>
            </w:r>
          </w:p>
        </w:tc>
      </w:tr>
      <w:tr w:rsidR="00165DD6" w:rsidRPr="009E6D43" w14:paraId="40F9D2D7"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21CB686B" w14:textId="77777777" w:rsidR="00165DD6" w:rsidRPr="009E6D43" w:rsidRDefault="00165DD6" w:rsidP="00165DD6">
            <w:pPr>
              <w:ind w:left="313" w:firstLineChars="4" w:firstLine="6"/>
              <w:jc w:val="left"/>
              <w:rPr>
                <w:sz w:val="16"/>
                <w:szCs w:val="16"/>
                <w:lang w:val="es-MX" w:eastAsia="es-MX"/>
              </w:rPr>
            </w:pPr>
            <w:r w:rsidRPr="009E6D43">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13718B18" w14:textId="176370B5"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11 018 482</w:t>
            </w:r>
          </w:p>
        </w:tc>
        <w:tc>
          <w:tcPr>
            <w:tcW w:w="1020" w:type="dxa"/>
            <w:tcBorders>
              <w:top w:val="nil"/>
              <w:left w:val="nil"/>
              <w:bottom w:val="nil"/>
              <w:right w:val="nil"/>
            </w:tcBorders>
            <w:shd w:val="clear" w:color="auto" w:fill="auto"/>
            <w:noWrap/>
            <w:vAlign w:val="center"/>
          </w:tcPr>
          <w:p w14:paraId="05F1D05E" w14:textId="37C4EA10" w:rsidR="00165DD6" w:rsidRPr="009E6D43" w:rsidRDefault="00165DD6" w:rsidP="00165DD6">
            <w:pPr>
              <w:tabs>
                <w:tab w:val="decimal" w:pos="836"/>
              </w:tabs>
              <w:jc w:val="left"/>
              <w:rPr>
                <w:bCs/>
                <w:color w:val="000000"/>
                <w:sz w:val="16"/>
                <w:szCs w:val="16"/>
              </w:rPr>
            </w:pPr>
            <w:r w:rsidRPr="009E6D43">
              <w:rPr>
                <w:color w:val="000000"/>
                <w:sz w:val="16"/>
                <w:szCs w:val="16"/>
              </w:rPr>
              <w:t xml:space="preserve"> 11 537 571</w:t>
            </w:r>
          </w:p>
        </w:tc>
        <w:tc>
          <w:tcPr>
            <w:tcW w:w="1013" w:type="dxa"/>
            <w:tcBorders>
              <w:top w:val="nil"/>
              <w:left w:val="nil"/>
              <w:bottom w:val="nil"/>
              <w:right w:val="single" w:sz="4" w:space="0" w:color="1F497D"/>
            </w:tcBorders>
            <w:shd w:val="clear" w:color="auto" w:fill="auto"/>
            <w:noWrap/>
            <w:vAlign w:val="center"/>
          </w:tcPr>
          <w:p w14:paraId="28D365EA" w14:textId="74E5C423" w:rsidR="00165DD6" w:rsidRPr="009E6D43" w:rsidRDefault="00165DD6" w:rsidP="00165DD6">
            <w:pPr>
              <w:tabs>
                <w:tab w:val="decimal" w:pos="839"/>
              </w:tabs>
              <w:jc w:val="left"/>
              <w:rPr>
                <w:color w:val="000000"/>
                <w:sz w:val="16"/>
                <w:szCs w:val="16"/>
                <w:highlight w:val="yellow"/>
              </w:rPr>
            </w:pPr>
            <w:r w:rsidRPr="009E6D43">
              <w:rPr>
                <w:color w:val="000000"/>
                <w:sz w:val="16"/>
                <w:szCs w:val="16"/>
              </w:rPr>
              <w:t xml:space="preserve">  519 089</w:t>
            </w:r>
          </w:p>
        </w:tc>
        <w:tc>
          <w:tcPr>
            <w:tcW w:w="720" w:type="dxa"/>
            <w:tcBorders>
              <w:top w:val="nil"/>
              <w:left w:val="nil"/>
              <w:bottom w:val="nil"/>
              <w:right w:val="nil"/>
            </w:tcBorders>
            <w:shd w:val="clear" w:color="auto" w:fill="auto"/>
            <w:noWrap/>
            <w:vAlign w:val="center"/>
          </w:tcPr>
          <w:p w14:paraId="50F98B96" w14:textId="4A67A6FB" w:rsidR="00165DD6" w:rsidRPr="009E6D43" w:rsidRDefault="00165DD6" w:rsidP="00165DD6">
            <w:pPr>
              <w:tabs>
                <w:tab w:val="decimal" w:pos="357"/>
              </w:tabs>
              <w:jc w:val="left"/>
              <w:rPr>
                <w:color w:val="000000"/>
                <w:sz w:val="16"/>
                <w:szCs w:val="16"/>
                <w:highlight w:val="yellow"/>
              </w:rPr>
            </w:pPr>
            <w:r w:rsidRPr="009E6D43">
              <w:rPr>
                <w:color w:val="000000"/>
                <w:sz w:val="16"/>
                <w:szCs w:val="16"/>
              </w:rPr>
              <w:t>19.0</w:t>
            </w:r>
          </w:p>
        </w:tc>
        <w:tc>
          <w:tcPr>
            <w:tcW w:w="763" w:type="dxa"/>
            <w:tcBorders>
              <w:top w:val="nil"/>
              <w:left w:val="nil"/>
              <w:bottom w:val="nil"/>
              <w:right w:val="nil"/>
            </w:tcBorders>
            <w:shd w:val="clear" w:color="auto" w:fill="auto"/>
            <w:noWrap/>
            <w:vAlign w:val="center"/>
          </w:tcPr>
          <w:p w14:paraId="106CE192" w14:textId="43C2F6F3" w:rsidR="00165DD6" w:rsidRPr="009E6D43" w:rsidRDefault="00165DD6" w:rsidP="00165DD6">
            <w:pPr>
              <w:tabs>
                <w:tab w:val="decimal" w:pos="357"/>
              </w:tabs>
              <w:jc w:val="left"/>
              <w:rPr>
                <w:color w:val="000000"/>
                <w:sz w:val="16"/>
                <w:szCs w:val="16"/>
                <w:highlight w:val="yellow"/>
              </w:rPr>
            </w:pPr>
            <w:r w:rsidRPr="009E6D43">
              <w:rPr>
                <w:color w:val="000000"/>
                <w:sz w:val="16"/>
                <w:szCs w:val="16"/>
              </w:rPr>
              <w:t>19.5</w:t>
            </w:r>
          </w:p>
        </w:tc>
        <w:tc>
          <w:tcPr>
            <w:tcW w:w="916" w:type="dxa"/>
            <w:tcBorders>
              <w:top w:val="nil"/>
              <w:left w:val="nil"/>
              <w:bottom w:val="nil"/>
              <w:right w:val="single" w:sz="4" w:space="0" w:color="1F497D"/>
            </w:tcBorders>
            <w:shd w:val="clear" w:color="auto" w:fill="auto"/>
            <w:noWrap/>
            <w:vAlign w:val="center"/>
          </w:tcPr>
          <w:p w14:paraId="3C165CFB" w14:textId="78029E9D" w:rsidR="00165DD6" w:rsidRPr="009E6D43" w:rsidRDefault="00165DD6" w:rsidP="00165DD6">
            <w:pPr>
              <w:tabs>
                <w:tab w:val="decimal" w:pos="389"/>
              </w:tabs>
              <w:jc w:val="left"/>
              <w:rPr>
                <w:color w:val="000000"/>
                <w:sz w:val="16"/>
                <w:szCs w:val="16"/>
                <w:highlight w:val="yellow"/>
              </w:rPr>
            </w:pPr>
            <w:r w:rsidRPr="009E6D43">
              <w:rPr>
                <w:color w:val="000000"/>
                <w:sz w:val="16"/>
                <w:szCs w:val="16"/>
              </w:rPr>
              <w:t>0.5</w:t>
            </w:r>
          </w:p>
        </w:tc>
      </w:tr>
      <w:tr w:rsidR="00165DD6" w:rsidRPr="009E6D43" w14:paraId="3EC00725"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4B1A4AC9" w14:textId="77777777" w:rsidR="00165DD6" w:rsidRPr="009E6D43" w:rsidRDefault="00165DD6" w:rsidP="00165DD6">
            <w:pPr>
              <w:ind w:left="313" w:firstLineChars="4" w:firstLine="6"/>
              <w:jc w:val="left"/>
              <w:rPr>
                <w:sz w:val="16"/>
                <w:szCs w:val="16"/>
                <w:lang w:val="es-MX" w:eastAsia="es-MX"/>
              </w:rPr>
            </w:pPr>
            <w:r w:rsidRPr="009E6D43">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4AB3E234" w14:textId="6C0546E8"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4 702 110</w:t>
            </w:r>
          </w:p>
        </w:tc>
        <w:tc>
          <w:tcPr>
            <w:tcW w:w="1020" w:type="dxa"/>
            <w:tcBorders>
              <w:top w:val="nil"/>
              <w:left w:val="nil"/>
              <w:bottom w:val="nil"/>
              <w:right w:val="nil"/>
            </w:tcBorders>
            <w:shd w:val="clear" w:color="auto" w:fill="auto"/>
            <w:noWrap/>
            <w:vAlign w:val="center"/>
          </w:tcPr>
          <w:p w14:paraId="71F9AEEB" w14:textId="7CEE6435" w:rsidR="00165DD6" w:rsidRPr="009E6D43" w:rsidRDefault="00165DD6" w:rsidP="00165DD6">
            <w:pPr>
              <w:tabs>
                <w:tab w:val="decimal" w:pos="836"/>
              </w:tabs>
              <w:jc w:val="left"/>
              <w:rPr>
                <w:bCs/>
                <w:color w:val="000000"/>
                <w:sz w:val="16"/>
                <w:szCs w:val="16"/>
              </w:rPr>
            </w:pPr>
            <w:r w:rsidRPr="009E6D43">
              <w:rPr>
                <w:color w:val="000000"/>
                <w:sz w:val="16"/>
                <w:szCs w:val="16"/>
              </w:rPr>
              <w:t xml:space="preserve"> 4 484 396</w:t>
            </w:r>
          </w:p>
        </w:tc>
        <w:tc>
          <w:tcPr>
            <w:tcW w:w="1013" w:type="dxa"/>
            <w:tcBorders>
              <w:top w:val="nil"/>
              <w:left w:val="nil"/>
              <w:bottom w:val="nil"/>
              <w:right w:val="single" w:sz="4" w:space="0" w:color="1F497D"/>
            </w:tcBorders>
            <w:shd w:val="clear" w:color="auto" w:fill="auto"/>
            <w:noWrap/>
            <w:vAlign w:val="center"/>
          </w:tcPr>
          <w:p w14:paraId="12B858E5" w14:textId="407D8B75" w:rsidR="00165DD6" w:rsidRPr="009E6D43" w:rsidRDefault="00165DD6" w:rsidP="00165DD6">
            <w:pPr>
              <w:tabs>
                <w:tab w:val="decimal" w:pos="839"/>
              </w:tabs>
              <w:jc w:val="left"/>
              <w:rPr>
                <w:color w:val="000000"/>
                <w:sz w:val="16"/>
                <w:szCs w:val="16"/>
                <w:highlight w:val="yellow"/>
              </w:rPr>
            </w:pPr>
            <w:r w:rsidRPr="009E6D43">
              <w:rPr>
                <w:color w:val="000000"/>
                <w:sz w:val="16"/>
                <w:szCs w:val="16"/>
              </w:rPr>
              <w:t>-217 714</w:t>
            </w:r>
          </w:p>
        </w:tc>
        <w:tc>
          <w:tcPr>
            <w:tcW w:w="720" w:type="dxa"/>
            <w:tcBorders>
              <w:top w:val="nil"/>
              <w:left w:val="nil"/>
              <w:bottom w:val="nil"/>
              <w:right w:val="nil"/>
            </w:tcBorders>
            <w:shd w:val="clear" w:color="auto" w:fill="auto"/>
            <w:noWrap/>
            <w:vAlign w:val="center"/>
          </w:tcPr>
          <w:p w14:paraId="453715D8" w14:textId="7BC48276" w:rsidR="00165DD6" w:rsidRPr="009E6D43" w:rsidRDefault="00165DD6" w:rsidP="00165DD6">
            <w:pPr>
              <w:tabs>
                <w:tab w:val="decimal" w:pos="357"/>
              </w:tabs>
              <w:jc w:val="left"/>
              <w:rPr>
                <w:color w:val="000000"/>
                <w:sz w:val="16"/>
                <w:szCs w:val="16"/>
                <w:highlight w:val="yellow"/>
              </w:rPr>
            </w:pPr>
            <w:r w:rsidRPr="009E6D43">
              <w:rPr>
                <w:color w:val="000000"/>
                <w:sz w:val="16"/>
                <w:szCs w:val="16"/>
              </w:rPr>
              <w:t>8.1</w:t>
            </w:r>
          </w:p>
        </w:tc>
        <w:tc>
          <w:tcPr>
            <w:tcW w:w="763" w:type="dxa"/>
            <w:tcBorders>
              <w:top w:val="nil"/>
              <w:left w:val="nil"/>
              <w:bottom w:val="nil"/>
              <w:right w:val="nil"/>
            </w:tcBorders>
            <w:shd w:val="clear" w:color="auto" w:fill="auto"/>
            <w:noWrap/>
            <w:vAlign w:val="center"/>
          </w:tcPr>
          <w:p w14:paraId="6D4DD256" w14:textId="40FA9A27" w:rsidR="00165DD6" w:rsidRPr="009E6D43" w:rsidRDefault="00165DD6" w:rsidP="00165DD6">
            <w:pPr>
              <w:tabs>
                <w:tab w:val="decimal" w:pos="357"/>
              </w:tabs>
              <w:jc w:val="left"/>
              <w:rPr>
                <w:color w:val="000000"/>
                <w:sz w:val="16"/>
                <w:szCs w:val="16"/>
                <w:highlight w:val="yellow"/>
              </w:rPr>
            </w:pPr>
            <w:r w:rsidRPr="009E6D43">
              <w:rPr>
                <w:color w:val="000000"/>
                <w:sz w:val="16"/>
                <w:szCs w:val="16"/>
              </w:rPr>
              <w:t>7.6</w:t>
            </w:r>
          </w:p>
        </w:tc>
        <w:tc>
          <w:tcPr>
            <w:tcW w:w="916" w:type="dxa"/>
            <w:tcBorders>
              <w:top w:val="nil"/>
              <w:left w:val="nil"/>
              <w:bottom w:val="nil"/>
              <w:right w:val="single" w:sz="4" w:space="0" w:color="1F497D"/>
            </w:tcBorders>
            <w:shd w:val="clear" w:color="auto" w:fill="auto"/>
            <w:noWrap/>
            <w:vAlign w:val="center"/>
          </w:tcPr>
          <w:p w14:paraId="5D8B2966" w14:textId="2611CE64" w:rsidR="00165DD6" w:rsidRPr="009E6D43" w:rsidRDefault="00165DD6" w:rsidP="00165DD6">
            <w:pPr>
              <w:tabs>
                <w:tab w:val="decimal" w:pos="389"/>
              </w:tabs>
              <w:jc w:val="left"/>
              <w:rPr>
                <w:color w:val="000000"/>
                <w:sz w:val="16"/>
                <w:szCs w:val="16"/>
                <w:highlight w:val="yellow"/>
              </w:rPr>
            </w:pPr>
            <w:r w:rsidRPr="009E6D43">
              <w:rPr>
                <w:color w:val="000000"/>
                <w:sz w:val="16"/>
                <w:szCs w:val="16"/>
              </w:rPr>
              <w:t>-0.5</w:t>
            </w:r>
          </w:p>
        </w:tc>
      </w:tr>
      <w:tr w:rsidR="00165DD6" w:rsidRPr="009E6D43" w14:paraId="7EB6A833"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67DEEF28" w14:textId="77777777" w:rsidR="00165DD6" w:rsidRPr="009E6D43" w:rsidRDefault="00165DD6" w:rsidP="00165DD6">
            <w:pPr>
              <w:ind w:left="313" w:right="-91" w:firstLineChars="4" w:firstLine="6"/>
              <w:jc w:val="left"/>
              <w:rPr>
                <w:spacing w:val="-2"/>
                <w:sz w:val="16"/>
                <w:szCs w:val="16"/>
                <w:lang w:val="es-MX" w:eastAsia="es-MX"/>
              </w:rPr>
            </w:pPr>
            <w:r w:rsidRPr="009E6D43">
              <w:rPr>
                <w:spacing w:val="-2"/>
                <w:sz w:val="16"/>
                <w:szCs w:val="16"/>
                <w:lang w:val="es-MX" w:eastAsia="es-MX"/>
              </w:rPr>
              <w:t>Transportes, comunicaciones, correo y almacenamiento</w:t>
            </w:r>
          </w:p>
        </w:tc>
        <w:tc>
          <w:tcPr>
            <w:tcW w:w="1020" w:type="dxa"/>
            <w:tcBorders>
              <w:top w:val="nil"/>
              <w:left w:val="single" w:sz="4" w:space="0" w:color="1F497D"/>
              <w:bottom w:val="nil"/>
              <w:right w:val="nil"/>
            </w:tcBorders>
            <w:shd w:val="clear" w:color="auto" w:fill="auto"/>
            <w:noWrap/>
            <w:vAlign w:val="center"/>
          </w:tcPr>
          <w:p w14:paraId="6E89ADC4" w14:textId="4F0DB5ED"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3 060 803</w:t>
            </w:r>
          </w:p>
        </w:tc>
        <w:tc>
          <w:tcPr>
            <w:tcW w:w="1020" w:type="dxa"/>
            <w:tcBorders>
              <w:top w:val="nil"/>
              <w:left w:val="nil"/>
              <w:bottom w:val="nil"/>
              <w:right w:val="nil"/>
            </w:tcBorders>
            <w:shd w:val="clear" w:color="auto" w:fill="auto"/>
            <w:noWrap/>
            <w:vAlign w:val="center"/>
          </w:tcPr>
          <w:p w14:paraId="32DC290C" w14:textId="63BB5CF4" w:rsidR="00165DD6" w:rsidRPr="009E6D43" w:rsidRDefault="00165DD6" w:rsidP="00165DD6">
            <w:pPr>
              <w:tabs>
                <w:tab w:val="decimal" w:pos="836"/>
              </w:tabs>
              <w:jc w:val="left"/>
              <w:rPr>
                <w:bCs/>
                <w:color w:val="000000"/>
                <w:sz w:val="16"/>
                <w:szCs w:val="16"/>
              </w:rPr>
            </w:pPr>
            <w:r w:rsidRPr="009E6D43">
              <w:rPr>
                <w:color w:val="000000"/>
                <w:sz w:val="16"/>
                <w:szCs w:val="16"/>
              </w:rPr>
              <w:t xml:space="preserve"> 3 380 028</w:t>
            </w:r>
          </w:p>
        </w:tc>
        <w:tc>
          <w:tcPr>
            <w:tcW w:w="1013" w:type="dxa"/>
            <w:tcBorders>
              <w:top w:val="nil"/>
              <w:left w:val="nil"/>
              <w:bottom w:val="nil"/>
              <w:right w:val="single" w:sz="4" w:space="0" w:color="1F497D"/>
            </w:tcBorders>
            <w:shd w:val="clear" w:color="auto" w:fill="auto"/>
            <w:noWrap/>
            <w:vAlign w:val="center"/>
          </w:tcPr>
          <w:p w14:paraId="431F7A1D" w14:textId="1AD83030" w:rsidR="00165DD6" w:rsidRPr="009E6D43" w:rsidRDefault="00165DD6" w:rsidP="00165DD6">
            <w:pPr>
              <w:tabs>
                <w:tab w:val="decimal" w:pos="839"/>
              </w:tabs>
              <w:jc w:val="left"/>
              <w:rPr>
                <w:color w:val="000000"/>
                <w:sz w:val="16"/>
                <w:szCs w:val="16"/>
              </w:rPr>
            </w:pPr>
            <w:r w:rsidRPr="009E6D43">
              <w:rPr>
                <w:color w:val="000000"/>
                <w:sz w:val="16"/>
                <w:szCs w:val="16"/>
              </w:rPr>
              <w:t>319 225</w:t>
            </w:r>
          </w:p>
        </w:tc>
        <w:tc>
          <w:tcPr>
            <w:tcW w:w="720" w:type="dxa"/>
            <w:tcBorders>
              <w:top w:val="nil"/>
              <w:left w:val="nil"/>
              <w:bottom w:val="nil"/>
              <w:right w:val="nil"/>
            </w:tcBorders>
            <w:shd w:val="clear" w:color="auto" w:fill="auto"/>
            <w:noWrap/>
            <w:vAlign w:val="center"/>
          </w:tcPr>
          <w:p w14:paraId="299C92B0" w14:textId="681B5C63" w:rsidR="00165DD6" w:rsidRPr="009E6D43" w:rsidRDefault="00165DD6" w:rsidP="00165DD6">
            <w:pPr>
              <w:tabs>
                <w:tab w:val="decimal" w:pos="357"/>
              </w:tabs>
              <w:jc w:val="left"/>
              <w:rPr>
                <w:color w:val="000000"/>
                <w:sz w:val="16"/>
                <w:szCs w:val="16"/>
                <w:highlight w:val="yellow"/>
              </w:rPr>
            </w:pPr>
            <w:r w:rsidRPr="009E6D43">
              <w:rPr>
                <w:color w:val="000000"/>
                <w:sz w:val="16"/>
                <w:szCs w:val="16"/>
              </w:rPr>
              <w:t>5.3</w:t>
            </w:r>
          </w:p>
        </w:tc>
        <w:tc>
          <w:tcPr>
            <w:tcW w:w="763" w:type="dxa"/>
            <w:tcBorders>
              <w:top w:val="nil"/>
              <w:left w:val="nil"/>
              <w:bottom w:val="nil"/>
              <w:right w:val="nil"/>
            </w:tcBorders>
            <w:shd w:val="clear" w:color="auto" w:fill="auto"/>
            <w:noWrap/>
            <w:vAlign w:val="center"/>
          </w:tcPr>
          <w:p w14:paraId="76B42FD8" w14:textId="29920659" w:rsidR="00165DD6" w:rsidRPr="009E6D43" w:rsidRDefault="00165DD6" w:rsidP="00165DD6">
            <w:pPr>
              <w:tabs>
                <w:tab w:val="decimal" w:pos="357"/>
              </w:tabs>
              <w:jc w:val="left"/>
              <w:rPr>
                <w:color w:val="000000"/>
                <w:sz w:val="16"/>
                <w:szCs w:val="16"/>
                <w:highlight w:val="yellow"/>
              </w:rPr>
            </w:pPr>
            <w:r w:rsidRPr="009E6D43">
              <w:rPr>
                <w:color w:val="000000"/>
                <w:sz w:val="16"/>
                <w:szCs w:val="16"/>
              </w:rPr>
              <w:t>5.7</w:t>
            </w:r>
          </w:p>
        </w:tc>
        <w:tc>
          <w:tcPr>
            <w:tcW w:w="916" w:type="dxa"/>
            <w:tcBorders>
              <w:top w:val="nil"/>
              <w:left w:val="nil"/>
              <w:bottom w:val="nil"/>
              <w:right w:val="single" w:sz="4" w:space="0" w:color="1F497D"/>
            </w:tcBorders>
            <w:shd w:val="clear" w:color="auto" w:fill="auto"/>
            <w:noWrap/>
            <w:vAlign w:val="center"/>
          </w:tcPr>
          <w:p w14:paraId="799C5D5D" w14:textId="3FF7303F" w:rsidR="00165DD6" w:rsidRPr="009E6D43" w:rsidRDefault="00165DD6" w:rsidP="00165DD6">
            <w:pPr>
              <w:tabs>
                <w:tab w:val="decimal" w:pos="389"/>
              </w:tabs>
              <w:jc w:val="left"/>
              <w:rPr>
                <w:color w:val="000000"/>
                <w:sz w:val="16"/>
                <w:szCs w:val="16"/>
                <w:highlight w:val="yellow"/>
              </w:rPr>
            </w:pPr>
            <w:r w:rsidRPr="009E6D43">
              <w:rPr>
                <w:color w:val="000000"/>
                <w:sz w:val="16"/>
                <w:szCs w:val="16"/>
              </w:rPr>
              <w:t>0.4</w:t>
            </w:r>
          </w:p>
        </w:tc>
      </w:tr>
      <w:tr w:rsidR="00165DD6" w:rsidRPr="009E6D43" w14:paraId="36273E1B"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405FB0A0" w14:textId="77777777" w:rsidR="00165DD6" w:rsidRPr="009E6D43" w:rsidRDefault="00165DD6" w:rsidP="00165DD6">
            <w:pPr>
              <w:ind w:left="313" w:right="-77" w:firstLineChars="4" w:firstLine="6"/>
              <w:jc w:val="left"/>
              <w:rPr>
                <w:spacing w:val="-2"/>
                <w:sz w:val="16"/>
                <w:szCs w:val="16"/>
                <w:lang w:val="es-MX" w:eastAsia="es-MX"/>
              </w:rPr>
            </w:pPr>
            <w:r w:rsidRPr="009E6D4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3207CCF5" w14:textId="49187F5D"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4 509 784</w:t>
            </w:r>
          </w:p>
        </w:tc>
        <w:tc>
          <w:tcPr>
            <w:tcW w:w="1020" w:type="dxa"/>
            <w:tcBorders>
              <w:top w:val="nil"/>
              <w:left w:val="nil"/>
              <w:bottom w:val="nil"/>
              <w:right w:val="nil"/>
            </w:tcBorders>
            <w:shd w:val="clear" w:color="auto" w:fill="auto"/>
            <w:noWrap/>
            <w:vAlign w:val="center"/>
          </w:tcPr>
          <w:p w14:paraId="704E9CE1" w14:textId="275B9751" w:rsidR="00165DD6" w:rsidRPr="009E6D43" w:rsidRDefault="00165DD6" w:rsidP="00165DD6">
            <w:pPr>
              <w:tabs>
                <w:tab w:val="decimal" w:pos="836"/>
              </w:tabs>
              <w:jc w:val="left"/>
              <w:rPr>
                <w:bCs/>
                <w:color w:val="000000"/>
                <w:sz w:val="16"/>
                <w:szCs w:val="16"/>
              </w:rPr>
            </w:pPr>
            <w:r w:rsidRPr="009E6D43">
              <w:rPr>
                <w:color w:val="000000"/>
                <w:sz w:val="16"/>
                <w:szCs w:val="16"/>
              </w:rPr>
              <w:t xml:space="preserve"> 4 670 342</w:t>
            </w:r>
          </w:p>
        </w:tc>
        <w:tc>
          <w:tcPr>
            <w:tcW w:w="1013" w:type="dxa"/>
            <w:tcBorders>
              <w:top w:val="nil"/>
              <w:left w:val="nil"/>
              <w:bottom w:val="nil"/>
              <w:right w:val="single" w:sz="4" w:space="0" w:color="1F497D"/>
            </w:tcBorders>
            <w:shd w:val="clear" w:color="auto" w:fill="auto"/>
            <w:noWrap/>
            <w:vAlign w:val="center"/>
          </w:tcPr>
          <w:p w14:paraId="12E567B1" w14:textId="566B4264" w:rsidR="00165DD6" w:rsidRPr="009E6D43" w:rsidRDefault="00165DD6" w:rsidP="00165DD6">
            <w:pPr>
              <w:tabs>
                <w:tab w:val="decimal" w:pos="839"/>
              </w:tabs>
              <w:jc w:val="left"/>
              <w:rPr>
                <w:color w:val="000000"/>
                <w:sz w:val="16"/>
                <w:szCs w:val="16"/>
                <w:highlight w:val="yellow"/>
              </w:rPr>
            </w:pPr>
            <w:r w:rsidRPr="009E6D43">
              <w:rPr>
                <w:color w:val="000000"/>
                <w:sz w:val="16"/>
                <w:szCs w:val="16"/>
              </w:rPr>
              <w:t>160 558</w:t>
            </w:r>
          </w:p>
        </w:tc>
        <w:tc>
          <w:tcPr>
            <w:tcW w:w="720" w:type="dxa"/>
            <w:tcBorders>
              <w:top w:val="nil"/>
              <w:left w:val="nil"/>
              <w:bottom w:val="nil"/>
              <w:right w:val="nil"/>
            </w:tcBorders>
            <w:shd w:val="clear" w:color="auto" w:fill="auto"/>
            <w:noWrap/>
            <w:vAlign w:val="center"/>
          </w:tcPr>
          <w:p w14:paraId="05C79FD6" w14:textId="619F285B" w:rsidR="00165DD6" w:rsidRPr="009E6D43" w:rsidRDefault="00165DD6" w:rsidP="00165DD6">
            <w:pPr>
              <w:tabs>
                <w:tab w:val="decimal" w:pos="357"/>
              </w:tabs>
              <w:jc w:val="left"/>
              <w:rPr>
                <w:color w:val="000000"/>
                <w:sz w:val="16"/>
                <w:szCs w:val="16"/>
                <w:highlight w:val="yellow"/>
              </w:rPr>
            </w:pPr>
            <w:r w:rsidRPr="009E6D43">
              <w:rPr>
                <w:color w:val="000000"/>
                <w:sz w:val="16"/>
                <w:szCs w:val="16"/>
              </w:rPr>
              <w:t>7.8</w:t>
            </w:r>
          </w:p>
        </w:tc>
        <w:tc>
          <w:tcPr>
            <w:tcW w:w="763" w:type="dxa"/>
            <w:tcBorders>
              <w:top w:val="nil"/>
              <w:left w:val="nil"/>
              <w:bottom w:val="nil"/>
              <w:right w:val="nil"/>
            </w:tcBorders>
            <w:shd w:val="clear" w:color="auto" w:fill="auto"/>
            <w:noWrap/>
            <w:vAlign w:val="center"/>
          </w:tcPr>
          <w:p w14:paraId="564B8080" w14:textId="6297A77F" w:rsidR="00165DD6" w:rsidRPr="009E6D43" w:rsidRDefault="00165DD6" w:rsidP="00165DD6">
            <w:pPr>
              <w:tabs>
                <w:tab w:val="decimal" w:pos="357"/>
              </w:tabs>
              <w:jc w:val="left"/>
              <w:rPr>
                <w:color w:val="000000"/>
                <w:sz w:val="16"/>
                <w:szCs w:val="16"/>
                <w:highlight w:val="yellow"/>
              </w:rPr>
            </w:pPr>
            <w:r w:rsidRPr="009E6D43">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298D8B56" w14:textId="2EF3A629" w:rsidR="00165DD6" w:rsidRPr="009E6D43" w:rsidRDefault="00165DD6" w:rsidP="00165DD6">
            <w:pPr>
              <w:tabs>
                <w:tab w:val="decimal" w:pos="389"/>
              </w:tabs>
              <w:jc w:val="left"/>
              <w:rPr>
                <w:color w:val="000000"/>
                <w:sz w:val="16"/>
                <w:szCs w:val="16"/>
                <w:highlight w:val="yellow"/>
              </w:rPr>
            </w:pPr>
            <w:r w:rsidRPr="009E6D43">
              <w:rPr>
                <w:color w:val="000000"/>
                <w:sz w:val="16"/>
                <w:szCs w:val="16"/>
              </w:rPr>
              <w:t>0.1</w:t>
            </w:r>
          </w:p>
        </w:tc>
      </w:tr>
      <w:tr w:rsidR="00165DD6" w:rsidRPr="009E6D43" w14:paraId="1782822D"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1A865FD0" w14:textId="77777777" w:rsidR="00165DD6" w:rsidRPr="009E6D43" w:rsidRDefault="00165DD6" w:rsidP="00165DD6">
            <w:pPr>
              <w:ind w:left="313" w:firstLineChars="4" w:firstLine="6"/>
              <w:jc w:val="left"/>
              <w:rPr>
                <w:sz w:val="16"/>
                <w:szCs w:val="16"/>
                <w:lang w:val="es-MX" w:eastAsia="es-MX"/>
              </w:rPr>
            </w:pPr>
            <w:r w:rsidRPr="009E6D43">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30166569" w14:textId="57154E37"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4 804 507</w:t>
            </w:r>
          </w:p>
        </w:tc>
        <w:tc>
          <w:tcPr>
            <w:tcW w:w="1020" w:type="dxa"/>
            <w:tcBorders>
              <w:top w:val="nil"/>
              <w:left w:val="nil"/>
              <w:bottom w:val="nil"/>
              <w:right w:val="nil"/>
            </w:tcBorders>
            <w:shd w:val="clear" w:color="auto" w:fill="auto"/>
            <w:noWrap/>
            <w:vAlign w:val="center"/>
          </w:tcPr>
          <w:p w14:paraId="663D457C" w14:textId="61C9095A" w:rsidR="00165DD6" w:rsidRPr="009E6D43" w:rsidRDefault="00165DD6" w:rsidP="00165DD6">
            <w:pPr>
              <w:tabs>
                <w:tab w:val="decimal" w:pos="836"/>
              </w:tabs>
              <w:jc w:val="left"/>
              <w:rPr>
                <w:bCs/>
                <w:color w:val="000000"/>
                <w:sz w:val="16"/>
                <w:szCs w:val="16"/>
              </w:rPr>
            </w:pPr>
            <w:r w:rsidRPr="009E6D43">
              <w:rPr>
                <w:color w:val="000000"/>
                <w:sz w:val="16"/>
                <w:szCs w:val="16"/>
              </w:rPr>
              <w:t xml:space="preserve"> 4 853 654</w:t>
            </w:r>
          </w:p>
        </w:tc>
        <w:tc>
          <w:tcPr>
            <w:tcW w:w="1013" w:type="dxa"/>
            <w:tcBorders>
              <w:top w:val="nil"/>
              <w:left w:val="nil"/>
              <w:bottom w:val="nil"/>
              <w:right w:val="single" w:sz="4" w:space="0" w:color="1F497D"/>
            </w:tcBorders>
            <w:shd w:val="clear" w:color="auto" w:fill="auto"/>
            <w:noWrap/>
            <w:vAlign w:val="center"/>
          </w:tcPr>
          <w:p w14:paraId="579F85CE" w14:textId="4A1578D9" w:rsidR="00165DD6" w:rsidRPr="009E6D43" w:rsidRDefault="00165DD6" w:rsidP="00165DD6">
            <w:pPr>
              <w:tabs>
                <w:tab w:val="decimal" w:pos="839"/>
              </w:tabs>
              <w:jc w:val="left"/>
              <w:rPr>
                <w:color w:val="000000"/>
                <w:sz w:val="16"/>
                <w:szCs w:val="16"/>
                <w:highlight w:val="yellow"/>
              </w:rPr>
            </w:pPr>
            <w:r w:rsidRPr="009E6D43">
              <w:rPr>
                <w:color w:val="000000"/>
                <w:sz w:val="16"/>
                <w:szCs w:val="16"/>
              </w:rPr>
              <w:t>49 147</w:t>
            </w:r>
          </w:p>
        </w:tc>
        <w:tc>
          <w:tcPr>
            <w:tcW w:w="720" w:type="dxa"/>
            <w:tcBorders>
              <w:top w:val="nil"/>
              <w:left w:val="nil"/>
              <w:bottom w:val="nil"/>
              <w:right w:val="nil"/>
            </w:tcBorders>
            <w:shd w:val="clear" w:color="auto" w:fill="auto"/>
            <w:noWrap/>
            <w:vAlign w:val="center"/>
          </w:tcPr>
          <w:p w14:paraId="1DDD0EEC" w14:textId="45AF57A3" w:rsidR="00165DD6" w:rsidRPr="009E6D43" w:rsidRDefault="00165DD6" w:rsidP="00165DD6">
            <w:pPr>
              <w:tabs>
                <w:tab w:val="decimal" w:pos="357"/>
              </w:tabs>
              <w:jc w:val="left"/>
              <w:rPr>
                <w:color w:val="000000"/>
                <w:sz w:val="16"/>
                <w:szCs w:val="16"/>
                <w:highlight w:val="yellow"/>
              </w:rPr>
            </w:pPr>
            <w:r w:rsidRPr="009E6D43">
              <w:rPr>
                <w:color w:val="000000"/>
                <w:sz w:val="16"/>
                <w:szCs w:val="16"/>
              </w:rPr>
              <w:t>8.3</w:t>
            </w:r>
          </w:p>
        </w:tc>
        <w:tc>
          <w:tcPr>
            <w:tcW w:w="763" w:type="dxa"/>
            <w:tcBorders>
              <w:top w:val="nil"/>
              <w:left w:val="nil"/>
              <w:bottom w:val="nil"/>
              <w:right w:val="nil"/>
            </w:tcBorders>
            <w:shd w:val="clear" w:color="auto" w:fill="auto"/>
            <w:noWrap/>
            <w:vAlign w:val="center"/>
          </w:tcPr>
          <w:p w14:paraId="44923A77" w14:textId="10F35CD1" w:rsidR="00165DD6" w:rsidRPr="009E6D43" w:rsidRDefault="00165DD6" w:rsidP="00165DD6">
            <w:pPr>
              <w:tabs>
                <w:tab w:val="decimal" w:pos="357"/>
              </w:tabs>
              <w:jc w:val="left"/>
              <w:rPr>
                <w:color w:val="000000"/>
                <w:sz w:val="16"/>
                <w:szCs w:val="16"/>
                <w:highlight w:val="yellow"/>
              </w:rPr>
            </w:pPr>
            <w:r w:rsidRPr="009E6D43">
              <w:rPr>
                <w:color w:val="000000"/>
                <w:sz w:val="16"/>
                <w:szCs w:val="16"/>
              </w:rPr>
              <w:t>8.2</w:t>
            </w:r>
          </w:p>
        </w:tc>
        <w:tc>
          <w:tcPr>
            <w:tcW w:w="916" w:type="dxa"/>
            <w:tcBorders>
              <w:top w:val="nil"/>
              <w:left w:val="nil"/>
              <w:bottom w:val="nil"/>
              <w:right w:val="single" w:sz="4" w:space="0" w:color="1F497D"/>
            </w:tcBorders>
            <w:shd w:val="clear" w:color="auto" w:fill="auto"/>
            <w:noWrap/>
            <w:vAlign w:val="center"/>
          </w:tcPr>
          <w:p w14:paraId="38D9D30E" w14:textId="20A95029" w:rsidR="00165DD6" w:rsidRPr="009E6D43" w:rsidRDefault="00165DD6" w:rsidP="00165DD6">
            <w:pPr>
              <w:tabs>
                <w:tab w:val="decimal" w:pos="389"/>
              </w:tabs>
              <w:jc w:val="left"/>
              <w:rPr>
                <w:color w:val="000000"/>
                <w:sz w:val="16"/>
                <w:szCs w:val="16"/>
                <w:highlight w:val="yellow"/>
              </w:rPr>
            </w:pPr>
            <w:r w:rsidRPr="009E6D43">
              <w:rPr>
                <w:color w:val="000000"/>
                <w:sz w:val="16"/>
                <w:szCs w:val="16"/>
              </w:rPr>
              <w:t>-0.1</w:t>
            </w:r>
          </w:p>
        </w:tc>
      </w:tr>
      <w:tr w:rsidR="00165DD6" w:rsidRPr="009E6D43" w14:paraId="7469FC90"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04C8B3C5" w14:textId="77777777" w:rsidR="00165DD6" w:rsidRPr="009E6D43" w:rsidRDefault="00165DD6" w:rsidP="00165DD6">
            <w:pPr>
              <w:ind w:left="313" w:firstLineChars="4" w:firstLine="6"/>
              <w:jc w:val="left"/>
              <w:rPr>
                <w:sz w:val="16"/>
                <w:szCs w:val="16"/>
                <w:lang w:val="es-MX" w:eastAsia="es-MX"/>
              </w:rPr>
            </w:pPr>
            <w:r w:rsidRPr="009E6D43">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22A5419E" w14:textId="1613E75F"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5 939 011</w:t>
            </w:r>
          </w:p>
        </w:tc>
        <w:tc>
          <w:tcPr>
            <w:tcW w:w="1020" w:type="dxa"/>
            <w:tcBorders>
              <w:top w:val="nil"/>
              <w:left w:val="nil"/>
              <w:bottom w:val="nil"/>
              <w:right w:val="nil"/>
            </w:tcBorders>
            <w:shd w:val="clear" w:color="auto" w:fill="auto"/>
            <w:noWrap/>
            <w:vAlign w:val="center"/>
          </w:tcPr>
          <w:p w14:paraId="38D314F4" w14:textId="543666DB" w:rsidR="00165DD6" w:rsidRPr="009E6D43" w:rsidRDefault="00165DD6" w:rsidP="00165DD6">
            <w:pPr>
              <w:tabs>
                <w:tab w:val="decimal" w:pos="836"/>
              </w:tabs>
              <w:jc w:val="left"/>
              <w:rPr>
                <w:bCs/>
                <w:color w:val="000000"/>
                <w:sz w:val="16"/>
                <w:szCs w:val="16"/>
              </w:rPr>
            </w:pPr>
            <w:r w:rsidRPr="009E6D43">
              <w:rPr>
                <w:color w:val="000000"/>
                <w:sz w:val="16"/>
                <w:szCs w:val="16"/>
              </w:rPr>
              <w:t xml:space="preserve"> 5 907 681</w:t>
            </w:r>
          </w:p>
        </w:tc>
        <w:tc>
          <w:tcPr>
            <w:tcW w:w="1013" w:type="dxa"/>
            <w:tcBorders>
              <w:top w:val="nil"/>
              <w:left w:val="nil"/>
              <w:bottom w:val="nil"/>
              <w:right w:val="single" w:sz="4" w:space="0" w:color="1F497D"/>
            </w:tcBorders>
            <w:shd w:val="clear" w:color="auto" w:fill="auto"/>
            <w:noWrap/>
            <w:vAlign w:val="center"/>
          </w:tcPr>
          <w:p w14:paraId="14D7A438" w14:textId="26697516" w:rsidR="00165DD6" w:rsidRPr="009E6D43" w:rsidRDefault="00165DD6" w:rsidP="00165DD6">
            <w:pPr>
              <w:tabs>
                <w:tab w:val="decimal" w:pos="839"/>
              </w:tabs>
              <w:jc w:val="left"/>
              <w:rPr>
                <w:color w:val="000000"/>
                <w:sz w:val="16"/>
                <w:szCs w:val="16"/>
                <w:highlight w:val="yellow"/>
              </w:rPr>
            </w:pPr>
            <w:r w:rsidRPr="009E6D43">
              <w:rPr>
                <w:color w:val="000000"/>
                <w:sz w:val="16"/>
                <w:szCs w:val="16"/>
              </w:rPr>
              <w:t>-31 330</w:t>
            </w:r>
          </w:p>
        </w:tc>
        <w:tc>
          <w:tcPr>
            <w:tcW w:w="720" w:type="dxa"/>
            <w:tcBorders>
              <w:top w:val="nil"/>
              <w:left w:val="nil"/>
              <w:bottom w:val="nil"/>
              <w:right w:val="nil"/>
            </w:tcBorders>
            <w:shd w:val="clear" w:color="auto" w:fill="auto"/>
            <w:noWrap/>
            <w:vAlign w:val="center"/>
          </w:tcPr>
          <w:p w14:paraId="2FC3A813" w14:textId="23E7145D" w:rsidR="00165DD6" w:rsidRPr="009E6D43" w:rsidRDefault="00165DD6" w:rsidP="00165DD6">
            <w:pPr>
              <w:tabs>
                <w:tab w:val="decimal" w:pos="357"/>
              </w:tabs>
              <w:jc w:val="left"/>
              <w:rPr>
                <w:color w:val="000000"/>
                <w:sz w:val="16"/>
                <w:szCs w:val="16"/>
                <w:highlight w:val="yellow"/>
              </w:rPr>
            </w:pPr>
            <w:r w:rsidRPr="009E6D43">
              <w:rPr>
                <w:color w:val="000000"/>
                <w:sz w:val="16"/>
                <w:szCs w:val="16"/>
              </w:rPr>
              <w:t>10.2</w:t>
            </w:r>
          </w:p>
        </w:tc>
        <w:tc>
          <w:tcPr>
            <w:tcW w:w="763" w:type="dxa"/>
            <w:tcBorders>
              <w:top w:val="nil"/>
              <w:left w:val="nil"/>
              <w:bottom w:val="nil"/>
              <w:right w:val="nil"/>
            </w:tcBorders>
            <w:shd w:val="clear" w:color="auto" w:fill="auto"/>
            <w:noWrap/>
            <w:vAlign w:val="center"/>
          </w:tcPr>
          <w:p w14:paraId="0013AF6E" w14:textId="2250572A" w:rsidR="00165DD6" w:rsidRPr="009E6D43" w:rsidRDefault="00165DD6" w:rsidP="00165DD6">
            <w:pPr>
              <w:tabs>
                <w:tab w:val="decimal" w:pos="357"/>
              </w:tabs>
              <w:jc w:val="left"/>
              <w:rPr>
                <w:color w:val="000000"/>
                <w:sz w:val="16"/>
                <w:szCs w:val="16"/>
                <w:highlight w:val="yellow"/>
              </w:rPr>
            </w:pPr>
            <w:r w:rsidRPr="009E6D43">
              <w:rPr>
                <w:color w:val="000000"/>
                <w:sz w:val="16"/>
                <w:szCs w:val="16"/>
              </w:rPr>
              <w:t>10.0</w:t>
            </w:r>
          </w:p>
        </w:tc>
        <w:tc>
          <w:tcPr>
            <w:tcW w:w="916" w:type="dxa"/>
            <w:tcBorders>
              <w:top w:val="nil"/>
              <w:left w:val="nil"/>
              <w:bottom w:val="nil"/>
              <w:right w:val="single" w:sz="4" w:space="0" w:color="1F497D"/>
            </w:tcBorders>
            <w:shd w:val="clear" w:color="auto" w:fill="auto"/>
            <w:noWrap/>
            <w:vAlign w:val="center"/>
          </w:tcPr>
          <w:p w14:paraId="0E3DD03A" w14:textId="6E7702EE" w:rsidR="00165DD6" w:rsidRPr="009E6D43" w:rsidRDefault="00165DD6" w:rsidP="00165DD6">
            <w:pPr>
              <w:tabs>
                <w:tab w:val="decimal" w:pos="389"/>
              </w:tabs>
              <w:jc w:val="left"/>
              <w:rPr>
                <w:color w:val="000000"/>
                <w:sz w:val="16"/>
                <w:szCs w:val="16"/>
                <w:highlight w:val="yellow"/>
              </w:rPr>
            </w:pPr>
            <w:r w:rsidRPr="009E6D43">
              <w:rPr>
                <w:color w:val="000000"/>
                <w:sz w:val="16"/>
                <w:szCs w:val="16"/>
              </w:rPr>
              <w:t>-0.3</w:t>
            </w:r>
          </w:p>
        </w:tc>
      </w:tr>
      <w:tr w:rsidR="00165DD6" w:rsidRPr="009E6D43" w14:paraId="59D0E858" w14:textId="77777777" w:rsidTr="00165DD6">
        <w:trPr>
          <w:trHeight w:val="198"/>
          <w:jc w:val="center"/>
        </w:trPr>
        <w:tc>
          <w:tcPr>
            <w:tcW w:w="3850" w:type="dxa"/>
            <w:tcBorders>
              <w:top w:val="nil"/>
              <w:left w:val="single" w:sz="4" w:space="0" w:color="1F497D"/>
              <w:bottom w:val="nil"/>
              <w:right w:val="nil"/>
            </w:tcBorders>
            <w:shd w:val="clear" w:color="auto" w:fill="auto"/>
            <w:noWrap/>
            <w:vAlign w:val="bottom"/>
          </w:tcPr>
          <w:p w14:paraId="210B105A" w14:textId="77777777" w:rsidR="00165DD6" w:rsidRPr="009E6D43" w:rsidRDefault="00165DD6" w:rsidP="00165DD6">
            <w:pPr>
              <w:ind w:left="313" w:firstLineChars="4" w:firstLine="6"/>
              <w:jc w:val="left"/>
              <w:rPr>
                <w:sz w:val="16"/>
                <w:szCs w:val="16"/>
                <w:lang w:val="es-MX" w:eastAsia="es-MX"/>
              </w:rPr>
            </w:pPr>
            <w:r w:rsidRPr="009E6D43">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07F0DA9" w14:textId="4917B53B"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2 328 751</w:t>
            </w:r>
          </w:p>
        </w:tc>
        <w:tc>
          <w:tcPr>
            <w:tcW w:w="1020" w:type="dxa"/>
            <w:tcBorders>
              <w:top w:val="nil"/>
              <w:left w:val="nil"/>
              <w:bottom w:val="nil"/>
              <w:right w:val="nil"/>
            </w:tcBorders>
            <w:shd w:val="clear" w:color="auto" w:fill="auto"/>
            <w:noWrap/>
            <w:vAlign w:val="center"/>
          </w:tcPr>
          <w:p w14:paraId="653BD260" w14:textId="1ABBCAC0" w:rsidR="00165DD6" w:rsidRPr="009E6D43" w:rsidRDefault="00165DD6" w:rsidP="00165DD6">
            <w:pPr>
              <w:tabs>
                <w:tab w:val="decimal" w:pos="836"/>
              </w:tabs>
              <w:jc w:val="left"/>
              <w:rPr>
                <w:bCs/>
                <w:color w:val="000000"/>
                <w:sz w:val="16"/>
                <w:szCs w:val="16"/>
              </w:rPr>
            </w:pPr>
            <w:r w:rsidRPr="009E6D43">
              <w:rPr>
                <w:color w:val="000000"/>
                <w:sz w:val="16"/>
                <w:szCs w:val="16"/>
              </w:rPr>
              <w:t xml:space="preserve"> 2 512 142</w:t>
            </w:r>
          </w:p>
        </w:tc>
        <w:tc>
          <w:tcPr>
            <w:tcW w:w="1013" w:type="dxa"/>
            <w:tcBorders>
              <w:top w:val="nil"/>
              <w:left w:val="nil"/>
              <w:bottom w:val="nil"/>
              <w:right w:val="single" w:sz="4" w:space="0" w:color="1F497D"/>
            </w:tcBorders>
            <w:shd w:val="clear" w:color="auto" w:fill="auto"/>
            <w:noWrap/>
            <w:vAlign w:val="center"/>
          </w:tcPr>
          <w:p w14:paraId="43029FBD" w14:textId="790EED79" w:rsidR="00165DD6" w:rsidRPr="009E6D43" w:rsidRDefault="00165DD6" w:rsidP="00165DD6">
            <w:pPr>
              <w:tabs>
                <w:tab w:val="decimal" w:pos="839"/>
              </w:tabs>
              <w:jc w:val="left"/>
              <w:rPr>
                <w:color w:val="000000"/>
                <w:sz w:val="16"/>
                <w:szCs w:val="16"/>
                <w:highlight w:val="yellow"/>
              </w:rPr>
            </w:pPr>
            <w:r w:rsidRPr="009E6D43">
              <w:rPr>
                <w:color w:val="000000"/>
                <w:sz w:val="16"/>
                <w:szCs w:val="16"/>
              </w:rPr>
              <w:t>183 391</w:t>
            </w:r>
          </w:p>
        </w:tc>
        <w:tc>
          <w:tcPr>
            <w:tcW w:w="720" w:type="dxa"/>
            <w:tcBorders>
              <w:top w:val="nil"/>
              <w:left w:val="nil"/>
              <w:bottom w:val="nil"/>
              <w:right w:val="nil"/>
            </w:tcBorders>
            <w:shd w:val="clear" w:color="auto" w:fill="auto"/>
            <w:noWrap/>
            <w:vAlign w:val="center"/>
          </w:tcPr>
          <w:p w14:paraId="56B700F5" w14:textId="75EC2A92" w:rsidR="00165DD6" w:rsidRPr="009E6D43" w:rsidRDefault="00165DD6" w:rsidP="00165DD6">
            <w:pPr>
              <w:tabs>
                <w:tab w:val="decimal" w:pos="357"/>
              </w:tabs>
              <w:jc w:val="left"/>
              <w:rPr>
                <w:color w:val="000000"/>
                <w:sz w:val="16"/>
                <w:szCs w:val="16"/>
                <w:highlight w:val="yellow"/>
              </w:rPr>
            </w:pPr>
            <w:r w:rsidRPr="009E6D43">
              <w:rPr>
                <w:color w:val="000000"/>
                <w:sz w:val="16"/>
                <w:szCs w:val="16"/>
              </w:rPr>
              <w:t>4.0</w:t>
            </w:r>
          </w:p>
        </w:tc>
        <w:tc>
          <w:tcPr>
            <w:tcW w:w="763" w:type="dxa"/>
            <w:tcBorders>
              <w:top w:val="nil"/>
              <w:left w:val="nil"/>
              <w:bottom w:val="nil"/>
              <w:right w:val="nil"/>
            </w:tcBorders>
            <w:shd w:val="clear" w:color="auto" w:fill="auto"/>
            <w:noWrap/>
            <w:vAlign w:val="center"/>
          </w:tcPr>
          <w:p w14:paraId="45AC950A" w14:textId="6B65F58B" w:rsidR="00165DD6" w:rsidRPr="009E6D43" w:rsidRDefault="00165DD6" w:rsidP="00165DD6">
            <w:pPr>
              <w:tabs>
                <w:tab w:val="decimal" w:pos="357"/>
              </w:tabs>
              <w:jc w:val="left"/>
              <w:rPr>
                <w:color w:val="000000"/>
                <w:sz w:val="16"/>
                <w:szCs w:val="16"/>
                <w:highlight w:val="yellow"/>
              </w:rPr>
            </w:pPr>
            <w:r w:rsidRPr="009E6D43">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08DE78E7" w14:textId="5B1DEA88" w:rsidR="00165DD6" w:rsidRPr="009E6D43" w:rsidRDefault="00165DD6" w:rsidP="00165DD6">
            <w:pPr>
              <w:tabs>
                <w:tab w:val="decimal" w:pos="389"/>
              </w:tabs>
              <w:jc w:val="left"/>
              <w:rPr>
                <w:color w:val="000000"/>
                <w:sz w:val="16"/>
                <w:szCs w:val="16"/>
                <w:highlight w:val="yellow"/>
              </w:rPr>
            </w:pPr>
            <w:r w:rsidRPr="009E6D43">
              <w:rPr>
                <w:color w:val="000000"/>
                <w:sz w:val="16"/>
                <w:szCs w:val="16"/>
              </w:rPr>
              <w:t>0.2</w:t>
            </w:r>
          </w:p>
        </w:tc>
      </w:tr>
      <w:tr w:rsidR="00165DD6" w:rsidRPr="009E6D43" w14:paraId="396333C6"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3E6E5B2D"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AAC93B5" w14:textId="1BAAC5BE" w:rsidR="00165DD6" w:rsidRPr="009E6D43" w:rsidRDefault="00165DD6" w:rsidP="00165DD6">
            <w:pPr>
              <w:tabs>
                <w:tab w:val="decimal" w:pos="821"/>
              </w:tabs>
              <w:jc w:val="left"/>
              <w:rPr>
                <w:color w:val="000000"/>
                <w:sz w:val="16"/>
                <w:szCs w:val="16"/>
                <w:highlight w:val="yellow"/>
                <w:lang w:val="es-MX" w:eastAsia="es-MX"/>
              </w:rPr>
            </w:pPr>
            <w:r w:rsidRPr="009E6D43">
              <w:rPr>
                <w:color w:val="000000"/>
                <w:sz w:val="16"/>
                <w:szCs w:val="16"/>
              </w:rPr>
              <w:t xml:space="preserve">  377 450</w:t>
            </w:r>
          </w:p>
        </w:tc>
        <w:tc>
          <w:tcPr>
            <w:tcW w:w="1020" w:type="dxa"/>
            <w:tcBorders>
              <w:top w:val="nil"/>
              <w:left w:val="nil"/>
              <w:bottom w:val="nil"/>
              <w:right w:val="nil"/>
            </w:tcBorders>
            <w:shd w:val="clear" w:color="auto" w:fill="auto"/>
            <w:noWrap/>
            <w:vAlign w:val="center"/>
          </w:tcPr>
          <w:p w14:paraId="39AB4FBC" w14:textId="5E05BEF4" w:rsidR="00165DD6" w:rsidRPr="009E6D43" w:rsidRDefault="00165DD6" w:rsidP="00165DD6">
            <w:pPr>
              <w:tabs>
                <w:tab w:val="decimal" w:pos="836"/>
              </w:tabs>
              <w:jc w:val="left"/>
              <w:rPr>
                <w:bCs/>
                <w:color w:val="000000"/>
                <w:sz w:val="16"/>
                <w:szCs w:val="16"/>
              </w:rPr>
            </w:pPr>
            <w:r w:rsidRPr="009E6D43">
              <w:rPr>
                <w:color w:val="000000"/>
                <w:sz w:val="16"/>
                <w:szCs w:val="16"/>
              </w:rPr>
              <w:t xml:space="preserve">  378 529</w:t>
            </w:r>
          </w:p>
        </w:tc>
        <w:tc>
          <w:tcPr>
            <w:tcW w:w="1013" w:type="dxa"/>
            <w:tcBorders>
              <w:top w:val="nil"/>
              <w:left w:val="nil"/>
              <w:bottom w:val="nil"/>
              <w:right w:val="single" w:sz="4" w:space="0" w:color="1F497D"/>
            </w:tcBorders>
            <w:shd w:val="clear" w:color="auto" w:fill="auto"/>
            <w:noWrap/>
            <w:vAlign w:val="center"/>
          </w:tcPr>
          <w:p w14:paraId="7C1EB5FC" w14:textId="2679BA96" w:rsidR="00165DD6" w:rsidRPr="009E6D43" w:rsidRDefault="00165DD6" w:rsidP="00165DD6">
            <w:pPr>
              <w:tabs>
                <w:tab w:val="decimal" w:pos="869"/>
              </w:tabs>
              <w:jc w:val="left"/>
              <w:rPr>
                <w:color w:val="000000"/>
                <w:sz w:val="16"/>
                <w:szCs w:val="16"/>
                <w:highlight w:val="yellow"/>
                <w:lang w:val="es-MX" w:eastAsia="es-MX"/>
              </w:rPr>
            </w:pPr>
            <w:r w:rsidRPr="009E6D43">
              <w:rPr>
                <w:color w:val="000000"/>
                <w:sz w:val="16"/>
                <w:szCs w:val="16"/>
              </w:rPr>
              <w:t>1 079</w:t>
            </w:r>
          </w:p>
        </w:tc>
        <w:tc>
          <w:tcPr>
            <w:tcW w:w="720" w:type="dxa"/>
            <w:tcBorders>
              <w:top w:val="nil"/>
              <w:left w:val="nil"/>
              <w:bottom w:val="nil"/>
              <w:right w:val="nil"/>
            </w:tcBorders>
            <w:shd w:val="clear" w:color="auto" w:fill="auto"/>
            <w:noWrap/>
            <w:vAlign w:val="center"/>
          </w:tcPr>
          <w:p w14:paraId="41388AD2" w14:textId="0A895363"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0.7</w:t>
            </w:r>
          </w:p>
        </w:tc>
        <w:tc>
          <w:tcPr>
            <w:tcW w:w="763" w:type="dxa"/>
            <w:tcBorders>
              <w:top w:val="nil"/>
              <w:left w:val="nil"/>
              <w:bottom w:val="nil"/>
              <w:right w:val="nil"/>
            </w:tcBorders>
            <w:shd w:val="clear" w:color="auto" w:fill="auto"/>
            <w:noWrap/>
            <w:vAlign w:val="center"/>
          </w:tcPr>
          <w:p w14:paraId="313260F3" w14:textId="22A14D4A" w:rsidR="00165DD6" w:rsidRPr="009E6D43" w:rsidRDefault="00165DD6" w:rsidP="00165DD6">
            <w:pPr>
              <w:tabs>
                <w:tab w:val="decimal" w:pos="357"/>
              </w:tabs>
              <w:jc w:val="left"/>
              <w:rPr>
                <w:color w:val="000000"/>
                <w:sz w:val="16"/>
                <w:szCs w:val="16"/>
                <w:highlight w:val="yellow"/>
                <w:lang w:val="es-MX" w:eastAsia="es-MX"/>
              </w:rPr>
            </w:pPr>
            <w:r w:rsidRPr="009E6D43">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74BE08C4" w14:textId="3769CD5E" w:rsidR="00165DD6" w:rsidRPr="009E6D43" w:rsidRDefault="00165DD6" w:rsidP="00165DD6">
            <w:pPr>
              <w:tabs>
                <w:tab w:val="decimal" w:pos="389"/>
              </w:tabs>
              <w:jc w:val="left"/>
              <w:rPr>
                <w:color w:val="000000"/>
                <w:sz w:val="16"/>
                <w:szCs w:val="16"/>
                <w:highlight w:val="yellow"/>
                <w:lang w:val="es-MX" w:eastAsia="es-MX"/>
              </w:rPr>
            </w:pPr>
            <w:r w:rsidRPr="009E6D43">
              <w:rPr>
                <w:color w:val="000000"/>
                <w:sz w:val="16"/>
                <w:szCs w:val="16"/>
              </w:rPr>
              <w:t>0.0</w:t>
            </w:r>
          </w:p>
        </w:tc>
      </w:tr>
      <w:tr w:rsidR="00165DD6" w:rsidRPr="009E6D43" w14:paraId="10DEEABA"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2DC6146A" w14:textId="46BDC81B" w:rsidR="00165DD6" w:rsidRPr="009E6D43" w:rsidRDefault="00165DD6" w:rsidP="00165DD6">
            <w:pPr>
              <w:jc w:val="left"/>
              <w:rPr>
                <w:b/>
                <w:bCs/>
                <w:sz w:val="16"/>
                <w:szCs w:val="16"/>
                <w:lang w:val="es-MX" w:eastAsia="es-MX"/>
              </w:rPr>
            </w:pPr>
            <w:r w:rsidRPr="009E6D43">
              <w:rPr>
                <w:b/>
                <w:bCs/>
                <w:sz w:val="16"/>
                <w:szCs w:val="16"/>
                <w:lang w:val="es-MX" w:eastAsia="es-MX"/>
              </w:rPr>
              <w:t xml:space="preserve">Nivel de </w:t>
            </w:r>
            <w:proofErr w:type="spellStart"/>
            <w:r w:rsidRPr="009E6D43">
              <w:rPr>
                <w:b/>
                <w:bCs/>
                <w:sz w:val="16"/>
                <w:szCs w:val="16"/>
                <w:lang w:val="es-MX" w:eastAsia="es-MX"/>
              </w:rPr>
              <w:t>ingresos</w:t>
            </w:r>
            <w:r w:rsidRPr="009E6D43">
              <w:rPr>
                <w:bCs/>
                <w:sz w:val="18"/>
                <w:szCs w:val="16"/>
                <w:vertAlign w:val="superscript"/>
                <w:lang w:val="es-MX" w:eastAsia="es-MX"/>
              </w:rPr>
              <w:t>b</w:t>
            </w:r>
            <w:proofErr w:type="spellEnd"/>
            <w:r w:rsidRPr="009E6D43">
              <w:rPr>
                <w:bCs/>
                <w:sz w:val="18"/>
                <w:szCs w:val="16"/>
                <w:vertAlign w:val="superscript"/>
                <w:lang w:val="es-MX" w:eastAsia="es-MX"/>
              </w:rPr>
              <w:t>/</w:t>
            </w:r>
          </w:p>
        </w:tc>
        <w:tc>
          <w:tcPr>
            <w:tcW w:w="1020" w:type="dxa"/>
            <w:tcBorders>
              <w:top w:val="nil"/>
              <w:left w:val="single" w:sz="4" w:space="0" w:color="1F497D"/>
              <w:bottom w:val="nil"/>
              <w:right w:val="nil"/>
            </w:tcBorders>
            <w:shd w:val="clear" w:color="auto" w:fill="auto"/>
            <w:noWrap/>
            <w:vAlign w:val="center"/>
          </w:tcPr>
          <w:p w14:paraId="2309E60D" w14:textId="01E3E5FD" w:rsidR="00165DD6" w:rsidRPr="009E6D43" w:rsidRDefault="00165DD6" w:rsidP="00165DD6">
            <w:pPr>
              <w:tabs>
                <w:tab w:val="decimal" w:pos="821"/>
              </w:tabs>
              <w:jc w:val="left"/>
              <w:rPr>
                <w:b/>
                <w:bCs/>
                <w:color w:val="000000"/>
                <w:sz w:val="16"/>
                <w:szCs w:val="16"/>
                <w:highlight w:val="yellow"/>
                <w:lang w:val="es-MX" w:eastAsia="es-MX"/>
              </w:rPr>
            </w:pPr>
            <w:r w:rsidRPr="009E6D43">
              <w:rPr>
                <w:b/>
                <w:bCs/>
                <w:color w:val="000000"/>
                <w:sz w:val="16"/>
                <w:szCs w:val="16"/>
              </w:rPr>
              <w:t xml:space="preserve"> 57 949 976</w:t>
            </w:r>
          </w:p>
        </w:tc>
        <w:tc>
          <w:tcPr>
            <w:tcW w:w="1020" w:type="dxa"/>
            <w:tcBorders>
              <w:top w:val="nil"/>
              <w:left w:val="nil"/>
              <w:bottom w:val="nil"/>
              <w:right w:val="nil"/>
            </w:tcBorders>
            <w:shd w:val="clear" w:color="auto" w:fill="auto"/>
            <w:noWrap/>
            <w:vAlign w:val="center"/>
          </w:tcPr>
          <w:p w14:paraId="4DCB3566" w14:textId="14489A9C" w:rsidR="00165DD6" w:rsidRPr="009E6D43" w:rsidRDefault="00165DD6" w:rsidP="00165DD6">
            <w:pPr>
              <w:tabs>
                <w:tab w:val="decimal" w:pos="836"/>
              </w:tabs>
              <w:jc w:val="left"/>
              <w:rPr>
                <w:b/>
                <w:bCs/>
                <w:color w:val="000000"/>
                <w:sz w:val="16"/>
                <w:szCs w:val="16"/>
                <w:highlight w:val="yellow"/>
              </w:rPr>
            </w:pPr>
            <w:r w:rsidRPr="009E6D43">
              <w:rPr>
                <w:b/>
                <w:bCs/>
                <w:color w:val="000000"/>
                <w:sz w:val="16"/>
                <w:szCs w:val="16"/>
              </w:rPr>
              <w:t xml:space="preserve"> 59 146 415</w:t>
            </w:r>
          </w:p>
        </w:tc>
        <w:tc>
          <w:tcPr>
            <w:tcW w:w="1013" w:type="dxa"/>
            <w:tcBorders>
              <w:top w:val="nil"/>
              <w:left w:val="nil"/>
              <w:bottom w:val="nil"/>
              <w:right w:val="single" w:sz="4" w:space="0" w:color="1F497D"/>
            </w:tcBorders>
            <w:shd w:val="clear" w:color="auto" w:fill="auto"/>
            <w:noWrap/>
            <w:vAlign w:val="center"/>
          </w:tcPr>
          <w:p w14:paraId="07CC5822" w14:textId="4295E669" w:rsidR="00165DD6" w:rsidRPr="009E6D43" w:rsidRDefault="00165DD6" w:rsidP="00165DD6">
            <w:pPr>
              <w:tabs>
                <w:tab w:val="decimal" w:pos="839"/>
              </w:tabs>
              <w:jc w:val="left"/>
              <w:rPr>
                <w:b/>
                <w:color w:val="000000"/>
                <w:sz w:val="16"/>
                <w:szCs w:val="16"/>
                <w:highlight w:val="yellow"/>
              </w:rPr>
            </w:pPr>
            <w:r w:rsidRPr="009E6D43">
              <w:rPr>
                <w:b/>
                <w:bCs/>
                <w:color w:val="000000"/>
                <w:sz w:val="16"/>
                <w:szCs w:val="16"/>
              </w:rPr>
              <w:t xml:space="preserve"> 1 196 439</w:t>
            </w:r>
          </w:p>
        </w:tc>
        <w:tc>
          <w:tcPr>
            <w:tcW w:w="720" w:type="dxa"/>
            <w:tcBorders>
              <w:top w:val="nil"/>
              <w:left w:val="nil"/>
              <w:bottom w:val="nil"/>
              <w:right w:val="nil"/>
            </w:tcBorders>
            <w:shd w:val="clear" w:color="auto" w:fill="auto"/>
            <w:noWrap/>
            <w:vAlign w:val="center"/>
          </w:tcPr>
          <w:p w14:paraId="455DCE2B" w14:textId="40715DDD" w:rsidR="00165DD6" w:rsidRPr="009E6D43" w:rsidRDefault="00165DD6" w:rsidP="00165DD6">
            <w:pPr>
              <w:tabs>
                <w:tab w:val="decimal" w:pos="357"/>
              </w:tabs>
              <w:jc w:val="left"/>
              <w:rPr>
                <w:b/>
                <w:color w:val="000000"/>
                <w:sz w:val="16"/>
                <w:szCs w:val="16"/>
              </w:rPr>
            </w:pPr>
            <w:r w:rsidRPr="009E6D43">
              <w:rPr>
                <w:b/>
                <w:bCs/>
                <w:color w:val="000000"/>
                <w:sz w:val="16"/>
                <w:szCs w:val="16"/>
              </w:rPr>
              <w:t>100.0</w:t>
            </w:r>
          </w:p>
        </w:tc>
        <w:tc>
          <w:tcPr>
            <w:tcW w:w="763" w:type="dxa"/>
            <w:tcBorders>
              <w:top w:val="nil"/>
              <w:left w:val="nil"/>
              <w:bottom w:val="nil"/>
              <w:right w:val="nil"/>
            </w:tcBorders>
            <w:shd w:val="clear" w:color="auto" w:fill="auto"/>
            <w:noWrap/>
            <w:vAlign w:val="center"/>
          </w:tcPr>
          <w:p w14:paraId="3ABB1BD7" w14:textId="7B9E9607" w:rsidR="00165DD6" w:rsidRPr="009E6D43" w:rsidRDefault="00165DD6" w:rsidP="00165DD6">
            <w:pPr>
              <w:tabs>
                <w:tab w:val="decimal" w:pos="357"/>
              </w:tabs>
              <w:jc w:val="left"/>
              <w:rPr>
                <w:b/>
                <w:color w:val="000000"/>
                <w:sz w:val="16"/>
                <w:szCs w:val="16"/>
              </w:rPr>
            </w:pPr>
            <w:r w:rsidRPr="009E6D43">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3727E73D" w14:textId="101A5812" w:rsidR="00165DD6" w:rsidRPr="009E6D43" w:rsidRDefault="00165DD6" w:rsidP="00165DD6">
            <w:pPr>
              <w:tabs>
                <w:tab w:val="decimal" w:pos="389"/>
              </w:tabs>
              <w:jc w:val="left"/>
              <w:rPr>
                <w:b/>
                <w:bCs/>
                <w:color w:val="000000"/>
                <w:sz w:val="16"/>
                <w:szCs w:val="16"/>
                <w:lang w:val="es-MX" w:eastAsia="es-MX"/>
              </w:rPr>
            </w:pPr>
            <w:r w:rsidRPr="009E6D43">
              <w:rPr>
                <w:b/>
                <w:bCs/>
                <w:color w:val="000000"/>
                <w:sz w:val="16"/>
                <w:szCs w:val="16"/>
              </w:rPr>
              <w:t> </w:t>
            </w:r>
          </w:p>
        </w:tc>
      </w:tr>
      <w:tr w:rsidR="00165DD6" w:rsidRPr="009E6D43" w14:paraId="502BF2C6"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52DF93B2"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6632015B" w14:textId="783FB352"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20 749 671</w:t>
            </w:r>
          </w:p>
        </w:tc>
        <w:tc>
          <w:tcPr>
            <w:tcW w:w="1020" w:type="dxa"/>
            <w:tcBorders>
              <w:top w:val="nil"/>
              <w:left w:val="nil"/>
              <w:bottom w:val="nil"/>
              <w:right w:val="nil"/>
            </w:tcBorders>
            <w:shd w:val="clear" w:color="auto" w:fill="auto"/>
            <w:noWrap/>
            <w:vAlign w:val="center"/>
          </w:tcPr>
          <w:p w14:paraId="276AFD44" w14:textId="3151DE3C" w:rsidR="00165DD6" w:rsidRPr="009E6D43" w:rsidRDefault="00165DD6" w:rsidP="00165DD6">
            <w:pPr>
              <w:tabs>
                <w:tab w:val="decimal" w:pos="836"/>
              </w:tabs>
              <w:jc w:val="left"/>
              <w:rPr>
                <w:color w:val="000000"/>
                <w:sz w:val="16"/>
                <w:szCs w:val="16"/>
                <w:highlight w:val="yellow"/>
              </w:rPr>
            </w:pPr>
            <w:r w:rsidRPr="009E6D43">
              <w:rPr>
                <w:color w:val="000000"/>
                <w:sz w:val="16"/>
                <w:szCs w:val="16"/>
              </w:rPr>
              <w:t xml:space="preserve"> 22 106 605</w:t>
            </w:r>
          </w:p>
        </w:tc>
        <w:tc>
          <w:tcPr>
            <w:tcW w:w="1013" w:type="dxa"/>
            <w:tcBorders>
              <w:top w:val="nil"/>
              <w:left w:val="nil"/>
              <w:bottom w:val="nil"/>
              <w:right w:val="single" w:sz="4" w:space="0" w:color="1F497D"/>
            </w:tcBorders>
            <w:shd w:val="clear" w:color="auto" w:fill="auto"/>
            <w:noWrap/>
            <w:vAlign w:val="center"/>
          </w:tcPr>
          <w:p w14:paraId="4E82E12F" w14:textId="77887D4C" w:rsidR="00165DD6" w:rsidRPr="009E6D43" w:rsidRDefault="00165DD6" w:rsidP="00165DD6">
            <w:pPr>
              <w:tabs>
                <w:tab w:val="decimal" w:pos="839"/>
              </w:tabs>
              <w:jc w:val="left"/>
              <w:rPr>
                <w:color w:val="000000"/>
                <w:sz w:val="16"/>
                <w:szCs w:val="16"/>
                <w:highlight w:val="yellow"/>
              </w:rPr>
            </w:pPr>
            <w:r w:rsidRPr="009E6D43">
              <w:rPr>
                <w:color w:val="000000"/>
                <w:sz w:val="16"/>
                <w:szCs w:val="16"/>
              </w:rPr>
              <w:t>1 356 934</w:t>
            </w:r>
          </w:p>
        </w:tc>
        <w:tc>
          <w:tcPr>
            <w:tcW w:w="720" w:type="dxa"/>
            <w:tcBorders>
              <w:top w:val="nil"/>
              <w:left w:val="nil"/>
              <w:bottom w:val="nil"/>
              <w:right w:val="nil"/>
            </w:tcBorders>
            <w:shd w:val="clear" w:color="auto" w:fill="auto"/>
            <w:noWrap/>
            <w:vAlign w:val="center"/>
          </w:tcPr>
          <w:p w14:paraId="0E05ACDB" w14:textId="6F75A40A" w:rsidR="00165DD6" w:rsidRPr="009E6D43" w:rsidRDefault="00165DD6" w:rsidP="00165DD6">
            <w:pPr>
              <w:tabs>
                <w:tab w:val="decimal" w:pos="357"/>
              </w:tabs>
              <w:jc w:val="left"/>
              <w:rPr>
                <w:color w:val="000000"/>
                <w:sz w:val="16"/>
                <w:szCs w:val="16"/>
                <w:highlight w:val="yellow"/>
              </w:rPr>
            </w:pPr>
            <w:r w:rsidRPr="009E6D43">
              <w:rPr>
                <w:color w:val="000000"/>
                <w:sz w:val="16"/>
                <w:szCs w:val="16"/>
              </w:rPr>
              <w:t>35.8</w:t>
            </w:r>
          </w:p>
        </w:tc>
        <w:tc>
          <w:tcPr>
            <w:tcW w:w="763" w:type="dxa"/>
            <w:tcBorders>
              <w:top w:val="nil"/>
              <w:left w:val="nil"/>
              <w:bottom w:val="nil"/>
              <w:right w:val="nil"/>
            </w:tcBorders>
            <w:shd w:val="clear" w:color="auto" w:fill="auto"/>
            <w:noWrap/>
            <w:vAlign w:val="center"/>
          </w:tcPr>
          <w:p w14:paraId="0AC50CCD" w14:textId="4D1F08B2" w:rsidR="00165DD6" w:rsidRPr="009E6D43" w:rsidRDefault="00165DD6" w:rsidP="00165DD6">
            <w:pPr>
              <w:tabs>
                <w:tab w:val="decimal" w:pos="357"/>
              </w:tabs>
              <w:jc w:val="left"/>
              <w:rPr>
                <w:color w:val="000000"/>
                <w:sz w:val="16"/>
                <w:szCs w:val="16"/>
                <w:highlight w:val="yellow"/>
              </w:rPr>
            </w:pPr>
            <w:r w:rsidRPr="009E6D43">
              <w:rPr>
                <w:color w:val="000000"/>
                <w:sz w:val="16"/>
                <w:szCs w:val="16"/>
              </w:rPr>
              <w:t>37.4</w:t>
            </w:r>
          </w:p>
        </w:tc>
        <w:tc>
          <w:tcPr>
            <w:tcW w:w="916" w:type="dxa"/>
            <w:tcBorders>
              <w:top w:val="nil"/>
              <w:left w:val="nil"/>
              <w:bottom w:val="nil"/>
              <w:right w:val="single" w:sz="4" w:space="0" w:color="1F497D"/>
            </w:tcBorders>
            <w:shd w:val="clear" w:color="auto" w:fill="auto"/>
            <w:noWrap/>
            <w:vAlign w:val="center"/>
          </w:tcPr>
          <w:p w14:paraId="4488D3A3" w14:textId="46D5A351" w:rsidR="00165DD6" w:rsidRPr="009E6D43" w:rsidRDefault="00165DD6" w:rsidP="00165DD6">
            <w:pPr>
              <w:tabs>
                <w:tab w:val="decimal" w:pos="389"/>
              </w:tabs>
              <w:jc w:val="left"/>
              <w:rPr>
                <w:color w:val="000000"/>
                <w:sz w:val="16"/>
                <w:szCs w:val="16"/>
                <w:highlight w:val="yellow"/>
              </w:rPr>
            </w:pPr>
            <w:r w:rsidRPr="009E6D43">
              <w:rPr>
                <w:color w:val="000000"/>
                <w:sz w:val="16"/>
                <w:szCs w:val="16"/>
              </w:rPr>
              <w:t>1.6</w:t>
            </w:r>
          </w:p>
        </w:tc>
      </w:tr>
      <w:tr w:rsidR="00165DD6" w:rsidRPr="009E6D43" w14:paraId="4C884262"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D789C"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3CD8DAFA" w14:textId="1D0943A9"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18 941 828</w:t>
            </w:r>
          </w:p>
        </w:tc>
        <w:tc>
          <w:tcPr>
            <w:tcW w:w="1020" w:type="dxa"/>
            <w:tcBorders>
              <w:top w:val="nil"/>
              <w:left w:val="nil"/>
              <w:bottom w:val="nil"/>
              <w:right w:val="nil"/>
            </w:tcBorders>
            <w:shd w:val="clear" w:color="auto" w:fill="auto"/>
            <w:noWrap/>
            <w:vAlign w:val="center"/>
          </w:tcPr>
          <w:p w14:paraId="66558EA5" w14:textId="40D4F530" w:rsidR="00165DD6" w:rsidRPr="009E6D43" w:rsidRDefault="00165DD6" w:rsidP="00165DD6">
            <w:pPr>
              <w:tabs>
                <w:tab w:val="decimal" w:pos="836"/>
              </w:tabs>
              <w:jc w:val="left"/>
              <w:rPr>
                <w:color w:val="000000"/>
                <w:sz w:val="16"/>
                <w:szCs w:val="16"/>
                <w:highlight w:val="yellow"/>
              </w:rPr>
            </w:pPr>
            <w:r w:rsidRPr="009E6D43">
              <w:rPr>
                <w:color w:val="000000"/>
                <w:sz w:val="16"/>
                <w:szCs w:val="16"/>
              </w:rPr>
              <w:t xml:space="preserve"> 18 992 047</w:t>
            </w:r>
          </w:p>
        </w:tc>
        <w:tc>
          <w:tcPr>
            <w:tcW w:w="1013" w:type="dxa"/>
            <w:tcBorders>
              <w:top w:val="nil"/>
              <w:left w:val="nil"/>
              <w:bottom w:val="nil"/>
              <w:right w:val="single" w:sz="4" w:space="0" w:color="1F497D"/>
            </w:tcBorders>
            <w:shd w:val="clear" w:color="auto" w:fill="auto"/>
            <w:noWrap/>
            <w:vAlign w:val="center"/>
          </w:tcPr>
          <w:p w14:paraId="7B4E4A5F" w14:textId="5464C4FE" w:rsidR="00165DD6" w:rsidRPr="009E6D43" w:rsidRDefault="00165DD6" w:rsidP="00165DD6">
            <w:pPr>
              <w:tabs>
                <w:tab w:val="decimal" w:pos="839"/>
              </w:tabs>
              <w:jc w:val="left"/>
              <w:rPr>
                <w:color w:val="000000"/>
                <w:sz w:val="16"/>
                <w:szCs w:val="16"/>
                <w:highlight w:val="yellow"/>
              </w:rPr>
            </w:pPr>
            <w:r w:rsidRPr="009E6D43">
              <w:rPr>
                <w:color w:val="000000"/>
                <w:sz w:val="16"/>
                <w:szCs w:val="16"/>
              </w:rPr>
              <w:t xml:space="preserve">  50 219</w:t>
            </w:r>
          </w:p>
        </w:tc>
        <w:tc>
          <w:tcPr>
            <w:tcW w:w="720" w:type="dxa"/>
            <w:tcBorders>
              <w:top w:val="nil"/>
              <w:left w:val="nil"/>
              <w:bottom w:val="nil"/>
              <w:right w:val="nil"/>
            </w:tcBorders>
            <w:shd w:val="clear" w:color="auto" w:fill="auto"/>
            <w:noWrap/>
            <w:vAlign w:val="center"/>
          </w:tcPr>
          <w:p w14:paraId="05881713" w14:textId="7051A25E" w:rsidR="00165DD6" w:rsidRPr="009E6D43" w:rsidRDefault="00165DD6" w:rsidP="00165DD6">
            <w:pPr>
              <w:tabs>
                <w:tab w:val="decimal" w:pos="357"/>
              </w:tabs>
              <w:jc w:val="left"/>
              <w:rPr>
                <w:color w:val="000000"/>
                <w:sz w:val="16"/>
                <w:szCs w:val="16"/>
                <w:highlight w:val="yellow"/>
              </w:rPr>
            </w:pPr>
            <w:r w:rsidRPr="009E6D43">
              <w:rPr>
                <w:color w:val="000000"/>
                <w:sz w:val="16"/>
                <w:szCs w:val="16"/>
              </w:rPr>
              <w:t>32.7</w:t>
            </w:r>
          </w:p>
        </w:tc>
        <w:tc>
          <w:tcPr>
            <w:tcW w:w="763" w:type="dxa"/>
            <w:tcBorders>
              <w:top w:val="nil"/>
              <w:left w:val="nil"/>
              <w:bottom w:val="nil"/>
              <w:right w:val="nil"/>
            </w:tcBorders>
            <w:shd w:val="clear" w:color="auto" w:fill="auto"/>
            <w:noWrap/>
            <w:vAlign w:val="center"/>
          </w:tcPr>
          <w:p w14:paraId="50E9F16B" w14:textId="48FEFFDD" w:rsidR="00165DD6" w:rsidRPr="009E6D43" w:rsidRDefault="00165DD6" w:rsidP="00165DD6">
            <w:pPr>
              <w:tabs>
                <w:tab w:val="decimal" w:pos="357"/>
              </w:tabs>
              <w:jc w:val="left"/>
              <w:rPr>
                <w:color w:val="000000"/>
                <w:sz w:val="16"/>
                <w:szCs w:val="16"/>
                <w:highlight w:val="yellow"/>
              </w:rPr>
            </w:pPr>
            <w:r w:rsidRPr="009E6D43">
              <w:rPr>
                <w:color w:val="000000"/>
                <w:sz w:val="16"/>
                <w:szCs w:val="16"/>
              </w:rPr>
              <w:t>32.1</w:t>
            </w:r>
          </w:p>
        </w:tc>
        <w:tc>
          <w:tcPr>
            <w:tcW w:w="916" w:type="dxa"/>
            <w:tcBorders>
              <w:top w:val="nil"/>
              <w:left w:val="nil"/>
              <w:bottom w:val="nil"/>
              <w:right w:val="single" w:sz="4" w:space="0" w:color="1F497D"/>
            </w:tcBorders>
            <w:shd w:val="clear" w:color="auto" w:fill="auto"/>
            <w:noWrap/>
            <w:vAlign w:val="center"/>
          </w:tcPr>
          <w:p w14:paraId="39DF7495" w14:textId="1FF718D8" w:rsidR="00165DD6" w:rsidRPr="009E6D43" w:rsidRDefault="00165DD6" w:rsidP="00165DD6">
            <w:pPr>
              <w:tabs>
                <w:tab w:val="decimal" w:pos="389"/>
              </w:tabs>
              <w:jc w:val="left"/>
              <w:rPr>
                <w:color w:val="000000"/>
                <w:sz w:val="16"/>
                <w:szCs w:val="16"/>
                <w:highlight w:val="yellow"/>
              </w:rPr>
            </w:pPr>
            <w:r w:rsidRPr="009E6D43">
              <w:rPr>
                <w:color w:val="000000"/>
                <w:sz w:val="16"/>
                <w:szCs w:val="16"/>
              </w:rPr>
              <w:t>-0.6</w:t>
            </w:r>
          </w:p>
        </w:tc>
      </w:tr>
      <w:tr w:rsidR="00165DD6" w:rsidRPr="009E6D43" w14:paraId="50ACDB72"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226783AB"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7832F755" w14:textId="1B2BBF6E"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5 103 830</w:t>
            </w:r>
          </w:p>
        </w:tc>
        <w:tc>
          <w:tcPr>
            <w:tcW w:w="1020" w:type="dxa"/>
            <w:tcBorders>
              <w:top w:val="nil"/>
              <w:left w:val="nil"/>
              <w:bottom w:val="nil"/>
              <w:right w:val="nil"/>
            </w:tcBorders>
            <w:shd w:val="clear" w:color="auto" w:fill="auto"/>
            <w:noWrap/>
            <w:vAlign w:val="center"/>
          </w:tcPr>
          <w:p w14:paraId="56476B44" w14:textId="6E8607E8" w:rsidR="00165DD6" w:rsidRPr="009E6D43" w:rsidRDefault="00165DD6" w:rsidP="00165DD6">
            <w:pPr>
              <w:tabs>
                <w:tab w:val="decimal" w:pos="836"/>
              </w:tabs>
              <w:jc w:val="left"/>
              <w:rPr>
                <w:color w:val="000000"/>
                <w:sz w:val="16"/>
                <w:szCs w:val="16"/>
                <w:highlight w:val="yellow"/>
              </w:rPr>
            </w:pPr>
            <w:r w:rsidRPr="009E6D43">
              <w:rPr>
                <w:color w:val="000000"/>
                <w:sz w:val="16"/>
                <w:szCs w:val="16"/>
              </w:rPr>
              <w:t xml:space="preserve"> 4 407 630</w:t>
            </w:r>
          </w:p>
        </w:tc>
        <w:tc>
          <w:tcPr>
            <w:tcW w:w="1013" w:type="dxa"/>
            <w:tcBorders>
              <w:top w:val="nil"/>
              <w:left w:val="nil"/>
              <w:bottom w:val="nil"/>
              <w:right w:val="single" w:sz="4" w:space="0" w:color="1F497D"/>
            </w:tcBorders>
            <w:shd w:val="clear" w:color="auto" w:fill="auto"/>
            <w:noWrap/>
            <w:vAlign w:val="center"/>
          </w:tcPr>
          <w:p w14:paraId="0CEB056B" w14:textId="02494437" w:rsidR="00165DD6" w:rsidRPr="009E6D43" w:rsidRDefault="00165DD6" w:rsidP="00165DD6">
            <w:pPr>
              <w:tabs>
                <w:tab w:val="decimal" w:pos="839"/>
              </w:tabs>
              <w:jc w:val="left"/>
              <w:rPr>
                <w:color w:val="000000"/>
                <w:sz w:val="16"/>
                <w:szCs w:val="16"/>
                <w:highlight w:val="yellow"/>
              </w:rPr>
            </w:pPr>
            <w:r w:rsidRPr="009E6D43">
              <w:rPr>
                <w:color w:val="000000"/>
                <w:sz w:val="16"/>
                <w:szCs w:val="16"/>
              </w:rPr>
              <w:t>-696 200</w:t>
            </w:r>
          </w:p>
        </w:tc>
        <w:tc>
          <w:tcPr>
            <w:tcW w:w="720" w:type="dxa"/>
            <w:tcBorders>
              <w:top w:val="nil"/>
              <w:left w:val="nil"/>
              <w:bottom w:val="nil"/>
              <w:right w:val="nil"/>
            </w:tcBorders>
            <w:shd w:val="clear" w:color="auto" w:fill="auto"/>
            <w:noWrap/>
            <w:vAlign w:val="center"/>
          </w:tcPr>
          <w:p w14:paraId="2F3B9B0F" w14:textId="2E8D5069" w:rsidR="00165DD6" w:rsidRPr="009E6D43" w:rsidRDefault="00165DD6" w:rsidP="00165DD6">
            <w:pPr>
              <w:tabs>
                <w:tab w:val="decimal" w:pos="357"/>
              </w:tabs>
              <w:jc w:val="left"/>
              <w:rPr>
                <w:color w:val="000000"/>
                <w:sz w:val="16"/>
                <w:szCs w:val="16"/>
                <w:highlight w:val="yellow"/>
              </w:rPr>
            </w:pPr>
            <w:r w:rsidRPr="009E6D43">
              <w:rPr>
                <w:color w:val="000000"/>
                <w:sz w:val="16"/>
                <w:szCs w:val="16"/>
              </w:rPr>
              <w:t>8.8</w:t>
            </w:r>
          </w:p>
        </w:tc>
        <w:tc>
          <w:tcPr>
            <w:tcW w:w="763" w:type="dxa"/>
            <w:tcBorders>
              <w:top w:val="nil"/>
              <w:left w:val="nil"/>
              <w:bottom w:val="nil"/>
              <w:right w:val="nil"/>
            </w:tcBorders>
            <w:shd w:val="clear" w:color="auto" w:fill="auto"/>
            <w:noWrap/>
            <w:vAlign w:val="center"/>
          </w:tcPr>
          <w:p w14:paraId="1CB86957" w14:textId="3FFC3128" w:rsidR="00165DD6" w:rsidRPr="009E6D43" w:rsidRDefault="00165DD6" w:rsidP="00165DD6">
            <w:pPr>
              <w:tabs>
                <w:tab w:val="decimal" w:pos="357"/>
              </w:tabs>
              <w:jc w:val="left"/>
              <w:rPr>
                <w:color w:val="000000"/>
                <w:sz w:val="16"/>
                <w:szCs w:val="16"/>
                <w:highlight w:val="yellow"/>
              </w:rPr>
            </w:pPr>
            <w:r w:rsidRPr="009E6D43">
              <w:rPr>
                <w:color w:val="000000"/>
                <w:sz w:val="16"/>
                <w:szCs w:val="16"/>
              </w:rPr>
              <w:t>7.5</w:t>
            </w:r>
          </w:p>
        </w:tc>
        <w:tc>
          <w:tcPr>
            <w:tcW w:w="916" w:type="dxa"/>
            <w:tcBorders>
              <w:top w:val="nil"/>
              <w:left w:val="nil"/>
              <w:bottom w:val="nil"/>
              <w:right w:val="single" w:sz="4" w:space="0" w:color="1F497D"/>
            </w:tcBorders>
            <w:shd w:val="clear" w:color="auto" w:fill="auto"/>
            <w:noWrap/>
            <w:vAlign w:val="center"/>
          </w:tcPr>
          <w:p w14:paraId="69ADEEBE" w14:textId="373915F2" w:rsidR="00165DD6" w:rsidRPr="009E6D43" w:rsidRDefault="00165DD6" w:rsidP="00165DD6">
            <w:pPr>
              <w:tabs>
                <w:tab w:val="decimal" w:pos="389"/>
              </w:tabs>
              <w:jc w:val="left"/>
              <w:rPr>
                <w:color w:val="000000"/>
                <w:sz w:val="16"/>
                <w:szCs w:val="16"/>
                <w:highlight w:val="yellow"/>
              </w:rPr>
            </w:pPr>
            <w:r w:rsidRPr="009E6D43">
              <w:rPr>
                <w:color w:val="000000"/>
                <w:sz w:val="16"/>
                <w:szCs w:val="16"/>
              </w:rPr>
              <w:t>-1.4</w:t>
            </w:r>
          </w:p>
        </w:tc>
      </w:tr>
      <w:tr w:rsidR="00165DD6" w:rsidRPr="009E6D43" w14:paraId="647429B5"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126B77E3"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3FE30047" w14:textId="71068AC4"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1 910 189</w:t>
            </w:r>
          </w:p>
        </w:tc>
        <w:tc>
          <w:tcPr>
            <w:tcW w:w="1020" w:type="dxa"/>
            <w:tcBorders>
              <w:top w:val="nil"/>
              <w:left w:val="nil"/>
              <w:bottom w:val="nil"/>
              <w:right w:val="nil"/>
            </w:tcBorders>
            <w:shd w:val="clear" w:color="auto" w:fill="auto"/>
            <w:noWrap/>
            <w:vAlign w:val="center"/>
          </w:tcPr>
          <w:p w14:paraId="028E8235" w14:textId="4A68D27F" w:rsidR="00165DD6" w:rsidRPr="009E6D43" w:rsidRDefault="00165DD6" w:rsidP="00165DD6">
            <w:pPr>
              <w:tabs>
                <w:tab w:val="decimal" w:pos="836"/>
              </w:tabs>
              <w:jc w:val="left"/>
              <w:rPr>
                <w:color w:val="000000"/>
                <w:sz w:val="16"/>
                <w:szCs w:val="16"/>
                <w:highlight w:val="yellow"/>
              </w:rPr>
            </w:pPr>
            <w:r w:rsidRPr="009E6D43">
              <w:rPr>
                <w:color w:val="000000"/>
                <w:sz w:val="16"/>
                <w:szCs w:val="16"/>
              </w:rPr>
              <w:t xml:space="preserve"> 2 203 869</w:t>
            </w:r>
          </w:p>
        </w:tc>
        <w:tc>
          <w:tcPr>
            <w:tcW w:w="1013" w:type="dxa"/>
            <w:tcBorders>
              <w:top w:val="nil"/>
              <w:left w:val="nil"/>
              <w:bottom w:val="nil"/>
              <w:right w:val="single" w:sz="4" w:space="0" w:color="1F497D"/>
            </w:tcBorders>
            <w:shd w:val="clear" w:color="auto" w:fill="auto"/>
            <w:noWrap/>
            <w:vAlign w:val="center"/>
          </w:tcPr>
          <w:p w14:paraId="3025D9A3" w14:textId="2D3396A0" w:rsidR="00165DD6" w:rsidRPr="009E6D43" w:rsidRDefault="00165DD6" w:rsidP="00165DD6">
            <w:pPr>
              <w:tabs>
                <w:tab w:val="decimal" w:pos="839"/>
              </w:tabs>
              <w:jc w:val="left"/>
              <w:rPr>
                <w:color w:val="000000"/>
                <w:sz w:val="16"/>
                <w:szCs w:val="16"/>
                <w:highlight w:val="yellow"/>
              </w:rPr>
            </w:pPr>
            <w:r w:rsidRPr="009E6D43">
              <w:rPr>
                <w:color w:val="000000"/>
                <w:sz w:val="16"/>
                <w:szCs w:val="16"/>
              </w:rPr>
              <w:t>293 680</w:t>
            </w:r>
          </w:p>
        </w:tc>
        <w:tc>
          <w:tcPr>
            <w:tcW w:w="720" w:type="dxa"/>
            <w:tcBorders>
              <w:top w:val="nil"/>
              <w:left w:val="nil"/>
              <w:bottom w:val="nil"/>
              <w:right w:val="nil"/>
            </w:tcBorders>
            <w:shd w:val="clear" w:color="auto" w:fill="auto"/>
            <w:noWrap/>
            <w:vAlign w:val="center"/>
          </w:tcPr>
          <w:p w14:paraId="371B0667" w14:textId="6996BFC2" w:rsidR="00165DD6" w:rsidRPr="009E6D43" w:rsidRDefault="00165DD6" w:rsidP="00165DD6">
            <w:pPr>
              <w:tabs>
                <w:tab w:val="decimal" w:pos="357"/>
              </w:tabs>
              <w:jc w:val="left"/>
              <w:rPr>
                <w:color w:val="000000"/>
                <w:sz w:val="16"/>
                <w:szCs w:val="16"/>
                <w:highlight w:val="yellow"/>
              </w:rPr>
            </w:pPr>
            <w:r w:rsidRPr="009E6D43">
              <w:rPr>
                <w:color w:val="000000"/>
                <w:sz w:val="16"/>
                <w:szCs w:val="16"/>
              </w:rPr>
              <w:t>3.3</w:t>
            </w:r>
          </w:p>
        </w:tc>
        <w:tc>
          <w:tcPr>
            <w:tcW w:w="763" w:type="dxa"/>
            <w:tcBorders>
              <w:top w:val="nil"/>
              <w:left w:val="nil"/>
              <w:bottom w:val="nil"/>
              <w:right w:val="nil"/>
            </w:tcBorders>
            <w:shd w:val="clear" w:color="auto" w:fill="auto"/>
            <w:noWrap/>
            <w:vAlign w:val="center"/>
          </w:tcPr>
          <w:p w14:paraId="22D17323" w14:textId="67DFAF65" w:rsidR="00165DD6" w:rsidRPr="009E6D43" w:rsidRDefault="00165DD6" w:rsidP="00165DD6">
            <w:pPr>
              <w:tabs>
                <w:tab w:val="decimal" w:pos="357"/>
              </w:tabs>
              <w:jc w:val="left"/>
              <w:rPr>
                <w:color w:val="000000"/>
                <w:sz w:val="16"/>
                <w:szCs w:val="16"/>
                <w:highlight w:val="yellow"/>
              </w:rPr>
            </w:pPr>
            <w:r w:rsidRPr="009E6D43">
              <w:rPr>
                <w:color w:val="000000"/>
                <w:sz w:val="16"/>
                <w:szCs w:val="16"/>
              </w:rPr>
              <w:t>3.7</w:t>
            </w:r>
          </w:p>
        </w:tc>
        <w:tc>
          <w:tcPr>
            <w:tcW w:w="916" w:type="dxa"/>
            <w:tcBorders>
              <w:top w:val="nil"/>
              <w:left w:val="nil"/>
              <w:bottom w:val="nil"/>
              <w:right w:val="single" w:sz="4" w:space="0" w:color="1F497D"/>
            </w:tcBorders>
            <w:shd w:val="clear" w:color="auto" w:fill="auto"/>
            <w:noWrap/>
            <w:vAlign w:val="center"/>
          </w:tcPr>
          <w:p w14:paraId="583AD7C3" w14:textId="623BE6E9" w:rsidR="00165DD6" w:rsidRPr="009E6D43" w:rsidRDefault="00165DD6" w:rsidP="00165DD6">
            <w:pPr>
              <w:tabs>
                <w:tab w:val="decimal" w:pos="389"/>
              </w:tabs>
              <w:jc w:val="left"/>
              <w:rPr>
                <w:color w:val="000000"/>
                <w:sz w:val="16"/>
                <w:szCs w:val="16"/>
                <w:highlight w:val="yellow"/>
              </w:rPr>
            </w:pPr>
            <w:r w:rsidRPr="009E6D43">
              <w:rPr>
                <w:color w:val="000000"/>
                <w:sz w:val="16"/>
                <w:szCs w:val="16"/>
              </w:rPr>
              <w:t>0.4</w:t>
            </w:r>
          </w:p>
        </w:tc>
      </w:tr>
      <w:tr w:rsidR="00165DD6" w:rsidRPr="009E6D43" w14:paraId="09E8BB93"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0E4BC"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2103F44A" w14:textId="06F9CA20"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600 109</w:t>
            </w:r>
          </w:p>
        </w:tc>
        <w:tc>
          <w:tcPr>
            <w:tcW w:w="1020" w:type="dxa"/>
            <w:tcBorders>
              <w:top w:val="nil"/>
              <w:left w:val="nil"/>
              <w:bottom w:val="nil"/>
              <w:right w:val="nil"/>
            </w:tcBorders>
            <w:shd w:val="clear" w:color="auto" w:fill="auto"/>
            <w:noWrap/>
            <w:vAlign w:val="center"/>
          </w:tcPr>
          <w:p w14:paraId="2FBF7541" w14:textId="2675B25D" w:rsidR="00165DD6" w:rsidRPr="009E6D43" w:rsidRDefault="00165DD6" w:rsidP="00165DD6">
            <w:pPr>
              <w:tabs>
                <w:tab w:val="decimal" w:pos="836"/>
              </w:tabs>
              <w:jc w:val="left"/>
              <w:rPr>
                <w:color w:val="000000"/>
                <w:sz w:val="16"/>
                <w:szCs w:val="16"/>
                <w:highlight w:val="yellow"/>
              </w:rPr>
            </w:pPr>
            <w:r w:rsidRPr="009E6D43">
              <w:rPr>
                <w:color w:val="000000"/>
                <w:sz w:val="16"/>
                <w:szCs w:val="16"/>
              </w:rPr>
              <w:t xml:space="preserve">  754 951</w:t>
            </w:r>
          </w:p>
        </w:tc>
        <w:tc>
          <w:tcPr>
            <w:tcW w:w="1013" w:type="dxa"/>
            <w:tcBorders>
              <w:top w:val="nil"/>
              <w:left w:val="nil"/>
              <w:bottom w:val="nil"/>
              <w:right w:val="single" w:sz="4" w:space="0" w:color="1F497D"/>
            </w:tcBorders>
            <w:shd w:val="clear" w:color="auto" w:fill="auto"/>
            <w:noWrap/>
            <w:vAlign w:val="center"/>
          </w:tcPr>
          <w:p w14:paraId="5F020532" w14:textId="5240B607" w:rsidR="00165DD6" w:rsidRPr="009E6D43" w:rsidRDefault="00165DD6" w:rsidP="00165DD6">
            <w:pPr>
              <w:tabs>
                <w:tab w:val="decimal" w:pos="839"/>
              </w:tabs>
              <w:jc w:val="left"/>
              <w:rPr>
                <w:color w:val="000000"/>
                <w:sz w:val="16"/>
                <w:szCs w:val="16"/>
                <w:highlight w:val="yellow"/>
              </w:rPr>
            </w:pPr>
            <w:r w:rsidRPr="009E6D43">
              <w:rPr>
                <w:color w:val="000000"/>
                <w:sz w:val="16"/>
                <w:szCs w:val="16"/>
              </w:rPr>
              <w:t>154 842</w:t>
            </w:r>
          </w:p>
        </w:tc>
        <w:tc>
          <w:tcPr>
            <w:tcW w:w="720" w:type="dxa"/>
            <w:tcBorders>
              <w:top w:val="nil"/>
              <w:left w:val="nil"/>
              <w:bottom w:val="nil"/>
              <w:right w:val="nil"/>
            </w:tcBorders>
            <w:shd w:val="clear" w:color="auto" w:fill="auto"/>
            <w:noWrap/>
            <w:vAlign w:val="center"/>
          </w:tcPr>
          <w:p w14:paraId="6B8E2D0C" w14:textId="2858A8A8" w:rsidR="00165DD6" w:rsidRPr="009E6D43" w:rsidRDefault="00165DD6" w:rsidP="00165DD6">
            <w:pPr>
              <w:tabs>
                <w:tab w:val="decimal" w:pos="357"/>
              </w:tabs>
              <w:jc w:val="left"/>
              <w:rPr>
                <w:color w:val="000000"/>
                <w:sz w:val="16"/>
                <w:szCs w:val="16"/>
                <w:highlight w:val="yellow"/>
              </w:rPr>
            </w:pPr>
            <w:r w:rsidRPr="009E6D43">
              <w:rPr>
                <w:color w:val="000000"/>
                <w:sz w:val="16"/>
                <w:szCs w:val="16"/>
              </w:rPr>
              <w:t>1.0</w:t>
            </w:r>
          </w:p>
        </w:tc>
        <w:tc>
          <w:tcPr>
            <w:tcW w:w="763" w:type="dxa"/>
            <w:tcBorders>
              <w:top w:val="nil"/>
              <w:left w:val="nil"/>
              <w:bottom w:val="nil"/>
              <w:right w:val="nil"/>
            </w:tcBorders>
            <w:shd w:val="clear" w:color="auto" w:fill="auto"/>
            <w:noWrap/>
            <w:vAlign w:val="center"/>
          </w:tcPr>
          <w:p w14:paraId="4863160D" w14:textId="161BF779" w:rsidR="00165DD6" w:rsidRPr="009E6D43" w:rsidRDefault="00165DD6" w:rsidP="00165DD6">
            <w:pPr>
              <w:tabs>
                <w:tab w:val="decimal" w:pos="357"/>
              </w:tabs>
              <w:jc w:val="left"/>
              <w:rPr>
                <w:color w:val="000000"/>
                <w:sz w:val="16"/>
                <w:szCs w:val="16"/>
                <w:highlight w:val="yellow"/>
              </w:rPr>
            </w:pPr>
            <w:r w:rsidRPr="009E6D43">
              <w:rPr>
                <w:color w:val="000000"/>
                <w:sz w:val="16"/>
                <w:szCs w:val="16"/>
              </w:rPr>
              <w:t>1.3</w:t>
            </w:r>
          </w:p>
        </w:tc>
        <w:tc>
          <w:tcPr>
            <w:tcW w:w="916" w:type="dxa"/>
            <w:tcBorders>
              <w:top w:val="nil"/>
              <w:left w:val="nil"/>
              <w:bottom w:val="nil"/>
              <w:right w:val="single" w:sz="4" w:space="0" w:color="1F497D"/>
            </w:tcBorders>
            <w:shd w:val="clear" w:color="auto" w:fill="auto"/>
            <w:noWrap/>
            <w:vAlign w:val="center"/>
          </w:tcPr>
          <w:p w14:paraId="1C51D1C2" w14:textId="530B0653" w:rsidR="00165DD6" w:rsidRPr="009E6D43" w:rsidRDefault="00165DD6" w:rsidP="00165DD6">
            <w:pPr>
              <w:tabs>
                <w:tab w:val="decimal" w:pos="389"/>
              </w:tabs>
              <w:jc w:val="left"/>
              <w:rPr>
                <w:color w:val="000000"/>
                <w:sz w:val="16"/>
                <w:szCs w:val="16"/>
                <w:highlight w:val="yellow"/>
              </w:rPr>
            </w:pPr>
            <w:r w:rsidRPr="009E6D43">
              <w:rPr>
                <w:color w:val="000000"/>
                <w:sz w:val="16"/>
                <w:szCs w:val="16"/>
              </w:rPr>
              <w:t>0.2</w:t>
            </w:r>
          </w:p>
        </w:tc>
      </w:tr>
      <w:tr w:rsidR="00165DD6" w:rsidRPr="009E6D43" w14:paraId="34F06AA1"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40709D71"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B54C3E1" w14:textId="04DB221F"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3 349 640</w:t>
            </w:r>
          </w:p>
        </w:tc>
        <w:tc>
          <w:tcPr>
            <w:tcW w:w="1020" w:type="dxa"/>
            <w:tcBorders>
              <w:top w:val="nil"/>
              <w:left w:val="nil"/>
              <w:bottom w:val="nil"/>
              <w:right w:val="nil"/>
            </w:tcBorders>
            <w:shd w:val="clear" w:color="auto" w:fill="auto"/>
            <w:noWrap/>
            <w:vAlign w:val="center"/>
          </w:tcPr>
          <w:p w14:paraId="3DEB61AF" w14:textId="7B517B72" w:rsidR="00165DD6" w:rsidRPr="009E6D43" w:rsidRDefault="00165DD6" w:rsidP="00165DD6">
            <w:pPr>
              <w:tabs>
                <w:tab w:val="decimal" w:pos="836"/>
              </w:tabs>
              <w:jc w:val="left"/>
              <w:rPr>
                <w:color w:val="000000"/>
                <w:sz w:val="16"/>
                <w:szCs w:val="16"/>
                <w:highlight w:val="yellow"/>
              </w:rPr>
            </w:pPr>
            <w:r w:rsidRPr="009E6D43">
              <w:rPr>
                <w:color w:val="000000"/>
                <w:sz w:val="16"/>
                <w:szCs w:val="16"/>
              </w:rPr>
              <w:t xml:space="preserve"> 2 700 197</w:t>
            </w:r>
          </w:p>
        </w:tc>
        <w:tc>
          <w:tcPr>
            <w:tcW w:w="1013" w:type="dxa"/>
            <w:tcBorders>
              <w:top w:val="nil"/>
              <w:left w:val="nil"/>
              <w:bottom w:val="nil"/>
              <w:right w:val="single" w:sz="4" w:space="0" w:color="1F497D"/>
            </w:tcBorders>
            <w:shd w:val="clear" w:color="auto" w:fill="auto"/>
            <w:noWrap/>
            <w:vAlign w:val="center"/>
          </w:tcPr>
          <w:p w14:paraId="0A0F5357" w14:textId="2DB91EF9" w:rsidR="00165DD6" w:rsidRPr="009E6D43" w:rsidRDefault="00165DD6" w:rsidP="00165DD6">
            <w:pPr>
              <w:tabs>
                <w:tab w:val="decimal" w:pos="839"/>
              </w:tabs>
              <w:jc w:val="left"/>
              <w:rPr>
                <w:color w:val="000000"/>
                <w:sz w:val="16"/>
                <w:szCs w:val="16"/>
                <w:highlight w:val="yellow"/>
              </w:rPr>
            </w:pPr>
            <w:r w:rsidRPr="009E6D43">
              <w:rPr>
                <w:color w:val="000000"/>
                <w:sz w:val="16"/>
                <w:szCs w:val="16"/>
              </w:rPr>
              <w:t>-649 443</w:t>
            </w:r>
          </w:p>
        </w:tc>
        <w:tc>
          <w:tcPr>
            <w:tcW w:w="720" w:type="dxa"/>
            <w:tcBorders>
              <w:top w:val="nil"/>
              <w:left w:val="nil"/>
              <w:bottom w:val="nil"/>
              <w:right w:val="nil"/>
            </w:tcBorders>
            <w:shd w:val="clear" w:color="auto" w:fill="auto"/>
            <w:noWrap/>
            <w:vAlign w:val="center"/>
          </w:tcPr>
          <w:p w14:paraId="08FCDF24" w14:textId="5EADAC14" w:rsidR="00165DD6" w:rsidRPr="009E6D43" w:rsidRDefault="00165DD6" w:rsidP="00165DD6">
            <w:pPr>
              <w:tabs>
                <w:tab w:val="decimal" w:pos="357"/>
              </w:tabs>
              <w:jc w:val="left"/>
              <w:rPr>
                <w:color w:val="000000"/>
                <w:sz w:val="16"/>
                <w:szCs w:val="16"/>
                <w:highlight w:val="yellow"/>
              </w:rPr>
            </w:pPr>
            <w:r w:rsidRPr="009E6D43">
              <w:rPr>
                <w:color w:val="000000"/>
                <w:sz w:val="16"/>
                <w:szCs w:val="16"/>
              </w:rPr>
              <w:t>5.8</w:t>
            </w:r>
          </w:p>
        </w:tc>
        <w:tc>
          <w:tcPr>
            <w:tcW w:w="763" w:type="dxa"/>
            <w:tcBorders>
              <w:top w:val="nil"/>
              <w:left w:val="nil"/>
              <w:bottom w:val="nil"/>
              <w:right w:val="nil"/>
            </w:tcBorders>
            <w:shd w:val="clear" w:color="auto" w:fill="auto"/>
            <w:noWrap/>
            <w:vAlign w:val="center"/>
          </w:tcPr>
          <w:p w14:paraId="680913D6" w14:textId="2D9CF042" w:rsidR="00165DD6" w:rsidRPr="009E6D43" w:rsidRDefault="00165DD6" w:rsidP="00165DD6">
            <w:pPr>
              <w:tabs>
                <w:tab w:val="decimal" w:pos="357"/>
              </w:tabs>
              <w:jc w:val="left"/>
              <w:rPr>
                <w:color w:val="000000"/>
                <w:sz w:val="16"/>
                <w:szCs w:val="16"/>
                <w:highlight w:val="yellow"/>
              </w:rPr>
            </w:pPr>
            <w:r w:rsidRPr="009E6D43">
              <w:rPr>
                <w:color w:val="000000"/>
                <w:sz w:val="16"/>
                <w:szCs w:val="16"/>
              </w:rPr>
              <w:t>4.6</w:t>
            </w:r>
          </w:p>
        </w:tc>
        <w:tc>
          <w:tcPr>
            <w:tcW w:w="916" w:type="dxa"/>
            <w:tcBorders>
              <w:top w:val="nil"/>
              <w:left w:val="nil"/>
              <w:bottom w:val="nil"/>
              <w:right w:val="single" w:sz="4" w:space="0" w:color="1F497D"/>
            </w:tcBorders>
            <w:shd w:val="clear" w:color="auto" w:fill="auto"/>
            <w:noWrap/>
            <w:vAlign w:val="center"/>
          </w:tcPr>
          <w:p w14:paraId="3F4AD594" w14:textId="0B22736F" w:rsidR="00165DD6" w:rsidRPr="009E6D43" w:rsidRDefault="00165DD6" w:rsidP="00165DD6">
            <w:pPr>
              <w:tabs>
                <w:tab w:val="decimal" w:pos="389"/>
              </w:tabs>
              <w:jc w:val="left"/>
              <w:rPr>
                <w:color w:val="000000"/>
                <w:sz w:val="16"/>
                <w:szCs w:val="16"/>
                <w:highlight w:val="yellow"/>
              </w:rPr>
            </w:pPr>
            <w:r w:rsidRPr="009E6D43">
              <w:rPr>
                <w:color w:val="000000"/>
                <w:sz w:val="16"/>
                <w:szCs w:val="16"/>
              </w:rPr>
              <w:t>-1.2</w:t>
            </w:r>
          </w:p>
        </w:tc>
      </w:tr>
      <w:tr w:rsidR="00165DD6" w:rsidRPr="009E6D43" w14:paraId="462E9272"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0637707E"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17E348A0" w14:textId="4C7E1273" w:rsidR="00165DD6" w:rsidRPr="009E6D43" w:rsidRDefault="00165DD6" w:rsidP="00165DD6">
            <w:pPr>
              <w:tabs>
                <w:tab w:val="decimal" w:pos="821"/>
              </w:tabs>
              <w:jc w:val="left"/>
              <w:rPr>
                <w:color w:val="000000"/>
                <w:sz w:val="16"/>
                <w:szCs w:val="16"/>
                <w:highlight w:val="yellow"/>
              </w:rPr>
            </w:pPr>
            <w:r w:rsidRPr="009E6D43">
              <w:rPr>
                <w:color w:val="000000"/>
                <w:sz w:val="16"/>
                <w:szCs w:val="16"/>
              </w:rPr>
              <w:t xml:space="preserve"> 7 294 709</w:t>
            </w:r>
          </w:p>
        </w:tc>
        <w:tc>
          <w:tcPr>
            <w:tcW w:w="1020" w:type="dxa"/>
            <w:tcBorders>
              <w:top w:val="nil"/>
              <w:left w:val="nil"/>
              <w:bottom w:val="nil"/>
              <w:right w:val="nil"/>
            </w:tcBorders>
            <w:shd w:val="clear" w:color="auto" w:fill="auto"/>
            <w:noWrap/>
            <w:vAlign w:val="center"/>
          </w:tcPr>
          <w:p w14:paraId="0565D41B" w14:textId="7E6A6B90" w:rsidR="00165DD6" w:rsidRPr="009E6D43" w:rsidRDefault="00165DD6" w:rsidP="00165DD6">
            <w:pPr>
              <w:tabs>
                <w:tab w:val="decimal" w:pos="836"/>
              </w:tabs>
              <w:jc w:val="left"/>
              <w:rPr>
                <w:color w:val="000000"/>
                <w:sz w:val="16"/>
                <w:szCs w:val="16"/>
                <w:highlight w:val="yellow"/>
              </w:rPr>
            </w:pPr>
            <w:r w:rsidRPr="009E6D43">
              <w:rPr>
                <w:color w:val="000000"/>
                <w:sz w:val="16"/>
                <w:szCs w:val="16"/>
              </w:rPr>
              <w:t xml:space="preserve"> 7 981 116</w:t>
            </w:r>
          </w:p>
        </w:tc>
        <w:tc>
          <w:tcPr>
            <w:tcW w:w="1013" w:type="dxa"/>
            <w:tcBorders>
              <w:top w:val="nil"/>
              <w:left w:val="nil"/>
              <w:bottom w:val="nil"/>
              <w:right w:val="single" w:sz="4" w:space="0" w:color="1F497D"/>
            </w:tcBorders>
            <w:shd w:val="clear" w:color="auto" w:fill="auto"/>
            <w:noWrap/>
            <w:vAlign w:val="center"/>
          </w:tcPr>
          <w:p w14:paraId="2E86C934" w14:textId="41EA4D0B" w:rsidR="00165DD6" w:rsidRPr="009E6D43" w:rsidRDefault="00165DD6" w:rsidP="00165DD6">
            <w:pPr>
              <w:tabs>
                <w:tab w:val="decimal" w:pos="839"/>
              </w:tabs>
              <w:jc w:val="left"/>
              <w:rPr>
                <w:color w:val="000000"/>
                <w:sz w:val="16"/>
                <w:szCs w:val="16"/>
                <w:highlight w:val="yellow"/>
              </w:rPr>
            </w:pPr>
            <w:r w:rsidRPr="009E6D43">
              <w:rPr>
                <w:color w:val="000000"/>
                <w:sz w:val="16"/>
                <w:szCs w:val="16"/>
              </w:rPr>
              <w:t>686 407</w:t>
            </w:r>
          </w:p>
        </w:tc>
        <w:tc>
          <w:tcPr>
            <w:tcW w:w="720" w:type="dxa"/>
            <w:tcBorders>
              <w:top w:val="nil"/>
              <w:left w:val="nil"/>
              <w:bottom w:val="nil"/>
              <w:right w:val="nil"/>
            </w:tcBorders>
            <w:shd w:val="clear" w:color="auto" w:fill="auto"/>
            <w:noWrap/>
            <w:vAlign w:val="center"/>
          </w:tcPr>
          <w:p w14:paraId="03E1AEFB" w14:textId="4431A5E4" w:rsidR="00165DD6" w:rsidRPr="009E6D43" w:rsidRDefault="00165DD6" w:rsidP="00165DD6">
            <w:pPr>
              <w:tabs>
                <w:tab w:val="decimal" w:pos="357"/>
              </w:tabs>
              <w:jc w:val="left"/>
              <w:rPr>
                <w:color w:val="000000"/>
                <w:sz w:val="16"/>
                <w:szCs w:val="16"/>
                <w:highlight w:val="yellow"/>
              </w:rPr>
            </w:pPr>
            <w:r w:rsidRPr="009E6D43">
              <w:rPr>
                <w:color w:val="000000"/>
                <w:sz w:val="16"/>
                <w:szCs w:val="16"/>
              </w:rPr>
              <w:t>12.6</w:t>
            </w:r>
          </w:p>
        </w:tc>
        <w:tc>
          <w:tcPr>
            <w:tcW w:w="763" w:type="dxa"/>
            <w:tcBorders>
              <w:top w:val="nil"/>
              <w:left w:val="nil"/>
              <w:bottom w:val="nil"/>
              <w:right w:val="nil"/>
            </w:tcBorders>
            <w:shd w:val="clear" w:color="auto" w:fill="auto"/>
            <w:noWrap/>
            <w:vAlign w:val="center"/>
          </w:tcPr>
          <w:p w14:paraId="0402738E" w14:textId="40D5675B" w:rsidR="00165DD6" w:rsidRPr="009E6D43" w:rsidRDefault="00165DD6" w:rsidP="00165DD6">
            <w:pPr>
              <w:tabs>
                <w:tab w:val="decimal" w:pos="357"/>
              </w:tabs>
              <w:jc w:val="left"/>
              <w:rPr>
                <w:color w:val="000000"/>
                <w:sz w:val="16"/>
                <w:szCs w:val="16"/>
                <w:highlight w:val="yellow"/>
              </w:rPr>
            </w:pPr>
            <w:r w:rsidRPr="009E6D43">
              <w:rPr>
                <w:color w:val="000000"/>
                <w:sz w:val="16"/>
                <w:szCs w:val="16"/>
              </w:rPr>
              <w:t>13.5</w:t>
            </w:r>
          </w:p>
        </w:tc>
        <w:tc>
          <w:tcPr>
            <w:tcW w:w="916" w:type="dxa"/>
            <w:tcBorders>
              <w:top w:val="nil"/>
              <w:left w:val="nil"/>
              <w:bottom w:val="nil"/>
              <w:right w:val="single" w:sz="4" w:space="0" w:color="1F497D"/>
            </w:tcBorders>
            <w:shd w:val="clear" w:color="auto" w:fill="auto"/>
            <w:noWrap/>
            <w:vAlign w:val="center"/>
          </w:tcPr>
          <w:p w14:paraId="6D17D40B" w14:textId="3033CFB4" w:rsidR="00165DD6" w:rsidRPr="009E6D43" w:rsidRDefault="00165DD6" w:rsidP="00165DD6">
            <w:pPr>
              <w:tabs>
                <w:tab w:val="decimal" w:pos="389"/>
              </w:tabs>
              <w:jc w:val="left"/>
              <w:rPr>
                <w:color w:val="000000"/>
                <w:sz w:val="16"/>
                <w:szCs w:val="16"/>
                <w:highlight w:val="yellow"/>
              </w:rPr>
            </w:pPr>
            <w:r w:rsidRPr="009E6D43">
              <w:rPr>
                <w:color w:val="000000"/>
                <w:sz w:val="16"/>
                <w:szCs w:val="16"/>
              </w:rPr>
              <w:t>0.9</w:t>
            </w:r>
          </w:p>
        </w:tc>
      </w:tr>
      <w:tr w:rsidR="00165DD6" w:rsidRPr="009E6D43" w14:paraId="34D0A26F"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03B50159" w14:textId="77777777" w:rsidR="00165DD6" w:rsidRPr="009E6D43" w:rsidRDefault="00165DD6" w:rsidP="00165DD6">
            <w:pPr>
              <w:jc w:val="left"/>
              <w:rPr>
                <w:b/>
                <w:bCs/>
                <w:sz w:val="16"/>
                <w:szCs w:val="16"/>
                <w:lang w:val="es-MX" w:eastAsia="es-MX"/>
              </w:rPr>
            </w:pPr>
            <w:r w:rsidRPr="009E6D43">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52017651" w14:textId="66F06A30" w:rsidR="00165DD6" w:rsidRPr="009E6D43" w:rsidRDefault="00165DD6" w:rsidP="00165DD6">
            <w:pPr>
              <w:tabs>
                <w:tab w:val="decimal" w:pos="821"/>
              </w:tabs>
              <w:jc w:val="left"/>
              <w:rPr>
                <w:b/>
                <w:bCs/>
                <w:color w:val="000000"/>
                <w:sz w:val="16"/>
                <w:szCs w:val="16"/>
                <w:lang w:val="es-MX" w:eastAsia="es-MX"/>
              </w:rPr>
            </w:pPr>
            <w:r w:rsidRPr="009E6D43">
              <w:rPr>
                <w:b/>
                <w:bCs/>
                <w:color w:val="000000"/>
                <w:sz w:val="16"/>
                <w:szCs w:val="16"/>
              </w:rPr>
              <w:t xml:space="preserve"> 57 949 976</w:t>
            </w:r>
          </w:p>
        </w:tc>
        <w:tc>
          <w:tcPr>
            <w:tcW w:w="1020" w:type="dxa"/>
            <w:tcBorders>
              <w:top w:val="nil"/>
              <w:left w:val="nil"/>
              <w:bottom w:val="nil"/>
              <w:right w:val="nil"/>
            </w:tcBorders>
            <w:shd w:val="clear" w:color="auto" w:fill="auto"/>
            <w:noWrap/>
            <w:vAlign w:val="center"/>
          </w:tcPr>
          <w:p w14:paraId="1D24EA1A" w14:textId="5470B2A9" w:rsidR="00165DD6" w:rsidRPr="009E6D43" w:rsidRDefault="00165DD6" w:rsidP="00165DD6">
            <w:pPr>
              <w:tabs>
                <w:tab w:val="decimal" w:pos="836"/>
              </w:tabs>
              <w:jc w:val="left"/>
              <w:rPr>
                <w:b/>
                <w:bCs/>
                <w:color w:val="000000"/>
                <w:sz w:val="16"/>
                <w:szCs w:val="16"/>
              </w:rPr>
            </w:pPr>
            <w:r w:rsidRPr="009E6D43">
              <w:rPr>
                <w:b/>
                <w:bCs/>
                <w:color w:val="000000"/>
                <w:sz w:val="16"/>
                <w:szCs w:val="16"/>
              </w:rPr>
              <w:t xml:space="preserve"> 59 146 415</w:t>
            </w:r>
          </w:p>
        </w:tc>
        <w:tc>
          <w:tcPr>
            <w:tcW w:w="1013" w:type="dxa"/>
            <w:tcBorders>
              <w:top w:val="nil"/>
              <w:left w:val="nil"/>
              <w:bottom w:val="nil"/>
              <w:right w:val="single" w:sz="4" w:space="0" w:color="1F497D"/>
            </w:tcBorders>
            <w:shd w:val="clear" w:color="auto" w:fill="auto"/>
            <w:noWrap/>
            <w:vAlign w:val="center"/>
          </w:tcPr>
          <w:p w14:paraId="2C35B7C5" w14:textId="6FE9D194" w:rsidR="00165DD6" w:rsidRPr="009E6D43" w:rsidRDefault="00165DD6" w:rsidP="00165DD6">
            <w:pPr>
              <w:tabs>
                <w:tab w:val="decimal" w:pos="839"/>
              </w:tabs>
              <w:jc w:val="left"/>
              <w:rPr>
                <w:b/>
                <w:bCs/>
                <w:color w:val="000000"/>
                <w:sz w:val="16"/>
                <w:szCs w:val="16"/>
                <w:lang w:val="es-MX" w:eastAsia="es-MX"/>
              </w:rPr>
            </w:pPr>
            <w:r w:rsidRPr="009E6D43">
              <w:rPr>
                <w:b/>
                <w:bCs/>
                <w:color w:val="000000"/>
                <w:sz w:val="16"/>
                <w:szCs w:val="16"/>
              </w:rPr>
              <w:t xml:space="preserve"> 1 196 439</w:t>
            </w:r>
          </w:p>
        </w:tc>
        <w:tc>
          <w:tcPr>
            <w:tcW w:w="720" w:type="dxa"/>
            <w:tcBorders>
              <w:top w:val="nil"/>
              <w:left w:val="nil"/>
              <w:bottom w:val="nil"/>
              <w:right w:val="nil"/>
            </w:tcBorders>
            <w:shd w:val="clear" w:color="auto" w:fill="auto"/>
            <w:noWrap/>
            <w:vAlign w:val="center"/>
          </w:tcPr>
          <w:p w14:paraId="23D7CF9E" w14:textId="1BF12BB3" w:rsidR="00165DD6" w:rsidRPr="009E6D43" w:rsidRDefault="00165DD6" w:rsidP="00165DD6">
            <w:pPr>
              <w:tabs>
                <w:tab w:val="decimal" w:pos="357"/>
              </w:tabs>
              <w:jc w:val="left"/>
              <w:rPr>
                <w:b/>
                <w:bCs/>
                <w:color w:val="000000"/>
                <w:sz w:val="16"/>
                <w:szCs w:val="16"/>
                <w:lang w:val="es-MX" w:eastAsia="es-MX"/>
              </w:rPr>
            </w:pPr>
            <w:r w:rsidRPr="009E6D43">
              <w:rPr>
                <w:b/>
                <w:bCs/>
                <w:color w:val="000000"/>
                <w:sz w:val="16"/>
                <w:szCs w:val="16"/>
              </w:rPr>
              <w:t>100.0</w:t>
            </w:r>
          </w:p>
        </w:tc>
        <w:tc>
          <w:tcPr>
            <w:tcW w:w="763" w:type="dxa"/>
            <w:tcBorders>
              <w:top w:val="nil"/>
              <w:left w:val="nil"/>
              <w:bottom w:val="nil"/>
              <w:right w:val="nil"/>
            </w:tcBorders>
            <w:shd w:val="clear" w:color="auto" w:fill="auto"/>
            <w:noWrap/>
            <w:vAlign w:val="center"/>
          </w:tcPr>
          <w:p w14:paraId="2944AC14" w14:textId="6C172DE4" w:rsidR="00165DD6" w:rsidRPr="009E6D43" w:rsidRDefault="00165DD6" w:rsidP="00165DD6">
            <w:pPr>
              <w:tabs>
                <w:tab w:val="decimal" w:pos="357"/>
              </w:tabs>
              <w:jc w:val="left"/>
              <w:rPr>
                <w:b/>
                <w:bCs/>
                <w:color w:val="000000"/>
                <w:sz w:val="16"/>
                <w:szCs w:val="16"/>
                <w:lang w:val="es-MX" w:eastAsia="es-MX"/>
              </w:rPr>
            </w:pPr>
            <w:r w:rsidRPr="009E6D43">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8A4046" w14:textId="0588A07D" w:rsidR="00165DD6" w:rsidRPr="009E6D43" w:rsidRDefault="00165DD6" w:rsidP="00165DD6">
            <w:pPr>
              <w:tabs>
                <w:tab w:val="decimal" w:pos="389"/>
              </w:tabs>
              <w:jc w:val="left"/>
              <w:rPr>
                <w:b/>
                <w:bCs/>
                <w:color w:val="000000"/>
                <w:sz w:val="16"/>
                <w:szCs w:val="16"/>
                <w:lang w:val="es-MX" w:eastAsia="es-MX"/>
              </w:rPr>
            </w:pPr>
            <w:r w:rsidRPr="009E6D43">
              <w:rPr>
                <w:b/>
                <w:bCs/>
                <w:color w:val="000000"/>
                <w:sz w:val="16"/>
                <w:szCs w:val="16"/>
              </w:rPr>
              <w:t> </w:t>
            </w:r>
          </w:p>
        </w:tc>
      </w:tr>
      <w:tr w:rsidR="00165DD6" w:rsidRPr="009E6D43" w14:paraId="44F09E70"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42F45078"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31BFE4C2" w14:textId="37CBFB32"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896 187</w:t>
            </w:r>
          </w:p>
        </w:tc>
        <w:tc>
          <w:tcPr>
            <w:tcW w:w="1020" w:type="dxa"/>
            <w:tcBorders>
              <w:top w:val="nil"/>
              <w:left w:val="nil"/>
              <w:bottom w:val="nil"/>
              <w:right w:val="nil"/>
            </w:tcBorders>
            <w:shd w:val="clear" w:color="auto" w:fill="auto"/>
            <w:noWrap/>
            <w:vAlign w:val="center"/>
          </w:tcPr>
          <w:p w14:paraId="29B7C629" w14:textId="227C6899" w:rsidR="00165DD6" w:rsidRPr="009E6D43" w:rsidRDefault="00165DD6" w:rsidP="00165DD6">
            <w:pPr>
              <w:tabs>
                <w:tab w:val="decimal" w:pos="836"/>
              </w:tabs>
              <w:jc w:val="left"/>
              <w:rPr>
                <w:bCs/>
                <w:color w:val="000000"/>
                <w:sz w:val="16"/>
                <w:szCs w:val="16"/>
              </w:rPr>
            </w:pPr>
            <w:r w:rsidRPr="009E6D43">
              <w:rPr>
                <w:color w:val="000000"/>
                <w:sz w:val="16"/>
                <w:szCs w:val="16"/>
              </w:rPr>
              <w:t xml:space="preserve"> 1 650 295</w:t>
            </w:r>
          </w:p>
        </w:tc>
        <w:tc>
          <w:tcPr>
            <w:tcW w:w="1013" w:type="dxa"/>
            <w:tcBorders>
              <w:top w:val="nil"/>
              <w:left w:val="nil"/>
              <w:bottom w:val="nil"/>
              <w:right w:val="single" w:sz="4" w:space="0" w:color="1F497D"/>
            </w:tcBorders>
            <w:shd w:val="clear" w:color="auto" w:fill="auto"/>
            <w:noWrap/>
            <w:vAlign w:val="center"/>
          </w:tcPr>
          <w:p w14:paraId="0A39EB04" w14:textId="48DA2DE7"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754 108</w:t>
            </w:r>
          </w:p>
        </w:tc>
        <w:tc>
          <w:tcPr>
            <w:tcW w:w="720" w:type="dxa"/>
            <w:tcBorders>
              <w:top w:val="nil"/>
              <w:left w:val="nil"/>
              <w:bottom w:val="nil"/>
              <w:right w:val="nil"/>
            </w:tcBorders>
            <w:shd w:val="clear" w:color="auto" w:fill="auto"/>
            <w:noWrap/>
            <w:vAlign w:val="center"/>
          </w:tcPr>
          <w:p w14:paraId="6AF99CF1" w14:textId="5E2E6FF4"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1.5</w:t>
            </w:r>
          </w:p>
        </w:tc>
        <w:tc>
          <w:tcPr>
            <w:tcW w:w="763" w:type="dxa"/>
            <w:tcBorders>
              <w:top w:val="nil"/>
              <w:left w:val="nil"/>
              <w:bottom w:val="nil"/>
              <w:right w:val="nil"/>
            </w:tcBorders>
            <w:shd w:val="clear" w:color="auto" w:fill="auto"/>
            <w:noWrap/>
            <w:vAlign w:val="center"/>
          </w:tcPr>
          <w:p w14:paraId="0506B500" w14:textId="5DB563AA"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2.8</w:t>
            </w:r>
          </w:p>
        </w:tc>
        <w:tc>
          <w:tcPr>
            <w:tcW w:w="916" w:type="dxa"/>
            <w:tcBorders>
              <w:top w:val="nil"/>
              <w:left w:val="nil"/>
              <w:bottom w:val="nil"/>
              <w:right w:val="single" w:sz="4" w:space="0" w:color="1F497D"/>
            </w:tcBorders>
            <w:shd w:val="clear" w:color="auto" w:fill="auto"/>
            <w:noWrap/>
            <w:vAlign w:val="center"/>
          </w:tcPr>
          <w:p w14:paraId="6D5A86C1" w14:textId="0464CFEE"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1.2</w:t>
            </w:r>
          </w:p>
        </w:tc>
      </w:tr>
      <w:tr w:rsidR="00165DD6" w:rsidRPr="009E6D43" w14:paraId="0B6CB0FD"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5DFB0022"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1410334" w14:textId="783433C2"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3 376 018</w:t>
            </w:r>
          </w:p>
        </w:tc>
        <w:tc>
          <w:tcPr>
            <w:tcW w:w="1020" w:type="dxa"/>
            <w:tcBorders>
              <w:top w:val="nil"/>
              <w:left w:val="nil"/>
              <w:bottom w:val="nil"/>
              <w:right w:val="nil"/>
            </w:tcBorders>
            <w:shd w:val="clear" w:color="auto" w:fill="auto"/>
            <w:noWrap/>
            <w:vAlign w:val="center"/>
          </w:tcPr>
          <w:p w14:paraId="3624961E" w14:textId="2BE76630" w:rsidR="00165DD6" w:rsidRPr="009E6D43" w:rsidRDefault="00165DD6" w:rsidP="00165DD6">
            <w:pPr>
              <w:tabs>
                <w:tab w:val="decimal" w:pos="836"/>
              </w:tabs>
              <w:jc w:val="left"/>
              <w:rPr>
                <w:bCs/>
                <w:color w:val="000000"/>
                <w:sz w:val="16"/>
                <w:szCs w:val="16"/>
              </w:rPr>
            </w:pPr>
            <w:r w:rsidRPr="009E6D43">
              <w:rPr>
                <w:color w:val="000000"/>
                <w:sz w:val="16"/>
                <w:szCs w:val="16"/>
              </w:rPr>
              <w:t xml:space="preserve"> 3 771 000</w:t>
            </w:r>
          </w:p>
        </w:tc>
        <w:tc>
          <w:tcPr>
            <w:tcW w:w="1013" w:type="dxa"/>
            <w:tcBorders>
              <w:top w:val="nil"/>
              <w:left w:val="nil"/>
              <w:bottom w:val="nil"/>
              <w:right w:val="single" w:sz="4" w:space="0" w:color="1F497D"/>
            </w:tcBorders>
            <w:shd w:val="clear" w:color="auto" w:fill="auto"/>
            <w:noWrap/>
            <w:vAlign w:val="center"/>
          </w:tcPr>
          <w:p w14:paraId="349FC787" w14:textId="5377708B"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394 982</w:t>
            </w:r>
          </w:p>
        </w:tc>
        <w:tc>
          <w:tcPr>
            <w:tcW w:w="720" w:type="dxa"/>
            <w:tcBorders>
              <w:top w:val="nil"/>
              <w:left w:val="nil"/>
              <w:bottom w:val="nil"/>
              <w:right w:val="nil"/>
            </w:tcBorders>
            <w:shd w:val="clear" w:color="auto" w:fill="auto"/>
            <w:noWrap/>
            <w:vAlign w:val="center"/>
          </w:tcPr>
          <w:p w14:paraId="70B6680C" w14:textId="3CD77875"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5.8</w:t>
            </w:r>
          </w:p>
        </w:tc>
        <w:tc>
          <w:tcPr>
            <w:tcW w:w="763" w:type="dxa"/>
            <w:tcBorders>
              <w:top w:val="nil"/>
              <w:left w:val="nil"/>
              <w:bottom w:val="nil"/>
              <w:right w:val="nil"/>
            </w:tcBorders>
            <w:shd w:val="clear" w:color="auto" w:fill="auto"/>
            <w:noWrap/>
            <w:vAlign w:val="center"/>
          </w:tcPr>
          <w:p w14:paraId="20C284AE" w14:textId="58273722"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6.4</w:t>
            </w:r>
          </w:p>
        </w:tc>
        <w:tc>
          <w:tcPr>
            <w:tcW w:w="916" w:type="dxa"/>
            <w:tcBorders>
              <w:top w:val="nil"/>
              <w:left w:val="nil"/>
              <w:bottom w:val="nil"/>
              <w:right w:val="single" w:sz="4" w:space="0" w:color="1F497D"/>
            </w:tcBorders>
            <w:shd w:val="clear" w:color="auto" w:fill="auto"/>
            <w:noWrap/>
            <w:vAlign w:val="center"/>
          </w:tcPr>
          <w:p w14:paraId="6168C57A" w14:textId="4D4669D8"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0.5</w:t>
            </w:r>
          </w:p>
        </w:tc>
      </w:tr>
      <w:tr w:rsidR="00165DD6" w:rsidRPr="009E6D43" w14:paraId="524D0112"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63CEA151"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90F7E3D" w14:textId="304A29DF"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10 030 444</w:t>
            </w:r>
          </w:p>
        </w:tc>
        <w:tc>
          <w:tcPr>
            <w:tcW w:w="1020" w:type="dxa"/>
            <w:tcBorders>
              <w:top w:val="nil"/>
              <w:left w:val="nil"/>
              <w:bottom w:val="nil"/>
              <w:right w:val="nil"/>
            </w:tcBorders>
            <w:shd w:val="clear" w:color="auto" w:fill="auto"/>
            <w:noWrap/>
            <w:vAlign w:val="center"/>
          </w:tcPr>
          <w:p w14:paraId="326AAD86" w14:textId="192EF1E8" w:rsidR="00165DD6" w:rsidRPr="009E6D43" w:rsidRDefault="00165DD6" w:rsidP="00165DD6">
            <w:pPr>
              <w:tabs>
                <w:tab w:val="decimal" w:pos="836"/>
              </w:tabs>
              <w:jc w:val="left"/>
              <w:rPr>
                <w:bCs/>
                <w:color w:val="000000"/>
                <w:sz w:val="16"/>
                <w:szCs w:val="16"/>
              </w:rPr>
            </w:pPr>
            <w:r w:rsidRPr="009E6D43">
              <w:rPr>
                <w:color w:val="000000"/>
                <w:sz w:val="16"/>
                <w:szCs w:val="16"/>
              </w:rPr>
              <w:t xml:space="preserve"> 9 764 248</w:t>
            </w:r>
          </w:p>
        </w:tc>
        <w:tc>
          <w:tcPr>
            <w:tcW w:w="1013" w:type="dxa"/>
            <w:tcBorders>
              <w:top w:val="nil"/>
              <w:left w:val="nil"/>
              <w:bottom w:val="nil"/>
              <w:right w:val="single" w:sz="4" w:space="0" w:color="1F497D"/>
            </w:tcBorders>
            <w:shd w:val="clear" w:color="auto" w:fill="auto"/>
            <w:noWrap/>
            <w:vAlign w:val="center"/>
          </w:tcPr>
          <w:p w14:paraId="418FAC78" w14:textId="4372C32B"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-266 196</w:t>
            </w:r>
          </w:p>
        </w:tc>
        <w:tc>
          <w:tcPr>
            <w:tcW w:w="720" w:type="dxa"/>
            <w:tcBorders>
              <w:top w:val="nil"/>
              <w:left w:val="nil"/>
              <w:bottom w:val="nil"/>
              <w:right w:val="nil"/>
            </w:tcBorders>
            <w:shd w:val="clear" w:color="auto" w:fill="auto"/>
            <w:noWrap/>
            <w:vAlign w:val="center"/>
          </w:tcPr>
          <w:p w14:paraId="3FD859AD" w14:textId="5BF3636D"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17.3</w:t>
            </w:r>
          </w:p>
        </w:tc>
        <w:tc>
          <w:tcPr>
            <w:tcW w:w="763" w:type="dxa"/>
            <w:tcBorders>
              <w:top w:val="nil"/>
              <w:left w:val="nil"/>
              <w:bottom w:val="nil"/>
              <w:right w:val="nil"/>
            </w:tcBorders>
            <w:shd w:val="clear" w:color="auto" w:fill="auto"/>
            <w:noWrap/>
            <w:vAlign w:val="center"/>
          </w:tcPr>
          <w:p w14:paraId="69F512C5" w14:textId="099F1FD4"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16.5</w:t>
            </w:r>
          </w:p>
        </w:tc>
        <w:tc>
          <w:tcPr>
            <w:tcW w:w="916" w:type="dxa"/>
            <w:tcBorders>
              <w:top w:val="nil"/>
              <w:left w:val="nil"/>
              <w:bottom w:val="nil"/>
              <w:right w:val="single" w:sz="4" w:space="0" w:color="1F497D"/>
            </w:tcBorders>
            <w:shd w:val="clear" w:color="auto" w:fill="auto"/>
            <w:noWrap/>
            <w:vAlign w:val="center"/>
          </w:tcPr>
          <w:p w14:paraId="79DDEFFF" w14:textId="3C54292C"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-0.8</w:t>
            </w:r>
          </w:p>
        </w:tc>
      </w:tr>
      <w:tr w:rsidR="00165DD6" w:rsidRPr="009E6D43" w14:paraId="30A20D53"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6F2EFE0E"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78D55C37" w14:textId="68E90A84"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27 533 902</w:t>
            </w:r>
          </w:p>
        </w:tc>
        <w:tc>
          <w:tcPr>
            <w:tcW w:w="1020" w:type="dxa"/>
            <w:tcBorders>
              <w:top w:val="nil"/>
              <w:left w:val="nil"/>
              <w:bottom w:val="nil"/>
              <w:right w:val="nil"/>
            </w:tcBorders>
            <w:shd w:val="clear" w:color="auto" w:fill="auto"/>
            <w:noWrap/>
            <w:vAlign w:val="center"/>
          </w:tcPr>
          <w:p w14:paraId="2C3F9102" w14:textId="319C7985" w:rsidR="00165DD6" w:rsidRPr="009E6D43" w:rsidRDefault="00165DD6" w:rsidP="00165DD6">
            <w:pPr>
              <w:tabs>
                <w:tab w:val="decimal" w:pos="836"/>
              </w:tabs>
              <w:jc w:val="left"/>
              <w:rPr>
                <w:bCs/>
                <w:color w:val="000000"/>
                <w:sz w:val="16"/>
                <w:szCs w:val="16"/>
              </w:rPr>
            </w:pPr>
            <w:r w:rsidRPr="009E6D43">
              <w:rPr>
                <w:color w:val="000000"/>
                <w:sz w:val="16"/>
                <w:szCs w:val="16"/>
              </w:rPr>
              <w:t xml:space="preserve"> 28 199 882</w:t>
            </w:r>
          </w:p>
        </w:tc>
        <w:tc>
          <w:tcPr>
            <w:tcW w:w="1013" w:type="dxa"/>
            <w:tcBorders>
              <w:top w:val="nil"/>
              <w:left w:val="nil"/>
              <w:bottom w:val="nil"/>
              <w:right w:val="single" w:sz="4" w:space="0" w:color="1F497D"/>
            </w:tcBorders>
            <w:shd w:val="clear" w:color="auto" w:fill="auto"/>
            <w:noWrap/>
            <w:vAlign w:val="center"/>
          </w:tcPr>
          <w:p w14:paraId="1DAACA47" w14:textId="11D050BE"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665 980</w:t>
            </w:r>
          </w:p>
        </w:tc>
        <w:tc>
          <w:tcPr>
            <w:tcW w:w="720" w:type="dxa"/>
            <w:tcBorders>
              <w:top w:val="nil"/>
              <w:left w:val="nil"/>
              <w:bottom w:val="nil"/>
              <w:right w:val="nil"/>
            </w:tcBorders>
            <w:shd w:val="clear" w:color="auto" w:fill="auto"/>
            <w:noWrap/>
            <w:vAlign w:val="center"/>
          </w:tcPr>
          <w:p w14:paraId="3C1EC362" w14:textId="1055287B"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47.5</w:t>
            </w:r>
          </w:p>
        </w:tc>
        <w:tc>
          <w:tcPr>
            <w:tcW w:w="763" w:type="dxa"/>
            <w:tcBorders>
              <w:top w:val="nil"/>
              <w:left w:val="nil"/>
              <w:bottom w:val="nil"/>
              <w:right w:val="nil"/>
            </w:tcBorders>
            <w:shd w:val="clear" w:color="auto" w:fill="auto"/>
            <w:noWrap/>
            <w:vAlign w:val="center"/>
          </w:tcPr>
          <w:p w14:paraId="033A6C49" w14:textId="1FCCA1CF"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47.7</w:t>
            </w:r>
          </w:p>
        </w:tc>
        <w:tc>
          <w:tcPr>
            <w:tcW w:w="916" w:type="dxa"/>
            <w:tcBorders>
              <w:top w:val="nil"/>
              <w:left w:val="nil"/>
              <w:bottom w:val="nil"/>
              <w:right w:val="single" w:sz="4" w:space="0" w:color="1F497D"/>
            </w:tcBorders>
            <w:shd w:val="clear" w:color="auto" w:fill="auto"/>
            <w:noWrap/>
            <w:vAlign w:val="center"/>
          </w:tcPr>
          <w:p w14:paraId="7358CC49" w14:textId="2158BA17"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0.2</w:t>
            </w:r>
          </w:p>
        </w:tc>
      </w:tr>
      <w:tr w:rsidR="00165DD6" w:rsidRPr="009E6D43" w14:paraId="46FBD470"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53E5FCD9"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3921E68D" w14:textId="4E41987F"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15 499 420</w:t>
            </w:r>
          </w:p>
        </w:tc>
        <w:tc>
          <w:tcPr>
            <w:tcW w:w="1020" w:type="dxa"/>
            <w:tcBorders>
              <w:top w:val="nil"/>
              <w:left w:val="nil"/>
              <w:bottom w:val="nil"/>
              <w:right w:val="nil"/>
            </w:tcBorders>
            <w:shd w:val="clear" w:color="auto" w:fill="auto"/>
            <w:noWrap/>
            <w:vAlign w:val="center"/>
          </w:tcPr>
          <w:p w14:paraId="64968144" w14:textId="769DAC3B" w:rsidR="00165DD6" w:rsidRPr="009E6D43" w:rsidRDefault="00165DD6" w:rsidP="00165DD6">
            <w:pPr>
              <w:tabs>
                <w:tab w:val="decimal" w:pos="836"/>
              </w:tabs>
              <w:jc w:val="left"/>
              <w:rPr>
                <w:bCs/>
                <w:color w:val="000000"/>
                <w:sz w:val="16"/>
                <w:szCs w:val="16"/>
              </w:rPr>
            </w:pPr>
            <w:r w:rsidRPr="009E6D43">
              <w:rPr>
                <w:color w:val="000000"/>
                <w:sz w:val="16"/>
                <w:szCs w:val="16"/>
              </w:rPr>
              <w:t xml:space="preserve"> 15 176 600</w:t>
            </w:r>
          </w:p>
        </w:tc>
        <w:tc>
          <w:tcPr>
            <w:tcW w:w="1013" w:type="dxa"/>
            <w:tcBorders>
              <w:top w:val="nil"/>
              <w:left w:val="nil"/>
              <w:bottom w:val="nil"/>
              <w:right w:val="single" w:sz="4" w:space="0" w:color="1F497D"/>
            </w:tcBorders>
            <w:shd w:val="clear" w:color="auto" w:fill="auto"/>
            <w:noWrap/>
            <w:vAlign w:val="center"/>
          </w:tcPr>
          <w:p w14:paraId="7CEA09EE" w14:textId="0F1F5672"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-322 820</w:t>
            </w:r>
          </w:p>
        </w:tc>
        <w:tc>
          <w:tcPr>
            <w:tcW w:w="720" w:type="dxa"/>
            <w:tcBorders>
              <w:top w:val="nil"/>
              <w:left w:val="nil"/>
              <w:bottom w:val="nil"/>
              <w:right w:val="nil"/>
            </w:tcBorders>
            <w:shd w:val="clear" w:color="auto" w:fill="auto"/>
            <w:noWrap/>
            <w:vAlign w:val="center"/>
          </w:tcPr>
          <w:p w14:paraId="398BF5CF" w14:textId="0E643802"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26.7</w:t>
            </w:r>
          </w:p>
        </w:tc>
        <w:tc>
          <w:tcPr>
            <w:tcW w:w="763" w:type="dxa"/>
            <w:tcBorders>
              <w:top w:val="nil"/>
              <w:left w:val="nil"/>
              <w:bottom w:val="nil"/>
              <w:right w:val="nil"/>
            </w:tcBorders>
            <w:shd w:val="clear" w:color="auto" w:fill="auto"/>
            <w:noWrap/>
            <w:vAlign w:val="center"/>
          </w:tcPr>
          <w:p w14:paraId="4961D3E6" w14:textId="72704B0C"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25.7</w:t>
            </w:r>
          </w:p>
        </w:tc>
        <w:tc>
          <w:tcPr>
            <w:tcW w:w="916" w:type="dxa"/>
            <w:tcBorders>
              <w:top w:val="nil"/>
              <w:left w:val="nil"/>
              <w:bottom w:val="nil"/>
              <w:right w:val="single" w:sz="4" w:space="0" w:color="1F497D"/>
            </w:tcBorders>
            <w:shd w:val="clear" w:color="auto" w:fill="auto"/>
            <w:noWrap/>
            <w:vAlign w:val="center"/>
          </w:tcPr>
          <w:p w14:paraId="490B0641" w14:textId="557D25DA"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-1.1</w:t>
            </w:r>
          </w:p>
        </w:tc>
      </w:tr>
      <w:tr w:rsidR="00165DD6" w:rsidRPr="009E6D43" w14:paraId="3AE359F2"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4611AAF2"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ED7F316" w14:textId="5DF385E4"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614 005</w:t>
            </w:r>
          </w:p>
        </w:tc>
        <w:tc>
          <w:tcPr>
            <w:tcW w:w="1020" w:type="dxa"/>
            <w:tcBorders>
              <w:top w:val="nil"/>
              <w:left w:val="nil"/>
              <w:bottom w:val="nil"/>
              <w:right w:val="nil"/>
            </w:tcBorders>
            <w:shd w:val="clear" w:color="auto" w:fill="auto"/>
            <w:noWrap/>
            <w:vAlign w:val="center"/>
          </w:tcPr>
          <w:p w14:paraId="2D955F6C" w14:textId="4341F8BA" w:rsidR="00165DD6" w:rsidRPr="009E6D43" w:rsidRDefault="00165DD6" w:rsidP="00165DD6">
            <w:pPr>
              <w:tabs>
                <w:tab w:val="decimal" w:pos="836"/>
              </w:tabs>
              <w:jc w:val="left"/>
              <w:rPr>
                <w:bCs/>
                <w:color w:val="000000"/>
                <w:sz w:val="16"/>
                <w:szCs w:val="16"/>
              </w:rPr>
            </w:pPr>
            <w:r w:rsidRPr="009E6D43">
              <w:rPr>
                <w:color w:val="000000"/>
                <w:sz w:val="16"/>
                <w:szCs w:val="16"/>
              </w:rPr>
              <w:t xml:space="preserve">  584 390</w:t>
            </w:r>
          </w:p>
        </w:tc>
        <w:tc>
          <w:tcPr>
            <w:tcW w:w="1013" w:type="dxa"/>
            <w:tcBorders>
              <w:top w:val="nil"/>
              <w:left w:val="nil"/>
              <w:bottom w:val="nil"/>
              <w:right w:val="single" w:sz="4" w:space="0" w:color="1F497D"/>
            </w:tcBorders>
            <w:shd w:val="clear" w:color="auto" w:fill="auto"/>
            <w:noWrap/>
            <w:vAlign w:val="center"/>
          </w:tcPr>
          <w:p w14:paraId="567A7033" w14:textId="0DDA2AFC"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-29 615</w:t>
            </w:r>
          </w:p>
        </w:tc>
        <w:tc>
          <w:tcPr>
            <w:tcW w:w="720" w:type="dxa"/>
            <w:tcBorders>
              <w:top w:val="nil"/>
              <w:left w:val="nil"/>
              <w:bottom w:val="nil"/>
              <w:right w:val="nil"/>
            </w:tcBorders>
            <w:shd w:val="clear" w:color="auto" w:fill="auto"/>
            <w:noWrap/>
            <w:vAlign w:val="center"/>
          </w:tcPr>
          <w:p w14:paraId="322F36AF" w14:textId="43BE314E"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1.1</w:t>
            </w:r>
          </w:p>
        </w:tc>
        <w:tc>
          <w:tcPr>
            <w:tcW w:w="763" w:type="dxa"/>
            <w:tcBorders>
              <w:top w:val="nil"/>
              <w:left w:val="nil"/>
              <w:bottom w:val="nil"/>
              <w:right w:val="nil"/>
            </w:tcBorders>
            <w:shd w:val="clear" w:color="auto" w:fill="auto"/>
            <w:noWrap/>
            <w:vAlign w:val="center"/>
          </w:tcPr>
          <w:p w14:paraId="5851AF77" w14:textId="419943E8"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1.0</w:t>
            </w:r>
          </w:p>
        </w:tc>
        <w:tc>
          <w:tcPr>
            <w:tcW w:w="916" w:type="dxa"/>
            <w:tcBorders>
              <w:top w:val="nil"/>
              <w:left w:val="nil"/>
              <w:bottom w:val="nil"/>
              <w:right w:val="single" w:sz="4" w:space="0" w:color="1F497D"/>
            </w:tcBorders>
            <w:shd w:val="clear" w:color="auto" w:fill="auto"/>
            <w:noWrap/>
            <w:vAlign w:val="center"/>
          </w:tcPr>
          <w:p w14:paraId="50C5448B" w14:textId="32173281"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-0.1</w:t>
            </w:r>
          </w:p>
        </w:tc>
      </w:tr>
      <w:tr w:rsidR="00165DD6" w:rsidRPr="009E6D43" w14:paraId="4345A327"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3EFE5D66" w14:textId="77777777" w:rsidR="00165DD6" w:rsidRPr="009E6D43" w:rsidRDefault="00165DD6" w:rsidP="00165DD6">
            <w:pPr>
              <w:jc w:val="left"/>
              <w:rPr>
                <w:b/>
                <w:bCs/>
                <w:sz w:val="16"/>
                <w:szCs w:val="16"/>
                <w:lang w:val="es-MX" w:eastAsia="es-MX"/>
              </w:rPr>
            </w:pPr>
            <w:r w:rsidRPr="009E6D43">
              <w:rPr>
                <w:b/>
                <w:bCs/>
                <w:sz w:val="16"/>
                <w:szCs w:val="16"/>
                <w:lang w:val="es-MX" w:eastAsia="es-MX"/>
              </w:rPr>
              <w:t>Ámbito y tamaño de la unidad económica</w:t>
            </w:r>
            <w:r w:rsidRPr="009E6D43">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3F51ECA5" w14:textId="7BCA65B8" w:rsidR="00165DD6" w:rsidRPr="009E6D43" w:rsidRDefault="00165DD6" w:rsidP="00165DD6">
            <w:pPr>
              <w:tabs>
                <w:tab w:val="decimal" w:pos="821"/>
              </w:tabs>
              <w:jc w:val="left"/>
              <w:rPr>
                <w:b/>
                <w:bCs/>
                <w:color w:val="000000"/>
                <w:sz w:val="16"/>
                <w:szCs w:val="16"/>
                <w:lang w:val="es-MX" w:eastAsia="es-MX"/>
              </w:rPr>
            </w:pPr>
            <w:r w:rsidRPr="009E6D43">
              <w:rPr>
                <w:b/>
                <w:bCs/>
                <w:color w:val="000000"/>
                <w:sz w:val="16"/>
                <w:szCs w:val="16"/>
              </w:rPr>
              <w:t xml:space="preserve"> 57 949 976</w:t>
            </w:r>
          </w:p>
        </w:tc>
        <w:tc>
          <w:tcPr>
            <w:tcW w:w="1020" w:type="dxa"/>
            <w:tcBorders>
              <w:top w:val="nil"/>
              <w:left w:val="nil"/>
              <w:bottom w:val="nil"/>
              <w:right w:val="nil"/>
            </w:tcBorders>
            <w:shd w:val="clear" w:color="auto" w:fill="auto"/>
            <w:noWrap/>
            <w:vAlign w:val="center"/>
          </w:tcPr>
          <w:p w14:paraId="44F04092" w14:textId="76D0A0D9" w:rsidR="00165DD6" w:rsidRPr="009E6D43" w:rsidRDefault="00165DD6" w:rsidP="00165DD6">
            <w:pPr>
              <w:tabs>
                <w:tab w:val="decimal" w:pos="836"/>
              </w:tabs>
              <w:jc w:val="left"/>
              <w:rPr>
                <w:b/>
                <w:bCs/>
                <w:color w:val="000000"/>
                <w:sz w:val="16"/>
                <w:szCs w:val="16"/>
              </w:rPr>
            </w:pPr>
            <w:r w:rsidRPr="009E6D43">
              <w:rPr>
                <w:b/>
                <w:bCs/>
                <w:color w:val="000000"/>
                <w:sz w:val="16"/>
                <w:szCs w:val="16"/>
              </w:rPr>
              <w:t xml:space="preserve"> 59 146 415</w:t>
            </w:r>
          </w:p>
        </w:tc>
        <w:tc>
          <w:tcPr>
            <w:tcW w:w="1013" w:type="dxa"/>
            <w:tcBorders>
              <w:top w:val="nil"/>
              <w:left w:val="nil"/>
              <w:bottom w:val="nil"/>
              <w:right w:val="single" w:sz="4" w:space="0" w:color="1F497D"/>
            </w:tcBorders>
            <w:shd w:val="clear" w:color="auto" w:fill="auto"/>
            <w:noWrap/>
            <w:vAlign w:val="center"/>
          </w:tcPr>
          <w:p w14:paraId="4FE9F795" w14:textId="68E7A29C" w:rsidR="00165DD6" w:rsidRPr="009E6D43" w:rsidRDefault="00165DD6" w:rsidP="00165DD6">
            <w:pPr>
              <w:tabs>
                <w:tab w:val="decimal" w:pos="839"/>
              </w:tabs>
              <w:jc w:val="left"/>
              <w:rPr>
                <w:b/>
                <w:bCs/>
                <w:color w:val="000000"/>
                <w:sz w:val="16"/>
                <w:szCs w:val="16"/>
                <w:lang w:val="es-MX" w:eastAsia="es-MX"/>
              </w:rPr>
            </w:pPr>
            <w:r w:rsidRPr="009E6D43">
              <w:rPr>
                <w:b/>
                <w:bCs/>
                <w:color w:val="000000"/>
                <w:sz w:val="16"/>
                <w:szCs w:val="16"/>
              </w:rPr>
              <w:t xml:space="preserve"> 1 196 439</w:t>
            </w:r>
          </w:p>
        </w:tc>
        <w:tc>
          <w:tcPr>
            <w:tcW w:w="720" w:type="dxa"/>
            <w:tcBorders>
              <w:top w:val="nil"/>
              <w:left w:val="nil"/>
              <w:bottom w:val="nil"/>
              <w:right w:val="nil"/>
            </w:tcBorders>
            <w:shd w:val="clear" w:color="auto" w:fill="auto"/>
            <w:noWrap/>
            <w:vAlign w:val="center"/>
          </w:tcPr>
          <w:p w14:paraId="5DCBE119" w14:textId="16FBD027" w:rsidR="00165DD6" w:rsidRPr="009E6D43" w:rsidRDefault="00165DD6" w:rsidP="00165DD6">
            <w:pPr>
              <w:tabs>
                <w:tab w:val="decimal" w:pos="357"/>
              </w:tabs>
              <w:jc w:val="left"/>
              <w:rPr>
                <w:b/>
                <w:bCs/>
                <w:color w:val="000000"/>
                <w:sz w:val="16"/>
                <w:szCs w:val="16"/>
                <w:lang w:val="es-MX" w:eastAsia="es-MX"/>
              </w:rPr>
            </w:pPr>
            <w:r w:rsidRPr="009E6D43">
              <w:rPr>
                <w:b/>
                <w:bCs/>
                <w:color w:val="000000"/>
                <w:sz w:val="16"/>
                <w:szCs w:val="16"/>
              </w:rPr>
              <w:t>100.0</w:t>
            </w:r>
          </w:p>
        </w:tc>
        <w:tc>
          <w:tcPr>
            <w:tcW w:w="763" w:type="dxa"/>
            <w:tcBorders>
              <w:top w:val="nil"/>
              <w:left w:val="nil"/>
              <w:bottom w:val="nil"/>
              <w:right w:val="nil"/>
            </w:tcBorders>
            <w:shd w:val="clear" w:color="auto" w:fill="auto"/>
            <w:noWrap/>
            <w:vAlign w:val="center"/>
          </w:tcPr>
          <w:p w14:paraId="71877158" w14:textId="5640354F" w:rsidR="00165DD6" w:rsidRPr="009E6D43" w:rsidRDefault="00165DD6" w:rsidP="00165DD6">
            <w:pPr>
              <w:tabs>
                <w:tab w:val="decimal" w:pos="357"/>
              </w:tabs>
              <w:jc w:val="left"/>
              <w:rPr>
                <w:b/>
                <w:bCs/>
                <w:color w:val="000000"/>
                <w:sz w:val="16"/>
                <w:szCs w:val="16"/>
                <w:lang w:val="es-MX" w:eastAsia="es-MX"/>
              </w:rPr>
            </w:pPr>
            <w:r w:rsidRPr="009E6D43">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4142112" w14:textId="4B1F8623" w:rsidR="00165DD6" w:rsidRPr="009E6D43" w:rsidRDefault="00165DD6" w:rsidP="00165DD6">
            <w:pPr>
              <w:tabs>
                <w:tab w:val="decimal" w:pos="389"/>
              </w:tabs>
              <w:jc w:val="left"/>
              <w:rPr>
                <w:b/>
                <w:bCs/>
                <w:color w:val="000000"/>
                <w:sz w:val="16"/>
                <w:szCs w:val="16"/>
                <w:lang w:val="es-MX" w:eastAsia="es-MX"/>
              </w:rPr>
            </w:pPr>
            <w:r w:rsidRPr="009E6D43">
              <w:rPr>
                <w:b/>
                <w:bCs/>
                <w:color w:val="000000"/>
                <w:sz w:val="16"/>
                <w:szCs w:val="16"/>
              </w:rPr>
              <w:t> </w:t>
            </w:r>
          </w:p>
        </w:tc>
      </w:tr>
      <w:tr w:rsidR="00165DD6" w:rsidRPr="009E6D43" w14:paraId="724D79CD"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6190F37F"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0DA314C" w14:textId="5B354FCB"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6 672 540</w:t>
            </w:r>
          </w:p>
        </w:tc>
        <w:tc>
          <w:tcPr>
            <w:tcW w:w="1020" w:type="dxa"/>
            <w:tcBorders>
              <w:top w:val="nil"/>
              <w:left w:val="nil"/>
              <w:bottom w:val="nil"/>
              <w:right w:val="nil"/>
            </w:tcBorders>
            <w:shd w:val="clear" w:color="auto" w:fill="auto"/>
            <w:noWrap/>
            <w:vAlign w:val="center"/>
          </w:tcPr>
          <w:p w14:paraId="1DA1E224" w14:textId="4FBA5EFE" w:rsidR="00165DD6" w:rsidRPr="009E6D43" w:rsidRDefault="00165DD6" w:rsidP="00165DD6">
            <w:pPr>
              <w:tabs>
                <w:tab w:val="decimal" w:pos="836"/>
              </w:tabs>
              <w:jc w:val="left"/>
              <w:rPr>
                <w:bCs/>
                <w:color w:val="000000"/>
                <w:sz w:val="16"/>
                <w:szCs w:val="16"/>
              </w:rPr>
            </w:pPr>
            <w:r w:rsidRPr="009E6D43">
              <w:rPr>
                <w:color w:val="000000"/>
                <w:sz w:val="16"/>
                <w:szCs w:val="16"/>
              </w:rPr>
              <w:t xml:space="preserve"> 6 233 119</w:t>
            </w:r>
          </w:p>
        </w:tc>
        <w:tc>
          <w:tcPr>
            <w:tcW w:w="1013" w:type="dxa"/>
            <w:tcBorders>
              <w:top w:val="nil"/>
              <w:left w:val="nil"/>
              <w:bottom w:val="nil"/>
              <w:right w:val="single" w:sz="4" w:space="0" w:color="1F497D"/>
            </w:tcBorders>
            <w:shd w:val="clear" w:color="auto" w:fill="auto"/>
            <w:noWrap/>
            <w:vAlign w:val="center"/>
          </w:tcPr>
          <w:p w14:paraId="666D3506" w14:textId="5C3FCEA4"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-439 421</w:t>
            </w:r>
          </w:p>
        </w:tc>
        <w:tc>
          <w:tcPr>
            <w:tcW w:w="720" w:type="dxa"/>
            <w:tcBorders>
              <w:top w:val="nil"/>
              <w:left w:val="nil"/>
              <w:bottom w:val="nil"/>
              <w:right w:val="nil"/>
            </w:tcBorders>
            <w:shd w:val="clear" w:color="auto" w:fill="auto"/>
            <w:noWrap/>
            <w:vAlign w:val="center"/>
          </w:tcPr>
          <w:p w14:paraId="06981EFE" w14:textId="40D8B421"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11.5</w:t>
            </w:r>
          </w:p>
        </w:tc>
        <w:tc>
          <w:tcPr>
            <w:tcW w:w="763" w:type="dxa"/>
            <w:tcBorders>
              <w:top w:val="nil"/>
              <w:left w:val="nil"/>
              <w:bottom w:val="nil"/>
              <w:right w:val="nil"/>
            </w:tcBorders>
            <w:shd w:val="clear" w:color="auto" w:fill="auto"/>
            <w:noWrap/>
            <w:vAlign w:val="center"/>
          </w:tcPr>
          <w:p w14:paraId="14E9BAC3" w14:textId="4897E0A2"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10.5</w:t>
            </w:r>
          </w:p>
        </w:tc>
        <w:tc>
          <w:tcPr>
            <w:tcW w:w="916" w:type="dxa"/>
            <w:tcBorders>
              <w:top w:val="nil"/>
              <w:left w:val="nil"/>
              <w:bottom w:val="nil"/>
              <w:right w:val="single" w:sz="4" w:space="0" w:color="1F497D"/>
            </w:tcBorders>
            <w:shd w:val="clear" w:color="auto" w:fill="auto"/>
            <w:noWrap/>
            <w:vAlign w:val="center"/>
          </w:tcPr>
          <w:p w14:paraId="65AE7F10" w14:textId="3CB4B8EF"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-1.0</w:t>
            </w:r>
          </w:p>
        </w:tc>
      </w:tr>
      <w:tr w:rsidR="00165DD6" w:rsidRPr="009E6D43" w14:paraId="0437D724"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2146AA61"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2F031D49" w14:textId="13FD37B9"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48 519 694</w:t>
            </w:r>
          </w:p>
        </w:tc>
        <w:tc>
          <w:tcPr>
            <w:tcW w:w="1020" w:type="dxa"/>
            <w:tcBorders>
              <w:top w:val="nil"/>
              <w:left w:val="nil"/>
              <w:bottom w:val="nil"/>
              <w:right w:val="nil"/>
            </w:tcBorders>
            <w:shd w:val="clear" w:color="auto" w:fill="auto"/>
            <w:noWrap/>
            <w:vAlign w:val="center"/>
          </w:tcPr>
          <w:p w14:paraId="25874F64" w14:textId="28BECE6A" w:rsidR="00165DD6" w:rsidRPr="009E6D43" w:rsidRDefault="00165DD6" w:rsidP="00165DD6">
            <w:pPr>
              <w:tabs>
                <w:tab w:val="decimal" w:pos="836"/>
              </w:tabs>
              <w:jc w:val="left"/>
              <w:rPr>
                <w:bCs/>
                <w:color w:val="000000"/>
                <w:sz w:val="16"/>
                <w:szCs w:val="16"/>
              </w:rPr>
            </w:pPr>
            <w:r w:rsidRPr="009E6D43">
              <w:rPr>
                <w:color w:val="000000"/>
                <w:sz w:val="16"/>
                <w:szCs w:val="16"/>
              </w:rPr>
              <w:t xml:space="preserve"> 49 378 840</w:t>
            </w:r>
          </w:p>
        </w:tc>
        <w:tc>
          <w:tcPr>
            <w:tcW w:w="1013" w:type="dxa"/>
            <w:tcBorders>
              <w:top w:val="nil"/>
              <w:left w:val="nil"/>
              <w:bottom w:val="nil"/>
              <w:right w:val="single" w:sz="4" w:space="0" w:color="1F497D"/>
            </w:tcBorders>
            <w:shd w:val="clear" w:color="auto" w:fill="auto"/>
            <w:noWrap/>
            <w:vAlign w:val="center"/>
          </w:tcPr>
          <w:p w14:paraId="52FD68F2" w14:textId="45CE3836"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 xml:space="preserve">  859 146</w:t>
            </w:r>
          </w:p>
        </w:tc>
        <w:tc>
          <w:tcPr>
            <w:tcW w:w="720" w:type="dxa"/>
            <w:tcBorders>
              <w:top w:val="nil"/>
              <w:left w:val="nil"/>
              <w:bottom w:val="nil"/>
              <w:right w:val="nil"/>
            </w:tcBorders>
            <w:shd w:val="clear" w:color="auto" w:fill="auto"/>
            <w:noWrap/>
            <w:vAlign w:val="center"/>
          </w:tcPr>
          <w:p w14:paraId="5EAFFFE7" w14:textId="6496959B"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83.7</w:t>
            </w:r>
          </w:p>
        </w:tc>
        <w:tc>
          <w:tcPr>
            <w:tcW w:w="763" w:type="dxa"/>
            <w:tcBorders>
              <w:top w:val="nil"/>
              <w:left w:val="nil"/>
              <w:bottom w:val="nil"/>
              <w:right w:val="nil"/>
            </w:tcBorders>
            <w:shd w:val="clear" w:color="auto" w:fill="auto"/>
            <w:noWrap/>
            <w:vAlign w:val="center"/>
          </w:tcPr>
          <w:p w14:paraId="20F921A7" w14:textId="239B41E4"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83.5</w:t>
            </w:r>
          </w:p>
        </w:tc>
        <w:tc>
          <w:tcPr>
            <w:tcW w:w="916" w:type="dxa"/>
            <w:tcBorders>
              <w:top w:val="nil"/>
              <w:left w:val="nil"/>
              <w:bottom w:val="nil"/>
              <w:right w:val="single" w:sz="4" w:space="0" w:color="1F497D"/>
            </w:tcBorders>
            <w:shd w:val="clear" w:color="auto" w:fill="auto"/>
            <w:noWrap/>
            <w:vAlign w:val="center"/>
          </w:tcPr>
          <w:p w14:paraId="108CCA41" w14:textId="07CFF925"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-0.2</w:t>
            </w:r>
          </w:p>
        </w:tc>
      </w:tr>
      <w:tr w:rsidR="00165DD6" w:rsidRPr="009E6D43" w14:paraId="473FA9E1"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6D45240B" w14:textId="77777777" w:rsidR="00165DD6" w:rsidRPr="009E6D43" w:rsidRDefault="00165DD6" w:rsidP="00165DD6">
            <w:pPr>
              <w:ind w:firstLineChars="200" w:firstLine="320"/>
              <w:jc w:val="left"/>
              <w:rPr>
                <w:sz w:val="16"/>
                <w:szCs w:val="16"/>
                <w:lang w:val="es-MX" w:eastAsia="es-MX"/>
              </w:rPr>
            </w:pPr>
            <w:r w:rsidRPr="009E6D43">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10849B08" w14:textId="17BCEBB9"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23 267 007</w:t>
            </w:r>
          </w:p>
        </w:tc>
        <w:tc>
          <w:tcPr>
            <w:tcW w:w="1020" w:type="dxa"/>
            <w:tcBorders>
              <w:top w:val="nil"/>
              <w:left w:val="nil"/>
              <w:bottom w:val="nil"/>
              <w:right w:val="nil"/>
            </w:tcBorders>
            <w:shd w:val="clear" w:color="auto" w:fill="auto"/>
            <w:noWrap/>
            <w:vAlign w:val="center"/>
          </w:tcPr>
          <w:p w14:paraId="4A3C3E13" w14:textId="6A8F4BCC" w:rsidR="00165DD6" w:rsidRPr="009E6D43" w:rsidRDefault="00165DD6" w:rsidP="00165DD6">
            <w:pPr>
              <w:tabs>
                <w:tab w:val="decimal" w:pos="836"/>
              </w:tabs>
              <w:jc w:val="left"/>
              <w:rPr>
                <w:bCs/>
                <w:color w:val="000000"/>
                <w:sz w:val="16"/>
                <w:szCs w:val="16"/>
              </w:rPr>
            </w:pPr>
            <w:r w:rsidRPr="009E6D43">
              <w:rPr>
                <w:color w:val="000000"/>
                <w:sz w:val="16"/>
                <w:szCs w:val="16"/>
              </w:rPr>
              <w:t xml:space="preserve"> 23 748 191</w:t>
            </w:r>
          </w:p>
        </w:tc>
        <w:tc>
          <w:tcPr>
            <w:tcW w:w="1013" w:type="dxa"/>
            <w:tcBorders>
              <w:top w:val="nil"/>
              <w:left w:val="nil"/>
              <w:bottom w:val="nil"/>
              <w:right w:val="single" w:sz="4" w:space="0" w:color="1F497D"/>
            </w:tcBorders>
            <w:shd w:val="clear" w:color="auto" w:fill="auto"/>
            <w:noWrap/>
            <w:vAlign w:val="center"/>
          </w:tcPr>
          <w:p w14:paraId="04263347" w14:textId="57522B95"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481 184</w:t>
            </w:r>
          </w:p>
        </w:tc>
        <w:tc>
          <w:tcPr>
            <w:tcW w:w="720" w:type="dxa"/>
            <w:tcBorders>
              <w:top w:val="nil"/>
              <w:left w:val="nil"/>
              <w:bottom w:val="nil"/>
              <w:right w:val="nil"/>
            </w:tcBorders>
            <w:shd w:val="clear" w:color="auto" w:fill="auto"/>
            <w:noWrap/>
            <w:vAlign w:val="center"/>
          </w:tcPr>
          <w:p w14:paraId="4889CC23" w14:textId="0222E725"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40.2</w:t>
            </w:r>
          </w:p>
        </w:tc>
        <w:tc>
          <w:tcPr>
            <w:tcW w:w="763" w:type="dxa"/>
            <w:tcBorders>
              <w:top w:val="nil"/>
              <w:left w:val="nil"/>
              <w:bottom w:val="nil"/>
              <w:right w:val="nil"/>
            </w:tcBorders>
            <w:shd w:val="clear" w:color="auto" w:fill="auto"/>
            <w:noWrap/>
            <w:vAlign w:val="center"/>
          </w:tcPr>
          <w:p w14:paraId="69692E08" w14:textId="6EA6C8AF"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40.2</w:t>
            </w:r>
          </w:p>
        </w:tc>
        <w:tc>
          <w:tcPr>
            <w:tcW w:w="916" w:type="dxa"/>
            <w:tcBorders>
              <w:top w:val="nil"/>
              <w:left w:val="nil"/>
              <w:bottom w:val="nil"/>
              <w:right w:val="single" w:sz="4" w:space="0" w:color="1F497D"/>
            </w:tcBorders>
            <w:shd w:val="clear" w:color="auto" w:fill="auto"/>
            <w:noWrap/>
            <w:vAlign w:val="center"/>
          </w:tcPr>
          <w:p w14:paraId="0317E883" w14:textId="03DA93DF"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0.0</w:t>
            </w:r>
          </w:p>
        </w:tc>
      </w:tr>
      <w:tr w:rsidR="00165DD6" w:rsidRPr="009E6D43" w14:paraId="4272ED3D"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7064F0BC" w14:textId="77777777" w:rsidR="00165DD6" w:rsidRPr="009E6D43" w:rsidRDefault="00165DD6" w:rsidP="00165DD6">
            <w:pPr>
              <w:ind w:firstLineChars="200" w:firstLine="320"/>
              <w:jc w:val="left"/>
              <w:rPr>
                <w:sz w:val="16"/>
                <w:szCs w:val="16"/>
                <w:lang w:val="es-MX" w:eastAsia="es-MX"/>
              </w:rPr>
            </w:pPr>
            <w:r w:rsidRPr="009E6D43">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6B743E87" w14:textId="650E82DD"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8 827 689</w:t>
            </w:r>
          </w:p>
        </w:tc>
        <w:tc>
          <w:tcPr>
            <w:tcW w:w="1020" w:type="dxa"/>
            <w:tcBorders>
              <w:top w:val="nil"/>
              <w:left w:val="nil"/>
              <w:bottom w:val="nil"/>
              <w:right w:val="nil"/>
            </w:tcBorders>
            <w:shd w:val="clear" w:color="auto" w:fill="auto"/>
            <w:noWrap/>
            <w:vAlign w:val="center"/>
          </w:tcPr>
          <w:p w14:paraId="658F9FFA" w14:textId="5F7EC769" w:rsidR="00165DD6" w:rsidRPr="009E6D43" w:rsidRDefault="00165DD6" w:rsidP="00165DD6">
            <w:pPr>
              <w:tabs>
                <w:tab w:val="decimal" w:pos="836"/>
              </w:tabs>
              <w:jc w:val="left"/>
              <w:rPr>
                <w:bCs/>
                <w:color w:val="000000"/>
                <w:sz w:val="16"/>
                <w:szCs w:val="16"/>
              </w:rPr>
            </w:pPr>
            <w:r w:rsidRPr="009E6D43">
              <w:rPr>
                <w:color w:val="000000"/>
                <w:sz w:val="16"/>
                <w:szCs w:val="16"/>
              </w:rPr>
              <w:t xml:space="preserve"> 8 656 617</w:t>
            </w:r>
          </w:p>
        </w:tc>
        <w:tc>
          <w:tcPr>
            <w:tcW w:w="1013" w:type="dxa"/>
            <w:tcBorders>
              <w:top w:val="nil"/>
              <w:left w:val="nil"/>
              <w:bottom w:val="nil"/>
              <w:right w:val="single" w:sz="4" w:space="0" w:color="1F497D"/>
            </w:tcBorders>
            <w:shd w:val="clear" w:color="auto" w:fill="auto"/>
            <w:noWrap/>
            <w:vAlign w:val="center"/>
          </w:tcPr>
          <w:p w14:paraId="51F9190E" w14:textId="510EC4CF"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-171 072</w:t>
            </w:r>
          </w:p>
        </w:tc>
        <w:tc>
          <w:tcPr>
            <w:tcW w:w="720" w:type="dxa"/>
            <w:tcBorders>
              <w:top w:val="nil"/>
              <w:left w:val="nil"/>
              <w:bottom w:val="nil"/>
              <w:right w:val="nil"/>
            </w:tcBorders>
            <w:shd w:val="clear" w:color="auto" w:fill="auto"/>
            <w:noWrap/>
            <w:vAlign w:val="center"/>
          </w:tcPr>
          <w:p w14:paraId="5C4302C1" w14:textId="7641F869"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15.2</w:t>
            </w:r>
          </w:p>
        </w:tc>
        <w:tc>
          <w:tcPr>
            <w:tcW w:w="763" w:type="dxa"/>
            <w:tcBorders>
              <w:top w:val="nil"/>
              <w:left w:val="nil"/>
              <w:bottom w:val="nil"/>
              <w:right w:val="nil"/>
            </w:tcBorders>
            <w:shd w:val="clear" w:color="auto" w:fill="auto"/>
            <w:noWrap/>
            <w:vAlign w:val="center"/>
          </w:tcPr>
          <w:p w14:paraId="11CD89B2" w14:textId="4A56DA1E"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14.6</w:t>
            </w:r>
          </w:p>
        </w:tc>
        <w:tc>
          <w:tcPr>
            <w:tcW w:w="916" w:type="dxa"/>
            <w:tcBorders>
              <w:top w:val="nil"/>
              <w:left w:val="nil"/>
              <w:bottom w:val="nil"/>
              <w:right w:val="single" w:sz="4" w:space="0" w:color="1F497D"/>
            </w:tcBorders>
            <w:shd w:val="clear" w:color="auto" w:fill="auto"/>
            <w:noWrap/>
            <w:vAlign w:val="center"/>
          </w:tcPr>
          <w:p w14:paraId="15283481" w14:textId="2907CB0C"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-0.6</w:t>
            </w:r>
          </w:p>
        </w:tc>
      </w:tr>
      <w:tr w:rsidR="00165DD6" w:rsidRPr="009E6D43" w14:paraId="0AA0E4FF"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4E0415BA" w14:textId="77777777" w:rsidR="00165DD6" w:rsidRPr="009E6D43" w:rsidRDefault="00165DD6" w:rsidP="00165DD6">
            <w:pPr>
              <w:ind w:firstLineChars="200" w:firstLine="320"/>
              <w:jc w:val="left"/>
              <w:rPr>
                <w:sz w:val="16"/>
                <w:szCs w:val="16"/>
                <w:lang w:val="es-MX" w:eastAsia="es-MX"/>
              </w:rPr>
            </w:pPr>
            <w:r w:rsidRPr="009E6D43">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0DC24EE0" w14:textId="0522BF95"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5 896 438</w:t>
            </w:r>
          </w:p>
        </w:tc>
        <w:tc>
          <w:tcPr>
            <w:tcW w:w="1020" w:type="dxa"/>
            <w:tcBorders>
              <w:top w:val="nil"/>
              <w:left w:val="nil"/>
              <w:bottom w:val="nil"/>
              <w:right w:val="nil"/>
            </w:tcBorders>
            <w:shd w:val="clear" w:color="auto" w:fill="auto"/>
            <w:noWrap/>
            <w:vAlign w:val="center"/>
          </w:tcPr>
          <w:p w14:paraId="725893BB" w14:textId="5828D574" w:rsidR="00165DD6" w:rsidRPr="009E6D43" w:rsidRDefault="00165DD6" w:rsidP="00165DD6">
            <w:pPr>
              <w:tabs>
                <w:tab w:val="decimal" w:pos="836"/>
              </w:tabs>
              <w:jc w:val="left"/>
              <w:rPr>
                <w:bCs/>
                <w:color w:val="000000"/>
                <w:sz w:val="16"/>
                <w:szCs w:val="16"/>
              </w:rPr>
            </w:pPr>
            <w:r w:rsidRPr="009E6D43">
              <w:rPr>
                <w:color w:val="000000"/>
                <w:sz w:val="16"/>
                <w:szCs w:val="16"/>
              </w:rPr>
              <w:t xml:space="preserve"> 5 921 162</w:t>
            </w:r>
          </w:p>
        </w:tc>
        <w:tc>
          <w:tcPr>
            <w:tcW w:w="1013" w:type="dxa"/>
            <w:tcBorders>
              <w:top w:val="nil"/>
              <w:left w:val="nil"/>
              <w:bottom w:val="nil"/>
              <w:right w:val="single" w:sz="4" w:space="0" w:color="1F497D"/>
            </w:tcBorders>
            <w:shd w:val="clear" w:color="auto" w:fill="auto"/>
            <w:noWrap/>
            <w:vAlign w:val="center"/>
          </w:tcPr>
          <w:p w14:paraId="4B285B27" w14:textId="3A2A8BCA" w:rsidR="00165DD6" w:rsidRPr="009E6D43" w:rsidRDefault="00165DD6" w:rsidP="00165DD6">
            <w:pPr>
              <w:tabs>
                <w:tab w:val="decimal" w:pos="839"/>
              </w:tabs>
              <w:jc w:val="left"/>
              <w:rPr>
                <w:color w:val="000000"/>
                <w:sz w:val="16"/>
                <w:szCs w:val="16"/>
              </w:rPr>
            </w:pPr>
            <w:r w:rsidRPr="009E6D43">
              <w:rPr>
                <w:color w:val="000000"/>
                <w:sz w:val="16"/>
                <w:szCs w:val="16"/>
              </w:rPr>
              <w:t>24 724</w:t>
            </w:r>
          </w:p>
        </w:tc>
        <w:tc>
          <w:tcPr>
            <w:tcW w:w="720" w:type="dxa"/>
            <w:tcBorders>
              <w:top w:val="nil"/>
              <w:left w:val="nil"/>
              <w:bottom w:val="nil"/>
              <w:right w:val="nil"/>
            </w:tcBorders>
            <w:shd w:val="clear" w:color="auto" w:fill="auto"/>
            <w:noWrap/>
            <w:vAlign w:val="center"/>
          </w:tcPr>
          <w:p w14:paraId="663DC87F" w14:textId="27AAD60A"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10.2</w:t>
            </w:r>
          </w:p>
        </w:tc>
        <w:tc>
          <w:tcPr>
            <w:tcW w:w="763" w:type="dxa"/>
            <w:tcBorders>
              <w:top w:val="nil"/>
              <w:left w:val="nil"/>
              <w:bottom w:val="nil"/>
              <w:right w:val="nil"/>
            </w:tcBorders>
            <w:shd w:val="clear" w:color="auto" w:fill="auto"/>
            <w:noWrap/>
            <w:vAlign w:val="center"/>
          </w:tcPr>
          <w:p w14:paraId="6B41AE77" w14:textId="7BBD3BE4"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10.0</w:t>
            </w:r>
          </w:p>
        </w:tc>
        <w:tc>
          <w:tcPr>
            <w:tcW w:w="916" w:type="dxa"/>
            <w:tcBorders>
              <w:top w:val="nil"/>
              <w:left w:val="nil"/>
              <w:bottom w:val="nil"/>
              <w:right w:val="single" w:sz="4" w:space="0" w:color="1F497D"/>
            </w:tcBorders>
            <w:shd w:val="clear" w:color="auto" w:fill="auto"/>
            <w:noWrap/>
            <w:vAlign w:val="center"/>
          </w:tcPr>
          <w:p w14:paraId="51CEEE82" w14:textId="5A539212"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-0.2</w:t>
            </w:r>
          </w:p>
        </w:tc>
      </w:tr>
      <w:tr w:rsidR="00165DD6" w:rsidRPr="009E6D43" w14:paraId="5DFB4809"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597DB01A" w14:textId="77777777" w:rsidR="00165DD6" w:rsidRPr="009E6D43" w:rsidRDefault="00165DD6" w:rsidP="00165DD6">
            <w:pPr>
              <w:ind w:firstLineChars="200" w:firstLine="320"/>
              <w:jc w:val="left"/>
              <w:rPr>
                <w:sz w:val="16"/>
                <w:szCs w:val="16"/>
                <w:lang w:val="es-MX" w:eastAsia="es-MX"/>
              </w:rPr>
            </w:pPr>
            <w:r w:rsidRPr="009E6D43">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45D9A864" w14:textId="4A9D7CA9"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5 559 203</w:t>
            </w:r>
          </w:p>
        </w:tc>
        <w:tc>
          <w:tcPr>
            <w:tcW w:w="1020" w:type="dxa"/>
            <w:tcBorders>
              <w:top w:val="nil"/>
              <w:left w:val="nil"/>
              <w:bottom w:val="nil"/>
              <w:right w:val="nil"/>
            </w:tcBorders>
            <w:shd w:val="clear" w:color="auto" w:fill="auto"/>
            <w:noWrap/>
            <w:vAlign w:val="center"/>
          </w:tcPr>
          <w:p w14:paraId="4A1DE117" w14:textId="016CDD9E" w:rsidR="00165DD6" w:rsidRPr="009E6D43" w:rsidRDefault="00165DD6" w:rsidP="00165DD6">
            <w:pPr>
              <w:tabs>
                <w:tab w:val="decimal" w:pos="836"/>
              </w:tabs>
              <w:jc w:val="left"/>
              <w:rPr>
                <w:bCs/>
                <w:color w:val="000000"/>
                <w:sz w:val="16"/>
                <w:szCs w:val="16"/>
              </w:rPr>
            </w:pPr>
            <w:r w:rsidRPr="009E6D43">
              <w:rPr>
                <w:color w:val="000000"/>
                <w:sz w:val="16"/>
                <w:szCs w:val="16"/>
              </w:rPr>
              <w:t xml:space="preserve"> 5 873 370</w:t>
            </w:r>
          </w:p>
        </w:tc>
        <w:tc>
          <w:tcPr>
            <w:tcW w:w="1013" w:type="dxa"/>
            <w:tcBorders>
              <w:top w:val="nil"/>
              <w:left w:val="nil"/>
              <w:bottom w:val="nil"/>
              <w:right w:val="single" w:sz="4" w:space="0" w:color="1F497D"/>
            </w:tcBorders>
            <w:shd w:val="clear" w:color="auto" w:fill="auto"/>
            <w:noWrap/>
            <w:vAlign w:val="center"/>
          </w:tcPr>
          <w:p w14:paraId="7751043F" w14:textId="3FF9D485"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314 167</w:t>
            </w:r>
          </w:p>
        </w:tc>
        <w:tc>
          <w:tcPr>
            <w:tcW w:w="720" w:type="dxa"/>
            <w:tcBorders>
              <w:top w:val="nil"/>
              <w:left w:val="nil"/>
              <w:bottom w:val="nil"/>
              <w:right w:val="nil"/>
            </w:tcBorders>
            <w:shd w:val="clear" w:color="auto" w:fill="auto"/>
            <w:noWrap/>
            <w:vAlign w:val="center"/>
          </w:tcPr>
          <w:p w14:paraId="7A1CDD5E" w14:textId="2CB8A7CF"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9.6</w:t>
            </w:r>
          </w:p>
        </w:tc>
        <w:tc>
          <w:tcPr>
            <w:tcW w:w="763" w:type="dxa"/>
            <w:tcBorders>
              <w:top w:val="nil"/>
              <w:left w:val="nil"/>
              <w:bottom w:val="nil"/>
              <w:right w:val="nil"/>
            </w:tcBorders>
            <w:shd w:val="clear" w:color="auto" w:fill="auto"/>
            <w:noWrap/>
            <w:vAlign w:val="center"/>
          </w:tcPr>
          <w:p w14:paraId="40656259" w14:textId="028D1F48"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9.9</w:t>
            </w:r>
          </w:p>
        </w:tc>
        <w:tc>
          <w:tcPr>
            <w:tcW w:w="916" w:type="dxa"/>
            <w:tcBorders>
              <w:top w:val="nil"/>
              <w:left w:val="nil"/>
              <w:bottom w:val="nil"/>
              <w:right w:val="single" w:sz="4" w:space="0" w:color="1F497D"/>
            </w:tcBorders>
            <w:shd w:val="clear" w:color="auto" w:fill="auto"/>
            <w:noWrap/>
            <w:vAlign w:val="center"/>
          </w:tcPr>
          <w:p w14:paraId="0C7ACC46" w14:textId="3E1D38DC"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0.3</w:t>
            </w:r>
          </w:p>
        </w:tc>
      </w:tr>
      <w:tr w:rsidR="00165DD6" w:rsidRPr="009E6D43" w14:paraId="3DA429E1"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hideMark/>
          </w:tcPr>
          <w:p w14:paraId="0C075A5D" w14:textId="77777777" w:rsidR="00165DD6" w:rsidRPr="009E6D43" w:rsidRDefault="00165DD6" w:rsidP="00165DD6">
            <w:pPr>
              <w:ind w:firstLineChars="200" w:firstLine="320"/>
              <w:jc w:val="left"/>
              <w:rPr>
                <w:sz w:val="16"/>
                <w:szCs w:val="16"/>
                <w:lang w:val="es-MX" w:eastAsia="es-MX"/>
              </w:rPr>
            </w:pPr>
            <w:r w:rsidRPr="009E6D43">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11225424" w14:textId="63ED943D"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2 328 751</w:t>
            </w:r>
          </w:p>
        </w:tc>
        <w:tc>
          <w:tcPr>
            <w:tcW w:w="1020" w:type="dxa"/>
            <w:tcBorders>
              <w:top w:val="nil"/>
              <w:left w:val="nil"/>
              <w:bottom w:val="nil"/>
              <w:right w:val="nil"/>
            </w:tcBorders>
            <w:shd w:val="clear" w:color="auto" w:fill="auto"/>
            <w:noWrap/>
            <w:vAlign w:val="center"/>
          </w:tcPr>
          <w:p w14:paraId="6D029EF3" w14:textId="006581D5" w:rsidR="00165DD6" w:rsidRPr="009E6D43" w:rsidRDefault="00165DD6" w:rsidP="00165DD6">
            <w:pPr>
              <w:tabs>
                <w:tab w:val="decimal" w:pos="836"/>
              </w:tabs>
              <w:jc w:val="left"/>
              <w:rPr>
                <w:bCs/>
                <w:color w:val="000000"/>
                <w:sz w:val="16"/>
                <w:szCs w:val="16"/>
              </w:rPr>
            </w:pPr>
            <w:r w:rsidRPr="009E6D43">
              <w:rPr>
                <w:color w:val="000000"/>
                <w:sz w:val="16"/>
                <w:szCs w:val="16"/>
              </w:rPr>
              <w:t xml:space="preserve"> 2 512 142</w:t>
            </w:r>
          </w:p>
        </w:tc>
        <w:tc>
          <w:tcPr>
            <w:tcW w:w="1013" w:type="dxa"/>
            <w:tcBorders>
              <w:top w:val="nil"/>
              <w:left w:val="nil"/>
              <w:bottom w:val="nil"/>
              <w:right w:val="single" w:sz="4" w:space="0" w:color="1F497D"/>
            </w:tcBorders>
            <w:shd w:val="clear" w:color="auto" w:fill="auto"/>
            <w:noWrap/>
            <w:vAlign w:val="center"/>
          </w:tcPr>
          <w:p w14:paraId="1898C11F" w14:textId="15B5958A"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183 391</w:t>
            </w:r>
          </w:p>
        </w:tc>
        <w:tc>
          <w:tcPr>
            <w:tcW w:w="720" w:type="dxa"/>
            <w:tcBorders>
              <w:top w:val="nil"/>
              <w:left w:val="nil"/>
              <w:bottom w:val="nil"/>
              <w:right w:val="nil"/>
            </w:tcBorders>
            <w:shd w:val="clear" w:color="auto" w:fill="auto"/>
            <w:noWrap/>
            <w:vAlign w:val="center"/>
          </w:tcPr>
          <w:p w14:paraId="37358B05" w14:textId="34341EB1"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4.0</w:t>
            </w:r>
          </w:p>
        </w:tc>
        <w:tc>
          <w:tcPr>
            <w:tcW w:w="763" w:type="dxa"/>
            <w:tcBorders>
              <w:top w:val="nil"/>
              <w:left w:val="nil"/>
              <w:bottom w:val="nil"/>
              <w:right w:val="nil"/>
            </w:tcBorders>
            <w:shd w:val="clear" w:color="auto" w:fill="auto"/>
            <w:noWrap/>
            <w:vAlign w:val="center"/>
          </w:tcPr>
          <w:p w14:paraId="1C23009B" w14:textId="2A192019"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4.2</w:t>
            </w:r>
          </w:p>
        </w:tc>
        <w:tc>
          <w:tcPr>
            <w:tcW w:w="916" w:type="dxa"/>
            <w:tcBorders>
              <w:top w:val="nil"/>
              <w:left w:val="nil"/>
              <w:bottom w:val="nil"/>
              <w:right w:val="single" w:sz="4" w:space="0" w:color="1F497D"/>
            </w:tcBorders>
            <w:shd w:val="clear" w:color="auto" w:fill="auto"/>
            <w:noWrap/>
            <w:vAlign w:val="center"/>
          </w:tcPr>
          <w:p w14:paraId="05DB0038" w14:textId="5C14019A"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0.2</w:t>
            </w:r>
          </w:p>
        </w:tc>
      </w:tr>
      <w:tr w:rsidR="00165DD6" w:rsidRPr="009E6D43" w14:paraId="4BCD44C5" w14:textId="77777777" w:rsidTr="00165DD6">
        <w:trPr>
          <w:trHeight w:val="198"/>
          <w:jc w:val="center"/>
        </w:trPr>
        <w:tc>
          <w:tcPr>
            <w:tcW w:w="3850" w:type="dxa"/>
            <w:tcBorders>
              <w:top w:val="nil"/>
              <w:left w:val="single" w:sz="4" w:space="0" w:color="1F497D"/>
              <w:bottom w:val="nil"/>
              <w:right w:val="nil"/>
            </w:tcBorders>
            <w:shd w:val="clear" w:color="auto" w:fill="auto"/>
            <w:noWrap/>
            <w:vAlign w:val="center"/>
          </w:tcPr>
          <w:p w14:paraId="5DE765CB" w14:textId="77777777" w:rsidR="00165DD6" w:rsidRPr="009E6D43" w:rsidRDefault="00165DD6" w:rsidP="00165DD6">
            <w:pPr>
              <w:ind w:firstLineChars="200" w:firstLine="320"/>
              <w:jc w:val="left"/>
              <w:rPr>
                <w:sz w:val="16"/>
                <w:szCs w:val="16"/>
                <w:lang w:val="es-MX" w:eastAsia="es-MX"/>
              </w:rPr>
            </w:pPr>
            <w:r w:rsidRPr="009E6D43">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138FA69" w14:textId="1DBABCF8" w:rsidR="00165DD6" w:rsidRPr="009E6D43" w:rsidRDefault="00165DD6" w:rsidP="00165DD6">
            <w:pPr>
              <w:tabs>
                <w:tab w:val="decimal" w:pos="821"/>
              </w:tabs>
              <w:jc w:val="left"/>
              <w:rPr>
                <w:color w:val="000000"/>
                <w:sz w:val="16"/>
                <w:szCs w:val="16"/>
              </w:rPr>
            </w:pPr>
            <w:r w:rsidRPr="009E6D43">
              <w:rPr>
                <w:color w:val="000000"/>
                <w:sz w:val="16"/>
                <w:szCs w:val="16"/>
              </w:rPr>
              <w:t xml:space="preserve"> 2 640 606</w:t>
            </w:r>
          </w:p>
        </w:tc>
        <w:tc>
          <w:tcPr>
            <w:tcW w:w="1020" w:type="dxa"/>
            <w:tcBorders>
              <w:top w:val="nil"/>
              <w:left w:val="nil"/>
              <w:bottom w:val="nil"/>
              <w:right w:val="nil"/>
            </w:tcBorders>
            <w:shd w:val="clear" w:color="auto" w:fill="auto"/>
            <w:noWrap/>
            <w:vAlign w:val="center"/>
          </w:tcPr>
          <w:p w14:paraId="51EB4391" w14:textId="5B215B97" w:rsidR="00165DD6" w:rsidRPr="009E6D43" w:rsidRDefault="00165DD6" w:rsidP="00165DD6">
            <w:pPr>
              <w:tabs>
                <w:tab w:val="decimal" w:pos="836"/>
              </w:tabs>
              <w:jc w:val="left"/>
              <w:rPr>
                <w:bCs/>
                <w:color w:val="000000"/>
                <w:sz w:val="16"/>
                <w:szCs w:val="16"/>
              </w:rPr>
            </w:pPr>
            <w:r w:rsidRPr="009E6D43">
              <w:rPr>
                <w:color w:val="000000"/>
                <w:sz w:val="16"/>
                <w:szCs w:val="16"/>
              </w:rPr>
              <w:t xml:space="preserve"> 2 667 358</w:t>
            </w:r>
          </w:p>
        </w:tc>
        <w:tc>
          <w:tcPr>
            <w:tcW w:w="1013" w:type="dxa"/>
            <w:tcBorders>
              <w:top w:val="nil"/>
              <w:left w:val="nil"/>
              <w:bottom w:val="nil"/>
              <w:right w:val="single" w:sz="4" w:space="0" w:color="1F497D"/>
            </w:tcBorders>
            <w:shd w:val="clear" w:color="auto" w:fill="auto"/>
            <w:noWrap/>
            <w:vAlign w:val="center"/>
          </w:tcPr>
          <w:p w14:paraId="498BFF12" w14:textId="4EBCB55E" w:rsidR="00165DD6" w:rsidRPr="009E6D43" w:rsidRDefault="00165DD6" w:rsidP="00165DD6">
            <w:pPr>
              <w:tabs>
                <w:tab w:val="decimal" w:pos="839"/>
              </w:tabs>
              <w:jc w:val="left"/>
              <w:rPr>
                <w:color w:val="000000"/>
                <w:sz w:val="16"/>
                <w:szCs w:val="16"/>
              </w:rPr>
            </w:pPr>
            <w:r w:rsidRPr="009E6D43">
              <w:rPr>
                <w:color w:val="000000"/>
                <w:sz w:val="16"/>
                <w:szCs w:val="16"/>
              </w:rPr>
              <w:t xml:space="preserve">  26 752</w:t>
            </w:r>
          </w:p>
        </w:tc>
        <w:tc>
          <w:tcPr>
            <w:tcW w:w="720" w:type="dxa"/>
            <w:tcBorders>
              <w:top w:val="nil"/>
              <w:left w:val="nil"/>
              <w:bottom w:val="nil"/>
              <w:right w:val="nil"/>
            </w:tcBorders>
            <w:shd w:val="clear" w:color="auto" w:fill="auto"/>
            <w:noWrap/>
            <w:vAlign w:val="center"/>
          </w:tcPr>
          <w:p w14:paraId="1AC536E0" w14:textId="2479D1FA" w:rsidR="00165DD6" w:rsidRPr="009E6D43" w:rsidRDefault="00165DD6" w:rsidP="00165DD6">
            <w:pPr>
              <w:tabs>
                <w:tab w:val="decimal" w:pos="357"/>
              </w:tabs>
              <w:jc w:val="left"/>
              <w:rPr>
                <w:color w:val="000000"/>
                <w:sz w:val="16"/>
                <w:szCs w:val="16"/>
              </w:rPr>
            </w:pPr>
            <w:r w:rsidRPr="009E6D43">
              <w:rPr>
                <w:color w:val="000000"/>
                <w:sz w:val="16"/>
                <w:szCs w:val="16"/>
              </w:rPr>
              <w:t>4.6</w:t>
            </w:r>
          </w:p>
        </w:tc>
        <w:tc>
          <w:tcPr>
            <w:tcW w:w="763" w:type="dxa"/>
            <w:tcBorders>
              <w:top w:val="nil"/>
              <w:left w:val="nil"/>
              <w:bottom w:val="nil"/>
              <w:right w:val="nil"/>
            </w:tcBorders>
            <w:shd w:val="clear" w:color="auto" w:fill="auto"/>
            <w:noWrap/>
            <w:vAlign w:val="center"/>
          </w:tcPr>
          <w:p w14:paraId="1AD6E0FB" w14:textId="74A160B0" w:rsidR="00165DD6" w:rsidRPr="009E6D43" w:rsidRDefault="00165DD6" w:rsidP="00165DD6">
            <w:pPr>
              <w:tabs>
                <w:tab w:val="decimal" w:pos="357"/>
              </w:tabs>
              <w:jc w:val="left"/>
              <w:rPr>
                <w:color w:val="000000"/>
                <w:sz w:val="16"/>
                <w:szCs w:val="16"/>
              </w:rPr>
            </w:pPr>
            <w:r w:rsidRPr="009E6D43">
              <w:rPr>
                <w:color w:val="000000"/>
                <w:sz w:val="16"/>
                <w:szCs w:val="16"/>
              </w:rPr>
              <w:t>4.5</w:t>
            </w:r>
          </w:p>
        </w:tc>
        <w:tc>
          <w:tcPr>
            <w:tcW w:w="916" w:type="dxa"/>
            <w:tcBorders>
              <w:top w:val="nil"/>
              <w:left w:val="nil"/>
              <w:bottom w:val="nil"/>
              <w:right w:val="single" w:sz="4" w:space="0" w:color="1F497D"/>
            </w:tcBorders>
            <w:shd w:val="clear" w:color="auto" w:fill="auto"/>
            <w:noWrap/>
            <w:vAlign w:val="center"/>
          </w:tcPr>
          <w:p w14:paraId="4081BA1A" w14:textId="241B1A85" w:rsidR="00165DD6" w:rsidRPr="009E6D43" w:rsidRDefault="00165DD6" w:rsidP="00165DD6">
            <w:pPr>
              <w:tabs>
                <w:tab w:val="decimal" w:pos="389"/>
              </w:tabs>
              <w:jc w:val="left"/>
              <w:rPr>
                <w:color w:val="000000"/>
                <w:sz w:val="16"/>
                <w:szCs w:val="16"/>
              </w:rPr>
            </w:pPr>
            <w:r w:rsidRPr="009E6D43">
              <w:rPr>
                <w:color w:val="000000"/>
                <w:sz w:val="16"/>
                <w:szCs w:val="16"/>
              </w:rPr>
              <w:t>0.0</w:t>
            </w:r>
          </w:p>
        </w:tc>
      </w:tr>
      <w:tr w:rsidR="00165DD6" w:rsidRPr="009E6D43" w14:paraId="79CDFCFC" w14:textId="77777777" w:rsidTr="00165DD6">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D424CB" w14:textId="77777777" w:rsidR="00165DD6" w:rsidRPr="009E6D43" w:rsidRDefault="00165DD6" w:rsidP="00165DD6">
            <w:pPr>
              <w:ind w:firstLineChars="100" w:firstLine="160"/>
              <w:jc w:val="left"/>
              <w:rPr>
                <w:sz w:val="16"/>
                <w:szCs w:val="16"/>
                <w:lang w:val="es-MX" w:eastAsia="es-MX"/>
              </w:rPr>
            </w:pPr>
            <w:r w:rsidRPr="009E6D43">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11943074" w14:textId="141C6E1B" w:rsidR="00165DD6" w:rsidRPr="009E6D43" w:rsidRDefault="00165DD6" w:rsidP="00165DD6">
            <w:pPr>
              <w:tabs>
                <w:tab w:val="decimal" w:pos="821"/>
              </w:tabs>
              <w:jc w:val="left"/>
              <w:rPr>
                <w:color w:val="000000"/>
                <w:sz w:val="16"/>
                <w:szCs w:val="16"/>
                <w:lang w:val="es-MX" w:eastAsia="es-MX"/>
              </w:rPr>
            </w:pPr>
            <w:r w:rsidRPr="009E6D43">
              <w:rPr>
                <w:color w:val="000000"/>
                <w:sz w:val="16"/>
                <w:szCs w:val="16"/>
              </w:rPr>
              <w:t xml:space="preserve"> 2 757 742</w:t>
            </w:r>
          </w:p>
        </w:tc>
        <w:tc>
          <w:tcPr>
            <w:tcW w:w="1020" w:type="dxa"/>
            <w:tcBorders>
              <w:top w:val="nil"/>
              <w:left w:val="nil"/>
              <w:bottom w:val="single" w:sz="4" w:space="0" w:color="1F497D"/>
              <w:right w:val="nil"/>
            </w:tcBorders>
            <w:shd w:val="clear" w:color="auto" w:fill="auto"/>
            <w:noWrap/>
            <w:vAlign w:val="center"/>
          </w:tcPr>
          <w:p w14:paraId="7D138829" w14:textId="4551CBBA" w:rsidR="00165DD6" w:rsidRPr="009E6D43" w:rsidRDefault="00165DD6" w:rsidP="00165DD6">
            <w:pPr>
              <w:tabs>
                <w:tab w:val="decimal" w:pos="836"/>
              </w:tabs>
              <w:jc w:val="left"/>
              <w:rPr>
                <w:bCs/>
                <w:color w:val="000000"/>
                <w:sz w:val="16"/>
                <w:szCs w:val="16"/>
              </w:rPr>
            </w:pPr>
            <w:r w:rsidRPr="009E6D43">
              <w:rPr>
                <w:color w:val="000000"/>
                <w:sz w:val="16"/>
                <w:szCs w:val="16"/>
              </w:rPr>
              <w:t xml:space="preserve"> 3 534 456</w:t>
            </w:r>
          </w:p>
        </w:tc>
        <w:tc>
          <w:tcPr>
            <w:tcW w:w="1013" w:type="dxa"/>
            <w:tcBorders>
              <w:top w:val="nil"/>
              <w:left w:val="nil"/>
              <w:bottom w:val="single" w:sz="4" w:space="0" w:color="1F497D"/>
              <w:right w:val="single" w:sz="4" w:space="0" w:color="1F497D"/>
            </w:tcBorders>
            <w:shd w:val="clear" w:color="auto" w:fill="auto"/>
            <w:noWrap/>
            <w:vAlign w:val="center"/>
          </w:tcPr>
          <w:p w14:paraId="715B8BAC" w14:textId="49E820A5" w:rsidR="00165DD6" w:rsidRPr="009E6D43" w:rsidRDefault="00165DD6" w:rsidP="00165DD6">
            <w:pPr>
              <w:tabs>
                <w:tab w:val="decimal" w:pos="839"/>
              </w:tabs>
              <w:jc w:val="left"/>
              <w:rPr>
                <w:color w:val="000000"/>
                <w:sz w:val="16"/>
                <w:szCs w:val="16"/>
                <w:lang w:val="es-MX" w:eastAsia="es-MX"/>
              </w:rPr>
            </w:pPr>
            <w:r w:rsidRPr="009E6D43">
              <w:rPr>
                <w:color w:val="000000"/>
                <w:sz w:val="16"/>
                <w:szCs w:val="16"/>
              </w:rPr>
              <w:t>776 714</w:t>
            </w:r>
          </w:p>
        </w:tc>
        <w:tc>
          <w:tcPr>
            <w:tcW w:w="720" w:type="dxa"/>
            <w:tcBorders>
              <w:top w:val="nil"/>
              <w:left w:val="nil"/>
              <w:bottom w:val="single" w:sz="4" w:space="0" w:color="1F497D"/>
              <w:right w:val="nil"/>
            </w:tcBorders>
            <w:shd w:val="clear" w:color="auto" w:fill="auto"/>
            <w:noWrap/>
            <w:vAlign w:val="center"/>
          </w:tcPr>
          <w:p w14:paraId="600A2C36" w14:textId="50C3E581"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4.8</w:t>
            </w:r>
          </w:p>
        </w:tc>
        <w:tc>
          <w:tcPr>
            <w:tcW w:w="763" w:type="dxa"/>
            <w:tcBorders>
              <w:top w:val="nil"/>
              <w:left w:val="nil"/>
              <w:bottom w:val="single" w:sz="4" w:space="0" w:color="1F497D"/>
              <w:right w:val="nil"/>
            </w:tcBorders>
            <w:shd w:val="clear" w:color="auto" w:fill="auto"/>
            <w:noWrap/>
            <w:vAlign w:val="center"/>
          </w:tcPr>
          <w:p w14:paraId="014EEEA9" w14:textId="20169EE1" w:rsidR="00165DD6" w:rsidRPr="009E6D43" w:rsidRDefault="00165DD6" w:rsidP="00165DD6">
            <w:pPr>
              <w:tabs>
                <w:tab w:val="decimal" w:pos="357"/>
              </w:tabs>
              <w:jc w:val="left"/>
              <w:rPr>
                <w:color w:val="000000"/>
                <w:sz w:val="16"/>
                <w:szCs w:val="16"/>
                <w:lang w:val="es-MX" w:eastAsia="es-MX"/>
              </w:rPr>
            </w:pPr>
            <w:r w:rsidRPr="009E6D43">
              <w:rPr>
                <w:color w:val="000000"/>
                <w:sz w:val="16"/>
                <w:szCs w:val="16"/>
              </w:rPr>
              <w:t>6.0</w:t>
            </w:r>
          </w:p>
        </w:tc>
        <w:tc>
          <w:tcPr>
            <w:tcW w:w="916" w:type="dxa"/>
            <w:tcBorders>
              <w:top w:val="nil"/>
              <w:left w:val="nil"/>
              <w:bottom w:val="single" w:sz="4" w:space="0" w:color="1F497D"/>
              <w:right w:val="single" w:sz="4" w:space="0" w:color="1F497D"/>
            </w:tcBorders>
            <w:shd w:val="clear" w:color="auto" w:fill="auto"/>
            <w:noWrap/>
            <w:vAlign w:val="center"/>
          </w:tcPr>
          <w:p w14:paraId="4C26711B" w14:textId="24F6FFC2" w:rsidR="00165DD6" w:rsidRPr="009E6D43" w:rsidRDefault="00165DD6" w:rsidP="00165DD6">
            <w:pPr>
              <w:tabs>
                <w:tab w:val="decimal" w:pos="389"/>
              </w:tabs>
              <w:jc w:val="left"/>
              <w:rPr>
                <w:color w:val="000000"/>
                <w:sz w:val="16"/>
                <w:szCs w:val="16"/>
                <w:lang w:val="es-MX" w:eastAsia="es-MX"/>
              </w:rPr>
            </w:pPr>
            <w:r w:rsidRPr="009E6D43">
              <w:rPr>
                <w:color w:val="000000"/>
                <w:sz w:val="16"/>
                <w:szCs w:val="16"/>
              </w:rPr>
              <w:t>1.2</w:t>
            </w:r>
          </w:p>
        </w:tc>
      </w:tr>
    </w:tbl>
    <w:p w14:paraId="6E6F5597" w14:textId="4D4D068B" w:rsidR="00F42A10" w:rsidRPr="009E6D43" w:rsidRDefault="00F42A10" w:rsidP="001D124A">
      <w:pPr>
        <w:pStyle w:val="n0"/>
        <w:keepLines w:val="0"/>
        <w:spacing w:before="0"/>
        <w:ind w:left="993" w:right="476" w:hanging="568"/>
        <w:jc w:val="left"/>
        <w:rPr>
          <w:color w:val="auto"/>
          <w:sz w:val="16"/>
          <w:szCs w:val="16"/>
        </w:rPr>
      </w:pPr>
      <w:r w:rsidRPr="009E6D43">
        <w:rPr>
          <w:color w:val="auto"/>
          <w:sz w:val="18"/>
          <w:szCs w:val="16"/>
          <w:vertAlign w:val="superscript"/>
        </w:rPr>
        <w:t>a/</w:t>
      </w:r>
      <w:r w:rsidRPr="009E6D43">
        <w:rPr>
          <w:color w:val="auto"/>
          <w:sz w:val="16"/>
          <w:szCs w:val="16"/>
        </w:rPr>
        <w:tab/>
      </w:r>
      <w:r w:rsidR="00D323B0" w:rsidRPr="009E6D43">
        <w:rPr>
          <w:color w:val="auto"/>
          <w:sz w:val="16"/>
          <w:szCs w:val="16"/>
        </w:rPr>
        <w:t>Porcentaje</w:t>
      </w:r>
      <w:r w:rsidRPr="009E6D43">
        <w:rPr>
          <w:color w:val="auto"/>
          <w:sz w:val="16"/>
          <w:szCs w:val="16"/>
        </w:rPr>
        <w:t xml:space="preserve"> </w:t>
      </w:r>
      <w:r w:rsidR="00127E38" w:rsidRPr="009E6D43">
        <w:rPr>
          <w:color w:val="auto"/>
          <w:sz w:val="16"/>
          <w:szCs w:val="16"/>
        </w:rPr>
        <w:t xml:space="preserve">respecto a </w:t>
      </w:r>
      <w:r w:rsidRPr="009E6D43">
        <w:rPr>
          <w:color w:val="auto"/>
          <w:sz w:val="16"/>
          <w:szCs w:val="16"/>
        </w:rPr>
        <w:t>la</w:t>
      </w:r>
      <w:r w:rsidR="00D268F9" w:rsidRPr="009E6D43">
        <w:rPr>
          <w:color w:val="auto"/>
          <w:sz w:val="16"/>
          <w:szCs w:val="16"/>
        </w:rPr>
        <w:t xml:space="preserve"> </w:t>
      </w:r>
      <w:proofErr w:type="spellStart"/>
      <w:r w:rsidR="009E6685" w:rsidRPr="009E6D43">
        <w:rPr>
          <w:smallCaps/>
          <w:color w:val="auto"/>
          <w:sz w:val="16"/>
          <w:szCs w:val="16"/>
        </w:rPr>
        <w:t>po</w:t>
      </w:r>
      <w:proofErr w:type="spellEnd"/>
      <w:r w:rsidR="00633799" w:rsidRPr="009E6D43">
        <w:rPr>
          <w:color w:val="auto"/>
          <w:sz w:val="16"/>
          <w:szCs w:val="16"/>
        </w:rPr>
        <w:t>.</w:t>
      </w:r>
    </w:p>
    <w:p w14:paraId="12D20E0B" w14:textId="1074B838" w:rsidR="009C79A4" w:rsidRPr="009E6D43" w:rsidRDefault="009C79A4" w:rsidP="001D124A">
      <w:pPr>
        <w:pStyle w:val="n0"/>
        <w:keepLines w:val="0"/>
        <w:spacing w:before="0"/>
        <w:ind w:left="993" w:right="476" w:hanging="568"/>
        <w:rPr>
          <w:color w:val="auto"/>
          <w:sz w:val="16"/>
          <w:szCs w:val="16"/>
        </w:rPr>
      </w:pPr>
      <w:proofErr w:type="spellStart"/>
      <w:r w:rsidRPr="009E6D43">
        <w:rPr>
          <w:color w:val="auto"/>
          <w:sz w:val="18"/>
          <w:szCs w:val="16"/>
          <w:vertAlign w:val="superscript"/>
        </w:rPr>
        <w:t>b/</w:t>
      </w:r>
      <w:proofErr w:type="spellEnd"/>
      <w:r w:rsidRPr="009E6D43">
        <w:rPr>
          <w:color w:val="auto"/>
          <w:sz w:val="16"/>
          <w:szCs w:val="16"/>
        </w:rPr>
        <w:tab/>
      </w:r>
      <w:r w:rsidR="00FA3C4B" w:rsidRPr="009E6D43">
        <w:rPr>
          <w:color w:val="auto"/>
          <w:sz w:val="16"/>
          <w:szCs w:val="16"/>
        </w:rPr>
        <w:t xml:space="preserve">Por construcción, los indicadores de la </w:t>
      </w:r>
      <w:proofErr w:type="spellStart"/>
      <w:r w:rsidR="009E6685" w:rsidRPr="009E6D43">
        <w:rPr>
          <w:smallCaps/>
          <w:color w:val="auto"/>
          <w:sz w:val="16"/>
          <w:szCs w:val="16"/>
        </w:rPr>
        <w:t>enoe</w:t>
      </w:r>
      <w:r w:rsidR="009E6685" w:rsidRPr="009E6D43">
        <w:rPr>
          <w:smallCaps/>
          <w:color w:val="auto"/>
          <w:sz w:val="16"/>
          <w:szCs w:val="16"/>
          <w:vertAlign w:val="superscript"/>
        </w:rPr>
        <w:t>n</w:t>
      </w:r>
      <w:proofErr w:type="spellEnd"/>
      <w:r w:rsidR="00FA3C4B" w:rsidRPr="009E6D43">
        <w:rPr>
          <w:color w:val="auto"/>
          <w:sz w:val="16"/>
          <w:szCs w:val="16"/>
        </w:rPr>
        <w:t xml:space="preserve"> </w:t>
      </w:r>
      <w:r w:rsidR="00E538FB" w:rsidRPr="009E6D43">
        <w:rPr>
          <w:color w:val="auto"/>
          <w:sz w:val="16"/>
          <w:szCs w:val="16"/>
        </w:rPr>
        <w:t xml:space="preserve">y </w:t>
      </w:r>
      <w:proofErr w:type="spellStart"/>
      <w:r w:rsidR="009E6685" w:rsidRPr="009E6D43">
        <w:rPr>
          <w:smallCaps/>
          <w:color w:val="auto"/>
          <w:sz w:val="16"/>
          <w:szCs w:val="16"/>
        </w:rPr>
        <w:t>enoe</w:t>
      </w:r>
      <w:proofErr w:type="spellEnd"/>
      <w:r w:rsidR="00E538FB" w:rsidRPr="009E6D43">
        <w:rPr>
          <w:color w:val="auto"/>
          <w:sz w:val="16"/>
          <w:szCs w:val="16"/>
        </w:rPr>
        <w:t xml:space="preserve"> </w:t>
      </w:r>
      <w:r w:rsidR="00FA3C4B" w:rsidRPr="009E6D43">
        <w:rPr>
          <w:color w:val="auto"/>
          <w:sz w:val="16"/>
          <w:szCs w:val="16"/>
        </w:rPr>
        <w:t xml:space="preserve">que involucran a la población ocupada, u otra variable clasificada en rangos de salarios mínimos, son sensibles a los cambios en dichos salarios. Para la comparación en el tiempo de la </w:t>
      </w:r>
      <w:proofErr w:type="spellStart"/>
      <w:r w:rsidR="009E6685" w:rsidRPr="009E6D43">
        <w:rPr>
          <w:smallCaps/>
          <w:color w:val="auto"/>
          <w:sz w:val="16"/>
          <w:szCs w:val="16"/>
        </w:rPr>
        <w:t>po</w:t>
      </w:r>
      <w:proofErr w:type="spellEnd"/>
      <w:r w:rsidR="00FA3C4B" w:rsidRPr="009E6D43">
        <w:rPr>
          <w:color w:val="auto"/>
          <w:sz w:val="16"/>
          <w:szCs w:val="16"/>
        </w:rPr>
        <w:t xml:space="preserve"> por nivel de ingreso, se presentan resultados a partir de salarios mínimos equivalentes</w:t>
      </w:r>
      <w:r w:rsidR="00304152" w:rsidRPr="009E6D43">
        <w:rPr>
          <w:color w:val="auto"/>
          <w:sz w:val="16"/>
          <w:szCs w:val="16"/>
        </w:rPr>
        <w:t>,</w:t>
      </w:r>
      <w:r w:rsidR="00FA3C4B" w:rsidRPr="009E6D43">
        <w:rPr>
          <w:color w:val="auto"/>
          <w:sz w:val="16"/>
          <w:szCs w:val="16"/>
        </w:rPr>
        <w:t xml:space="preserve"> base enero de 202</w:t>
      </w:r>
      <w:r w:rsidR="00E538FB" w:rsidRPr="009E6D43">
        <w:rPr>
          <w:color w:val="auto"/>
          <w:sz w:val="16"/>
          <w:szCs w:val="16"/>
        </w:rPr>
        <w:t>3</w:t>
      </w:r>
      <w:r w:rsidR="00FA3C4B" w:rsidRPr="009E6D43">
        <w:rPr>
          <w:color w:val="auto"/>
          <w:sz w:val="16"/>
          <w:szCs w:val="16"/>
        </w:rPr>
        <w:t>. El</w:t>
      </w:r>
      <w:r w:rsidR="000C2E23" w:rsidRPr="009E6D43">
        <w:rPr>
          <w:color w:val="auto"/>
          <w:sz w:val="16"/>
          <w:szCs w:val="16"/>
        </w:rPr>
        <w:t xml:space="preserve"> </w:t>
      </w:r>
      <w:proofErr w:type="spellStart"/>
      <w:r w:rsidR="009E6685" w:rsidRPr="009E6D43">
        <w:rPr>
          <w:smallCaps/>
          <w:color w:val="auto"/>
          <w:sz w:val="16"/>
          <w:szCs w:val="16"/>
        </w:rPr>
        <w:t>inegi</w:t>
      </w:r>
      <w:proofErr w:type="spellEnd"/>
      <w:r w:rsidR="00FA3C4B" w:rsidRPr="009E6D43">
        <w:rPr>
          <w:color w:val="auto"/>
          <w:sz w:val="16"/>
          <w:szCs w:val="16"/>
        </w:rPr>
        <w:t xml:space="preserve"> pone a disposición de las y los usuarios cifras comparables en la siguiente liga:</w:t>
      </w:r>
      <w:r w:rsidR="001D124A">
        <w:rPr>
          <w:color w:val="auto"/>
          <w:sz w:val="16"/>
          <w:szCs w:val="16"/>
        </w:rPr>
        <w:t xml:space="preserve"> </w:t>
      </w:r>
      <w:hyperlink r:id="rId25" w:anchor="Tabulados" w:history="1">
        <w:r w:rsidR="001D124A" w:rsidRPr="00B43677">
          <w:rPr>
            <w:rStyle w:val="Hipervnculo"/>
            <w:sz w:val="16"/>
            <w:szCs w:val="16"/>
          </w:rPr>
          <w:t>https://www.inegi.org.mx/programas/enoe/15ymas/#Tabulados</w:t>
        </w:r>
      </w:hyperlink>
      <w:r w:rsidR="00FA3C4B" w:rsidRPr="009E6D43">
        <w:rPr>
          <w:color w:val="auto"/>
          <w:sz w:val="16"/>
          <w:szCs w:val="16"/>
        </w:rPr>
        <w:t>.</w:t>
      </w:r>
    </w:p>
    <w:p w14:paraId="1F7183EE" w14:textId="58C54FDB" w:rsidR="002B2D24" w:rsidRPr="009E6D43" w:rsidRDefault="002B2D24" w:rsidP="004E6A1F">
      <w:pPr>
        <w:pStyle w:val="n0"/>
        <w:keepLines w:val="0"/>
        <w:spacing w:before="0"/>
        <w:ind w:right="476" w:hanging="284"/>
        <w:rPr>
          <w:color w:val="auto"/>
          <w:sz w:val="16"/>
          <w:szCs w:val="16"/>
        </w:rPr>
      </w:pPr>
      <w:r w:rsidRPr="009E6D43">
        <w:rPr>
          <w:color w:val="auto"/>
          <w:sz w:val="16"/>
          <w:szCs w:val="16"/>
        </w:rPr>
        <w:t xml:space="preserve">Fuente: </w:t>
      </w:r>
      <w:proofErr w:type="spellStart"/>
      <w:r w:rsidR="009E6685" w:rsidRPr="009E6D43">
        <w:rPr>
          <w:smallCaps/>
          <w:color w:val="auto"/>
          <w:sz w:val="16"/>
          <w:szCs w:val="16"/>
        </w:rPr>
        <w:t>inegi</w:t>
      </w:r>
      <w:proofErr w:type="spellEnd"/>
      <w:r w:rsidR="00A146F6" w:rsidRPr="009E6D43">
        <w:rPr>
          <w:color w:val="auto"/>
          <w:sz w:val="16"/>
          <w:szCs w:val="16"/>
        </w:rPr>
        <w:t xml:space="preserve">. </w:t>
      </w:r>
      <w:proofErr w:type="spellStart"/>
      <w:r w:rsidR="009E6685" w:rsidRPr="009E6D43">
        <w:rPr>
          <w:smallCaps/>
          <w:color w:val="auto"/>
          <w:sz w:val="16"/>
          <w:szCs w:val="16"/>
        </w:rPr>
        <w:t>enoe</w:t>
      </w:r>
      <w:r w:rsidR="009E6685" w:rsidRPr="009E6D43">
        <w:rPr>
          <w:smallCaps/>
          <w:color w:val="auto"/>
          <w:sz w:val="16"/>
          <w:szCs w:val="16"/>
          <w:vertAlign w:val="superscript"/>
        </w:rPr>
        <w:t>n</w:t>
      </w:r>
      <w:proofErr w:type="spellEnd"/>
      <w:r w:rsidR="00AB5972" w:rsidRPr="009E6D43">
        <w:rPr>
          <w:color w:val="auto"/>
          <w:sz w:val="16"/>
          <w:szCs w:val="16"/>
        </w:rPr>
        <w:t>, 2022</w:t>
      </w:r>
      <w:r w:rsidR="00A146F6" w:rsidRPr="009E6D43">
        <w:rPr>
          <w:color w:val="auto"/>
          <w:sz w:val="16"/>
          <w:szCs w:val="16"/>
        </w:rPr>
        <w:t>.</w:t>
      </w:r>
      <w:r w:rsidR="004E6A1F" w:rsidRPr="009E6D43">
        <w:rPr>
          <w:color w:val="auto"/>
          <w:sz w:val="16"/>
          <w:szCs w:val="16"/>
        </w:rPr>
        <w:t xml:space="preserve"> </w:t>
      </w:r>
      <w:proofErr w:type="spellStart"/>
      <w:r w:rsidR="009E6685" w:rsidRPr="009E6D43">
        <w:rPr>
          <w:smallCaps/>
          <w:color w:val="auto"/>
          <w:sz w:val="16"/>
          <w:szCs w:val="16"/>
        </w:rPr>
        <w:t>enoe</w:t>
      </w:r>
      <w:proofErr w:type="spellEnd"/>
      <w:r w:rsidR="00AB5972" w:rsidRPr="009E6D43">
        <w:rPr>
          <w:color w:val="auto"/>
          <w:sz w:val="16"/>
          <w:szCs w:val="16"/>
        </w:rPr>
        <w:t>, 2023</w:t>
      </w:r>
      <w:r w:rsidR="00A146F6" w:rsidRPr="009E6D43">
        <w:rPr>
          <w:color w:val="auto"/>
          <w:sz w:val="16"/>
          <w:szCs w:val="16"/>
        </w:rPr>
        <w:t>.</w:t>
      </w:r>
    </w:p>
    <w:p w14:paraId="60DF0352" w14:textId="1821EBB7" w:rsidR="009A1219" w:rsidRPr="009E6D43" w:rsidRDefault="009A1219" w:rsidP="00AD407E">
      <w:pPr>
        <w:pStyle w:val="n0"/>
        <w:keepNext/>
        <w:widowControl w:val="0"/>
        <w:spacing w:before="360"/>
        <w:ind w:left="0" w:right="0" w:firstLine="0"/>
        <w:rPr>
          <w:bCs/>
          <w:color w:val="auto"/>
        </w:rPr>
      </w:pPr>
      <w:r w:rsidRPr="009E6D43">
        <w:rPr>
          <w:bCs/>
          <w:color w:val="auto"/>
        </w:rPr>
        <w:lastRenderedPageBreak/>
        <w:t xml:space="preserve">El siguiente </w:t>
      </w:r>
      <w:r w:rsidRPr="009E6D43">
        <w:rPr>
          <w:color w:val="auto"/>
        </w:rPr>
        <w:t>cuadro</w:t>
      </w:r>
      <w:r w:rsidRPr="009E6D43">
        <w:rPr>
          <w:bCs/>
          <w:color w:val="auto"/>
        </w:rPr>
        <w:t xml:space="preserve"> </w:t>
      </w:r>
      <w:r w:rsidR="00B95D5E" w:rsidRPr="009E6D43">
        <w:rPr>
          <w:bCs/>
          <w:color w:val="auto"/>
        </w:rPr>
        <w:t>presenta</w:t>
      </w:r>
      <w:r w:rsidR="00074A11" w:rsidRPr="009E6D43">
        <w:rPr>
          <w:bCs/>
          <w:color w:val="auto"/>
        </w:rPr>
        <w:t xml:space="preserve"> a</w:t>
      </w:r>
      <w:r w:rsidRPr="009E6D43">
        <w:rPr>
          <w:bCs/>
          <w:color w:val="auto"/>
        </w:rPr>
        <w:t xml:space="preserve"> la población ocupada como porcentaje de la </w:t>
      </w:r>
      <w:r w:rsidR="00E97DCE" w:rsidRPr="009E6D43">
        <w:rPr>
          <w:bCs/>
          <w:smallCaps/>
          <w:color w:val="auto"/>
        </w:rPr>
        <w:t>pea</w:t>
      </w:r>
      <w:r w:rsidR="00BE2DE9" w:rsidRPr="009E6D43">
        <w:rPr>
          <w:bCs/>
          <w:color w:val="auto"/>
        </w:rPr>
        <w:t>,</w:t>
      </w:r>
      <w:r w:rsidRPr="009E6D43">
        <w:rPr>
          <w:bCs/>
          <w:color w:val="auto"/>
        </w:rPr>
        <w:t xml:space="preserve"> por entidad federativa</w:t>
      </w:r>
      <w:r w:rsidR="00BE2DE9" w:rsidRPr="009E6D43">
        <w:rPr>
          <w:bCs/>
          <w:color w:val="auto"/>
        </w:rPr>
        <w:t>,</w:t>
      </w:r>
      <w:r w:rsidRPr="009E6D43">
        <w:rPr>
          <w:bCs/>
          <w:color w:val="auto"/>
        </w:rPr>
        <w:t xml:space="preserve"> </w:t>
      </w:r>
      <w:r w:rsidR="00D372E8" w:rsidRPr="009E6D43">
        <w:rPr>
          <w:bCs/>
          <w:color w:val="auto"/>
        </w:rPr>
        <w:t>para</w:t>
      </w:r>
      <w:r w:rsidRPr="009E6D43">
        <w:rPr>
          <w:bCs/>
          <w:color w:val="auto"/>
        </w:rPr>
        <w:t xml:space="preserve"> </w:t>
      </w:r>
      <w:r w:rsidR="000E2871" w:rsidRPr="009E6D43">
        <w:rPr>
          <w:bCs/>
          <w:color w:val="auto"/>
        </w:rPr>
        <w:t>dic</w:t>
      </w:r>
      <w:r w:rsidR="00001DF8" w:rsidRPr="009E6D43">
        <w:rPr>
          <w:bCs/>
          <w:color w:val="auto"/>
        </w:rPr>
        <w:t>iembre</w:t>
      </w:r>
      <w:r w:rsidR="00AD407E" w:rsidRPr="009E6D43">
        <w:rPr>
          <w:bCs/>
          <w:color w:val="auto"/>
        </w:rPr>
        <w:t xml:space="preserve"> </w:t>
      </w:r>
      <w:r w:rsidRPr="009E6D43">
        <w:rPr>
          <w:bCs/>
          <w:color w:val="auto"/>
        </w:rPr>
        <w:t>de</w:t>
      </w:r>
      <w:r w:rsidR="001E66FB" w:rsidRPr="009E6D43">
        <w:rPr>
          <w:bCs/>
          <w:color w:val="auto"/>
        </w:rPr>
        <w:t xml:space="preserve"> </w:t>
      </w:r>
      <w:r w:rsidR="00614BA8" w:rsidRPr="009E6D43">
        <w:rPr>
          <w:bCs/>
          <w:color w:val="auto"/>
        </w:rPr>
        <w:t>202</w:t>
      </w:r>
      <w:r w:rsidR="00246E81" w:rsidRPr="009E6D43">
        <w:rPr>
          <w:bCs/>
          <w:color w:val="auto"/>
        </w:rPr>
        <w:t>2</w:t>
      </w:r>
      <w:r w:rsidR="00614BA8" w:rsidRPr="009E6D43">
        <w:rPr>
          <w:bCs/>
          <w:color w:val="auto"/>
        </w:rPr>
        <w:t xml:space="preserve"> y </w:t>
      </w:r>
      <w:r w:rsidR="001E66FB" w:rsidRPr="009E6D43">
        <w:rPr>
          <w:bCs/>
          <w:color w:val="auto"/>
        </w:rPr>
        <w:t>202</w:t>
      </w:r>
      <w:r w:rsidR="00246E81" w:rsidRPr="009E6D43">
        <w:rPr>
          <w:bCs/>
          <w:color w:val="auto"/>
        </w:rPr>
        <w:t>3</w:t>
      </w:r>
      <w:r w:rsidRPr="009E6D43">
        <w:rPr>
          <w:bCs/>
          <w:color w:val="auto"/>
        </w:rPr>
        <w:t>.</w:t>
      </w:r>
    </w:p>
    <w:p w14:paraId="668F5407" w14:textId="77777777" w:rsidR="00B8592D" w:rsidRPr="009E6D43" w:rsidRDefault="00B8592D" w:rsidP="00CD18FE">
      <w:pPr>
        <w:pStyle w:val="n01"/>
        <w:keepLines w:val="0"/>
        <w:widowControl w:val="0"/>
        <w:ind w:left="0" w:firstLine="0"/>
        <w:jc w:val="center"/>
        <w:rPr>
          <w:rFonts w:ascii="Arial" w:hAnsi="Arial"/>
          <w:color w:val="auto"/>
        </w:rPr>
      </w:pPr>
      <w:r w:rsidRPr="009E6D43">
        <w:rPr>
          <w:rFonts w:ascii="Arial" w:hAnsi="Arial"/>
          <w:color w:val="auto"/>
          <w:sz w:val="20"/>
        </w:rPr>
        <w:t xml:space="preserve">Cuadro </w:t>
      </w:r>
      <w:r w:rsidR="0002223F" w:rsidRPr="009E6D43">
        <w:rPr>
          <w:rFonts w:ascii="Arial" w:hAnsi="Arial"/>
          <w:color w:val="auto"/>
          <w:sz w:val="20"/>
        </w:rPr>
        <w:t>4</w:t>
      </w:r>
    </w:p>
    <w:p w14:paraId="76966421" w14:textId="77777777" w:rsidR="00335F8A" w:rsidRPr="009E6D43" w:rsidRDefault="00B8592D" w:rsidP="00335F8A">
      <w:pPr>
        <w:pStyle w:val="n0"/>
        <w:keepLines w:val="0"/>
        <w:spacing w:before="0"/>
        <w:ind w:left="0" w:right="0" w:firstLine="0"/>
        <w:jc w:val="center"/>
        <w:rPr>
          <w:b/>
          <w:smallCaps/>
          <w:color w:val="auto"/>
          <w:sz w:val="22"/>
        </w:rPr>
      </w:pPr>
      <w:r w:rsidRPr="009E6D43">
        <w:rPr>
          <w:b/>
          <w:smallCaps/>
          <w:color w:val="auto"/>
          <w:sz w:val="22"/>
        </w:rPr>
        <w:t>Tasa de ocupación por entidad federativa</w:t>
      </w:r>
    </w:p>
    <w:p w14:paraId="07D85150" w14:textId="6A82A827" w:rsidR="00DE4A71" w:rsidRPr="009E6D43" w:rsidRDefault="000E2871" w:rsidP="00335F8A">
      <w:pPr>
        <w:pStyle w:val="n0"/>
        <w:keepLines w:val="0"/>
        <w:spacing w:before="0"/>
        <w:ind w:left="0" w:right="0" w:firstLine="0"/>
        <w:jc w:val="center"/>
        <w:rPr>
          <w:b/>
          <w:smallCaps/>
          <w:color w:val="auto"/>
          <w:sz w:val="22"/>
        </w:rPr>
      </w:pPr>
      <w:r w:rsidRPr="009E6D43">
        <w:rPr>
          <w:bCs/>
          <w:color w:val="auto"/>
          <w:sz w:val="20"/>
          <w:szCs w:val="20"/>
        </w:rPr>
        <w:t>dic</w:t>
      </w:r>
      <w:r w:rsidR="00001DF8" w:rsidRPr="009E6D43">
        <w:rPr>
          <w:bCs/>
          <w:color w:val="auto"/>
          <w:sz w:val="20"/>
          <w:szCs w:val="20"/>
        </w:rPr>
        <w:t>iembre</w:t>
      </w:r>
      <w:r w:rsidR="00DE4A71" w:rsidRPr="009E6D43">
        <w:rPr>
          <w:bCs/>
          <w:color w:val="auto"/>
          <w:sz w:val="20"/>
          <w:szCs w:val="20"/>
        </w:rPr>
        <w:t xml:space="preserve"> de </w:t>
      </w:r>
      <w:r w:rsidR="003671CE" w:rsidRPr="009E6D43">
        <w:rPr>
          <w:bCs/>
          <w:color w:val="auto"/>
          <w:sz w:val="20"/>
          <w:szCs w:val="20"/>
        </w:rPr>
        <w:t>2022 y</w:t>
      </w:r>
      <w:r w:rsidR="00071F0C" w:rsidRPr="009E6D43">
        <w:rPr>
          <w:bCs/>
          <w:color w:val="auto"/>
          <w:sz w:val="20"/>
          <w:szCs w:val="20"/>
        </w:rPr>
        <w:t xml:space="preserve"> </w:t>
      </w:r>
      <w:r w:rsidR="003671CE" w:rsidRPr="009E6D43">
        <w:rPr>
          <w:bCs/>
          <w:color w:val="auto"/>
          <w:sz w:val="20"/>
          <w:szCs w:val="20"/>
        </w:rPr>
        <w:t>2023</w:t>
      </w:r>
    </w:p>
    <w:p w14:paraId="04EFAB39" w14:textId="22ABBEEB" w:rsidR="00B8592D" w:rsidRPr="009E6D43" w:rsidRDefault="00B8592D" w:rsidP="006F27AE">
      <w:pPr>
        <w:pStyle w:val="n0"/>
        <w:keepLines w:val="0"/>
        <w:spacing w:before="0"/>
        <w:ind w:left="0" w:right="0" w:firstLine="0"/>
        <w:jc w:val="center"/>
        <w:rPr>
          <w:b/>
          <w:bCs/>
          <w:smallCaps/>
          <w:color w:val="auto"/>
          <w:sz w:val="18"/>
          <w:szCs w:val="18"/>
        </w:rPr>
      </w:pPr>
      <w:r w:rsidRPr="009E6D43">
        <w:rPr>
          <w:color w:val="auto"/>
          <w:sz w:val="18"/>
          <w:szCs w:val="18"/>
        </w:rPr>
        <w:t>(</w:t>
      </w:r>
      <w:r w:rsidR="006F27AE" w:rsidRPr="009E6D43">
        <w:rPr>
          <w:bCs/>
          <w:color w:val="auto"/>
          <w:sz w:val="18"/>
          <w:szCs w:val="18"/>
        </w:rPr>
        <w:t xml:space="preserve">porcentaje respecto a la </w:t>
      </w:r>
      <w:r w:rsidR="006F27AE" w:rsidRPr="009E6D43">
        <w:rPr>
          <w:bCs/>
          <w:smallCaps/>
          <w:color w:val="auto"/>
          <w:sz w:val="18"/>
          <w:szCs w:val="18"/>
        </w:rPr>
        <w:t>pea</w:t>
      </w:r>
      <w:r w:rsidRPr="009E6D43">
        <w:rPr>
          <w:color w:val="auto"/>
          <w:sz w:val="18"/>
          <w:szCs w:val="18"/>
        </w:rPr>
        <w:t>)</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246E81" w:rsidRPr="009E6D43" w14:paraId="490D6423" w14:textId="77777777" w:rsidTr="005C04B9">
        <w:trPr>
          <w:trHeight w:val="45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885D7B" w14:textId="77777777" w:rsidR="00246E81" w:rsidRPr="009E6D43" w:rsidRDefault="00246E81" w:rsidP="00246E81">
            <w:pPr>
              <w:jc w:val="left"/>
              <w:rPr>
                <w:b/>
                <w:bCs/>
                <w:color w:val="000000"/>
                <w:sz w:val="16"/>
                <w:szCs w:val="16"/>
                <w:lang w:val="es-MX" w:eastAsia="es-MX"/>
              </w:rPr>
            </w:pPr>
            <w:bookmarkStart w:id="8" w:name="OLE_LINK1"/>
            <w:r w:rsidRPr="009E6D43">
              <w:rPr>
                <w:b/>
                <w:bCs/>
                <w:color w:val="000000"/>
                <w:sz w:val="16"/>
                <w:szCs w:val="16"/>
                <w:lang w:val="es-MX" w:eastAsia="es-MX"/>
              </w:rPr>
              <w:t>Entidad federativa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4635B38C" w14:textId="77777777" w:rsidR="00246E81" w:rsidRPr="009E6D43" w:rsidRDefault="00246E81" w:rsidP="00246E81">
            <w:pPr>
              <w:jc w:val="center"/>
              <w:rPr>
                <w:b/>
                <w:bCs/>
                <w:sz w:val="16"/>
                <w:szCs w:val="16"/>
                <w:lang w:val="es-MX" w:eastAsia="es-MX"/>
              </w:rPr>
            </w:pPr>
            <w:r w:rsidRPr="009E6D43">
              <w:rPr>
                <w:b/>
                <w:bCs/>
                <w:sz w:val="16"/>
                <w:szCs w:val="16"/>
                <w:lang w:val="es-MX" w:eastAsia="es-MX"/>
              </w:rPr>
              <w:t>2022</w:t>
            </w:r>
          </w:p>
          <w:p w14:paraId="7F77253A" w14:textId="1AF3489A" w:rsidR="00246E81" w:rsidRPr="009E6D43" w:rsidRDefault="00335F8A" w:rsidP="00246E81">
            <w:pPr>
              <w:jc w:val="center"/>
              <w:rPr>
                <w:b/>
                <w:bCs/>
                <w:smallCaps/>
                <w:color w:val="000000"/>
                <w:sz w:val="16"/>
                <w:szCs w:val="16"/>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C7A4F4C" w14:textId="77777777" w:rsidR="00246E81" w:rsidRPr="009E6D43" w:rsidRDefault="00246E81" w:rsidP="00246E81">
            <w:pPr>
              <w:jc w:val="center"/>
              <w:rPr>
                <w:b/>
                <w:bCs/>
                <w:sz w:val="16"/>
                <w:szCs w:val="16"/>
                <w:lang w:val="es-MX" w:eastAsia="es-MX"/>
              </w:rPr>
            </w:pPr>
            <w:r w:rsidRPr="009E6D43">
              <w:rPr>
                <w:b/>
                <w:bCs/>
                <w:sz w:val="16"/>
                <w:szCs w:val="16"/>
                <w:lang w:val="es-MX" w:eastAsia="es-MX"/>
              </w:rPr>
              <w:t>2023</w:t>
            </w:r>
          </w:p>
          <w:p w14:paraId="18DC117E" w14:textId="4074E4B5" w:rsidR="00246E81" w:rsidRPr="009E6D43" w:rsidRDefault="00335F8A" w:rsidP="00246E81">
            <w:pPr>
              <w:jc w:val="center"/>
              <w:rPr>
                <w:b/>
                <w:bCs/>
                <w:smallCaps/>
                <w:color w:val="000000"/>
                <w:sz w:val="16"/>
                <w:szCs w:val="16"/>
                <w:lang w:val="es-MX" w:eastAsia="es-MX"/>
              </w:rPr>
            </w:pPr>
            <w:proofErr w:type="spellStart"/>
            <w:r w:rsidRPr="009E6D43">
              <w:rPr>
                <w:b/>
                <w:bCs/>
                <w:smallCaps/>
                <w:sz w:val="16"/>
                <w:szCs w:val="16"/>
                <w:lang w:val="es-MX" w:eastAsia="es-MX"/>
              </w:rPr>
              <w:t>enoe</w:t>
            </w:r>
            <w:proofErr w:type="spellEnd"/>
          </w:p>
        </w:tc>
        <w:tc>
          <w:tcPr>
            <w:tcW w:w="206" w:type="dxa"/>
            <w:tcBorders>
              <w:top w:val="nil"/>
              <w:left w:val="single" w:sz="4" w:space="0" w:color="1F497D"/>
              <w:bottom w:val="nil"/>
              <w:right w:val="nil"/>
            </w:tcBorders>
            <w:shd w:val="clear" w:color="auto" w:fill="auto"/>
            <w:noWrap/>
            <w:vAlign w:val="center"/>
            <w:hideMark/>
          </w:tcPr>
          <w:p w14:paraId="4D97C625" w14:textId="77777777" w:rsidR="00246E81" w:rsidRPr="009E6D43" w:rsidRDefault="00246E81" w:rsidP="00246E81">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995C32" w14:textId="77777777" w:rsidR="00246E81" w:rsidRPr="009E6D43" w:rsidRDefault="00246E81" w:rsidP="00246E81">
            <w:pPr>
              <w:jc w:val="left"/>
              <w:rPr>
                <w:b/>
                <w:bCs/>
                <w:color w:val="000000"/>
                <w:sz w:val="16"/>
                <w:szCs w:val="16"/>
                <w:lang w:val="es-MX" w:eastAsia="es-MX"/>
              </w:rPr>
            </w:pPr>
            <w:r w:rsidRPr="009E6D43">
              <w:rPr>
                <w:b/>
                <w:bCs/>
                <w:color w:val="000000"/>
                <w:sz w:val="16"/>
                <w:szCs w:val="16"/>
                <w:lang w:val="es-MX" w:eastAsia="es-MX"/>
              </w:rPr>
              <w:t>Entidad federativa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62617AF5" w14:textId="77777777" w:rsidR="00246E81" w:rsidRPr="009E6D43" w:rsidRDefault="00246E81" w:rsidP="00246E81">
            <w:pPr>
              <w:jc w:val="center"/>
              <w:rPr>
                <w:b/>
                <w:bCs/>
                <w:sz w:val="16"/>
                <w:szCs w:val="16"/>
                <w:lang w:val="es-MX" w:eastAsia="es-MX"/>
              </w:rPr>
            </w:pPr>
            <w:r w:rsidRPr="009E6D43">
              <w:rPr>
                <w:b/>
                <w:bCs/>
                <w:sz w:val="16"/>
                <w:szCs w:val="16"/>
                <w:lang w:val="es-MX" w:eastAsia="es-MX"/>
              </w:rPr>
              <w:t>2022</w:t>
            </w:r>
          </w:p>
          <w:p w14:paraId="6072D370" w14:textId="632BFD14" w:rsidR="00246E81" w:rsidRPr="009E6D43" w:rsidRDefault="00335F8A" w:rsidP="00246E81">
            <w:pPr>
              <w:jc w:val="center"/>
              <w:rPr>
                <w:b/>
                <w:bCs/>
                <w:smallCaps/>
                <w:color w:val="000000"/>
                <w:sz w:val="16"/>
                <w:szCs w:val="16"/>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82B996B" w14:textId="77777777" w:rsidR="00246E81" w:rsidRPr="009E6D43" w:rsidRDefault="00246E81" w:rsidP="00246E81">
            <w:pPr>
              <w:jc w:val="center"/>
              <w:rPr>
                <w:b/>
                <w:bCs/>
                <w:sz w:val="16"/>
                <w:szCs w:val="16"/>
                <w:lang w:val="es-MX" w:eastAsia="es-MX"/>
              </w:rPr>
            </w:pPr>
            <w:r w:rsidRPr="009E6D43">
              <w:rPr>
                <w:b/>
                <w:bCs/>
                <w:sz w:val="16"/>
                <w:szCs w:val="16"/>
                <w:lang w:val="es-MX" w:eastAsia="es-MX"/>
              </w:rPr>
              <w:t>2023</w:t>
            </w:r>
          </w:p>
          <w:p w14:paraId="30265165" w14:textId="672CD704" w:rsidR="00246E81" w:rsidRPr="009E6D43" w:rsidRDefault="00335F8A" w:rsidP="00246E81">
            <w:pPr>
              <w:jc w:val="center"/>
              <w:rPr>
                <w:b/>
                <w:bCs/>
                <w:smallCaps/>
                <w:color w:val="000000"/>
                <w:sz w:val="16"/>
                <w:szCs w:val="16"/>
                <w:lang w:val="es-MX" w:eastAsia="es-MX"/>
              </w:rPr>
            </w:pPr>
            <w:proofErr w:type="spellStart"/>
            <w:r w:rsidRPr="009E6D43">
              <w:rPr>
                <w:b/>
                <w:bCs/>
                <w:smallCaps/>
                <w:sz w:val="16"/>
                <w:szCs w:val="16"/>
                <w:lang w:val="es-MX" w:eastAsia="es-MX"/>
              </w:rPr>
              <w:t>enoe</w:t>
            </w:r>
            <w:proofErr w:type="spellEnd"/>
          </w:p>
        </w:tc>
      </w:tr>
      <w:tr w:rsidR="00C7466E" w:rsidRPr="009E6D43" w14:paraId="00640DB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1C76164" w14:textId="77777777" w:rsidR="00C7466E" w:rsidRPr="009E6D43"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78F00886" w14:textId="77777777" w:rsidR="00C7466E" w:rsidRPr="009E6D43"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2B83FCA9" w14:textId="77777777" w:rsidR="00C7466E" w:rsidRPr="009E6D43"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1809C2A" w14:textId="77777777" w:rsidR="00C7466E" w:rsidRPr="009E6D43"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DF3B6A6" w14:textId="77777777" w:rsidR="00C7466E" w:rsidRPr="009E6D43"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49B2CB68" w14:textId="77777777" w:rsidR="00C7466E" w:rsidRPr="009E6D43"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6B32368F" w14:textId="77777777" w:rsidR="00C7466E" w:rsidRPr="009E6D43" w:rsidRDefault="00C7466E" w:rsidP="00C7466E">
            <w:pPr>
              <w:jc w:val="center"/>
              <w:rPr>
                <w:b/>
                <w:bCs/>
                <w:color w:val="000000"/>
                <w:sz w:val="16"/>
                <w:szCs w:val="16"/>
                <w:lang w:val="es-MX" w:eastAsia="es-MX"/>
              </w:rPr>
            </w:pPr>
          </w:p>
        </w:tc>
      </w:tr>
      <w:tr w:rsidR="004C4EF9" w:rsidRPr="009E6D43" w14:paraId="475DCA25"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6F6320" w14:textId="77777777" w:rsidR="004C4EF9" w:rsidRPr="009E6D43" w:rsidRDefault="004C4EF9" w:rsidP="004C4EF9">
            <w:pPr>
              <w:jc w:val="left"/>
              <w:rPr>
                <w:color w:val="000000"/>
                <w:sz w:val="16"/>
                <w:szCs w:val="16"/>
                <w:lang w:val="es-MX" w:eastAsia="es-MX"/>
              </w:rPr>
            </w:pPr>
            <w:r w:rsidRPr="009E6D43">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613A9233" w14:textId="7206AA98"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96.3</w:t>
            </w:r>
          </w:p>
        </w:tc>
        <w:tc>
          <w:tcPr>
            <w:tcW w:w="1036" w:type="dxa"/>
            <w:tcBorders>
              <w:top w:val="single" w:sz="4" w:space="0" w:color="1F497D"/>
              <w:left w:val="nil"/>
              <w:bottom w:val="nil"/>
              <w:right w:val="single" w:sz="4" w:space="0" w:color="1F497D"/>
            </w:tcBorders>
            <w:vAlign w:val="center"/>
          </w:tcPr>
          <w:p w14:paraId="1F0792FD" w14:textId="58D92C82"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95.8</w:t>
            </w:r>
          </w:p>
        </w:tc>
        <w:tc>
          <w:tcPr>
            <w:tcW w:w="206" w:type="dxa"/>
            <w:tcBorders>
              <w:top w:val="nil"/>
              <w:left w:val="single" w:sz="4" w:space="0" w:color="1F497D"/>
              <w:bottom w:val="nil"/>
              <w:right w:val="nil"/>
            </w:tcBorders>
            <w:shd w:val="clear" w:color="auto" w:fill="auto"/>
            <w:noWrap/>
            <w:vAlign w:val="center"/>
            <w:hideMark/>
          </w:tcPr>
          <w:p w14:paraId="009EC583"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60BDEA5" w14:textId="77777777" w:rsidR="004C4EF9" w:rsidRPr="009E6D43" w:rsidRDefault="004C4EF9" w:rsidP="004C4EF9">
            <w:pPr>
              <w:jc w:val="left"/>
              <w:rPr>
                <w:color w:val="000000"/>
                <w:sz w:val="16"/>
                <w:szCs w:val="16"/>
                <w:lang w:val="es-MX" w:eastAsia="es-MX"/>
              </w:rPr>
            </w:pPr>
            <w:r w:rsidRPr="009E6D43">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706958A6" w14:textId="37D5BF95"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97.4</w:t>
            </w:r>
          </w:p>
        </w:tc>
        <w:tc>
          <w:tcPr>
            <w:tcW w:w="1036" w:type="dxa"/>
            <w:tcBorders>
              <w:top w:val="single" w:sz="4" w:space="0" w:color="1F497D"/>
              <w:left w:val="single" w:sz="4" w:space="0" w:color="1F497D"/>
              <w:bottom w:val="nil"/>
              <w:right w:val="single" w:sz="4" w:space="0" w:color="1F497D"/>
            </w:tcBorders>
            <w:vAlign w:val="center"/>
          </w:tcPr>
          <w:p w14:paraId="147AD583" w14:textId="56D91C1E"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99.1</w:t>
            </w:r>
          </w:p>
        </w:tc>
      </w:tr>
      <w:tr w:rsidR="004C4EF9" w:rsidRPr="009E6D43" w14:paraId="746EDBBA"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420D92F" w14:textId="77777777" w:rsidR="004C4EF9" w:rsidRPr="009E6D43" w:rsidRDefault="004C4EF9" w:rsidP="004C4EF9">
            <w:pPr>
              <w:jc w:val="left"/>
              <w:rPr>
                <w:color w:val="000000"/>
                <w:sz w:val="16"/>
                <w:szCs w:val="16"/>
                <w:lang w:val="es-MX" w:eastAsia="es-MX"/>
              </w:rPr>
            </w:pPr>
            <w:r w:rsidRPr="009E6D43">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B38E7EC" w14:textId="0E5B51E2"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97.6</w:t>
            </w:r>
          </w:p>
        </w:tc>
        <w:tc>
          <w:tcPr>
            <w:tcW w:w="1036" w:type="dxa"/>
            <w:tcBorders>
              <w:top w:val="nil"/>
              <w:left w:val="nil"/>
              <w:bottom w:val="nil"/>
              <w:right w:val="single" w:sz="4" w:space="0" w:color="1F497D"/>
            </w:tcBorders>
            <w:vAlign w:val="center"/>
          </w:tcPr>
          <w:p w14:paraId="41260859" w14:textId="2F156338"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98.0</w:t>
            </w:r>
          </w:p>
        </w:tc>
        <w:tc>
          <w:tcPr>
            <w:tcW w:w="206" w:type="dxa"/>
            <w:tcBorders>
              <w:top w:val="nil"/>
              <w:left w:val="single" w:sz="4" w:space="0" w:color="1F497D"/>
              <w:bottom w:val="nil"/>
              <w:right w:val="nil"/>
            </w:tcBorders>
            <w:shd w:val="clear" w:color="auto" w:fill="auto"/>
            <w:noWrap/>
            <w:vAlign w:val="center"/>
            <w:hideMark/>
          </w:tcPr>
          <w:p w14:paraId="6B1B2056"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47390" w14:textId="77777777" w:rsidR="004C4EF9" w:rsidRPr="009E6D43" w:rsidRDefault="004C4EF9" w:rsidP="004C4EF9">
            <w:pPr>
              <w:jc w:val="left"/>
              <w:rPr>
                <w:color w:val="000000"/>
                <w:sz w:val="16"/>
                <w:szCs w:val="16"/>
                <w:lang w:val="es-MX" w:eastAsia="es-MX"/>
              </w:rPr>
            </w:pPr>
            <w:r w:rsidRPr="009E6D43">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7C21994" w14:textId="619AB8FA"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97.8</w:t>
            </w:r>
          </w:p>
        </w:tc>
        <w:tc>
          <w:tcPr>
            <w:tcW w:w="1036" w:type="dxa"/>
            <w:tcBorders>
              <w:top w:val="nil"/>
              <w:left w:val="single" w:sz="4" w:space="0" w:color="1F497D"/>
              <w:bottom w:val="nil"/>
              <w:right w:val="single" w:sz="4" w:space="0" w:color="1F497D"/>
            </w:tcBorders>
            <w:vAlign w:val="center"/>
          </w:tcPr>
          <w:p w14:paraId="7C5C1A6E" w14:textId="1BA4EA48"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98.2</w:t>
            </w:r>
          </w:p>
        </w:tc>
      </w:tr>
      <w:tr w:rsidR="004C4EF9" w:rsidRPr="009E6D43" w14:paraId="003B97A7"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BF072D1" w14:textId="77777777" w:rsidR="004C4EF9" w:rsidRPr="009E6D43" w:rsidRDefault="004C4EF9" w:rsidP="004C4EF9">
            <w:pPr>
              <w:jc w:val="left"/>
              <w:rPr>
                <w:color w:val="000000"/>
                <w:sz w:val="16"/>
                <w:szCs w:val="16"/>
                <w:lang w:val="es-MX" w:eastAsia="es-MX"/>
              </w:rPr>
            </w:pPr>
            <w:r w:rsidRPr="009E6D43">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71ACB2" w14:textId="0460E1F3"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97.2</w:t>
            </w:r>
          </w:p>
        </w:tc>
        <w:tc>
          <w:tcPr>
            <w:tcW w:w="1036" w:type="dxa"/>
            <w:tcBorders>
              <w:top w:val="nil"/>
              <w:left w:val="nil"/>
              <w:bottom w:val="nil"/>
              <w:right w:val="single" w:sz="4" w:space="0" w:color="1F497D"/>
            </w:tcBorders>
            <w:vAlign w:val="center"/>
          </w:tcPr>
          <w:p w14:paraId="4DFAEA4D" w14:textId="35DE94E5"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98.2</w:t>
            </w:r>
          </w:p>
        </w:tc>
        <w:tc>
          <w:tcPr>
            <w:tcW w:w="206" w:type="dxa"/>
            <w:tcBorders>
              <w:top w:val="nil"/>
              <w:left w:val="single" w:sz="4" w:space="0" w:color="1F497D"/>
              <w:bottom w:val="nil"/>
              <w:right w:val="nil"/>
            </w:tcBorders>
            <w:shd w:val="clear" w:color="auto" w:fill="auto"/>
            <w:noWrap/>
            <w:vAlign w:val="center"/>
            <w:hideMark/>
          </w:tcPr>
          <w:p w14:paraId="2DFB6A4F"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12A267A" w14:textId="77777777" w:rsidR="004C4EF9" w:rsidRPr="009E6D43" w:rsidRDefault="004C4EF9" w:rsidP="004C4EF9">
            <w:pPr>
              <w:jc w:val="left"/>
              <w:rPr>
                <w:color w:val="000000"/>
                <w:sz w:val="16"/>
                <w:szCs w:val="16"/>
                <w:lang w:val="es-MX" w:eastAsia="es-MX"/>
              </w:rPr>
            </w:pPr>
            <w:r w:rsidRPr="009E6D43">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6912DEA0" w14:textId="7B005571"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96.9</w:t>
            </w:r>
          </w:p>
        </w:tc>
        <w:tc>
          <w:tcPr>
            <w:tcW w:w="1036" w:type="dxa"/>
            <w:tcBorders>
              <w:top w:val="nil"/>
              <w:left w:val="single" w:sz="4" w:space="0" w:color="1F497D"/>
              <w:bottom w:val="nil"/>
              <w:right w:val="single" w:sz="4" w:space="0" w:color="1F497D"/>
            </w:tcBorders>
            <w:vAlign w:val="center"/>
          </w:tcPr>
          <w:p w14:paraId="13F384D5" w14:textId="231B034C"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97.4</w:t>
            </w:r>
          </w:p>
        </w:tc>
      </w:tr>
      <w:tr w:rsidR="004C4EF9" w:rsidRPr="009E6D43" w14:paraId="02F07BA2"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35A4F5" w14:textId="77777777" w:rsidR="004C4EF9" w:rsidRPr="009E6D43" w:rsidRDefault="004C4EF9" w:rsidP="004C4EF9">
            <w:pPr>
              <w:jc w:val="left"/>
              <w:rPr>
                <w:color w:val="000000"/>
                <w:sz w:val="16"/>
                <w:szCs w:val="16"/>
                <w:lang w:val="es-MX" w:eastAsia="es-MX"/>
              </w:rPr>
            </w:pPr>
            <w:r w:rsidRPr="009E6D43">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6A0602D3" w14:textId="1BFE49F8"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98.3</w:t>
            </w:r>
          </w:p>
        </w:tc>
        <w:tc>
          <w:tcPr>
            <w:tcW w:w="1036" w:type="dxa"/>
            <w:tcBorders>
              <w:top w:val="nil"/>
              <w:left w:val="nil"/>
              <w:bottom w:val="nil"/>
              <w:right w:val="single" w:sz="4" w:space="0" w:color="1F497D"/>
            </w:tcBorders>
            <w:vAlign w:val="center"/>
          </w:tcPr>
          <w:p w14:paraId="03A74D3C" w14:textId="07D7E93A"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98.5</w:t>
            </w:r>
          </w:p>
        </w:tc>
        <w:tc>
          <w:tcPr>
            <w:tcW w:w="206" w:type="dxa"/>
            <w:tcBorders>
              <w:top w:val="nil"/>
              <w:left w:val="single" w:sz="4" w:space="0" w:color="1F497D"/>
              <w:bottom w:val="nil"/>
              <w:right w:val="nil"/>
            </w:tcBorders>
            <w:shd w:val="clear" w:color="auto" w:fill="auto"/>
            <w:noWrap/>
            <w:vAlign w:val="center"/>
            <w:hideMark/>
          </w:tcPr>
          <w:p w14:paraId="444AB344"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CC0196" w14:textId="77777777" w:rsidR="004C4EF9" w:rsidRPr="009E6D43" w:rsidRDefault="004C4EF9" w:rsidP="004C4EF9">
            <w:pPr>
              <w:jc w:val="left"/>
              <w:rPr>
                <w:color w:val="000000"/>
                <w:sz w:val="16"/>
                <w:szCs w:val="16"/>
                <w:lang w:val="es-MX" w:eastAsia="es-MX"/>
              </w:rPr>
            </w:pPr>
            <w:r w:rsidRPr="009E6D43">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2D658EB7" w14:textId="467B5E95"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98.9</w:t>
            </w:r>
          </w:p>
        </w:tc>
        <w:tc>
          <w:tcPr>
            <w:tcW w:w="1036" w:type="dxa"/>
            <w:tcBorders>
              <w:top w:val="nil"/>
              <w:left w:val="single" w:sz="4" w:space="0" w:color="1F497D"/>
              <w:bottom w:val="nil"/>
              <w:right w:val="single" w:sz="4" w:space="0" w:color="1F497D"/>
            </w:tcBorders>
            <w:vAlign w:val="center"/>
          </w:tcPr>
          <w:p w14:paraId="2C20D74D" w14:textId="3FAA6315"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98.8</w:t>
            </w:r>
          </w:p>
        </w:tc>
      </w:tr>
      <w:tr w:rsidR="004C4EF9" w:rsidRPr="009E6D43" w14:paraId="1B9CF9A8"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C398BB" w14:textId="77777777" w:rsidR="004C4EF9" w:rsidRPr="009E6D43" w:rsidRDefault="004C4EF9" w:rsidP="004C4EF9">
            <w:pPr>
              <w:jc w:val="left"/>
              <w:rPr>
                <w:color w:val="000000"/>
                <w:sz w:val="16"/>
                <w:szCs w:val="16"/>
                <w:lang w:val="es-MX" w:eastAsia="es-MX"/>
              </w:rPr>
            </w:pPr>
            <w:r w:rsidRPr="009E6D43">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0C719D7" w14:textId="117D627F"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96.6</w:t>
            </w:r>
          </w:p>
        </w:tc>
        <w:tc>
          <w:tcPr>
            <w:tcW w:w="1036" w:type="dxa"/>
            <w:tcBorders>
              <w:top w:val="nil"/>
              <w:left w:val="nil"/>
              <w:bottom w:val="nil"/>
              <w:right w:val="single" w:sz="4" w:space="0" w:color="1F497D"/>
            </w:tcBorders>
            <w:vAlign w:val="center"/>
          </w:tcPr>
          <w:p w14:paraId="4136FC03" w14:textId="05A8ED44"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96.0</w:t>
            </w:r>
          </w:p>
        </w:tc>
        <w:tc>
          <w:tcPr>
            <w:tcW w:w="206" w:type="dxa"/>
            <w:tcBorders>
              <w:top w:val="nil"/>
              <w:left w:val="single" w:sz="4" w:space="0" w:color="1F497D"/>
              <w:bottom w:val="nil"/>
              <w:right w:val="nil"/>
            </w:tcBorders>
            <w:shd w:val="clear" w:color="auto" w:fill="auto"/>
            <w:noWrap/>
            <w:vAlign w:val="center"/>
            <w:hideMark/>
          </w:tcPr>
          <w:p w14:paraId="756ECDB0"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D5C788" w14:textId="77777777" w:rsidR="004C4EF9" w:rsidRPr="009E6D43" w:rsidRDefault="004C4EF9" w:rsidP="004C4EF9">
            <w:pPr>
              <w:jc w:val="left"/>
              <w:rPr>
                <w:color w:val="000000"/>
                <w:sz w:val="16"/>
                <w:szCs w:val="16"/>
                <w:lang w:val="es-MX" w:eastAsia="es-MX"/>
              </w:rPr>
            </w:pPr>
            <w:r w:rsidRPr="009E6D43">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42548A24" w14:textId="72C1611E"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97.8</w:t>
            </w:r>
          </w:p>
        </w:tc>
        <w:tc>
          <w:tcPr>
            <w:tcW w:w="1036" w:type="dxa"/>
            <w:tcBorders>
              <w:top w:val="nil"/>
              <w:left w:val="single" w:sz="4" w:space="0" w:color="1F497D"/>
              <w:bottom w:val="nil"/>
              <w:right w:val="single" w:sz="4" w:space="0" w:color="1F497D"/>
            </w:tcBorders>
            <w:vAlign w:val="center"/>
          </w:tcPr>
          <w:p w14:paraId="404469D5" w14:textId="4789D9AD"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98.1</w:t>
            </w:r>
          </w:p>
        </w:tc>
      </w:tr>
      <w:tr w:rsidR="004C4EF9" w:rsidRPr="009E6D43" w14:paraId="50995645"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0225D5F" w14:textId="77777777" w:rsidR="004C4EF9" w:rsidRPr="009E6D43" w:rsidRDefault="004C4EF9" w:rsidP="004C4EF9">
            <w:pPr>
              <w:jc w:val="left"/>
              <w:rPr>
                <w:color w:val="000000"/>
                <w:sz w:val="16"/>
                <w:szCs w:val="16"/>
                <w:lang w:val="es-MX" w:eastAsia="es-MX"/>
              </w:rPr>
            </w:pPr>
            <w:r w:rsidRPr="009E6D43">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71650051" w14:textId="191BF879"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97.5</w:t>
            </w:r>
          </w:p>
        </w:tc>
        <w:tc>
          <w:tcPr>
            <w:tcW w:w="1036" w:type="dxa"/>
            <w:tcBorders>
              <w:top w:val="nil"/>
              <w:left w:val="nil"/>
              <w:bottom w:val="nil"/>
              <w:right w:val="single" w:sz="4" w:space="0" w:color="1F497D"/>
            </w:tcBorders>
            <w:vAlign w:val="center"/>
          </w:tcPr>
          <w:p w14:paraId="4ACA188A" w14:textId="56642D86"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461C3C60"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450B56" w14:textId="77777777" w:rsidR="004C4EF9" w:rsidRPr="009E6D43" w:rsidRDefault="004C4EF9" w:rsidP="004C4EF9">
            <w:pPr>
              <w:jc w:val="left"/>
              <w:rPr>
                <w:color w:val="000000"/>
                <w:sz w:val="16"/>
                <w:szCs w:val="16"/>
                <w:lang w:val="es-MX" w:eastAsia="es-MX"/>
              </w:rPr>
            </w:pPr>
            <w:r w:rsidRPr="009E6D43">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7D0C1A1" w14:textId="11EBF6C9"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96.3</w:t>
            </w:r>
          </w:p>
        </w:tc>
        <w:tc>
          <w:tcPr>
            <w:tcW w:w="1036" w:type="dxa"/>
            <w:tcBorders>
              <w:top w:val="nil"/>
              <w:left w:val="single" w:sz="4" w:space="0" w:color="1F497D"/>
              <w:bottom w:val="nil"/>
              <w:right w:val="single" w:sz="4" w:space="0" w:color="1F497D"/>
            </w:tcBorders>
            <w:vAlign w:val="center"/>
          </w:tcPr>
          <w:p w14:paraId="0EA0F9BC" w14:textId="24B99573"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97.0</w:t>
            </w:r>
          </w:p>
        </w:tc>
      </w:tr>
      <w:tr w:rsidR="004C4EF9" w:rsidRPr="009E6D43" w14:paraId="581818E7"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58F7F04" w14:textId="77777777" w:rsidR="004C4EF9" w:rsidRPr="009E6D43" w:rsidRDefault="004C4EF9" w:rsidP="004C4EF9">
            <w:pPr>
              <w:jc w:val="left"/>
              <w:rPr>
                <w:color w:val="000000"/>
                <w:sz w:val="16"/>
                <w:szCs w:val="16"/>
                <w:lang w:val="es-MX" w:eastAsia="es-MX"/>
              </w:rPr>
            </w:pPr>
            <w:r w:rsidRPr="009E6D43">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0D089027" w14:textId="702D13C6"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98.0</w:t>
            </w:r>
          </w:p>
        </w:tc>
        <w:tc>
          <w:tcPr>
            <w:tcW w:w="1036" w:type="dxa"/>
            <w:tcBorders>
              <w:top w:val="nil"/>
              <w:left w:val="nil"/>
              <w:bottom w:val="nil"/>
              <w:right w:val="single" w:sz="4" w:space="0" w:color="1F497D"/>
            </w:tcBorders>
            <w:vAlign w:val="center"/>
          </w:tcPr>
          <w:p w14:paraId="1C8ED786" w14:textId="35123916"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98.6</w:t>
            </w:r>
          </w:p>
        </w:tc>
        <w:tc>
          <w:tcPr>
            <w:tcW w:w="206" w:type="dxa"/>
            <w:tcBorders>
              <w:top w:val="nil"/>
              <w:left w:val="single" w:sz="4" w:space="0" w:color="1F497D"/>
              <w:bottom w:val="nil"/>
              <w:right w:val="nil"/>
            </w:tcBorders>
            <w:shd w:val="clear" w:color="auto" w:fill="auto"/>
            <w:noWrap/>
            <w:vAlign w:val="center"/>
            <w:hideMark/>
          </w:tcPr>
          <w:p w14:paraId="2EEF01BA"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221271" w14:textId="77777777" w:rsidR="004C4EF9" w:rsidRPr="009E6D43" w:rsidRDefault="004C4EF9" w:rsidP="004C4EF9">
            <w:pPr>
              <w:jc w:val="left"/>
              <w:rPr>
                <w:color w:val="000000"/>
                <w:sz w:val="16"/>
                <w:szCs w:val="16"/>
                <w:lang w:val="es-MX" w:eastAsia="es-MX"/>
              </w:rPr>
            </w:pPr>
            <w:r w:rsidRPr="009E6D43">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02A32AD" w14:textId="6DED33D4"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98.1</w:t>
            </w:r>
          </w:p>
        </w:tc>
        <w:tc>
          <w:tcPr>
            <w:tcW w:w="1036" w:type="dxa"/>
            <w:tcBorders>
              <w:top w:val="nil"/>
              <w:left w:val="single" w:sz="4" w:space="0" w:color="1F497D"/>
              <w:bottom w:val="nil"/>
              <w:right w:val="single" w:sz="4" w:space="0" w:color="1F497D"/>
            </w:tcBorders>
            <w:vAlign w:val="center"/>
          </w:tcPr>
          <w:p w14:paraId="3DE6BE1C" w14:textId="19E558D1"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97.9</w:t>
            </w:r>
          </w:p>
        </w:tc>
      </w:tr>
      <w:tr w:rsidR="004C4EF9" w:rsidRPr="009E6D43" w14:paraId="05CE35B7"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F8042DD" w14:textId="77777777" w:rsidR="004C4EF9" w:rsidRPr="009E6D43" w:rsidRDefault="004C4EF9" w:rsidP="004C4EF9">
            <w:pPr>
              <w:jc w:val="left"/>
              <w:rPr>
                <w:color w:val="000000"/>
                <w:sz w:val="16"/>
                <w:szCs w:val="16"/>
                <w:lang w:val="es-MX" w:eastAsia="es-MX"/>
              </w:rPr>
            </w:pPr>
            <w:r w:rsidRPr="009E6D43">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6691F62B" w14:textId="56C1AE4E"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98.6</w:t>
            </w:r>
          </w:p>
        </w:tc>
        <w:tc>
          <w:tcPr>
            <w:tcW w:w="1036" w:type="dxa"/>
            <w:tcBorders>
              <w:top w:val="nil"/>
              <w:left w:val="nil"/>
              <w:bottom w:val="nil"/>
              <w:right w:val="single" w:sz="4" w:space="0" w:color="1F497D"/>
            </w:tcBorders>
            <w:vAlign w:val="center"/>
          </w:tcPr>
          <w:p w14:paraId="089DC051" w14:textId="7A2E6318"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26E79E19"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EA8E12D" w14:textId="77777777" w:rsidR="004C4EF9" w:rsidRPr="009E6D43" w:rsidRDefault="004C4EF9" w:rsidP="004C4EF9">
            <w:pPr>
              <w:jc w:val="left"/>
              <w:rPr>
                <w:color w:val="000000"/>
                <w:sz w:val="16"/>
                <w:szCs w:val="16"/>
                <w:lang w:val="es-MX" w:eastAsia="es-MX"/>
              </w:rPr>
            </w:pPr>
            <w:r w:rsidRPr="009E6D43">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FD348BF" w14:textId="563A980A"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97.6</w:t>
            </w:r>
          </w:p>
        </w:tc>
        <w:tc>
          <w:tcPr>
            <w:tcW w:w="1036" w:type="dxa"/>
            <w:tcBorders>
              <w:top w:val="nil"/>
              <w:left w:val="single" w:sz="4" w:space="0" w:color="1F497D"/>
              <w:bottom w:val="nil"/>
              <w:right w:val="single" w:sz="4" w:space="0" w:color="1F497D"/>
            </w:tcBorders>
            <w:vAlign w:val="center"/>
          </w:tcPr>
          <w:p w14:paraId="779AB993" w14:textId="7128E514"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97.0</w:t>
            </w:r>
          </w:p>
        </w:tc>
      </w:tr>
      <w:tr w:rsidR="004C4EF9" w:rsidRPr="009E6D43" w14:paraId="7871C16D"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2EF63F4" w14:textId="77777777" w:rsidR="004C4EF9" w:rsidRPr="009E6D43" w:rsidRDefault="004C4EF9" w:rsidP="004C4EF9">
            <w:pPr>
              <w:jc w:val="left"/>
              <w:rPr>
                <w:color w:val="000000"/>
                <w:sz w:val="16"/>
                <w:szCs w:val="16"/>
                <w:lang w:val="es-MX" w:eastAsia="es-MX"/>
              </w:rPr>
            </w:pPr>
            <w:r w:rsidRPr="009E6D43">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4DA6381" w14:textId="09373F87"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95.5</w:t>
            </w:r>
          </w:p>
        </w:tc>
        <w:tc>
          <w:tcPr>
            <w:tcW w:w="1036" w:type="dxa"/>
            <w:tcBorders>
              <w:top w:val="nil"/>
              <w:left w:val="nil"/>
              <w:bottom w:val="nil"/>
              <w:right w:val="single" w:sz="4" w:space="0" w:color="1F497D"/>
            </w:tcBorders>
            <w:vAlign w:val="center"/>
          </w:tcPr>
          <w:p w14:paraId="092819DE" w14:textId="6F365A7B"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6275107F"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06B07A" w14:textId="77777777" w:rsidR="004C4EF9" w:rsidRPr="009E6D43" w:rsidRDefault="004C4EF9" w:rsidP="004C4EF9">
            <w:pPr>
              <w:jc w:val="left"/>
              <w:rPr>
                <w:color w:val="000000"/>
                <w:sz w:val="16"/>
                <w:szCs w:val="16"/>
                <w:lang w:val="es-MX" w:eastAsia="es-MX"/>
              </w:rPr>
            </w:pPr>
            <w:r w:rsidRPr="009E6D43">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5BAD1814" w14:textId="3593564E"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97.4</w:t>
            </w:r>
          </w:p>
        </w:tc>
        <w:tc>
          <w:tcPr>
            <w:tcW w:w="1036" w:type="dxa"/>
            <w:tcBorders>
              <w:top w:val="nil"/>
              <w:left w:val="single" w:sz="4" w:space="0" w:color="1F497D"/>
              <w:bottom w:val="nil"/>
              <w:right w:val="single" w:sz="4" w:space="0" w:color="1F497D"/>
            </w:tcBorders>
            <w:vAlign w:val="center"/>
          </w:tcPr>
          <w:p w14:paraId="1A81965A" w14:textId="1572FCE1"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97.5</w:t>
            </w:r>
          </w:p>
        </w:tc>
      </w:tr>
      <w:tr w:rsidR="004C4EF9" w:rsidRPr="009E6D43" w14:paraId="6D6E3091"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5E6B" w14:textId="77777777" w:rsidR="004C4EF9" w:rsidRPr="009E6D43" w:rsidRDefault="004C4EF9" w:rsidP="004C4EF9">
            <w:pPr>
              <w:jc w:val="left"/>
              <w:rPr>
                <w:color w:val="000000"/>
                <w:sz w:val="16"/>
                <w:szCs w:val="16"/>
                <w:lang w:val="es-MX" w:eastAsia="es-MX"/>
              </w:rPr>
            </w:pPr>
            <w:r w:rsidRPr="009E6D43">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311765" w14:textId="5E9CA084"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97.2</w:t>
            </w:r>
          </w:p>
        </w:tc>
        <w:tc>
          <w:tcPr>
            <w:tcW w:w="1036" w:type="dxa"/>
            <w:tcBorders>
              <w:top w:val="nil"/>
              <w:left w:val="nil"/>
              <w:bottom w:val="nil"/>
              <w:right w:val="single" w:sz="4" w:space="0" w:color="1F497D"/>
            </w:tcBorders>
            <w:vAlign w:val="center"/>
          </w:tcPr>
          <w:p w14:paraId="6E5B6670" w14:textId="339749A1"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4375D458"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A5FFEF9" w14:textId="77777777" w:rsidR="004C4EF9" w:rsidRPr="009E6D43" w:rsidRDefault="004C4EF9" w:rsidP="004C4EF9">
            <w:pPr>
              <w:jc w:val="left"/>
              <w:rPr>
                <w:color w:val="000000"/>
                <w:sz w:val="16"/>
                <w:szCs w:val="16"/>
                <w:lang w:val="es-MX" w:eastAsia="es-MX"/>
              </w:rPr>
            </w:pPr>
            <w:r w:rsidRPr="009E6D43">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6FC5697A" w14:textId="21A2E290"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97.4</w:t>
            </w:r>
          </w:p>
        </w:tc>
        <w:tc>
          <w:tcPr>
            <w:tcW w:w="1036" w:type="dxa"/>
            <w:tcBorders>
              <w:top w:val="nil"/>
              <w:left w:val="single" w:sz="4" w:space="0" w:color="1F497D"/>
              <w:bottom w:val="nil"/>
              <w:right w:val="single" w:sz="4" w:space="0" w:color="1F497D"/>
            </w:tcBorders>
            <w:vAlign w:val="center"/>
          </w:tcPr>
          <w:p w14:paraId="036C510E" w14:textId="58DA2688"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97.1</w:t>
            </w:r>
          </w:p>
        </w:tc>
      </w:tr>
      <w:tr w:rsidR="004C4EF9" w:rsidRPr="009E6D43" w14:paraId="3E9C40B5"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74A2A81" w14:textId="77777777" w:rsidR="004C4EF9" w:rsidRPr="009E6D43" w:rsidRDefault="004C4EF9" w:rsidP="004C4EF9">
            <w:pPr>
              <w:jc w:val="left"/>
              <w:rPr>
                <w:color w:val="000000"/>
                <w:sz w:val="16"/>
                <w:szCs w:val="16"/>
                <w:lang w:val="es-MX" w:eastAsia="es-MX"/>
              </w:rPr>
            </w:pPr>
            <w:r w:rsidRPr="009E6D43">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334D6C35" w14:textId="1A38EC95"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97.6</w:t>
            </w:r>
          </w:p>
        </w:tc>
        <w:tc>
          <w:tcPr>
            <w:tcW w:w="1036" w:type="dxa"/>
            <w:tcBorders>
              <w:top w:val="nil"/>
              <w:left w:val="nil"/>
              <w:bottom w:val="nil"/>
              <w:right w:val="single" w:sz="4" w:space="0" w:color="1F497D"/>
            </w:tcBorders>
            <w:vAlign w:val="center"/>
          </w:tcPr>
          <w:p w14:paraId="3C3D02D3" w14:textId="1E4EAB52"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96.7</w:t>
            </w:r>
          </w:p>
        </w:tc>
        <w:tc>
          <w:tcPr>
            <w:tcW w:w="206" w:type="dxa"/>
            <w:tcBorders>
              <w:top w:val="nil"/>
              <w:left w:val="single" w:sz="4" w:space="0" w:color="1F497D"/>
              <w:bottom w:val="nil"/>
              <w:right w:val="nil"/>
            </w:tcBorders>
            <w:shd w:val="clear" w:color="auto" w:fill="auto"/>
            <w:noWrap/>
            <w:vAlign w:val="center"/>
            <w:hideMark/>
          </w:tcPr>
          <w:p w14:paraId="0BA21CC4"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53642F3" w14:textId="77777777" w:rsidR="004C4EF9" w:rsidRPr="009E6D43" w:rsidRDefault="004C4EF9" w:rsidP="004C4EF9">
            <w:pPr>
              <w:jc w:val="left"/>
              <w:rPr>
                <w:color w:val="000000"/>
                <w:sz w:val="16"/>
                <w:szCs w:val="16"/>
                <w:lang w:val="es-MX" w:eastAsia="es-MX"/>
              </w:rPr>
            </w:pPr>
            <w:r w:rsidRPr="009E6D43">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6DB34382" w14:textId="11434763"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96.6</w:t>
            </w:r>
          </w:p>
        </w:tc>
        <w:tc>
          <w:tcPr>
            <w:tcW w:w="1036" w:type="dxa"/>
            <w:tcBorders>
              <w:top w:val="nil"/>
              <w:left w:val="single" w:sz="4" w:space="0" w:color="1F497D"/>
              <w:bottom w:val="nil"/>
              <w:right w:val="single" w:sz="4" w:space="0" w:color="1F497D"/>
            </w:tcBorders>
            <w:vAlign w:val="center"/>
          </w:tcPr>
          <w:p w14:paraId="1131CD43" w14:textId="3D561D5A"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96.1</w:t>
            </w:r>
          </w:p>
        </w:tc>
      </w:tr>
      <w:tr w:rsidR="004C4EF9" w:rsidRPr="009E6D43" w14:paraId="0A19132F"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6B3088" w14:textId="77777777" w:rsidR="004C4EF9" w:rsidRPr="009E6D43" w:rsidRDefault="004C4EF9" w:rsidP="004C4EF9">
            <w:pPr>
              <w:jc w:val="left"/>
              <w:rPr>
                <w:color w:val="000000"/>
                <w:sz w:val="16"/>
                <w:szCs w:val="16"/>
                <w:lang w:val="es-MX" w:eastAsia="es-MX"/>
              </w:rPr>
            </w:pPr>
            <w:r w:rsidRPr="009E6D43">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A317D8A" w14:textId="5DAC2242"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99.3</w:t>
            </w:r>
          </w:p>
        </w:tc>
        <w:tc>
          <w:tcPr>
            <w:tcW w:w="1036" w:type="dxa"/>
            <w:tcBorders>
              <w:top w:val="nil"/>
              <w:left w:val="nil"/>
              <w:bottom w:val="nil"/>
              <w:right w:val="single" w:sz="4" w:space="0" w:color="1F497D"/>
            </w:tcBorders>
            <w:vAlign w:val="center"/>
          </w:tcPr>
          <w:p w14:paraId="47A9F072" w14:textId="185EF246"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 xml:space="preserve">NS </w:t>
            </w:r>
            <w:r w:rsidRPr="009E6D43">
              <w:rPr>
                <w:sz w:val="18"/>
                <w:szCs w:val="18"/>
              </w:rPr>
              <w:t>*</w:t>
            </w:r>
            <w:r w:rsidRPr="009E6D43">
              <w:rPr>
                <w:sz w:val="18"/>
                <w:szCs w:val="18"/>
                <w:vertAlign w:val="superscript"/>
              </w:rPr>
              <w:t>/</w:t>
            </w:r>
          </w:p>
        </w:tc>
        <w:tc>
          <w:tcPr>
            <w:tcW w:w="206" w:type="dxa"/>
            <w:tcBorders>
              <w:top w:val="nil"/>
              <w:left w:val="single" w:sz="4" w:space="0" w:color="1F497D"/>
              <w:bottom w:val="nil"/>
              <w:right w:val="nil"/>
            </w:tcBorders>
            <w:shd w:val="clear" w:color="auto" w:fill="auto"/>
            <w:noWrap/>
            <w:vAlign w:val="center"/>
            <w:hideMark/>
          </w:tcPr>
          <w:p w14:paraId="5D7A3308"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04B025" w14:textId="77777777" w:rsidR="004C4EF9" w:rsidRPr="009E6D43" w:rsidRDefault="004C4EF9" w:rsidP="004C4EF9">
            <w:pPr>
              <w:jc w:val="left"/>
              <w:rPr>
                <w:color w:val="000000"/>
                <w:sz w:val="16"/>
                <w:szCs w:val="16"/>
                <w:lang w:val="es-MX" w:eastAsia="es-MX"/>
              </w:rPr>
            </w:pPr>
            <w:r w:rsidRPr="009E6D43">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2E6470C" w14:textId="3AB6055E"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97.0</w:t>
            </w:r>
          </w:p>
        </w:tc>
        <w:tc>
          <w:tcPr>
            <w:tcW w:w="1036" w:type="dxa"/>
            <w:tcBorders>
              <w:top w:val="nil"/>
              <w:left w:val="single" w:sz="4" w:space="0" w:color="1F497D"/>
              <w:bottom w:val="nil"/>
              <w:right w:val="single" w:sz="4" w:space="0" w:color="1F497D"/>
            </w:tcBorders>
            <w:vAlign w:val="center"/>
          </w:tcPr>
          <w:p w14:paraId="47405566" w14:textId="259E0349"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96.5</w:t>
            </w:r>
          </w:p>
        </w:tc>
      </w:tr>
      <w:tr w:rsidR="004C4EF9" w:rsidRPr="009E6D43" w14:paraId="31BD8859"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F019F7A" w14:textId="77777777" w:rsidR="004C4EF9" w:rsidRPr="009E6D43" w:rsidRDefault="004C4EF9" w:rsidP="004C4EF9">
            <w:pPr>
              <w:jc w:val="left"/>
              <w:rPr>
                <w:color w:val="000000"/>
                <w:sz w:val="16"/>
                <w:szCs w:val="16"/>
                <w:lang w:val="es-MX" w:eastAsia="es-MX"/>
              </w:rPr>
            </w:pPr>
            <w:r w:rsidRPr="009E6D43">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7C500E5E" w14:textId="566668ED"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97.9</w:t>
            </w:r>
          </w:p>
        </w:tc>
        <w:tc>
          <w:tcPr>
            <w:tcW w:w="1036" w:type="dxa"/>
            <w:tcBorders>
              <w:top w:val="nil"/>
              <w:left w:val="nil"/>
              <w:bottom w:val="nil"/>
              <w:right w:val="single" w:sz="4" w:space="0" w:color="1F497D"/>
            </w:tcBorders>
            <w:vAlign w:val="center"/>
          </w:tcPr>
          <w:p w14:paraId="26442084" w14:textId="7C645D0D"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98.4</w:t>
            </w:r>
          </w:p>
        </w:tc>
        <w:tc>
          <w:tcPr>
            <w:tcW w:w="206" w:type="dxa"/>
            <w:tcBorders>
              <w:top w:val="nil"/>
              <w:left w:val="single" w:sz="4" w:space="0" w:color="1F497D"/>
              <w:bottom w:val="nil"/>
              <w:right w:val="nil"/>
            </w:tcBorders>
            <w:shd w:val="clear" w:color="auto" w:fill="auto"/>
            <w:noWrap/>
            <w:vAlign w:val="center"/>
            <w:hideMark/>
          </w:tcPr>
          <w:p w14:paraId="1EA01EE1"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FCD56AE" w14:textId="77777777" w:rsidR="004C4EF9" w:rsidRPr="009E6D43" w:rsidRDefault="004C4EF9" w:rsidP="004C4EF9">
            <w:pPr>
              <w:jc w:val="left"/>
              <w:rPr>
                <w:color w:val="000000"/>
                <w:sz w:val="16"/>
                <w:szCs w:val="16"/>
                <w:lang w:val="es-MX" w:eastAsia="es-MX"/>
              </w:rPr>
            </w:pPr>
            <w:r w:rsidRPr="009E6D43">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3835337" w14:textId="68D45A29"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96.5</w:t>
            </w:r>
          </w:p>
        </w:tc>
        <w:tc>
          <w:tcPr>
            <w:tcW w:w="1036" w:type="dxa"/>
            <w:tcBorders>
              <w:top w:val="nil"/>
              <w:left w:val="single" w:sz="4" w:space="0" w:color="1F497D"/>
              <w:bottom w:val="nil"/>
              <w:right w:val="single" w:sz="4" w:space="0" w:color="1F497D"/>
            </w:tcBorders>
            <w:vAlign w:val="center"/>
          </w:tcPr>
          <w:p w14:paraId="601C1E26" w14:textId="02007F28"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97.2</w:t>
            </w:r>
          </w:p>
        </w:tc>
      </w:tr>
      <w:tr w:rsidR="004C4EF9" w:rsidRPr="009E6D43" w14:paraId="616371EF"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24916D" w14:textId="77777777" w:rsidR="004C4EF9" w:rsidRPr="009E6D43" w:rsidRDefault="004C4EF9" w:rsidP="004C4EF9">
            <w:pPr>
              <w:jc w:val="left"/>
              <w:rPr>
                <w:color w:val="000000"/>
                <w:sz w:val="16"/>
                <w:szCs w:val="16"/>
                <w:lang w:val="es-MX" w:eastAsia="es-MX"/>
              </w:rPr>
            </w:pPr>
            <w:r w:rsidRPr="009E6D43">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8EBED4C" w14:textId="3518FED5"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97.7</w:t>
            </w:r>
          </w:p>
        </w:tc>
        <w:tc>
          <w:tcPr>
            <w:tcW w:w="1036" w:type="dxa"/>
            <w:tcBorders>
              <w:top w:val="nil"/>
              <w:left w:val="nil"/>
              <w:bottom w:val="nil"/>
              <w:right w:val="single" w:sz="4" w:space="0" w:color="1F497D"/>
            </w:tcBorders>
            <w:vAlign w:val="center"/>
          </w:tcPr>
          <w:p w14:paraId="1DFB4943" w14:textId="4ECF3B88"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4C366236"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628769" w14:textId="77777777" w:rsidR="004C4EF9" w:rsidRPr="009E6D43" w:rsidRDefault="004C4EF9" w:rsidP="004C4EF9">
            <w:pPr>
              <w:jc w:val="left"/>
              <w:rPr>
                <w:color w:val="000000"/>
                <w:sz w:val="16"/>
                <w:szCs w:val="16"/>
                <w:lang w:val="es-MX" w:eastAsia="es-MX"/>
              </w:rPr>
            </w:pPr>
            <w:r w:rsidRPr="009E6D43">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27F1A029" w14:textId="68FFF8AC"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98.7</w:t>
            </w:r>
          </w:p>
        </w:tc>
        <w:tc>
          <w:tcPr>
            <w:tcW w:w="1036" w:type="dxa"/>
            <w:tcBorders>
              <w:top w:val="nil"/>
              <w:left w:val="single" w:sz="4" w:space="0" w:color="1F497D"/>
              <w:bottom w:val="nil"/>
              <w:right w:val="single" w:sz="4" w:space="0" w:color="1F497D"/>
            </w:tcBorders>
            <w:vAlign w:val="center"/>
          </w:tcPr>
          <w:p w14:paraId="7B9A16A3" w14:textId="2CB5B77B"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97.8</w:t>
            </w:r>
          </w:p>
        </w:tc>
      </w:tr>
      <w:tr w:rsidR="004C4EF9" w:rsidRPr="009E6D43" w14:paraId="3B180D0D" w14:textId="77777777" w:rsidTr="004C4EF9">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CE71" w14:textId="6E2C82BA" w:rsidR="004C4EF9" w:rsidRPr="009E6D43" w:rsidRDefault="004C4EF9" w:rsidP="004C4EF9">
            <w:pPr>
              <w:jc w:val="left"/>
              <w:rPr>
                <w:color w:val="000000"/>
                <w:sz w:val="16"/>
                <w:szCs w:val="16"/>
                <w:lang w:val="es-MX" w:eastAsia="es-MX"/>
              </w:rPr>
            </w:pPr>
            <w:r w:rsidRPr="009E6D43">
              <w:rPr>
                <w:color w:val="000000"/>
                <w:sz w:val="16"/>
                <w:szCs w:val="16"/>
              </w:rPr>
              <w:t xml:space="preserve">México </w:t>
            </w:r>
          </w:p>
        </w:tc>
        <w:tc>
          <w:tcPr>
            <w:tcW w:w="1036" w:type="dxa"/>
            <w:tcBorders>
              <w:top w:val="nil"/>
              <w:left w:val="single" w:sz="4" w:space="0" w:color="1F497D"/>
              <w:bottom w:val="nil"/>
              <w:right w:val="single" w:sz="4" w:space="0" w:color="1F497D"/>
            </w:tcBorders>
            <w:shd w:val="clear" w:color="auto" w:fill="auto"/>
            <w:noWrap/>
            <w:vAlign w:val="center"/>
          </w:tcPr>
          <w:p w14:paraId="68FA9F1D" w14:textId="4312F3AA" w:rsidR="004C4EF9" w:rsidRPr="009E6D43" w:rsidRDefault="004C4EF9" w:rsidP="004C4EF9">
            <w:pPr>
              <w:tabs>
                <w:tab w:val="decimal" w:pos="481"/>
              </w:tabs>
              <w:ind w:firstLineChars="2" w:firstLine="3"/>
              <w:jc w:val="left"/>
              <w:rPr>
                <w:color w:val="000000"/>
                <w:sz w:val="16"/>
                <w:szCs w:val="16"/>
                <w:highlight w:val="yellow"/>
                <w:lang w:val="es-MX" w:eastAsia="es-MX"/>
              </w:rPr>
            </w:pPr>
            <w:r w:rsidRPr="009E6D43">
              <w:rPr>
                <w:color w:val="000000"/>
                <w:sz w:val="16"/>
                <w:szCs w:val="16"/>
              </w:rPr>
              <w:t>95.4</w:t>
            </w:r>
          </w:p>
        </w:tc>
        <w:tc>
          <w:tcPr>
            <w:tcW w:w="1036" w:type="dxa"/>
            <w:tcBorders>
              <w:top w:val="nil"/>
              <w:left w:val="nil"/>
              <w:bottom w:val="nil"/>
              <w:right w:val="single" w:sz="4" w:space="0" w:color="1F497D"/>
            </w:tcBorders>
            <w:vAlign w:val="center"/>
          </w:tcPr>
          <w:p w14:paraId="71B7021C" w14:textId="4BB007B8"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96.2</w:t>
            </w:r>
          </w:p>
        </w:tc>
        <w:tc>
          <w:tcPr>
            <w:tcW w:w="206" w:type="dxa"/>
            <w:tcBorders>
              <w:top w:val="nil"/>
              <w:left w:val="single" w:sz="4" w:space="0" w:color="1F497D"/>
              <w:bottom w:val="nil"/>
              <w:right w:val="nil"/>
            </w:tcBorders>
            <w:shd w:val="clear" w:color="auto" w:fill="auto"/>
            <w:noWrap/>
            <w:vAlign w:val="center"/>
            <w:hideMark/>
          </w:tcPr>
          <w:p w14:paraId="14D8DF90"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F0566A9" w14:textId="77777777" w:rsidR="004C4EF9" w:rsidRPr="009E6D43" w:rsidRDefault="004C4EF9" w:rsidP="004C4EF9">
            <w:pPr>
              <w:jc w:val="left"/>
              <w:rPr>
                <w:color w:val="000000"/>
                <w:sz w:val="16"/>
                <w:szCs w:val="16"/>
                <w:lang w:val="es-MX" w:eastAsia="es-MX"/>
              </w:rPr>
            </w:pPr>
            <w:r w:rsidRPr="009E6D43">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4048F1" w14:textId="6546653D"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98.1</w:t>
            </w:r>
          </w:p>
        </w:tc>
        <w:tc>
          <w:tcPr>
            <w:tcW w:w="1036" w:type="dxa"/>
            <w:tcBorders>
              <w:top w:val="nil"/>
              <w:left w:val="single" w:sz="4" w:space="0" w:color="1F497D"/>
              <w:bottom w:val="nil"/>
              <w:right w:val="single" w:sz="4" w:space="0" w:color="1F497D"/>
            </w:tcBorders>
            <w:vAlign w:val="center"/>
          </w:tcPr>
          <w:p w14:paraId="563B46CD" w14:textId="10B0A0DA"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98.6</w:t>
            </w:r>
          </w:p>
        </w:tc>
      </w:tr>
      <w:tr w:rsidR="004C4EF9" w:rsidRPr="009E6D43" w14:paraId="62750F62" w14:textId="77777777" w:rsidTr="004C4EF9">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24B978C0" w14:textId="77777777" w:rsidR="004C4EF9" w:rsidRPr="009E6D43" w:rsidRDefault="004C4EF9" w:rsidP="004C4EF9">
            <w:pPr>
              <w:jc w:val="left"/>
              <w:rPr>
                <w:color w:val="000000"/>
                <w:sz w:val="16"/>
                <w:szCs w:val="16"/>
                <w:lang w:val="es-MX" w:eastAsia="es-MX"/>
              </w:rPr>
            </w:pPr>
            <w:r w:rsidRPr="009E6D43">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A5A2D19" w14:textId="1F3BF3A4"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98.5</w:t>
            </w:r>
          </w:p>
        </w:tc>
        <w:tc>
          <w:tcPr>
            <w:tcW w:w="1036" w:type="dxa"/>
            <w:tcBorders>
              <w:top w:val="nil"/>
              <w:left w:val="nil"/>
              <w:bottom w:val="single" w:sz="4" w:space="0" w:color="1F497D"/>
              <w:right w:val="single" w:sz="4" w:space="0" w:color="1F497D"/>
            </w:tcBorders>
            <w:vAlign w:val="center"/>
          </w:tcPr>
          <w:p w14:paraId="7080FFA1" w14:textId="147283EC" w:rsidR="004C4EF9" w:rsidRPr="009E6D43" w:rsidRDefault="004C4EF9" w:rsidP="004C4EF9">
            <w:pPr>
              <w:ind w:firstLineChars="200" w:firstLine="320"/>
              <w:jc w:val="left"/>
              <w:rPr>
                <w:color w:val="000000"/>
                <w:sz w:val="16"/>
                <w:szCs w:val="16"/>
                <w:lang w:val="es-MX" w:eastAsia="es-MX"/>
              </w:rPr>
            </w:pPr>
            <w:r w:rsidRPr="009E6D43">
              <w:rPr>
                <w:color w:val="000000"/>
                <w:sz w:val="16"/>
                <w:szCs w:val="16"/>
              </w:rPr>
              <w:t>96.5</w:t>
            </w:r>
          </w:p>
        </w:tc>
        <w:tc>
          <w:tcPr>
            <w:tcW w:w="206" w:type="dxa"/>
            <w:tcBorders>
              <w:top w:val="nil"/>
              <w:left w:val="single" w:sz="4" w:space="0" w:color="1F497D"/>
              <w:bottom w:val="nil"/>
              <w:right w:val="nil"/>
            </w:tcBorders>
            <w:shd w:val="clear" w:color="auto" w:fill="auto"/>
            <w:noWrap/>
            <w:vAlign w:val="center"/>
            <w:hideMark/>
          </w:tcPr>
          <w:p w14:paraId="1FDBC4E4" w14:textId="77777777" w:rsidR="004C4EF9" w:rsidRPr="009E6D43" w:rsidRDefault="004C4EF9" w:rsidP="004C4EF9">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D1D2CFA" w14:textId="77777777" w:rsidR="004C4EF9" w:rsidRPr="009E6D43" w:rsidRDefault="004C4EF9" w:rsidP="004C4EF9">
            <w:pPr>
              <w:jc w:val="left"/>
              <w:rPr>
                <w:color w:val="000000"/>
                <w:sz w:val="16"/>
                <w:szCs w:val="16"/>
                <w:lang w:val="es-MX" w:eastAsia="es-MX"/>
              </w:rPr>
            </w:pPr>
            <w:r w:rsidRPr="009E6D43">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3535DF7" w14:textId="18B96EC5" w:rsidR="004C4EF9" w:rsidRPr="009E6D43" w:rsidRDefault="004C4EF9" w:rsidP="004C4EF9">
            <w:pPr>
              <w:tabs>
                <w:tab w:val="decimal" w:pos="481"/>
              </w:tabs>
              <w:ind w:firstLineChars="2" w:firstLine="3"/>
              <w:jc w:val="left"/>
              <w:rPr>
                <w:color w:val="000000"/>
                <w:sz w:val="16"/>
                <w:szCs w:val="16"/>
                <w:lang w:val="es-MX" w:eastAsia="es-MX"/>
              </w:rPr>
            </w:pPr>
            <w:r w:rsidRPr="009E6D43">
              <w:rPr>
                <w:color w:val="000000"/>
                <w:sz w:val="16"/>
                <w:szCs w:val="16"/>
              </w:rPr>
              <w:t>97.7</w:t>
            </w:r>
          </w:p>
        </w:tc>
        <w:tc>
          <w:tcPr>
            <w:tcW w:w="1036" w:type="dxa"/>
            <w:tcBorders>
              <w:top w:val="nil"/>
              <w:left w:val="single" w:sz="4" w:space="0" w:color="1F497D"/>
              <w:bottom w:val="single" w:sz="4" w:space="0" w:color="1F497D"/>
              <w:right w:val="single" w:sz="4" w:space="0" w:color="1F497D"/>
            </w:tcBorders>
            <w:vAlign w:val="center"/>
          </w:tcPr>
          <w:p w14:paraId="6048C331" w14:textId="20D65D17" w:rsidR="004C4EF9" w:rsidRPr="009E6D43" w:rsidRDefault="004C4EF9" w:rsidP="004C4EF9">
            <w:pPr>
              <w:tabs>
                <w:tab w:val="decimal" w:pos="481"/>
              </w:tabs>
              <w:ind w:firstLineChars="2" w:firstLine="3"/>
              <w:jc w:val="left"/>
              <w:rPr>
                <w:color w:val="000000"/>
                <w:sz w:val="16"/>
                <w:szCs w:val="16"/>
              </w:rPr>
            </w:pPr>
            <w:r w:rsidRPr="009E6D43">
              <w:rPr>
                <w:color w:val="000000"/>
                <w:sz w:val="16"/>
                <w:szCs w:val="16"/>
              </w:rPr>
              <w:t>96.4</w:t>
            </w:r>
          </w:p>
        </w:tc>
      </w:tr>
    </w:tbl>
    <w:bookmarkEnd w:id="8"/>
    <w:p w14:paraId="5380A66D" w14:textId="37D9DA4B" w:rsidR="000A7223" w:rsidRPr="009E6D43" w:rsidRDefault="002760A4" w:rsidP="001D6242">
      <w:pPr>
        <w:pStyle w:val="n0"/>
        <w:keepLines w:val="0"/>
        <w:spacing w:before="0"/>
        <w:ind w:left="1106" w:right="476" w:hanging="602"/>
        <w:rPr>
          <w:color w:val="auto"/>
          <w:sz w:val="16"/>
          <w:szCs w:val="16"/>
        </w:rPr>
      </w:pPr>
      <w:r w:rsidRPr="009E6D43">
        <w:rPr>
          <w:color w:val="auto"/>
          <w:sz w:val="16"/>
          <w:szCs w:val="16"/>
        </w:rPr>
        <w:t>NS</w:t>
      </w:r>
      <w:r w:rsidR="000A7223" w:rsidRPr="009E6D43">
        <w:rPr>
          <w:color w:val="auto"/>
          <w:sz w:val="16"/>
          <w:szCs w:val="16"/>
        </w:rPr>
        <w:tab/>
        <w:t xml:space="preserve">No </w:t>
      </w:r>
      <w:r w:rsidRPr="009E6D43">
        <w:rPr>
          <w:color w:val="auto"/>
          <w:sz w:val="16"/>
          <w:szCs w:val="16"/>
        </w:rPr>
        <w:t>significativo</w:t>
      </w:r>
      <w:r w:rsidR="000A7223" w:rsidRPr="009E6D43">
        <w:rPr>
          <w:color w:val="auto"/>
          <w:sz w:val="16"/>
          <w:szCs w:val="16"/>
        </w:rPr>
        <w:t>.</w:t>
      </w:r>
    </w:p>
    <w:p w14:paraId="3F792176" w14:textId="5968C31F" w:rsidR="00CC1F59" w:rsidRPr="009E6D43" w:rsidRDefault="00CC1F59" w:rsidP="001D6242">
      <w:pPr>
        <w:pStyle w:val="n0"/>
        <w:keepLines w:val="0"/>
        <w:spacing w:before="0"/>
        <w:ind w:left="1106" w:right="476" w:hanging="602"/>
        <w:rPr>
          <w:color w:val="auto"/>
          <w:sz w:val="16"/>
          <w:szCs w:val="16"/>
        </w:rPr>
      </w:pPr>
      <w:r w:rsidRPr="009E6D43">
        <w:rPr>
          <w:color w:val="auto"/>
          <w:sz w:val="18"/>
          <w:szCs w:val="18"/>
        </w:rPr>
        <w:t>*</w:t>
      </w:r>
      <w:r w:rsidRPr="009E6D43">
        <w:rPr>
          <w:color w:val="auto"/>
          <w:sz w:val="18"/>
          <w:szCs w:val="18"/>
          <w:vertAlign w:val="superscript"/>
        </w:rPr>
        <w:t>/</w:t>
      </w:r>
      <w:r w:rsidR="008731D8" w:rsidRPr="009E6D43">
        <w:rPr>
          <w:color w:val="auto"/>
          <w:sz w:val="18"/>
          <w:szCs w:val="18"/>
          <w:vertAlign w:val="superscript"/>
        </w:rPr>
        <w:tab/>
      </w:r>
      <w:r w:rsidRPr="009E6D43">
        <w:rPr>
          <w:color w:val="auto"/>
          <w:sz w:val="16"/>
          <w:szCs w:val="16"/>
        </w:rPr>
        <w:t>Derivado de</w:t>
      </w:r>
      <w:r w:rsidR="00240423" w:rsidRPr="009E6D43">
        <w:rPr>
          <w:color w:val="auto"/>
          <w:sz w:val="16"/>
          <w:szCs w:val="16"/>
        </w:rPr>
        <w:t>l</w:t>
      </w:r>
      <w:r w:rsidR="00320655" w:rsidRPr="009E6D43">
        <w:rPr>
          <w:color w:val="auto"/>
          <w:sz w:val="16"/>
          <w:szCs w:val="16"/>
        </w:rPr>
        <w:t xml:space="preserve"> </w:t>
      </w:r>
      <w:r w:rsidR="00253A34" w:rsidRPr="009E6D43">
        <w:rPr>
          <w:color w:val="auto"/>
          <w:sz w:val="16"/>
          <w:szCs w:val="16"/>
        </w:rPr>
        <w:t>impacto d</w:t>
      </w:r>
      <w:r w:rsidRPr="009E6D43">
        <w:rPr>
          <w:color w:val="auto"/>
          <w:sz w:val="16"/>
          <w:szCs w:val="16"/>
        </w:rPr>
        <w:t xml:space="preserve">el huracán Otis en el estado de Guerrero, </w:t>
      </w:r>
      <w:r w:rsidR="00253A34" w:rsidRPr="009E6D43">
        <w:rPr>
          <w:color w:val="auto"/>
          <w:sz w:val="16"/>
          <w:szCs w:val="16"/>
        </w:rPr>
        <w:t xml:space="preserve">se </w:t>
      </w:r>
      <w:r w:rsidR="00CF65DE" w:rsidRPr="009E6D43">
        <w:rPr>
          <w:color w:val="auto"/>
          <w:sz w:val="16"/>
          <w:szCs w:val="16"/>
        </w:rPr>
        <w:t>posterg</w:t>
      </w:r>
      <w:r w:rsidR="00253A34" w:rsidRPr="009E6D43">
        <w:rPr>
          <w:color w:val="auto"/>
          <w:sz w:val="16"/>
          <w:szCs w:val="16"/>
        </w:rPr>
        <w:t>ó</w:t>
      </w:r>
      <w:r w:rsidR="00CF65DE" w:rsidRPr="009E6D43">
        <w:rPr>
          <w:color w:val="auto"/>
          <w:sz w:val="16"/>
          <w:szCs w:val="16"/>
        </w:rPr>
        <w:t xml:space="preserve"> la captación </w:t>
      </w:r>
      <w:r w:rsidR="00912580" w:rsidRPr="009E6D43">
        <w:rPr>
          <w:color w:val="auto"/>
          <w:sz w:val="16"/>
          <w:szCs w:val="16"/>
        </w:rPr>
        <w:t xml:space="preserve">de </w:t>
      </w:r>
      <w:r w:rsidR="00BD32A0">
        <w:rPr>
          <w:color w:val="auto"/>
          <w:sz w:val="16"/>
          <w:szCs w:val="16"/>
        </w:rPr>
        <w:t xml:space="preserve">datos </w:t>
      </w:r>
      <w:r w:rsidR="00253A34" w:rsidRPr="009E6D43">
        <w:rPr>
          <w:color w:val="auto"/>
          <w:sz w:val="16"/>
          <w:szCs w:val="16"/>
        </w:rPr>
        <w:t>en esta entidad</w:t>
      </w:r>
      <w:r w:rsidR="000B1E95">
        <w:rPr>
          <w:color w:val="auto"/>
          <w:sz w:val="16"/>
          <w:szCs w:val="16"/>
        </w:rPr>
        <w:t xml:space="preserve"> mediante </w:t>
      </w:r>
      <w:r w:rsidR="00912580" w:rsidRPr="009E6D43">
        <w:rPr>
          <w:color w:val="auto"/>
          <w:sz w:val="16"/>
          <w:szCs w:val="16"/>
        </w:rPr>
        <w:t>encuestas en hogares, como es el</w:t>
      </w:r>
      <w:r w:rsidR="00253A34" w:rsidRPr="009E6D43">
        <w:rPr>
          <w:color w:val="auto"/>
          <w:sz w:val="16"/>
          <w:szCs w:val="16"/>
        </w:rPr>
        <w:t xml:space="preserve"> </w:t>
      </w:r>
      <w:r w:rsidR="00912580" w:rsidRPr="009E6D43">
        <w:rPr>
          <w:color w:val="auto"/>
          <w:sz w:val="16"/>
          <w:szCs w:val="16"/>
        </w:rPr>
        <w:t xml:space="preserve">caso </w:t>
      </w:r>
      <w:r w:rsidRPr="009E6D43">
        <w:rPr>
          <w:color w:val="auto"/>
          <w:sz w:val="16"/>
          <w:szCs w:val="16"/>
        </w:rPr>
        <w:t xml:space="preserve">de </w:t>
      </w:r>
      <w:r w:rsidR="00240423" w:rsidRPr="009E6D43">
        <w:rPr>
          <w:color w:val="auto"/>
          <w:sz w:val="16"/>
          <w:szCs w:val="16"/>
        </w:rPr>
        <w:t xml:space="preserve">la </w:t>
      </w:r>
      <w:proofErr w:type="spellStart"/>
      <w:r w:rsidRPr="009E6D43">
        <w:rPr>
          <w:smallCaps/>
          <w:color w:val="auto"/>
          <w:sz w:val="16"/>
          <w:szCs w:val="16"/>
        </w:rPr>
        <w:t>enoe</w:t>
      </w:r>
      <w:proofErr w:type="spellEnd"/>
      <w:r w:rsidRPr="009E6D43">
        <w:rPr>
          <w:color w:val="auto"/>
          <w:sz w:val="16"/>
          <w:szCs w:val="16"/>
        </w:rPr>
        <w:t xml:space="preserve">. </w:t>
      </w:r>
      <w:r w:rsidR="00165DD6" w:rsidRPr="009E6D43">
        <w:rPr>
          <w:color w:val="auto"/>
          <w:sz w:val="16"/>
          <w:szCs w:val="16"/>
        </w:rPr>
        <w:t xml:space="preserve">En diciembre </w:t>
      </w:r>
      <w:r w:rsidR="00240423" w:rsidRPr="009E6D43">
        <w:rPr>
          <w:color w:val="auto"/>
          <w:sz w:val="16"/>
          <w:szCs w:val="16"/>
        </w:rPr>
        <w:t>de 2023</w:t>
      </w:r>
      <w:r w:rsidR="00240423" w:rsidRPr="0024354E">
        <w:rPr>
          <w:color w:val="auto"/>
          <w:sz w:val="16"/>
          <w:szCs w:val="16"/>
        </w:rPr>
        <w:t>,</w:t>
      </w:r>
      <w:r w:rsidR="00240423" w:rsidRPr="009E6D43">
        <w:rPr>
          <w:color w:val="auto"/>
          <w:sz w:val="16"/>
          <w:szCs w:val="16"/>
        </w:rPr>
        <w:t xml:space="preserve"> </w:t>
      </w:r>
      <w:r w:rsidR="00165DD6" w:rsidRPr="009E6D43">
        <w:rPr>
          <w:color w:val="auto"/>
          <w:sz w:val="16"/>
          <w:szCs w:val="16"/>
        </w:rPr>
        <w:t>se retomó el levantamiento de información, sin embargo, las viviendas con entrevista completa no tuvieron una distribución homogénea a lo largo de la entidad</w:t>
      </w:r>
      <w:r w:rsidR="000B1E95">
        <w:rPr>
          <w:color w:val="auto"/>
          <w:sz w:val="16"/>
          <w:szCs w:val="16"/>
        </w:rPr>
        <w:t xml:space="preserve">. Por esta razón, </w:t>
      </w:r>
      <w:r w:rsidR="00165DD6" w:rsidRPr="009E6D43">
        <w:rPr>
          <w:color w:val="auto"/>
          <w:sz w:val="16"/>
          <w:szCs w:val="16"/>
        </w:rPr>
        <w:t>no se cuenta con una estimación con suficiente calidad estadística para Guerre</w:t>
      </w:r>
      <w:r w:rsidR="007D6127" w:rsidRPr="009E6D43">
        <w:rPr>
          <w:color w:val="auto"/>
          <w:sz w:val="16"/>
          <w:szCs w:val="16"/>
        </w:rPr>
        <w:t>r</w:t>
      </w:r>
      <w:r w:rsidR="00165DD6" w:rsidRPr="009E6D43">
        <w:rPr>
          <w:color w:val="auto"/>
          <w:sz w:val="16"/>
          <w:szCs w:val="16"/>
        </w:rPr>
        <w:t>o</w:t>
      </w:r>
      <w:r w:rsidR="00CE5291">
        <w:rPr>
          <w:color w:val="auto"/>
          <w:sz w:val="16"/>
          <w:szCs w:val="16"/>
        </w:rPr>
        <w:t xml:space="preserve"> y se </w:t>
      </w:r>
      <w:r w:rsidR="00165DD6" w:rsidRPr="009E6D43">
        <w:rPr>
          <w:color w:val="auto"/>
          <w:sz w:val="16"/>
          <w:szCs w:val="16"/>
        </w:rPr>
        <w:t>omite su resultado</w:t>
      </w:r>
      <w:r w:rsidRPr="009E6D43">
        <w:rPr>
          <w:color w:val="auto"/>
          <w:sz w:val="16"/>
          <w:szCs w:val="16"/>
        </w:rPr>
        <w:t>.</w:t>
      </w:r>
    </w:p>
    <w:p w14:paraId="3FDC019C" w14:textId="69B50C1A" w:rsidR="00B8592D" w:rsidRPr="009E6D43" w:rsidRDefault="00B8592D" w:rsidP="008F56E8">
      <w:pPr>
        <w:pStyle w:val="n0"/>
        <w:keepLines w:val="0"/>
        <w:spacing w:before="0"/>
        <w:ind w:left="1106" w:right="476" w:hanging="602"/>
        <w:rPr>
          <w:color w:val="auto"/>
          <w:sz w:val="16"/>
          <w:szCs w:val="16"/>
        </w:rPr>
      </w:pPr>
      <w:r w:rsidRPr="009E6D43">
        <w:rPr>
          <w:color w:val="auto"/>
          <w:sz w:val="16"/>
          <w:szCs w:val="16"/>
        </w:rPr>
        <w:t>Fuente:</w:t>
      </w:r>
      <w:r w:rsidR="008731D8" w:rsidRPr="009E6D43">
        <w:rPr>
          <w:color w:val="auto"/>
          <w:sz w:val="16"/>
          <w:szCs w:val="16"/>
        </w:rPr>
        <w:tab/>
      </w:r>
      <w:proofErr w:type="spellStart"/>
      <w:r w:rsidR="00335F8A" w:rsidRPr="009E6D43">
        <w:rPr>
          <w:smallCaps/>
          <w:color w:val="auto"/>
          <w:sz w:val="16"/>
          <w:szCs w:val="16"/>
        </w:rPr>
        <w:t>inegi</w:t>
      </w:r>
      <w:proofErr w:type="spellEnd"/>
      <w:r w:rsidR="008B31D8" w:rsidRPr="009E6D43">
        <w:rPr>
          <w:color w:val="auto"/>
          <w:sz w:val="16"/>
          <w:szCs w:val="16"/>
        </w:rPr>
        <w:t xml:space="preserve">. </w:t>
      </w:r>
      <w:proofErr w:type="spellStart"/>
      <w:r w:rsidR="00335F8A" w:rsidRPr="009E6D43">
        <w:rPr>
          <w:smallCaps/>
          <w:color w:val="auto"/>
          <w:sz w:val="16"/>
          <w:szCs w:val="16"/>
        </w:rPr>
        <w:t>enoe</w:t>
      </w:r>
      <w:r w:rsidR="00335F8A" w:rsidRPr="009E6D43">
        <w:rPr>
          <w:smallCaps/>
          <w:color w:val="auto"/>
          <w:sz w:val="16"/>
          <w:szCs w:val="16"/>
          <w:vertAlign w:val="superscript"/>
        </w:rPr>
        <w:t>n</w:t>
      </w:r>
      <w:proofErr w:type="spellEnd"/>
      <w:r w:rsidR="008A7DDE" w:rsidRPr="009E6D43">
        <w:rPr>
          <w:color w:val="auto"/>
          <w:sz w:val="16"/>
          <w:szCs w:val="16"/>
        </w:rPr>
        <w:t>, 2022</w:t>
      </w:r>
      <w:r w:rsidR="008B31D8" w:rsidRPr="009E6D43">
        <w:rPr>
          <w:color w:val="auto"/>
          <w:sz w:val="16"/>
          <w:szCs w:val="16"/>
        </w:rPr>
        <w:t>.</w:t>
      </w:r>
      <w:r w:rsidR="00001DF8" w:rsidRPr="009E6D43">
        <w:rPr>
          <w:color w:val="auto"/>
          <w:sz w:val="16"/>
          <w:szCs w:val="16"/>
        </w:rPr>
        <w:t xml:space="preserve"> </w:t>
      </w:r>
      <w:proofErr w:type="spellStart"/>
      <w:r w:rsidR="00335F8A" w:rsidRPr="009E6D43">
        <w:rPr>
          <w:smallCaps/>
          <w:color w:val="auto"/>
          <w:sz w:val="16"/>
          <w:szCs w:val="16"/>
        </w:rPr>
        <w:t>enoe</w:t>
      </w:r>
      <w:proofErr w:type="spellEnd"/>
      <w:r w:rsidR="008A7DDE" w:rsidRPr="009E6D43">
        <w:rPr>
          <w:color w:val="auto"/>
          <w:sz w:val="16"/>
          <w:szCs w:val="16"/>
        </w:rPr>
        <w:t>, 2023</w:t>
      </w:r>
      <w:r w:rsidR="008B31D8" w:rsidRPr="009E6D43">
        <w:rPr>
          <w:color w:val="auto"/>
          <w:sz w:val="16"/>
          <w:szCs w:val="16"/>
        </w:rPr>
        <w:t>.</w:t>
      </w:r>
    </w:p>
    <w:p w14:paraId="7636A3CC" w14:textId="77777777" w:rsidR="00624475" w:rsidRPr="009E6D43" w:rsidRDefault="00624475" w:rsidP="00737E1C">
      <w:pPr>
        <w:pStyle w:val="Prrafodelista"/>
        <w:widowControl w:val="0"/>
        <w:spacing w:before="360"/>
        <w:ind w:left="284"/>
        <w:rPr>
          <w:b/>
          <w:iCs/>
          <w:lang w:val="es-ES"/>
        </w:rPr>
      </w:pPr>
      <w:r w:rsidRPr="009E6D43">
        <w:rPr>
          <w:b/>
          <w:iCs/>
          <w:lang w:val="es-ES"/>
        </w:rPr>
        <w:t xml:space="preserve">Indicadores de la población </w:t>
      </w:r>
      <w:proofErr w:type="spellStart"/>
      <w:r w:rsidRPr="009E6D43">
        <w:rPr>
          <w:b/>
          <w:iCs/>
          <w:lang w:val="es-ES"/>
        </w:rPr>
        <w:t>subocupada</w:t>
      </w:r>
      <w:proofErr w:type="spellEnd"/>
    </w:p>
    <w:p w14:paraId="7DA5EFAA" w14:textId="68AEFE10" w:rsidR="00A9022A" w:rsidRPr="009E6D43" w:rsidRDefault="00624475" w:rsidP="00A9022A">
      <w:pPr>
        <w:widowControl w:val="0"/>
        <w:spacing w:before="240"/>
        <w:ind w:right="51"/>
      </w:pPr>
      <w:r w:rsidRPr="009E6D43">
        <w:rPr>
          <w:lang w:val="es-ES"/>
        </w:rPr>
        <w:t>La</w:t>
      </w:r>
      <w:r w:rsidRPr="009E6D43">
        <w:t xml:space="preserve"> información de la </w:t>
      </w:r>
      <w:proofErr w:type="spellStart"/>
      <w:r w:rsidR="00335F8A" w:rsidRPr="009E6D43">
        <w:rPr>
          <w:smallCaps/>
        </w:rPr>
        <w:t>enoe</w:t>
      </w:r>
      <w:proofErr w:type="spellEnd"/>
      <w:r w:rsidR="00D73246" w:rsidRPr="009E6D43">
        <w:t xml:space="preserve"> </w:t>
      </w:r>
      <w:r w:rsidRPr="009E6D43">
        <w:t>para</w:t>
      </w:r>
      <w:r w:rsidR="00003E42" w:rsidRPr="009E6D43">
        <w:t xml:space="preserve"> </w:t>
      </w:r>
      <w:r w:rsidR="000E2871" w:rsidRPr="009E6D43">
        <w:t>dic</w:t>
      </w:r>
      <w:r w:rsidR="00C47740" w:rsidRPr="009E6D43">
        <w:t>iembre</w:t>
      </w:r>
      <w:r w:rsidR="00003E42" w:rsidRPr="009E6D43">
        <w:t xml:space="preserve"> </w:t>
      </w:r>
      <w:r w:rsidRPr="009E6D43">
        <w:t>de</w:t>
      </w:r>
      <w:r w:rsidR="00BC7BC3" w:rsidRPr="009E6D43">
        <w:t xml:space="preserve"> 202</w:t>
      </w:r>
      <w:r w:rsidR="00D73246" w:rsidRPr="009E6D43">
        <w:t>3</w:t>
      </w:r>
      <w:r w:rsidRPr="009E6D43">
        <w:t xml:space="preserve"> muestra que la población </w:t>
      </w:r>
      <w:proofErr w:type="spellStart"/>
      <w:r w:rsidRPr="009E6D43">
        <w:t>subocupada</w:t>
      </w:r>
      <w:proofErr w:type="spellEnd"/>
      <w:r w:rsidR="003902F4" w:rsidRPr="009E6D43">
        <w:rPr>
          <w:szCs w:val="23"/>
          <w:vertAlign w:val="superscript"/>
        </w:rPr>
        <w:footnoteReference w:id="8"/>
      </w:r>
      <w:r w:rsidRPr="009E6D43">
        <w:t xml:space="preserve"> fue de </w:t>
      </w:r>
      <w:r w:rsidR="00003E42" w:rsidRPr="009E6D43">
        <w:t>4.</w:t>
      </w:r>
      <w:r w:rsidR="001662AE" w:rsidRPr="009E6D43">
        <w:t>5</w:t>
      </w:r>
      <w:r w:rsidRPr="009E6D43">
        <w:t xml:space="preserve"> millones de personas,</w:t>
      </w:r>
      <w:r w:rsidR="009250E9" w:rsidRPr="009E6D43">
        <w:t xml:space="preserve"> </w:t>
      </w:r>
      <w:r w:rsidR="001662AE" w:rsidRPr="009E6D43">
        <w:t>309</w:t>
      </w:r>
      <w:r w:rsidR="009250E9" w:rsidRPr="009E6D43">
        <w:t> </w:t>
      </w:r>
      <w:r w:rsidRPr="009E6D43">
        <w:t>mi</w:t>
      </w:r>
      <w:r w:rsidR="00D73246" w:rsidRPr="009E6D43">
        <w:t>l</w:t>
      </w:r>
      <w:r w:rsidRPr="009E6D43">
        <w:t xml:space="preserve"> </w:t>
      </w:r>
      <w:r w:rsidR="004171E9" w:rsidRPr="009E6D43">
        <w:t>m</w:t>
      </w:r>
      <w:r w:rsidR="00493692" w:rsidRPr="009E6D43">
        <w:t>á</w:t>
      </w:r>
      <w:r w:rsidR="004171E9" w:rsidRPr="009E6D43">
        <w:t xml:space="preserve">s </w:t>
      </w:r>
      <w:r w:rsidR="00E47E8D" w:rsidRPr="009E6D43">
        <w:t xml:space="preserve">que </w:t>
      </w:r>
      <w:r w:rsidR="00232EAF" w:rsidRPr="009E6D43">
        <w:t xml:space="preserve">en </w:t>
      </w:r>
      <w:r w:rsidR="00DF636E" w:rsidRPr="009E6D43">
        <w:t>el mismo mes</w:t>
      </w:r>
      <w:r w:rsidR="00232EAF" w:rsidRPr="009E6D43">
        <w:t xml:space="preserve"> </w:t>
      </w:r>
      <w:r w:rsidRPr="009E6D43">
        <w:t xml:space="preserve">de </w:t>
      </w:r>
      <w:r w:rsidR="005E41AB" w:rsidRPr="009E6D43">
        <w:t>202</w:t>
      </w:r>
      <w:r w:rsidR="00D73246" w:rsidRPr="009E6D43">
        <w:t>2</w:t>
      </w:r>
      <w:r w:rsidR="00690C6E" w:rsidRPr="009E6D43">
        <w:t xml:space="preserve">. La tasa </w:t>
      </w:r>
      <w:r w:rsidR="00A06AC3" w:rsidRPr="009E6D43">
        <w:rPr>
          <w:color w:val="000000" w:themeColor="text1"/>
        </w:rPr>
        <w:t xml:space="preserve">de subocupación </w:t>
      </w:r>
      <w:r w:rsidR="00690C6E" w:rsidRPr="009E6D43">
        <w:t xml:space="preserve">fue de </w:t>
      </w:r>
      <w:r w:rsidR="001662AE" w:rsidRPr="009E6D43">
        <w:t>7.6</w:t>
      </w:r>
      <w:r w:rsidR="00520FC0" w:rsidRPr="009E6D43">
        <w:t> %</w:t>
      </w:r>
      <w:r w:rsidR="00690C6E" w:rsidRPr="009E6D43">
        <w:t xml:space="preserve"> de la población ocupada, porcentaje </w:t>
      </w:r>
      <w:r w:rsidR="00EB09B9" w:rsidRPr="009E6D43">
        <w:t>mayor al 7.</w:t>
      </w:r>
      <w:r w:rsidR="001662AE" w:rsidRPr="009E6D43">
        <w:t>3</w:t>
      </w:r>
      <w:r w:rsidR="00EF22BA" w:rsidRPr="009E6D43">
        <w:t> </w:t>
      </w:r>
      <w:r w:rsidR="00EB09B9" w:rsidRPr="009E6D43">
        <w:t xml:space="preserve">% </w:t>
      </w:r>
      <w:r w:rsidR="00137105" w:rsidRPr="009E6D43">
        <w:t>registrado</w:t>
      </w:r>
      <w:r w:rsidR="001D4F24" w:rsidRPr="009E6D43">
        <w:t xml:space="preserve"> </w:t>
      </w:r>
      <w:r w:rsidR="00DF636E" w:rsidRPr="009E6D43">
        <w:t xml:space="preserve">en </w:t>
      </w:r>
      <w:r w:rsidR="001662AE" w:rsidRPr="009E6D43">
        <w:t>dic</w:t>
      </w:r>
      <w:r w:rsidR="00DF636E" w:rsidRPr="009E6D43">
        <w:t>iembre de 2022.</w:t>
      </w:r>
      <w:r w:rsidR="00A9022A" w:rsidRPr="009E6D43">
        <w:rPr>
          <w:color w:val="000000" w:themeColor="text1"/>
        </w:rPr>
        <w:t xml:space="preserve"> Al distinguir por sexo, en el mes de referencia, la tasa </w:t>
      </w:r>
      <w:r w:rsidR="009A16FA" w:rsidRPr="009E6D43">
        <w:t>correspondiente</w:t>
      </w:r>
      <w:r w:rsidR="009A16FA" w:rsidRPr="009E6D43">
        <w:rPr>
          <w:color w:val="000000" w:themeColor="text1"/>
        </w:rPr>
        <w:t xml:space="preserve"> </w:t>
      </w:r>
      <w:r w:rsidR="00A9022A" w:rsidRPr="009E6D43">
        <w:rPr>
          <w:color w:val="000000" w:themeColor="text1"/>
        </w:rPr>
        <w:t xml:space="preserve">en los hombres </w:t>
      </w:r>
      <w:r w:rsidR="001662AE" w:rsidRPr="009E6D43">
        <w:rPr>
          <w:color w:val="000000" w:themeColor="text1"/>
        </w:rPr>
        <w:t xml:space="preserve">fue de 8.1 % </w:t>
      </w:r>
      <w:r w:rsidR="00A9022A" w:rsidRPr="009E6D43">
        <w:rPr>
          <w:color w:val="000000" w:themeColor="text1"/>
        </w:rPr>
        <w:t>y en las mujeres</w:t>
      </w:r>
      <w:r w:rsidR="001662AE" w:rsidRPr="009E6D43">
        <w:rPr>
          <w:color w:val="000000" w:themeColor="text1"/>
        </w:rPr>
        <w:t>,</w:t>
      </w:r>
      <w:r w:rsidR="00A9022A" w:rsidRPr="009E6D43">
        <w:rPr>
          <w:color w:val="000000" w:themeColor="text1"/>
        </w:rPr>
        <w:t xml:space="preserve"> de </w:t>
      </w:r>
      <w:r w:rsidR="001662AE" w:rsidRPr="009E6D43">
        <w:rPr>
          <w:color w:val="000000" w:themeColor="text1"/>
        </w:rPr>
        <w:t>6.9</w:t>
      </w:r>
      <w:r w:rsidR="008F56E8" w:rsidRPr="009E6D43">
        <w:rPr>
          <w:color w:val="000000" w:themeColor="text1"/>
        </w:rPr>
        <w:t xml:space="preserve"> por ciento</w:t>
      </w:r>
      <w:r w:rsidR="00A9022A" w:rsidRPr="009E6D43">
        <w:rPr>
          <w:color w:val="000000" w:themeColor="text1"/>
        </w:rPr>
        <w:t>.</w:t>
      </w:r>
    </w:p>
    <w:p w14:paraId="6D7EAA27" w14:textId="77777777" w:rsidR="007E7BDA" w:rsidRPr="009E6D43" w:rsidRDefault="007E7BDA">
      <w:pPr>
        <w:jc w:val="left"/>
        <w:rPr>
          <w:sz w:val="20"/>
        </w:rPr>
      </w:pPr>
      <w:r w:rsidRPr="009E6D43">
        <w:rPr>
          <w:sz w:val="20"/>
        </w:rPr>
        <w:br w:type="page"/>
      </w:r>
    </w:p>
    <w:p w14:paraId="2F5281F2" w14:textId="77777777" w:rsidR="007F7A8E" w:rsidRPr="009E6D43" w:rsidRDefault="007F7A8E" w:rsidP="007F7A8E">
      <w:pPr>
        <w:pStyle w:val="n0"/>
        <w:keepLines w:val="0"/>
        <w:ind w:left="0" w:right="0" w:firstLine="0"/>
        <w:jc w:val="center"/>
        <w:rPr>
          <w:color w:val="auto"/>
          <w:sz w:val="20"/>
        </w:rPr>
      </w:pPr>
      <w:r w:rsidRPr="009E6D43">
        <w:rPr>
          <w:color w:val="auto"/>
          <w:sz w:val="20"/>
        </w:rPr>
        <w:lastRenderedPageBreak/>
        <w:t xml:space="preserve">Gráfica </w:t>
      </w:r>
      <w:r w:rsidR="00C54EA0" w:rsidRPr="009E6D43">
        <w:rPr>
          <w:color w:val="auto"/>
          <w:sz w:val="20"/>
        </w:rPr>
        <w:t>3</w:t>
      </w:r>
    </w:p>
    <w:p w14:paraId="6B684999" w14:textId="77777777" w:rsidR="003671CE" w:rsidRPr="009E6D43" w:rsidRDefault="00367389" w:rsidP="003671CE">
      <w:pPr>
        <w:pStyle w:val="Ttulo"/>
        <w:rPr>
          <w:rFonts w:cs="Arial"/>
          <w:smallCaps/>
          <w:sz w:val="22"/>
        </w:rPr>
      </w:pPr>
      <w:r w:rsidRPr="009E6D43">
        <w:rPr>
          <w:rFonts w:cs="Arial"/>
          <w:smallCaps/>
          <w:sz w:val="22"/>
        </w:rPr>
        <w:t>S</w:t>
      </w:r>
      <w:r w:rsidR="007F7A8E" w:rsidRPr="009E6D43">
        <w:rPr>
          <w:rFonts w:cs="Arial"/>
          <w:smallCaps/>
          <w:sz w:val="22"/>
        </w:rPr>
        <w:t>ubocupación</w:t>
      </w:r>
      <w:r w:rsidR="0087053C" w:rsidRPr="009E6D43">
        <w:rPr>
          <w:rFonts w:cs="Arial"/>
          <w:smallCaps/>
          <w:sz w:val="22"/>
        </w:rPr>
        <w:t xml:space="preserve"> según sexo</w:t>
      </w:r>
      <w:r w:rsidR="007F7A8E" w:rsidRPr="009E6D43">
        <w:rPr>
          <w:rFonts w:cs="Arial"/>
          <w:smallCaps/>
          <w:sz w:val="22"/>
        </w:rPr>
        <w:t xml:space="preserve"> </w:t>
      </w:r>
    </w:p>
    <w:p w14:paraId="74A321B0" w14:textId="36E7EA61" w:rsidR="003671CE" w:rsidRPr="009E6D43" w:rsidRDefault="00DF636E" w:rsidP="003671CE">
      <w:pPr>
        <w:pStyle w:val="Ttulo"/>
        <w:rPr>
          <w:rFonts w:cs="Arial"/>
          <w:b w:val="0"/>
          <w:sz w:val="20"/>
          <w:lang w:val="es-MX"/>
        </w:rPr>
      </w:pPr>
      <w:r w:rsidRPr="009E6D43">
        <w:rPr>
          <w:rFonts w:cs="Arial"/>
          <w:b w:val="0"/>
          <w:sz w:val="20"/>
        </w:rPr>
        <w:t>dic</w:t>
      </w:r>
      <w:r w:rsidR="004C32C5" w:rsidRPr="009E6D43">
        <w:rPr>
          <w:rFonts w:cs="Arial"/>
          <w:b w:val="0"/>
          <w:sz w:val="20"/>
        </w:rPr>
        <w:t>iembre</w:t>
      </w:r>
      <w:r w:rsidR="003671CE" w:rsidRPr="009E6D43">
        <w:rPr>
          <w:rFonts w:cs="Arial"/>
          <w:b w:val="0"/>
          <w:sz w:val="20"/>
        </w:rPr>
        <w:t xml:space="preserve"> de 2022 y 2023</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02223F" w:rsidRPr="009E6D43" w14:paraId="74BA9D2A" w14:textId="77777777" w:rsidTr="00FA3BD6">
        <w:trPr>
          <w:jc w:val="center"/>
        </w:trPr>
        <w:tc>
          <w:tcPr>
            <w:tcW w:w="4987" w:type="dxa"/>
          </w:tcPr>
          <w:p w14:paraId="13E0EBFB" w14:textId="77777777" w:rsidR="0002223F" w:rsidRPr="009E6D43"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9E6D43">
              <w:rPr>
                <w:rFonts w:ascii="Arial" w:hAnsi="Arial" w:cs="Arial"/>
                <w:b/>
                <w:smallCaps/>
                <w:sz w:val="20"/>
                <w:szCs w:val="18"/>
                <w:lang w:val="es-MX"/>
              </w:rPr>
              <w:t xml:space="preserve">Población </w:t>
            </w:r>
            <w:proofErr w:type="spellStart"/>
            <w:r w:rsidRPr="009E6D43">
              <w:rPr>
                <w:rFonts w:ascii="Arial" w:hAnsi="Arial" w:cs="Arial"/>
                <w:b/>
                <w:smallCaps/>
                <w:sz w:val="20"/>
                <w:szCs w:val="18"/>
                <w:lang w:val="es-MX"/>
              </w:rPr>
              <w:t>subocupada</w:t>
            </w:r>
            <w:proofErr w:type="spellEnd"/>
          </w:p>
        </w:tc>
        <w:tc>
          <w:tcPr>
            <w:tcW w:w="4987" w:type="dxa"/>
          </w:tcPr>
          <w:p w14:paraId="36C9BF3F" w14:textId="77777777" w:rsidR="0002223F" w:rsidRPr="009E6D43"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9E6D43">
              <w:rPr>
                <w:rFonts w:ascii="Arial" w:hAnsi="Arial" w:cs="Arial"/>
                <w:b/>
                <w:smallCaps/>
                <w:sz w:val="20"/>
                <w:szCs w:val="18"/>
                <w:lang w:val="es-MX"/>
              </w:rPr>
              <w:t>Tasa de subocupación</w:t>
            </w:r>
          </w:p>
        </w:tc>
      </w:tr>
      <w:tr w:rsidR="0002223F" w:rsidRPr="009E6D43" w14:paraId="04FB934C" w14:textId="77777777" w:rsidTr="00FA3BD6">
        <w:trPr>
          <w:jc w:val="center"/>
        </w:trPr>
        <w:tc>
          <w:tcPr>
            <w:tcW w:w="4987" w:type="dxa"/>
          </w:tcPr>
          <w:p w14:paraId="362C46D3" w14:textId="38E4F439" w:rsidR="0002223F" w:rsidRPr="009E6D43"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sidRPr="009E6D43">
              <w:rPr>
                <w:rFonts w:ascii="Arial" w:hAnsi="Arial" w:cs="Arial"/>
                <w:sz w:val="18"/>
                <w:szCs w:val="18"/>
                <w:lang w:val="es-MX"/>
              </w:rPr>
              <w:t>(</w:t>
            </w:r>
            <w:r w:rsidR="00335F8A" w:rsidRPr="009E6D43">
              <w:rPr>
                <w:rFonts w:ascii="Arial" w:hAnsi="Arial" w:cs="Arial"/>
                <w:sz w:val="18"/>
                <w:szCs w:val="18"/>
                <w:lang w:val="es-MX"/>
              </w:rPr>
              <w:t>m</w:t>
            </w:r>
            <w:r w:rsidRPr="009E6D43">
              <w:rPr>
                <w:rFonts w:ascii="Arial" w:hAnsi="Arial" w:cs="Arial"/>
                <w:sz w:val="18"/>
                <w:szCs w:val="18"/>
                <w:lang w:val="es-MX"/>
              </w:rPr>
              <w:t>illones de personas)</w:t>
            </w:r>
          </w:p>
        </w:tc>
        <w:tc>
          <w:tcPr>
            <w:tcW w:w="4987" w:type="dxa"/>
          </w:tcPr>
          <w:p w14:paraId="5BA5DC26" w14:textId="3C3488C5" w:rsidR="0002223F" w:rsidRPr="009E6D43"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sidRPr="009E6D43">
              <w:rPr>
                <w:rFonts w:ascii="Arial" w:hAnsi="Arial" w:cs="Arial"/>
                <w:sz w:val="18"/>
                <w:szCs w:val="18"/>
                <w:lang w:val="es-MX"/>
              </w:rPr>
              <w:t>(</w:t>
            </w:r>
            <w:r w:rsidR="00335F8A" w:rsidRPr="009E6D43">
              <w:rPr>
                <w:rFonts w:ascii="Arial" w:hAnsi="Arial" w:cs="Arial"/>
                <w:sz w:val="18"/>
                <w:szCs w:val="18"/>
                <w:lang w:val="es-MX"/>
              </w:rPr>
              <w:t>p</w:t>
            </w:r>
            <w:r w:rsidRPr="009E6D43">
              <w:rPr>
                <w:rFonts w:ascii="Arial" w:hAnsi="Arial" w:cs="Arial"/>
                <w:sz w:val="18"/>
                <w:szCs w:val="18"/>
                <w:lang w:val="es-MX"/>
              </w:rPr>
              <w:t xml:space="preserve">orcentaje </w:t>
            </w:r>
            <w:r w:rsidR="00E02E94" w:rsidRPr="009E6D43">
              <w:rPr>
                <w:rFonts w:ascii="Arial" w:hAnsi="Arial" w:cs="Arial"/>
                <w:sz w:val="18"/>
                <w:szCs w:val="18"/>
                <w:lang w:val="es-MX"/>
              </w:rPr>
              <w:t>respecto a</w:t>
            </w:r>
            <w:r w:rsidRPr="009E6D43">
              <w:rPr>
                <w:rFonts w:ascii="Arial" w:hAnsi="Arial" w:cs="Arial"/>
                <w:sz w:val="18"/>
                <w:szCs w:val="18"/>
                <w:lang w:val="es-MX"/>
              </w:rPr>
              <w:t xml:space="preserve"> la </w:t>
            </w:r>
            <w:proofErr w:type="spellStart"/>
            <w:r w:rsidR="00335F8A" w:rsidRPr="009E6D43">
              <w:rPr>
                <w:rFonts w:ascii="Arial" w:hAnsi="Arial" w:cs="Arial"/>
                <w:smallCaps/>
                <w:sz w:val="18"/>
                <w:szCs w:val="18"/>
                <w:lang w:val="es-MX"/>
              </w:rPr>
              <w:t>po</w:t>
            </w:r>
            <w:proofErr w:type="spellEnd"/>
            <w:r w:rsidRPr="009E6D43">
              <w:rPr>
                <w:rFonts w:ascii="Arial" w:hAnsi="Arial" w:cs="Arial"/>
                <w:sz w:val="18"/>
                <w:szCs w:val="18"/>
                <w:lang w:val="es-MX"/>
              </w:rPr>
              <w:t>)</w:t>
            </w:r>
          </w:p>
        </w:tc>
      </w:tr>
      <w:tr w:rsidR="0002223F" w:rsidRPr="009E6D43" w14:paraId="7E8E14A4" w14:textId="77777777" w:rsidTr="002760A4">
        <w:tblPrEx>
          <w:tblCellMar>
            <w:left w:w="70" w:type="dxa"/>
            <w:right w:w="70" w:type="dxa"/>
          </w:tblCellMar>
        </w:tblPrEx>
        <w:trPr>
          <w:trHeight w:val="3006"/>
          <w:jc w:val="center"/>
        </w:trPr>
        <w:tc>
          <w:tcPr>
            <w:tcW w:w="4987" w:type="dxa"/>
            <w:shd w:val="clear" w:color="auto" w:fill="auto"/>
          </w:tcPr>
          <w:p w14:paraId="424E76E4" w14:textId="1E8D6B87" w:rsidR="0002223F" w:rsidRPr="009E6D43" w:rsidRDefault="002760A4" w:rsidP="009A1219">
            <w:pPr>
              <w:pStyle w:val="NormalWeb"/>
              <w:keepNext/>
              <w:keepLines/>
              <w:widowControl w:val="0"/>
              <w:spacing w:before="20" w:beforeAutospacing="0" w:after="0" w:afterAutospacing="0"/>
              <w:ind w:left="-41"/>
              <w:jc w:val="center"/>
              <w:rPr>
                <w:rFonts w:ascii="Arial" w:hAnsi="Arial" w:cs="Arial"/>
                <w:sz w:val="18"/>
                <w:szCs w:val="18"/>
                <w:lang w:val="es-MX"/>
              </w:rPr>
            </w:pPr>
            <w:r w:rsidRPr="009E6D43">
              <w:rPr>
                <w:rFonts w:ascii="Arial" w:hAnsi="Arial" w:cs="Arial"/>
                <w:noProof/>
              </w:rPr>
              <w:drawing>
                <wp:inline distT="0" distB="0" distL="0" distR="0" wp14:anchorId="3262C979" wp14:editId="4C344FAA">
                  <wp:extent cx="3096000" cy="1904400"/>
                  <wp:effectExtent l="0" t="0" r="9525" b="19685"/>
                  <wp:docPr id="85097443" name="Gráfico 1">
                    <a:extLst xmlns:a="http://schemas.openxmlformats.org/drawingml/2006/main">
                      <a:ext uri="{FF2B5EF4-FFF2-40B4-BE49-F238E27FC236}">
                        <a16:creationId xmlns:a16="http://schemas.microsoft.com/office/drawing/2014/main" id="{BEC5A1F2-CF2F-4C4F-9F68-D1BA8A547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987" w:type="dxa"/>
          </w:tcPr>
          <w:p w14:paraId="5733F014" w14:textId="4D35A60B" w:rsidR="0002223F" w:rsidRPr="009E6D43" w:rsidRDefault="002760A4" w:rsidP="009A1219">
            <w:pPr>
              <w:pStyle w:val="NormalWeb"/>
              <w:keepNext/>
              <w:keepLines/>
              <w:widowControl w:val="0"/>
              <w:spacing w:before="20" w:beforeAutospacing="0" w:after="0" w:afterAutospacing="0"/>
              <w:jc w:val="center"/>
              <w:rPr>
                <w:rFonts w:ascii="Arial" w:hAnsi="Arial" w:cs="Arial"/>
                <w:sz w:val="18"/>
                <w:szCs w:val="18"/>
                <w:lang w:val="es-MX"/>
              </w:rPr>
            </w:pPr>
            <w:r w:rsidRPr="009E6D43">
              <w:rPr>
                <w:rFonts w:ascii="Arial" w:hAnsi="Arial" w:cs="Arial"/>
                <w:noProof/>
              </w:rPr>
              <w:drawing>
                <wp:inline distT="0" distB="0" distL="0" distR="0" wp14:anchorId="1E2FD927" wp14:editId="3B98BEA7">
                  <wp:extent cx="3096000" cy="1904400"/>
                  <wp:effectExtent l="0" t="0" r="9525" b="19685"/>
                  <wp:docPr id="1969652991" name="Gráfico 1">
                    <a:extLst xmlns:a="http://schemas.openxmlformats.org/drawingml/2006/main">
                      <a:ext uri="{FF2B5EF4-FFF2-40B4-BE49-F238E27FC236}">
                        <a16:creationId xmlns:a16="http://schemas.microsoft.com/office/drawing/2014/main" id="{19052992-2E29-449B-B5DB-B734B5A55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7C4DCD31" w14:textId="3EAE77FC" w:rsidR="009C4A8C" w:rsidRPr="009E6D43" w:rsidRDefault="0002223F" w:rsidP="004C32C5">
      <w:pPr>
        <w:pStyle w:val="n0"/>
        <w:keepLines w:val="0"/>
        <w:spacing w:before="0"/>
        <w:ind w:right="476" w:hanging="567"/>
        <w:rPr>
          <w:color w:val="auto"/>
          <w:sz w:val="16"/>
          <w:szCs w:val="16"/>
        </w:rPr>
      </w:pPr>
      <w:r w:rsidRPr="009E6D43">
        <w:rPr>
          <w:color w:val="auto"/>
          <w:sz w:val="16"/>
          <w:szCs w:val="16"/>
        </w:rPr>
        <w:t xml:space="preserve">Fuente: </w:t>
      </w:r>
      <w:proofErr w:type="spellStart"/>
      <w:r w:rsidR="00627867" w:rsidRPr="009E6D43">
        <w:rPr>
          <w:smallCaps/>
          <w:color w:val="auto"/>
          <w:sz w:val="16"/>
          <w:szCs w:val="16"/>
        </w:rPr>
        <w:t>inegi</w:t>
      </w:r>
      <w:proofErr w:type="spellEnd"/>
      <w:r w:rsidR="008E2BC2" w:rsidRPr="009E6D43">
        <w:rPr>
          <w:color w:val="auto"/>
          <w:sz w:val="16"/>
          <w:szCs w:val="16"/>
        </w:rPr>
        <w:t xml:space="preserve">. </w:t>
      </w:r>
      <w:proofErr w:type="spellStart"/>
      <w:r w:rsidR="00627867" w:rsidRPr="009E6D43">
        <w:rPr>
          <w:smallCaps/>
          <w:color w:val="auto"/>
          <w:sz w:val="16"/>
          <w:szCs w:val="16"/>
        </w:rPr>
        <w:t>enoe</w:t>
      </w:r>
      <w:r w:rsidR="00627867" w:rsidRPr="009E6D43">
        <w:rPr>
          <w:smallCaps/>
          <w:color w:val="auto"/>
          <w:sz w:val="16"/>
          <w:szCs w:val="16"/>
          <w:vertAlign w:val="superscript"/>
        </w:rPr>
        <w:t>n</w:t>
      </w:r>
      <w:proofErr w:type="spellEnd"/>
      <w:r w:rsidR="0090566B" w:rsidRPr="009E6D43">
        <w:rPr>
          <w:color w:val="auto"/>
          <w:sz w:val="16"/>
          <w:szCs w:val="16"/>
        </w:rPr>
        <w:t xml:space="preserve">, </w:t>
      </w:r>
      <w:r w:rsidR="008E2BC2" w:rsidRPr="009E6D43">
        <w:rPr>
          <w:color w:val="auto"/>
          <w:sz w:val="16"/>
          <w:szCs w:val="16"/>
        </w:rPr>
        <w:t>2022.</w:t>
      </w:r>
      <w:r w:rsidR="004C32C5" w:rsidRPr="009E6D43">
        <w:rPr>
          <w:color w:val="auto"/>
          <w:sz w:val="16"/>
          <w:szCs w:val="16"/>
        </w:rPr>
        <w:t xml:space="preserve"> </w:t>
      </w:r>
      <w:proofErr w:type="spellStart"/>
      <w:r w:rsidR="00627867" w:rsidRPr="009E6D43">
        <w:rPr>
          <w:smallCaps/>
          <w:color w:val="auto"/>
          <w:sz w:val="16"/>
          <w:szCs w:val="16"/>
        </w:rPr>
        <w:t>enoe</w:t>
      </w:r>
      <w:proofErr w:type="spellEnd"/>
      <w:r w:rsidR="0090566B" w:rsidRPr="009E6D43">
        <w:rPr>
          <w:color w:val="auto"/>
          <w:sz w:val="16"/>
          <w:szCs w:val="16"/>
        </w:rPr>
        <w:t xml:space="preserve">, </w:t>
      </w:r>
      <w:r w:rsidR="008E2BC2" w:rsidRPr="009E6D43">
        <w:rPr>
          <w:color w:val="auto"/>
          <w:sz w:val="16"/>
          <w:szCs w:val="16"/>
        </w:rPr>
        <w:t>2023.</w:t>
      </w:r>
    </w:p>
    <w:p w14:paraId="79F464F2" w14:textId="77777777" w:rsidR="001D124A" w:rsidRDefault="001D124A" w:rsidP="009A7E4C">
      <w:pPr>
        <w:pStyle w:val="Prrafodelista"/>
        <w:spacing w:before="240"/>
        <w:ind w:left="0"/>
        <w:rPr>
          <w:bCs/>
        </w:rPr>
      </w:pPr>
    </w:p>
    <w:p w14:paraId="3893553C" w14:textId="76857C09" w:rsidR="009A7E4C" w:rsidRPr="009E6D43" w:rsidRDefault="00B637B6" w:rsidP="009A7E4C">
      <w:pPr>
        <w:pStyle w:val="Prrafodelista"/>
        <w:spacing w:before="240"/>
        <w:ind w:left="0"/>
        <w:rPr>
          <w:bCs/>
          <w:spacing w:val="8"/>
        </w:rPr>
      </w:pPr>
      <w:r w:rsidRPr="009E6D43">
        <w:rPr>
          <w:bCs/>
        </w:rPr>
        <w:t xml:space="preserve">Según su </w:t>
      </w:r>
      <w:r w:rsidR="006A080C">
        <w:rPr>
          <w:bCs/>
        </w:rPr>
        <w:t xml:space="preserve">lugar </w:t>
      </w:r>
      <w:r w:rsidRPr="009E6D43">
        <w:rPr>
          <w:bCs/>
        </w:rPr>
        <w:t>en la ocupación, la</w:t>
      </w:r>
      <w:r w:rsidR="00E71362">
        <w:rPr>
          <w:bCs/>
        </w:rPr>
        <w:t xml:space="preserve">s y los </w:t>
      </w:r>
      <w:proofErr w:type="spellStart"/>
      <w:r w:rsidRPr="009E6D43">
        <w:rPr>
          <w:bCs/>
        </w:rPr>
        <w:t>subocupad</w:t>
      </w:r>
      <w:r w:rsidR="00E71362">
        <w:rPr>
          <w:bCs/>
        </w:rPr>
        <w:t>os</w:t>
      </w:r>
      <w:proofErr w:type="spellEnd"/>
      <w:r w:rsidRPr="009E6D43">
        <w:rPr>
          <w:bCs/>
        </w:rPr>
        <w:t xml:space="preserve"> durante el mes en cuestión se concentr</w:t>
      </w:r>
      <w:r w:rsidR="00E71362">
        <w:rPr>
          <w:bCs/>
        </w:rPr>
        <w:t>aron</w:t>
      </w:r>
      <w:r w:rsidRPr="009E6D43">
        <w:rPr>
          <w:bCs/>
        </w:rPr>
        <w:t xml:space="preserve"> en </w:t>
      </w:r>
      <w:r w:rsidR="00A342F4" w:rsidRPr="009E6D43">
        <w:rPr>
          <w:bCs/>
        </w:rPr>
        <w:t>las y los trabajadores</w:t>
      </w:r>
      <w:r w:rsidR="00003E42" w:rsidRPr="009E6D43">
        <w:rPr>
          <w:bCs/>
        </w:rPr>
        <w:t xml:space="preserve"> subordinados y remunerados</w:t>
      </w:r>
      <w:r w:rsidR="00A9022A" w:rsidRPr="009E6D43">
        <w:rPr>
          <w:bCs/>
        </w:rPr>
        <w:t>,</w:t>
      </w:r>
      <w:r w:rsidR="001E2BC2" w:rsidRPr="009E6D43">
        <w:rPr>
          <w:bCs/>
        </w:rPr>
        <w:t xml:space="preserve"> </w:t>
      </w:r>
      <w:r w:rsidR="00D62284" w:rsidRPr="009E6D43">
        <w:rPr>
          <w:bCs/>
        </w:rPr>
        <w:t>con 4</w:t>
      </w:r>
      <w:r w:rsidR="00377291" w:rsidRPr="009E6D43">
        <w:rPr>
          <w:bCs/>
        </w:rPr>
        <w:t>8.1</w:t>
      </w:r>
      <w:r w:rsidR="00520FC0" w:rsidRPr="009E6D43">
        <w:rPr>
          <w:bCs/>
        </w:rPr>
        <w:t> </w:t>
      </w:r>
      <w:r w:rsidR="00355277" w:rsidRPr="009E6D43">
        <w:rPr>
          <w:bCs/>
        </w:rPr>
        <w:t>por ciento.</w:t>
      </w:r>
      <w:r w:rsidR="00D62284" w:rsidRPr="009E6D43">
        <w:rPr>
          <w:bCs/>
        </w:rPr>
        <w:t xml:space="preserve"> </w:t>
      </w:r>
      <w:r w:rsidR="00355277" w:rsidRPr="009E6D43">
        <w:rPr>
          <w:bCs/>
        </w:rPr>
        <w:t xml:space="preserve">Esto </w:t>
      </w:r>
      <w:r w:rsidR="00363615" w:rsidRPr="009E6D43">
        <w:rPr>
          <w:bCs/>
        </w:rPr>
        <w:t xml:space="preserve">significó </w:t>
      </w:r>
      <w:r w:rsidRPr="009E6D43">
        <w:rPr>
          <w:bCs/>
        </w:rPr>
        <w:t>un</w:t>
      </w:r>
      <w:r w:rsidR="00EB09B9" w:rsidRPr="009E6D43">
        <w:rPr>
          <w:bCs/>
        </w:rPr>
        <w:t xml:space="preserve"> </w:t>
      </w:r>
      <w:r w:rsidR="007940B2" w:rsidRPr="009E6D43">
        <w:rPr>
          <w:bCs/>
        </w:rPr>
        <w:t>alza</w:t>
      </w:r>
      <w:r w:rsidR="00F22B62" w:rsidRPr="009E6D43">
        <w:rPr>
          <w:bCs/>
        </w:rPr>
        <w:t xml:space="preserve"> </w:t>
      </w:r>
      <w:r w:rsidRPr="009E6D43">
        <w:rPr>
          <w:bCs/>
        </w:rPr>
        <w:t xml:space="preserve">de </w:t>
      </w:r>
      <w:r w:rsidR="003B1742" w:rsidRPr="009E6D43">
        <w:rPr>
          <w:bCs/>
        </w:rPr>
        <w:t>4.</w:t>
      </w:r>
      <w:r w:rsidR="00377291" w:rsidRPr="009E6D43">
        <w:rPr>
          <w:bCs/>
        </w:rPr>
        <w:t>9</w:t>
      </w:r>
      <w:r w:rsidR="00520FC0" w:rsidRPr="009E6D43">
        <w:rPr>
          <w:bCs/>
        </w:rPr>
        <w:t> puntos</w:t>
      </w:r>
      <w:r w:rsidRPr="009E6D43">
        <w:rPr>
          <w:bCs/>
        </w:rPr>
        <w:t xml:space="preserve"> porcentuales respecto a</w:t>
      </w:r>
      <w:r w:rsidR="00C90DF6" w:rsidRPr="009E6D43">
        <w:rPr>
          <w:bCs/>
        </w:rPr>
        <w:t xml:space="preserve"> </w:t>
      </w:r>
      <w:r w:rsidR="00897117" w:rsidRPr="009E6D43">
        <w:rPr>
          <w:bCs/>
        </w:rPr>
        <w:t>dic</w:t>
      </w:r>
      <w:r w:rsidR="00D34F3A" w:rsidRPr="009E6D43">
        <w:rPr>
          <w:bCs/>
        </w:rPr>
        <w:t>iembre</w:t>
      </w:r>
      <w:r w:rsidRPr="009E6D43">
        <w:rPr>
          <w:bCs/>
        </w:rPr>
        <w:t xml:space="preserve"> de 202</w:t>
      </w:r>
      <w:r w:rsidR="00D73246" w:rsidRPr="009E6D43">
        <w:rPr>
          <w:bCs/>
        </w:rPr>
        <w:t>2</w:t>
      </w:r>
      <w:r w:rsidRPr="009E6D43">
        <w:rPr>
          <w:bCs/>
        </w:rPr>
        <w:t xml:space="preserve">. </w:t>
      </w:r>
      <w:r w:rsidR="009F039B">
        <w:rPr>
          <w:bCs/>
        </w:rPr>
        <w:t xml:space="preserve">Quienes trabajan </w:t>
      </w:r>
      <w:r w:rsidR="00A342F4" w:rsidRPr="009E6D43">
        <w:rPr>
          <w:bCs/>
        </w:rPr>
        <w:t xml:space="preserve"> </w:t>
      </w:r>
      <w:r w:rsidR="00003E42" w:rsidRPr="009E6D43">
        <w:rPr>
          <w:bCs/>
        </w:rPr>
        <w:t xml:space="preserve">por cuenta propia </w:t>
      </w:r>
      <w:r w:rsidRPr="009E6D43">
        <w:rPr>
          <w:bCs/>
        </w:rPr>
        <w:t>representaron 4</w:t>
      </w:r>
      <w:r w:rsidR="00377291" w:rsidRPr="009E6D43">
        <w:rPr>
          <w:bCs/>
        </w:rPr>
        <w:t>1.6</w:t>
      </w:r>
      <w:r w:rsidR="00520FC0" w:rsidRPr="009E6D43">
        <w:rPr>
          <w:bCs/>
        </w:rPr>
        <w:t> %</w:t>
      </w:r>
      <w:r w:rsidRPr="009E6D43">
        <w:rPr>
          <w:bCs/>
        </w:rPr>
        <w:t>, un</w:t>
      </w:r>
      <w:r w:rsidR="00003E42" w:rsidRPr="009E6D43">
        <w:rPr>
          <w:bCs/>
        </w:rPr>
        <w:t>a caída</w:t>
      </w:r>
      <w:r w:rsidR="007C2D7F" w:rsidRPr="009E6D43">
        <w:rPr>
          <w:bCs/>
        </w:rPr>
        <w:t xml:space="preserve"> </w:t>
      </w:r>
      <w:r w:rsidR="00ED7A33" w:rsidRPr="009E6D43">
        <w:rPr>
          <w:bCs/>
        </w:rPr>
        <w:t xml:space="preserve">anual </w:t>
      </w:r>
      <w:r w:rsidRPr="009E6D43">
        <w:rPr>
          <w:bCs/>
        </w:rPr>
        <w:t>de</w:t>
      </w:r>
      <w:r w:rsidR="00B63DDF" w:rsidRPr="009E6D43">
        <w:rPr>
          <w:bCs/>
        </w:rPr>
        <w:t xml:space="preserve"> </w:t>
      </w:r>
      <w:r w:rsidR="003B1742" w:rsidRPr="009E6D43">
        <w:rPr>
          <w:bCs/>
        </w:rPr>
        <w:t>3.</w:t>
      </w:r>
      <w:r w:rsidR="00377291" w:rsidRPr="009E6D43">
        <w:rPr>
          <w:bCs/>
        </w:rPr>
        <w:t>6</w:t>
      </w:r>
      <w:r w:rsidR="00520FC0" w:rsidRPr="009E6D43">
        <w:rPr>
          <w:bCs/>
        </w:rPr>
        <w:t> puntos</w:t>
      </w:r>
      <w:r w:rsidRPr="009E6D43">
        <w:rPr>
          <w:bCs/>
        </w:rPr>
        <w:t xml:space="preserve"> porcentuales</w:t>
      </w:r>
      <w:r w:rsidRPr="009E6D43">
        <w:rPr>
          <w:bCs/>
          <w:spacing w:val="8"/>
        </w:rPr>
        <w:t>.</w:t>
      </w:r>
    </w:p>
    <w:p w14:paraId="13FCA8B9" w14:textId="77777777" w:rsidR="001D124A" w:rsidRDefault="001D124A" w:rsidP="005B7E79">
      <w:pPr>
        <w:pStyle w:val="n0"/>
        <w:keepLines w:val="0"/>
        <w:widowControl w:val="0"/>
        <w:ind w:left="0" w:right="51" w:firstLine="0"/>
        <w:jc w:val="center"/>
        <w:rPr>
          <w:color w:val="auto"/>
          <w:sz w:val="20"/>
          <w:szCs w:val="22"/>
        </w:rPr>
      </w:pPr>
    </w:p>
    <w:p w14:paraId="0739C05B" w14:textId="2FD18589" w:rsidR="005B7E79" w:rsidRPr="009E6D43" w:rsidRDefault="005B7E79" w:rsidP="005B7E79">
      <w:pPr>
        <w:pStyle w:val="n0"/>
        <w:keepLines w:val="0"/>
        <w:widowControl w:val="0"/>
        <w:ind w:left="0" w:right="51" w:firstLine="0"/>
        <w:jc w:val="center"/>
        <w:rPr>
          <w:color w:val="auto"/>
          <w:sz w:val="20"/>
          <w:szCs w:val="22"/>
        </w:rPr>
      </w:pPr>
      <w:r w:rsidRPr="009E6D43">
        <w:rPr>
          <w:color w:val="auto"/>
          <w:sz w:val="20"/>
          <w:szCs w:val="22"/>
        </w:rPr>
        <w:t xml:space="preserve">Cuadro </w:t>
      </w:r>
      <w:r w:rsidR="0002223F" w:rsidRPr="009E6D43">
        <w:rPr>
          <w:color w:val="auto"/>
          <w:sz w:val="20"/>
          <w:szCs w:val="22"/>
        </w:rPr>
        <w:t>5</w:t>
      </w:r>
    </w:p>
    <w:p w14:paraId="4D952991" w14:textId="3A90BF36" w:rsidR="00762487" w:rsidRPr="009E6D43" w:rsidRDefault="00762487" w:rsidP="003675D6">
      <w:pPr>
        <w:pStyle w:val="n0"/>
        <w:keepLines w:val="0"/>
        <w:widowControl w:val="0"/>
        <w:spacing w:before="0"/>
        <w:ind w:left="0" w:right="49" w:firstLine="0"/>
        <w:jc w:val="center"/>
        <w:rPr>
          <w:b/>
          <w:smallCaps/>
          <w:color w:val="auto"/>
          <w:sz w:val="22"/>
          <w:szCs w:val="22"/>
        </w:rPr>
      </w:pPr>
      <w:r w:rsidRPr="009E6D43">
        <w:rPr>
          <w:b/>
          <w:smallCaps/>
          <w:color w:val="auto"/>
          <w:sz w:val="22"/>
          <w:szCs w:val="22"/>
        </w:rPr>
        <w:t xml:space="preserve">Población </w:t>
      </w:r>
      <w:proofErr w:type="spellStart"/>
      <w:r w:rsidRPr="009E6D43">
        <w:rPr>
          <w:b/>
          <w:smallCaps/>
          <w:color w:val="auto"/>
          <w:sz w:val="22"/>
          <w:szCs w:val="22"/>
        </w:rPr>
        <w:t>subocupada</w:t>
      </w:r>
      <w:proofErr w:type="spellEnd"/>
      <w:r w:rsidR="00FB2744" w:rsidRPr="009E6D43">
        <w:rPr>
          <w:b/>
          <w:smallCaps/>
          <w:color w:val="auto"/>
          <w:sz w:val="22"/>
          <w:szCs w:val="22"/>
        </w:rPr>
        <w:t>,</w:t>
      </w:r>
      <w:r w:rsidRPr="009E6D43">
        <w:rPr>
          <w:b/>
          <w:smallCaps/>
          <w:color w:val="auto"/>
          <w:sz w:val="22"/>
          <w:szCs w:val="22"/>
        </w:rPr>
        <w:t xml:space="preserve"> </w:t>
      </w:r>
      <w:r w:rsidR="006218AC" w:rsidRPr="009E6D43">
        <w:rPr>
          <w:b/>
          <w:smallCaps/>
          <w:color w:val="auto"/>
          <w:sz w:val="22"/>
          <w:szCs w:val="22"/>
        </w:rPr>
        <w:t xml:space="preserve">según </w:t>
      </w:r>
      <w:r w:rsidRPr="009E6D43">
        <w:rPr>
          <w:b/>
          <w:smallCaps/>
          <w:color w:val="auto"/>
          <w:sz w:val="22"/>
          <w:szCs w:val="22"/>
        </w:rPr>
        <w:t>posición en la ocupación</w:t>
      </w:r>
    </w:p>
    <w:p w14:paraId="1FEE942C" w14:textId="58790CBD" w:rsidR="003671CE" w:rsidRPr="009E6D43" w:rsidRDefault="00897117" w:rsidP="003671CE">
      <w:pPr>
        <w:pStyle w:val="Ttulo"/>
        <w:rPr>
          <w:rFonts w:cs="Arial"/>
          <w:b w:val="0"/>
          <w:sz w:val="20"/>
          <w:lang w:val="es-MX"/>
        </w:rPr>
      </w:pPr>
      <w:r w:rsidRPr="009E6D43">
        <w:rPr>
          <w:rFonts w:cs="Arial"/>
          <w:b w:val="0"/>
          <w:sz w:val="20"/>
        </w:rPr>
        <w:t>dic</w:t>
      </w:r>
      <w:r w:rsidR="00D34F3A" w:rsidRPr="009E6D43">
        <w:rPr>
          <w:rFonts w:cs="Arial"/>
          <w:b w:val="0"/>
          <w:sz w:val="20"/>
        </w:rPr>
        <w:t>iembre</w:t>
      </w:r>
      <w:r w:rsidR="003671CE" w:rsidRPr="009E6D43">
        <w:rPr>
          <w:rFonts w:cs="Arial"/>
          <w:b w:val="0"/>
          <w:sz w:val="20"/>
        </w:rPr>
        <w:t xml:space="preserve"> de 2022 y 2023</w:t>
      </w:r>
    </w:p>
    <w:tbl>
      <w:tblPr>
        <w:tblW w:w="4809" w:type="pct"/>
        <w:jc w:val="center"/>
        <w:tblCellMar>
          <w:left w:w="70" w:type="dxa"/>
          <w:right w:w="70" w:type="dxa"/>
        </w:tblCellMar>
        <w:tblLook w:val="04A0" w:firstRow="1" w:lastRow="0" w:firstColumn="1" w:lastColumn="0" w:noHBand="0" w:noVBand="1"/>
      </w:tblPr>
      <w:tblGrid>
        <w:gridCol w:w="3758"/>
        <w:gridCol w:w="1082"/>
        <w:gridCol w:w="1082"/>
        <w:gridCol w:w="1072"/>
        <w:gridCol w:w="755"/>
        <w:gridCol w:w="781"/>
        <w:gridCol w:w="1053"/>
      </w:tblGrid>
      <w:tr w:rsidR="0094101C" w:rsidRPr="009E6D43" w14:paraId="64C18322" w14:textId="77777777" w:rsidTr="00B417A3">
        <w:trPr>
          <w:trHeight w:val="284"/>
          <w:jc w:val="center"/>
        </w:trPr>
        <w:tc>
          <w:tcPr>
            <w:tcW w:w="37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E687697" w14:textId="1C00EE40" w:rsidR="0094101C" w:rsidRPr="009E6D43" w:rsidRDefault="009C29CB" w:rsidP="00DF2496">
            <w:pPr>
              <w:jc w:val="left"/>
              <w:rPr>
                <w:b/>
                <w:bCs/>
                <w:color w:val="000000"/>
                <w:sz w:val="16"/>
                <w:szCs w:val="18"/>
                <w:lang w:val="es-MX" w:eastAsia="es-MX"/>
              </w:rPr>
            </w:pPr>
            <w:r w:rsidRPr="009E6D43">
              <w:rPr>
                <w:b/>
                <w:bCs/>
                <w:color w:val="000000"/>
                <w:sz w:val="16"/>
                <w:szCs w:val="18"/>
                <w:lang w:val="es-MX" w:eastAsia="es-MX"/>
              </w:rPr>
              <w:t>P</w:t>
            </w:r>
            <w:r w:rsidR="0094101C" w:rsidRPr="009E6D43">
              <w:rPr>
                <w:b/>
                <w:bCs/>
                <w:color w:val="000000"/>
                <w:sz w:val="16"/>
                <w:szCs w:val="18"/>
                <w:lang w:val="es-MX" w:eastAsia="es-MX"/>
              </w:rPr>
              <w:t>osición en la ocupación</w:t>
            </w:r>
          </w:p>
        </w:tc>
        <w:tc>
          <w:tcPr>
            <w:tcW w:w="216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89A73AB" w14:textId="21DFBCD7" w:rsidR="0094101C" w:rsidRPr="009E6D43" w:rsidRDefault="00897117" w:rsidP="005C1830">
            <w:pPr>
              <w:jc w:val="center"/>
              <w:rPr>
                <w:b/>
                <w:bCs/>
                <w:sz w:val="16"/>
                <w:szCs w:val="18"/>
                <w:lang w:val="es-MX" w:eastAsia="es-MX"/>
              </w:rPr>
            </w:pPr>
            <w:r w:rsidRPr="009E6D43">
              <w:rPr>
                <w:b/>
                <w:bCs/>
                <w:sz w:val="16"/>
                <w:szCs w:val="18"/>
                <w:lang w:val="es-MX" w:eastAsia="es-MX"/>
              </w:rPr>
              <w:t>Dici</w:t>
            </w:r>
            <w:r w:rsidR="00D34F3A" w:rsidRPr="009E6D43">
              <w:rPr>
                <w:b/>
                <w:bCs/>
                <w:sz w:val="16"/>
                <w:szCs w:val="18"/>
                <w:lang w:val="es-MX" w:eastAsia="es-MX"/>
              </w:rPr>
              <w:t>embre</w:t>
            </w:r>
          </w:p>
        </w:tc>
        <w:tc>
          <w:tcPr>
            <w:tcW w:w="1072"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85447DB" w14:textId="395FE91C" w:rsidR="0094101C" w:rsidRPr="009E6D43" w:rsidRDefault="0094101C" w:rsidP="006A0557">
            <w:pPr>
              <w:jc w:val="center"/>
              <w:rPr>
                <w:b/>
                <w:bCs/>
                <w:sz w:val="16"/>
                <w:szCs w:val="18"/>
                <w:lang w:val="es-MX" w:eastAsia="es-MX"/>
              </w:rPr>
            </w:pPr>
            <w:r w:rsidRPr="009E6D43">
              <w:rPr>
                <w:b/>
                <w:bCs/>
                <w:sz w:val="16"/>
                <w:szCs w:val="18"/>
                <w:lang w:val="es-MX" w:eastAsia="es-MX"/>
              </w:rPr>
              <w:t>Diferencia 202</w:t>
            </w:r>
            <w:r w:rsidR="00D73246" w:rsidRPr="009E6D43">
              <w:rPr>
                <w:b/>
                <w:bCs/>
                <w:sz w:val="16"/>
                <w:szCs w:val="18"/>
                <w:lang w:val="es-MX" w:eastAsia="es-MX"/>
              </w:rPr>
              <w:t>3</w:t>
            </w:r>
            <w:r w:rsidRPr="009E6D43">
              <w:rPr>
                <w:b/>
                <w:bCs/>
                <w:sz w:val="16"/>
                <w:szCs w:val="18"/>
                <w:lang w:val="es-MX" w:eastAsia="es-MX"/>
              </w:rPr>
              <w:t>-202</w:t>
            </w:r>
            <w:r w:rsidR="00D73246" w:rsidRPr="009E6D43">
              <w:rPr>
                <w:b/>
                <w:bCs/>
                <w:sz w:val="16"/>
                <w:szCs w:val="18"/>
                <w:lang w:val="es-MX" w:eastAsia="es-MX"/>
              </w:rPr>
              <w:t>2</w:t>
            </w:r>
          </w:p>
        </w:tc>
        <w:tc>
          <w:tcPr>
            <w:tcW w:w="1536"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4556323" w14:textId="37AC481C" w:rsidR="0094101C" w:rsidRPr="009E6D43" w:rsidRDefault="00897117" w:rsidP="005C1830">
            <w:pPr>
              <w:jc w:val="center"/>
              <w:rPr>
                <w:b/>
                <w:bCs/>
                <w:sz w:val="16"/>
                <w:szCs w:val="18"/>
                <w:lang w:val="es-MX" w:eastAsia="es-MX"/>
              </w:rPr>
            </w:pPr>
            <w:r w:rsidRPr="009E6D43">
              <w:rPr>
                <w:b/>
                <w:bCs/>
                <w:sz w:val="16"/>
                <w:szCs w:val="18"/>
                <w:lang w:val="es-MX" w:eastAsia="es-MX"/>
              </w:rPr>
              <w:t>Dic</w:t>
            </w:r>
            <w:r w:rsidR="00D34F3A" w:rsidRPr="009E6D43">
              <w:rPr>
                <w:b/>
                <w:bCs/>
                <w:sz w:val="16"/>
                <w:szCs w:val="18"/>
                <w:lang w:val="es-MX" w:eastAsia="es-MX"/>
              </w:rPr>
              <w:t>iembre</w:t>
            </w:r>
          </w:p>
        </w:tc>
        <w:tc>
          <w:tcPr>
            <w:tcW w:w="105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AC939F8" w14:textId="500E8973" w:rsidR="0094101C" w:rsidRPr="009E6D43" w:rsidRDefault="0094101C" w:rsidP="00965310">
            <w:pPr>
              <w:jc w:val="center"/>
              <w:rPr>
                <w:b/>
                <w:bCs/>
                <w:color w:val="000000"/>
                <w:sz w:val="16"/>
                <w:szCs w:val="18"/>
                <w:lang w:val="es-MX" w:eastAsia="es-MX"/>
              </w:rPr>
            </w:pPr>
            <w:r w:rsidRPr="009E6D43">
              <w:rPr>
                <w:b/>
                <w:bCs/>
                <w:color w:val="000000"/>
                <w:sz w:val="16"/>
                <w:szCs w:val="18"/>
                <w:lang w:val="es-MX" w:eastAsia="es-MX"/>
              </w:rPr>
              <w:t>Diferencia 202</w:t>
            </w:r>
            <w:r w:rsidR="00D73246" w:rsidRPr="009E6D43">
              <w:rPr>
                <w:b/>
                <w:bCs/>
                <w:color w:val="000000"/>
                <w:sz w:val="16"/>
                <w:szCs w:val="18"/>
                <w:lang w:val="es-MX" w:eastAsia="es-MX"/>
              </w:rPr>
              <w:t>3</w:t>
            </w:r>
            <w:r w:rsidRPr="009E6D43">
              <w:rPr>
                <w:b/>
                <w:bCs/>
                <w:color w:val="000000"/>
                <w:sz w:val="16"/>
                <w:szCs w:val="18"/>
                <w:lang w:val="es-MX" w:eastAsia="es-MX"/>
              </w:rPr>
              <w:t>-202</w:t>
            </w:r>
            <w:r w:rsidR="00D73246" w:rsidRPr="009E6D43">
              <w:rPr>
                <w:b/>
                <w:bCs/>
                <w:color w:val="000000"/>
                <w:sz w:val="16"/>
                <w:szCs w:val="18"/>
                <w:lang w:val="es-MX" w:eastAsia="es-MX"/>
              </w:rPr>
              <w:t>2</w:t>
            </w:r>
          </w:p>
        </w:tc>
      </w:tr>
      <w:tr w:rsidR="00D73246" w:rsidRPr="009E6D43" w14:paraId="6FDA7ACC" w14:textId="77777777" w:rsidTr="00B417A3">
        <w:trPr>
          <w:trHeight w:val="454"/>
          <w:jc w:val="center"/>
        </w:trPr>
        <w:tc>
          <w:tcPr>
            <w:tcW w:w="3758" w:type="dxa"/>
            <w:vMerge/>
            <w:tcBorders>
              <w:top w:val="single" w:sz="4" w:space="0" w:color="1F497D"/>
              <w:left w:val="single" w:sz="4" w:space="0" w:color="1F497D"/>
              <w:bottom w:val="single" w:sz="4" w:space="0" w:color="1F497D"/>
              <w:right w:val="single" w:sz="4" w:space="0" w:color="1F497D"/>
            </w:tcBorders>
            <w:vAlign w:val="center"/>
            <w:hideMark/>
          </w:tcPr>
          <w:p w14:paraId="6ED09759" w14:textId="77777777" w:rsidR="00D73246" w:rsidRPr="009E6D43" w:rsidRDefault="00D73246" w:rsidP="00D73246">
            <w:pPr>
              <w:jc w:val="left"/>
              <w:rPr>
                <w:b/>
                <w:bCs/>
                <w:color w:val="000000"/>
                <w:sz w:val="16"/>
                <w:szCs w:val="18"/>
                <w:lang w:val="es-MX" w:eastAsia="es-MX"/>
              </w:rPr>
            </w:pPr>
          </w:p>
        </w:tc>
        <w:tc>
          <w:tcPr>
            <w:tcW w:w="1082" w:type="dxa"/>
            <w:tcBorders>
              <w:top w:val="nil"/>
              <w:left w:val="nil"/>
              <w:bottom w:val="single" w:sz="4" w:space="0" w:color="1F497D"/>
              <w:right w:val="single" w:sz="4" w:space="0" w:color="1F497D"/>
            </w:tcBorders>
            <w:shd w:val="clear" w:color="000000" w:fill="BDD7EE"/>
            <w:vAlign w:val="center"/>
            <w:hideMark/>
          </w:tcPr>
          <w:p w14:paraId="1A32905D" w14:textId="77777777" w:rsidR="00D73246" w:rsidRPr="009E6D43" w:rsidRDefault="00D73246" w:rsidP="00D73246">
            <w:pPr>
              <w:jc w:val="center"/>
              <w:rPr>
                <w:b/>
                <w:bCs/>
                <w:sz w:val="16"/>
                <w:szCs w:val="16"/>
                <w:lang w:val="es-MX" w:eastAsia="es-MX"/>
              </w:rPr>
            </w:pPr>
            <w:r w:rsidRPr="009E6D43">
              <w:rPr>
                <w:b/>
                <w:bCs/>
                <w:sz w:val="16"/>
                <w:szCs w:val="16"/>
                <w:lang w:val="es-MX" w:eastAsia="es-MX"/>
              </w:rPr>
              <w:t>2022</w:t>
            </w:r>
          </w:p>
          <w:p w14:paraId="534B3607" w14:textId="4E891EA8" w:rsidR="00D73246" w:rsidRPr="009E6D43" w:rsidRDefault="00B8447C" w:rsidP="00D73246">
            <w:pPr>
              <w:jc w:val="center"/>
              <w:rPr>
                <w:b/>
                <w:bCs/>
                <w:smallCaps/>
                <w:sz w:val="16"/>
                <w:szCs w:val="18"/>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1082" w:type="dxa"/>
            <w:tcBorders>
              <w:top w:val="nil"/>
              <w:left w:val="nil"/>
              <w:bottom w:val="single" w:sz="4" w:space="0" w:color="1F497D"/>
              <w:right w:val="single" w:sz="4" w:space="0" w:color="1F497D"/>
            </w:tcBorders>
            <w:shd w:val="clear" w:color="000000" w:fill="BDD7EE"/>
            <w:vAlign w:val="center"/>
            <w:hideMark/>
          </w:tcPr>
          <w:p w14:paraId="489D8815" w14:textId="77777777" w:rsidR="00D73246" w:rsidRPr="009E6D43" w:rsidRDefault="00D73246" w:rsidP="00D73246">
            <w:pPr>
              <w:jc w:val="center"/>
              <w:rPr>
                <w:b/>
                <w:bCs/>
                <w:sz w:val="16"/>
                <w:szCs w:val="16"/>
                <w:lang w:val="es-MX" w:eastAsia="es-MX"/>
              </w:rPr>
            </w:pPr>
            <w:r w:rsidRPr="009E6D43">
              <w:rPr>
                <w:b/>
                <w:bCs/>
                <w:sz w:val="16"/>
                <w:szCs w:val="16"/>
                <w:lang w:val="es-MX" w:eastAsia="es-MX"/>
              </w:rPr>
              <w:t>2023</w:t>
            </w:r>
          </w:p>
          <w:p w14:paraId="07649EC3" w14:textId="632F9E80" w:rsidR="00D73246" w:rsidRPr="009E6D43" w:rsidRDefault="00B8447C" w:rsidP="00D73246">
            <w:pPr>
              <w:jc w:val="center"/>
              <w:rPr>
                <w:b/>
                <w:bCs/>
                <w:smallCaps/>
                <w:sz w:val="16"/>
                <w:szCs w:val="18"/>
                <w:lang w:val="es-MX" w:eastAsia="es-MX"/>
              </w:rPr>
            </w:pPr>
            <w:proofErr w:type="spellStart"/>
            <w:r w:rsidRPr="009E6D43">
              <w:rPr>
                <w:b/>
                <w:bCs/>
                <w:smallCaps/>
                <w:sz w:val="16"/>
                <w:szCs w:val="16"/>
                <w:lang w:val="es-MX" w:eastAsia="es-MX"/>
              </w:rPr>
              <w:t>enoe</w:t>
            </w:r>
            <w:proofErr w:type="spellEnd"/>
          </w:p>
        </w:tc>
        <w:tc>
          <w:tcPr>
            <w:tcW w:w="1072" w:type="dxa"/>
            <w:vMerge/>
            <w:tcBorders>
              <w:top w:val="single" w:sz="4" w:space="0" w:color="1F497D"/>
              <w:left w:val="single" w:sz="4" w:space="0" w:color="1F497D"/>
              <w:bottom w:val="single" w:sz="4" w:space="0" w:color="1F497D"/>
              <w:right w:val="single" w:sz="4" w:space="0" w:color="1F497D"/>
            </w:tcBorders>
            <w:vAlign w:val="center"/>
            <w:hideMark/>
          </w:tcPr>
          <w:p w14:paraId="3A2B47C0" w14:textId="77777777" w:rsidR="00D73246" w:rsidRPr="009E6D43" w:rsidRDefault="00D73246" w:rsidP="00D73246">
            <w:pPr>
              <w:jc w:val="center"/>
              <w:rPr>
                <w:b/>
                <w:bCs/>
                <w:sz w:val="16"/>
                <w:szCs w:val="18"/>
                <w:lang w:val="es-MX" w:eastAsia="es-MX"/>
              </w:rPr>
            </w:pPr>
          </w:p>
        </w:tc>
        <w:tc>
          <w:tcPr>
            <w:tcW w:w="755" w:type="dxa"/>
            <w:tcBorders>
              <w:top w:val="nil"/>
              <w:left w:val="nil"/>
              <w:bottom w:val="single" w:sz="4" w:space="0" w:color="1F497D"/>
              <w:right w:val="single" w:sz="4" w:space="0" w:color="1F497D"/>
            </w:tcBorders>
            <w:shd w:val="clear" w:color="000000" w:fill="BDD7EE"/>
            <w:vAlign w:val="center"/>
            <w:hideMark/>
          </w:tcPr>
          <w:p w14:paraId="41A13C05" w14:textId="77777777" w:rsidR="00D73246" w:rsidRPr="009E6D43" w:rsidRDefault="00D73246" w:rsidP="00D73246">
            <w:pPr>
              <w:jc w:val="center"/>
              <w:rPr>
                <w:b/>
                <w:bCs/>
                <w:sz w:val="16"/>
                <w:szCs w:val="16"/>
                <w:lang w:val="es-MX" w:eastAsia="es-MX"/>
              </w:rPr>
            </w:pPr>
            <w:r w:rsidRPr="009E6D43">
              <w:rPr>
                <w:b/>
                <w:bCs/>
                <w:sz w:val="16"/>
                <w:szCs w:val="16"/>
                <w:lang w:val="es-MX" w:eastAsia="es-MX"/>
              </w:rPr>
              <w:t>2022</w:t>
            </w:r>
          </w:p>
          <w:p w14:paraId="296C7156" w14:textId="7F3E78DA" w:rsidR="00D73246" w:rsidRPr="009E6D43" w:rsidRDefault="00B8447C" w:rsidP="00D73246">
            <w:pPr>
              <w:jc w:val="center"/>
              <w:rPr>
                <w:b/>
                <w:bCs/>
                <w:smallCaps/>
                <w:sz w:val="16"/>
                <w:szCs w:val="18"/>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781" w:type="dxa"/>
            <w:tcBorders>
              <w:top w:val="nil"/>
              <w:left w:val="nil"/>
              <w:bottom w:val="single" w:sz="4" w:space="0" w:color="1F497D"/>
              <w:right w:val="single" w:sz="4" w:space="0" w:color="1F497D"/>
            </w:tcBorders>
            <w:shd w:val="clear" w:color="000000" w:fill="BDD7EE"/>
            <w:vAlign w:val="center"/>
            <w:hideMark/>
          </w:tcPr>
          <w:p w14:paraId="454A4D5B" w14:textId="77777777" w:rsidR="00D73246" w:rsidRPr="009E6D43" w:rsidRDefault="00D73246" w:rsidP="00D73246">
            <w:pPr>
              <w:jc w:val="center"/>
              <w:rPr>
                <w:b/>
                <w:bCs/>
                <w:sz w:val="16"/>
                <w:szCs w:val="16"/>
                <w:lang w:val="es-MX" w:eastAsia="es-MX"/>
              </w:rPr>
            </w:pPr>
            <w:r w:rsidRPr="009E6D43">
              <w:rPr>
                <w:b/>
                <w:bCs/>
                <w:sz w:val="16"/>
                <w:szCs w:val="16"/>
                <w:lang w:val="es-MX" w:eastAsia="es-MX"/>
              </w:rPr>
              <w:t>2023</w:t>
            </w:r>
          </w:p>
          <w:p w14:paraId="4044A8E3" w14:textId="4D49D960" w:rsidR="00D73246" w:rsidRPr="009E6D43" w:rsidRDefault="00B8447C" w:rsidP="00D73246">
            <w:pPr>
              <w:jc w:val="center"/>
              <w:rPr>
                <w:b/>
                <w:bCs/>
                <w:smallCaps/>
                <w:sz w:val="16"/>
                <w:szCs w:val="18"/>
                <w:lang w:val="es-MX" w:eastAsia="es-MX"/>
              </w:rPr>
            </w:pPr>
            <w:proofErr w:type="spellStart"/>
            <w:r w:rsidRPr="009E6D43">
              <w:rPr>
                <w:b/>
                <w:bCs/>
                <w:smallCaps/>
                <w:sz w:val="16"/>
                <w:szCs w:val="16"/>
                <w:lang w:val="es-MX" w:eastAsia="es-MX"/>
              </w:rPr>
              <w:t>enoe</w:t>
            </w:r>
            <w:proofErr w:type="spellEnd"/>
          </w:p>
        </w:tc>
        <w:tc>
          <w:tcPr>
            <w:tcW w:w="1053" w:type="dxa"/>
            <w:vMerge/>
            <w:tcBorders>
              <w:top w:val="single" w:sz="4" w:space="0" w:color="1F497D"/>
              <w:left w:val="single" w:sz="4" w:space="0" w:color="1F497D"/>
              <w:bottom w:val="single" w:sz="4" w:space="0" w:color="1F497D"/>
              <w:right w:val="single" w:sz="4" w:space="0" w:color="1F497D"/>
            </w:tcBorders>
            <w:vAlign w:val="center"/>
            <w:hideMark/>
          </w:tcPr>
          <w:p w14:paraId="250FF298" w14:textId="77777777" w:rsidR="00D73246" w:rsidRPr="009E6D43" w:rsidRDefault="00D73246" w:rsidP="00D73246">
            <w:pPr>
              <w:jc w:val="left"/>
              <w:rPr>
                <w:b/>
                <w:bCs/>
                <w:color w:val="000000"/>
                <w:sz w:val="16"/>
                <w:szCs w:val="18"/>
                <w:lang w:val="es-MX" w:eastAsia="es-MX"/>
              </w:rPr>
            </w:pPr>
          </w:p>
        </w:tc>
      </w:tr>
      <w:tr w:rsidR="0094101C" w:rsidRPr="009E6D43" w14:paraId="0102B9C4" w14:textId="77777777" w:rsidTr="00B417A3">
        <w:trPr>
          <w:trHeight w:val="284"/>
          <w:jc w:val="center"/>
        </w:trPr>
        <w:tc>
          <w:tcPr>
            <w:tcW w:w="3758" w:type="dxa"/>
            <w:vMerge/>
            <w:tcBorders>
              <w:top w:val="single" w:sz="4" w:space="0" w:color="1F497D"/>
              <w:left w:val="single" w:sz="4" w:space="0" w:color="1F497D"/>
              <w:bottom w:val="single" w:sz="4" w:space="0" w:color="1F497D"/>
              <w:right w:val="single" w:sz="4" w:space="0" w:color="1F497D"/>
            </w:tcBorders>
            <w:vAlign w:val="center"/>
            <w:hideMark/>
          </w:tcPr>
          <w:p w14:paraId="2BA5CC30" w14:textId="77777777" w:rsidR="0094101C" w:rsidRPr="009E6D43" w:rsidRDefault="0094101C" w:rsidP="005C1830">
            <w:pPr>
              <w:jc w:val="left"/>
              <w:rPr>
                <w:b/>
                <w:bCs/>
                <w:color w:val="000000"/>
                <w:sz w:val="16"/>
                <w:szCs w:val="18"/>
                <w:lang w:val="es-MX" w:eastAsia="es-MX"/>
              </w:rPr>
            </w:pPr>
          </w:p>
        </w:tc>
        <w:tc>
          <w:tcPr>
            <w:tcW w:w="3236"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2970C75" w14:textId="77777777" w:rsidR="0094101C" w:rsidRPr="009E6D43" w:rsidRDefault="0094101C" w:rsidP="005C1830">
            <w:pPr>
              <w:jc w:val="center"/>
              <w:rPr>
                <w:b/>
                <w:bCs/>
                <w:color w:val="000000"/>
                <w:sz w:val="16"/>
                <w:szCs w:val="16"/>
                <w:lang w:val="es-MX" w:eastAsia="es-MX"/>
              </w:rPr>
            </w:pPr>
            <w:r w:rsidRPr="009E6D43">
              <w:rPr>
                <w:b/>
                <w:bCs/>
                <w:color w:val="000000"/>
                <w:sz w:val="16"/>
                <w:szCs w:val="16"/>
                <w:lang w:val="es-MX" w:eastAsia="es-MX"/>
              </w:rPr>
              <w:t>Absolutos</w:t>
            </w:r>
          </w:p>
        </w:tc>
        <w:tc>
          <w:tcPr>
            <w:tcW w:w="2589"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C58EC3" w14:textId="08359714" w:rsidR="0094101C" w:rsidRPr="009E6D43" w:rsidRDefault="0094101C" w:rsidP="005C1830">
            <w:pPr>
              <w:jc w:val="center"/>
              <w:rPr>
                <w:b/>
                <w:bCs/>
                <w:color w:val="000000"/>
                <w:sz w:val="16"/>
                <w:szCs w:val="16"/>
                <w:lang w:val="es-MX" w:eastAsia="es-MX"/>
              </w:rPr>
            </w:pPr>
            <w:proofErr w:type="spellStart"/>
            <w:r w:rsidRPr="009E6D43">
              <w:rPr>
                <w:b/>
                <w:bCs/>
                <w:color w:val="000000"/>
                <w:sz w:val="16"/>
                <w:szCs w:val="16"/>
                <w:lang w:val="es-MX" w:eastAsia="es-MX"/>
              </w:rPr>
              <w:t>Relativos</w:t>
            </w:r>
            <w:r w:rsidR="00F42A10" w:rsidRPr="009E6D43">
              <w:rPr>
                <w:b/>
                <w:bCs/>
                <w:color w:val="000000"/>
                <w:sz w:val="18"/>
                <w:szCs w:val="16"/>
                <w:vertAlign w:val="superscript"/>
                <w:lang w:val="es-MX" w:eastAsia="es-MX"/>
              </w:rPr>
              <w:t>a</w:t>
            </w:r>
            <w:proofErr w:type="spellEnd"/>
            <w:r w:rsidR="00F42A10" w:rsidRPr="009E6D43">
              <w:rPr>
                <w:b/>
                <w:bCs/>
                <w:color w:val="000000"/>
                <w:sz w:val="18"/>
                <w:szCs w:val="16"/>
                <w:vertAlign w:val="superscript"/>
                <w:lang w:val="es-MX" w:eastAsia="es-MX"/>
              </w:rPr>
              <w:t>/</w:t>
            </w:r>
          </w:p>
        </w:tc>
      </w:tr>
      <w:tr w:rsidR="00CF65DE" w:rsidRPr="009E6D43" w14:paraId="7D68102F" w14:textId="77777777" w:rsidTr="00CF65DE">
        <w:trPr>
          <w:trHeight w:val="227"/>
          <w:jc w:val="center"/>
        </w:trPr>
        <w:tc>
          <w:tcPr>
            <w:tcW w:w="3758" w:type="dxa"/>
            <w:tcBorders>
              <w:top w:val="nil"/>
              <w:left w:val="single" w:sz="4" w:space="0" w:color="1F497D"/>
              <w:bottom w:val="nil"/>
              <w:right w:val="nil"/>
            </w:tcBorders>
            <w:shd w:val="clear" w:color="auto" w:fill="auto"/>
            <w:noWrap/>
            <w:vAlign w:val="center"/>
            <w:hideMark/>
          </w:tcPr>
          <w:p w14:paraId="609D4F65" w14:textId="77777777" w:rsidR="00CF65DE" w:rsidRPr="009E6D43" w:rsidRDefault="00CF65DE" w:rsidP="00CF65DE">
            <w:pPr>
              <w:jc w:val="left"/>
              <w:rPr>
                <w:b/>
                <w:bCs/>
                <w:color w:val="000000"/>
                <w:sz w:val="16"/>
                <w:szCs w:val="16"/>
                <w:lang w:val="es-MX" w:eastAsia="es-MX"/>
              </w:rPr>
            </w:pPr>
            <w:r w:rsidRPr="009E6D43">
              <w:rPr>
                <w:b/>
                <w:bCs/>
                <w:color w:val="000000"/>
                <w:sz w:val="16"/>
                <w:szCs w:val="16"/>
                <w:lang w:val="es-MX" w:eastAsia="es-MX"/>
              </w:rPr>
              <w:t>Total</w:t>
            </w:r>
          </w:p>
        </w:tc>
        <w:tc>
          <w:tcPr>
            <w:tcW w:w="1082" w:type="dxa"/>
            <w:tcBorders>
              <w:top w:val="nil"/>
              <w:left w:val="single" w:sz="4" w:space="0" w:color="1F497D"/>
              <w:bottom w:val="nil"/>
              <w:right w:val="nil"/>
            </w:tcBorders>
            <w:shd w:val="clear" w:color="auto" w:fill="auto"/>
            <w:noWrap/>
            <w:vAlign w:val="center"/>
          </w:tcPr>
          <w:p w14:paraId="0DFBC291" w14:textId="5923198D" w:rsidR="00CF65DE" w:rsidRPr="009E6D43" w:rsidRDefault="00CF65DE" w:rsidP="00CF65DE">
            <w:pPr>
              <w:tabs>
                <w:tab w:val="decimal" w:pos="819"/>
              </w:tabs>
              <w:jc w:val="left"/>
              <w:rPr>
                <w:b/>
                <w:bCs/>
                <w:color w:val="000000"/>
                <w:sz w:val="16"/>
                <w:szCs w:val="16"/>
                <w:lang w:val="es-MX" w:eastAsia="es-MX"/>
              </w:rPr>
            </w:pPr>
            <w:r w:rsidRPr="009E6D43">
              <w:rPr>
                <w:b/>
                <w:bCs/>
                <w:color w:val="000000"/>
                <w:sz w:val="16"/>
                <w:szCs w:val="16"/>
              </w:rPr>
              <w:t xml:space="preserve"> 4 205 464</w:t>
            </w:r>
          </w:p>
        </w:tc>
        <w:tc>
          <w:tcPr>
            <w:tcW w:w="1082" w:type="dxa"/>
            <w:tcBorders>
              <w:top w:val="nil"/>
              <w:left w:val="nil"/>
              <w:bottom w:val="nil"/>
              <w:right w:val="nil"/>
            </w:tcBorders>
            <w:shd w:val="clear" w:color="auto" w:fill="auto"/>
            <w:noWrap/>
            <w:vAlign w:val="center"/>
          </w:tcPr>
          <w:p w14:paraId="0E63F0B2" w14:textId="0F0063BD" w:rsidR="00CF65DE" w:rsidRPr="009E6D43" w:rsidRDefault="00CF65DE" w:rsidP="00CF65DE">
            <w:pPr>
              <w:tabs>
                <w:tab w:val="decimal" w:pos="804"/>
              </w:tabs>
              <w:jc w:val="left"/>
              <w:rPr>
                <w:b/>
                <w:bCs/>
                <w:color w:val="000000"/>
                <w:sz w:val="16"/>
                <w:szCs w:val="16"/>
                <w:lang w:val="es-MX" w:eastAsia="es-MX"/>
              </w:rPr>
            </w:pPr>
            <w:r w:rsidRPr="009E6D43">
              <w:rPr>
                <w:b/>
                <w:bCs/>
                <w:color w:val="000000"/>
                <w:sz w:val="16"/>
                <w:szCs w:val="16"/>
              </w:rPr>
              <w:t xml:space="preserve"> 4 514 118</w:t>
            </w:r>
          </w:p>
        </w:tc>
        <w:tc>
          <w:tcPr>
            <w:tcW w:w="1072" w:type="dxa"/>
            <w:tcBorders>
              <w:top w:val="nil"/>
              <w:left w:val="nil"/>
              <w:bottom w:val="nil"/>
              <w:right w:val="single" w:sz="4" w:space="0" w:color="1F497D"/>
            </w:tcBorders>
            <w:shd w:val="clear" w:color="auto" w:fill="auto"/>
            <w:noWrap/>
            <w:vAlign w:val="center"/>
          </w:tcPr>
          <w:p w14:paraId="2B15A319" w14:textId="7C8721CA" w:rsidR="00CF65DE" w:rsidRPr="009E6D43" w:rsidRDefault="00CF65DE" w:rsidP="00CF65DE">
            <w:pPr>
              <w:tabs>
                <w:tab w:val="decimal" w:pos="818"/>
              </w:tabs>
              <w:jc w:val="left"/>
              <w:rPr>
                <w:b/>
                <w:bCs/>
                <w:color w:val="000000"/>
                <w:sz w:val="16"/>
                <w:szCs w:val="16"/>
                <w:lang w:val="es-MX" w:eastAsia="es-MX"/>
              </w:rPr>
            </w:pPr>
            <w:r w:rsidRPr="009E6D43">
              <w:rPr>
                <w:b/>
                <w:bCs/>
                <w:color w:val="000000"/>
                <w:sz w:val="16"/>
                <w:szCs w:val="16"/>
              </w:rPr>
              <w:t>308 654</w:t>
            </w:r>
          </w:p>
        </w:tc>
        <w:tc>
          <w:tcPr>
            <w:tcW w:w="755" w:type="dxa"/>
            <w:tcBorders>
              <w:top w:val="nil"/>
              <w:left w:val="nil"/>
              <w:bottom w:val="nil"/>
              <w:right w:val="nil"/>
            </w:tcBorders>
            <w:shd w:val="clear" w:color="auto" w:fill="auto"/>
            <w:noWrap/>
            <w:vAlign w:val="center"/>
          </w:tcPr>
          <w:p w14:paraId="781EC607" w14:textId="0E64281B" w:rsidR="00CF65DE" w:rsidRPr="009E6D43" w:rsidRDefault="00CF65DE" w:rsidP="00CF65DE">
            <w:pPr>
              <w:tabs>
                <w:tab w:val="decimal" w:pos="314"/>
              </w:tabs>
              <w:jc w:val="left"/>
              <w:rPr>
                <w:b/>
                <w:bCs/>
                <w:color w:val="000000"/>
                <w:sz w:val="16"/>
                <w:szCs w:val="16"/>
                <w:lang w:val="es-MX" w:eastAsia="es-MX"/>
              </w:rPr>
            </w:pPr>
            <w:r w:rsidRPr="009E6D43">
              <w:rPr>
                <w:b/>
                <w:bCs/>
                <w:color w:val="000000"/>
                <w:sz w:val="16"/>
                <w:szCs w:val="16"/>
              </w:rPr>
              <w:t>100.0</w:t>
            </w:r>
          </w:p>
        </w:tc>
        <w:tc>
          <w:tcPr>
            <w:tcW w:w="781" w:type="dxa"/>
            <w:tcBorders>
              <w:top w:val="nil"/>
              <w:left w:val="nil"/>
              <w:bottom w:val="nil"/>
              <w:right w:val="nil"/>
            </w:tcBorders>
            <w:shd w:val="clear" w:color="auto" w:fill="auto"/>
            <w:noWrap/>
            <w:vAlign w:val="center"/>
          </w:tcPr>
          <w:p w14:paraId="4F9FF37A" w14:textId="0625057E" w:rsidR="00CF65DE" w:rsidRPr="009E6D43" w:rsidRDefault="00CF65DE" w:rsidP="00CF65DE">
            <w:pPr>
              <w:tabs>
                <w:tab w:val="decimal" w:pos="325"/>
              </w:tabs>
              <w:jc w:val="left"/>
              <w:rPr>
                <w:b/>
                <w:bCs/>
                <w:color w:val="000000"/>
                <w:sz w:val="16"/>
                <w:szCs w:val="16"/>
              </w:rPr>
            </w:pPr>
            <w:r w:rsidRPr="009E6D43">
              <w:rPr>
                <w:b/>
                <w:bCs/>
                <w:color w:val="000000"/>
                <w:sz w:val="16"/>
                <w:szCs w:val="16"/>
              </w:rPr>
              <w:t>100.0</w:t>
            </w:r>
          </w:p>
        </w:tc>
        <w:tc>
          <w:tcPr>
            <w:tcW w:w="1053" w:type="dxa"/>
            <w:tcBorders>
              <w:top w:val="nil"/>
              <w:left w:val="nil"/>
              <w:bottom w:val="nil"/>
              <w:right w:val="single" w:sz="4" w:space="0" w:color="1F497D"/>
            </w:tcBorders>
            <w:shd w:val="clear" w:color="auto" w:fill="auto"/>
            <w:noWrap/>
            <w:vAlign w:val="center"/>
          </w:tcPr>
          <w:p w14:paraId="464C6FC1" w14:textId="087DD647" w:rsidR="00CF65DE" w:rsidRPr="009E6D43" w:rsidRDefault="00CF65DE" w:rsidP="00CF65DE">
            <w:pPr>
              <w:tabs>
                <w:tab w:val="decimal" w:pos="447"/>
              </w:tabs>
              <w:jc w:val="left"/>
              <w:rPr>
                <w:b/>
                <w:bCs/>
                <w:color w:val="000000"/>
                <w:sz w:val="16"/>
                <w:szCs w:val="16"/>
                <w:lang w:val="es-MX" w:eastAsia="es-MX"/>
              </w:rPr>
            </w:pPr>
            <w:r w:rsidRPr="009E6D43">
              <w:rPr>
                <w:b/>
                <w:bCs/>
                <w:color w:val="000000"/>
                <w:sz w:val="16"/>
                <w:szCs w:val="16"/>
              </w:rPr>
              <w:t> </w:t>
            </w:r>
          </w:p>
        </w:tc>
      </w:tr>
      <w:tr w:rsidR="00CF65DE" w:rsidRPr="009E6D43" w14:paraId="33040FB0" w14:textId="77777777" w:rsidTr="00CF65DE">
        <w:trPr>
          <w:trHeight w:val="227"/>
          <w:jc w:val="center"/>
        </w:trPr>
        <w:tc>
          <w:tcPr>
            <w:tcW w:w="3758" w:type="dxa"/>
            <w:tcBorders>
              <w:top w:val="nil"/>
              <w:left w:val="single" w:sz="4" w:space="0" w:color="1F497D"/>
              <w:bottom w:val="nil"/>
              <w:right w:val="nil"/>
            </w:tcBorders>
            <w:shd w:val="clear" w:color="auto" w:fill="auto"/>
            <w:noWrap/>
            <w:vAlign w:val="center"/>
            <w:hideMark/>
          </w:tcPr>
          <w:p w14:paraId="1C41C972"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Trabajadores subordinados y remunerados</w:t>
            </w:r>
          </w:p>
        </w:tc>
        <w:tc>
          <w:tcPr>
            <w:tcW w:w="1082" w:type="dxa"/>
            <w:tcBorders>
              <w:top w:val="nil"/>
              <w:left w:val="single" w:sz="4" w:space="0" w:color="1F497D"/>
              <w:bottom w:val="nil"/>
              <w:right w:val="nil"/>
            </w:tcBorders>
            <w:shd w:val="clear" w:color="auto" w:fill="auto"/>
            <w:noWrap/>
            <w:vAlign w:val="center"/>
          </w:tcPr>
          <w:p w14:paraId="22D9E352" w14:textId="27DECBDE" w:rsidR="00CF65DE" w:rsidRPr="009E6D43" w:rsidRDefault="00CF65DE" w:rsidP="00CF65DE">
            <w:pPr>
              <w:tabs>
                <w:tab w:val="decimal" w:pos="819"/>
              </w:tabs>
              <w:jc w:val="left"/>
              <w:rPr>
                <w:color w:val="000000"/>
                <w:sz w:val="16"/>
                <w:szCs w:val="16"/>
                <w:lang w:val="es-MX" w:eastAsia="es-MX"/>
              </w:rPr>
            </w:pPr>
            <w:r w:rsidRPr="009E6D43">
              <w:rPr>
                <w:color w:val="000000"/>
                <w:sz w:val="16"/>
                <w:szCs w:val="16"/>
              </w:rPr>
              <w:t xml:space="preserve"> 1 814 071</w:t>
            </w:r>
          </w:p>
        </w:tc>
        <w:tc>
          <w:tcPr>
            <w:tcW w:w="1082" w:type="dxa"/>
            <w:tcBorders>
              <w:top w:val="nil"/>
              <w:left w:val="nil"/>
              <w:bottom w:val="nil"/>
              <w:right w:val="nil"/>
            </w:tcBorders>
            <w:shd w:val="clear" w:color="auto" w:fill="auto"/>
            <w:noWrap/>
            <w:vAlign w:val="center"/>
          </w:tcPr>
          <w:p w14:paraId="1BF29084" w14:textId="0D60ECCA" w:rsidR="00CF65DE" w:rsidRPr="009E6D43" w:rsidRDefault="00CF65DE" w:rsidP="00CF65DE">
            <w:pPr>
              <w:tabs>
                <w:tab w:val="decimal" w:pos="804"/>
              </w:tabs>
              <w:jc w:val="left"/>
              <w:rPr>
                <w:color w:val="000000"/>
                <w:sz w:val="16"/>
                <w:szCs w:val="16"/>
                <w:lang w:val="es-MX" w:eastAsia="es-MX"/>
              </w:rPr>
            </w:pPr>
            <w:r w:rsidRPr="009E6D43">
              <w:rPr>
                <w:color w:val="000000"/>
                <w:sz w:val="16"/>
                <w:szCs w:val="16"/>
              </w:rPr>
              <w:t xml:space="preserve"> 2 169 602</w:t>
            </w:r>
          </w:p>
        </w:tc>
        <w:tc>
          <w:tcPr>
            <w:tcW w:w="1072" w:type="dxa"/>
            <w:tcBorders>
              <w:top w:val="nil"/>
              <w:left w:val="nil"/>
              <w:bottom w:val="nil"/>
              <w:right w:val="single" w:sz="4" w:space="0" w:color="1F497D"/>
            </w:tcBorders>
            <w:shd w:val="clear" w:color="auto" w:fill="auto"/>
            <w:noWrap/>
            <w:vAlign w:val="center"/>
          </w:tcPr>
          <w:p w14:paraId="439ED59F" w14:textId="0064B147" w:rsidR="00CF65DE" w:rsidRPr="009E6D43" w:rsidRDefault="00CF65DE" w:rsidP="00CF65DE">
            <w:pPr>
              <w:tabs>
                <w:tab w:val="decimal" w:pos="818"/>
              </w:tabs>
              <w:jc w:val="left"/>
              <w:rPr>
                <w:color w:val="000000"/>
                <w:sz w:val="16"/>
                <w:szCs w:val="16"/>
                <w:lang w:val="es-MX" w:eastAsia="es-MX"/>
              </w:rPr>
            </w:pPr>
            <w:r w:rsidRPr="009E6D43">
              <w:rPr>
                <w:color w:val="000000"/>
                <w:sz w:val="16"/>
                <w:szCs w:val="16"/>
              </w:rPr>
              <w:t>355 531</w:t>
            </w:r>
          </w:p>
        </w:tc>
        <w:tc>
          <w:tcPr>
            <w:tcW w:w="755" w:type="dxa"/>
            <w:tcBorders>
              <w:top w:val="nil"/>
              <w:left w:val="nil"/>
              <w:bottom w:val="nil"/>
              <w:right w:val="nil"/>
            </w:tcBorders>
            <w:shd w:val="clear" w:color="auto" w:fill="auto"/>
            <w:noWrap/>
            <w:vAlign w:val="center"/>
          </w:tcPr>
          <w:p w14:paraId="3F75FB0B" w14:textId="1B21404F" w:rsidR="00CF65DE" w:rsidRPr="009E6D43" w:rsidRDefault="00CF65DE" w:rsidP="00CF65DE">
            <w:pPr>
              <w:tabs>
                <w:tab w:val="decimal" w:pos="325"/>
              </w:tabs>
              <w:jc w:val="left"/>
              <w:rPr>
                <w:color w:val="000000"/>
                <w:sz w:val="16"/>
                <w:szCs w:val="16"/>
                <w:lang w:val="es-MX" w:eastAsia="es-MX"/>
              </w:rPr>
            </w:pPr>
            <w:r w:rsidRPr="009E6D43">
              <w:rPr>
                <w:color w:val="000000"/>
                <w:sz w:val="16"/>
                <w:szCs w:val="16"/>
              </w:rPr>
              <w:t>43.1</w:t>
            </w:r>
          </w:p>
        </w:tc>
        <w:tc>
          <w:tcPr>
            <w:tcW w:w="781" w:type="dxa"/>
            <w:tcBorders>
              <w:top w:val="nil"/>
              <w:left w:val="nil"/>
              <w:bottom w:val="nil"/>
              <w:right w:val="nil"/>
            </w:tcBorders>
            <w:shd w:val="clear" w:color="auto" w:fill="auto"/>
            <w:noWrap/>
            <w:vAlign w:val="center"/>
          </w:tcPr>
          <w:p w14:paraId="2C2CBD5F" w14:textId="3048185C" w:rsidR="00CF65DE" w:rsidRPr="009E6D43" w:rsidRDefault="00CF65DE" w:rsidP="00CF65DE">
            <w:pPr>
              <w:tabs>
                <w:tab w:val="decimal" w:pos="325"/>
              </w:tabs>
              <w:jc w:val="left"/>
              <w:rPr>
                <w:bCs/>
                <w:color w:val="000000"/>
                <w:sz w:val="16"/>
                <w:szCs w:val="16"/>
              </w:rPr>
            </w:pPr>
            <w:r w:rsidRPr="009E6D43">
              <w:rPr>
                <w:color w:val="000000"/>
                <w:sz w:val="16"/>
                <w:szCs w:val="16"/>
              </w:rPr>
              <w:t>48.1</w:t>
            </w:r>
          </w:p>
        </w:tc>
        <w:tc>
          <w:tcPr>
            <w:tcW w:w="1053" w:type="dxa"/>
            <w:tcBorders>
              <w:top w:val="nil"/>
              <w:left w:val="nil"/>
              <w:bottom w:val="nil"/>
              <w:right w:val="single" w:sz="4" w:space="0" w:color="1F497D"/>
            </w:tcBorders>
            <w:shd w:val="clear" w:color="auto" w:fill="auto"/>
            <w:noWrap/>
            <w:vAlign w:val="center"/>
          </w:tcPr>
          <w:p w14:paraId="4B69C053" w14:textId="6DFBFC8A" w:rsidR="00CF65DE" w:rsidRPr="009E6D43" w:rsidRDefault="00CF65DE" w:rsidP="00CF65DE">
            <w:pPr>
              <w:tabs>
                <w:tab w:val="decimal" w:pos="447"/>
              </w:tabs>
              <w:jc w:val="left"/>
              <w:rPr>
                <w:color w:val="000000"/>
                <w:sz w:val="16"/>
                <w:szCs w:val="16"/>
                <w:lang w:val="es-MX" w:eastAsia="es-MX"/>
              </w:rPr>
            </w:pPr>
            <w:r w:rsidRPr="009E6D43">
              <w:rPr>
                <w:color w:val="000000"/>
                <w:sz w:val="16"/>
                <w:szCs w:val="16"/>
              </w:rPr>
              <w:t>4.9</w:t>
            </w:r>
          </w:p>
        </w:tc>
      </w:tr>
      <w:tr w:rsidR="00CF65DE" w:rsidRPr="009E6D43" w14:paraId="3F726995" w14:textId="77777777" w:rsidTr="00CF65DE">
        <w:trPr>
          <w:trHeight w:val="227"/>
          <w:jc w:val="center"/>
        </w:trPr>
        <w:tc>
          <w:tcPr>
            <w:tcW w:w="3758" w:type="dxa"/>
            <w:tcBorders>
              <w:top w:val="nil"/>
              <w:left w:val="single" w:sz="4" w:space="0" w:color="1F497D"/>
              <w:bottom w:val="nil"/>
              <w:right w:val="nil"/>
            </w:tcBorders>
            <w:shd w:val="clear" w:color="auto" w:fill="auto"/>
            <w:noWrap/>
            <w:vAlign w:val="center"/>
            <w:hideMark/>
          </w:tcPr>
          <w:p w14:paraId="3DDA9D1E"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Empleadores</w:t>
            </w:r>
          </w:p>
        </w:tc>
        <w:tc>
          <w:tcPr>
            <w:tcW w:w="1082" w:type="dxa"/>
            <w:tcBorders>
              <w:top w:val="nil"/>
              <w:left w:val="single" w:sz="4" w:space="0" w:color="1F497D"/>
              <w:bottom w:val="nil"/>
              <w:right w:val="nil"/>
            </w:tcBorders>
            <w:shd w:val="clear" w:color="auto" w:fill="auto"/>
            <w:noWrap/>
            <w:vAlign w:val="center"/>
          </w:tcPr>
          <w:p w14:paraId="06CA5AFF" w14:textId="5ECF5E66" w:rsidR="00CF65DE" w:rsidRPr="009E6D43" w:rsidRDefault="00CF65DE" w:rsidP="00CF65DE">
            <w:pPr>
              <w:tabs>
                <w:tab w:val="decimal" w:pos="819"/>
              </w:tabs>
              <w:jc w:val="left"/>
              <w:rPr>
                <w:color w:val="000000"/>
                <w:sz w:val="16"/>
                <w:szCs w:val="16"/>
                <w:lang w:val="es-MX" w:eastAsia="es-MX"/>
              </w:rPr>
            </w:pPr>
            <w:r w:rsidRPr="009E6D43">
              <w:rPr>
                <w:color w:val="000000"/>
                <w:sz w:val="16"/>
                <w:szCs w:val="16"/>
              </w:rPr>
              <w:t xml:space="preserve">  247 235</w:t>
            </w:r>
          </w:p>
        </w:tc>
        <w:tc>
          <w:tcPr>
            <w:tcW w:w="1082" w:type="dxa"/>
            <w:tcBorders>
              <w:top w:val="nil"/>
              <w:left w:val="nil"/>
              <w:bottom w:val="nil"/>
              <w:right w:val="nil"/>
            </w:tcBorders>
            <w:shd w:val="clear" w:color="auto" w:fill="auto"/>
            <w:noWrap/>
            <w:vAlign w:val="center"/>
          </w:tcPr>
          <w:p w14:paraId="1C11ACF9" w14:textId="4D904084" w:rsidR="00CF65DE" w:rsidRPr="009E6D43" w:rsidRDefault="00CF65DE" w:rsidP="00CF65DE">
            <w:pPr>
              <w:tabs>
                <w:tab w:val="decimal" w:pos="804"/>
              </w:tabs>
              <w:jc w:val="left"/>
              <w:rPr>
                <w:color w:val="000000"/>
                <w:sz w:val="16"/>
                <w:szCs w:val="16"/>
                <w:lang w:val="es-MX" w:eastAsia="es-MX"/>
              </w:rPr>
            </w:pPr>
            <w:r w:rsidRPr="009E6D43">
              <w:rPr>
                <w:color w:val="000000"/>
                <w:sz w:val="16"/>
                <w:szCs w:val="16"/>
              </w:rPr>
              <w:t xml:space="preserve">  250 164</w:t>
            </w:r>
          </w:p>
        </w:tc>
        <w:tc>
          <w:tcPr>
            <w:tcW w:w="1072" w:type="dxa"/>
            <w:tcBorders>
              <w:top w:val="nil"/>
              <w:left w:val="nil"/>
              <w:bottom w:val="nil"/>
              <w:right w:val="single" w:sz="4" w:space="0" w:color="1F497D"/>
            </w:tcBorders>
            <w:shd w:val="clear" w:color="auto" w:fill="auto"/>
            <w:noWrap/>
            <w:vAlign w:val="center"/>
          </w:tcPr>
          <w:p w14:paraId="6D25991B" w14:textId="75B2A04B" w:rsidR="00CF65DE" w:rsidRPr="009E6D43" w:rsidRDefault="00CF65DE" w:rsidP="00CF65DE">
            <w:pPr>
              <w:tabs>
                <w:tab w:val="decimal" w:pos="818"/>
              </w:tabs>
              <w:jc w:val="left"/>
              <w:rPr>
                <w:color w:val="000000"/>
                <w:sz w:val="16"/>
                <w:szCs w:val="16"/>
                <w:lang w:val="es-MX" w:eastAsia="es-MX"/>
              </w:rPr>
            </w:pPr>
            <w:r w:rsidRPr="009E6D43">
              <w:rPr>
                <w:color w:val="000000"/>
                <w:sz w:val="16"/>
                <w:szCs w:val="16"/>
              </w:rPr>
              <w:t>2 929</w:t>
            </w:r>
          </w:p>
        </w:tc>
        <w:tc>
          <w:tcPr>
            <w:tcW w:w="755" w:type="dxa"/>
            <w:tcBorders>
              <w:top w:val="nil"/>
              <w:left w:val="nil"/>
              <w:bottom w:val="nil"/>
              <w:right w:val="nil"/>
            </w:tcBorders>
            <w:shd w:val="clear" w:color="auto" w:fill="auto"/>
            <w:noWrap/>
            <w:vAlign w:val="center"/>
          </w:tcPr>
          <w:p w14:paraId="566F9A0B" w14:textId="3143859A" w:rsidR="00CF65DE" w:rsidRPr="009E6D43" w:rsidRDefault="00CF65DE" w:rsidP="00CF65DE">
            <w:pPr>
              <w:tabs>
                <w:tab w:val="decimal" w:pos="325"/>
              </w:tabs>
              <w:jc w:val="left"/>
              <w:rPr>
                <w:color w:val="000000"/>
                <w:sz w:val="16"/>
                <w:szCs w:val="16"/>
                <w:lang w:val="es-MX" w:eastAsia="es-MX"/>
              </w:rPr>
            </w:pPr>
            <w:r w:rsidRPr="009E6D43">
              <w:rPr>
                <w:color w:val="000000"/>
                <w:sz w:val="16"/>
                <w:szCs w:val="16"/>
              </w:rPr>
              <w:t>5.9</w:t>
            </w:r>
          </w:p>
        </w:tc>
        <w:tc>
          <w:tcPr>
            <w:tcW w:w="781" w:type="dxa"/>
            <w:tcBorders>
              <w:top w:val="nil"/>
              <w:left w:val="nil"/>
              <w:bottom w:val="nil"/>
              <w:right w:val="nil"/>
            </w:tcBorders>
            <w:shd w:val="clear" w:color="auto" w:fill="auto"/>
            <w:noWrap/>
            <w:vAlign w:val="center"/>
          </w:tcPr>
          <w:p w14:paraId="12756DF1" w14:textId="0A6A46EF" w:rsidR="00CF65DE" w:rsidRPr="009E6D43" w:rsidRDefault="00CF65DE" w:rsidP="00CF65DE">
            <w:pPr>
              <w:tabs>
                <w:tab w:val="decimal" w:pos="325"/>
              </w:tabs>
              <w:jc w:val="left"/>
              <w:rPr>
                <w:bCs/>
                <w:color w:val="000000"/>
                <w:sz w:val="16"/>
                <w:szCs w:val="16"/>
              </w:rPr>
            </w:pPr>
            <w:r w:rsidRPr="009E6D43">
              <w:rPr>
                <w:color w:val="000000"/>
                <w:sz w:val="16"/>
                <w:szCs w:val="16"/>
              </w:rPr>
              <w:t>5.5</w:t>
            </w:r>
          </w:p>
        </w:tc>
        <w:tc>
          <w:tcPr>
            <w:tcW w:w="1053" w:type="dxa"/>
            <w:tcBorders>
              <w:top w:val="nil"/>
              <w:left w:val="nil"/>
              <w:bottom w:val="nil"/>
              <w:right w:val="single" w:sz="4" w:space="0" w:color="1F497D"/>
            </w:tcBorders>
            <w:shd w:val="clear" w:color="auto" w:fill="auto"/>
            <w:noWrap/>
            <w:vAlign w:val="center"/>
          </w:tcPr>
          <w:p w14:paraId="3E077724" w14:textId="0CC2A1E6" w:rsidR="00CF65DE" w:rsidRPr="009E6D43" w:rsidRDefault="00CF65DE" w:rsidP="00CF65DE">
            <w:pPr>
              <w:tabs>
                <w:tab w:val="decimal" w:pos="447"/>
              </w:tabs>
              <w:jc w:val="left"/>
              <w:rPr>
                <w:color w:val="000000"/>
                <w:sz w:val="16"/>
                <w:szCs w:val="16"/>
                <w:lang w:val="es-MX" w:eastAsia="es-MX"/>
              </w:rPr>
            </w:pPr>
            <w:r w:rsidRPr="009E6D43">
              <w:rPr>
                <w:color w:val="000000"/>
                <w:sz w:val="16"/>
                <w:szCs w:val="16"/>
              </w:rPr>
              <w:t>-0.3</w:t>
            </w:r>
          </w:p>
        </w:tc>
      </w:tr>
      <w:tr w:rsidR="00CF65DE" w:rsidRPr="009E6D43" w14:paraId="047F094B" w14:textId="77777777" w:rsidTr="00CF65DE">
        <w:trPr>
          <w:trHeight w:val="227"/>
          <w:jc w:val="center"/>
        </w:trPr>
        <w:tc>
          <w:tcPr>
            <w:tcW w:w="3758" w:type="dxa"/>
            <w:tcBorders>
              <w:top w:val="nil"/>
              <w:left w:val="single" w:sz="4" w:space="0" w:color="1F497D"/>
              <w:right w:val="nil"/>
            </w:tcBorders>
            <w:shd w:val="clear" w:color="auto" w:fill="auto"/>
            <w:noWrap/>
            <w:vAlign w:val="center"/>
            <w:hideMark/>
          </w:tcPr>
          <w:p w14:paraId="23495A3D"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Trabajadores por cuenta propia</w:t>
            </w:r>
          </w:p>
        </w:tc>
        <w:tc>
          <w:tcPr>
            <w:tcW w:w="1082" w:type="dxa"/>
            <w:tcBorders>
              <w:top w:val="nil"/>
              <w:left w:val="single" w:sz="4" w:space="0" w:color="1F497D"/>
              <w:right w:val="nil"/>
            </w:tcBorders>
            <w:shd w:val="clear" w:color="auto" w:fill="auto"/>
            <w:noWrap/>
            <w:vAlign w:val="center"/>
          </w:tcPr>
          <w:p w14:paraId="50179938" w14:textId="4F8534FC" w:rsidR="00CF65DE" w:rsidRPr="009E6D43" w:rsidRDefault="00CF65DE" w:rsidP="00CF65DE">
            <w:pPr>
              <w:tabs>
                <w:tab w:val="decimal" w:pos="819"/>
              </w:tabs>
              <w:jc w:val="left"/>
              <w:rPr>
                <w:color w:val="000000"/>
                <w:sz w:val="16"/>
                <w:szCs w:val="16"/>
                <w:lang w:val="es-MX" w:eastAsia="es-MX"/>
              </w:rPr>
            </w:pPr>
            <w:r w:rsidRPr="009E6D43">
              <w:rPr>
                <w:color w:val="000000"/>
                <w:sz w:val="16"/>
                <w:szCs w:val="16"/>
              </w:rPr>
              <w:t xml:space="preserve"> 1 900 737</w:t>
            </w:r>
          </w:p>
        </w:tc>
        <w:tc>
          <w:tcPr>
            <w:tcW w:w="1082" w:type="dxa"/>
            <w:tcBorders>
              <w:top w:val="nil"/>
              <w:left w:val="nil"/>
              <w:right w:val="nil"/>
            </w:tcBorders>
            <w:shd w:val="clear" w:color="auto" w:fill="auto"/>
            <w:noWrap/>
            <w:vAlign w:val="center"/>
          </w:tcPr>
          <w:p w14:paraId="345DE8FD" w14:textId="129B6694" w:rsidR="00CF65DE" w:rsidRPr="009E6D43" w:rsidRDefault="00CF65DE" w:rsidP="00CF65DE">
            <w:pPr>
              <w:tabs>
                <w:tab w:val="decimal" w:pos="804"/>
              </w:tabs>
              <w:jc w:val="left"/>
              <w:rPr>
                <w:color w:val="000000"/>
                <w:sz w:val="16"/>
                <w:szCs w:val="16"/>
                <w:lang w:val="es-MX" w:eastAsia="es-MX"/>
              </w:rPr>
            </w:pPr>
            <w:r w:rsidRPr="009E6D43">
              <w:rPr>
                <w:color w:val="000000"/>
                <w:sz w:val="16"/>
                <w:szCs w:val="16"/>
              </w:rPr>
              <w:t xml:space="preserve"> 1 875 795</w:t>
            </w:r>
          </w:p>
        </w:tc>
        <w:tc>
          <w:tcPr>
            <w:tcW w:w="1072" w:type="dxa"/>
            <w:tcBorders>
              <w:top w:val="nil"/>
              <w:left w:val="nil"/>
              <w:right w:val="single" w:sz="4" w:space="0" w:color="1F497D"/>
            </w:tcBorders>
            <w:shd w:val="clear" w:color="auto" w:fill="auto"/>
            <w:noWrap/>
            <w:vAlign w:val="center"/>
          </w:tcPr>
          <w:p w14:paraId="11BFFE1E" w14:textId="17EB677F" w:rsidR="00CF65DE" w:rsidRPr="009E6D43" w:rsidRDefault="00CF65DE" w:rsidP="00CF65DE">
            <w:pPr>
              <w:tabs>
                <w:tab w:val="decimal" w:pos="818"/>
              </w:tabs>
              <w:jc w:val="left"/>
              <w:rPr>
                <w:color w:val="000000"/>
                <w:sz w:val="16"/>
                <w:szCs w:val="16"/>
                <w:lang w:val="es-MX" w:eastAsia="es-MX"/>
              </w:rPr>
            </w:pPr>
            <w:r w:rsidRPr="009E6D43">
              <w:rPr>
                <w:color w:val="000000"/>
                <w:sz w:val="16"/>
                <w:szCs w:val="16"/>
              </w:rPr>
              <w:t>-24 942</w:t>
            </w:r>
          </w:p>
        </w:tc>
        <w:tc>
          <w:tcPr>
            <w:tcW w:w="755" w:type="dxa"/>
            <w:tcBorders>
              <w:top w:val="nil"/>
              <w:left w:val="nil"/>
              <w:right w:val="nil"/>
            </w:tcBorders>
            <w:shd w:val="clear" w:color="auto" w:fill="auto"/>
            <w:noWrap/>
            <w:vAlign w:val="center"/>
          </w:tcPr>
          <w:p w14:paraId="0D846DF6" w14:textId="175D65EF" w:rsidR="00CF65DE" w:rsidRPr="009E6D43" w:rsidRDefault="00CF65DE" w:rsidP="00CF65DE">
            <w:pPr>
              <w:tabs>
                <w:tab w:val="decimal" w:pos="325"/>
              </w:tabs>
              <w:jc w:val="left"/>
              <w:rPr>
                <w:color w:val="000000"/>
                <w:sz w:val="16"/>
                <w:szCs w:val="16"/>
                <w:lang w:val="es-MX" w:eastAsia="es-MX"/>
              </w:rPr>
            </w:pPr>
            <w:r w:rsidRPr="009E6D43">
              <w:rPr>
                <w:color w:val="000000"/>
                <w:sz w:val="16"/>
                <w:szCs w:val="16"/>
              </w:rPr>
              <w:t>45.2</w:t>
            </w:r>
          </w:p>
        </w:tc>
        <w:tc>
          <w:tcPr>
            <w:tcW w:w="781" w:type="dxa"/>
            <w:tcBorders>
              <w:top w:val="nil"/>
              <w:left w:val="nil"/>
              <w:right w:val="nil"/>
            </w:tcBorders>
            <w:shd w:val="clear" w:color="auto" w:fill="auto"/>
            <w:noWrap/>
            <w:vAlign w:val="center"/>
          </w:tcPr>
          <w:p w14:paraId="2C7B3E86" w14:textId="582F85E2" w:rsidR="00CF65DE" w:rsidRPr="009E6D43" w:rsidRDefault="00CF65DE" w:rsidP="00CF65DE">
            <w:pPr>
              <w:tabs>
                <w:tab w:val="decimal" w:pos="325"/>
              </w:tabs>
              <w:jc w:val="left"/>
              <w:rPr>
                <w:bCs/>
                <w:color w:val="000000"/>
                <w:sz w:val="16"/>
                <w:szCs w:val="16"/>
              </w:rPr>
            </w:pPr>
            <w:r w:rsidRPr="009E6D43">
              <w:rPr>
                <w:color w:val="000000"/>
                <w:sz w:val="16"/>
                <w:szCs w:val="16"/>
              </w:rPr>
              <w:t>41.6</w:t>
            </w:r>
          </w:p>
        </w:tc>
        <w:tc>
          <w:tcPr>
            <w:tcW w:w="1053" w:type="dxa"/>
            <w:tcBorders>
              <w:top w:val="nil"/>
              <w:left w:val="nil"/>
              <w:right w:val="single" w:sz="4" w:space="0" w:color="1F497D"/>
            </w:tcBorders>
            <w:shd w:val="clear" w:color="auto" w:fill="auto"/>
            <w:noWrap/>
            <w:vAlign w:val="center"/>
          </w:tcPr>
          <w:p w14:paraId="0F1A7173" w14:textId="78525187" w:rsidR="00CF65DE" w:rsidRPr="009E6D43" w:rsidRDefault="00CF65DE" w:rsidP="00CF65DE">
            <w:pPr>
              <w:tabs>
                <w:tab w:val="decimal" w:pos="447"/>
              </w:tabs>
              <w:jc w:val="left"/>
              <w:rPr>
                <w:color w:val="000000"/>
                <w:sz w:val="16"/>
                <w:szCs w:val="16"/>
                <w:lang w:val="es-MX" w:eastAsia="es-MX"/>
              </w:rPr>
            </w:pPr>
            <w:r w:rsidRPr="009E6D43">
              <w:rPr>
                <w:color w:val="000000"/>
                <w:sz w:val="16"/>
                <w:szCs w:val="16"/>
              </w:rPr>
              <w:t>-3.6</w:t>
            </w:r>
          </w:p>
        </w:tc>
      </w:tr>
      <w:tr w:rsidR="00CF65DE" w:rsidRPr="009E6D43" w14:paraId="077E5200" w14:textId="77777777" w:rsidTr="00CF65DE">
        <w:trPr>
          <w:trHeight w:val="227"/>
          <w:jc w:val="center"/>
        </w:trPr>
        <w:tc>
          <w:tcPr>
            <w:tcW w:w="3758" w:type="dxa"/>
            <w:tcBorders>
              <w:top w:val="nil"/>
              <w:left w:val="single" w:sz="4" w:space="0" w:color="1F497D"/>
              <w:bottom w:val="single" w:sz="4" w:space="0" w:color="1F497D"/>
              <w:right w:val="nil"/>
            </w:tcBorders>
            <w:shd w:val="clear" w:color="auto" w:fill="auto"/>
            <w:noWrap/>
            <w:vAlign w:val="center"/>
            <w:hideMark/>
          </w:tcPr>
          <w:p w14:paraId="189444C9"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Trabajadores no remunerados</w:t>
            </w:r>
          </w:p>
        </w:tc>
        <w:tc>
          <w:tcPr>
            <w:tcW w:w="1082" w:type="dxa"/>
            <w:tcBorders>
              <w:top w:val="nil"/>
              <w:left w:val="single" w:sz="4" w:space="0" w:color="1F497D"/>
              <w:bottom w:val="single" w:sz="4" w:space="0" w:color="1F497D"/>
              <w:right w:val="nil"/>
            </w:tcBorders>
            <w:shd w:val="clear" w:color="auto" w:fill="auto"/>
            <w:noWrap/>
            <w:vAlign w:val="center"/>
          </w:tcPr>
          <w:p w14:paraId="0B1F91E3" w14:textId="13DA794F" w:rsidR="00CF65DE" w:rsidRPr="009E6D43" w:rsidRDefault="00CF65DE" w:rsidP="00CF65DE">
            <w:pPr>
              <w:tabs>
                <w:tab w:val="decimal" w:pos="819"/>
              </w:tabs>
              <w:jc w:val="left"/>
              <w:rPr>
                <w:color w:val="000000"/>
                <w:sz w:val="16"/>
                <w:szCs w:val="16"/>
                <w:lang w:val="es-MX" w:eastAsia="es-MX"/>
              </w:rPr>
            </w:pPr>
            <w:r w:rsidRPr="009E6D43">
              <w:rPr>
                <w:color w:val="000000"/>
                <w:sz w:val="16"/>
                <w:szCs w:val="16"/>
              </w:rPr>
              <w:t xml:space="preserve">  243 421</w:t>
            </w:r>
          </w:p>
        </w:tc>
        <w:tc>
          <w:tcPr>
            <w:tcW w:w="1082" w:type="dxa"/>
            <w:tcBorders>
              <w:top w:val="nil"/>
              <w:left w:val="nil"/>
              <w:bottom w:val="single" w:sz="4" w:space="0" w:color="1F497D"/>
              <w:right w:val="nil"/>
            </w:tcBorders>
            <w:shd w:val="clear" w:color="auto" w:fill="auto"/>
            <w:noWrap/>
            <w:vAlign w:val="center"/>
          </w:tcPr>
          <w:p w14:paraId="552C7426" w14:textId="3F0D21E4" w:rsidR="00CF65DE" w:rsidRPr="009E6D43" w:rsidRDefault="00CF65DE" w:rsidP="00CF65DE">
            <w:pPr>
              <w:tabs>
                <w:tab w:val="decimal" w:pos="804"/>
              </w:tabs>
              <w:jc w:val="left"/>
              <w:rPr>
                <w:color w:val="000000"/>
                <w:sz w:val="16"/>
                <w:szCs w:val="16"/>
                <w:lang w:val="es-MX" w:eastAsia="es-MX"/>
              </w:rPr>
            </w:pPr>
            <w:r w:rsidRPr="009E6D43">
              <w:rPr>
                <w:color w:val="000000"/>
                <w:sz w:val="16"/>
                <w:szCs w:val="16"/>
              </w:rPr>
              <w:t xml:space="preserve">  218 557</w:t>
            </w:r>
          </w:p>
        </w:tc>
        <w:tc>
          <w:tcPr>
            <w:tcW w:w="1072" w:type="dxa"/>
            <w:tcBorders>
              <w:top w:val="nil"/>
              <w:left w:val="nil"/>
              <w:bottom w:val="single" w:sz="4" w:space="0" w:color="1F497D"/>
              <w:right w:val="single" w:sz="4" w:space="0" w:color="1F497D"/>
            </w:tcBorders>
            <w:shd w:val="clear" w:color="auto" w:fill="auto"/>
            <w:noWrap/>
            <w:vAlign w:val="center"/>
          </w:tcPr>
          <w:p w14:paraId="2570C8F9" w14:textId="4975D829" w:rsidR="00CF65DE" w:rsidRPr="009E6D43" w:rsidRDefault="00CF65DE" w:rsidP="00CF65DE">
            <w:pPr>
              <w:tabs>
                <w:tab w:val="decimal" w:pos="818"/>
              </w:tabs>
              <w:jc w:val="left"/>
              <w:rPr>
                <w:color w:val="000000"/>
                <w:sz w:val="16"/>
                <w:szCs w:val="16"/>
                <w:lang w:val="es-MX" w:eastAsia="es-MX"/>
              </w:rPr>
            </w:pPr>
            <w:r w:rsidRPr="009E6D43">
              <w:rPr>
                <w:color w:val="000000"/>
                <w:sz w:val="16"/>
                <w:szCs w:val="16"/>
              </w:rPr>
              <w:t>-24 864</w:t>
            </w:r>
          </w:p>
        </w:tc>
        <w:tc>
          <w:tcPr>
            <w:tcW w:w="755" w:type="dxa"/>
            <w:tcBorders>
              <w:top w:val="nil"/>
              <w:left w:val="nil"/>
              <w:bottom w:val="single" w:sz="4" w:space="0" w:color="1F497D"/>
              <w:right w:val="nil"/>
            </w:tcBorders>
            <w:shd w:val="clear" w:color="auto" w:fill="auto"/>
            <w:noWrap/>
            <w:vAlign w:val="center"/>
          </w:tcPr>
          <w:p w14:paraId="72DAB2E6" w14:textId="19DB8F4C" w:rsidR="00CF65DE" w:rsidRPr="009E6D43" w:rsidRDefault="00CF65DE" w:rsidP="00CF65DE">
            <w:pPr>
              <w:tabs>
                <w:tab w:val="decimal" w:pos="325"/>
              </w:tabs>
              <w:jc w:val="left"/>
              <w:rPr>
                <w:color w:val="000000"/>
                <w:sz w:val="16"/>
                <w:szCs w:val="16"/>
                <w:lang w:val="es-MX" w:eastAsia="es-MX"/>
              </w:rPr>
            </w:pPr>
            <w:r w:rsidRPr="009E6D43">
              <w:rPr>
                <w:color w:val="000000"/>
                <w:sz w:val="16"/>
                <w:szCs w:val="16"/>
              </w:rPr>
              <w:t>5.8</w:t>
            </w:r>
          </w:p>
        </w:tc>
        <w:tc>
          <w:tcPr>
            <w:tcW w:w="781" w:type="dxa"/>
            <w:tcBorders>
              <w:top w:val="nil"/>
              <w:left w:val="nil"/>
              <w:bottom w:val="single" w:sz="4" w:space="0" w:color="1F497D"/>
              <w:right w:val="nil"/>
            </w:tcBorders>
            <w:shd w:val="clear" w:color="auto" w:fill="auto"/>
            <w:noWrap/>
            <w:vAlign w:val="center"/>
          </w:tcPr>
          <w:p w14:paraId="4B0E1578" w14:textId="1FD72125" w:rsidR="00CF65DE" w:rsidRPr="009E6D43" w:rsidRDefault="00CF65DE" w:rsidP="00CF65DE">
            <w:pPr>
              <w:tabs>
                <w:tab w:val="decimal" w:pos="325"/>
              </w:tabs>
              <w:jc w:val="left"/>
              <w:rPr>
                <w:bCs/>
                <w:color w:val="000000"/>
                <w:sz w:val="16"/>
                <w:szCs w:val="16"/>
              </w:rPr>
            </w:pPr>
            <w:r w:rsidRPr="009E6D43">
              <w:rPr>
                <w:color w:val="000000"/>
                <w:sz w:val="16"/>
                <w:szCs w:val="16"/>
              </w:rPr>
              <w:t>4.8</w:t>
            </w:r>
          </w:p>
        </w:tc>
        <w:tc>
          <w:tcPr>
            <w:tcW w:w="1053" w:type="dxa"/>
            <w:tcBorders>
              <w:top w:val="nil"/>
              <w:left w:val="nil"/>
              <w:bottom w:val="single" w:sz="4" w:space="0" w:color="1F497D"/>
              <w:right w:val="single" w:sz="4" w:space="0" w:color="1F497D"/>
            </w:tcBorders>
            <w:shd w:val="clear" w:color="auto" w:fill="auto"/>
            <w:noWrap/>
            <w:vAlign w:val="center"/>
          </w:tcPr>
          <w:p w14:paraId="765A766E" w14:textId="1BF38DE3" w:rsidR="00CF65DE" w:rsidRPr="009E6D43" w:rsidRDefault="00CF65DE" w:rsidP="00CF65DE">
            <w:pPr>
              <w:tabs>
                <w:tab w:val="decimal" w:pos="447"/>
              </w:tabs>
              <w:jc w:val="left"/>
              <w:rPr>
                <w:color w:val="000000"/>
                <w:sz w:val="16"/>
                <w:szCs w:val="16"/>
                <w:lang w:val="es-MX" w:eastAsia="es-MX"/>
              </w:rPr>
            </w:pPr>
            <w:r w:rsidRPr="009E6D43">
              <w:rPr>
                <w:color w:val="000000"/>
                <w:sz w:val="16"/>
                <w:szCs w:val="16"/>
              </w:rPr>
              <w:t>-0.9</w:t>
            </w:r>
          </w:p>
        </w:tc>
      </w:tr>
    </w:tbl>
    <w:p w14:paraId="141C7D2E" w14:textId="7C5E8D5F" w:rsidR="00F42A10" w:rsidRPr="009E6D43" w:rsidRDefault="00F42A10" w:rsidP="00D05C91">
      <w:pPr>
        <w:pStyle w:val="n0"/>
        <w:keepLines w:val="0"/>
        <w:spacing w:before="0"/>
        <w:ind w:left="851" w:right="476" w:hanging="567"/>
        <w:rPr>
          <w:color w:val="auto"/>
          <w:sz w:val="16"/>
          <w:szCs w:val="16"/>
        </w:rPr>
      </w:pPr>
      <w:r w:rsidRPr="009E6D43">
        <w:rPr>
          <w:color w:val="auto"/>
          <w:sz w:val="18"/>
          <w:szCs w:val="16"/>
          <w:vertAlign w:val="superscript"/>
        </w:rPr>
        <w:t>a/</w:t>
      </w:r>
      <w:r w:rsidRPr="009E6D43">
        <w:rPr>
          <w:color w:val="auto"/>
          <w:sz w:val="16"/>
          <w:szCs w:val="16"/>
        </w:rPr>
        <w:tab/>
      </w:r>
      <w:r w:rsidR="00D323B0" w:rsidRPr="009E6D43">
        <w:rPr>
          <w:color w:val="auto"/>
          <w:sz w:val="16"/>
          <w:szCs w:val="16"/>
        </w:rPr>
        <w:t>Porcentaje</w:t>
      </w:r>
      <w:r w:rsidRPr="009E6D43">
        <w:rPr>
          <w:color w:val="auto"/>
          <w:sz w:val="16"/>
          <w:szCs w:val="16"/>
        </w:rPr>
        <w:t xml:space="preserve"> </w:t>
      </w:r>
      <w:r w:rsidR="00E02E94" w:rsidRPr="009E6D43">
        <w:rPr>
          <w:color w:val="auto"/>
          <w:sz w:val="16"/>
          <w:szCs w:val="16"/>
        </w:rPr>
        <w:t>respecto a</w:t>
      </w:r>
      <w:r w:rsidRPr="009E6D43">
        <w:rPr>
          <w:color w:val="auto"/>
          <w:sz w:val="16"/>
          <w:szCs w:val="16"/>
        </w:rPr>
        <w:t xml:space="preserve"> la población </w:t>
      </w:r>
      <w:proofErr w:type="spellStart"/>
      <w:r w:rsidRPr="009E6D43">
        <w:rPr>
          <w:color w:val="auto"/>
          <w:sz w:val="16"/>
          <w:szCs w:val="16"/>
        </w:rPr>
        <w:t>subocupada</w:t>
      </w:r>
      <w:proofErr w:type="spellEnd"/>
      <w:r w:rsidR="00633799" w:rsidRPr="009E6D43">
        <w:rPr>
          <w:color w:val="auto"/>
          <w:sz w:val="16"/>
          <w:szCs w:val="16"/>
        </w:rPr>
        <w:t>.</w:t>
      </w:r>
    </w:p>
    <w:p w14:paraId="23FB0383" w14:textId="1FAF9555" w:rsidR="00A85A9E" w:rsidRPr="009E6D43" w:rsidRDefault="00A85A9E" w:rsidP="00755109">
      <w:pPr>
        <w:pStyle w:val="n0"/>
        <w:keepLines w:val="0"/>
        <w:spacing w:before="0"/>
        <w:ind w:right="476" w:hanging="425"/>
        <w:rPr>
          <w:color w:val="auto"/>
          <w:sz w:val="16"/>
          <w:szCs w:val="16"/>
        </w:rPr>
      </w:pPr>
      <w:r w:rsidRPr="009E6D43">
        <w:rPr>
          <w:color w:val="auto"/>
          <w:sz w:val="16"/>
          <w:szCs w:val="16"/>
        </w:rPr>
        <w:t>Fuente:</w:t>
      </w:r>
      <w:r w:rsidR="00FB2744" w:rsidRPr="009E6D43">
        <w:rPr>
          <w:color w:val="auto"/>
          <w:sz w:val="16"/>
          <w:szCs w:val="16"/>
        </w:rPr>
        <w:tab/>
      </w:r>
      <w:proofErr w:type="spellStart"/>
      <w:r w:rsidR="00B8447C" w:rsidRPr="009E6D43">
        <w:rPr>
          <w:smallCaps/>
          <w:color w:val="auto"/>
          <w:sz w:val="16"/>
          <w:szCs w:val="16"/>
        </w:rPr>
        <w:t>inegi</w:t>
      </w:r>
      <w:proofErr w:type="spellEnd"/>
      <w:r w:rsidR="00155506" w:rsidRPr="009E6D43">
        <w:rPr>
          <w:color w:val="auto"/>
          <w:sz w:val="16"/>
          <w:szCs w:val="16"/>
        </w:rPr>
        <w:t xml:space="preserve">. </w:t>
      </w:r>
      <w:proofErr w:type="spellStart"/>
      <w:r w:rsidR="00B8447C" w:rsidRPr="009E6D43">
        <w:rPr>
          <w:smallCaps/>
          <w:color w:val="auto"/>
          <w:sz w:val="16"/>
          <w:szCs w:val="16"/>
        </w:rPr>
        <w:t>enoe</w:t>
      </w:r>
      <w:r w:rsidR="00B8447C" w:rsidRPr="009E6D43">
        <w:rPr>
          <w:smallCaps/>
          <w:color w:val="auto"/>
          <w:sz w:val="16"/>
          <w:szCs w:val="16"/>
          <w:vertAlign w:val="superscript"/>
        </w:rPr>
        <w:t>n</w:t>
      </w:r>
      <w:proofErr w:type="spellEnd"/>
      <w:r w:rsidR="003574D7" w:rsidRPr="009E6D43">
        <w:rPr>
          <w:color w:val="auto"/>
          <w:sz w:val="16"/>
          <w:szCs w:val="16"/>
        </w:rPr>
        <w:t>, 2022</w:t>
      </w:r>
      <w:r w:rsidR="00755109" w:rsidRPr="009E6D43">
        <w:rPr>
          <w:color w:val="auto"/>
          <w:sz w:val="16"/>
          <w:szCs w:val="16"/>
        </w:rPr>
        <w:t xml:space="preserve">. </w:t>
      </w:r>
      <w:proofErr w:type="spellStart"/>
      <w:r w:rsidR="00B8447C" w:rsidRPr="009E6D43">
        <w:rPr>
          <w:smallCaps/>
          <w:color w:val="auto"/>
          <w:sz w:val="16"/>
          <w:szCs w:val="16"/>
        </w:rPr>
        <w:t>enoe</w:t>
      </w:r>
      <w:proofErr w:type="spellEnd"/>
      <w:r w:rsidR="003574D7" w:rsidRPr="009E6D43">
        <w:rPr>
          <w:color w:val="auto"/>
          <w:sz w:val="16"/>
          <w:szCs w:val="16"/>
        </w:rPr>
        <w:t>, 2023</w:t>
      </w:r>
      <w:r w:rsidR="00155506" w:rsidRPr="009E6D43">
        <w:rPr>
          <w:color w:val="auto"/>
          <w:sz w:val="16"/>
          <w:szCs w:val="16"/>
        </w:rPr>
        <w:t>.</w:t>
      </w:r>
    </w:p>
    <w:p w14:paraId="092F5BCB" w14:textId="77777777" w:rsidR="001D124A" w:rsidRDefault="001D124A" w:rsidP="007E7BDA">
      <w:pPr>
        <w:pStyle w:val="n0"/>
        <w:keepLines w:val="0"/>
        <w:ind w:left="0" w:right="0" w:firstLine="0"/>
        <w:rPr>
          <w:color w:val="auto"/>
        </w:rPr>
      </w:pPr>
    </w:p>
    <w:p w14:paraId="6FC27C19" w14:textId="5EE16D6A" w:rsidR="00762487" w:rsidRPr="009E6D43" w:rsidRDefault="00100BCD" w:rsidP="007E7BDA">
      <w:pPr>
        <w:pStyle w:val="n0"/>
        <w:keepLines w:val="0"/>
        <w:ind w:left="0" w:right="0" w:firstLine="0"/>
        <w:rPr>
          <w:b/>
          <w:i/>
          <w:color w:val="auto"/>
        </w:rPr>
      </w:pPr>
      <w:r w:rsidRPr="009E6D43">
        <w:rPr>
          <w:color w:val="auto"/>
        </w:rPr>
        <w:t xml:space="preserve">En </w:t>
      </w:r>
      <w:r w:rsidR="00897117" w:rsidRPr="009E6D43">
        <w:rPr>
          <w:color w:val="auto"/>
        </w:rPr>
        <w:t>dic</w:t>
      </w:r>
      <w:r w:rsidR="00755109" w:rsidRPr="009E6D43">
        <w:rPr>
          <w:color w:val="auto"/>
        </w:rPr>
        <w:t>iembre</w:t>
      </w:r>
      <w:r w:rsidRPr="009E6D43">
        <w:rPr>
          <w:color w:val="auto"/>
        </w:rPr>
        <w:t xml:space="preserve"> de 2023, </w:t>
      </w:r>
      <w:r w:rsidR="005B7E79" w:rsidRPr="009E6D43">
        <w:rPr>
          <w:color w:val="auto"/>
        </w:rPr>
        <w:t>l</w:t>
      </w:r>
      <w:r w:rsidR="00762487" w:rsidRPr="009E6D43">
        <w:rPr>
          <w:color w:val="auto"/>
        </w:rPr>
        <w:t xml:space="preserve">a </w:t>
      </w:r>
      <w:r w:rsidR="005B7E79" w:rsidRPr="009E6D43">
        <w:rPr>
          <w:color w:val="auto"/>
        </w:rPr>
        <w:t>tasa de</w:t>
      </w:r>
      <w:r w:rsidR="00762487" w:rsidRPr="009E6D43">
        <w:rPr>
          <w:color w:val="auto"/>
        </w:rPr>
        <w:t xml:space="preserve"> subocupa</w:t>
      </w:r>
      <w:r w:rsidR="005B7E79" w:rsidRPr="009E6D43">
        <w:rPr>
          <w:color w:val="auto"/>
        </w:rPr>
        <w:t>ción</w:t>
      </w:r>
      <w:r w:rsidR="00762487" w:rsidRPr="009E6D43">
        <w:rPr>
          <w:color w:val="auto"/>
        </w:rPr>
        <w:t xml:space="preserve"> </w:t>
      </w:r>
      <w:r w:rsidR="001A75F8" w:rsidRPr="009E6D43">
        <w:rPr>
          <w:color w:val="auto"/>
        </w:rPr>
        <w:t xml:space="preserve">para el agregado urbano de 32 ciudades </w:t>
      </w:r>
      <w:r w:rsidR="00762487" w:rsidRPr="009E6D43">
        <w:rPr>
          <w:color w:val="auto"/>
        </w:rPr>
        <w:t xml:space="preserve">fue de </w:t>
      </w:r>
      <w:r w:rsidR="00377291" w:rsidRPr="009E6D43">
        <w:rPr>
          <w:color w:val="auto"/>
        </w:rPr>
        <w:t>6.8</w:t>
      </w:r>
      <w:r w:rsidR="00520FC0" w:rsidRPr="009E6D43">
        <w:rPr>
          <w:color w:val="auto"/>
        </w:rPr>
        <w:t> %</w:t>
      </w:r>
      <w:r w:rsidR="005B7E79" w:rsidRPr="009E6D43">
        <w:rPr>
          <w:color w:val="auto"/>
        </w:rPr>
        <w:t xml:space="preserve"> de la población ocupada.</w:t>
      </w:r>
    </w:p>
    <w:p w14:paraId="5DA0065F" w14:textId="77777777" w:rsidR="001D124A" w:rsidRDefault="001D124A" w:rsidP="00737E1C">
      <w:pPr>
        <w:pStyle w:val="Prrafodelista"/>
        <w:widowControl w:val="0"/>
        <w:spacing w:before="360"/>
        <w:ind w:left="284"/>
        <w:rPr>
          <w:b/>
          <w:iCs/>
          <w:lang w:val="es-ES"/>
        </w:rPr>
      </w:pPr>
    </w:p>
    <w:p w14:paraId="131FBE2D" w14:textId="19ED8B35" w:rsidR="00452BE0" w:rsidRPr="009E6D43" w:rsidRDefault="00452BE0" w:rsidP="00737E1C">
      <w:pPr>
        <w:pStyle w:val="Prrafodelista"/>
        <w:widowControl w:val="0"/>
        <w:spacing w:before="360"/>
        <w:ind w:left="284"/>
        <w:rPr>
          <w:b/>
          <w:iCs/>
          <w:lang w:val="es-ES"/>
        </w:rPr>
      </w:pPr>
      <w:r w:rsidRPr="009E6D43">
        <w:rPr>
          <w:b/>
          <w:iCs/>
          <w:lang w:val="es-ES"/>
        </w:rPr>
        <w:lastRenderedPageBreak/>
        <w:t>Informalidad laboral</w:t>
      </w:r>
    </w:p>
    <w:p w14:paraId="5C5FA44B" w14:textId="7BDCCCFF" w:rsidR="00355277" w:rsidRPr="009E6D43" w:rsidRDefault="00452BE0" w:rsidP="00CD18FE">
      <w:pPr>
        <w:pStyle w:val="n01"/>
        <w:keepLines w:val="0"/>
        <w:ind w:left="0" w:firstLine="0"/>
        <w:rPr>
          <w:rFonts w:ascii="Arial" w:hAnsi="Arial"/>
          <w:color w:val="auto"/>
          <w:szCs w:val="22"/>
        </w:rPr>
      </w:pPr>
      <w:r w:rsidRPr="009E6D43">
        <w:rPr>
          <w:rFonts w:ascii="Arial" w:hAnsi="Arial"/>
          <w:color w:val="auto"/>
          <w:szCs w:val="22"/>
        </w:rPr>
        <w:t xml:space="preserve">La </w:t>
      </w:r>
      <w:r w:rsidR="00CE1D31" w:rsidRPr="009E6D43">
        <w:rPr>
          <w:rFonts w:ascii="Arial" w:hAnsi="Arial"/>
          <w:color w:val="auto"/>
          <w:szCs w:val="22"/>
        </w:rPr>
        <w:t xml:space="preserve">población ocupada en la </w:t>
      </w:r>
      <w:r w:rsidRPr="009E6D43">
        <w:rPr>
          <w:rFonts w:ascii="Arial" w:hAnsi="Arial"/>
          <w:color w:val="auto"/>
          <w:szCs w:val="22"/>
        </w:rPr>
        <w:t xml:space="preserve">informalidad laboral </w:t>
      </w:r>
      <w:r w:rsidR="00CE1D31" w:rsidRPr="009E6D43">
        <w:rPr>
          <w:rFonts w:ascii="Arial" w:hAnsi="Arial"/>
          <w:color w:val="auto"/>
          <w:szCs w:val="22"/>
        </w:rPr>
        <w:t>considera</w:t>
      </w:r>
      <w:r w:rsidRPr="009E6D43">
        <w:rPr>
          <w:rFonts w:ascii="Arial" w:hAnsi="Arial"/>
          <w:color w:val="auto"/>
          <w:szCs w:val="22"/>
        </w:rPr>
        <w:t xml:space="preserve">, sin duplicar, </w:t>
      </w:r>
      <w:r w:rsidR="00CE1D31" w:rsidRPr="009E6D43">
        <w:rPr>
          <w:rFonts w:ascii="Arial" w:hAnsi="Arial"/>
          <w:color w:val="auto"/>
          <w:szCs w:val="22"/>
        </w:rPr>
        <w:t xml:space="preserve">a </w:t>
      </w:r>
      <w:r w:rsidR="00943A76" w:rsidRPr="009E6D43">
        <w:rPr>
          <w:rFonts w:ascii="Arial" w:hAnsi="Arial"/>
          <w:color w:val="auto"/>
          <w:szCs w:val="22"/>
        </w:rPr>
        <w:t>quienes s</w:t>
      </w:r>
      <w:r w:rsidRPr="009E6D43">
        <w:rPr>
          <w:rFonts w:ascii="Arial" w:hAnsi="Arial"/>
          <w:color w:val="auto"/>
          <w:szCs w:val="22"/>
        </w:rPr>
        <w:t>on laboralmente vulnerables por la naturaleza de la unidad económica para la que trabajan</w:t>
      </w:r>
      <w:r w:rsidR="00355277" w:rsidRPr="009E6D43">
        <w:rPr>
          <w:rFonts w:ascii="Arial" w:hAnsi="Arial"/>
          <w:color w:val="auto"/>
          <w:szCs w:val="22"/>
        </w:rPr>
        <w:t>.</w:t>
      </w:r>
      <w:r w:rsidRPr="009E6D43">
        <w:rPr>
          <w:rFonts w:ascii="Arial" w:hAnsi="Arial"/>
          <w:color w:val="auto"/>
          <w:szCs w:val="22"/>
        </w:rPr>
        <w:t xml:space="preserve"> </w:t>
      </w:r>
      <w:r w:rsidR="00355277" w:rsidRPr="009E6D43">
        <w:rPr>
          <w:rFonts w:ascii="Arial" w:hAnsi="Arial"/>
          <w:color w:val="auto"/>
          <w:szCs w:val="22"/>
        </w:rPr>
        <w:t xml:space="preserve">También contempla </w:t>
      </w:r>
      <w:r w:rsidR="00E10F61" w:rsidRPr="009E6D43">
        <w:rPr>
          <w:rFonts w:ascii="Arial" w:hAnsi="Arial"/>
          <w:color w:val="auto"/>
          <w:szCs w:val="22"/>
        </w:rPr>
        <w:t>a</w:t>
      </w:r>
      <w:r w:rsidR="00D74681" w:rsidRPr="009E6D43">
        <w:rPr>
          <w:rFonts w:ascii="Arial" w:hAnsi="Arial"/>
          <w:color w:val="auto"/>
          <w:szCs w:val="22"/>
        </w:rPr>
        <w:t xml:space="preserve"> </w:t>
      </w:r>
      <w:r w:rsidR="00455E98" w:rsidRPr="009E6D43">
        <w:rPr>
          <w:rFonts w:ascii="Arial" w:hAnsi="Arial"/>
          <w:color w:val="auto"/>
          <w:szCs w:val="22"/>
        </w:rPr>
        <w:t>las</w:t>
      </w:r>
      <w:r w:rsidRPr="009E6D43">
        <w:rPr>
          <w:rFonts w:ascii="Arial" w:hAnsi="Arial"/>
          <w:color w:val="auto"/>
          <w:szCs w:val="22"/>
        </w:rPr>
        <w:t xml:space="preserve"> </w:t>
      </w:r>
      <w:r w:rsidR="007C2320" w:rsidRPr="009E6D43">
        <w:rPr>
          <w:rFonts w:ascii="Arial" w:hAnsi="Arial"/>
          <w:color w:val="auto"/>
          <w:szCs w:val="22"/>
        </w:rPr>
        <w:t xml:space="preserve">personas </w:t>
      </w:r>
      <w:r w:rsidRPr="009E6D43">
        <w:rPr>
          <w:rFonts w:ascii="Arial" w:hAnsi="Arial"/>
          <w:color w:val="auto"/>
          <w:szCs w:val="22"/>
        </w:rPr>
        <w:t>cuyo vínculo o dependencia laboral no reconoc</w:t>
      </w:r>
      <w:r w:rsidR="004862DA" w:rsidRPr="009E6D43">
        <w:rPr>
          <w:rFonts w:ascii="Arial" w:hAnsi="Arial"/>
          <w:color w:val="auto"/>
          <w:szCs w:val="22"/>
        </w:rPr>
        <w:t>e</w:t>
      </w:r>
      <w:r w:rsidR="00F47BE1" w:rsidRPr="009E6D43">
        <w:rPr>
          <w:rFonts w:ascii="Arial" w:hAnsi="Arial"/>
          <w:color w:val="auto"/>
          <w:szCs w:val="22"/>
        </w:rPr>
        <w:t xml:space="preserve"> </w:t>
      </w:r>
      <w:r w:rsidRPr="009E6D43">
        <w:rPr>
          <w:rFonts w:ascii="Arial" w:hAnsi="Arial"/>
          <w:color w:val="auto"/>
          <w:szCs w:val="22"/>
        </w:rPr>
        <w:t>su fuente de trabajo. Así, se incluye</w:t>
      </w:r>
      <w:r w:rsidR="007F7D0F" w:rsidRPr="009E6D43">
        <w:rPr>
          <w:rFonts w:ascii="Arial" w:hAnsi="Arial"/>
          <w:color w:val="auto"/>
          <w:szCs w:val="22"/>
        </w:rPr>
        <w:t>n</w:t>
      </w:r>
      <w:r w:rsidR="00340B33" w:rsidRPr="009E6D43">
        <w:rPr>
          <w:rFonts w:ascii="Arial" w:hAnsi="Arial"/>
          <w:color w:val="auto"/>
          <w:szCs w:val="22"/>
        </w:rPr>
        <w:t xml:space="preserve"> —además </w:t>
      </w:r>
      <w:r w:rsidRPr="009E6D43">
        <w:rPr>
          <w:rFonts w:ascii="Arial" w:hAnsi="Arial"/>
          <w:color w:val="auto"/>
          <w:szCs w:val="22"/>
        </w:rPr>
        <w:t>de</w:t>
      </w:r>
      <w:r w:rsidR="002948F7" w:rsidRPr="009E6D43">
        <w:rPr>
          <w:rFonts w:ascii="Arial" w:hAnsi="Arial"/>
          <w:color w:val="auto"/>
          <w:szCs w:val="22"/>
        </w:rPr>
        <w:t xml:space="preserve"> </w:t>
      </w:r>
      <w:r w:rsidRPr="009E6D43">
        <w:rPr>
          <w:rFonts w:ascii="Arial" w:hAnsi="Arial"/>
          <w:color w:val="auto"/>
          <w:szCs w:val="22"/>
        </w:rPr>
        <w:t>l</w:t>
      </w:r>
      <w:r w:rsidR="002948F7" w:rsidRPr="009E6D43">
        <w:rPr>
          <w:rFonts w:ascii="Arial" w:hAnsi="Arial"/>
          <w:color w:val="auto"/>
          <w:szCs w:val="22"/>
        </w:rPr>
        <w:t>a población</w:t>
      </w:r>
      <w:r w:rsidRPr="009E6D43">
        <w:rPr>
          <w:rFonts w:ascii="Arial" w:hAnsi="Arial"/>
          <w:color w:val="auto"/>
          <w:szCs w:val="22"/>
        </w:rPr>
        <w:t xml:space="preserve"> que </w:t>
      </w:r>
      <w:r w:rsidR="00B928C4" w:rsidRPr="009E6D43">
        <w:rPr>
          <w:rFonts w:ascii="Arial" w:hAnsi="Arial"/>
          <w:color w:val="auto"/>
          <w:szCs w:val="22"/>
        </w:rPr>
        <w:t>trabaja</w:t>
      </w:r>
      <w:r w:rsidRPr="009E6D43">
        <w:rPr>
          <w:rFonts w:ascii="Arial" w:hAnsi="Arial"/>
          <w:color w:val="auto"/>
          <w:szCs w:val="22"/>
        </w:rPr>
        <w:t xml:space="preserve"> en micronegocios no registrados o sector informal</w:t>
      </w:r>
      <w:r w:rsidR="00DF3756" w:rsidRPr="009E6D43">
        <w:rPr>
          <w:rFonts w:ascii="Arial" w:hAnsi="Arial"/>
          <w:color w:val="auto"/>
          <w:szCs w:val="22"/>
        </w:rPr>
        <w:t xml:space="preserve">— </w:t>
      </w:r>
      <w:r w:rsidRPr="009E6D43">
        <w:rPr>
          <w:rFonts w:ascii="Arial" w:hAnsi="Arial"/>
          <w:color w:val="auto"/>
          <w:szCs w:val="22"/>
        </w:rPr>
        <w:t>otras modalidades análogas</w:t>
      </w:r>
      <w:r w:rsidR="0093543D" w:rsidRPr="009E6D43">
        <w:rPr>
          <w:rFonts w:ascii="Arial" w:hAnsi="Arial"/>
          <w:color w:val="auto"/>
          <w:szCs w:val="22"/>
        </w:rPr>
        <w:t>,</w:t>
      </w:r>
      <w:r w:rsidRPr="009E6D43">
        <w:rPr>
          <w:rFonts w:ascii="Arial" w:hAnsi="Arial"/>
          <w:color w:val="auto"/>
          <w:szCs w:val="22"/>
        </w:rPr>
        <w:t xml:space="preserve"> como </w:t>
      </w:r>
      <w:r w:rsidR="0093543D" w:rsidRPr="009E6D43">
        <w:rPr>
          <w:rFonts w:ascii="Arial" w:hAnsi="Arial"/>
          <w:color w:val="auto"/>
          <w:szCs w:val="22"/>
        </w:rPr>
        <w:t xml:space="preserve">las y </w:t>
      </w:r>
      <w:r w:rsidRPr="009E6D43">
        <w:rPr>
          <w:rFonts w:ascii="Arial" w:hAnsi="Arial"/>
          <w:color w:val="auto"/>
          <w:szCs w:val="22"/>
        </w:rPr>
        <w:t xml:space="preserve">los ocupados por cuenta propia en la agricultura de subsistencia, así como a </w:t>
      </w:r>
      <w:r w:rsidR="00513A5C" w:rsidRPr="009E6D43">
        <w:rPr>
          <w:rFonts w:ascii="Arial" w:hAnsi="Arial"/>
          <w:color w:val="auto"/>
          <w:szCs w:val="22"/>
        </w:rPr>
        <w:t xml:space="preserve">quienes </w:t>
      </w:r>
      <w:r w:rsidRPr="009E6D43">
        <w:rPr>
          <w:rFonts w:ascii="Arial" w:hAnsi="Arial"/>
          <w:color w:val="auto"/>
          <w:szCs w:val="22"/>
        </w:rPr>
        <w:t xml:space="preserve">laboran sin seguridad social y cuyos servicios </w:t>
      </w:r>
      <w:r w:rsidR="00455E98" w:rsidRPr="009E6D43">
        <w:rPr>
          <w:rFonts w:ascii="Arial" w:hAnsi="Arial"/>
          <w:color w:val="auto"/>
          <w:szCs w:val="22"/>
        </w:rPr>
        <w:t xml:space="preserve">los utilizan las </w:t>
      </w:r>
      <w:r w:rsidRPr="009E6D43">
        <w:rPr>
          <w:rFonts w:ascii="Arial" w:hAnsi="Arial"/>
          <w:color w:val="auto"/>
          <w:szCs w:val="22"/>
        </w:rPr>
        <w:t>unidades económicas registradas.</w:t>
      </w:r>
    </w:p>
    <w:p w14:paraId="43CF77D3" w14:textId="70FC6EC2" w:rsidR="00915552" w:rsidRPr="009E6D43" w:rsidRDefault="00BD06B8" w:rsidP="00CD18FE">
      <w:pPr>
        <w:pStyle w:val="n01"/>
        <w:keepLines w:val="0"/>
        <w:ind w:left="0" w:firstLine="0"/>
        <w:rPr>
          <w:rFonts w:ascii="Arial" w:hAnsi="Arial"/>
          <w:color w:val="auto"/>
        </w:rPr>
      </w:pPr>
      <w:r w:rsidRPr="009E6D43">
        <w:rPr>
          <w:rFonts w:ascii="Arial" w:hAnsi="Arial"/>
          <w:color w:val="auto"/>
          <w:szCs w:val="22"/>
        </w:rPr>
        <w:t>En</w:t>
      </w:r>
      <w:r w:rsidR="004271A7" w:rsidRPr="009E6D43">
        <w:rPr>
          <w:rFonts w:ascii="Arial" w:hAnsi="Arial"/>
          <w:color w:val="auto"/>
          <w:szCs w:val="22"/>
        </w:rPr>
        <w:t xml:space="preserve"> </w:t>
      </w:r>
      <w:r w:rsidR="00897117" w:rsidRPr="009E6D43">
        <w:rPr>
          <w:rFonts w:ascii="Arial" w:hAnsi="Arial"/>
          <w:color w:val="auto"/>
          <w:szCs w:val="22"/>
        </w:rPr>
        <w:t>dic</w:t>
      </w:r>
      <w:r w:rsidR="00755109" w:rsidRPr="009E6D43">
        <w:rPr>
          <w:rFonts w:ascii="Arial" w:hAnsi="Arial"/>
          <w:color w:val="auto"/>
          <w:szCs w:val="22"/>
        </w:rPr>
        <w:t>iembre</w:t>
      </w:r>
      <w:r w:rsidR="004271A7" w:rsidRPr="009E6D43">
        <w:rPr>
          <w:rFonts w:ascii="Arial" w:hAnsi="Arial"/>
          <w:color w:val="auto"/>
          <w:szCs w:val="22"/>
        </w:rPr>
        <w:t xml:space="preserve"> de 202</w:t>
      </w:r>
      <w:r w:rsidR="002A0E74" w:rsidRPr="009E6D43">
        <w:rPr>
          <w:rFonts w:ascii="Arial" w:hAnsi="Arial"/>
          <w:color w:val="auto"/>
          <w:szCs w:val="22"/>
        </w:rPr>
        <w:t>3</w:t>
      </w:r>
      <w:r w:rsidR="004271A7" w:rsidRPr="009E6D43">
        <w:rPr>
          <w:rFonts w:ascii="Arial" w:hAnsi="Arial"/>
          <w:color w:val="auto"/>
          <w:szCs w:val="22"/>
        </w:rPr>
        <w:t>, l</w:t>
      </w:r>
      <w:r w:rsidR="00421B24" w:rsidRPr="009E6D43">
        <w:rPr>
          <w:rFonts w:ascii="Arial" w:hAnsi="Arial"/>
          <w:color w:val="auto"/>
          <w:szCs w:val="22"/>
        </w:rPr>
        <w:t xml:space="preserve">a población ocupada en la informalidad laboral </w:t>
      </w:r>
      <w:r w:rsidR="009C5CDF" w:rsidRPr="009E6D43">
        <w:rPr>
          <w:rFonts w:ascii="Arial" w:hAnsi="Arial"/>
          <w:color w:val="auto"/>
          <w:szCs w:val="22"/>
        </w:rPr>
        <w:t>fue de</w:t>
      </w:r>
      <w:r w:rsidR="00CE1D31" w:rsidRPr="009E6D43">
        <w:rPr>
          <w:rFonts w:ascii="Arial" w:hAnsi="Arial"/>
          <w:color w:val="auto"/>
          <w:szCs w:val="22"/>
        </w:rPr>
        <w:t xml:space="preserve"> </w:t>
      </w:r>
      <w:r w:rsidR="00522000" w:rsidRPr="009E6D43">
        <w:rPr>
          <w:rFonts w:ascii="Arial" w:hAnsi="Arial"/>
          <w:color w:val="auto"/>
          <w:szCs w:val="22"/>
        </w:rPr>
        <w:t>3</w:t>
      </w:r>
      <w:r w:rsidR="00B149CA" w:rsidRPr="009E6D43">
        <w:rPr>
          <w:rFonts w:ascii="Arial" w:hAnsi="Arial"/>
          <w:color w:val="auto"/>
          <w:szCs w:val="22"/>
        </w:rPr>
        <w:t>1.7</w:t>
      </w:r>
      <w:r w:rsidR="00CE1D31" w:rsidRPr="009E6D43">
        <w:rPr>
          <w:rFonts w:ascii="Arial" w:hAnsi="Arial"/>
          <w:color w:val="auto"/>
          <w:szCs w:val="22"/>
        </w:rPr>
        <w:t xml:space="preserve"> millones de personas y la </w:t>
      </w:r>
      <w:r w:rsidR="00384B71" w:rsidRPr="009E6D43">
        <w:rPr>
          <w:rFonts w:ascii="Arial" w:hAnsi="Arial"/>
          <w:color w:val="auto"/>
          <w:szCs w:val="22"/>
        </w:rPr>
        <w:t>t</w:t>
      </w:r>
      <w:r w:rsidR="00CE1D31" w:rsidRPr="009E6D43">
        <w:rPr>
          <w:rFonts w:ascii="Arial" w:hAnsi="Arial"/>
          <w:color w:val="auto"/>
          <w:szCs w:val="22"/>
        </w:rPr>
        <w:t xml:space="preserve">asa de </w:t>
      </w:r>
      <w:r w:rsidR="00384B71" w:rsidRPr="009E6D43">
        <w:rPr>
          <w:rFonts w:ascii="Arial" w:hAnsi="Arial"/>
          <w:color w:val="auto"/>
          <w:szCs w:val="22"/>
        </w:rPr>
        <w:t>i</w:t>
      </w:r>
      <w:r w:rsidR="00CE1D31" w:rsidRPr="009E6D43">
        <w:rPr>
          <w:rFonts w:ascii="Arial" w:hAnsi="Arial"/>
          <w:color w:val="auto"/>
          <w:szCs w:val="22"/>
        </w:rPr>
        <w:t xml:space="preserve">nformalidad </w:t>
      </w:r>
      <w:r w:rsidR="00384B71" w:rsidRPr="009E6D43">
        <w:rPr>
          <w:rFonts w:ascii="Arial" w:hAnsi="Arial"/>
          <w:color w:val="auto"/>
          <w:szCs w:val="22"/>
        </w:rPr>
        <w:t>l</w:t>
      </w:r>
      <w:r w:rsidR="00CE1D31" w:rsidRPr="009E6D43">
        <w:rPr>
          <w:rFonts w:ascii="Arial" w:hAnsi="Arial"/>
          <w:color w:val="auto"/>
          <w:szCs w:val="22"/>
        </w:rPr>
        <w:t>aboral 1 (</w:t>
      </w:r>
      <w:r w:rsidR="001E6E10" w:rsidRPr="009E6D43">
        <w:rPr>
          <w:rFonts w:ascii="Arial" w:hAnsi="Arial"/>
          <w:smallCaps/>
          <w:color w:val="auto"/>
          <w:szCs w:val="22"/>
        </w:rPr>
        <w:t>til1</w:t>
      </w:r>
      <w:r w:rsidR="00CE1D31" w:rsidRPr="009E6D43">
        <w:rPr>
          <w:rFonts w:ascii="Arial" w:hAnsi="Arial"/>
          <w:color w:val="auto"/>
          <w:szCs w:val="22"/>
        </w:rPr>
        <w:t xml:space="preserve">) fue </w:t>
      </w:r>
      <w:r w:rsidR="00E11661" w:rsidRPr="009E6D43">
        <w:rPr>
          <w:rFonts w:ascii="Arial" w:hAnsi="Arial"/>
          <w:color w:val="auto"/>
          <w:szCs w:val="22"/>
        </w:rPr>
        <w:t>5</w:t>
      </w:r>
      <w:r w:rsidR="00377291" w:rsidRPr="009E6D43">
        <w:rPr>
          <w:rFonts w:ascii="Arial" w:hAnsi="Arial"/>
          <w:color w:val="auto"/>
          <w:szCs w:val="22"/>
        </w:rPr>
        <w:t>3.6</w:t>
      </w:r>
      <w:r w:rsidR="00520FC0" w:rsidRPr="009E6D43">
        <w:rPr>
          <w:rFonts w:ascii="Arial" w:hAnsi="Arial"/>
          <w:color w:val="auto"/>
          <w:szCs w:val="22"/>
        </w:rPr>
        <w:t> %</w:t>
      </w:r>
      <w:r w:rsidR="00590CAF" w:rsidRPr="009E6D43">
        <w:rPr>
          <w:rFonts w:ascii="Arial" w:hAnsi="Arial"/>
          <w:color w:val="auto"/>
          <w:szCs w:val="22"/>
        </w:rPr>
        <w:t xml:space="preserve"> de la población ocupada</w:t>
      </w:r>
      <w:r w:rsidR="002353D3" w:rsidRPr="009E6D43">
        <w:rPr>
          <w:rFonts w:ascii="Arial" w:hAnsi="Arial"/>
          <w:color w:val="auto"/>
          <w:szCs w:val="22"/>
        </w:rPr>
        <w:t xml:space="preserve">. </w:t>
      </w:r>
      <w:r w:rsidR="002F50DA">
        <w:rPr>
          <w:rFonts w:ascii="Arial" w:hAnsi="Arial"/>
          <w:color w:val="auto"/>
          <w:szCs w:val="22"/>
        </w:rPr>
        <w:t xml:space="preserve">En otras palabras, </w:t>
      </w:r>
      <w:r w:rsidR="00377291" w:rsidRPr="009E6D43">
        <w:rPr>
          <w:rFonts w:ascii="Arial" w:hAnsi="Arial"/>
          <w:color w:val="auto"/>
          <w:szCs w:val="22"/>
        </w:rPr>
        <w:t>disminuy</w:t>
      </w:r>
      <w:r w:rsidR="009C6678" w:rsidRPr="009E6D43">
        <w:rPr>
          <w:rFonts w:ascii="Arial" w:hAnsi="Arial"/>
          <w:color w:val="auto"/>
          <w:szCs w:val="22"/>
        </w:rPr>
        <w:t xml:space="preserve">ó </w:t>
      </w:r>
      <w:r w:rsidR="00377291" w:rsidRPr="009E6D43">
        <w:rPr>
          <w:rFonts w:ascii="Arial" w:hAnsi="Arial"/>
          <w:color w:val="auto"/>
          <w:szCs w:val="22"/>
        </w:rPr>
        <w:t>1.3</w:t>
      </w:r>
      <w:r w:rsidR="009C6678" w:rsidRPr="009E6D43">
        <w:rPr>
          <w:rFonts w:ascii="Arial" w:hAnsi="Arial"/>
          <w:color w:val="auto"/>
          <w:szCs w:val="22"/>
        </w:rPr>
        <w:t xml:space="preserve"> puntos porcentu</w:t>
      </w:r>
      <w:r w:rsidR="008E418A" w:rsidRPr="009E6D43">
        <w:rPr>
          <w:rFonts w:ascii="Arial" w:hAnsi="Arial"/>
          <w:color w:val="auto"/>
          <w:szCs w:val="22"/>
        </w:rPr>
        <w:t>a</w:t>
      </w:r>
      <w:r w:rsidR="009C6678" w:rsidRPr="009E6D43">
        <w:rPr>
          <w:rFonts w:ascii="Arial" w:hAnsi="Arial"/>
          <w:color w:val="auto"/>
          <w:szCs w:val="22"/>
        </w:rPr>
        <w:t>les</w:t>
      </w:r>
      <w:r w:rsidR="006C0166" w:rsidRPr="009E6D43">
        <w:rPr>
          <w:rFonts w:ascii="Arial" w:hAnsi="Arial"/>
          <w:color w:val="auto"/>
          <w:szCs w:val="22"/>
        </w:rPr>
        <w:t xml:space="preserve"> respecto al</w:t>
      </w:r>
      <w:r w:rsidR="0019675B" w:rsidRPr="009E6D43">
        <w:rPr>
          <w:rFonts w:ascii="Arial" w:hAnsi="Arial"/>
          <w:color w:val="auto"/>
          <w:szCs w:val="22"/>
        </w:rPr>
        <w:t xml:space="preserve"> </w:t>
      </w:r>
      <w:r w:rsidR="00755109" w:rsidRPr="009E6D43">
        <w:rPr>
          <w:rFonts w:ascii="Arial" w:hAnsi="Arial"/>
          <w:color w:val="auto"/>
          <w:szCs w:val="22"/>
        </w:rPr>
        <w:t>último</w:t>
      </w:r>
      <w:r w:rsidR="004A3E2A" w:rsidRPr="009E6D43">
        <w:rPr>
          <w:rFonts w:ascii="Arial" w:hAnsi="Arial"/>
          <w:color w:val="auto"/>
          <w:szCs w:val="22"/>
        </w:rPr>
        <w:t xml:space="preserve"> </w:t>
      </w:r>
      <w:r w:rsidR="00EB4941" w:rsidRPr="009E6D43">
        <w:rPr>
          <w:rFonts w:ascii="Arial" w:hAnsi="Arial"/>
          <w:color w:val="auto"/>
          <w:szCs w:val="22"/>
        </w:rPr>
        <w:t xml:space="preserve">mes </w:t>
      </w:r>
      <w:r w:rsidR="00452BE0" w:rsidRPr="009E6D43">
        <w:rPr>
          <w:rFonts w:ascii="Arial" w:hAnsi="Arial"/>
          <w:color w:val="auto"/>
        </w:rPr>
        <w:t>de</w:t>
      </w:r>
      <w:r w:rsidR="001E66FB" w:rsidRPr="009E6D43">
        <w:rPr>
          <w:rFonts w:ascii="Arial" w:hAnsi="Arial"/>
          <w:color w:val="auto"/>
        </w:rPr>
        <w:t xml:space="preserve"> </w:t>
      </w:r>
      <w:r w:rsidR="00403A91" w:rsidRPr="009E6D43">
        <w:rPr>
          <w:rFonts w:ascii="Arial" w:hAnsi="Arial"/>
          <w:color w:val="auto"/>
        </w:rPr>
        <w:t>202</w:t>
      </w:r>
      <w:r w:rsidR="002A0E74" w:rsidRPr="009E6D43">
        <w:rPr>
          <w:rFonts w:ascii="Arial" w:hAnsi="Arial"/>
          <w:color w:val="auto"/>
        </w:rPr>
        <w:t>2</w:t>
      </w:r>
      <w:r w:rsidR="00452BE0" w:rsidRPr="009E6D43">
        <w:rPr>
          <w:rFonts w:ascii="Arial" w:hAnsi="Arial"/>
          <w:color w:val="auto"/>
          <w:szCs w:val="22"/>
        </w:rPr>
        <w:t>.</w:t>
      </w:r>
      <w:r w:rsidR="00915552" w:rsidRPr="009E6D43">
        <w:rPr>
          <w:rFonts w:ascii="Arial" w:hAnsi="Arial"/>
          <w:color w:val="auto"/>
          <w:szCs w:val="22"/>
        </w:rPr>
        <w:t xml:space="preserve"> </w:t>
      </w:r>
      <w:r w:rsidR="00915552" w:rsidRPr="009E6D43">
        <w:rPr>
          <w:rFonts w:ascii="Arial" w:hAnsi="Arial"/>
          <w:color w:val="auto"/>
        </w:rPr>
        <w:t>Para el agregado de</w:t>
      </w:r>
      <w:r w:rsidR="00BC5311" w:rsidRPr="009E6D43">
        <w:rPr>
          <w:rFonts w:ascii="Arial" w:hAnsi="Arial"/>
          <w:color w:val="auto"/>
        </w:rPr>
        <w:t xml:space="preserve"> </w:t>
      </w:r>
      <w:r w:rsidR="00915552" w:rsidRPr="009E6D43">
        <w:rPr>
          <w:rFonts w:ascii="Arial" w:hAnsi="Arial"/>
          <w:color w:val="auto"/>
        </w:rPr>
        <w:t xml:space="preserve">32 ciudades, la </w:t>
      </w:r>
      <w:r w:rsidR="001E6E10" w:rsidRPr="009E6D43">
        <w:rPr>
          <w:rFonts w:ascii="Arial" w:hAnsi="Arial"/>
          <w:smallCaps/>
          <w:color w:val="auto"/>
        </w:rPr>
        <w:t>til1</w:t>
      </w:r>
      <w:r w:rsidR="00915552" w:rsidRPr="009E6D43">
        <w:rPr>
          <w:rFonts w:ascii="Arial" w:hAnsi="Arial"/>
          <w:color w:val="auto"/>
        </w:rPr>
        <w:t xml:space="preserve"> se situó en 4</w:t>
      </w:r>
      <w:r w:rsidR="00377291" w:rsidRPr="009E6D43">
        <w:rPr>
          <w:rFonts w:ascii="Arial" w:hAnsi="Arial"/>
          <w:color w:val="auto"/>
        </w:rPr>
        <w:t>2.2</w:t>
      </w:r>
      <w:r w:rsidR="00520FC0" w:rsidRPr="009E6D43">
        <w:rPr>
          <w:rFonts w:ascii="Arial" w:hAnsi="Arial"/>
          <w:color w:val="auto"/>
        </w:rPr>
        <w:t> %</w:t>
      </w:r>
      <w:r w:rsidR="00491F16">
        <w:rPr>
          <w:rFonts w:ascii="Arial" w:hAnsi="Arial"/>
          <w:color w:val="auto"/>
        </w:rPr>
        <w:t xml:space="preserve"> </w:t>
      </w:r>
      <w:r w:rsidR="00915552" w:rsidRPr="009E6D43">
        <w:rPr>
          <w:rFonts w:ascii="Arial" w:hAnsi="Arial"/>
          <w:color w:val="auto"/>
        </w:rPr>
        <w:t xml:space="preserve">durante el mes </w:t>
      </w:r>
      <w:r w:rsidR="00E21C7A" w:rsidRPr="009E6D43">
        <w:rPr>
          <w:rFonts w:ascii="Arial" w:hAnsi="Arial"/>
          <w:color w:val="auto"/>
        </w:rPr>
        <w:t>de referencia</w:t>
      </w:r>
      <w:r w:rsidR="00915552" w:rsidRPr="009E6D43">
        <w:rPr>
          <w:rFonts w:ascii="Arial" w:hAnsi="Arial"/>
          <w:color w:val="auto"/>
        </w:rPr>
        <w:t>.</w:t>
      </w:r>
    </w:p>
    <w:p w14:paraId="0934AB54" w14:textId="77777777" w:rsidR="00CB3501" w:rsidRPr="009E6D43" w:rsidRDefault="00CB3501" w:rsidP="00CD18FE">
      <w:pPr>
        <w:pStyle w:val="n01"/>
        <w:keepLines w:val="0"/>
        <w:widowControl w:val="0"/>
        <w:ind w:left="0" w:firstLine="0"/>
        <w:jc w:val="center"/>
        <w:rPr>
          <w:rFonts w:ascii="Arial" w:hAnsi="Arial"/>
          <w:color w:val="auto"/>
          <w:sz w:val="20"/>
        </w:rPr>
      </w:pPr>
      <w:r w:rsidRPr="009E6D43">
        <w:rPr>
          <w:rFonts w:ascii="Arial" w:hAnsi="Arial"/>
          <w:color w:val="auto"/>
          <w:sz w:val="20"/>
        </w:rPr>
        <w:t xml:space="preserve">Gráfica </w:t>
      </w:r>
      <w:r w:rsidR="00C54EA0" w:rsidRPr="009E6D43">
        <w:rPr>
          <w:rFonts w:ascii="Arial" w:hAnsi="Arial"/>
          <w:color w:val="auto"/>
          <w:sz w:val="20"/>
        </w:rPr>
        <w:t>4</w:t>
      </w:r>
    </w:p>
    <w:p w14:paraId="449D688B" w14:textId="7DB3BA8C" w:rsidR="00F612AB" w:rsidRPr="009E6D43" w:rsidRDefault="0021781A" w:rsidP="00CD18FE">
      <w:pPr>
        <w:pStyle w:val="n0"/>
        <w:keepLines w:val="0"/>
        <w:spacing w:before="0"/>
        <w:ind w:left="0" w:right="0" w:firstLine="0"/>
        <w:jc w:val="center"/>
        <w:rPr>
          <w:b/>
          <w:smallCaps/>
          <w:color w:val="auto"/>
          <w:sz w:val="22"/>
        </w:rPr>
      </w:pPr>
      <w:r w:rsidRPr="009E6D43">
        <w:rPr>
          <w:b/>
          <w:smallCaps/>
          <w:color w:val="auto"/>
          <w:sz w:val="22"/>
        </w:rPr>
        <w:t>Tasa de i</w:t>
      </w:r>
      <w:r w:rsidR="00165157" w:rsidRPr="009E6D43">
        <w:rPr>
          <w:b/>
          <w:smallCaps/>
          <w:color w:val="auto"/>
          <w:sz w:val="22"/>
        </w:rPr>
        <w:t>nformalidad laboral</w:t>
      </w:r>
      <w:r w:rsidRPr="009E6D43">
        <w:rPr>
          <w:b/>
          <w:smallCaps/>
          <w:color w:val="auto"/>
          <w:sz w:val="22"/>
        </w:rPr>
        <w:t xml:space="preserve"> 1</w:t>
      </w:r>
      <w:r w:rsidR="00A95F8A" w:rsidRPr="009E6D43">
        <w:rPr>
          <w:b/>
          <w:smallCaps/>
          <w:color w:val="auto"/>
          <w:sz w:val="22"/>
        </w:rPr>
        <w:t>,</w:t>
      </w:r>
      <w:r w:rsidRPr="009E6D43">
        <w:rPr>
          <w:b/>
          <w:smallCaps/>
          <w:color w:val="auto"/>
          <w:sz w:val="22"/>
        </w:rPr>
        <w:t xml:space="preserve"> </w:t>
      </w:r>
      <w:r w:rsidR="00455E98" w:rsidRPr="009E6D43">
        <w:rPr>
          <w:b/>
          <w:smallCaps/>
          <w:color w:val="auto"/>
          <w:sz w:val="22"/>
        </w:rPr>
        <w:t>según</w:t>
      </w:r>
      <w:r w:rsidRPr="009E6D43">
        <w:rPr>
          <w:b/>
          <w:smallCaps/>
          <w:color w:val="auto"/>
          <w:sz w:val="22"/>
        </w:rPr>
        <w:t xml:space="preserve"> sexo</w:t>
      </w:r>
    </w:p>
    <w:p w14:paraId="4CF38205" w14:textId="1A95DCB3" w:rsidR="003671CE" w:rsidRPr="009E6D43" w:rsidRDefault="00897117" w:rsidP="003671CE">
      <w:pPr>
        <w:pStyle w:val="Ttulo"/>
        <w:rPr>
          <w:rFonts w:cs="Arial"/>
          <w:b w:val="0"/>
          <w:sz w:val="20"/>
          <w:lang w:val="es-MX"/>
        </w:rPr>
      </w:pPr>
      <w:r w:rsidRPr="009E6D43">
        <w:rPr>
          <w:rFonts w:cs="Arial"/>
          <w:b w:val="0"/>
          <w:sz w:val="20"/>
        </w:rPr>
        <w:t>dic</w:t>
      </w:r>
      <w:r w:rsidR="00755109" w:rsidRPr="009E6D43">
        <w:rPr>
          <w:rFonts w:cs="Arial"/>
          <w:b w:val="0"/>
          <w:sz w:val="20"/>
        </w:rPr>
        <w:t>iembre</w:t>
      </w:r>
      <w:r w:rsidR="003671CE" w:rsidRPr="009E6D43">
        <w:rPr>
          <w:rFonts w:cs="Arial"/>
          <w:b w:val="0"/>
          <w:sz w:val="20"/>
        </w:rPr>
        <w:t xml:space="preserve"> de 2022 y 2023</w:t>
      </w:r>
    </w:p>
    <w:p w14:paraId="65C06AB8" w14:textId="0998C151" w:rsidR="0021781A" w:rsidRPr="009E6D43" w:rsidRDefault="0021781A" w:rsidP="00CD18FE">
      <w:pPr>
        <w:pStyle w:val="n0"/>
        <w:keepLines w:val="0"/>
        <w:spacing w:before="0"/>
        <w:ind w:left="0" w:right="0" w:firstLine="0"/>
        <w:jc w:val="center"/>
        <w:rPr>
          <w:color w:val="auto"/>
          <w:sz w:val="18"/>
          <w:szCs w:val="18"/>
          <w:lang w:val="es-MX"/>
        </w:rPr>
      </w:pPr>
      <w:r w:rsidRPr="009E6D43">
        <w:rPr>
          <w:color w:val="auto"/>
          <w:sz w:val="18"/>
          <w:szCs w:val="18"/>
          <w:lang w:val="es-MX"/>
        </w:rPr>
        <w:t>(</w:t>
      </w:r>
      <w:r w:rsidR="003A2101" w:rsidRPr="009E6D43">
        <w:rPr>
          <w:color w:val="auto"/>
          <w:sz w:val="18"/>
          <w:szCs w:val="18"/>
          <w:lang w:val="es-MX"/>
        </w:rPr>
        <w:t>p</w:t>
      </w:r>
      <w:r w:rsidRPr="009E6D43">
        <w:rPr>
          <w:color w:val="auto"/>
          <w:sz w:val="18"/>
          <w:szCs w:val="18"/>
          <w:lang w:val="es-MX"/>
        </w:rPr>
        <w:t xml:space="preserve">orcentaje </w:t>
      </w:r>
      <w:r w:rsidR="00E02E94" w:rsidRPr="009E6D43">
        <w:rPr>
          <w:color w:val="auto"/>
          <w:sz w:val="18"/>
          <w:szCs w:val="18"/>
          <w:lang w:val="es-MX"/>
        </w:rPr>
        <w:t xml:space="preserve">respecto a </w:t>
      </w:r>
      <w:r w:rsidRPr="009E6D43">
        <w:rPr>
          <w:color w:val="auto"/>
          <w:sz w:val="18"/>
          <w:szCs w:val="18"/>
          <w:lang w:val="es-MX"/>
        </w:rPr>
        <w:t xml:space="preserve">la </w:t>
      </w:r>
      <w:proofErr w:type="spellStart"/>
      <w:r w:rsidR="001E6E10" w:rsidRPr="009E6D43">
        <w:rPr>
          <w:smallCaps/>
          <w:color w:val="auto"/>
          <w:sz w:val="18"/>
          <w:szCs w:val="18"/>
          <w:lang w:val="es-MX"/>
        </w:rPr>
        <w:t>po</w:t>
      </w:r>
      <w:proofErr w:type="spellEnd"/>
      <w:r w:rsidRPr="009E6D43">
        <w:rPr>
          <w:color w:val="auto"/>
          <w:sz w:val="18"/>
          <w:szCs w:val="18"/>
          <w:lang w:val="es-MX"/>
        </w:rPr>
        <w:t>)</w:t>
      </w:r>
    </w:p>
    <w:p w14:paraId="21CB06F6" w14:textId="174B004E" w:rsidR="0021781A" w:rsidRPr="009E6D43" w:rsidRDefault="002760A4" w:rsidP="00CD18FE">
      <w:pPr>
        <w:pStyle w:val="n0"/>
        <w:keepLines w:val="0"/>
        <w:spacing w:before="0"/>
        <w:ind w:left="0" w:right="0" w:firstLine="0"/>
        <w:jc w:val="center"/>
        <w:rPr>
          <w:b/>
          <w:smallCaps/>
          <w:color w:val="auto"/>
          <w:sz w:val="22"/>
        </w:rPr>
      </w:pPr>
      <w:r w:rsidRPr="009E6D43">
        <w:rPr>
          <w:noProof/>
        </w:rPr>
        <w:drawing>
          <wp:inline distT="0" distB="0" distL="0" distR="0" wp14:anchorId="335766E3" wp14:editId="61627392">
            <wp:extent cx="4680000" cy="2520000"/>
            <wp:effectExtent l="0" t="0" r="25400" b="13970"/>
            <wp:docPr id="584475896" name="Gráfico 1">
              <a:extLst xmlns:a="http://schemas.openxmlformats.org/drawingml/2006/main">
                <a:ext uri="{FF2B5EF4-FFF2-40B4-BE49-F238E27FC236}">
                  <a16:creationId xmlns:a16="http://schemas.microsoft.com/office/drawing/2014/main" id="{CA605E19-5324-4C42-97ED-2EA3E828F2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FA88ADF" w14:textId="6A454E06" w:rsidR="009C4A8C" w:rsidRPr="009E6D43" w:rsidRDefault="00371BE0" w:rsidP="00755109">
      <w:pPr>
        <w:pStyle w:val="n0"/>
        <w:keepLines w:val="0"/>
        <w:spacing w:before="0"/>
        <w:ind w:left="1275" w:right="476" w:firstLine="143"/>
        <w:rPr>
          <w:color w:val="auto"/>
          <w:sz w:val="16"/>
          <w:szCs w:val="16"/>
        </w:rPr>
      </w:pPr>
      <w:r w:rsidRPr="009E6D43">
        <w:rPr>
          <w:color w:val="auto"/>
          <w:sz w:val="16"/>
          <w:szCs w:val="16"/>
        </w:rPr>
        <w:t xml:space="preserve">Fuente: </w:t>
      </w:r>
      <w:proofErr w:type="spellStart"/>
      <w:r w:rsidR="003A2101" w:rsidRPr="009E6D43">
        <w:rPr>
          <w:smallCaps/>
          <w:color w:val="auto"/>
          <w:sz w:val="16"/>
          <w:szCs w:val="16"/>
        </w:rPr>
        <w:t>inegi</w:t>
      </w:r>
      <w:proofErr w:type="spellEnd"/>
      <w:r w:rsidR="00DB36CC" w:rsidRPr="009E6D43">
        <w:rPr>
          <w:color w:val="auto"/>
          <w:sz w:val="16"/>
          <w:szCs w:val="16"/>
        </w:rPr>
        <w:t xml:space="preserve">. </w:t>
      </w:r>
      <w:proofErr w:type="spellStart"/>
      <w:r w:rsidR="003A2101" w:rsidRPr="009E6D43">
        <w:rPr>
          <w:smallCaps/>
          <w:color w:val="auto"/>
          <w:sz w:val="16"/>
          <w:szCs w:val="16"/>
        </w:rPr>
        <w:t>enoe</w:t>
      </w:r>
      <w:r w:rsidR="003A2101" w:rsidRPr="009E6D43">
        <w:rPr>
          <w:smallCaps/>
          <w:color w:val="auto"/>
          <w:sz w:val="16"/>
          <w:szCs w:val="16"/>
          <w:vertAlign w:val="superscript"/>
        </w:rPr>
        <w:t>n</w:t>
      </w:r>
      <w:proofErr w:type="spellEnd"/>
      <w:r w:rsidR="00DB36CC" w:rsidRPr="009E6D43">
        <w:rPr>
          <w:color w:val="auto"/>
          <w:sz w:val="16"/>
          <w:szCs w:val="16"/>
        </w:rPr>
        <w:t>,</w:t>
      </w:r>
      <w:r w:rsidR="00782D4F" w:rsidRPr="009E6D43">
        <w:rPr>
          <w:color w:val="auto"/>
          <w:sz w:val="16"/>
          <w:szCs w:val="16"/>
        </w:rPr>
        <w:t xml:space="preserve"> </w:t>
      </w:r>
      <w:r w:rsidR="00DB36CC" w:rsidRPr="009E6D43">
        <w:rPr>
          <w:color w:val="auto"/>
          <w:sz w:val="16"/>
          <w:szCs w:val="16"/>
        </w:rPr>
        <w:t>2022.</w:t>
      </w:r>
      <w:r w:rsidR="00755109" w:rsidRPr="009E6D43">
        <w:rPr>
          <w:color w:val="auto"/>
          <w:sz w:val="16"/>
          <w:szCs w:val="16"/>
        </w:rPr>
        <w:t xml:space="preserve"> </w:t>
      </w:r>
      <w:proofErr w:type="spellStart"/>
      <w:r w:rsidR="003A2101" w:rsidRPr="009E6D43">
        <w:rPr>
          <w:smallCaps/>
          <w:color w:val="auto"/>
          <w:sz w:val="16"/>
          <w:szCs w:val="16"/>
        </w:rPr>
        <w:t>enoe</w:t>
      </w:r>
      <w:proofErr w:type="spellEnd"/>
      <w:r w:rsidR="00DB36CC" w:rsidRPr="009E6D43">
        <w:rPr>
          <w:color w:val="auto"/>
          <w:sz w:val="16"/>
          <w:szCs w:val="16"/>
        </w:rPr>
        <w:t>,</w:t>
      </w:r>
      <w:r w:rsidR="00782D4F" w:rsidRPr="009E6D43">
        <w:rPr>
          <w:color w:val="auto"/>
          <w:sz w:val="16"/>
          <w:szCs w:val="16"/>
        </w:rPr>
        <w:t xml:space="preserve"> </w:t>
      </w:r>
      <w:r w:rsidR="00DB36CC" w:rsidRPr="009E6D43">
        <w:rPr>
          <w:color w:val="auto"/>
          <w:sz w:val="16"/>
          <w:szCs w:val="16"/>
        </w:rPr>
        <w:t>2023.</w:t>
      </w:r>
    </w:p>
    <w:p w14:paraId="479A358D" w14:textId="1AEFB3E7" w:rsidR="00FD552D" w:rsidRPr="009E6D43" w:rsidRDefault="00452BE0" w:rsidP="00FD552D">
      <w:pPr>
        <w:pStyle w:val="n01"/>
        <w:keepLines w:val="0"/>
        <w:ind w:left="0" w:firstLine="0"/>
        <w:rPr>
          <w:rFonts w:ascii="Arial" w:hAnsi="Arial"/>
          <w:color w:val="auto"/>
        </w:rPr>
      </w:pPr>
      <w:r w:rsidRPr="009E6D43">
        <w:rPr>
          <w:rFonts w:ascii="Arial" w:hAnsi="Arial"/>
          <w:color w:val="auto"/>
        </w:rPr>
        <w:t xml:space="preserve">Por </w:t>
      </w:r>
      <w:r w:rsidR="002A3B1E" w:rsidRPr="009E6D43">
        <w:rPr>
          <w:rFonts w:ascii="Arial" w:hAnsi="Arial"/>
          <w:color w:val="auto"/>
        </w:rPr>
        <w:t xml:space="preserve">otra </w:t>
      </w:r>
      <w:r w:rsidRPr="009E6D43">
        <w:rPr>
          <w:rFonts w:ascii="Arial" w:hAnsi="Arial"/>
          <w:color w:val="auto"/>
        </w:rPr>
        <w:t xml:space="preserve">parte, la </w:t>
      </w:r>
      <w:r w:rsidR="009C42B1" w:rsidRPr="009E6D43">
        <w:rPr>
          <w:rFonts w:ascii="Arial" w:hAnsi="Arial"/>
          <w:color w:val="auto"/>
        </w:rPr>
        <w:t>ocupación</w:t>
      </w:r>
      <w:r w:rsidRPr="009E6D43">
        <w:rPr>
          <w:rFonts w:ascii="Arial" w:hAnsi="Arial"/>
          <w:color w:val="auto"/>
        </w:rPr>
        <w:t xml:space="preserve"> en el </w:t>
      </w:r>
      <w:r w:rsidR="009C42B1" w:rsidRPr="009E6D43">
        <w:rPr>
          <w:rFonts w:ascii="Arial" w:hAnsi="Arial"/>
          <w:color w:val="auto"/>
        </w:rPr>
        <w:t>s</w:t>
      </w:r>
      <w:r w:rsidRPr="009E6D43">
        <w:rPr>
          <w:rFonts w:ascii="Arial" w:hAnsi="Arial"/>
          <w:color w:val="auto"/>
        </w:rPr>
        <w:t xml:space="preserve">ector </w:t>
      </w:r>
      <w:r w:rsidR="009C42B1" w:rsidRPr="009E6D43">
        <w:rPr>
          <w:rFonts w:ascii="Arial" w:hAnsi="Arial"/>
          <w:color w:val="auto"/>
        </w:rPr>
        <w:t>i</w:t>
      </w:r>
      <w:r w:rsidRPr="009E6D43">
        <w:rPr>
          <w:rFonts w:ascii="Arial" w:hAnsi="Arial"/>
          <w:color w:val="auto"/>
        </w:rPr>
        <w:t xml:space="preserve">nformal considera a todas las personas que trabajan para unidades económicas no agropecuarias </w:t>
      </w:r>
      <w:r w:rsidR="00455E98" w:rsidRPr="009E6D43">
        <w:rPr>
          <w:rFonts w:ascii="Arial" w:hAnsi="Arial"/>
          <w:color w:val="auto"/>
        </w:rPr>
        <w:t>que operan</w:t>
      </w:r>
      <w:r w:rsidRPr="009E6D43">
        <w:rPr>
          <w:rFonts w:ascii="Arial" w:hAnsi="Arial"/>
          <w:color w:val="auto"/>
        </w:rPr>
        <w:t xml:space="preserve"> sin registros contables y que funcionan a partir de los recursos del hogar</w:t>
      </w:r>
      <w:r w:rsidR="00E572A7" w:rsidRPr="009E6D43">
        <w:rPr>
          <w:rFonts w:ascii="Arial" w:hAnsi="Arial"/>
          <w:color w:val="auto"/>
        </w:rPr>
        <w:t>,</w:t>
      </w:r>
      <w:r w:rsidRPr="009E6D43">
        <w:rPr>
          <w:rFonts w:ascii="Arial" w:hAnsi="Arial"/>
          <w:color w:val="auto"/>
        </w:rPr>
        <w:t xml:space="preserve"> o de la persona que encabeza la actividad sin que se constituya como empresa</w:t>
      </w:r>
      <w:r w:rsidR="0087426F" w:rsidRPr="009E6D43">
        <w:rPr>
          <w:rFonts w:ascii="Arial" w:hAnsi="Arial"/>
          <w:color w:val="auto"/>
        </w:rPr>
        <w:t>.</w:t>
      </w:r>
      <w:r w:rsidRPr="009E6D43">
        <w:rPr>
          <w:rFonts w:ascii="Arial" w:hAnsi="Arial"/>
          <w:color w:val="auto"/>
        </w:rPr>
        <w:t xml:space="preserve"> </w:t>
      </w:r>
      <w:r w:rsidR="0087426F" w:rsidRPr="009E6D43">
        <w:rPr>
          <w:rFonts w:ascii="Arial" w:hAnsi="Arial"/>
          <w:color w:val="auto"/>
        </w:rPr>
        <w:t>D</w:t>
      </w:r>
      <w:r w:rsidRPr="009E6D43">
        <w:rPr>
          <w:rFonts w:ascii="Arial" w:hAnsi="Arial"/>
          <w:color w:val="auto"/>
        </w:rPr>
        <w:t>e</w:t>
      </w:r>
      <w:r w:rsidR="0087426F" w:rsidRPr="009E6D43">
        <w:rPr>
          <w:rFonts w:ascii="Arial" w:hAnsi="Arial"/>
          <w:color w:val="auto"/>
        </w:rPr>
        <w:t xml:space="preserve"> este</w:t>
      </w:r>
      <w:r w:rsidRPr="009E6D43">
        <w:rPr>
          <w:rFonts w:ascii="Arial" w:hAnsi="Arial"/>
          <w:color w:val="auto"/>
        </w:rPr>
        <w:t xml:space="preserve"> modo</w:t>
      </w:r>
      <w:r w:rsidR="0087426F" w:rsidRPr="009E6D43">
        <w:rPr>
          <w:rFonts w:ascii="Arial" w:hAnsi="Arial"/>
          <w:color w:val="auto"/>
        </w:rPr>
        <w:t>,</w:t>
      </w:r>
      <w:r w:rsidRPr="009E6D43">
        <w:rPr>
          <w:rFonts w:ascii="Arial" w:hAnsi="Arial"/>
          <w:color w:val="auto"/>
        </w:rPr>
        <w:t xml:space="preserve"> la actividad en cuestión no tiene una situación identificable e independiente de ese hogar o de la persona que la dirige y</w:t>
      </w:r>
      <w:r w:rsidR="009C5CDF" w:rsidRPr="009E6D43">
        <w:rPr>
          <w:rFonts w:ascii="Arial" w:hAnsi="Arial"/>
          <w:color w:val="auto"/>
        </w:rPr>
        <w:t>,</w:t>
      </w:r>
      <w:r w:rsidRPr="009E6D43">
        <w:rPr>
          <w:rFonts w:ascii="Arial" w:hAnsi="Arial"/>
          <w:color w:val="auto"/>
        </w:rPr>
        <w:t xml:space="preserve"> por lo mismo</w:t>
      </w:r>
      <w:r w:rsidR="009C5CDF" w:rsidRPr="009E6D43">
        <w:rPr>
          <w:rFonts w:ascii="Arial" w:hAnsi="Arial"/>
          <w:color w:val="auto"/>
        </w:rPr>
        <w:t>,</w:t>
      </w:r>
      <w:r w:rsidRPr="009E6D43">
        <w:rPr>
          <w:rFonts w:ascii="Arial" w:hAnsi="Arial"/>
          <w:color w:val="auto"/>
        </w:rPr>
        <w:t xml:space="preserve"> tiende a concretarse en una escala de operación</w:t>
      </w:r>
      <w:r w:rsidR="00A447D6" w:rsidRPr="009E6D43">
        <w:rPr>
          <w:rFonts w:ascii="Arial" w:hAnsi="Arial"/>
          <w:color w:val="auto"/>
        </w:rPr>
        <w:t xml:space="preserve"> muy pequeña</w:t>
      </w:r>
      <w:r w:rsidRPr="009E6D43">
        <w:rPr>
          <w:rFonts w:ascii="Arial" w:hAnsi="Arial"/>
          <w:color w:val="auto"/>
        </w:rPr>
        <w:t xml:space="preserve">. </w:t>
      </w:r>
      <w:r w:rsidR="005C1C6D" w:rsidRPr="009E6D43">
        <w:rPr>
          <w:rFonts w:ascii="Arial" w:hAnsi="Arial"/>
          <w:color w:val="auto"/>
        </w:rPr>
        <w:t>En</w:t>
      </w:r>
      <w:r w:rsidR="002A0E74" w:rsidRPr="009E6D43">
        <w:rPr>
          <w:rFonts w:ascii="Arial" w:hAnsi="Arial"/>
          <w:color w:val="auto"/>
        </w:rPr>
        <w:t xml:space="preserve"> </w:t>
      </w:r>
      <w:r w:rsidR="00897117" w:rsidRPr="009E6D43">
        <w:rPr>
          <w:rFonts w:ascii="Arial" w:hAnsi="Arial"/>
          <w:color w:val="auto"/>
        </w:rPr>
        <w:t>dic</w:t>
      </w:r>
      <w:r w:rsidR="00593885" w:rsidRPr="009E6D43">
        <w:rPr>
          <w:rFonts w:ascii="Arial" w:hAnsi="Arial"/>
          <w:color w:val="auto"/>
        </w:rPr>
        <w:t>iembre</w:t>
      </w:r>
      <w:r w:rsidR="005C1C6D" w:rsidRPr="009E6D43">
        <w:rPr>
          <w:rFonts w:ascii="Arial" w:hAnsi="Arial"/>
          <w:color w:val="auto"/>
        </w:rPr>
        <w:t xml:space="preserve"> de 202</w:t>
      </w:r>
      <w:r w:rsidR="002A0E74" w:rsidRPr="009E6D43">
        <w:rPr>
          <w:rFonts w:ascii="Arial" w:hAnsi="Arial"/>
          <w:color w:val="auto"/>
        </w:rPr>
        <w:t>3</w:t>
      </w:r>
      <w:r w:rsidR="005C1C6D" w:rsidRPr="009E6D43">
        <w:rPr>
          <w:rFonts w:ascii="Arial" w:hAnsi="Arial"/>
          <w:color w:val="auto"/>
        </w:rPr>
        <w:t xml:space="preserve">, </w:t>
      </w:r>
      <w:r w:rsidR="00620245" w:rsidRPr="009E6D43">
        <w:rPr>
          <w:rFonts w:ascii="Arial" w:hAnsi="Arial"/>
          <w:color w:val="auto"/>
        </w:rPr>
        <w:t>esta</w:t>
      </w:r>
      <w:r w:rsidR="005C1C6D" w:rsidRPr="009E6D43">
        <w:rPr>
          <w:rFonts w:ascii="Arial" w:hAnsi="Arial"/>
          <w:color w:val="auto"/>
        </w:rPr>
        <w:t xml:space="preserve"> </w:t>
      </w:r>
      <w:r w:rsidR="009C42B1" w:rsidRPr="009E6D43">
        <w:rPr>
          <w:rFonts w:ascii="Arial" w:hAnsi="Arial"/>
          <w:color w:val="auto"/>
        </w:rPr>
        <w:t>población fue de 1</w:t>
      </w:r>
      <w:r w:rsidR="004A3E2A" w:rsidRPr="009E6D43">
        <w:rPr>
          <w:rFonts w:ascii="Arial" w:hAnsi="Arial"/>
          <w:color w:val="auto"/>
        </w:rPr>
        <w:t>6</w:t>
      </w:r>
      <w:r w:rsidR="001E0A2A" w:rsidRPr="009E6D43">
        <w:rPr>
          <w:rFonts w:ascii="Arial" w:hAnsi="Arial"/>
          <w:color w:val="auto"/>
        </w:rPr>
        <w:t>.</w:t>
      </w:r>
      <w:r w:rsidR="00F16BF9" w:rsidRPr="009E6D43">
        <w:rPr>
          <w:rFonts w:ascii="Arial" w:hAnsi="Arial"/>
          <w:color w:val="auto"/>
        </w:rPr>
        <w:t>5</w:t>
      </w:r>
      <w:r w:rsidR="002A0E74" w:rsidRPr="009E6D43">
        <w:rPr>
          <w:rFonts w:ascii="Arial" w:hAnsi="Arial"/>
          <w:color w:val="auto"/>
        </w:rPr>
        <w:t xml:space="preserve"> </w:t>
      </w:r>
      <w:r w:rsidR="009C42B1" w:rsidRPr="009E6D43">
        <w:rPr>
          <w:rFonts w:ascii="Arial" w:hAnsi="Arial"/>
          <w:color w:val="auto"/>
        </w:rPr>
        <w:t xml:space="preserve">millones de personas y </w:t>
      </w:r>
      <w:r w:rsidR="008D4827" w:rsidRPr="009E6D43">
        <w:rPr>
          <w:rFonts w:ascii="Arial" w:hAnsi="Arial"/>
          <w:color w:val="auto"/>
        </w:rPr>
        <w:t>significó</w:t>
      </w:r>
      <w:r w:rsidR="00401BC5" w:rsidRPr="009E6D43">
        <w:rPr>
          <w:rFonts w:ascii="Arial" w:hAnsi="Arial"/>
          <w:color w:val="auto"/>
        </w:rPr>
        <w:t xml:space="preserve"> </w:t>
      </w:r>
      <w:r w:rsidR="008D4827" w:rsidRPr="009E6D43">
        <w:rPr>
          <w:rFonts w:ascii="Arial" w:hAnsi="Arial"/>
          <w:color w:val="auto"/>
        </w:rPr>
        <w:t>2</w:t>
      </w:r>
      <w:r w:rsidR="00F16BF9" w:rsidRPr="009E6D43">
        <w:rPr>
          <w:rFonts w:ascii="Arial" w:hAnsi="Arial"/>
          <w:color w:val="auto"/>
        </w:rPr>
        <w:t>7.9</w:t>
      </w:r>
      <w:r w:rsidR="00520FC0" w:rsidRPr="009E6D43">
        <w:rPr>
          <w:rFonts w:ascii="Arial" w:hAnsi="Arial"/>
          <w:color w:val="auto"/>
        </w:rPr>
        <w:t> %</w:t>
      </w:r>
      <w:r w:rsidR="004B3C4C" w:rsidRPr="009E6D43">
        <w:rPr>
          <w:rFonts w:ascii="Arial" w:hAnsi="Arial"/>
          <w:color w:val="auto"/>
        </w:rPr>
        <w:t xml:space="preserve"> de la población ocupada</w:t>
      </w:r>
      <w:r w:rsidR="003B3DF7" w:rsidRPr="009E6D43">
        <w:rPr>
          <w:rFonts w:ascii="Arial" w:hAnsi="Arial"/>
          <w:color w:val="auto"/>
        </w:rPr>
        <w:t xml:space="preserve"> —</w:t>
      </w:r>
      <w:r w:rsidR="00384B71" w:rsidRPr="009E6D43">
        <w:rPr>
          <w:rFonts w:ascii="Arial" w:hAnsi="Arial"/>
          <w:color w:val="auto"/>
        </w:rPr>
        <w:t>t</w:t>
      </w:r>
      <w:r w:rsidR="003B3DF7" w:rsidRPr="009E6D43">
        <w:rPr>
          <w:rFonts w:ascii="Arial" w:hAnsi="Arial"/>
          <w:color w:val="auto"/>
        </w:rPr>
        <w:t>asa</w:t>
      </w:r>
      <w:r w:rsidR="004B3C4C" w:rsidRPr="009E6D43">
        <w:rPr>
          <w:rFonts w:ascii="Arial" w:hAnsi="Arial"/>
          <w:color w:val="auto"/>
        </w:rPr>
        <w:t xml:space="preserve"> de </w:t>
      </w:r>
      <w:r w:rsidR="00384B71" w:rsidRPr="009E6D43">
        <w:rPr>
          <w:rFonts w:ascii="Arial" w:hAnsi="Arial"/>
          <w:color w:val="auto"/>
        </w:rPr>
        <w:t>o</w:t>
      </w:r>
      <w:r w:rsidR="004B3C4C" w:rsidRPr="009E6D43">
        <w:rPr>
          <w:rFonts w:ascii="Arial" w:hAnsi="Arial"/>
          <w:color w:val="auto"/>
        </w:rPr>
        <w:t xml:space="preserve">cupación en el </w:t>
      </w:r>
      <w:r w:rsidR="00384B71" w:rsidRPr="009E6D43">
        <w:rPr>
          <w:rFonts w:ascii="Arial" w:hAnsi="Arial"/>
          <w:color w:val="auto"/>
        </w:rPr>
        <w:t>s</w:t>
      </w:r>
      <w:r w:rsidR="004B3C4C" w:rsidRPr="009E6D43">
        <w:rPr>
          <w:rFonts w:ascii="Arial" w:hAnsi="Arial"/>
          <w:color w:val="auto"/>
        </w:rPr>
        <w:t xml:space="preserve">ector </w:t>
      </w:r>
      <w:r w:rsidR="00384B71" w:rsidRPr="009E6D43">
        <w:rPr>
          <w:rFonts w:ascii="Arial" w:hAnsi="Arial"/>
          <w:color w:val="auto"/>
        </w:rPr>
        <w:t>i</w:t>
      </w:r>
      <w:r w:rsidR="004B3C4C" w:rsidRPr="009E6D43">
        <w:rPr>
          <w:rFonts w:ascii="Arial" w:hAnsi="Arial"/>
          <w:color w:val="auto"/>
        </w:rPr>
        <w:t>nformal 1 (</w:t>
      </w:r>
      <w:r w:rsidR="00C36DD9" w:rsidRPr="009E6D43">
        <w:rPr>
          <w:rFonts w:ascii="Arial" w:hAnsi="Arial"/>
          <w:smallCaps/>
          <w:color w:val="auto"/>
        </w:rPr>
        <w:t>tosi1</w:t>
      </w:r>
      <w:r w:rsidR="004B3C4C" w:rsidRPr="009E6D43">
        <w:rPr>
          <w:rFonts w:ascii="Arial" w:hAnsi="Arial"/>
          <w:color w:val="auto"/>
        </w:rPr>
        <w:t>)</w:t>
      </w:r>
      <w:r w:rsidR="00E527F0" w:rsidRPr="009E6D43">
        <w:rPr>
          <w:rFonts w:ascii="Arial" w:hAnsi="Arial"/>
          <w:color w:val="auto"/>
        </w:rPr>
        <w:t>—</w:t>
      </w:r>
      <w:r w:rsidR="00AF434C" w:rsidRPr="009E6D43">
        <w:rPr>
          <w:rFonts w:ascii="Arial" w:hAnsi="Arial"/>
          <w:color w:val="auto"/>
        </w:rPr>
        <w:t>,</w:t>
      </w:r>
      <w:r w:rsidR="00E527F0" w:rsidRPr="009E6D43">
        <w:rPr>
          <w:rFonts w:ascii="Arial" w:hAnsi="Arial"/>
          <w:color w:val="auto"/>
        </w:rPr>
        <w:t xml:space="preserve"> </w:t>
      </w:r>
      <w:r w:rsidR="004810CB" w:rsidRPr="009E6D43">
        <w:rPr>
          <w:rFonts w:ascii="Arial" w:hAnsi="Arial"/>
          <w:color w:val="auto"/>
        </w:rPr>
        <w:t>0.</w:t>
      </w:r>
      <w:r w:rsidR="00F16BF9" w:rsidRPr="009E6D43">
        <w:rPr>
          <w:rFonts w:ascii="Arial" w:hAnsi="Arial"/>
          <w:color w:val="auto"/>
        </w:rPr>
        <w:t>8</w:t>
      </w:r>
      <w:r w:rsidR="00520FC0" w:rsidRPr="009E6D43">
        <w:rPr>
          <w:rFonts w:ascii="Arial" w:hAnsi="Arial"/>
          <w:color w:val="auto"/>
        </w:rPr>
        <w:t> puntos</w:t>
      </w:r>
      <w:r w:rsidR="00886025" w:rsidRPr="009E6D43">
        <w:rPr>
          <w:rFonts w:ascii="Arial" w:hAnsi="Arial"/>
          <w:color w:val="auto"/>
        </w:rPr>
        <w:t xml:space="preserve"> porcentuales por </w:t>
      </w:r>
      <w:r w:rsidR="00F16BF9" w:rsidRPr="009E6D43">
        <w:rPr>
          <w:rFonts w:ascii="Arial" w:hAnsi="Arial"/>
          <w:color w:val="auto"/>
        </w:rPr>
        <w:t>de</w:t>
      </w:r>
      <w:r w:rsidR="006C0166" w:rsidRPr="009E6D43">
        <w:rPr>
          <w:rFonts w:ascii="Arial" w:hAnsi="Arial"/>
          <w:color w:val="auto"/>
        </w:rPr>
        <w:t>ba</w:t>
      </w:r>
      <w:r w:rsidR="00F16BF9" w:rsidRPr="009E6D43">
        <w:rPr>
          <w:rFonts w:ascii="Arial" w:hAnsi="Arial"/>
          <w:color w:val="auto"/>
        </w:rPr>
        <w:t>jo</w:t>
      </w:r>
      <w:r w:rsidR="00886025" w:rsidRPr="009E6D43">
        <w:rPr>
          <w:rFonts w:ascii="Arial" w:hAnsi="Arial"/>
          <w:color w:val="auto"/>
        </w:rPr>
        <w:t xml:space="preserve"> de la</w:t>
      </w:r>
      <w:r w:rsidR="0042775C" w:rsidRPr="009E6D43">
        <w:rPr>
          <w:rFonts w:ascii="Arial" w:hAnsi="Arial"/>
          <w:color w:val="auto"/>
        </w:rPr>
        <w:t xml:space="preserve"> </w:t>
      </w:r>
      <w:r w:rsidR="00FD552D" w:rsidRPr="009E6D43">
        <w:rPr>
          <w:rFonts w:ascii="Arial" w:hAnsi="Arial"/>
          <w:color w:val="auto"/>
        </w:rPr>
        <w:t>registrada un año antes</w:t>
      </w:r>
      <w:r w:rsidRPr="009E6D43">
        <w:rPr>
          <w:rFonts w:ascii="Arial" w:hAnsi="Arial"/>
          <w:color w:val="auto"/>
        </w:rPr>
        <w:t>.</w:t>
      </w:r>
      <w:r w:rsidR="00FD552D" w:rsidRPr="009E6D43">
        <w:rPr>
          <w:rFonts w:ascii="Arial" w:hAnsi="Arial"/>
          <w:color w:val="auto"/>
        </w:rPr>
        <w:t xml:space="preserve"> La </w:t>
      </w:r>
      <w:r w:rsidR="00C36DD9" w:rsidRPr="009E6D43">
        <w:rPr>
          <w:rFonts w:ascii="Arial" w:hAnsi="Arial"/>
          <w:smallCaps/>
          <w:color w:val="auto"/>
        </w:rPr>
        <w:t>tosi1</w:t>
      </w:r>
      <w:r w:rsidR="00FD552D" w:rsidRPr="009E6D43">
        <w:rPr>
          <w:rFonts w:ascii="Arial" w:hAnsi="Arial"/>
          <w:color w:val="auto"/>
        </w:rPr>
        <w:t xml:space="preserve"> urbana fue de 2</w:t>
      </w:r>
      <w:r w:rsidR="00F16BF9" w:rsidRPr="009E6D43">
        <w:rPr>
          <w:rFonts w:ascii="Arial" w:hAnsi="Arial"/>
          <w:color w:val="auto"/>
        </w:rPr>
        <w:t>4.8</w:t>
      </w:r>
      <w:r w:rsidR="00813EBF" w:rsidRPr="009E6D43">
        <w:rPr>
          <w:rFonts w:ascii="Arial" w:hAnsi="Arial"/>
          <w:color w:val="auto"/>
        </w:rPr>
        <w:t xml:space="preserve"> </w:t>
      </w:r>
      <w:r w:rsidR="00FD552D" w:rsidRPr="009E6D43">
        <w:rPr>
          <w:rFonts w:ascii="Arial" w:hAnsi="Arial"/>
          <w:color w:val="auto"/>
        </w:rPr>
        <w:t>por</w:t>
      </w:r>
      <w:r w:rsidR="00813EBF" w:rsidRPr="009E6D43">
        <w:rPr>
          <w:rFonts w:ascii="Arial" w:hAnsi="Arial"/>
          <w:color w:val="auto"/>
        </w:rPr>
        <w:t xml:space="preserve"> </w:t>
      </w:r>
      <w:r w:rsidR="00FD552D" w:rsidRPr="009E6D43">
        <w:rPr>
          <w:rFonts w:ascii="Arial" w:hAnsi="Arial"/>
          <w:color w:val="auto"/>
        </w:rPr>
        <w:t>ciento.</w:t>
      </w:r>
    </w:p>
    <w:p w14:paraId="246F1EB7" w14:textId="77777777" w:rsidR="0094101C" w:rsidRPr="009E6D43" w:rsidRDefault="0094101C">
      <w:pPr>
        <w:jc w:val="left"/>
        <w:rPr>
          <w:sz w:val="20"/>
        </w:rPr>
      </w:pPr>
      <w:r w:rsidRPr="009E6D43">
        <w:rPr>
          <w:sz w:val="20"/>
        </w:rPr>
        <w:br w:type="page"/>
      </w:r>
    </w:p>
    <w:p w14:paraId="55FA281F" w14:textId="77777777" w:rsidR="00452BE0" w:rsidRPr="009E6D43" w:rsidRDefault="00452BE0" w:rsidP="00842E28">
      <w:pPr>
        <w:pStyle w:val="n01"/>
        <w:keepNext/>
        <w:ind w:left="0" w:firstLine="0"/>
        <w:jc w:val="center"/>
        <w:rPr>
          <w:rFonts w:ascii="Arial" w:hAnsi="Arial"/>
          <w:color w:val="auto"/>
          <w:sz w:val="20"/>
        </w:rPr>
      </w:pPr>
      <w:r w:rsidRPr="009E6D43">
        <w:rPr>
          <w:rFonts w:ascii="Arial" w:hAnsi="Arial"/>
          <w:color w:val="auto"/>
          <w:sz w:val="20"/>
        </w:rPr>
        <w:lastRenderedPageBreak/>
        <w:t xml:space="preserve">Gráfica </w:t>
      </w:r>
      <w:r w:rsidR="00054908" w:rsidRPr="009E6D43">
        <w:rPr>
          <w:rFonts w:ascii="Arial" w:hAnsi="Arial"/>
          <w:color w:val="auto"/>
          <w:sz w:val="20"/>
        </w:rPr>
        <w:t>5</w:t>
      </w:r>
    </w:p>
    <w:p w14:paraId="78E21EB3" w14:textId="74DD1B10" w:rsidR="001C0049" w:rsidRPr="009E6D43" w:rsidRDefault="006E7FFD" w:rsidP="001C0049">
      <w:pPr>
        <w:pStyle w:val="n0"/>
        <w:keepLines w:val="0"/>
        <w:spacing w:before="0"/>
        <w:ind w:left="0" w:right="0" w:firstLine="0"/>
        <w:jc w:val="center"/>
        <w:rPr>
          <w:b/>
          <w:smallCaps/>
          <w:color w:val="auto"/>
          <w:sz w:val="22"/>
        </w:rPr>
      </w:pPr>
      <w:r w:rsidRPr="009E6D43">
        <w:rPr>
          <w:b/>
          <w:smallCaps/>
          <w:color w:val="auto"/>
          <w:sz w:val="22"/>
        </w:rPr>
        <w:t>Tasa de ocupación en el</w:t>
      </w:r>
      <w:r w:rsidR="00DA7C0E" w:rsidRPr="009E6D43">
        <w:rPr>
          <w:b/>
          <w:smallCaps/>
          <w:color w:val="auto"/>
          <w:sz w:val="22"/>
        </w:rPr>
        <w:t xml:space="preserve"> </w:t>
      </w:r>
      <w:r w:rsidRPr="009E6D43">
        <w:rPr>
          <w:b/>
          <w:smallCaps/>
          <w:color w:val="auto"/>
          <w:sz w:val="22"/>
        </w:rPr>
        <w:t>s</w:t>
      </w:r>
      <w:r w:rsidR="001C0049" w:rsidRPr="009E6D43">
        <w:rPr>
          <w:b/>
          <w:smallCaps/>
          <w:color w:val="auto"/>
          <w:sz w:val="22"/>
        </w:rPr>
        <w:t xml:space="preserve">ector informal </w:t>
      </w:r>
      <w:r w:rsidRPr="009E6D43">
        <w:rPr>
          <w:b/>
          <w:smallCaps/>
          <w:color w:val="auto"/>
          <w:sz w:val="22"/>
        </w:rPr>
        <w:t>1</w:t>
      </w:r>
      <w:r w:rsidR="00E120F1" w:rsidRPr="009E6D43">
        <w:rPr>
          <w:b/>
          <w:smallCaps/>
          <w:color w:val="auto"/>
          <w:sz w:val="22"/>
        </w:rPr>
        <w:t>,</w:t>
      </w:r>
      <w:r w:rsidRPr="009E6D43">
        <w:rPr>
          <w:b/>
          <w:smallCaps/>
          <w:color w:val="auto"/>
          <w:sz w:val="22"/>
        </w:rPr>
        <w:t xml:space="preserve"> </w:t>
      </w:r>
      <w:r w:rsidR="00455E98" w:rsidRPr="009E6D43">
        <w:rPr>
          <w:b/>
          <w:smallCaps/>
          <w:color w:val="auto"/>
          <w:sz w:val="22"/>
        </w:rPr>
        <w:t xml:space="preserve">según </w:t>
      </w:r>
      <w:r w:rsidR="00371BE0" w:rsidRPr="009E6D43">
        <w:rPr>
          <w:b/>
          <w:smallCaps/>
          <w:color w:val="auto"/>
          <w:sz w:val="22"/>
        </w:rPr>
        <w:t>sexo</w:t>
      </w:r>
      <w:r w:rsidR="001C0049" w:rsidRPr="009E6D43">
        <w:rPr>
          <w:b/>
          <w:smallCaps/>
          <w:color w:val="auto"/>
          <w:sz w:val="22"/>
        </w:rPr>
        <w:t xml:space="preserve"> </w:t>
      </w:r>
    </w:p>
    <w:p w14:paraId="17A57F16" w14:textId="4FA13409" w:rsidR="003671CE" w:rsidRPr="009E6D43" w:rsidRDefault="00CD61EC" w:rsidP="003671CE">
      <w:pPr>
        <w:pStyle w:val="Ttulo"/>
        <w:rPr>
          <w:rFonts w:cs="Arial"/>
          <w:b w:val="0"/>
          <w:sz w:val="20"/>
          <w:lang w:val="es-MX"/>
        </w:rPr>
      </w:pPr>
      <w:r w:rsidRPr="009E6D43">
        <w:rPr>
          <w:rFonts w:cs="Arial"/>
          <w:b w:val="0"/>
          <w:sz w:val="20"/>
        </w:rPr>
        <w:t>dic</w:t>
      </w:r>
      <w:r w:rsidR="00593885" w:rsidRPr="009E6D43">
        <w:rPr>
          <w:rFonts w:cs="Arial"/>
          <w:b w:val="0"/>
          <w:sz w:val="20"/>
        </w:rPr>
        <w:t>iembre</w:t>
      </w:r>
      <w:r w:rsidR="003671CE" w:rsidRPr="009E6D43">
        <w:rPr>
          <w:rFonts w:cs="Arial"/>
          <w:b w:val="0"/>
          <w:sz w:val="20"/>
        </w:rPr>
        <w:t xml:space="preserve"> de 2022 y 2023</w:t>
      </w:r>
    </w:p>
    <w:p w14:paraId="15C0B962" w14:textId="2528417B" w:rsidR="006E7FFD" w:rsidRPr="009E6D43" w:rsidRDefault="006E7FFD" w:rsidP="001C0049">
      <w:pPr>
        <w:pStyle w:val="n0"/>
        <w:keepLines w:val="0"/>
        <w:spacing w:before="0"/>
        <w:ind w:left="0" w:right="0" w:firstLine="0"/>
        <w:jc w:val="center"/>
        <w:rPr>
          <w:b/>
          <w:smallCaps/>
          <w:color w:val="auto"/>
          <w:sz w:val="22"/>
        </w:rPr>
      </w:pPr>
      <w:r w:rsidRPr="009E6D43">
        <w:rPr>
          <w:color w:val="auto"/>
          <w:sz w:val="18"/>
          <w:szCs w:val="18"/>
          <w:lang w:val="es-MX"/>
        </w:rPr>
        <w:t>(</w:t>
      </w:r>
      <w:r w:rsidR="00F96357" w:rsidRPr="009E6D43">
        <w:rPr>
          <w:color w:val="auto"/>
          <w:sz w:val="18"/>
          <w:szCs w:val="18"/>
          <w:lang w:val="es-MX"/>
        </w:rPr>
        <w:t>p</w:t>
      </w:r>
      <w:r w:rsidRPr="009E6D43">
        <w:rPr>
          <w:color w:val="auto"/>
          <w:sz w:val="18"/>
          <w:szCs w:val="18"/>
          <w:lang w:val="es-MX"/>
        </w:rPr>
        <w:t xml:space="preserve">orcentaje </w:t>
      </w:r>
      <w:r w:rsidR="00E02E94" w:rsidRPr="009E6D43">
        <w:rPr>
          <w:color w:val="auto"/>
          <w:sz w:val="18"/>
          <w:szCs w:val="18"/>
          <w:lang w:val="es-MX"/>
        </w:rPr>
        <w:t>respecto a</w:t>
      </w:r>
      <w:r w:rsidRPr="009E6D43">
        <w:rPr>
          <w:color w:val="auto"/>
          <w:sz w:val="18"/>
          <w:szCs w:val="18"/>
          <w:lang w:val="es-MX"/>
        </w:rPr>
        <w:t xml:space="preserve"> la </w:t>
      </w:r>
      <w:proofErr w:type="spellStart"/>
      <w:r w:rsidR="00F96357" w:rsidRPr="009E6D43">
        <w:rPr>
          <w:smallCaps/>
          <w:color w:val="auto"/>
          <w:sz w:val="18"/>
          <w:szCs w:val="18"/>
          <w:lang w:val="es-MX"/>
        </w:rPr>
        <w:t>po</w:t>
      </w:r>
      <w:proofErr w:type="spellEnd"/>
      <w:r w:rsidRPr="009E6D43">
        <w:rPr>
          <w:color w:val="auto"/>
          <w:sz w:val="18"/>
          <w:szCs w:val="18"/>
          <w:lang w:val="es-MX"/>
        </w:rPr>
        <w:t>)</w:t>
      </w:r>
    </w:p>
    <w:p w14:paraId="1D949DED" w14:textId="4C2DDC1A" w:rsidR="006E7FFD" w:rsidRPr="009E6D43" w:rsidRDefault="002760A4" w:rsidP="006257BC">
      <w:pPr>
        <w:pStyle w:val="Prrafodelista"/>
        <w:ind w:left="0"/>
        <w:jc w:val="center"/>
        <w:rPr>
          <w:sz w:val="16"/>
          <w:szCs w:val="16"/>
        </w:rPr>
      </w:pPr>
      <w:r w:rsidRPr="009E6D43">
        <w:rPr>
          <w:noProof/>
        </w:rPr>
        <w:drawing>
          <wp:inline distT="0" distB="0" distL="0" distR="0" wp14:anchorId="1661BED8" wp14:editId="64110131">
            <wp:extent cx="4680000" cy="2520000"/>
            <wp:effectExtent l="0" t="0" r="25400" b="13970"/>
            <wp:docPr id="110531266" name="Gráfico 1">
              <a:extLst xmlns:a="http://schemas.openxmlformats.org/drawingml/2006/main">
                <a:ext uri="{FF2B5EF4-FFF2-40B4-BE49-F238E27FC236}">
                  <a16:creationId xmlns:a16="http://schemas.microsoft.com/office/drawing/2014/main" id="{1715696E-82DC-48CD-BC14-447EB7CB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B610773" w14:textId="4C707AA7" w:rsidR="009C4A8C" w:rsidRPr="009E6D43" w:rsidRDefault="00371BE0" w:rsidP="00593885">
      <w:pPr>
        <w:pStyle w:val="n0"/>
        <w:keepLines w:val="0"/>
        <w:spacing w:before="0"/>
        <w:ind w:left="1275" w:right="476" w:firstLine="143"/>
        <w:rPr>
          <w:color w:val="auto"/>
          <w:sz w:val="16"/>
          <w:szCs w:val="16"/>
        </w:rPr>
      </w:pPr>
      <w:r w:rsidRPr="009E6D43">
        <w:rPr>
          <w:color w:val="auto"/>
          <w:sz w:val="16"/>
          <w:szCs w:val="16"/>
        </w:rPr>
        <w:t xml:space="preserve">Fuente: </w:t>
      </w:r>
      <w:proofErr w:type="spellStart"/>
      <w:r w:rsidR="00F96357" w:rsidRPr="009E6D43">
        <w:rPr>
          <w:smallCaps/>
          <w:color w:val="auto"/>
          <w:sz w:val="16"/>
          <w:szCs w:val="16"/>
        </w:rPr>
        <w:t>inegi</w:t>
      </w:r>
      <w:proofErr w:type="spellEnd"/>
      <w:r w:rsidR="00BF401D" w:rsidRPr="009E6D43">
        <w:rPr>
          <w:color w:val="auto"/>
          <w:sz w:val="16"/>
          <w:szCs w:val="16"/>
        </w:rPr>
        <w:t xml:space="preserve">. </w:t>
      </w:r>
      <w:proofErr w:type="spellStart"/>
      <w:r w:rsidR="00F96357" w:rsidRPr="009E6D43">
        <w:rPr>
          <w:smallCaps/>
          <w:color w:val="auto"/>
          <w:sz w:val="16"/>
          <w:szCs w:val="16"/>
        </w:rPr>
        <w:t>enoe</w:t>
      </w:r>
      <w:r w:rsidR="00F96357" w:rsidRPr="009E6D43">
        <w:rPr>
          <w:smallCaps/>
          <w:color w:val="auto"/>
          <w:sz w:val="16"/>
          <w:szCs w:val="16"/>
          <w:vertAlign w:val="superscript"/>
        </w:rPr>
        <w:t>n</w:t>
      </w:r>
      <w:proofErr w:type="spellEnd"/>
      <w:r w:rsidR="00BF401D" w:rsidRPr="009E6D43">
        <w:rPr>
          <w:color w:val="auto"/>
          <w:sz w:val="16"/>
          <w:szCs w:val="16"/>
        </w:rPr>
        <w:t>,</w:t>
      </w:r>
      <w:r w:rsidR="00A20707" w:rsidRPr="009E6D43">
        <w:rPr>
          <w:color w:val="auto"/>
          <w:sz w:val="16"/>
          <w:szCs w:val="16"/>
        </w:rPr>
        <w:t xml:space="preserve"> </w:t>
      </w:r>
      <w:r w:rsidR="00BF401D" w:rsidRPr="009E6D43">
        <w:rPr>
          <w:color w:val="auto"/>
          <w:sz w:val="16"/>
          <w:szCs w:val="16"/>
        </w:rPr>
        <w:t>2022.</w:t>
      </w:r>
      <w:r w:rsidR="00593885" w:rsidRPr="009E6D43">
        <w:rPr>
          <w:color w:val="auto"/>
          <w:sz w:val="16"/>
          <w:szCs w:val="16"/>
        </w:rPr>
        <w:t xml:space="preserve"> </w:t>
      </w:r>
      <w:proofErr w:type="spellStart"/>
      <w:r w:rsidR="00F96357" w:rsidRPr="009E6D43">
        <w:rPr>
          <w:smallCaps/>
          <w:color w:val="auto"/>
          <w:sz w:val="16"/>
          <w:szCs w:val="16"/>
        </w:rPr>
        <w:t>enoe</w:t>
      </w:r>
      <w:proofErr w:type="spellEnd"/>
      <w:r w:rsidR="00BF401D" w:rsidRPr="009E6D43">
        <w:rPr>
          <w:color w:val="auto"/>
          <w:sz w:val="16"/>
          <w:szCs w:val="16"/>
        </w:rPr>
        <w:t>,</w:t>
      </w:r>
      <w:r w:rsidR="00A20707" w:rsidRPr="009E6D43">
        <w:rPr>
          <w:color w:val="auto"/>
          <w:sz w:val="16"/>
          <w:szCs w:val="16"/>
        </w:rPr>
        <w:t xml:space="preserve"> </w:t>
      </w:r>
      <w:r w:rsidR="00BF401D" w:rsidRPr="009E6D43">
        <w:rPr>
          <w:color w:val="auto"/>
          <w:sz w:val="16"/>
          <w:szCs w:val="16"/>
        </w:rPr>
        <w:t>2023.</w:t>
      </w:r>
    </w:p>
    <w:p w14:paraId="3826FC0D" w14:textId="77777777" w:rsidR="0040112C" w:rsidRPr="009E6D43" w:rsidRDefault="0040112C" w:rsidP="000075FB">
      <w:pPr>
        <w:spacing w:before="240"/>
        <w:jc w:val="center"/>
        <w:rPr>
          <w:sz w:val="20"/>
          <w:szCs w:val="22"/>
        </w:rPr>
      </w:pPr>
      <w:r w:rsidRPr="009E6D43">
        <w:rPr>
          <w:sz w:val="20"/>
          <w:szCs w:val="22"/>
        </w:rPr>
        <w:t xml:space="preserve">Cuadro </w:t>
      </w:r>
      <w:r w:rsidR="0002223F" w:rsidRPr="009E6D43">
        <w:rPr>
          <w:sz w:val="20"/>
          <w:szCs w:val="22"/>
        </w:rPr>
        <w:t>6</w:t>
      </w:r>
    </w:p>
    <w:p w14:paraId="4AA043CE" w14:textId="07D75ACD" w:rsidR="0040112C" w:rsidRPr="009E6D43" w:rsidRDefault="0040112C" w:rsidP="0040112C">
      <w:pPr>
        <w:pStyle w:val="n0"/>
        <w:keepLines w:val="0"/>
        <w:widowControl w:val="0"/>
        <w:spacing w:before="0"/>
        <w:ind w:left="0" w:right="49" w:firstLine="0"/>
        <w:jc w:val="center"/>
        <w:rPr>
          <w:b/>
          <w:smallCaps/>
          <w:color w:val="auto"/>
          <w:sz w:val="20"/>
          <w:szCs w:val="20"/>
        </w:rPr>
      </w:pPr>
      <w:r w:rsidRPr="009E6D43">
        <w:rPr>
          <w:b/>
          <w:smallCaps/>
          <w:color w:val="auto"/>
          <w:sz w:val="22"/>
          <w:szCs w:val="22"/>
        </w:rPr>
        <w:t>Población ocupada</w:t>
      </w:r>
      <w:r w:rsidR="000B3CBF" w:rsidRPr="009E6D43">
        <w:rPr>
          <w:b/>
          <w:smallCaps/>
          <w:color w:val="auto"/>
          <w:sz w:val="22"/>
          <w:szCs w:val="22"/>
        </w:rPr>
        <w:t>,</w:t>
      </w:r>
      <w:r w:rsidRPr="009E6D43">
        <w:rPr>
          <w:b/>
          <w:smallCaps/>
          <w:color w:val="auto"/>
          <w:sz w:val="22"/>
          <w:szCs w:val="22"/>
        </w:rPr>
        <w:t xml:space="preserve"> </w:t>
      </w:r>
      <w:r w:rsidR="00455E98" w:rsidRPr="009E6D43">
        <w:rPr>
          <w:b/>
          <w:smallCaps/>
          <w:color w:val="auto"/>
          <w:sz w:val="22"/>
          <w:szCs w:val="22"/>
        </w:rPr>
        <w:t>según</w:t>
      </w:r>
      <w:r w:rsidRPr="009E6D43">
        <w:rPr>
          <w:b/>
          <w:smallCaps/>
          <w:color w:val="auto"/>
          <w:sz w:val="22"/>
          <w:szCs w:val="22"/>
        </w:rPr>
        <w:t xml:space="preserve"> </w:t>
      </w:r>
      <w:r w:rsidR="006218AC" w:rsidRPr="009E6D43">
        <w:rPr>
          <w:b/>
          <w:smallCaps/>
          <w:color w:val="auto"/>
          <w:sz w:val="22"/>
          <w:szCs w:val="22"/>
        </w:rPr>
        <w:t xml:space="preserve">sexo </w:t>
      </w:r>
      <w:r w:rsidR="00455E98" w:rsidRPr="009E6D43">
        <w:rPr>
          <w:b/>
          <w:smallCaps/>
          <w:color w:val="auto"/>
          <w:sz w:val="22"/>
          <w:szCs w:val="22"/>
        </w:rPr>
        <w:t>y</w:t>
      </w:r>
      <w:r w:rsidR="006218AC" w:rsidRPr="009E6D43">
        <w:rPr>
          <w:b/>
          <w:smallCaps/>
          <w:color w:val="auto"/>
          <w:sz w:val="22"/>
          <w:szCs w:val="22"/>
        </w:rPr>
        <w:t xml:space="preserve"> </w:t>
      </w:r>
      <w:r w:rsidRPr="009E6D43">
        <w:rPr>
          <w:b/>
          <w:smallCaps/>
          <w:color w:val="auto"/>
          <w:sz w:val="22"/>
          <w:szCs w:val="22"/>
        </w:rPr>
        <w:t>condición de informalidad</w:t>
      </w:r>
      <w:r w:rsidR="008124CC" w:rsidRPr="009E6D43">
        <w:rPr>
          <w:b/>
          <w:smallCaps/>
          <w:color w:val="auto"/>
          <w:sz w:val="22"/>
          <w:szCs w:val="22"/>
        </w:rPr>
        <w:t xml:space="preserve"> </w:t>
      </w:r>
      <w:r w:rsidR="00EB2415" w:rsidRPr="009E6D43">
        <w:rPr>
          <w:b/>
          <w:smallCaps/>
          <w:color w:val="auto"/>
          <w:sz w:val="22"/>
          <w:szCs w:val="22"/>
        </w:rPr>
        <w:br/>
      </w:r>
      <w:r w:rsidR="00CD61EC" w:rsidRPr="009E6D43">
        <w:rPr>
          <w:bCs/>
          <w:color w:val="auto"/>
          <w:sz w:val="20"/>
          <w:szCs w:val="20"/>
        </w:rPr>
        <w:t>dic</w:t>
      </w:r>
      <w:r w:rsidR="00593885" w:rsidRPr="009E6D43">
        <w:rPr>
          <w:bCs/>
          <w:color w:val="auto"/>
          <w:sz w:val="20"/>
          <w:szCs w:val="20"/>
        </w:rPr>
        <w:t>iembre</w:t>
      </w:r>
      <w:r w:rsidR="009C2B95" w:rsidRPr="009E6D43">
        <w:rPr>
          <w:bCs/>
          <w:color w:val="auto"/>
          <w:sz w:val="20"/>
          <w:szCs w:val="20"/>
        </w:rPr>
        <w:t xml:space="preserve"> </w:t>
      </w:r>
      <w:r w:rsidR="0061139C" w:rsidRPr="009E6D43">
        <w:rPr>
          <w:bCs/>
          <w:color w:val="auto"/>
          <w:sz w:val="20"/>
          <w:szCs w:val="20"/>
        </w:rPr>
        <w:t>de 202</w:t>
      </w:r>
      <w:r w:rsidR="002A0E74" w:rsidRPr="009E6D43">
        <w:rPr>
          <w:bCs/>
          <w:color w:val="auto"/>
          <w:sz w:val="20"/>
          <w:szCs w:val="20"/>
        </w:rPr>
        <w:t>3</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9E6D43" w14:paraId="7B480871"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15621D0" w14:textId="5F76CD99" w:rsidR="0061139C" w:rsidRPr="009E6D43" w:rsidRDefault="00FF36AD" w:rsidP="00C86856">
            <w:pPr>
              <w:jc w:val="left"/>
              <w:rPr>
                <w:b/>
                <w:bCs/>
                <w:color w:val="000000"/>
                <w:sz w:val="16"/>
                <w:szCs w:val="16"/>
                <w:lang w:val="es-MX" w:eastAsia="es-MX"/>
              </w:rPr>
            </w:pPr>
            <w:r w:rsidRPr="009E6D43">
              <w:rPr>
                <w:b/>
                <w:bCs/>
                <w:color w:val="000000"/>
                <w:sz w:val="16"/>
                <w:szCs w:val="16"/>
                <w:lang w:val="es-MX" w:eastAsia="es-MX"/>
              </w:rPr>
              <w:t>C</w:t>
            </w:r>
            <w:r w:rsidR="0061139C" w:rsidRPr="009E6D43">
              <w:rPr>
                <w:b/>
                <w:bCs/>
                <w:color w:val="000000"/>
                <w:sz w:val="16"/>
                <w:szCs w:val="16"/>
                <w:lang w:val="es-MX" w:eastAsia="es-MX"/>
              </w:rPr>
              <w:t>ondición de</w:t>
            </w:r>
            <w:r w:rsidR="00CA795A" w:rsidRPr="009E6D43">
              <w:rPr>
                <w:b/>
                <w:bCs/>
                <w:color w:val="000000"/>
                <w:sz w:val="16"/>
                <w:szCs w:val="16"/>
                <w:lang w:val="es-MX" w:eastAsia="es-MX"/>
              </w:rPr>
              <w:t xml:space="preserve"> </w:t>
            </w:r>
            <w:r w:rsidR="0061139C" w:rsidRPr="009E6D43">
              <w:rPr>
                <w:b/>
                <w:bCs/>
                <w:color w:val="000000"/>
                <w:sz w:val="16"/>
                <w:szCs w:val="16"/>
                <w:lang w:val="es-MX" w:eastAsia="es-MX"/>
              </w:rPr>
              <w:t>informalidad</w:t>
            </w:r>
            <w:r w:rsidR="009C5F62" w:rsidRPr="009E6D43">
              <w:rPr>
                <w:b/>
                <w:bCs/>
                <w:color w:val="000000"/>
                <w:sz w:val="16"/>
                <w:szCs w:val="16"/>
                <w:highlight w:val="yellow"/>
                <w:lang w:val="es-MX" w:eastAsia="es-MX"/>
              </w:rPr>
              <w:t xml:space="preserve">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05BD239" w14:textId="77777777" w:rsidR="0061139C" w:rsidRPr="009E6D43" w:rsidRDefault="0061139C" w:rsidP="00C86856">
            <w:pPr>
              <w:jc w:val="center"/>
              <w:rPr>
                <w:b/>
                <w:bCs/>
                <w:color w:val="000000"/>
                <w:sz w:val="16"/>
                <w:szCs w:val="16"/>
                <w:lang w:val="es-MX" w:eastAsia="es-MX"/>
              </w:rPr>
            </w:pPr>
            <w:r w:rsidRPr="009E6D43">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D9CAE3F" w14:textId="77777777" w:rsidR="0061139C" w:rsidRPr="009E6D43" w:rsidRDefault="0061139C" w:rsidP="00C86856">
            <w:pPr>
              <w:jc w:val="center"/>
              <w:rPr>
                <w:b/>
                <w:bCs/>
                <w:color w:val="000000"/>
                <w:sz w:val="16"/>
                <w:szCs w:val="16"/>
                <w:lang w:val="es-MX" w:eastAsia="es-MX"/>
              </w:rPr>
            </w:pPr>
            <w:r w:rsidRPr="009E6D43">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ED58E83" w14:textId="77777777" w:rsidR="0061139C" w:rsidRPr="009E6D43" w:rsidRDefault="0061139C" w:rsidP="00C86856">
            <w:pPr>
              <w:jc w:val="center"/>
              <w:rPr>
                <w:b/>
                <w:bCs/>
                <w:color w:val="000000"/>
                <w:sz w:val="16"/>
                <w:szCs w:val="16"/>
                <w:lang w:val="es-MX" w:eastAsia="es-MX"/>
              </w:rPr>
            </w:pPr>
            <w:r w:rsidRPr="009E6D43">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C91973" w14:textId="77777777" w:rsidR="0061139C" w:rsidRPr="009E6D43" w:rsidRDefault="0061139C" w:rsidP="00C86856">
            <w:pPr>
              <w:jc w:val="center"/>
              <w:rPr>
                <w:b/>
                <w:bCs/>
                <w:color w:val="000000"/>
                <w:sz w:val="16"/>
                <w:szCs w:val="16"/>
                <w:lang w:val="es-MX" w:eastAsia="es-MX"/>
              </w:rPr>
            </w:pPr>
            <w:r w:rsidRPr="009E6D43">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E20CCC" w14:textId="77777777" w:rsidR="0061139C" w:rsidRPr="009E6D43" w:rsidRDefault="0061139C" w:rsidP="00C86856">
            <w:pPr>
              <w:jc w:val="center"/>
              <w:rPr>
                <w:b/>
                <w:bCs/>
                <w:color w:val="000000"/>
                <w:sz w:val="16"/>
                <w:szCs w:val="16"/>
                <w:lang w:val="es-MX" w:eastAsia="es-MX"/>
              </w:rPr>
            </w:pPr>
            <w:r w:rsidRPr="009E6D43">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11B48C" w14:textId="77777777" w:rsidR="0061139C" w:rsidRPr="009E6D43" w:rsidRDefault="0061139C" w:rsidP="00C86856">
            <w:pPr>
              <w:jc w:val="center"/>
              <w:rPr>
                <w:b/>
                <w:bCs/>
                <w:color w:val="000000"/>
                <w:sz w:val="16"/>
                <w:szCs w:val="16"/>
                <w:lang w:val="es-MX" w:eastAsia="es-MX"/>
              </w:rPr>
            </w:pPr>
            <w:r w:rsidRPr="009E6D43">
              <w:rPr>
                <w:b/>
                <w:bCs/>
                <w:color w:val="000000"/>
                <w:sz w:val="16"/>
                <w:szCs w:val="16"/>
                <w:lang w:val="es-MX" w:eastAsia="es-MX"/>
              </w:rPr>
              <w:t>Mujeres</w:t>
            </w:r>
          </w:p>
        </w:tc>
      </w:tr>
      <w:tr w:rsidR="0061139C" w:rsidRPr="009E6D43" w14:paraId="3CE9A7FC"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8CFFD" w14:textId="77777777" w:rsidR="0061139C" w:rsidRPr="009E6D43"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6CFD6FB" w14:textId="77777777" w:rsidR="0061139C" w:rsidRPr="009E6D43" w:rsidRDefault="0061139C" w:rsidP="00C86856">
            <w:pPr>
              <w:jc w:val="center"/>
              <w:rPr>
                <w:b/>
                <w:bCs/>
                <w:color w:val="000000"/>
                <w:sz w:val="16"/>
                <w:szCs w:val="16"/>
                <w:lang w:val="es-MX" w:eastAsia="es-MX"/>
              </w:rPr>
            </w:pPr>
            <w:r w:rsidRPr="009E6D43">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E772C41" w14:textId="0AF17E29" w:rsidR="0061139C" w:rsidRPr="009E6D43" w:rsidRDefault="0061139C" w:rsidP="00C86856">
            <w:pPr>
              <w:jc w:val="center"/>
              <w:rPr>
                <w:b/>
                <w:bCs/>
                <w:color w:val="000000"/>
                <w:sz w:val="16"/>
                <w:szCs w:val="16"/>
                <w:lang w:val="es-MX" w:eastAsia="es-MX"/>
              </w:rPr>
            </w:pPr>
            <w:proofErr w:type="spellStart"/>
            <w:r w:rsidRPr="009E6D43">
              <w:rPr>
                <w:b/>
                <w:bCs/>
                <w:color w:val="000000"/>
                <w:sz w:val="16"/>
                <w:szCs w:val="16"/>
                <w:lang w:val="es-MX" w:eastAsia="es-MX"/>
              </w:rPr>
              <w:t>Relativos</w:t>
            </w:r>
            <w:r w:rsidR="00457000" w:rsidRPr="009E6D43">
              <w:rPr>
                <w:b/>
                <w:bCs/>
                <w:color w:val="000000"/>
                <w:sz w:val="18"/>
                <w:szCs w:val="16"/>
                <w:vertAlign w:val="superscript"/>
                <w:lang w:val="es-MX" w:eastAsia="es-MX"/>
              </w:rPr>
              <w:t>a</w:t>
            </w:r>
            <w:proofErr w:type="spellEnd"/>
            <w:r w:rsidR="00457000" w:rsidRPr="009E6D43">
              <w:rPr>
                <w:b/>
                <w:bCs/>
                <w:color w:val="000000"/>
                <w:sz w:val="18"/>
                <w:szCs w:val="16"/>
                <w:vertAlign w:val="superscript"/>
                <w:lang w:val="es-MX" w:eastAsia="es-MX"/>
              </w:rPr>
              <w:t>/</w:t>
            </w:r>
          </w:p>
        </w:tc>
      </w:tr>
      <w:tr w:rsidR="00CF65DE" w:rsidRPr="009E6D43" w14:paraId="740DEC25" w14:textId="77777777" w:rsidTr="00CF65DE">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ADE3773" w14:textId="77777777" w:rsidR="00CF65DE" w:rsidRPr="009E6D43" w:rsidRDefault="00CF65DE" w:rsidP="00CF65DE">
            <w:pPr>
              <w:jc w:val="left"/>
              <w:rPr>
                <w:color w:val="000000"/>
                <w:sz w:val="16"/>
                <w:szCs w:val="16"/>
                <w:lang w:val="es-MX" w:eastAsia="es-MX"/>
              </w:rPr>
            </w:pPr>
            <w:r w:rsidRPr="009E6D43">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022CDD" w14:textId="68DC61BF" w:rsidR="00CF65DE" w:rsidRPr="009E6D43" w:rsidRDefault="00CF65DE" w:rsidP="00CF65DE">
            <w:pPr>
              <w:tabs>
                <w:tab w:val="decimal" w:pos="904"/>
              </w:tabs>
              <w:ind w:firstLineChars="37" w:firstLine="59"/>
              <w:jc w:val="left"/>
              <w:rPr>
                <w:color w:val="000000"/>
                <w:sz w:val="16"/>
                <w:szCs w:val="16"/>
                <w:lang w:val="es-MX" w:eastAsia="es-MX"/>
              </w:rPr>
            </w:pPr>
            <w:r w:rsidRPr="009E6D43">
              <w:rPr>
                <w:b/>
                <w:bCs/>
                <w:color w:val="000000"/>
                <w:sz w:val="16"/>
                <w:szCs w:val="16"/>
              </w:rPr>
              <w:t xml:space="preserve"> 59 146 415</w:t>
            </w:r>
          </w:p>
        </w:tc>
        <w:tc>
          <w:tcPr>
            <w:tcW w:w="1150" w:type="dxa"/>
            <w:tcBorders>
              <w:top w:val="single" w:sz="4" w:space="0" w:color="1F497D"/>
              <w:bottom w:val="nil"/>
            </w:tcBorders>
            <w:shd w:val="clear" w:color="auto" w:fill="auto"/>
            <w:noWrap/>
            <w:vAlign w:val="center"/>
          </w:tcPr>
          <w:p w14:paraId="707FFE50" w14:textId="0E8FBDE2" w:rsidR="00CF65DE" w:rsidRPr="009E6D43" w:rsidRDefault="00CF65DE" w:rsidP="00CF65DE">
            <w:pPr>
              <w:tabs>
                <w:tab w:val="decimal" w:pos="925"/>
              </w:tabs>
              <w:ind w:firstLineChars="37" w:firstLine="59"/>
              <w:jc w:val="left"/>
              <w:rPr>
                <w:color w:val="000000"/>
                <w:sz w:val="16"/>
                <w:szCs w:val="16"/>
                <w:lang w:val="es-MX" w:eastAsia="es-MX"/>
              </w:rPr>
            </w:pPr>
            <w:r w:rsidRPr="009E6D43">
              <w:rPr>
                <w:b/>
                <w:bCs/>
                <w:color w:val="000000"/>
                <w:sz w:val="16"/>
                <w:szCs w:val="16"/>
              </w:rPr>
              <w:t xml:space="preserve"> 34 874 362</w:t>
            </w:r>
          </w:p>
        </w:tc>
        <w:tc>
          <w:tcPr>
            <w:tcW w:w="1150" w:type="dxa"/>
            <w:tcBorders>
              <w:top w:val="single" w:sz="4" w:space="0" w:color="1F497D"/>
              <w:bottom w:val="nil"/>
              <w:right w:val="single" w:sz="4" w:space="0" w:color="1F497D"/>
            </w:tcBorders>
            <w:shd w:val="clear" w:color="auto" w:fill="auto"/>
            <w:noWrap/>
            <w:vAlign w:val="center"/>
          </w:tcPr>
          <w:p w14:paraId="794C2FB5" w14:textId="7790138F" w:rsidR="00CF65DE" w:rsidRPr="009E6D43" w:rsidRDefault="00CF65DE" w:rsidP="00CF65DE">
            <w:pPr>
              <w:tabs>
                <w:tab w:val="decimal" w:pos="908"/>
              </w:tabs>
              <w:ind w:firstLineChars="37" w:firstLine="59"/>
              <w:jc w:val="left"/>
              <w:rPr>
                <w:color w:val="000000"/>
                <w:sz w:val="16"/>
                <w:szCs w:val="16"/>
                <w:lang w:val="es-MX" w:eastAsia="es-MX"/>
              </w:rPr>
            </w:pPr>
            <w:r w:rsidRPr="009E6D43">
              <w:rPr>
                <w:b/>
                <w:bCs/>
                <w:color w:val="000000"/>
                <w:sz w:val="16"/>
                <w:szCs w:val="16"/>
              </w:rPr>
              <w:t xml:space="preserve"> 24 272 053</w:t>
            </w:r>
          </w:p>
        </w:tc>
        <w:tc>
          <w:tcPr>
            <w:tcW w:w="891" w:type="dxa"/>
            <w:tcBorders>
              <w:top w:val="single" w:sz="4" w:space="0" w:color="1F497D"/>
              <w:left w:val="single" w:sz="4" w:space="0" w:color="1F497D"/>
              <w:bottom w:val="nil"/>
            </w:tcBorders>
            <w:vAlign w:val="center"/>
          </w:tcPr>
          <w:p w14:paraId="7ACF1B47" w14:textId="7F0E5F54" w:rsidR="00CF65DE" w:rsidRPr="009E6D43" w:rsidRDefault="00CF65DE" w:rsidP="00CF65DE">
            <w:pPr>
              <w:tabs>
                <w:tab w:val="decimal" w:pos="473"/>
              </w:tabs>
              <w:ind w:firstLineChars="37" w:firstLine="59"/>
              <w:jc w:val="left"/>
              <w:rPr>
                <w:color w:val="000000"/>
                <w:sz w:val="16"/>
                <w:szCs w:val="16"/>
                <w:lang w:val="es-MX" w:eastAsia="es-MX"/>
              </w:rPr>
            </w:pPr>
            <w:r w:rsidRPr="009E6D43">
              <w:rPr>
                <w:b/>
                <w:bCs/>
                <w:color w:val="000000"/>
                <w:sz w:val="16"/>
                <w:szCs w:val="16"/>
              </w:rPr>
              <w:t>100.0</w:t>
            </w:r>
          </w:p>
        </w:tc>
        <w:tc>
          <w:tcPr>
            <w:tcW w:w="892" w:type="dxa"/>
            <w:tcBorders>
              <w:top w:val="single" w:sz="4" w:space="0" w:color="1F497D"/>
              <w:bottom w:val="nil"/>
            </w:tcBorders>
            <w:vAlign w:val="center"/>
          </w:tcPr>
          <w:p w14:paraId="76565B9D" w14:textId="7BDC1F5A" w:rsidR="00CF65DE" w:rsidRPr="009E6D43" w:rsidRDefault="00CF65DE" w:rsidP="00CF65DE">
            <w:pPr>
              <w:tabs>
                <w:tab w:val="decimal" w:pos="463"/>
              </w:tabs>
              <w:ind w:firstLineChars="37" w:firstLine="59"/>
              <w:jc w:val="left"/>
              <w:rPr>
                <w:color w:val="000000"/>
                <w:sz w:val="16"/>
                <w:szCs w:val="16"/>
                <w:lang w:val="es-MX" w:eastAsia="es-MX"/>
              </w:rPr>
            </w:pPr>
            <w:r w:rsidRPr="009E6D43">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6A059ABB" w14:textId="43446B07" w:rsidR="00CF65DE" w:rsidRPr="009E6D43" w:rsidRDefault="00CF65DE" w:rsidP="00CF65DE">
            <w:pPr>
              <w:tabs>
                <w:tab w:val="decimal" w:pos="453"/>
              </w:tabs>
              <w:ind w:firstLineChars="37" w:firstLine="59"/>
              <w:jc w:val="left"/>
              <w:rPr>
                <w:color w:val="000000"/>
                <w:sz w:val="16"/>
                <w:szCs w:val="16"/>
                <w:lang w:val="es-MX" w:eastAsia="es-MX"/>
              </w:rPr>
            </w:pPr>
            <w:r w:rsidRPr="009E6D43">
              <w:rPr>
                <w:b/>
                <w:bCs/>
                <w:color w:val="000000"/>
                <w:sz w:val="16"/>
                <w:szCs w:val="16"/>
              </w:rPr>
              <w:t>100.0</w:t>
            </w:r>
          </w:p>
        </w:tc>
      </w:tr>
      <w:tr w:rsidR="00CF65DE" w:rsidRPr="009E6D43" w14:paraId="71763B17" w14:textId="77777777" w:rsidTr="00CF65DE">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5293D14"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2A190900" w14:textId="26EC3ED2" w:rsidR="00CF65DE" w:rsidRPr="009E6D43" w:rsidRDefault="00CF65DE" w:rsidP="00CF65DE">
            <w:pPr>
              <w:tabs>
                <w:tab w:val="decimal" w:pos="904"/>
              </w:tabs>
              <w:ind w:firstLineChars="37" w:firstLine="59"/>
              <w:jc w:val="left"/>
              <w:rPr>
                <w:color w:val="000000"/>
                <w:sz w:val="16"/>
                <w:szCs w:val="16"/>
                <w:lang w:val="es-MX" w:eastAsia="es-MX"/>
              </w:rPr>
            </w:pPr>
            <w:r w:rsidRPr="009E6D43">
              <w:rPr>
                <w:color w:val="000000"/>
                <w:sz w:val="16"/>
                <w:szCs w:val="16"/>
              </w:rPr>
              <w:t xml:space="preserve"> 27 428 052</w:t>
            </w:r>
          </w:p>
        </w:tc>
        <w:tc>
          <w:tcPr>
            <w:tcW w:w="1150" w:type="dxa"/>
            <w:tcBorders>
              <w:top w:val="nil"/>
              <w:bottom w:val="nil"/>
            </w:tcBorders>
            <w:shd w:val="clear" w:color="auto" w:fill="auto"/>
            <w:noWrap/>
            <w:vAlign w:val="center"/>
          </w:tcPr>
          <w:p w14:paraId="1D7B0B96" w14:textId="463342D9" w:rsidR="00CF65DE" w:rsidRPr="009E6D43" w:rsidRDefault="00CF65DE" w:rsidP="00CF65DE">
            <w:pPr>
              <w:tabs>
                <w:tab w:val="decimal" w:pos="925"/>
              </w:tabs>
              <w:ind w:firstLineChars="37" w:firstLine="59"/>
              <w:jc w:val="left"/>
              <w:rPr>
                <w:color w:val="000000"/>
                <w:sz w:val="16"/>
                <w:szCs w:val="16"/>
                <w:lang w:val="es-MX" w:eastAsia="es-MX"/>
              </w:rPr>
            </w:pPr>
            <w:r w:rsidRPr="009E6D43">
              <w:rPr>
                <w:color w:val="000000"/>
                <w:sz w:val="16"/>
                <w:szCs w:val="16"/>
              </w:rPr>
              <w:t xml:space="preserve"> 16 412 596</w:t>
            </w:r>
          </w:p>
        </w:tc>
        <w:tc>
          <w:tcPr>
            <w:tcW w:w="1150" w:type="dxa"/>
            <w:tcBorders>
              <w:top w:val="nil"/>
              <w:bottom w:val="nil"/>
              <w:right w:val="single" w:sz="4" w:space="0" w:color="1F497D"/>
            </w:tcBorders>
            <w:shd w:val="clear" w:color="auto" w:fill="auto"/>
            <w:noWrap/>
            <w:vAlign w:val="center"/>
          </w:tcPr>
          <w:p w14:paraId="14783104" w14:textId="67E54ECE" w:rsidR="00CF65DE" w:rsidRPr="009E6D43" w:rsidRDefault="00CF65DE" w:rsidP="00CF65DE">
            <w:pPr>
              <w:tabs>
                <w:tab w:val="decimal" w:pos="908"/>
              </w:tabs>
              <w:ind w:firstLineChars="37" w:firstLine="59"/>
              <w:jc w:val="left"/>
              <w:rPr>
                <w:color w:val="000000"/>
                <w:sz w:val="16"/>
                <w:szCs w:val="16"/>
                <w:lang w:val="es-MX" w:eastAsia="es-MX"/>
              </w:rPr>
            </w:pPr>
            <w:r w:rsidRPr="009E6D43">
              <w:rPr>
                <w:color w:val="000000"/>
                <w:sz w:val="16"/>
                <w:szCs w:val="16"/>
              </w:rPr>
              <w:t xml:space="preserve"> 11 015 456</w:t>
            </w:r>
          </w:p>
        </w:tc>
        <w:tc>
          <w:tcPr>
            <w:tcW w:w="891" w:type="dxa"/>
            <w:tcBorders>
              <w:top w:val="nil"/>
              <w:left w:val="single" w:sz="4" w:space="0" w:color="1F497D"/>
              <w:bottom w:val="nil"/>
            </w:tcBorders>
            <w:vAlign w:val="center"/>
          </w:tcPr>
          <w:p w14:paraId="61FD30C8" w14:textId="098B16E8" w:rsidR="00CF65DE" w:rsidRPr="009E6D43" w:rsidRDefault="00CF65DE" w:rsidP="00CF65DE">
            <w:pPr>
              <w:tabs>
                <w:tab w:val="decimal" w:pos="473"/>
              </w:tabs>
              <w:ind w:firstLineChars="37" w:firstLine="59"/>
              <w:jc w:val="left"/>
              <w:rPr>
                <w:color w:val="000000"/>
                <w:sz w:val="16"/>
                <w:szCs w:val="16"/>
                <w:lang w:val="es-MX" w:eastAsia="es-MX"/>
              </w:rPr>
            </w:pPr>
            <w:r w:rsidRPr="009E6D43">
              <w:rPr>
                <w:color w:val="000000"/>
                <w:sz w:val="16"/>
                <w:szCs w:val="16"/>
              </w:rPr>
              <w:t>46.4</w:t>
            </w:r>
          </w:p>
        </w:tc>
        <w:tc>
          <w:tcPr>
            <w:tcW w:w="892" w:type="dxa"/>
            <w:tcBorders>
              <w:top w:val="nil"/>
              <w:bottom w:val="nil"/>
            </w:tcBorders>
            <w:vAlign w:val="center"/>
          </w:tcPr>
          <w:p w14:paraId="494549B0" w14:textId="20C06B6A" w:rsidR="00CF65DE" w:rsidRPr="009E6D43" w:rsidRDefault="00CF65DE" w:rsidP="00CF65DE">
            <w:pPr>
              <w:tabs>
                <w:tab w:val="decimal" w:pos="463"/>
              </w:tabs>
              <w:ind w:firstLineChars="37" w:firstLine="59"/>
              <w:jc w:val="left"/>
              <w:rPr>
                <w:color w:val="000000"/>
                <w:sz w:val="16"/>
                <w:szCs w:val="16"/>
                <w:lang w:val="es-MX" w:eastAsia="es-MX"/>
              </w:rPr>
            </w:pPr>
            <w:r w:rsidRPr="009E6D43">
              <w:rPr>
                <w:color w:val="000000"/>
                <w:sz w:val="16"/>
                <w:szCs w:val="16"/>
              </w:rPr>
              <w:t>47.1</w:t>
            </w:r>
          </w:p>
        </w:tc>
        <w:tc>
          <w:tcPr>
            <w:tcW w:w="892" w:type="dxa"/>
            <w:tcBorders>
              <w:top w:val="nil"/>
              <w:bottom w:val="nil"/>
              <w:right w:val="single" w:sz="4" w:space="0" w:color="1F497D"/>
            </w:tcBorders>
            <w:shd w:val="clear" w:color="auto" w:fill="auto"/>
            <w:noWrap/>
            <w:vAlign w:val="center"/>
          </w:tcPr>
          <w:p w14:paraId="0228C766" w14:textId="514970BD" w:rsidR="00CF65DE" w:rsidRPr="009E6D43" w:rsidRDefault="00CF65DE" w:rsidP="00CF65DE">
            <w:pPr>
              <w:tabs>
                <w:tab w:val="decimal" w:pos="453"/>
              </w:tabs>
              <w:ind w:firstLineChars="37" w:firstLine="59"/>
              <w:jc w:val="left"/>
              <w:rPr>
                <w:color w:val="000000"/>
                <w:sz w:val="16"/>
                <w:szCs w:val="16"/>
                <w:lang w:val="es-MX" w:eastAsia="es-MX"/>
              </w:rPr>
            </w:pPr>
            <w:r w:rsidRPr="009E6D43">
              <w:rPr>
                <w:color w:val="000000"/>
                <w:sz w:val="16"/>
                <w:szCs w:val="16"/>
              </w:rPr>
              <w:t>45.4</w:t>
            </w:r>
          </w:p>
        </w:tc>
      </w:tr>
      <w:tr w:rsidR="00CF65DE" w:rsidRPr="009E6D43" w14:paraId="34CD8DF6" w14:textId="77777777" w:rsidTr="00CF65DE">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FC5D38C"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43518BE2" w14:textId="320F73FD" w:rsidR="00CF65DE" w:rsidRPr="009E6D43" w:rsidRDefault="00CF65DE" w:rsidP="00CF65DE">
            <w:pPr>
              <w:tabs>
                <w:tab w:val="decimal" w:pos="904"/>
              </w:tabs>
              <w:ind w:firstLineChars="37" w:firstLine="59"/>
              <w:jc w:val="left"/>
              <w:rPr>
                <w:color w:val="000000"/>
                <w:sz w:val="16"/>
                <w:szCs w:val="16"/>
                <w:lang w:val="es-MX" w:eastAsia="es-MX"/>
              </w:rPr>
            </w:pPr>
            <w:r w:rsidRPr="009E6D43">
              <w:rPr>
                <w:color w:val="000000"/>
                <w:sz w:val="16"/>
                <w:szCs w:val="16"/>
              </w:rPr>
              <w:t xml:space="preserve"> 31 718 363</w:t>
            </w:r>
          </w:p>
        </w:tc>
        <w:tc>
          <w:tcPr>
            <w:tcW w:w="1150" w:type="dxa"/>
            <w:tcBorders>
              <w:top w:val="nil"/>
              <w:bottom w:val="nil"/>
            </w:tcBorders>
            <w:shd w:val="clear" w:color="auto" w:fill="auto"/>
            <w:noWrap/>
            <w:vAlign w:val="center"/>
          </w:tcPr>
          <w:p w14:paraId="2A7037C4" w14:textId="08022005" w:rsidR="00CF65DE" w:rsidRPr="009E6D43" w:rsidRDefault="00CF65DE" w:rsidP="00CF65DE">
            <w:pPr>
              <w:tabs>
                <w:tab w:val="decimal" w:pos="925"/>
              </w:tabs>
              <w:ind w:firstLineChars="37" w:firstLine="59"/>
              <w:jc w:val="left"/>
              <w:rPr>
                <w:color w:val="000000"/>
                <w:sz w:val="16"/>
                <w:szCs w:val="16"/>
                <w:lang w:val="es-MX" w:eastAsia="es-MX"/>
              </w:rPr>
            </w:pPr>
            <w:r w:rsidRPr="009E6D43">
              <w:rPr>
                <w:color w:val="000000"/>
                <w:sz w:val="16"/>
                <w:szCs w:val="16"/>
              </w:rPr>
              <w:t xml:space="preserve"> 18 461 766</w:t>
            </w:r>
          </w:p>
        </w:tc>
        <w:tc>
          <w:tcPr>
            <w:tcW w:w="1150" w:type="dxa"/>
            <w:tcBorders>
              <w:top w:val="nil"/>
              <w:bottom w:val="nil"/>
              <w:right w:val="single" w:sz="4" w:space="0" w:color="1F497D"/>
            </w:tcBorders>
            <w:shd w:val="clear" w:color="auto" w:fill="auto"/>
            <w:noWrap/>
            <w:vAlign w:val="center"/>
          </w:tcPr>
          <w:p w14:paraId="2E182BCD" w14:textId="2C06F703" w:rsidR="00CF65DE" w:rsidRPr="009E6D43" w:rsidRDefault="00CF65DE" w:rsidP="00CF65DE">
            <w:pPr>
              <w:tabs>
                <w:tab w:val="decimal" w:pos="908"/>
              </w:tabs>
              <w:ind w:firstLineChars="37" w:firstLine="59"/>
              <w:jc w:val="left"/>
              <w:rPr>
                <w:color w:val="000000"/>
                <w:sz w:val="16"/>
                <w:szCs w:val="16"/>
                <w:lang w:val="es-MX" w:eastAsia="es-MX"/>
              </w:rPr>
            </w:pPr>
            <w:r w:rsidRPr="009E6D43">
              <w:rPr>
                <w:color w:val="000000"/>
                <w:sz w:val="16"/>
                <w:szCs w:val="16"/>
              </w:rPr>
              <w:t xml:space="preserve"> 13 256 597</w:t>
            </w:r>
          </w:p>
        </w:tc>
        <w:tc>
          <w:tcPr>
            <w:tcW w:w="891" w:type="dxa"/>
            <w:tcBorders>
              <w:top w:val="nil"/>
              <w:left w:val="single" w:sz="4" w:space="0" w:color="1F497D"/>
              <w:bottom w:val="nil"/>
            </w:tcBorders>
            <w:vAlign w:val="center"/>
          </w:tcPr>
          <w:p w14:paraId="705529E4" w14:textId="632F1486" w:rsidR="00CF65DE" w:rsidRPr="009E6D43" w:rsidRDefault="00CF65DE" w:rsidP="00CF65DE">
            <w:pPr>
              <w:tabs>
                <w:tab w:val="decimal" w:pos="473"/>
              </w:tabs>
              <w:ind w:firstLineChars="37" w:firstLine="59"/>
              <w:jc w:val="left"/>
              <w:rPr>
                <w:color w:val="000000"/>
                <w:sz w:val="16"/>
                <w:szCs w:val="16"/>
                <w:lang w:val="es-MX" w:eastAsia="es-MX"/>
              </w:rPr>
            </w:pPr>
            <w:r w:rsidRPr="009E6D43">
              <w:rPr>
                <w:color w:val="000000"/>
                <w:sz w:val="16"/>
                <w:szCs w:val="16"/>
              </w:rPr>
              <w:t>53.6</w:t>
            </w:r>
          </w:p>
        </w:tc>
        <w:tc>
          <w:tcPr>
            <w:tcW w:w="892" w:type="dxa"/>
            <w:tcBorders>
              <w:top w:val="nil"/>
              <w:bottom w:val="nil"/>
            </w:tcBorders>
            <w:vAlign w:val="center"/>
          </w:tcPr>
          <w:p w14:paraId="0E35088A" w14:textId="6B225C13" w:rsidR="00CF65DE" w:rsidRPr="009E6D43" w:rsidRDefault="00CF65DE" w:rsidP="00CF65DE">
            <w:pPr>
              <w:tabs>
                <w:tab w:val="decimal" w:pos="463"/>
              </w:tabs>
              <w:ind w:firstLineChars="37" w:firstLine="59"/>
              <w:jc w:val="left"/>
              <w:rPr>
                <w:color w:val="000000"/>
                <w:sz w:val="16"/>
                <w:szCs w:val="16"/>
                <w:lang w:val="es-MX" w:eastAsia="es-MX"/>
              </w:rPr>
            </w:pPr>
            <w:r w:rsidRPr="009E6D43">
              <w:rPr>
                <w:color w:val="000000"/>
                <w:sz w:val="16"/>
                <w:szCs w:val="16"/>
              </w:rPr>
              <w:t>52.9</w:t>
            </w:r>
          </w:p>
        </w:tc>
        <w:tc>
          <w:tcPr>
            <w:tcW w:w="892" w:type="dxa"/>
            <w:tcBorders>
              <w:top w:val="nil"/>
              <w:bottom w:val="nil"/>
              <w:right w:val="single" w:sz="4" w:space="0" w:color="1F497D"/>
            </w:tcBorders>
            <w:shd w:val="clear" w:color="auto" w:fill="auto"/>
            <w:noWrap/>
            <w:vAlign w:val="center"/>
          </w:tcPr>
          <w:p w14:paraId="23956196" w14:textId="6917582D" w:rsidR="00CF65DE" w:rsidRPr="009E6D43" w:rsidRDefault="00CF65DE" w:rsidP="00CF65DE">
            <w:pPr>
              <w:tabs>
                <w:tab w:val="decimal" w:pos="453"/>
              </w:tabs>
              <w:ind w:firstLineChars="37" w:firstLine="59"/>
              <w:jc w:val="left"/>
              <w:rPr>
                <w:color w:val="000000"/>
                <w:sz w:val="16"/>
                <w:szCs w:val="16"/>
                <w:lang w:val="es-MX" w:eastAsia="es-MX"/>
              </w:rPr>
            </w:pPr>
            <w:r w:rsidRPr="009E6D43">
              <w:rPr>
                <w:color w:val="000000"/>
                <w:sz w:val="16"/>
                <w:szCs w:val="16"/>
              </w:rPr>
              <w:t>54.6</w:t>
            </w:r>
          </w:p>
        </w:tc>
      </w:tr>
      <w:tr w:rsidR="00CF65DE" w:rsidRPr="009E6D43" w14:paraId="1F2B7E0E" w14:textId="77777777" w:rsidTr="00CF65DE">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4CCBE15F" w14:textId="77777777" w:rsidR="00CF65DE" w:rsidRPr="009E6D43" w:rsidRDefault="00CF65DE" w:rsidP="00CF65DE">
            <w:pPr>
              <w:ind w:firstLineChars="200" w:firstLine="320"/>
              <w:jc w:val="left"/>
              <w:rPr>
                <w:color w:val="000000"/>
                <w:sz w:val="16"/>
                <w:szCs w:val="16"/>
                <w:lang w:val="es-MX" w:eastAsia="es-MX"/>
              </w:rPr>
            </w:pPr>
            <w:r w:rsidRPr="009E6D43">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4491CC88" w14:textId="47102DEB" w:rsidR="00CF65DE" w:rsidRPr="009E6D43" w:rsidRDefault="00CF65DE" w:rsidP="00CF65DE">
            <w:pPr>
              <w:tabs>
                <w:tab w:val="decimal" w:pos="904"/>
              </w:tabs>
              <w:ind w:firstLineChars="37" w:firstLine="59"/>
              <w:jc w:val="left"/>
              <w:rPr>
                <w:color w:val="000000"/>
                <w:sz w:val="16"/>
                <w:szCs w:val="16"/>
                <w:lang w:val="es-MX" w:eastAsia="es-MX"/>
              </w:rPr>
            </w:pPr>
            <w:r w:rsidRPr="009E6D43">
              <w:rPr>
                <w:color w:val="000000"/>
                <w:sz w:val="16"/>
                <w:szCs w:val="16"/>
              </w:rPr>
              <w:t xml:space="preserve"> 16 484 163</w:t>
            </w:r>
          </w:p>
        </w:tc>
        <w:tc>
          <w:tcPr>
            <w:tcW w:w="1150" w:type="dxa"/>
            <w:tcBorders>
              <w:top w:val="nil"/>
            </w:tcBorders>
            <w:shd w:val="clear" w:color="auto" w:fill="auto"/>
            <w:noWrap/>
            <w:vAlign w:val="center"/>
          </w:tcPr>
          <w:p w14:paraId="28606123" w14:textId="70F72904" w:rsidR="00CF65DE" w:rsidRPr="009E6D43" w:rsidRDefault="00CF65DE" w:rsidP="00CF65DE">
            <w:pPr>
              <w:tabs>
                <w:tab w:val="decimal" w:pos="925"/>
              </w:tabs>
              <w:ind w:firstLineChars="37" w:firstLine="59"/>
              <w:jc w:val="left"/>
              <w:rPr>
                <w:color w:val="000000"/>
                <w:sz w:val="16"/>
                <w:szCs w:val="16"/>
                <w:lang w:val="es-MX" w:eastAsia="es-MX"/>
              </w:rPr>
            </w:pPr>
            <w:r w:rsidRPr="009E6D43">
              <w:rPr>
                <w:color w:val="000000"/>
                <w:sz w:val="16"/>
                <w:szCs w:val="16"/>
              </w:rPr>
              <w:t xml:space="preserve"> 9 573 098</w:t>
            </w:r>
          </w:p>
        </w:tc>
        <w:tc>
          <w:tcPr>
            <w:tcW w:w="1150" w:type="dxa"/>
            <w:tcBorders>
              <w:top w:val="nil"/>
              <w:right w:val="single" w:sz="4" w:space="0" w:color="1F497D"/>
            </w:tcBorders>
            <w:shd w:val="clear" w:color="auto" w:fill="auto"/>
            <w:noWrap/>
            <w:vAlign w:val="center"/>
          </w:tcPr>
          <w:p w14:paraId="147B4C7E" w14:textId="3360848A" w:rsidR="00CF65DE" w:rsidRPr="009E6D43" w:rsidRDefault="00CF65DE" w:rsidP="00CF65DE">
            <w:pPr>
              <w:tabs>
                <w:tab w:val="decimal" w:pos="908"/>
              </w:tabs>
              <w:ind w:firstLineChars="37" w:firstLine="59"/>
              <w:jc w:val="left"/>
              <w:rPr>
                <w:color w:val="000000"/>
                <w:sz w:val="16"/>
                <w:szCs w:val="16"/>
                <w:lang w:val="es-MX" w:eastAsia="es-MX"/>
              </w:rPr>
            </w:pPr>
            <w:r w:rsidRPr="009E6D43">
              <w:rPr>
                <w:color w:val="000000"/>
                <w:sz w:val="16"/>
                <w:szCs w:val="16"/>
              </w:rPr>
              <w:t xml:space="preserve"> 6 911 065</w:t>
            </w:r>
          </w:p>
        </w:tc>
        <w:tc>
          <w:tcPr>
            <w:tcW w:w="891" w:type="dxa"/>
            <w:tcBorders>
              <w:top w:val="nil"/>
              <w:left w:val="single" w:sz="4" w:space="0" w:color="1F497D"/>
            </w:tcBorders>
            <w:vAlign w:val="center"/>
          </w:tcPr>
          <w:p w14:paraId="593229E8" w14:textId="02C006FD" w:rsidR="00CF65DE" w:rsidRPr="009E6D43" w:rsidRDefault="00CF65DE" w:rsidP="00CF65DE">
            <w:pPr>
              <w:tabs>
                <w:tab w:val="decimal" w:pos="473"/>
              </w:tabs>
              <w:ind w:firstLineChars="37" w:firstLine="59"/>
              <w:jc w:val="left"/>
              <w:rPr>
                <w:color w:val="000000"/>
                <w:sz w:val="16"/>
                <w:szCs w:val="16"/>
                <w:lang w:val="es-MX" w:eastAsia="es-MX"/>
              </w:rPr>
            </w:pPr>
            <w:r w:rsidRPr="009E6D43">
              <w:rPr>
                <w:color w:val="000000"/>
                <w:sz w:val="16"/>
                <w:szCs w:val="16"/>
              </w:rPr>
              <w:t>27.9</w:t>
            </w:r>
          </w:p>
        </w:tc>
        <w:tc>
          <w:tcPr>
            <w:tcW w:w="892" w:type="dxa"/>
            <w:tcBorders>
              <w:top w:val="nil"/>
            </w:tcBorders>
            <w:vAlign w:val="center"/>
          </w:tcPr>
          <w:p w14:paraId="747E8298" w14:textId="67D13D32" w:rsidR="00CF65DE" w:rsidRPr="009E6D43" w:rsidRDefault="00CF65DE" w:rsidP="00CF65DE">
            <w:pPr>
              <w:tabs>
                <w:tab w:val="decimal" w:pos="463"/>
              </w:tabs>
              <w:ind w:firstLineChars="37" w:firstLine="59"/>
              <w:jc w:val="left"/>
              <w:rPr>
                <w:color w:val="000000"/>
                <w:sz w:val="16"/>
                <w:szCs w:val="16"/>
                <w:lang w:val="es-MX" w:eastAsia="es-MX"/>
              </w:rPr>
            </w:pPr>
            <w:r w:rsidRPr="009E6D43">
              <w:rPr>
                <w:color w:val="000000"/>
                <w:sz w:val="16"/>
                <w:szCs w:val="16"/>
              </w:rPr>
              <w:t>27.5</w:t>
            </w:r>
          </w:p>
        </w:tc>
        <w:tc>
          <w:tcPr>
            <w:tcW w:w="892" w:type="dxa"/>
            <w:tcBorders>
              <w:top w:val="nil"/>
              <w:right w:val="single" w:sz="4" w:space="0" w:color="1F497D"/>
            </w:tcBorders>
            <w:shd w:val="clear" w:color="auto" w:fill="auto"/>
            <w:noWrap/>
            <w:vAlign w:val="center"/>
          </w:tcPr>
          <w:p w14:paraId="3464EED7" w14:textId="7B1CE3A1" w:rsidR="00CF65DE" w:rsidRPr="009E6D43" w:rsidRDefault="00CF65DE" w:rsidP="00CF65DE">
            <w:pPr>
              <w:tabs>
                <w:tab w:val="decimal" w:pos="453"/>
              </w:tabs>
              <w:ind w:firstLineChars="37" w:firstLine="59"/>
              <w:jc w:val="left"/>
              <w:rPr>
                <w:color w:val="000000"/>
                <w:sz w:val="16"/>
                <w:szCs w:val="16"/>
                <w:lang w:val="es-MX" w:eastAsia="es-MX"/>
              </w:rPr>
            </w:pPr>
            <w:r w:rsidRPr="009E6D43">
              <w:rPr>
                <w:color w:val="000000"/>
                <w:sz w:val="16"/>
                <w:szCs w:val="16"/>
              </w:rPr>
              <w:t>28.5</w:t>
            </w:r>
          </w:p>
        </w:tc>
      </w:tr>
      <w:tr w:rsidR="00CF65DE" w:rsidRPr="009E6D43" w14:paraId="445AF64E" w14:textId="77777777" w:rsidTr="00CF65DE">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28FB1A8" w14:textId="77777777" w:rsidR="00CF65DE" w:rsidRPr="009E6D43" w:rsidRDefault="00CF65DE" w:rsidP="00CF65DE">
            <w:pPr>
              <w:ind w:firstLineChars="200" w:firstLine="320"/>
              <w:jc w:val="left"/>
              <w:rPr>
                <w:color w:val="000000"/>
                <w:sz w:val="16"/>
                <w:szCs w:val="16"/>
                <w:lang w:val="es-MX" w:eastAsia="es-MX"/>
              </w:rPr>
            </w:pPr>
            <w:r w:rsidRPr="009E6D43">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D9F5A51" w14:textId="54643627" w:rsidR="00CF65DE" w:rsidRPr="009E6D43" w:rsidRDefault="00CF65DE" w:rsidP="00CF65DE">
            <w:pPr>
              <w:tabs>
                <w:tab w:val="decimal" w:pos="904"/>
              </w:tabs>
              <w:ind w:firstLineChars="37" w:firstLine="59"/>
              <w:jc w:val="left"/>
              <w:rPr>
                <w:color w:val="000000"/>
                <w:sz w:val="16"/>
                <w:szCs w:val="16"/>
                <w:lang w:val="es-MX" w:eastAsia="es-MX"/>
              </w:rPr>
            </w:pPr>
            <w:r w:rsidRPr="009E6D43">
              <w:rPr>
                <w:color w:val="000000"/>
                <w:sz w:val="16"/>
                <w:szCs w:val="16"/>
              </w:rPr>
              <w:t xml:space="preserve"> 15 234 200</w:t>
            </w:r>
          </w:p>
        </w:tc>
        <w:tc>
          <w:tcPr>
            <w:tcW w:w="1150" w:type="dxa"/>
            <w:tcBorders>
              <w:top w:val="nil"/>
              <w:bottom w:val="single" w:sz="4" w:space="0" w:color="1F497D"/>
            </w:tcBorders>
            <w:shd w:val="clear" w:color="auto" w:fill="auto"/>
            <w:noWrap/>
            <w:vAlign w:val="center"/>
          </w:tcPr>
          <w:p w14:paraId="25589890" w14:textId="3E5D5F15" w:rsidR="00CF65DE" w:rsidRPr="009E6D43" w:rsidRDefault="00CF65DE" w:rsidP="00CF65DE">
            <w:pPr>
              <w:tabs>
                <w:tab w:val="decimal" w:pos="925"/>
              </w:tabs>
              <w:ind w:firstLineChars="37" w:firstLine="59"/>
              <w:jc w:val="left"/>
              <w:rPr>
                <w:color w:val="000000"/>
                <w:sz w:val="16"/>
                <w:szCs w:val="16"/>
                <w:lang w:val="es-MX" w:eastAsia="es-MX"/>
              </w:rPr>
            </w:pPr>
            <w:r w:rsidRPr="009E6D43">
              <w:rPr>
                <w:color w:val="000000"/>
                <w:sz w:val="16"/>
                <w:szCs w:val="16"/>
              </w:rPr>
              <w:t xml:space="preserve"> 8 888 668</w:t>
            </w:r>
          </w:p>
        </w:tc>
        <w:tc>
          <w:tcPr>
            <w:tcW w:w="1150" w:type="dxa"/>
            <w:tcBorders>
              <w:top w:val="nil"/>
              <w:bottom w:val="single" w:sz="4" w:space="0" w:color="1F497D"/>
              <w:right w:val="single" w:sz="4" w:space="0" w:color="1F497D"/>
            </w:tcBorders>
            <w:shd w:val="clear" w:color="auto" w:fill="auto"/>
            <w:noWrap/>
            <w:vAlign w:val="center"/>
          </w:tcPr>
          <w:p w14:paraId="52E19C8F" w14:textId="1657F17C" w:rsidR="00CF65DE" w:rsidRPr="009E6D43" w:rsidRDefault="00CF65DE" w:rsidP="00CF65DE">
            <w:pPr>
              <w:tabs>
                <w:tab w:val="decimal" w:pos="908"/>
              </w:tabs>
              <w:ind w:firstLineChars="37" w:firstLine="59"/>
              <w:jc w:val="left"/>
              <w:rPr>
                <w:color w:val="000000"/>
                <w:sz w:val="16"/>
                <w:szCs w:val="16"/>
                <w:lang w:val="es-MX" w:eastAsia="es-MX"/>
              </w:rPr>
            </w:pPr>
            <w:r w:rsidRPr="009E6D43">
              <w:rPr>
                <w:color w:val="000000"/>
                <w:sz w:val="16"/>
                <w:szCs w:val="16"/>
              </w:rPr>
              <w:t xml:space="preserve"> 6 345 532</w:t>
            </w:r>
          </w:p>
        </w:tc>
        <w:tc>
          <w:tcPr>
            <w:tcW w:w="891" w:type="dxa"/>
            <w:tcBorders>
              <w:top w:val="nil"/>
              <w:left w:val="single" w:sz="4" w:space="0" w:color="1F497D"/>
              <w:bottom w:val="single" w:sz="4" w:space="0" w:color="1F497D"/>
            </w:tcBorders>
            <w:vAlign w:val="center"/>
          </w:tcPr>
          <w:p w14:paraId="34400865" w14:textId="63E1C7EC" w:rsidR="00CF65DE" w:rsidRPr="009E6D43" w:rsidRDefault="00CF65DE" w:rsidP="00CF65DE">
            <w:pPr>
              <w:tabs>
                <w:tab w:val="decimal" w:pos="473"/>
              </w:tabs>
              <w:ind w:firstLineChars="37" w:firstLine="59"/>
              <w:jc w:val="left"/>
              <w:rPr>
                <w:color w:val="000000"/>
                <w:sz w:val="16"/>
                <w:szCs w:val="16"/>
                <w:lang w:val="es-MX" w:eastAsia="es-MX"/>
              </w:rPr>
            </w:pPr>
            <w:r w:rsidRPr="009E6D43">
              <w:rPr>
                <w:color w:val="000000"/>
                <w:sz w:val="16"/>
                <w:szCs w:val="16"/>
              </w:rPr>
              <w:t>25.8</w:t>
            </w:r>
          </w:p>
        </w:tc>
        <w:tc>
          <w:tcPr>
            <w:tcW w:w="892" w:type="dxa"/>
            <w:tcBorders>
              <w:top w:val="nil"/>
              <w:bottom w:val="single" w:sz="4" w:space="0" w:color="1F497D"/>
            </w:tcBorders>
            <w:vAlign w:val="center"/>
          </w:tcPr>
          <w:p w14:paraId="178EDA7E" w14:textId="3E17387D" w:rsidR="00CF65DE" w:rsidRPr="009E6D43" w:rsidRDefault="00CF65DE" w:rsidP="00CF65DE">
            <w:pPr>
              <w:tabs>
                <w:tab w:val="decimal" w:pos="463"/>
              </w:tabs>
              <w:ind w:firstLineChars="37" w:firstLine="59"/>
              <w:jc w:val="left"/>
              <w:rPr>
                <w:color w:val="000000"/>
                <w:sz w:val="16"/>
                <w:szCs w:val="16"/>
                <w:lang w:val="es-MX" w:eastAsia="es-MX"/>
              </w:rPr>
            </w:pPr>
            <w:r w:rsidRPr="009E6D43">
              <w:rPr>
                <w:color w:val="000000"/>
                <w:sz w:val="16"/>
                <w:szCs w:val="16"/>
              </w:rPr>
              <w:t>25.5</w:t>
            </w:r>
          </w:p>
        </w:tc>
        <w:tc>
          <w:tcPr>
            <w:tcW w:w="892" w:type="dxa"/>
            <w:tcBorders>
              <w:top w:val="nil"/>
              <w:bottom w:val="single" w:sz="4" w:space="0" w:color="1F497D"/>
              <w:right w:val="single" w:sz="4" w:space="0" w:color="1F497D"/>
            </w:tcBorders>
            <w:shd w:val="clear" w:color="auto" w:fill="auto"/>
            <w:noWrap/>
            <w:vAlign w:val="center"/>
          </w:tcPr>
          <w:p w14:paraId="5E60D868" w14:textId="54208C53" w:rsidR="00CF65DE" w:rsidRPr="009E6D43" w:rsidRDefault="00CF65DE" w:rsidP="00CF65DE">
            <w:pPr>
              <w:tabs>
                <w:tab w:val="decimal" w:pos="453"/>
              </w:tabs>
              <w:ind w:firstLineChars="37" w:firstLine="59"/>
              <w:jc w:val="left"/>
              <w:rPr>
                <w:color w:val="000000"/>
                <w:sz w:val="16"/>
                <w:szCs w:val="16"/>
                <w:lang w:val="es-MX" w:eastAsia="es-MX"/>
              </w:rPr>
            </w:pPr>
            <w:r w:rsidRPr="009E6D43">
              <w:rPr>
                <w:color w:val="000000"/>
                <w:sz w:val="16"/>
                <w:szCs w:val="16"/>
              </w:rPr>
              <w:t>26.1</w:t>
            </w:r>
          </w:p>
        </w:tc>
      </w:tr>
    </w:tbl>
    <w:p w14:paraId="70A7F715" w14:textId="1EB8BF60" w:rsidR="00457000" w:rsidRPr="009E6D43" w:rsidRDefault="00457000" w:rsidP="00C173EB">
      <w:pPr>
        <w:pStyle w:val="n0"/>
        <w:keepLines w:val="0"/>
        <w:widowControl w:val="0"/>
        <w:spacing w:before="0"/>
        <w:ind w:left="1162" w:right="11" w:hanging="595"/>
        <w:jc w:val="left"/>
        <w:rPr>
          <w:color w:val="auto"/>
          <w:sz w:val="16"/>
          <w:szCs w:val="16"/>
        </w:rPr>
      </w:pPr>
      <w:r w:rsidRPr="009E6D43">
        <w:rPr>
          <w:color w:val="auto"/>
          <w:sz w:val="18"/>
          <w:szCs w:val="18"/>
          <w:vertAlign w:val="superscript"/>
        </w:rPr>
        <w:t>a/</w:t>
      </w:r>
      <w:r w:rsidRPr="009E6D43">
        <w:rPr>
          <w:color w:val="auto"/>
          <w:sz w:val="16"/>
          <w:szCs w:val="16"/>
        </w:rPr>
        <w:tab/>
        <w:t xml:space="preserve">Porcentaje </w:t>
      </w:r>
      <w:r w:rsidR="00E02E94" w:rsidRPr="009E6D43">
        <w:rPr>
          <w:color w:val="auto"/>
          <w:sz w:val="16"/>
          <w:szCs w:val="16"/>
        </w:rPr>
        <w:t>respecto a</w:t>
      </w:r>
      <w:r w:rsidRPr="009E6D43">
        <w:rPr>
          <w:color w:val="auto"/>
          <w:sz w:val="16"/>
          <w:szCs w:val="16"/>
        </w:rPr>
        <w:t xml:space="preserve"> la </w:t>
      </w:r>
      <w:proofErr w:type="spellStart"/>
      <w:r w:rsidR="00F96357" w:rsidRPr="009E6D43">
        <w:rPr>
          <w:smallCaps/>
          <w:color w:val="auto"/>
          <w:sz w:val="16"/>
          <w:szCs w:val="16"/>
        </w:rPr>
        <w:t>po</w:t>
      </w:r>
      <w:proofErr w:type="spellEnd"/>
      <w:r w:rsidR="00633799" w:rsidRPr="009E6D43">
        <w:rPr>
          <w:color w:val="auto"/>
          <w:sz w:val="16"/>
          <w:szCs w:val="16"/>
        </w:rPr>
        <w:t>.</w:t>
      </w:r>
    </w:p>
    <w:p w14:paraId="76BEDE48" w14:textId="7B664AE5" w:rsidR="008124CC" w:rsidRPr="009E6D43" w:rsidRDefault="008124CC" w:rsidP="00C173EB">
      <w:pPr>
        <w:pStyle w:val="n0"/>
        <w:keepLines w:val="0"/>
        <w:widowControl w:val="0"/>
        <w:spacing w:before="0"/>
        <w:ind w:left="1162" w:right="11" w:hanging="595"/>
        <w:jc w:val="left"/>
        <w:rPr>
          <w:color w:val="auto"/>
          <w:sz w:val="16"/>
          <w:szCs w:val="16"/>
        </w:rPr>
      </w:pPr>
      <w:r w:rsidRPr="009E6D43">
        <w:rPr>
          <w:color w:val="auto"/>
          <w:sz w:val="16"/>
          <w:szCs w:val="16"/>
        </w:rPr>
        <w:t>Fuente:</w:t>
      </w:r>
      <w:r w:rsidR="000B3CBF" w:rsidRPr="009E6D43">
        <w:rPr>
          <w:color w:val="auto"/>
          <w:sz w:val="16"/>
          <w:szCs w:val="16"/>
        </w:rPr>
        <w:tab/>
      </w:r>
      <w:proofErr w:type="spellStart"/>
      <w:r w:rsidR="00F96357" w:rsidRPr="009E6D43">
        <w:rPr>
          <w:smallCaps/>
          <w:color w:val="auto"/>
          <w:sz w:val="16"/>
          <w:szCs w:val="16"/>
        </w:rPr>
        <w:t>inegi</w:t>
      </w:r>
      <w:proofErr w:type="spellEnd"/>
      <w:r w:rsidR="0069460D" w:rsidRPr="009E6D43">
        <w:rPr>
          <w:color w:val="auto"/>
          <w:sz w:val="16"/>
          <w:szCs w:val="16"/>
        </w:rPr>
        <w:t xml:space="preserve">. </w:t>
      </w:r>
      <w:proofErr w:type="spellStart"/>
      <w:r w:rsidR="00F96357" w:rsidRPr="009E6D43">
        <w:rPr>
          <w:smallCaps/>
          <w:color w:val="auto"/>
          <w:sz w:val="16"/>
          <w:szCs w:val="16"/>
        </w:rPr>
        <w:t>enoe</w:t>
      </w:r>
      <w:proofErr w:type="spellEnd"/>
      <w:r w:rsidR="00252E9D" w:rsidRPr="009E6D43">
        <w:rPr>
          <w:color w:val="auto"/>
          <w:sz w:val="16"/>
          <w:szCs w:val="16"/>
        </w:rPr>
        <w:t>, 2023</w:t>
      </w:r>
      <w:r w:rsidR="0069460D" w:rsidRPr="009E6D43">
        <w:rPr>
          <w:color w:val="auto"/>
          <w:sz w:val="16"/>
          <w:szCs w:val="16"/>
        </w:rPr>
        <w:t>.</w:t>
      </w:r>
    </w:p>
    <w:p w14:paraId="404424C7" w14:textId="7898492C" w:rsidR="002D6584" w:rsidRPr="009E6D43" w:rsidRDefault="002D6584" w:rsidP="00737E1C">
      <w:pPr>
        <w:pStyle w:val="Prrafodelista"/>
        <w:widowControl w:val="0"/>
        <w:spacing w:before="360"/>
        <w:ind w:left="284"/>
        <w:rPr>
          <w:b/>
          <w:iCs/>
          <w:lang w:val="es-ES"/>
        </w:rPr>
      </w:pPr>
      <w:r w:rsidRPr="009E6D43">
        <w:rPr>
          <w:b/>
          <w:iCs/>
          <w:lang w:val="es-ES"/>
        </w:rPr>
        <w:t>Indicadores de la población desocupada</w:t>
      </w:r>
    </w:p>
    <w:p w14:paraId="6BF5AF23" w14:textId="2801D838" w:rsidR="008147FA" w:rsidRPr="009E6D43" w:rsidRDefault="002D6584" w:rsidP="0094101C">
      <w:pPr>
        <w:pStyle w:val="Textoindependiente"/>
        <w:widowControl w:val="0"/>
        <w:rPr>
          <w:color w:val="auto"/>
          <w:szCs w:val="23"/>
        </w:rPr>
      </w:pPr>
      <w:r w:rsidRPr="009E6D43">
        <w:rPr>
          <w:color w:val="auto"/>
          <w:lang w:val="es-ES"/>
        </w:rPr>
        <w:t>A</w:t>
      </w:r>
      <w:r w:rsidRPr="009E6D43">
        <w:rPr>
          <w:color w:val="auto"/>
        </w:rPr>
        <w:t xml:space="preserve"> nivel nacional,</w:t>
      </w:r>
      <w:r w:rsidR="00C66CE2" w:rsidRPr="009E6D43">
        <w:rPr>
          <w:color w:val="auto"/>
        </w:rPr>
        <w:t xml:space="preserve"> en</w:t>
      </w:r>
      <w:r w:rsidR="00566669" w:rsidRPr="009E6D43">
        <w:rPr>
          <w:color w:val="auto"/>
        </w:rPr>
        <w:t xml:space="preserve"> </w:t>
      </w:r>
      <w:r w:rsidR="00CD61EC" w:rsidRPr="009E6D43">
        <w:rPr>
          <w:color w:val="auto"/>
        </w:rPr>
        <w:t>dic</w:t>
      </w:r>
      <w:r w:rsidR="00284695" w:rsidRPr="009E6D43">
        <w:rPr>
          <w:color w:val="auto"/>
        </w:rPr>
        <w:t>iembre</w:t>
      </w:r>
      <w:r w:rsidR="00C66CE2" w:rsidRPr="009E6D43">
        <w:rPr>
          <w:color w:val="auto"/>
        </w:rPr>
        <w:t xml:space="preserve"> </w:t>
      </w:r>
      <w:r w:rsidR="00AA2802" w:rsidRPr="009E6D43">
        <w:rPr>
          <w:color w:val="auto"/>
        </w:rPr>
        <w:t>de</w:t>
      </w:r>
      <w:r w:rsidR="00284695" w:rsidRPr="009E6D43">
        <w:rPr>
          <w:color w:val="auto"/>
        </w:rPr>
        <w:t xml:space="preserve"> 2023</w:t>
      </w:r>
      <w:r w:rsidR="00C66CE2" w:rsidRPr="009E6D43">
        <w:rPr>
          <w:color w:val="auto"/>
        </w:rPr>
        <w:t xml:space="preserve">, </w:t>
      </w:r>
      <w:r w:rsidRPr="009E6D43">
        <w:rPr>
          <w:color w:val="auto"/>
        </w:rPr>
        <w:t xml:space="preserve">la </w:t>
      </w:r>
      <w:r w:rsidR="008147FA" w:rsidRPr="009E6D43">
        <w:rPr>
          <w:color w:val="auto"/>
        </w:rPr>
        <w:t>población desocupada</w:t>
      </w:r>
      <w:r w:rsidR="00813EBF" w:rsidRPr="009E6D43">
        <w:rPr>
          <w:color w:val="auto"/>
          <w:vertAlign w:val="superscript"/>
        </w:rPr>
        <w:footnoteReference w:id="9"/>
      </w:r>
      <w:r w:rsidR="00D97D1D" w:rsidRPr="009E6D43">
        <w:rPr>
          <w:color w:val="auto"/>
        </w:rPr>
        <w:t xml:space="preserve"> </w:t>
      </w:r>
      <w:r w:rsidR="00856374" w:rsidRPr="009E6D43">
        <w:rPr>
          <w:color w:val="auto"/>
        </w:rPr>
        <w:t>fue de</w:t>
      </w:r>
      <w:r w:rsidR="00966DBE" w:rsidRPr="009E6D43">
        <w:rPr>
          <w:color w:val="auto"/>
        </w:rPr>
        <w:t xml:space="preserve"> </w:t>
      </w:r>
      <w:r w:rsidR="00B80C39" w:rsidRPr="009E6D43">
        <w:rPr>
          <w:color w:val="auto"/>
        </w:rPr>
        <w:t>1.</w:t>
      </w:r>
      <w:r w:rsidR="006F1A1C" w:rsidRPr="009E6D43">
        <w:rPr>
          <w:color w:val="auto"/>
        </w:rPr>
        <w:t>6</w:t>
      </w:r>
      <w:r w:rsidR="00B777F0" w:rsidRPr="009E6D43">
        <w:rPr>
          <w:color w:val="auto"/>
        </w:rPr>
        <w:t xml:space="preserve"> millones de personas</w:t>
      </w:r>
      <w:r w:rsidR="0049203C" w:rsidRPr="009E6D43">
        <w:rPr>
          <w:color w:val="auto"/>
        </w:rPr>
        <w:t>,</w:t>
      </w:r>
      <w:r w:rsidR="00684B72" w:rsidRPr="009E6D43">
        <w:rPr>
          <w:color w:val="auto"/>
        </w:rPr>
        <w:t xml:space="preserve"> </w:t>
      </w:r>
      <w:r w:rsidR="00490229" w:rsidRPr="009E6D43">
        <w:rPr>
          <w:color w:val="auto"/>
        </w:rPr>
        <w:t xml:space="preserve">una reducción anual de </w:t>
      </w:r>
      <w:r w:rsidR="00F61CC6" w:rsidRPr="009E6D43">
        <w:rPr>
          <w:color w:val="auto"/>
        </w:rPr>
        <w:t>59</w:t>
      </w:r>
      <w:r w:rsidR="00684B72" w:rsidRPr="009E6D43">
        <w:rPr>
          <w:color w:val="auto"/>
        </w:rPr>
        <w:t xml:space="preserve"> mil</w:t>
      </w:r>
      <w:r w:rsidR="00AE3B3A" w:rsidRPr="009E6D43">
        <w:rPr>
          <w:color w:val="auto"/>
        </w:rPr>
        <w:t xml:space="preserve"> personas</w:t>
      </w:r>
      <w:r w:rsidR="00917326" w:rsidRPr="009E6D43">
        <w:rPr>
          <w:color w:val="auto"/>
        </w:rPr>
        <w:t>.</w:t>
      </w:r>
      <w:r w:rsidR="00B14025" w:rsidRPr="009E6D43">
        <w:rPr>
          <w:color w:val="auto"/>
        </w:rPr>
        <w:t xml:space="preserve"> </w:t>
      </w:r>
      <w:r w:rsidR="00917326" w:rsidRPr="009E6D43">
        <w:rPr>
          <w:color w:val="auto"/>
        </w:rPr>
        <w:t xml:space="preserve">La población desocupada </w:t>
      </w:r>
      <w:r w:rsidR="00690C6E" w:rsidRPr="009E6D43">
        <w:rPr>
          <w:color w:val="auto"/>
        </w:rPr>
        <w:t xml:space="preserve">representó </w:t>
      </w:r>
      <w:r w:rsidR="009C725B" w:rsidRPr="009E6D43">
        <w:rPr>
          <w:color w:val="auto"/>
        </w:rPr>
        <w:t>2</w:t>
      </w:r>
      <w:r w:rsidR="002D53E9" w:rsidRPr="009E6D43">
        <w:rPr>
          <w:color w:val="auto"/>
        </w:rPr>
        <w:t>.</w:t>
      </w:r>
      <w:r w:rsidR="00F61CC6" w:rsidRPr="009E6D43">
        <w:rPr>
          <w:color w:val="auto"/>
        </w:rPr>
        <w:t>6</w:t>
      </w:r>
      <w:r w:rsidR="00520FC0" w:rsidRPr="009E6D43">
        <w:rPr>
          <w:color w:val="auto"/>
        </w:rPr>
        <w:t> %</w:t>
      </w:r>
      <w:r w:rsidR="00AF096B">
        <w:rPr>
          <w:color w:val="auto"/>
        </w:rPr>
        <w:t> </w:t>
      </w:r>
      <w:r w:rsidR="00690C6E" w:rsidRPr="009E6D43">
        <w:rPr>
          <w:color w:val="auto"/>
        </w:rPr>
        <w:t xml:space="preserve">de la </w:t>
      </w:r>
      <w:r w:rsidR="0014362C" w:rsidRPr="009E6D43">
        <w:rPr>
          <w:smallCaps/>
          <w:color w:val="auto"/>
        </w:rPr>
        <w:t>pea</w:t>
      </w:r>
      <w:r w:rsidR="00DE61FC" w:rsidRPr="009E6D43">
        <w:rPr>
          <w:color w:val="auto"/>
        </w:rPr>
        <w:t xml:space="preserve">, </w:t>
      </w:r>
      <w:r w:rsidR="00E01B69" w:rsidRPr="009E6D43">
        <w:rPr>
          <w:color w:val="auto"/>
        </w:rPr>
        <w:t>0.</w:t>
      </w:r>
      <w:r w:rsidR="00F61CC6" w:rsidRPr="009E6D43">
        <w:rPr>
          <w:color w:val="auto"/>
        </w:rPr>
        <w:t>1</w:t>
      </w:r>
      <w:r w:rsidR="00520FC0" w:rsidRPr="009E6D43">
        <w:rPr>
          <w:color w:val="auto"/>
        </w:rPr>
        <w:t> puntos</w:t>
      </w:r>
      <w:r w:rsidR="00C31DF0" w:rsidRPr="009E6D43">
        <w:rPr>
          <w:color w:val="auto"/>
        </w:rPr>
        <w:t xml:space="preserve"> porcentual</w:t>
      </w:r>
      <w:r w:rsidR="00E01B69" w:rsidRPr="009E6D43">
        <w:rPr>
          <w:color w:val="auto"/>
        </w:rPr>
        <w:t>es</w:t>
      </w:r>
      <w:r w:rsidR="004A3E2A" w:rsidRPr="009E6D43">
        <w:rPr>
          <w:color w:val="auto"/>
        </w:rPr>
        <w:t xml:space="preserve"> </w:t>
      </w:r>
      <w:r w:rsidR="006C1053" w:rsidRPr="009E6D43">
        <w:rPr>
          <w:color w:val="auto"/>
          <w:spacing w:val="-2"/>
        </w:rPr>
        <w:t xml:space="preserve">menos que </w:t>
      </w:r>
      <w:r w:rsidR="00FD552D" w:rsidRPr="009E6D43">
        <w:rPr>
          <w:color w:val="auto"/>
          <w:spacing w:val="-2"/>
        </w:rPr>
        <w:t>en el mismo mes de</w:t>
      </w:r>
      <w:r w:rsidR="00CD61EC" w:rsidRPr="009E6D43">
        <w:rPr>
          <w:color w:val="auto"/>
          <w:spacing w:val="-2"/>
        </w:rPr>
        <w:t xml:space="preserve"> 2022</w:t>
      </w:r>
      <w:r w:rsidR="009D52A2" w:rsidRPr="009E6D43">
        <w:rPr>
          <w:color w:val="auto"/>
          <w:spacing w:val="-2"/>
        </w:rPr>
        <w:t xml:space="preserve">. </w:t>
      </w:r>
      <w:r w:rsidR="004C4322" w:rsidRPr="009E6D43">
        <w:rPr>
          <w:color w:val="auto"/>
          <w:spacing w:val="-2"/>
        </w:rPr>
        <w:t>L</w:t>
      </w:r>
      <w:r w:rsidR="008147FA" w:rsidRPr="009E6D43">
        <w:rPr>
          <w:color w:val="auto"/>
          <w:spacing w:val="-2"/>
        </w:rPr>
        <w:t xml:space="preserve">a población </w:t>
      </w:r>
      <w:r w:rsidR="004C4322" w:rsidRPr="009E6D43">
        <w:rPr>
          <w:color w:val="auto"/>
          <w:spacing w:val="-2"/>
        </w:rPr>
        <w:t xml:space="preserve">masculina </w:t>
      </w:r>
      <w:r w:rsidR="008147FA" w:rsidRPr="009E6D43">
        <w:rPr>
          <w:color w:val="auto"/>
          <w:spacing w:val="-2"/>
        </w:rPr>
        <w:t xml:space="preserve">desocupada </w:t>
      </w:r>
      <w:r w:rsidR="00D67F13" w:rsidRPr="009E6D43">
        <w:rPr>
          <w:color w:val="auto"/>
          <w:spacing w:val="-2"/>
        </w:rPr>
        <w:t xml:space="preserve">pasó </w:t>
      </w:r>
      <w:r w:rsidR="003A3C66" w:rsidRPr="009E6D43">
        <w:rPr>
          <w:color w:val="auto"/>
          <w:spacing w:val="-2"/>
        </w:rPr>
        <w:t xml:space="preserve">de </w:t>
      </w:r>
      <w:r w:rsidR="006F1A1C" w:rsidRPr="009E6D43">
        <w:rPr>
          <w:color w:val="auto"/>
          <w:spacing w:val="-2"/>
        </w:rPr>
        <w:t>un</w:t>
      </w:r>
      <w:r w:rsidR="003A3C66" w:rsidRPr="009E6D43">
        <w:rPr>
          <w:color w:val="auto"/>
          <w:spacing w:val="-2"/>
        </w:rPr>
        <w:t xml:space="preserve"> mill</w:t>
      </w:r>
      <w:r w:rsidR="006F1A1C" w:rsidRPr="009E6D43">
        <w:rPr>
          <w:color w:val="auto"/>
          <w:spacing w:val="-2"/>
        </w:rPr>
        <w:t>ón</w:t>
      </w:r>
      <w:r w:rsidR="003A3C66" w:rsidRPr="009E6D43">
        <w:rPr>
          <w:color w:val="auto"/>
          <w:spacing w:val="-2"/>
        </w:rPr>
        <w:t xml:space="preserve"> a </w:t>
      </w:r>
      <w:r w:rsidR="006F1A1C" w:rsidRPr="009E6D43">
        <w:rPr>
          <w:color w:val="auto"/>
          <w:spacing w:val="-2"/>
        </w:rPr>
        <w:t>94</w:t>
      </w:r>
      <w:r w:rsidR="00F61CC6" w:rsidRPr="009E6D43">
        <w:rPr>
          <w:color w:val="auto"/>
          <w:spacing w:val="-2"/>
        </w:rPr>
        <w:t>1</w:t>
      </w:r>
      <w:r w:rsidR="006F1A1C" w:rsidRPr="009E6D43">
        <w:rPr>
          <w:color w:val="auto"/>
          <w:spacing w:val="-2"/>
        </w:rPr>
        <w:t xml:space="preserve"> mil personas</w:t>
      </w:r>
      <w:r w:rsidR="003A3C66" w:rsidRPr="009E6D43">
        <w:rPr>
          <w:color w:val="auto"/>
          <w:spacing w:val="-2"/>
        </w:rPr>
        <w:t xml:space="preserve">, de </w:t>
      </w:r>
      <w:r w:rsidR="00CD61EC" w:rsidRPr="009E6D43">
        <w:rPr>
          <w:color w:val="auto"/>
          <w:spacing w:val="-2"/>
        </w:rPr>
        <w:t>dic</w:t>
      </w:r>
      <w:r w:rsidR="0001203F" w:rsidRPr="009E6D43">
        <w:rPr>
          <w:color w:val="auto"/>
          <w:spacing w:val="-2"/>
        </w:rPr>
        <w:t>iembre</w:t>
      </w:r>
      <w:r w:rsidR="003A3C66" w:rsidRPr="009E6D43">
        <w:rPr>
          <w:color w:val="auto"/>
          <w:spacing w:val="-2"/>
        </w:rPr>
        <w:t xml:space="preserve"> de 2022 a</w:t>
      </w:r>
      <w:r w:rsidR="00CD61EC" w:rsidRPr="009E6D43">
        <w:rPr>
          <w:color w:val="auto"/>
          <w:spacing w:val="-2"/>
        </w:rPr>
        <w:t>l último mes</w:t>
      </w:r>
      <w:r w:rsidR="003A3C66" w:rsidRPr="009E6D43">
        <w:rPr>
          <w:color w:val="auto"/>
          <w:spacing w:val="-2"/>
        </w:rPr>
        <w:t xml:space="preserve"> de 2023</w:t>
      </w:r>
      <w:r w:rsidR="00F55076" w:rsidRPr="009E6D43">
        <w:rPr>
          <w:color w:val="auto"/>
          <w:spacing w:val="-2"/>
        </w:rPr>
        <w:t>.</w:t>
      </w:r>
      <w:r w:rsidR="00AC2740" w:rsidRPr="009E6D43">
        <w:rPr>
          <w:color w:val="auto"/>
          <w:spacing w:val="-2"/>
        </w:rPr>
        <w:t xml:space="preserve"> L</w:t>
      </w:r>
      <w:r w:rsidR="008806F9" w:rsidRPr="009E6D43">
        <w:rPr>
          <w:color w:val="auto"/>
          <w:spacing w:val="-2"/>
        </w:rPr>
        <w:t>a femenina</w:t>
      </w:r>
      <w:r w:rsidR="008147FA" w:rsidRPr="009E6D43">
        <w:rPr>
          <w:color w:val="auto"/>
          <w:spacing w:val="-2"/>
        </w:rPr>
        <w:t xml:space="preserve"> </w:t>
      </w:r>
      <w:r w:rsidR="0011077C" w:rsidRPr="009E6D43">
        <w:rPr>
          <w:color w:val="auto"/>
          <w:spacing w:val="-2"/>
        </w:rPr>
        <w:t>p</w:t>
      </w:r>
      <w:r w:rsidR="001063D9" w:rsidRPr="009E6D43">
        <w:rPr>
          <w:color w:val="auto"/>
          <w:spacing w:val="-2"/>
        </w:rPr>
        <w:t>as</w:t>
      </w:r>
      <w:r w:rsidR="00D371B0" w:rsidRPr="009E6D43">
        <w:rPr>
          <w:color w:val="auto"/>
          <w:spacing w:val="-2"/>
        </w:rPr>
        <w:t>ó</w:t>
      </w:r>
      <w:r w:rsidR="001063D9" w:rsidRPr="009E6D43">
        <w:rPr>
          <w:color w:val="auto"/>
          <w:spacing w:val="-2"/>
        </w:rPr>
        <w:t xml:space="preserve"> de </w:t>
      </w:r>
      <w:r w:rsidR="00F61CC6" w:rsidRPr="009E6D43">
        <w:rPr>
          <w:color w:val="auto"/>
          <w:spacing w:val="-2"/>
        </w:rPr>
        <w:t>60</w:t>
      </w:r>
      <w:r w:rsidR="006F1A1C" w:rsidRPr="009E6D43">
        <w:rPr>
          <w:color w:val="auto"/>
          <w:spacing w:val="-2"/>
        </w:rPr>
        <w:t>7</w:t>
      </w:r>
      <w:r w:rsidR="00875A41" w:rsidRPr="009E6D43">
        <w:rPr>
          <w:color w:val="auto"/>
          <w:spacing w:val="-2"/>
        </w:rPr>
        <w:t xml:space="preserve"> </w:t>
      </w:r>
      <w:r w:rsidR="001364E0" w:rsidRPr="009E6D43">
        <w:rPr>
          <w:color w:val="auto"/>
          <w:spacing w:val="-2"/>
        </w:rPr>
        <w:t xml:space="preserve">mil </w:t>
      </w:r>
      <w:r w:rsidR="00660B4D" w:rsidRPr="009E6D43">
        <w:rPr>
          <w:color w:val="auto"/>
          <w:spacing w:val="-2"/>
        </w:rPr>
        <w:t xml:space="preserve">a </w:t>
      </w:r>
      <w:r w:rsidR="002D53E9" w:rsidRPr="009E6D43">
        <w:rPr>
          <w:color w:val="auto"/>
          <w:spacing w:val="-2"/>
        </w:rPr>
        <w:t>6</w:t>
      </w:r>
      <w:r w:rsidR="006F1A1C" w:rsidRPr="009E6D43">
        <w:rPr>
          <w:color w:val="auto"/>
          <w:spacing w:val="-2"/>
        </w:rPr>
        <w:t>4</w:t>
      </w:r>
      <w:r w:rsidR="00F61CC6" w:rsidRPr="009E6D43">
        <w:rPr>
          <w:color w:val="auto"/>
          <w:spacing w:val="-2"/>
        </w:rPr>
        <w:t>6</w:t>
      </w:r>
      <w:r w:rsidR="003E0C8A" w:rsidRPr="009E6D43">
        <w:rPr>
          <w:color w:val="auto"/>
          <w:spacing w:val="-2"/>
        </w:rPr>
        <w:t xml:space="preserve"> mil</w:t>
      </w:r>
      <w:r w:rsidR="00B637B6" w:rsidRPr="009E6D43">
        <w:rPr>
          <w:color w:val="auto"/>
          <w:spacing w:val="-2"/>
        </w:rPr>
        <w:t xml:space="preserve"> </w:t>
      </w:r>
      <w:r w:rsidR="008147FA" w:rsidRPr="009E6D43">
        <w:rPr>
          <w:color w:val="auto"/>
          <w:spacing w:val="-2"/>
        </w:rPr>
        <w:t>personas</w:t>
      </w:r>
      <w:r w:rsidR="00A7720E" w:rsidRPr="009E6D43">
        <w:rPr>
          <w:color w:val="auto"/>
          <w:spacing w:val="-2"/>
        </w:rPr>
        <w:t>,</w:t>
      </w:r>
      <w:r w:rsidR="001063D9" w:rsidRPr="009E6D43">
        <w:rPr>
          <w:color w:val="auto"/>
          <w:spacing w:val="-2"/>
        </w:rPr>
        <w:t xml:space="preserve"> </w:t>
      </w:r>
      <w:r w:rsidR="00CF51AD" w:rsidRPr="009E6D43">
        <w:rPr>
          <w:color w:val="auto"/>
          <w:spacing w:val="-2"/>
        </w:rPr>
        <w:t>en el mismo lapso</w:t>
      </w:r>
      <w:r w:rsidR="008147FA" w:rsidRPr="009E6D43">
        <w:rPr>
          <w:color w:val="auto"/>
        </w:rPr>
        <w:t>. En el mes de referencia</w:t>
      </w:r>
      <w:r w:rsidR="00AC2740" w:rsidRPr="009E6D43">
        <w:rPr>
          <w:color w:val="auto"/>
        </w:rPr>
        <w:t>,</w:t>
      </w:r>
      <w:r w:rsidR="008147FA" w:rsidRPr="009E6D43">
        <w:rPr>
          <w:color w:val="auto"/>
        </w:rPr>
        <w:t xml:space="preserve"> la </w:t>
      </w:r>
      <w:r w:rsidR="0021103C" w:rsidRPr="009E6D43">
        <w:rPr>
          <w:color w:val="auto"/>
        </w:rPr>
        <w:t>t</w:t>
      </w:r>
      <w:r w:rsidR="008B5F85" w:rsidRPr="009E6D43">
        <w:rPr>
          <w:color w:val="auto"/>
        </w:rPr>
        <w:t xml:space="preserve">asa de </w:t>
      </w:r>
      <w:r w:rsidR="0021103C" w:rsidRPr="009E6D43">
        <w:rPr>
          <w:color w:val="auto"/>
        </w:rPr>
        <w:t>d</w:t>
      </w:r>
      <w:r w:rsidR="008B5F85" w:rsidRPr="009E6D43">
        <w:rPr>
          <w:color w:val="auto"/>
        </w:rPr>
        <w:t>esocupación (</w:t>
      </w:r>
      <w:proofErr w:type="spellStart"/>
      <w:r w:rsidR="0014362C" w:rsidRPr="009E6D43">
        <w:rPr>
          <w:smallCaps/>
          <w:color w:val="auto"/>
        </w:rPr>
        <w:t>td</w:t>
      </w:r>
      <w:proofErr w:type="spellEnd"/>
      <w:r w:rsidR="008B5F85" w:rsidRPr="009E6D43">
        <w:rPr>
          <w:color w:val="auto"/>
        </w:rPr>
        <w:t>)</w:t>
      </w:r>
      <w:r w:rsidR="008147FA" w:rsidRPr="009E6D43">
        <w:rPr>
          <w:color w:val="auto"/>
        </w:rPr>
        <w:t xml:space="preserve"> en los hombres y en las mujeres</w:t>
      </w:r>
      <w:r w:rsidR="006F1A1C" w:rsidRPr="009E6D43">
        <w:rPr>
          <w:color w:val="auto"/>
        </w:rPr>
        <w:t xml:space="preserve"> fue de</w:t>
      </w:r>
      <w:r w:rsidR="00E4400F" w:rsidRPr="009E6D43">
        <w:rPr>
          <w:color w:val="auto"/>
        </w:rPr>
        <w:t xml:space="preserve"> </w:t>
      </w:r>
      <w:r w:rsidR="002D53E9" w:rsidRPr="009E6D43">
        <w:rPr>
          <w:color w:val="auto"/>
        </w:rPr>
        <w:t>2.</w:t>
      </w:r>
      <w:r w:rsidR="00F61CC6" w:rsidRPr="009E6D43">
        <w:rPr>
          <w:color w:val="auto"/>
        </w:rPr>
        <w:t>6</w:t>
      </w:r>
      <w:r w:rsidR="00AF096B">
        <w:rPr>
          <w:color w:val="auto"/>
        </w:rPr>
        <w:t> </w:t>
      </w:r>
      <w:r w:rsidR="0045524B" w:rsidRPr="009E6D43">
        <w:rPr>
          <w:color w:val="auto"/>
        </w:rPr>
        <w:t>por</w:t>
      </w:r>
      <w:r w:rsidR="00AF096B">
        <w:rPr>
          <w:color w:val="auto"/>
        </w:rPr>
        <w:t> </w:t>
      </w:r>
      <w:r w:rsidR="0045524B" w:rsidRPr="009E6D43">
        <w:rPr>
          <w:color w:val="auto"/>
        </w:rPr>
        <w:t>ciento</w:t>
      </w:r>
      <w:r w:rsidR="008147FA" w:rsidRPr="009E6D43">
        <w:rPr>
          <w:color w:val="auto"/>
        </w:rPr>
        <w:t>.</w:t>
      </w:r>
    </w:p>
    <w:p w14:paraId="19225099" w14:textId="77777777" w:rsidR="009501B3" w:rsidRPr="009E6D43" w:rsidRDefault="009501B3">
      <w:pPr>
        <w:jc w:val="left"/>
        <w:rPr>
          <w:sz w:val="20"/>
        </w:rPr>
      </w:pPr>
      <w:bookmarkStart w:id="9" w:name="_Hlk50638616"/>
      <w:r w:rsidRPr="009E6D43">
        <w:rPr>
          <w:sz w:val="20"/>
        </w:rPr>
        <w:br w:type="page"/>
      </w:r>
    </w:p>
    <w:p w14:paraId="4B4CCAF3" w14:textId="2FE5ACC8" w:rsidR="00DE61FC" w:rsidRPr="009E6D43" w:rsidRDefault="00DE61FC" w:rsidP="005B6C22">
      <w:pPr>
        <w:keepNext/>
        <w:keepLines/>
        <w:widowControl w:val="0"/>
        <w:jc w:val="center"/>
        <w:rPr>
          <w:sz w:val="20"/>
        </w:rPr>
      </w:pPr>
      <w:r w:rsidRPr="009E6D43">
        <w:rPr>
          <w:sz w:val="20"/>
        </w:rPr>
        <w:lastRenderedPageBreak/>
        <w:t xml:space="preserve">Gráfica </w:t>
      </w:r>
      <w:r w:rsidR="00E700CC" w:rsidRPr="009E6D43">
        <w:rPr>
          <w:sz w:val="20"/>
        </w:rPr>
        <w:t>6</w:t>
      </w:r>
    </w:p>
    <w:p w14:paraId="5C12A238" w14:textId="53DACDB2" w:rsidR="00DE61FC" w:rsidRPr="009E6D43" w:rsidRDefault="00367389" w:rsidP="00DE61FC">
      <w:pPr>
        <w:pStyle w:val="NormalWeb"/>
        <w:keepNext/>
        <w:keepLines/>
        <w:widowControl w:val="0"/>
        <w:spacing w:before="0" w:beforeAutospacing="0" w:after="0" w:afterAutospacing="0"/>
        <w:jc w:val="center"/>
        <w:rPr>
          <w:rFonts w:ascii="Arial" w:hAnsi="Arial" w:cs="Arial"/>
          <w:b/>
          <w:smallCaps/>
          <w:sz w:val="22"/>
          <w:szCs w:val="22"/>
          <w:lang w:val="es-MX"/>
        </w:rPr>
      </w:pPr>
      <w:r w:rsidRPr="009E6D43">
        <w:rPr>
          <w:rFonts w:ascii="Arial" w:hAnsi="Arial" w:cs="Arial"/>
          <w:b/>
          <w:smallCaps/>
          <w:sz w:val="22"/>
          <w:szCs w:val="22"/>
          <w:lang w:val="es-MX"/>
        </w:rPr>
        <w:t>D</w:t>
      </w:r>
      <w:r w:rsidR="00DE61FC" w:rsidRPr="009E6D43">
        <w:rPr>
          <w:rFonts w:ascii="Arial" w:hAnsi="Arial" w:cs="Arial"/>
          <w:b/>
          <w:smallCaps/>
          <w:sz w:val="22"/>
          <w:szCs w:val="22"/>
          <w:lang w:val="es-MX"/>
        </w:rPr>
        <w:t xml:space="preserve">esocupación </w:t>
      </w:r>
      <w:r w:rsidR="00E83FC4" w:rsidRPr="009E6D43">
        <w:rPr>
          <w:rFonts w:ascii="Arial" w:hAnsi="Arial" w:cs="Arial"/>
          <w:b/>
          <w:smallCaps/>
          <w:sz w:val="22"/>
          <w:szCs w:val="22"/>
          <w:lang w:val="es-MX"/>
        </w:rPr>
        <w:t>según</w:t>
      </w:r>
      <w:r w:rsidR="006C3291" w:rsidRPr="009E6D43">
        <w:rPr>
          <w:rFonts w:ascii="Arial" w:hAnsi="Arial" w:cs="Arial"/>
          <w:b/>
          <w:smallCaps/>
          <w:sz w:val="22"/>
          <w:szCs w:val="22"/>
          <w:lang w:val="es-MX"/>
        </w:rPr>
        <w:t xml:space="preserve"> sexo </w:t>
      </w:r>
    </w:p>
    <w:p w14:paraId="0F4E0301" w14:textId="55753327" w:rsidR="003671CE" w:rsidRPr="009E6D43" w:rsidRDefault="00CD61EC" w:rsidP="003671CE">
      <w:pPr>
        <w:pStyle w:val="Ttulo"/>
        <w:rPr>
          <w:rFonts w:cs="Arial"/>
          <w:b w:val="0"/>
          <w:sz w:val="20"/>
          <w:lang w:val="es-MX"/>
        </w:rPr>
      </w:pPr>
      <w:r w:rsidRPr="009E6D43">
        <w:rPr>
          <w:rFonts w:cs="Arial"/>
          <w:b w:val="0"/>
          <w:sz w:val="20"/>
        </w:rPr>
        <w:t>dic</w:t>
      </w:r>
      <w:r w:rsidR="0001203F" w:rsidRPr="009E6D43">
        <w:rPr>
          <w:rFonts w:cs="Arial"/>
          <w:b w:val="0"/>
          <w:sz w:val="20"/>
        </w:rPr>
        <w:t>iembre</w:t>
      </w:r>
      <w:r w:rsidR="003671CE" w:rsidRPr="009E6D43">
        <w:rPr>
          <w:rFonts w:cs="Arial"/>
          <w:b w:val="0"/>
          <w:sz w:val="20"/>
        </w:rPr>
        <w:t xml:space="preserve"> de 2022 y 2023</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6C3291" w:rsidRPr="009E6D43" w14:paraId="5B8B9FA4" w14:textId="77777777" w:rsidTr="00DC4D31">
        <w:trPr>
          <w:trHeight w:val="227"/>
          <w:jc w:val="center"/>
        </w:trPr>
        <w:tc>
          <w:tcPr>
            <w:tcW w:w="4987" w:type="dxa"/>
          </w:tcPr>
          <w:bookmarkEnd w:id="9"/>
          <w:p w14:paraId="51E6254B" w14:textId="77777777" w:rsidR="006C3291" w:rsidRPr="009E6D43"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9E6D43">
              <w:rPr>
                <w:rFonts w:ascii="Arial" w:hAnsi="Arial" w:cs="Arial"/>
                <w:b/>
                <w:smallCaps/>
                <w:sz w:val="20"/>
                <w:szCs w:val="18"/>
                <w:lang w:val="es-MX"/>
              </w:rPr>
              <w:t>Población desocupada</w:t>
            </w:r>
          </w:p>
        </w:tc>
        <w:tc>
          <w:tcPr>
            <w:tcW w:w="4987" w:type="dxa"/>
          </w:tcPr>
          <w:p w14:paraId="05319E1E" w14:textId="77777777" w:rsidR="006C3291" w:rsidRPr="009E6D43"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9E6D43">
              <w:rPr>
                <w:rFonts w:ascii="Arial" w:hAnsi="Arial" w:cs="Arial"/>
                <w:b/>
                <w:smallCaps/>
                <w:sz w:val="20"/>
                <w:szCs w:val="18"/>
                <w:lang w:val="es-MX"/>
              </w:rPr>
              <w:t>Tasa de desocupación</w:t>
            </w:r>
          </w:p>
        </w:tc>
      </w:tr>
      <w:tr w:rsidR="006C3291" w:rsidRPr="009E6D43" w14:paraId="05FC9926" w14:textId="77777777" w:rsidTr="00DC4D31">
        <w:trPr>
          <w:jc w:val="center"/>
        </w:trPr>
        <w:tc>
          <w:tcPr>
            <w:tcW w:w="4987" w:type="dxa"/>
          </w:tcPr>
          <w:p w14:paraId="16784001" w14:textId="34D49E36" w:rsidR="006C3291" w:rsidRPr="009E6D43"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sidRPr="009E6D43">
              <w:rPr>
                <w:rFonts w:ascii="Arial" w:hAnsi="Arial" w:cs="Arial"/>
                <w:sz w:val="18"/>
                <w:szCs w:val="18"/>
                <w:lang w:val="es-MX"/>
              </w:rPr>
              <w:t>(</w:t>
            </w:r>
            <w:r w:rsidR="0014362C" w:rsidRPr="009E6D43">
              <w:rPr>
                <w:rFonts w:ascii="Arial" w:hAnsi="Arial" w:cs="Arial"/>
                <w:sz w:val="18"/>
                <w:szCs w:val="18"/>
                <w:lang w:val="es-MX"/>
              </w:rPr>
              <w:t>m</w:t>
            </w:r>
            <w:r w:rsidRPr="009E6D43">
              <w:rPr>
                <w:rFonts w:ascii="Arial" w:hAnsi="Arial" w:cs="Arial"/>
                <w:sz w:val="18"/>
                <w:szCs w:val="18"/>
                <w:lang w:val="es-MX"/>
              </w:rPr>
              <w:t>illones de personas)</w:t>
            </w:r>
          </w:p>
        </w:tc>
        <w:tc>
          <w:tcPr>
            <w:tcW w:w="4987" w:type="dxa"/>
          </w:tcPr>
          <w:p w14:paraId="1E3C2FA5" w14:textId="2B5C18E8" w:rsidR="006C3291" w:rsidRPr="009E6D43"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sidRPr="009E6D43">
              <w:rPr>
                <w:rFonts w:ascii="Arial" w:hAnsi="Arial" w:cs="Arial"/>
                <w:sz w:val="18"/>
                <w:szCs w:val="18"/>
                <w:lang w:val="es-MX"/>
              </w:rPr>
              <w:t>(</w:t>
            </w:r>
            <w:r w:rsidR="0014362C" w:rsidRPr="009E6D43">
              <w:rPr>
                <w:rFonts w:ascii="Arial" w:hAnsi="Arial" w:cs="Arial"/>
                <w:sz w:val="18"/>
                <w:szCs w:val="18"/>
                <w:lang w:val="es-MX"/>
              </w:rPr>
              <w:t>p</w:t>
            </w:r>
            <w:r w:rsidRPr="009E6D43">
              <w:rPr>
                <w:rFonts w:ascii="Arial" w:hAnsi="Arial" w:cs="Arial"/>
                <w:sz w:val="18"/>
                <w:szCs w:val="18"/>
                <w:lang w:val="es-MX"/>
              </w:rPr>
              <w:t xml:space="preserve">orcentaje </w:t>
            </w:r>
            <w:r w:rsidR="00E02E94" w:rsidRPr="009E6D43">
              <w:rPr>
                <w:rFonts w:ascii="Arial" w:hAnsi="Arial" w:cs="Arial"/>
                <w:sz w:val="18"/>
                <w:szCs w:val="18"/>
                <w:lang w:val="es-MX"/>
              </w:rPr>
              <w:t xml:space="preserve">respecto a </w:t>
            </w:r>
            <w:r w:rsidRPr="009E6D43">
              <w:rPr>
                <w:rFonts w:ascii="Arial" w:hAnsi="Arial" w:cs="Arial"/>
                <w:sz w:val="18"/>
                <w:szCs w:val="18"/>
                <w:lang w:val="es-MX"/>
              </w:rPr>
              <w:t xml:space="preserve">la </w:t>
            </w:r>
            <w:r w:rsidR="0014362C" w:rsidRPr="009E6D43">
              <w:rPr>
                <w:rFonts w:ascii="Arial" w:hAnsi="Arial" w:cs="Arial"/>
                <w:smallCaps/>
                <w:sz w:val="18"/>
                <w:szCs w:val="18"/>
                <w:lang w:val="es-MX"/>
              </w:rPr>
              <w:t>pea</w:t>
            </w:r>
            <w:r w:rsidRPr="009E6D43">
              <w:rPr>
                <w:rFonts w:ascii="Arial" w:hAnsi="Arial" w:cs="Arial"/>
                <w:sz w:val="18"/>
                <w:szCs w:val="18"/>
                <w:lang w:val="es-MX"/>
              </w:rPr>
              <w:t>)</w:t>
            </w:r>
          </w:p>
        </w:tc>
      </w:tr>
      <w:tr w:rsidR="006C3291" w:rsidRPr="009E6D43" w14:paraId="54FFB89A" w14:textId="77777777" w:rsidTr="002760A4">
        <w:tblPrEx>
          <w:tblCellMar>
            <w:left w:w="70" w:type="dxa"/>
            <w:right w:w="70" w:type="dxa"/>
          </w:tblCellMar>
        </w:tblPrEx>
        <w:trPr>
          <w:trHeight w:val="3006"/>
          <w:jc w:val="center"/>
        </w:trPr>
        <w:tc>
          <w:tcPr>
            <w:tcW w:w="4987" w:type="dxa"/>
          </w:tcPr>
          <w:p w14:paraId="468BEFDE" w14:textId="62366FED" w:rsidR="006C3291" w:rsidRPr="009E6D43" w:rsidRDefault="002760A4" w:rsidP="009A1219">
            <w:pPr>
              <w:pStyle w:val="NormalWeb"/>
              <w:keepNext/>
              <w:keepLines/>
              <w:widowControl w:val="0"/>
              <w:spacing w:before="20" w:beforeAutospacing="0" w:after="0" w:afterAutospacing="0"/>
              <w:ind w:left="-41"/>
              <w:jc w:val="center"/>
              <w:rPr>
                <w:rFonts w:ascii="Arial" w:hAnsi="Arial" w:cs="Arial"/>
                <w:sz w:val="18"/>
                <w:szCs w:val="18"/>
                <w:lang w:val="es-MX"/>
              </w:rPr>
            </w:pPr>
            <w:r w:rsidRPr="009E6D43">
              <w:rPr>
                <w:rFonts w:ascii="Arial" w:hAnsi="Arial" w:cs="Arial"/>
                <w:noProof/>
              </w:rPr>
              <w:drawing>
                <wp:inline distT="0" distB="0" distL="0" distR="0" wp14:anchorId="5D70C577" wp14:editId="6C793DF0">
                  <wp:extent cx="3096000" cy="1904400"/>
                  <wp:effectExtent l="0" t="0" r="9525" b="19685"/>
                  <wp:docPr id="814227897" name="Gráfico 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987" w:type="dxa"/>
          </w:tcPr>
          <w:p w14:paraId="017DDFCF" w14:textId="1D4F363C" w:rsidR="006C3291" w:rsidRPr="009E6D43" w:rsidRDefault="002760A4" w:rsidP="009A1219">
            <w:pPr>
              <w:pStyle w:val="NormalWeb"/>
              <w:keepNext/>
              <w:keepLines/>
              <w:widowControl w:val="0"/>
              <w:spacing w:before="20" w:beforeAutospacing="0" w:after="0" w:afterAutospacing="0"/>
              <w:jc w:val="center"/>
              <w:rPr>
                <w:rFonts w:ascii="Arial" w:hAnsi="Arial" w:cs="Arial"/>
                <w:sz w:val="18"/>
                <w:szCs w:val="18"/>
                <w:lang w:val="es-MX"/>
              </w:rPr>
            </w:pPr>
            <w:r w:rsidRPr="009E6D43">
              <w:rPr>
                <w:rFonts w:ascii="Arial" w:hAnsi="Arial" w:cs="Arial"/>
                <w:noProof/>
              </w:rPr>
              <w:drawing>
                <wp:inline distT="0" distB="0" distL="0" distR="0" wp14:anchorId="02E069BA" wp14:editId="69CC8128">
                  <wp:extent cx="3096000" cy="1904400"/>
                  <wp:effectExtent l="0" t="0" r="9525" b="19685"/>
                  <wp:docPr id="2043591759" name="Gráfico 1">
                    <a:extLst xmlns:a="http://schemas.openxmlformats.org/drawingml/2006/main">
                      <a:ext uri="{FF2B5EF4-FFF2-40B4-BE49-F238E27FC236}">
                        <a16:creationId xmlns:a16="http://schemas.microsoft.com/office/drawing/2014/main" id="{00000000-0008-0000-0B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1B32898D" w14:textId="09FF25AD" w:rsidR="009C4A8C" w:rsidRPr="009E6D43" w:rsidRDefault="006C3291" w:rsidP="00F14B75">
      <w:pPr>
        <w:pStyle w:val="n0"/>
        <w:keepLines w:val="0"/>
        <w:spacing w:before="0"/>
        <w:ind w:right="476" w:hanging="567"/>
        <w:rPr>
          <w:color w:val="auto"/>
          <w:sz w:val="16"/>
          <w:szCs w:val="16"/>
        </w:rPr>
      </w:pPr>
      <w:r w:rsidRPr="009E6D43">
        <w:rPr>
          <w:color w:val="auto"/>
          <w:sz w:val="16"/>
          <w:szCs w:val="16"/>
        </w:rPr>
        <w:t xml:space="preserve">Fuente: </w:t>
      </w:r>
      <w:proofErr w:type="spellStart"/>
      <w:r w:rsidR="008B37B1" w:rsidRPr="009E6D43">
        <w:rPr>
          <w:smallCaps/>
          <w:color w:val="auto"/>
          <w:sz w:val="16"/>
          <w:szCs w:val="16"/>
        </w:rPr>
        <w:t>inegi</w:t>
      </w:r>
      <w:proofErr w:type="spellEnd"/>
      <w:r w:rsidR="00E35BFB" w:rsidRPr="009E6D43">
        <w:rPr>
          <w:color w:val="auto"/>
          <w:sz w:val="16"/>
          <w:szCs w:val="16"/>
        </w:rPr>
        <w:t xml:space="preserve">. </w:t>
      </w:r>
      <w:proofErr w:type="spellStart"/>
      <w:r w:rsidR="008B37B1" w:rsidRPr="009E6D43">
        <w:rPr>
          <w:smallCaps/>
          <w:color w:val="auto"/>
          <w:sz w:val="16"/>
          <w:szCs w:val="16"/>
        </w:rPr>
        <w:t>enoe</w:t>
      </w:r>
      <w:r w:rsidR="008B37B1" w:rsidRPr="009E6D43">
        <w:rPr>
          <w:smallCaps/>
          <w:color w:val="auto"/>
          <w:sz w:val="16"/>
          <w:szCs w:val="16"/>
          <w:vertAlign w:val="superscript"/>
        </w:rPr>
        <w:t>n</w:t>
      </w:r>
      <w:proofErr w:type="spellEnd"/>
      <w:r w:rsidR="00E35BFB" w:rsidRPr="009E6D43">
        <w:rPr>
          <w:color w:val="auto"/>
          <w:sz w:val="16"/>
          <w:szCs w:val="16"/>
        </w:rPr>
        <w:t>,</w:t>
      </w:r>
      <w:r w:rsidR="00054EFD" w:rsidRPr="009E6D43">
        <w:rPr>
          <w:color w:val="auto"/>
          <w:sz w:val="16"/>
          <w:szCs w:val="16"/>
        </w:rPr>
        <w:t xml:space="preserve"> </w:t>
      </w:r>
      <w:r w:rsidR="00E35BFB" w:rsidRPr="009E6D43">
        <w:rPr>
          <w:color w:val="auto"/>
          <w:sz w:val="16"/>
          <w:szCs w:val="16"/>
        </w:rPr>
        <w:t>2022.</w:t>
      </w:r>
      <w:r w:rsidR="00F14B75" w:rsidRPr="009E6D43">
        <w:rPr>
          <w:color w:val="auto"/>
          <w:sz w:val="16"/>
          <w:szCs w:val="16"/>
        </w:rPr>
        <w:t xml:space="preserve"> </w:t>
      </w:r>
      <w:proofErr w:type="spellStart"/>
      <w:r w:rsidR="008B37B1" w:rsidRPr="009E6D43">
        <w:rPr>
          <w:smallCaps/>
          <w:color w:val="auto"/>
          <w:sz w:val="16"/>
          <w:szCs w:val="16"/>
        </w:rPr>
        <w:t>enoe</w:t>
      </w:r>
      <w:proofErr w:type="spellEnd"/>
      <w:r w:rsidR="00E35BFB" w:rsidRPr="009E6D43">
        <w:rPr>
          <w:color w:val="auto"/>
          <w:sz w:val="16"/>
          <w:szCs w:val="16"/>
        </w:rPr>
        <w:t>,</w:t>
      </w:r>
      <w:r w:rsidR="00054EFD" w:rsidRPr="009E6D43">
        <w:rPr>
          <w:color w:val="auto"/>
          <w:sz w:val="16"/>
          <w:szCs w:val="16"/>
        </w:rPr>
        <w:t xml:space="preserve"> </w:t>
      </w:r>
      <w:r w:rsidR="00E35BFB" w:rsidRPr="009E6D43">
        <w:rPr>
          <w:color w:val="auto"/>
          <w:sz w:val="16"/>
          <w:szCs w:val="16"/>
        </w:rPr>
        <w:t>2023.</w:t>
      </w:r>
    </w:p>
    <w:p w14:paraId="20AE13CC" w14:textId="77777777" w:rsidR="001D124A" w:rsidRDefault="001D124A" w:rsidP="003671CE">
      <w:pPr>
        <w:spacing w:before="240"/>
      </w:pPr>
    </w:p>
    <w:p w14:paraId="55F3EFB3" w14:textId="6D819E98" w:rsidR="00E82287" w:rsidRPr="009E6D43" w:rsidRDefault="00835B70" w:rsidP="003671CE">
      <w:pPr>
        <w:spacing w:before="240"/>
      </w:pPr>
      <w:r w:rsidRPr="009E6D43">
        <w:t>En</w:t>
      </w:r>
      <w:r w:rsidR="00597628" w:rsidRPr="009E6D43">
        <w:t xml:space="preserve"> </w:t>
      </w:r>
      <w:r w:rsidR="00CD61EC" w:rsidRPr="009E6D43">
        <w:t>dic</w:t>
      </w:r>
      <w:r w:rsidR="00F14B75" w:rsidRPr="009E6D43">
        <w:t>iembre</w:t>
      </w:r>
      <w:r w:rsidR="00666FE7" w:rsidRPr="009E6D43">
        <w:t xml:space="preserve"> </w:t>
      </w:r>
      <w:r w:rsidR="00E4400F" w:rsidRPr="009E6D43">
        <w:t>pasado</w:t>
      </w:r>
      <w:r w:rsidRPr="009E6D43">
        <w:t xml:space="preserve">, </w:t>
      </w:r>
      <w:r w:rsidR="00BA2BA6" w:rsidRPr="009E6D43">
        <w:t>1</w:t>
      </w:r>
      <w:r w:rsidR="00F61CC6" w:rsidRPr="009E6D43">
        <w:t>4.</w:t>
      </w:r>
      <w:r w:rsidR="00FC5879" w:rsidRPr="009E6D43">
        <w:t>3</w:t>
      </w:r>
      <w:r w:rsidR="00520FC0" w:rsidRPr="009E6D43">
        <w:t> %</w:t>
      </w:r>
      <w:r w:rsidR="008147FA" w:rsidRPr="009E6D43">
        <w:t xml:space="preserve"> de </w:t>
      </w:r>
      <w:r w:rsidR="00455E98" w:rsidRPr="009E6D43">
        <w:t xml:space="preserve">las y </w:t>
      </w:r>
      <w:r w:rsidR="008147FA" w:rsidRPr="009E6D43">
        <w:t>los desocupados no contaba con estudios completos de secundaria</w:t>
      </w:r>
      <w:r w:rsidR="00C627F1" w:rsidRPr="009E6D43">
        <w:t>. L</w:t>
      </w:r>
      <w:r w:rsidR="00455E98" w:rsidRPr="009E6D43">
        <w:t xml:space="preserve">as personas </w:t>
      </w:r>
      <w:r w:rsidR="005C3F61" w:rsidRPr="009E6D43">
        <w:t>con</w:t>
      </w:r>
      <w:r w:rsidR="008147FA" w:rsidRPr="009E6D43">
        <w:t xml:space="preserve"> </w:t>
      </w:r>
      <w:r w:rsidR="008D74B7" w:rsidRPr="009E6D43">
        <w:t>mayo</w:t>
      </w:r>
      <w:r w:rsidR="008147FA" w:rsidRPr="009E6D43">
        <w:t>r nivel d</w:t>
      </w:r>
      <w:r w:rsidRPr="009E6D43">
        <w:t xml:space="preserve">e instrucción representaron </w:t>
      </w:r>
      <w:r w:rsidR="00666FE7" w:rsidRPr="009E6D43">
        <w:t>8</w:t>
      </w:r>
      <w:r w:rsidR="00F61CC6" w:rsidRPr="009E6D43">
        <w:t>5.</w:t>
      </w:r>
      <w:r w:rsidR="00FC5879" w:rsidRPr="009E6D43">
        <w:t>6</w:t>
      </w:r>
      <w:r w:rsidR="00DE355A" w:rsidRPr="009E6D43">
        <w:t> </w:t>
      </w:r>
      <w:r w:rsidR="00DD0873" w:rsidRPr="009E6D43">
        <w:t>por</w:t>
      </w:r>
      <w:r w:rsidR="00DE355A" w:rsidRPr="009E6D43">
        <w:t> </w:t>
      </w:r>
      <w:r w:rsidR="00DD0873" w:rsidRPr="009E6D43">
        <w:t>ciento</w:t>
      </w:r>
      <w:r w:rsidR="008147FA" w:rsidRPr="009E6D43">
        <w:t xml:space="preserve">. </w:t>
      </w:r>
    </w:p>
    <w:p w14:paraId="7E89959F" w14:textId="11D42A78" w:rsidR="00805FD9" w:rsidRPr="009E6D43" w:rsidRDefault="00DA7C27" w:rsidP="003671CE">
      <w:pPr>
        <w:spacing w:before="240"/>
        <w:rPr>
          <w:bCs/>
        </w:rPr>
      </w:pPr>
      <w:r w:rsidRPr="009E6D43">
        <w:rPr>
          <w:bCs/>
        </w:rPr>
        <w:t>Por rangos etarios</w:t>
      </w:r>
      <w:r w:rsidR="00EC237C" w:rsidRPr="009E6D43">
        <w:rPr>
          <w:bCs/>
        </w:rPr>
        <w:t xml:space="preserve">, </w:t>
      </w:r>
      <w:r w:rsidR="007A5AC0" w:rsidRPr="009E6D43">
        <w:rPr>
          <w:bCs/>
        </w:rPr>
        <w:t xml:space="preserve">el grupo de </w:t>
      </w:r>
      <w:r w:rsidR="005050A7" w:rsidRPr="009E6D43">
        <w:rPr>
          <w:bCs/>
        </w:rPr>
        <w:t xml:space="preserve">15 a 24 años </w:t>
      </w:r>
      <w:r w:rsidR="006E3DE2" w:rsidRPr="009E6D43">
        <w:rPr>
          <w:bCs/>
        </w:rPr>
        <w:t>signific</w:t>
      </w:r>
      <w:r w:rsidR="005050A7" w:rsidRPr="009E6D43">
        <w:rPr>
          <w:bCs/>
        </w:rPr>
        <w:t>ó 3</w:t>
      </w:r>
      <w:r w:rsidR="00F61CC6" w:rsidRPr="009E6D43">
        <w:rPr>
          <w:bCs/>
        </w:rPr>
        <w:t>4.3</w:t>
      </w:r>
      <w:r w:rsidR="00520FC0" w:rsidRPr="009E6D43">
        <w:rPr>
          <w:bCs/>
        </w:rPr>
        <w:t> %</w:t>
      </w:r>
      <w:r w:rsidR="005050A7" w:rsidRPr="009E6D43">
        <w:rPr>
          <w:bCs/>
        </w:rPr>
        <w:t xml:space="preserve"> de las y los desempleados, </w:t>
      </w:r>
      <w:r w:rsidR="00F61CC6" w:rsidRPr="009E6D43">
        <w:rPr>
          <w:bCs/>
        </w:rPr>
        <w:t>0.9</w:t>
      </w:r>
      <w:r w:rsidR="00520FC0" w:rsidRPr="009E6D43">
        <w:rPr>
          <w:bCs/>
        </w:rPr>
        <w:t> puntos</w:t>
      </w:r>
      <w:r w:rsidR="005050A7" w:rsidRPr="009E6D43">
        <w:rPr>
          <w:bCs/>
        </w:rPr>
        <w:t xml:space="preserve"> porcentuales por </w:t>
      </w:r>
      <w:r w:rsidR="00F61CC6" w:rsidRPr="009E6D43">
        <w:rPr>
          <w:bCs/>
        </w:rPr>
        <w:t>de</w:t>
      </w:r>
      <w:r w:rsidR="00FC5879" w:rsidRPr="009E6D43">
        <w:rPr>
          <w:bCs/>
        </w:rPr>
        <w:t>ba</w:t>
      </w:r>
      <w:r w:rsidR="00F61CC6" w:rsidRPr="009E6D43">
        <w:rPr>
          <w:bCs/>
        </w:rPr>
        <w:t>jo</w:t>
      </w:r>
      <w:r w:rsidR="005050A7" w:rsidRPr="009E6D43">
        <w:rPr>
          <w:bCs/>
        </w:rPr>
        <w:t xml:space="preserve"> de lo reportado un año antes</w:t>
      </w:r>
      <w:r w:rsidR="005C3F61" w:rsidRPr="009E6D43">
        <w:rPr>
          <w:bCs/>
        </w:rPr>
        <w:t>.</w:t>
      </w:r>
      <w:r w:rsidR="005F3735" w:rsidRPr="009E6D43">
        <w:rPr>
          <w:bCs/>
        </w:rPr>
        <w:t xml:space="preserve"> </w:t>
      </w:r>
      <w:r w:rsidR="005C3F61" w:rsidRPr="009E6D43">
        <w:rPr>
          <w:bCs/>
        </w:rPr>
        <w:t>E</w:t>
      </w:r>
      <w:r w:rsidR="007A5AC0" w:rsidRPr="009E6D43">
        <w:rPr>
          <w:bCs/>
        </w:rPr>
        <w:t>l grupo de</w:t>
      </w:r>
      <w:r w:rsidR="005050A7" w:rsidRPr="009E6D43">
        <w:rPr>
          <w:bCs/>
        </w:rPr>
        <w:t xml:space="preserve"> 25 a 44 años concentró 4</w:t>
      </w:r>
      <w:r w:rsidR="00F61CC6" w:rsidRPr="009E6D43">
        <w:rPr>
          <w:bCs/>
        </w:rPr>
        <w:t>4</w:t>
      </w:r>
      <w:r w:rsidR="00FC5879" w:rsidRPr="009E6D43">
        <w:rPr>
          <w:bCs/>
        </w:rPr>
        <w:t>.1</w:t>
      </w:r>
      <w:r w:rsidR="00520FC0" w:rsidRPr="009E6D43">
        <w:rPr>
          <w:bCs/>
        </w:rPr>
        <w:t> %</w:t>
      </w:r>
      <w:r w:rsidR="005050A7" w:rsidRPr="009E6D43">
        <w:rPr>
          <w:bCs/>
        </w:rPr>
        <w:t xml:space="preserve"> de la población desocupada</w:t>
      </w:r>
      <w:r w:rsidR="00462A29">
        <w:rPr>
          <w:bCs/>
        </w:rPr>
        <w:t>:</w:t>
      </w:r>
      <w:r w:rsidR="005050A7" w:rsidRPr="009E6D43">
        <w:rPr>
          <w:bCs/>
        </w:rPr>
        <w:t xml:space="preserve"> </w:t>
      </w:r>
      <w:r w:rsidR="00F61CC6" w:rsidRPr="009E6D43">
        <w:rPr>
          <w:bCs/>
        </w:rPr>
        <w:t>1.5</w:t>
      </w:r>
      <w:r w:rsidR="00520FC0" w:rsidRPr="009E6D43">
        <w:rPr>
          <w:bCs/>
        </w:rPr>
        <w:t> puntos</w:t>
      </w:r>
      <w:r w:rsidR="005050A7" w:rsidRPr="009E6D43">
        <w:rPr>
          <w:bCs/>
        </w:rPr>
        <w:t xml:space="preserve"> porcentuales m</w:t>
      </w:r>
      <w:r w:rsidR="00FC5879" w:rsidRPr="009E6D43">
        <w:rPr>
          <w:bCs/>
        </w:rPr>
        <w:t>enos</w:t>
      </w:r>
      <w:r w:rsidR="005050A7" w:rsidRPr="009E6D43">
        <w:rPr>
          <w:bCs/>
        </w:rPr>
        <w:t xml:space="preserve"> respecto al mismo mes de</w:t>
      </w:r>
      <w:r w:rsidR="00CD61EC" w:rsidRPr="009E6D43">
        <w:rPr>
          <w:bCs/>
        </w:rPr>
        <w:t xml:space="preserve"> 2022</w:t>
      </w:r>
      <w:r w:rsidR="006C69A9" w:rsidRPr="009E6D43">
        <w:rPr>
          <w:bCs/>
        </w:rPr>
        <w:t>. E</w:t>
      </w:r>
      <w:r w:rsidR="00EF2BCA" w:rsidRPr="009E6D43">
        <w:rPr>
          <w:bCs/>
        </w:rPr>
        <w:t>l de 45 a 64 años agrupó</w:t>
      </w:r>
      <w:r w:rsidR="007A6B2B" w:rsidRPr="009E6D43">
        <w:rPr>
          <w:bCs/>
        </w:rPr>
        <w:t xml:space="preserve"> </w:t>
      </w:r>
      <w:r w:rsidR="00F61CC6" w:rsidRPr="009E6D43">
        <w:rPr>
          <w:bCs/>
        </w:rPr>
        <w:t>20</w:t>
      </w:r>
      <w:r w:rsidR="00957838" w:rsidRPr="009E6D43">
        <w:rPr>
          <w:bCs/>
        </w:rPr>
        <w:t>.</w:t>
      </w:r>
      <w:r w:rsidR="00FC5879" w:rsidRPr="009E6D43">
        <w:rPr>
          <w:bCs/>
        </w:rPr>
        <w:t>7</w:t>
      </w:r>
      <w:r w:rsidR="000B3CBF" w:rsidRPr="009E6D43">
        <w:rPr>
          <w:bCs/>
        </w:rPr>
        <w:t> </w:t>
      </w:r>
      <w:r w:rsidR="00520FC0" w:rsidRPr="009E6D43">
        <w:rPr>
          <w:bCs/>
        </w:rPr>
        <w:t>%</w:t>
      </w:r>
      <w:r w:rsidR="00EF2BCA" w:rsidRPr="009E6D43">
        <w:rPr>
          <w:bCs/>
        </w:rPr>
        <w:t xml:space="preserve">, </w:t>
      </w:r>
      <w:r w:rsidR="00E66949" w:rsidRPr="009E6D43">
        <w:rPr>
          <w:bCs/>
        </w:rPr>
        <w:t xml:space="preserve">porcentaje </w:t>
      </w:r>
      <w:r w:rsidR="00F61CC6" w:rsidRPr="009E6D43">
        <w:rPr>
          <w:bCs/>
        </w:rPr>
        <w:t>sup</w:t>
      </w:r>
      <w:r w:rsidR="00B22797" w:rsidRPr="009E6D43">
        <w:rPr>
          <w:bCs/>
        </w:rPr>
        <w:t>e</w:t>
      </w:r>
      <w:r w:rsidR="00B42AF8" w:rsidRPr="009E6D43">
        <w:rPr>
          <w:bCs/>
        </w:rPr>
        <w:t>rior</w:t>
      </w:r>
      <w:r w:rsidR="0016647C" w:rsidRPr="009E6D43">
        <w:rPr>
          <w:bCs/>
        </w:rPr>
        <w:t xml:space="preserve"> en </w:t>
      </w:r>
      <w:r w:rsidR="00F61CC6" w:rsidRPr="009E6D43">
        <w:rPr>
          <w:bCs/>
        </w:rPr>
        <w:t>tres</w:t>
      </w:r>
      <w:r w:rsidR="00683845" w:rsidRPr="009E6D43">
        <w:rPr>
          <w:bCs/>
        </w:rPr>
        <w:t xml:space="preserve"> </w:t>
      </w:r>
      <w:r w:rsidR="00520FC0" w:rsidRPr="009E6D43">
        <w:rPr>
          <w:bCs/>
        </w:rPr>
        <w:t>puntos</w:t>
      </w:r>
      <w:r w:rsidR="0016647C" w:rsidRPr="009E6D43">
        <w:rPr>
          <w:bCs/>
        </w:rPr>
        <w:t xml:space="preserve"> porcentuales al </w:t>
      </w:r>
      <w:r w:rsidR="00D554F8" w:rsidRPr="009E6D43">
        <w:rPr>
          <w:bCs/>
        </w:rPr>
        <w:t>de</w:t>
      </w:r>
      <w:r w:rsidR="006F0C43" w:rsidRPr="009E6D43">
        <w:rPr>
          <w:bCs/>
        </w:rPr>
        <w:t xml:space="preserve"> </w:t>
      </w:r>
      <w:r w:rsidR="00CD61EC" w:rsidRPr="009E6D43">
        <w:rPr>
          <w:bCs/>
        </w:rPr>
        <w:t>dic</w:t>
      </w:r>
      <w:r w:rsidR="00F14B75" w:rsidRPr="009E6D43">
        <w:rPr>
          <w:bCs/>
        </w:rPr>
        <w:t>iembre</w:t>
      </w:r>
      <w:r w:rsidR="00E66949" w:rsidRPr="009E6D43">
        <w:rPr>
          <w:bCs/>
        </w:rPr>
        <w:t xml:space="preserve"> de 202</w:t>
      </w:r>
      <w:r w:rsidR="00597628" w:rsidRPr="009E6D43">
        <w:rPr>
          <w:bCs/>
        </w:rPr>
        <w:t>2</w:t>
      </w:r>
      <w:r w:rsidR="00EF2BCA" w:rsidRPr="009E6D43">
        <w:rPr>
          <w:bCs/>
        </w:rPr>
        <w:t>.</w:t>
      </w:r>
    </w:p>
    <w:p w14:paraId="4614CCF3" w14:textId="63E8C546" w:rsidR="00097C9F" w:rsidRPr="009E6D43" w:rsidRDefault="00E62DE4" w:rsidP="003671CE">
      <w:pPr>
        <w:spacing w:before="240"/>
        <w:rPr>
          <w:bCs/>
        </w:rPr>
      </w:pPr>
      <w:r w:rsidRPr="009E6D43">
        <w:rPr>
          <w:bCs/>
        </w:rPr>
        <w:t>Por</w:t>
      </w:r>
      <w:r w:rsidR="00097C9F" w:rsidRPr="009E6D43">
        <w:rPr>
          <w:bCs/>
        </w:rPr>
        <w:t xml:space="preserve"> duración </w:t>
      </w:r>
      <w:bookmarkStart w:id="10" w:name="_Hlk49934937"/>
      <w:r w:rsidR="00EC237C" w:rsidRPr="009E6D43">
        <w:rPr>
          <w:bCs/>
        </w:rPr>
        <w:t xml:space="preserve">del desempleo, </w:t>
      </w:r>
      <w:r w:rsidR="007863DD" w:rsidRPr="009E6D43">
        <w:rPr>
          <w:bCs/>
        </w:rPr>
        <w:t xml:space="preserve">en </w:t>
      </w:r>
      <w:r w:rsidR="00CD61EC" w:rsidRPr="009E6D43">
        <w:rPr>
          <w:bCs/>
        </w:rPr>
        <w:t>dic</w:t>
      </w:r>
      <w:r w:rsidR="00F14B75" w:rsidRPr="009E6D43">
        <w:rPr>
          <w:bCs/>
        </w:rPr>
        <w:t>iembre</w:t>
      </w:r>
      <w:r w:rsidR="00DD0873" w:rsidRPr="009E6D43">
        <w:rPr>
          <w:bCs/>
        </w:rPr>
        <w:t xml:space="preserve"> </w:t>
      </w:r>
      <w:r w:rsidR="00333307" w:rsidRPr="009E6D43">
        <w:rPr>
          <w:bCs/>
        </w:rPr>
        <w:t>de 202</w:t>
      </w:r>
      <w:r w:rsidR="00AF467E" w:rsidRPr="009E6D43">
        <w:rPr>
          <w:bCs/>
        </w:rPr>
        <w:t>3</w:t>
      </w:r>
      <w:r w:rsidR="005C3F61" w:rsidRPr="009E6D43">
        <w:rPr>
          <w:bCs/>
        </w:rPr>
        <w:t>,</w:t>
      </w:r>
      <w:r w:rsidR="007863DD" w:rsidRPr="009E6D43">
        <w:rPr>
          <w:bCs/>
        </w:rPr>
        <w:t xml:space="preserve"> </w:t>
      </w:r>
      <w:r w:rsidR="00EF2426" w:rsidRPr="009E6D43">
        <w:rPr>
          <w:bCs/>
        </w:rPr>
        <w:t>1</w:t>
      </w:r>
      <w:r w:rsidR="00F61CC6" w:rsidRPr="009E6D43">
        <w:rPr>
          <w:bCs/>
        </w:rPr>
        <w:t>3.</w:t>
      </w:r>
      <w:r w:rsidR="00FC5879" w:rsidRPr="009E6D43">
        <w:rPr>
          <w:bCs/>
        </w:rPr>
        <w:t>7</w:t>
      </w:r>
      <w:r w:rsidR="00520FC0" w:rsidRPr="009E6D43">
        <w:rPr>
          <w:bCs/>
        </w:rPr>
        <w:t> %</w:t>
      </w:r>
      <w:r w:rsidR="00EC237C" w:rsidRPr="009E6D43">
        <w:rPr>
          <w:bCs/>
        </w:rPr>
        <w:t xml:space="preserve"> de la</w:t>
      </w:r>
      <w:r w:rsidR="007863DD" w:rsidRPr="009E6D43">
        <w:rPr>
          <w:bCs/>
        </w:rPr>
        <w:t xml:space="preserve">s personas desocupadas </w:t>
      </w:r>
      <w:r w:rsidR="00EC237C" w:rsidRPr="009E6D43">
        <w:rPr>
          <w:bCs/>
        </w:rPr>
        <w:t>buscó un empleo por más de</w:t>
      </w:r>
      <w:r w:rsidR="00097C9F" w:rsidRPr="009E6D43">
        <w:rPr>
          <w:bCs/>
        </w:rPr>
        <w:t xml:space="preserve"> </w:t>
      </w:r>
      <w:r w:rsidR="002E7F97" w:rsidRPr="009E6D43">
        <w:rPr>
          <w:bCs/>
        </w:rPr>
        <w:t>tres</w:t>
      </w:r>
      <w:r w:rsidR="00097C9F" w:rsidRPr="009E6D43">
        <w:rPr>
          <w:bCs/>
        </w:rPr>
        <w:t xml:space="preserve"> meses</w:t>
      </w:r>
      <w:r w:rsidR="00EC237C" w:rsidRPr="009E6D43">
        <w:rPr>
          <w:bCs/>
        </w:rPr>
        <w:t>,</w:t>
      </w:r>
      <w:r w:rsidR="007863DD" w:rsidRPr="009E6D43">
        <w:rPr>
          <w:bCs/>
        </w:rPr>
        <w:t xml:space="preserve"> </w:t>
      </w:r>
      <w:r w:rsidR="00A97EF8" w:rsidRPr="009E6D43">
        <w:rPr>
          <w:bCs/>
        </w:rPr>
        <w:t>3</w:t>
      </w:r>
      <w:r w:rsidR="00F61CC6" w:rsidRPr="009E6D43">
        <w:rPr>
          <w:bCs/>
        </w:rPr>
        <w:t>8.</w:t>
      </w:r>
      <w:r w:rsidR="00FC5879" w:rsidRPr="009E6D43">
        <w:rPr>
          <w:bCs/>
        </w:rPr>
        <w:t>6</w:t>
      </w:r>
      <w:r w:rsidR="00520FC0" w:rsidRPr="009E6D43">
        <w:rPr>
          <w:bCs/>
        </w:rPr>
        <w:t> %</w:t>
      </w:r>
      <w:r w:rsidR="00B2509A" w:rsidRPr="009E6D43">
        <w:rPr>
          <w:bCs/>
        </w:rPr>
        <w:t xml:space="preserve"> duró desempleada más de un mes y hasta tres meses y </w:t>
      </w:r>
      <w:r w:rsidR="00F61CC6" w:rsidRPr="009E6D43">
        <w:rPr>
          <w:bCs/>
        </w:rPr>
        <w:t>40.7</w:t>
      </w:r>
      <w:r w:rsidR="00520FC0" w:rsidRPr="009E6D43">
        <w:rPr>
          <w:bCs/>
        </w:rPr>
        <w:t> %</w:t>
      </w:r>
      <w:r w:rsidR="00D71E7C" w:rsidRPr="009E6D43">
        <w:rPr>
          <w:bCs/>
        </w:rPr>
        <w:t xml:space="preserve"> </w:t>
      </w:r>
      <w:r w:rsidR="006A6846" w:rsidRPr="009E6D43">
        <w:rPr>
          <w:bCs/>
        </w:rPr>
        <w:t>buscó empleo hasta por un mes</w:t>
      </w:r>
      <w:r w:rsidR="00CA5EBD" w:rsidRPr="009E6D43">
        <w:rPr>
          <w:bCs/>
        </w:rPr>
        <w:t>.</w:t>
      </w:r>
      <w:r w:rsidR="009923DE" w:rsidRPr="009E6D43">
        <w:rPr>
          <w:bCs/>
        </w:rPr>
        <w:t xml:space="preserve"> </w:t>
      </w:r>
      <w:bookmarkEnd w:id="10"/>
    </w:p>
    <w:p w14:paraId="74D92A7F" w14:textId="77777777" w:rsidR="003671CE" w:rsidRPr="009E6D43" w:rsidRDefault="003671CE">
      <w:pPr>
        <w:jc w:val="left"/>
        <w:rPr>
          <w:sz w:val="20"/>
          <w:szCs w:val="22"/>
        </w:rPr>
      </w:pPr>
      <w:r w:rsidRPr="009E6D43">
        <w:rPr>
          <w:sz w:val="20"/>
          <w:szCs w:val="22"/>
        </w:rPr>
        <w:br w:type="page"/>
      </w:r>
    </w:p>
    <w:p w14:paraId="270761EB" w14:textId="4C7663A2" w:rsidR="007F04C2" w:rsidRPr="009E6D43" w:rsidRDefault="007F04C2" w:rsidP="00F51DEB">
      <w:pPr>
        <w:pStyle w:val="n0"/>
        <w:keepLines w:val="0"/>
        <w:widowControl w:val="0"/>
        <w:spacing w:before="100"/>
        <w:ind w:left="0" w:right="0" w:firstLine="0"/>
        <w:jc w:val="center"/>
        <w:rPr>
          <w:color w:val="auto"/>
          <w:sz w:val="20"/>
          <w:szCs w:val="22"/>
        </w:rPr>
      </w:pPr>
      <w:r w:rsidRPr="009E6D43">
        <w:rPr>
          <w:color w:val="auto"/>
          <w:sz w:val="20"/>
          <w:szCs w:val="22"/>
        </w:rPr>
        <w:lastRenderedPageBreak/>
        <w:t>Cuadro 7</w:t>
      </w:r>
    </w:p>
    <w:p w14:paraId="61442D77" w14:textId="0CC44631" w:rsidR="007F04C2" w:rsidRPr="009E6D43" w:rsidRDefault="007F04C2" w:rsidP="007F04C2">
      <w:pPr>
        <w:pStyle w:val="n0"/>
        <w:keepLines w:val="0"/>
        <w:widowControl w:val="0"/>
        <w:spacing w:before="0"/>
        <w:ind w:left="0" w:right="49" w:firstLine="0"/>
        <w:jc w:val="center"/>
        <w:rPr>
          <w:b/>
          <w:smallCaps/>
          <w:color w:val="auto"/>
          <w:sz w:val="22"/>
          <w:szCs w:val="22"/>
        </w:rPr>
      </w:pPr>
      <w:r w:rsidRPr="009E6D43">
        <w:rPr>
          <w:b/>
          <w:smallCaps/>
          <w:color w:val="auto"/>
          <w:sz w:val="22"/>
          <w:szCs w:val="22"/>
        </w:rPr>
        <w:t>Población desocupada</w:t>
      </w:r>
      <w:r w:rsidR="00BC5B5C" w:rsidRPr="009E6D43">
        <w:rPr>
          <w:b/>
          <w:smallCaps/>
          <w:color w:val="auto"/>
          <w:sz w:val="22"/>
          <w:szCs w:val="22"/>
        </w:rPr>
        <w:t>,</w:t>
      </w:r>
      <w:r w:rsidRPr="009E6D43">
        <w:rPr>
          <w:b/>
          <w:smallCaps/>
          <w:color w:val="auto"/>
          <w:sz w:val="22"/>
          <w:szCs w:val="22"/>
        </w:rPr>
        <w:t xml:space="preserve"> </w:t>
      </w:r>
      <w:r w:rsidR="005C3DB1" w:rsidRPr="009E6D43">
        <w:rPr>
          <w:b/>
          <w:smallCaps/>
          <w:color w:val="auto"/>
          <w:sz w:val="22"/>
          <w:szCs w:val="22"/>
        </w:rPr>
        <w:t>según</w:t>
      </w:r>
      <w:r w:rsidRPr="009E6D43">
        <w:rPr>
          <w:b/>
          <w:smallCaps/>
          <w:color w:val="auto"/>
          <w:sz w:val="22"/>
          <w:szCs w:val="22"/>
        </w:rPr>
        <w:t xml:space="preserve"> grupos de edad y duración de la desocupación</w:t>
      </w:r>
    </w:p>
    <w:p w14:paraId="455AEE57" w14:textId="081CEEBE" w:rsidR="003671CE" w:rsidRPr="009E6D43" w:rsidRDefault="00CD61EC" w:rsidP="003671CE">
      <w:pPr>
        <w:pStyle w:val="Ttulo"/>
        <w:rPr>
          <w:rFonts w:cs="Arial"/>
          <w:b w:val="0"/>
          <w:sz w:val="20"/>
          <w:lang w:val="es-MX"/>
        </w:rPr>
      </w:pPr>
      <w:r w:rsidRPr="009E6D43">
        <w:rPr>
          <w:rFonts w:cs="Arial"/>
          <w:b w:val="0"/>
          <w:sz w:val="20"/>
        </w:rPr>
        <w:t>dic</w:t>
      </w:r>
      <w:r w:rsidR="00F14B75" w:rsidRPr="009E6D43">
        <w:rPr>
          <w:rFonts w:cs="Arial"/>
          <w:b w:val="0"/>
          <w:sz w:val="20"/>
        </w:rPr>
        <w:t>iembre</w:t>
      </w:r>
      <w:r w:rsidR="003671CE" w:rsidRPr="009E6D43">
        <w:rPr>
          <w:rFonts w:cs="Arial"/>
          <w:b w:val="0"/>
          <w:sz w:val="20"/>
        </w:rPr>
        <w:t xml:space="preserve"> de 2022 y 2023</w:t>
      </w:r>
    </w:p>
    <w:tbl>
      <w:tblPr>
        <w:tblW w:w="4713" w:type="pct"/>
        <w:jc w:val="center"/>
        <w:tblCellMar>
          <w:left w:w="70" w:type="dxa"/>
          <w:right w:w="70" w:type="dxa"/>
        </w:tblCellMar>
        <w:tblLook w:val="04A0" w:firstRow="1" w:lastRow="0" w:firstColumn="1" w:lastColumn="0" w:noHBand="0" w:noVBand="1"/>
      </w:tblPr>
      <w:tblGrid>
        <w:gridCol w:w="3664"/>
        <w:gridCol w:w="1082"/>
        <w:gridCol w:w="1082"/>
        <w:gridCol w:w="1016"/>
        <w:gridCol w:w="755"/>
        <w:gridCol w:w="755"/>
        <w:gridCol w:w="1038"/>
      </w:tblGrid>
      <w:tr w:rsidR="007F04C2" w:rsidRPr="009E6D43" w14:paraId="3AB247C3" w14:textId="77777777" w:rsidTr="00E32EF6">
        <w:trPr>
          <w:trHeight w:val="284"/>
          <w:jc w:val="center"/>
        </w:trPr>
        <w:tc>
          <w:tcPr>
            <w:tcW w:w="366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F9117CF" w14:textId="5D823F4C" w:rsidR="007F04C2" w:rsidRPr="009E6D43" w:rsidRDefault="001A0F23" w:rsidP="00E71A25">
            <w:pPr>
              <w:jc w:val="left"/>
              <w:rPr>
                <w:b/>
                <w:bCs/>
                <w:color w:val="000000"/>
                <w:sz w:val="16"/>
                <w:szCs w:val="16"/>
                <w:lang w:val="es-MX" w:eastAsia="es-MX"/>
              </w:rPr>
            </w:pPr>
            <w:r w:rsidRPr="009E6D43">
              <w:rPr>
                <w:b/>
                <w:bCs/>
                <w:color w:val="000000"/>
                <w:sz w:val="16"/>
                <w:szCs w:val="16"/>
                <w:lang w:val="es-MX" w:eastAsia="es-MX"/>
              </w:rPr>
              <w:t>G</w:t>
            </w:r>
            <w:r w:rsidR="007F04C2" w:rsidRPr="009E6D43">
              <w:rPr>
                <w:b/>
                <w:bCs/>
                <w:color w:val="000000"/>
                <w:sz w:val="16"/>
                <w:szCs w:val="16"/>
                <w:lang w:val="es-MX" w:eastAsia="es-MX"/>
              </w:rPr>
              <w:t xml:space="preserve">rupos de edad y </w:t>
            </w:r>
            <w:r w:rsidR="005C3DB1" w:rsidRPr="009E6D43">
              <w:rPr>
                <w:b/>
                <w:bCs/>
                <w:color w:val="000000"/>
                <w:sz w:val="16"/>
                <w:szCs w:val="16"/>
                <w:lang w:val="es-MX" w:eastAsia="es-MX"/>
              </w:rPr>
              <w:t>d</w:t>
            </w:r>
            <w:r w:rsidR="007F04C2" w:rsidRPr="009E6D43">
              <w:rPr>
                <w:b/>
                <w:bCs/>
                <w:color w:val="000000"/>
                <w:sz w:val="16"/>
                <w:szCs w:val="16"/>
                <w:lang w:val="es-MX" w:eastAsia="es-MX"/>
              </w:rPr>
              <w:t>uración de la</w:t>
            </w:r>
            <w:r w:rsidRPr="009E6D43">
              <w:rPr>
                <w:b/>
                <w:bCs/>
                <w:color w:val="000000"/>
                <w:sz w:val="16"/>
                <w:szCs w:val="16"/>
                <w:lang w:val="es-MX" w:eastAsia="es-MX"/>
              </w:rPr>
              <w:t xml:space="preserve"> </w:t>
            </w:r>
            <w:r w:rsidR="007F04C2" w:rsidRPr="009E6D43">
              <w:rPr>
                <w:b/>
                <w:bCs/>
                <w:color w:val="000000"/>
                <w:sz w:val="16"/>
                <w:szCs w:val="16"/>
                <w:lang w:val="es-MX" w:eastAsia="es-MX"/>
              </w:rPr>
              <w:t xml:space="preserve">desocupación </w:t>
            </w:r>
          </w:p>
        </w:tc>
        <w:tc>
          <w:tcPr>
            <w:tcW w:w="216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C4B110D" w14:textId="44F00130" w:rsidR="007F04C2" w:rsidRPr="009E6D43" w:rsidRDefault="00CD61EC" w:rsidP="00E71A25">
            <w:pPr>
              <w:jc w:val="center"/>
              <w:rPr>
                <w:b/>
                <w:bCs/>
                <w:sz w:val="16"/>
                <w:szCs w:val="16"/>
                <w:lang w:val="es-MX" w:eastAsia="es-MX"/>
              </w:rPr>
            </w:pPr>
            <w:r w:rsidRPr="009E6D43">
              <w:rPr>
                <w:b/>
                <w:bCs/>
                <w:sz w:val="16"/>
                <w:szCs w:val="16"/>
                <w:lang w:val="es-MX" w:eastAsia="es-MX"/>
              </w:rPr>
              <w:t>Dic</w:t>
            </w:r>
            <w:r w:rsidR="00F14B75" w:rsidRPr="009E6D43">
              <w:rPr>
                <w:b/>
                <w:bCs/>
                <w:sz w:val="16"/>
                <w:szCs w:val="16"/>
                <w:lang w:val="es-MX" w:eastAsia="es-MX"/>
              </w:rPr>
              <w:t>iembre</w:t>
            </w:r>
          </w:p>
        </w:tc>
        <w:tc>
          <w:tcPr>
            <w:tcW w:w="10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6DA0A0B" w14:textId="6CCA8F8F" w:rsidR="007F04C2" w:rsidRPr="009E6D43" w:rsidRDefault="007F04C2" w:rsidP="00E36562">
            <w:pPr>
              <w:jc w:val="center"/>
              <w:rPr>
                <w:b/>
                <w:bCs/>
                <w:sz w:val="16"/>
                <w:szCs w:val="16"/>
                <w:lang w:val="es-MX" w:eastAsia="es-MX"/>
              </w:rPr>
            </w:pPr>
            <w:r w:rsidRPr="009E6D43">
              <w:rPr>
                <w:b/>
                <w:bCs/>
                <w:sz w:val="16"/>
                <w:szCs w:val="16"/>
                <w:lang w:val="es-MX" w:eastAsia="es-MX"/>
              </w:rPr>
              <w:t>Diferencia 202</w:t>
            </w:r>
            <w:r w:rsidR="00AB1A14" w:rsidRPr="009E6D43">
              <w:rPr>
                <w:b/>
                <w:bCs/>
                <w:sz w:val="16"/>
                <w:szCs w:val="16"/>
                <w:lang w:val="es-MX" w:eastAsia="es-MX"/>
              </w:rPr>
              <w:t>3</w:t>
            </w:r>
            <w:r w:rsidRPr="009E6D43">
              <w:rPr>
                <w:b/>
                <w:bCs/>
                <w:sz w:val="16"/>
                <w:szCs w:val="16"/>
                <w:lang w:val="es-MX" w:eastAsia="es-MX"/>
              </w:rPr>
              <w:t>-202</w:t>
            </w:r>
            <w:r w:rsidR="00AB1A14" w:rsidRPr="009E6D43">
              <w:rPr>
                <w:b/>
                <w:bCs/>
                <w:sz w:val="16"/>
                <w:szCs w:val="16"/>
                <w:lang w:val="es-MX" w:eastAsia="es-MX"/>
              </w:rPr>
              <w:t>2</w:t>
            </w:r>
          </w:p>
        </w:tc>
        <w:tc>
          <w:tcPr>
            <w:tcW w:w="151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5C03E89" w14:textId="6693AA1A" w:rsidR="007F04C2" w:rsidRPr="009E6D43" w:rsidRDefault="00CD61EC" w:rsidP="00E71A25">
            <w:pPr>
              <w:jc w:val="center"/>
              <w:rPr>
                <w:b/>
                <w:bCs/>
                <w:sz w:val="16"/>
                <w:szCs w:val="16"/>
                <w:lang w:val="es-MX" w:eastAsia="es-MX"/>
              </w:rPr>
            </w:pPr>
            <w:r w:rsidRPr="009E6D43">
              <w:rPr>
                <w:b/>
                <w:bCs/>
                <w:sz w:val="16"/>
                <w:szCs w:val="16"/>
                <w:lang w:val="es-MX" w:eastAsia="es-MX"/>
              </w:rPr>
              <w:t>Dic</w:t>
            </w:r>
            <w:r w:rsidR="00F14B75" w:rsidRPr="009E6D43">
              <w:rPr>
                <w:b/>
                <w:bCs/>
                <w:sz w:val="16"/>
                <w:szCs w:val="16"/>
                <w:lang w:val="es-MX" w:eastAsia="es-MX"/>
              </w:rPr>
              <w:t>iembre</w:t>
            </w:r>
          </w:p>
        </w:tc>
        <w:tc>
          <w:tcPr>
            <w:tcW w:w="103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B2BCF08" w14:textId="4733EDBA" w:rsidR="007F04C2" w:rsidRPr="009E6D43" w:rsidRDefault="00E36562" w:rsidP="00E71A25">
            <w:pPr>
              <w:jc w:val="center"/>
              <w:rPr>
                <w:b/>
                <w:bCs/>
                <w:color w:val="000000"/>
                <w:sz w:val="16"/>
                <w:szCs w:val="16"/>
                <w:lang w:val="es-MX" w:eastAsia="es-MX"/>
              </w:rPr>
            </w:pPr>
            <w:r w:rsidRPr="009E6D43">
              <w:rPr>
                <w:b/>
                <w:bCs/>
                <w:color w:val="000000"/>
                <w:sz w:val="16"/>
                <w:szCs w:val="16"/>
                <w:lang w:val="es-MX" w:eastAsia="es-MX"/>
              </w:rPr>
              <w:t>Diferencia 202</w:t>
            </w:r>
            <w:r w:rsidR="00AB1A14" w:rsidRPr="009E6D43">
              <w:rPr>
                <w:b/>
                <w:bCs/>
                <w:color w:val="000000"/>
                <w:sz w:val="16"/>
                <w:szCs w:val="16"/>
                <w:lang w:val="es-MX" w:eastAsia="es-MX"/>
              </w:rPr>
              <w:t>3</w:t>
            </w:r>
            <w:r w:rsidRPr="009E6D43">
              <w:rPr>
                <w:b/>
                <w:bCs/>
                <w:color w:val="000000"/>
                <w:sz w:val="16"/>
                <w:szCs w:val="16"/>
                <w:lang w:val="es-MX" w:eastAsia="es-MX"/>
              </w:rPr>
              <w:t>-202</w:t>
            </w:r>
            <w:r w:rsidR="00AB1A14" w:rsidRPr="009E6D43">
              <w:rPr>
                <w:b/>
                <w:bCs/>
                <w:color w:val="000000"/>
                <w:sz w:val="16"/>
                <w:szCs w:val="16"/>
                <w:lang w:val="es-MX" w:eastAsia="es-MX"/>
              </w:rPr>
              <w:t>2</w:t>
            </w:r>
          </w:p>
        </w:tc>
      </w:tr>
      <w:tr w:rsidR="00AB1A14" w:rsidRPr="009E6D43" w14:paraId="37290FFD" w14:textId="77777777" w:rsidTr="00E32EF6">
        <w:trPr>
          <w:trHeight w:val="340"/>
          <w:jc w:val="center"/>
        </w:trPr>
        <w:tc>
          <w:tcPr>
            <w:tcW w:w="3664" w:type="dxa"/>
            <w:vMerge/>
            <w:tcBorders>
              <w:top w:val="single" w:sz="4" w:space="0" w:color="1F497D"/>
              <w:left w:val="single" w:sz="4" w:space="0" w:color="1F497D"/>
              <w:bottom w:val="single" w:sz="4" w:space="0" w:color="1F497D"/>
              <w:right w:val="single" w:sz="4" w:space="0" w:color="1F497D"/>
            </w:tcBorders>
            <w:vAlign w:val="center"/>
            <w:hideMark/>
          </w:tcPr>
          <w:p w14:paraId="6477E638" w14:textId="77777777" w:rsidR="00AB1A14" w:rsidRPr="009E6D43" w:rsidRDefault="00AB1A14" w:rsidP="00AB1A14">
            <w:pPr>
              <w:jc w:val="center"/>
              <w:rPr>
                <w:b/>
                <w:bCs/>
                <w:color w:val="000000"/>
                <w:sz w:val="16"/>
                <w:szCs w:val="16"/>
                <w:lang w:val="es-MX" w:eastAsia="es-MX"/>
              </w:rPr>
            </w:pPr>
          </w:p>
        </w:tc>
        <w:tc>
          <w:tcPr>
            <w:tcW w:w="1082" w:type="dxa"/>
            <w:tcBorders>
              <w:top w:val="nil"/>
              <w:left w:val="nil"/>
              <w:bottom w:val="single" w:sz="4" w:space="0" w:color="1F497D"/>
              <w:right w:val="single" w:sz="4" w:space="0" w:color="1F497D"/>
            </w:tcBorders>
            <w:shd w:val="clear" w:color="000000" w:fill="BDD7EE"/>
            <w:vAlign w:val="center"/>
            <w:hideMark/>
          </w:tcPr>
          <w:p w14:paraId="793C222A" w14:textId="77777777" w:rsidR="00AB1A14" w:rsidRPr="009E6D43" w:rsidRDefault="00AB1A14" w:rsidP="00AB1A14">
            <w:pPr>
              <w:jc w:val="center"/>
              <w:rPr>
                <w:b/>
                <w:bCs/>
                <w:sz w:val="16"/>
                <w:szCs w:val="16"/>
                <w:lang w:val="es-MX" w:eastAsia="es-MX"/>
              </w:rPr>
            </w:pPr>
            <w:r w:rsidRPr="009E6D43">
              <w:rPr>
                <w:b/>
                <w:bCs/>
                <w:sz w:val="16"/>
                <w:szCs w:val="16"/>
                <w:lang w:val="es-MX" w:eastAsia="es-MX"/>
              </w:rPr>
              <w:t>2022</w:t>
            </w:r>
          </w:p>
          <w:p w14:paraId="66C7DF23" w14:textId="40C7C6EB" w:rsidR="00AB1A14" w:rsidRPr="009E6D43" w:rsidRDefault="00DE0FC8" w:rsidP="00AB1A14">
            <w:pPr>
              <w:jc w:val="center"/>
              <w:rPr>
                <w:b/>
                <w:bCs/>
                <w:smallCaps/>
                <w:sz w:val="16"/>
                <w:szCs w:val="16"/>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1082" w:type="dxa"/>
            <w:tcBorders>
              <w:top w:val="nil"/>
              <w:left w:val="nil"/>
              <w:bottom w:val="single" w:sz="4" w:space="0" w:color="1F497D"/>
              <w:right w:val="single" w:sz="4" w:space="0" w:color="1F497D"/>
            </w:tcBorders>
            <w:shd w:val="clear" w:color="000000" w:fill="BDD7EE"/>
            <w:vAlign w:val="center"/>
            <w:hideMark/>
          </w:tcPr>
          <w:p w14:paraId="66B9A166" w14:textId="77777777" w:rsidR="00AB1A14" w:rsidRPr="009E6D43" w:rsidRDefault="00AB1A14" w:rsidP="00AB1A14">
            <w:pPr>
              <w:jc w:val="center"/>
              <w:rPr>
                <w:b/>
                <w:bCs/>
                <w:sz w:val="16"/>
                <w:szCs w:val="16"/>
                <w:lang w:val="es-MX" w:eastAsia="es-MX"/>
              </w:rPr>
            </w:pPr>
            <w:r w:rsidRPr="009E6D43">
              <w:rPr>
                <w:b/>
                <w:bCs/>
                <w:sz w:val="16"/>
                <w:szCs w:val="16"/>
                <w:lang w:val="es-MX" w:eastAsia="es-MX"/>
              </w:rPr>
              <w:t>2023</w:t>
            </w:r>
          </w:p>
          <w:p w14:paraId="1CC83807" w14:textId="32CBC446" w:rsidR="00AB1A14" w:rsidRPr="009E6D43" w:rsidRDefault="00DE0FC8" w:rsidP="00AB1A14">
            <w:pPr>
              <w:jc w:val="center"/>
              <w:rPr>
                <w:b/>
                <w:bCs/>
                <w:smallCaps/>
                <w:sz w:val="16"/>
                <w:szCs w:val="16"/>
                <w:lang w:val="es-MX" w:eastAsia="es-MX"/>
              </w:rPr>
            </w:pPr>
            <w:proofErr w:type="spellStart"/>
            <w:r w:rsidRPr="009E6D43">
              <w:rPr>
                <w:b/>
                <w:bCs/>
                <w:smallCaps/>
                <w:sz w:val="16"/>
                <w:szCs w:val="16"/>
                <w:lang w:val="es-MX" w:eastAsia="es-MX"/>
              </w:rPr>
              <w:t>enoe</w:t>
            </w:r>
            <w:proofErr w:type="spellEnd"/>
          </w:p>
        </w:tc>
        <w:tc>
          <w:tcPr>
            <w:tcW w:w="1016" w:type="dxa"/>
            <w:vMerge/>
            <w:tcBorders>
              <w:top w:val="single" w:sz="4" w:space="0" w:color="1F497D"/>
              <w:left w:val="single" w:sz="4" w:space="0" w:color="1F497D"/>
              <w:bottom w:val="single" w:sz="4" w:space="0" w:color="1F497D"/>
              <w:right w:val="single" w:sz="4" w:space="0" w:color="1F497D"/>
            </w:tcBorders>
            <w:vAlign w:val="center"/>
            <w:hideMark/>
          </w:tcPr>
          <w:p w14:paraId="481A371D" w14:textId="77777777" w:rsidR="00AB1A14" w:rsidRPr="009E6D43" w:rsidRDefault="00AB1A14" w:rsidP="00AB1A14">
            <w:pPr>
              <w:jc w:val="center"/>
              <w:rPr>
                <w:b/>
                <w:bCs/>
                <w:sz w:val="16"/>
                <w:szCs w:val="16"/>
                <w:lang w:val="es-MX" w:eastAsia="es-MX"/>
              </w:rPr>
            </w:pPr>
          </w:p>
        </w:tc>
        <w:tc>
          <w:tcPr>
            <w:tcW w:w="755" w:type="dxa"/>
            <w:tcBorders>
              <w:top w:val="nil"/>
              <w:left w:val="nil"/>
              <w:bottom w:val="single" w:sz="4" w:space="0" w:color="1F497D"/>
              <w:right w:val="single" w:sz="4" w:space="0" w:color="1F497D"/>
            </w:tcBorders>
            <w:shd w:val="clear" w:color="000000" w:fill="BDD7EE"/>
            <w:vAlign w:val="center"/>
            <w:hideMark/>
          </w:tcPr>
          <w:p w14:paraId="082AD648" w14:textId="77777777" w:rsidR="00AB1A14" w:rsidRPr="009E6D43" w:rsidRDefault="00AB1A14" w:rsidP="00AB1A14">
            <w:pPr>
              <w:jc w:val="center"/>
              <w:rPr>
                <w:b/>
                <w:bCs/>
                <w:sz w:val="16"/>
                <w:szCs w:val="16"/>
                <w:lang w:val="es-MX" w:eastAsia="es-MX"/>
              </w:rPr>
            </w:pPr>
            <w:r w:rsidRPr="009E6D43">
              <w:rPr>
                <w:b/>
                <w:bCs/>
                <w:sz w:val="16"/>
                <w:szCs w:val="16"/>
                <w:lang w:val="es-MX" w:eastAsia="es-MX"/>
              </w:rPr>
              <w:t>2022</w:t>
            </w:r>
          </w:p>
          <w:p w14:paraId="30C133D2" w14:textId="495A1645" w:rsidR="00AB1A14" w:rsidRPr="009E6D43" w:rsidRDefault="00DE0FC8" w:rsidP="00AB1A14">
            <w:pPr>
              <w:jc w:val="center"/>
              <w:rPr>
                <w:b/>
                <w:bCs/>
                <w:smallCaps/>
                <w:sz w:val="16"/>
                <w:szCs w:val="16"/>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755" w:type="dxa"/>
            <w:tcBorders>
              <w:top w:val="nil"/>
              <w:left w:val="nil"/>
              <w:bottom w:val="single" w:sz="4" w:space="0" w:color="1F497D"/>
              <w:right w:val="single" w:sz="4" w:space="0" w:color="1F497D"/>
            </w:tcBorders>
            <w:shd w:val="clear" w:color="000000" w:fill="BDD7EE"/>
            <w:vAlign w:val="center"/>
            <w:hideMark/>
          </w:tcPr>
          <w:p w14:paraId="1D87151A" w14:textId="77777777" w:rsidR="00AB1A14" w:rsidRPr="009E6D43" w:rsidRDefault="00AB1A14" w:rsidP="00AB1A14">
            <w:pPr>
              <w:jc w:val="center"/>
              <w:rPr>
                <w:b/>
                <w:bCs/>
                <w:sz w:val="16"/>
                <w:szCs w:val="16"/>
                <w:lang w:val="es-MX" w:eastAsia="es-MX"/>
              </w:rPr>
            </w:pPr>
            <w:r w:rsidRPr="009E6D43">
              <w:rPr>
                <w:b/>
                <w:bCs/>
                <w:sz w:val="16"/>
                <w:szCs w:val="16"/>
                <w:lang w:val="es-MX" w:eastAsia="es-MX"/>
              </w:rPr>
              <w:t>2023</w:t>
            </w:r>
          </w:p>
          <w:p w14:paraId="7EEDC26C" w14:textId="028971B3" w:rsidR="00AB1A14" w:rsidRPr="009E6D43" w:rsidRDefault="00DE0FC8" w:rsidP="00AB1A14">
            <w:pPr>
              <w:jc w:val="center"/>
              <w:rPr>
                <w:b/>
                <w:bCs/>
                <w:smallCaps/>
                <w:sz w:val="16"/>
                <w:szCs w:val="16"/>
                <w:lang w:val="es-MX" w:eastAsia="es-MX"/>
              </w:rPr>
            </w:pPr>
            <w:proofErr w:type="spellStart"/>
            <w:r w:rsidRPr="009E6D43">
              <w:rPr>
                <w:b/>
                <w:bCs/>
                <w:smallCaps/>
                <w:sz w:val="16"/>
                <w:szCs w:val="16"/>
                <w:lang w:val="es-MX" w:eastAsia="es-MX"/>
              </w:rPr>
              <w:t>enoe</w:t>
            </w:r>
            <w:proofErr w:type="spellEnd"/>
          </w:p>
        </w:tc>
        <w:tc>
          <w:tcPr>
            <w:tcW w:w="1038" w:type="dxa"/>
            <w:vMerge/>
            <w:tcBorders>
              <w:top w:val="single" w:sz="4" w:space="0" w:color="1F497D"/>
              <w:left w:val="single" w:sz="4" w:space="0" w:color="1F497D"/>
              <w:bottom w:val="single" w:sz="4" w:space="0" w:color="1F497D"/>
              <w:right w:val="single" w:sz="4" w:space="0" w:color="1F497D"/>
            </w:tcBorders>
            <w:vAlign w:val="center"/>
            <w:hideMark/>
          </w:tcPr>
          <w:p w14:paraId="02489FDA" w14:textId="77777777" w:rsidR="00AB1A14" w:rsidRPr="009E6D43" w:rsidRDefault="00AB1A14" w:rsidP="00AB1A14">
            <w:pPr>
              <w:jc w:val="center"/>
              <w:rPr>
                <w:b/>
                <w:bCs/>
                <w:color w:val="000000"/>
                <w:sz w:val="16"/>
                <w:szCs w:val="16"/>
                <w:lang w:val="es-MX" w:eastAsia="es-MX"/>
              </w:rPr>
            </w:pPr>
          </w:p>
        </w:tc>
      </w:tr>
      <w:tr w:rsidR="007F04C2" w:rsidRPr="009E6D43" w14:paraId="031F7179" w14:textId="77777777" w:rsidTr="00E32EF6">
        <w:trPr>
          <w:trHeight w:val="227"/>
          <w:jc w:val="center"/>
        </w:trPr>
        <w:tc>
          <w:tcPr>
            <w:tcW w:w="3664" w:type="dxa"/>
            <w:vMerge/>
            <w:tcBorders>
              <w:top w:val="single" w:sz="4" w:space="0" w:color="1F497D"/>
              <w:left w:val="single" w:sz="4" w:space="0" w:color="1F497D"/>
              <w:bottom w:val="single" w:sz="4" w:space="0" w:color="1F497D"/>
              <w:right w:val="single" w:sz="4" w:space="0" w:color="1F497D"/>
            </w:tcBorders>
            <w:vAlign w:val="center"/>
            <w:hideMark/>
          </w:tcPr>
          <w:p w14:paraId="3D5733AE" w14:textId="77777777" w:rsidR="007F04C2" w:rsidRPr="009E6D43" w:rsidRDefault="007F04C2" w:rsidP="00E71A25">
            <w:pPr>
              <w:jc w:val="center"/>
              <w:rPr>
                <w:b/>
                <w:bCs/>
                <w:color w:val="000000"/>
                <w:sz w:val="16"/>
                <w:szCs w:val="16"/>
                <w:lang w:val="es-MX" w:eastAsia="es-MX"/>
              </w:rPr>
            </w:pPr>
          </w:p>
        </w:tc>
        <w:tc>
          <w:tcPr>
            <w:tcW w:w="318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6671BA" w14:textId="77777777" w:rsidR="007F04C2" w:rsidRPr="009E6D43" w:rsidRDefault="007F04C2" w:rsidP="00E71A25">
            <w:pPr>
              <w:jc w:val="center"/>
              <w:rPr>
                <w:b/>
                <w:bCs/>
                <w:color w:val="000000"/>
                <w:sz w:val="16"/>
                <w:szCs w:val="16"/>
                <w:lang w:val="es-MX" w:eastAsia="es-MX"/>
              </w:rPr>
            </w:pPr>
            <w:r w:rsidRPr="009E6D43">
              <w:rPr>
                <w:b/>
                <w:bCs/>
                <w:color w:val="000000"/>
                <w:sz w:val="16"/>
                <w:szCs w:val="16"/>
                <w:lang w:val="es-MX" w:eastAsia="es-MX"/>
              </w:rPr>
              <w:t>Absolutos</w:t>
            </w:r>
          </w:p>
        </w:tc>
        <w:tc>
          <w:tcPr>
            <w:tcW w:w="25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625CC67" w14:textId="513A4636" w:rsidR="007F04C2" w:rsidRPr="009E6D43" w:rsidRDefault="007F04C2" w:rsidP="00E71A25">
            <w:pPr>
              <w:jc w:val="center"/>
              <w:rPr>
                <w:b/>
                <w:bCs/>
                <w:color w:val="000000"/>
                <w:sz w:val="16"/>
                <w:szCs w:val="16"/>
                <w:lang w:val="es-MX" w:eastAsia="es-MX"/>
              </w:rPr>
            </w:pPr>
            <w:proofErr w:type="spellStart"/>
            <w:r w:rsidRPr="009E6D43">
              <w:rPr>
                <w:b/>
                <w:bCs/>
                <w:color w:val="000000"/>
                <w:sz w:val="16"/>
                <w:szCs w:val="16"/>
                <w:lang w:val="es-MX" w:eastAsia="es-MX"/>
              </w:rPr>
              <w:t>Relativos</w:t>
            </w:r>
            <w:r w:rsidR="00457000" w:rsidRPr="009E6D43">
              <w:rPr>
                <w:b/>
                <w:bCs/>
                <w:color w:val="000000"/>
                <w:sz w:val="18"/>
                <w:szCs w:val="16"/>
                <w:vertAlign w:val="superscript"/>
                <w:lang w:val="es-MX" w:eastAsia="es-MX"/>
              </w:rPr>
              <w:t>a</w:t>
            </w:r>
            <w:proofErr w:type="spellEnd"/>
            <w:r w:rsidR="00457000" w:rsidRPr="009E6D43">
              <w:rPr>
                <w:b/>
                <w:bCs/>
                <w:color w:val="000000"/>
                <w:sz w:val="18"/>
                <w:szCs w:val="16"/>
                <w:vertAlign w:val="superscript"/>
                <w:lang w:val="es-MX" w:eastAsia="es-MX"/>
              </w:rPr>
              <w:t>/</w:t>
            </w:r>
          </w:p>
        </w:tc>
      </w:tr>
      <w:tr w:rsidR="00CF65DE" w:rsidRPr="009E6D43" w14:paraId="69F3B041" w14:textId="77777777" w:rsidTr="00CF65DE">
        <w:trPr>
          <w:trHeight w:val="227"/>
          <w:jc w:val="center"/>
        </w:trPr>
        <w:tc>
          <w:tcPr>
            <w:tcW w:w="3664" w:type="dxa"/>
            <w:tcBorders>
              <w:top w:val="nil"/>
              <w:left w:val="single" w:sz="4" w:space="0" w:color="1F497D"/>
              <w:bottom w:val="nil"/>
              <w:right w:val="nil"/>
            </w:tcBorders>
            <w:shd w:val="clear" w:color="auto" w:fill="auto"/>
            <w:noWrap/>
            <w:vAlign w:val="center"/>
          </w:tcPr>
          <w:p w14:paraId="6850F191" w14:textId="77777777" w:rsidR="00CF65DE" w:rsidRPr="009E6D43" w:rsidRDefault="00CF65DE" w:rsidP="00CF65DE">
            <w:pPr>
              <w:jc w:val="left"/>
              <w:rPr>
                <w:b/>
                <w:bCs/>
                <w:color w:val="000000"/>
                <w:sz w:val="16"/>
                <w:szCs w:val="16"/>
                <w:lang w:val="es-MX" w:eastAsia="es-MX"/>
              </w:rPr>
            </w:pPr>
            <w:r w:rsidRPr="009E6D43">
              <w:rPr>
                <w:b/>
                <w:bCs/>
                <w:color w:val="000000"/>
                <w:sz w:val="16"/>
                <w:szCs w:val="16"/>
                <w:lang w:val="es-MX" w:eastAsia="es-MX"/>
              </w:rPr>
              <w:t>Grupos de edad</w:t>
            </w:r>
          </w:p>
        </w:tc>
        <w:tc>
          <w:tcPr>
            <w:tcW w:w="1082" w:type="dxa"/>
            <w:tcBorders>
              <w:top w:val="nil"/>
              <w:left w:val="single" w:sz="4" w:space="0" w:color="1F497D"/>
              <w:bottom w:val="nil"/>
              <w:right w:val="nil"/>
            </w:tcBorders>
            <w:shd w:val="clear" w:color="auto" w:fill="auto"/>
            <w:noWrap/>
            <w:vAlign w:val="center"/>
          </w:tcPr>
          <w:p w14:paraId="045033E1" w14:textId="3008C45A" w:rsidR="00CF65DE" w:rsidRPr="009E6D43" w:rsidRDefault="00CF65DE" w:rsidP="00CF65DE">
            <w:pPr>
              <w:tabs>
                <w:tab w:val="decimal" w:pos="821"/>
              </w:tabs>
              <w:jc w:val="left"/>
              <w:rPr>
                <w:b/>
                <w:bCs/>
                <w:color w:val="000000"/>
                <w:sz w:val="16"/>
                <w:szCs w:val="16"/>
              </w:rPr>
            </w:pPr>
            <w:r w:rsidRPr="009E6D43">
              <w:rPr>
                <w:b/>
                <w:bCs/>
                <w:color w:val="000000"/>
                <w:sz w:val="16"/>
                <w:szCs w:val="16"/>
              </w:rPr>
              <w:t xml:space="preserve"> 1 646 870</w:t>
            </w:r>
          </w:p>
        </w:tc>
        <w:tc>
          <w:tcPr>
            <w:tcW w:w="1082" w:type="dxa"/>
            <w:tcBorders>
              <w:top w:val="nil"/>
              <w:left w:val="nil"/>
              <w:bottom w:val="nil"/>
              <w:right w:val="nil"/>
            </w:tcBorders>
            <w:shd w:val="clear" w:color="auto" w:fill="auto"/>
            <w:noWrap/>
            <w:vAlign w:val="center"/>
          </w:tcPr>
          <w:p w14:paraId="13E2EDF2" w14:textId="48517856" w:rsidR="00CF65DE" w:rsidRPr="009E6D43" w:rsidRDefault="00CF65DE" w:rsidP="00CF65DE">
            <w:pPr>
              <w:tabs>
                <w:tab w:val="decimal" w:pos="789"/>
              </w:tabs>
              <w:jc w:val="left"/>
              <w:rPr>
                <w:b/>
                <w:bCs/>
                <w:color w:val="000000"/>
                <w:sz w:val="16"/>
                <w:szCs w:val="16"/>
              </w:rPr>
            </w:pPr>
            <w:r w:rsidRPr="009E6D43">
              <w:rPr>
                <w:b/>
                <w:bCs/>
                <w:color w:val="000000"/>
                <w:sz w:val="16"/>
                <w:szCs w:val="16"/>
              </w:rPr>
              <w:t xml:space="preserve"> 1 587 437</w:t>
            </w:r>
          </w:p>
        </w:tc>
        <w:tc>
          <w:tcPr>
            <w:tcW w:w="1016" w:type="dxa"/>
            <w:tcBorders>
              <w:top w:val="nil"/>
              <w:left w:val="nil"/>
              <w:bottom w:val="nil"/>
              <w:right w:val="single" w:sz="4" w:space="0" w:color="1F497D"/>
            </w:tcBorders>
            <w:shd w:val="clear" w:color="auto" w:fill="auto"/>
            <w:noWrap/>
            <w:vAlign w:val="center"/>
          </w:tcPr>
          <w:p w14:paraId="03CF2107" w14:textId="3D627D25" w:rsidR="00CF65DE" w:rsidRPr="009E6D43" w:rsidRDefault="00CF65DE" w:rsidP="00CF65DE">
            <w:pPr>
              <w:tabs>
                <w:tab w:val="decimal" w:pos="719"/>
              </w:tabs>
              <w:jc w:val="left"/>
              <w:rPr>
                <w:b/>
                <w:bCs/>
                <w:color w:val="000000"/>
                <w:sz w:val="16"/>
                <w:szCs w:val="16"/>
              </w:rPr>
            </w:pPr>
            <w:r w:rsidRPr="009E6D43">
              <w:rPr>
                <w:b/>
                <w:bCs/>
                <w:color w:val="000000"/>
                <w:sz w:val="16"/>
                <w:szCs w:val="16"/>
              </w:rPr>
              <w:t>-59 433</w:t>
            </w:r>
          </w:p>
        </w:tc>
        <w:tc>
          <w:tcPr>
            <w:tcW w:w="755" w:type="dxa"/>
            <w:tcBorders>
              <w:top w:val="nil"/>
              <w:left w:val="nil"/>
              <w:bottom w:val="nil"/>
              <w:right w:val="nil"/>
            </w:tcBorders>
            <w:shd w:val="clear" w:color="auto" w:fill="auto"/>
            <w:noWrap/>
            <w:vAlign w:val="center"/>
          </w:tcPr>
          <w:p w14:paraId="3C32C14A" w14:textId="541A1797" w:rsidR="00CF65DE" w:rsidRPr="009E6D43" w:rsidRDefault="00CF65DE" w:rsidP="00CF65DE">
            <w:pPr>
              <w:tabs>
                <w:tab w:val="decimal" w:pos="354"/>
              </w:tabs>
              <w:jc w:val="left"/>
              <w:rPr>
                <w:b/>
                <w:bCs/>
                <w:color w:val="000000"/>
                <w:sz w:val="16"/>
                <w:szCs w:val="16"/>
              </w:rPr>
            </w:pPr>
            <w:r w:rsidRPr="009E6D43">
              <w:rPr>
                <w:b/>
                <w:bCs/>
                <w:color w:val="000000"/>
                <w:sz w:val="16"/>
                <w:szCs w:val="16"/>
              </w:rPr>
              <w:t>100.0</w:t>
            </w:r>
          </w:p>
        </w:tc>
        <w:tc>
          <w:tcPr>
            <w:tcW w:w="755" w:type="dxa"/>
            <w:tcBorders>
              <w:top w:val="nil"/>
              <w:left w:val="nil"/>
              <w:bottom w:val="nil"/>
              <w:right w:val="nil"/>
            </w:tcBorders>
            <w:shd w:val="clear" w:color="auto" w:fill="auto"/>
            <w:noWrap/>
            <w:vAlign w:val="center"/>
          </w:tcPr>
          <w:p w14:paraId="022E131F" w14:textId="31A907CD" w:rsidR="00CF65DE" w:rsidRPr="009E6D43" w:rsidRDefault="00CF65DE" w:rsidP="00CF65DE">
            <w:pPr>
              <w:tabs>
                <w:tab w:val="decimal" w:pos="354"/>
              </w:tabs>
              <w:jc w:val="left"/>
              <w:rPr>
                <w:b/>
                <w:bCs/>
                <w:color w:val="000000"/>
                <w:sz w:val="16"/>
                <w:szCs w:val="16"/>
              </w:rPr>
            </w:pPr>
            <w:r w:rsidRPr="009E6D43">
              <w:rPr>
                <w:b/>
                <w:bCs/>
                <w:color w:val="000000"/>
                <w:sz w:val="16"/>
                <w:szCs w:val="16"/>
              </w:rPr>
              <w:t>100.0</w:t>
            </w:r>
          </w:p>
        </w:tc>
        <w:tc>
          <w:tcPr>
            <w:tcW w:w="1038" w:type="dxa"/>
            <w:tcBorders>
              <w:top w:val="nil"/>
              <w:left w:val="nil"/>
              <w:bottom w:val="nil"/>
              <w:right w:val="single" w:sz="4" w:space="0" w:color="1F497D"/>
            </w:tcBorders>
            <w:shd w:val="clear" w:color="auto" w:fill="auto"/>
            <w:noWrap/>
            <w:vAlign w:val="center"/>
          </w:tcPr>
          <w:p w14:paraId="3CA03A91" w14:textId="6F3E7CFA" w:rsidR="00CF65DE" w:rsidRPr="009E6D43" w:rsidRDefault="00CF65DE" w:rsidP="00CF65DE">
            <w:pPr>
              <w:tabs>
                <w:tab w:val="decimal" w:pos="402"/>
              </w:tabs>
              <w:jc w:val="left"/>
              <w:rPr>
                <w:color w:val="000000"/>
                <w:sz w:val="16"/>
                <w:szCs w:val="16"/>
              </w:rPr>
            </w:pPr>
            <w:r w:rsidRPr="009E6D43">
              <w:rPr>
                <w:color w:val="000000"/>
                <w:sz w:val="16"/>
                <w:szCs w:val="16"/>
              </w:rPr>
              <w:t> </w:t>
            </w:r>
          </w:p>
        </w:tc>
      </w:tr>
      <w:tr w:rsidR="00CF65DE" w:rsidRPr="009E6D43" w14:paraId="55E95871" w14:textId="77777777" w:rsidTr="00CF65DE">
        <w:trPr>
          <w:trHeight w:val="227"/>
          <w:jc w:val="center"/>
        </w:trPr>
        <w:tc>
          <w:tcPr>
            <w:tcW w:w="3664" w:type="dxa"/>
            <w:tcBorders>
              <w:top w:val="nil"/>
              <w:left w:val="single" w:sz="4" w:space="0" w:color="1F497D"/>
              <w:bottom w:val="nil"/>
              <w:right w:val="nil"/>
            </w:tcBorders>
            <w:shd w:val="clear" w:color="auto" w:fill="auto"/>
            <w:noWrap/>
            <w:vAlign w:val="center"/>
          </w:tcPr>
          <w:p w14:paraId="44BDADD1"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De 15 a 24 años</w:t>
            </w:r>
          </w:p>
        </w:tc>
        <w:tc>
          <w:tcPr>
            <w:tcW w:w="1082" w:type="dxa"/>
            <w:tcBorders>
              <w:top w:val="nil"/>
              <w:left w:val="single" w:sz="4" w:space="0" w:color="1F497D"/>
              <w:bottom w:val="nil"/>
              <w:right w:val="nil"/>
            </w:tcBorders>
            <w:shd w:val="clear" w:color="auto" w:fill="auto"/>
            <w:noWrap/>
            <w:vAlign w:val="center"/>
          </w:tcPr>
          <w:p w14:paraId="3BC1FC99" w14:textId="773B13D6" w:rsidR="00CF65DE" w:rsidRPr="009E6D43" w:rsidRDefault="00CF65DE" w:rsidP="00CF65DE">
            <w:pPr>
              <w:tabs>
                <w:tab w:val="decimal" w:pos="821"/>
              </w:tabs>
              <w:jc w:val="left"/>
              <w:rPr>
                <w:bCs/>
                <w:color w:val="000000"/>
                <w:sz w:val="16"/>
                <w:szCs w:val="16"/>
              </w:rPr>
            </w:pPr>
            <w:r w:rsidRPr="009E6D43">
              <w:rPr>
                <w:color w:val="000000"/>
                <w:sz w:val="16"/>
                <w:szCs w:val="16"/>
              </w:rPr>
              <w:t xml:space="preserve">  580 489</w:t>
            </w:r>
          </w:p>
        </w:tc>
        <w:tc>
          <w:tcPr>
            <w:tcW w:w="1082" w:type="dxa"/>
            <w:tcBorders>
              <w:top w:val="nil"/>
              <w:left w:val="nil"/>
              <w:bottom w:val="nil"/>
              <w:right w:val="nil"/>
            </w:tcBorders>
            <w:shd w:val="clear" w:color="auto" w:fill="auto"/>
            <w:noWrap/>
            <w:vAlign w:val="center"/>
          </w:tcPr>
          <w:p w14:paraId="1C0452F9" w14:textId="13F1FCE8" w:rsidR="00CF65DE" w:rsidRPr="009E6D43" w:rsidRDefault="00CF65DE" w:rsidP="00CF65DE">
            <w:pPr>
              <w:tabs>
                <w:tab w:val="decimal" w:pos="789"/>
              </w:tabs>
              <w:jc w:val="left"/>
              <w:rPr>
                <w:color w:val="000000"/>
                <w:sz w:val="16"/>
                <w:szCs w:val="16"/>
              </w:rPr>
            </w:pPr>
            <w:r w:rsidRPr="009E6D43">
              <w:rPr>
                <w:color w:val="000000"/>
                <w:sz w:val="16"/>
                <w:szCs w:val="16"/>
              </w:rPr>
              <w:t xml:space="preserve">  544 869</w:t>
            </w:r>
          </w:p>
        </w:tc>
        <w:tc>
          <w:tcPr>
            <w:tcW w:w="1016" w:type="dxa"/>
            <w:tcBorders>
              <w:top w:val="nil"/>
              <w:left w:val="nil"/>
              <w:bottom w:val="nil"/>
              <w:right w:val="single" w:sz="4" w:space="0" w:color="1F497D"/>
            </w:tcBorders>
            <w:shd w:val="clear" w:color="auto" w:fill="auto"/>
            <w:noWrap/>
            <w:vAlign w:val="center"/>
          </w:tcPr>
          <w:p w14:paraId="6CEFE8AE" w14:textId="5BDD927B" w:rsidR="00CF65DE" w:rsidRPr="009E6D43" w:rsidRDefault="00CF65DE" w:rsidP="00CF65DE">
            <w:pPr>
              <w:tabs>
                <w:tab w:val="decimal" w:pos="719"/>
              </w:tabs>
              <w:jc w:val="left"/>
              <w:rPr>
                <w:bCs/>
                <w:color w:val="000000"/>
                <w:sz w:val="16"/>
                <w:szCs w:val="16"/>
              </w:rPr>
            </w:pPr>
            <w:r w:rsidRPr="009E6D43">
              <w:rPr>
                <w:color w:val="000000"/>
                <w:sz w:val="16"/>
                <w:szCs w:val="16"/>
              </w:rPr>
              <w:t>-35 620</w:t>
            </w:r>
          </w:p>
        </w:tc>
        <w:tc>
          <w:tcPr>
            <w:tcW w:w="755" w:type="dxa"/>
            <w:tcBorders>
              <w:top w:val="nil"/>
              <w:left w:val="nil"/>
              <w:bottom w:val="nil"/>
              <w:right w:val="nil"/>
            </w:tcBorders>
            <w:shd w:val="clear" w:color="auto" w:fill="auto"/>
            <w:noWrap/>
            <w:vAlign w:val="center"/>
          </w:tcPr>
          <w:p w14:paraId="4ABE4D54" w14:textId="427BDBFA" w:rsidR="00CF65DE" w:rsidRPr="009E6D43" w:rsidRDefault="00CF65DE" w:rsidP="00CF65DE">
            <w:pPr>
              <w:tabs>
                <w:tab w:val="decimal" w:pos="354"/>
              </w:tabs>
              <w:jc w:val="left"/>
              <w:rPr>
                <w:bCs/>
                <w:color w:val="000000"/>
                <w:sz w:val="16"/>
                <w:szCs w:val="16"/>
              </w:rPr>
            </w:pPr>
            <w:r w:rsidRPr="009E6D43">
              <w:rPr>
                <w:color w:val="000000"/>
                <w:sz w:val="16"/>
                <w:szCs w:val="16"/>
              </w:rPr>
              <w:t>35.2</w:t>
            </w:r>
          </w:p>
        </w:tc>
        <w:tc>
          <w:tcPr>
            <w:tcW w:w="755" w:type="dxa"/>
            <w:tcBorders>
              <w:top w:val="nil"/>
              <w:left w:val="nil"/>
              <w:bottom w:val="nil"/>
              <w:right w:val="nil"/>
            </w:tcBorders>
            <w:shd w:val="clear" w:color="auto" w:fill="auto"/>
            <w:noWrap/>
            <w:vAlign w:val="center"/>
          </w:tcPr>
          <w:p w14:paraId="01A95B92" w14:textId="7A416A56" w:rsidR="00CF65DE" w:rsidRPr="009E6D43" w:rsidRDefault="00CF65DE" w:rsidP="00CF65DE">
            <w:pPr>
              <w:tabs>
                <w:tab w:val="decimal" w:pos="354"/>
              </w:tabs>
              <w:jc w:val="left"/>
              <w:rPr>
                <w:bCs/>
                <w:color w:val="000000"/>
                <w:sz w:val="16"/>
                <w:szCs w:val="16"/>
              </w:rPr>
            </w:pPr>
            <w:r w:rsidRPr="009E6D43">
              <w:rPr>
                <w:color w:val="000000"/>
                <w:sz w:val="16"/>
                <w:szCs w:val="16"/>
              </w:rPr>
              <w:t>34.3</w:t>
            </w:r>
          </w:p>
        </w:tc>
        <w:tc>
          <w:tcPr>
            <w:tcW w:w="1038" w:type="dxa"/>
            <w:tcBorders>
              <w:top w:val="nil"/>
              <w:left w:val="nil"/>
              <w:bottom w:val="nil"/>
              <w:right w:val="single" w:sz="4" w:space="0" w:color="1F497D"/>
            </w:tcBorders>
            <w:shd w:val="clear" w:color="auto" w:fill="auto"/>
            <w:noWrap/>
            <w:vAlign w:val="center"/>
          </w:tcPr>
          <w:p w14:paraId="592AB186" w14:textId="26B39C2B" w:rsidR="00CF65DE" w:rsidRPr="009E6D43" w:rsidRDefault="00CF65DE" w:rsidP="00CF65DE">
            <w:pPr>
              <w:tabs>
                <w:tab w:val="decimal" w:pos="402"/>
              </w:tabs>
              <w:jc w:val="left"/>
              <w:rPr>
                <w:color w:val="000000"/>
                <w:sz w:val="16"/>
                <w:szCs w:val="16"/>
              </w:rPr>
            </w:pPr>
            <w:r w:rsidRPr="009E6D43">
              <w:rPr>
                <w:color w:val="000000"/>
                <w:sz w:val="16"/>
                <w:szCs w:val="16"/>
              </w:rPr>
              <w:t>-0.9</w:t>
            </w:r>
          </w:p>
        </w:tc>
      </w:tr>
      <w:tr w:rsidR="00CF65DE" w:rsidRPr="009E6D43" w14:paraId="249F4244" w14:textId="77777777" w:rsidTr="00CF65DE">
        <w:trPr>
          <w:trHeight w:val="227"/>
          <w:jc w:val="center"/>
        </w:trPr>
        <w:tc>
          <w:tcPr>
            <w:tcW w:w="3664" w:type="dxa"/>
            <w:tcBorders>
              <w:top w:val="nil"/>
              <w:left w:val="single" w:sz="4" w:space="0" w:color="1F497D"/>
              <w:bottom w:val="nil"/>
              <w:right w:val="nil"/>
            </w:tcBorders>
            <w:shd w:val="clear" w:color="auto" w:fill="auto"/>
            <w:noWrap/>
            <w:vAlign w:val="center"/>
          </w:tcPr>
          <w:p w14:paraId="73F2C888"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De 25 a 44 años</w:t>
            </w:r>
          </w:p>
        </w:tc>
        <w:tc>
          <w:tcPr>
            <w:tcW w:w="1082" w:type="dxa"/>
            <w:tcBorders>
              <w:top w:val="nil"/>
              <w:left w:val="single" w:sz="4" w:space="0" w:color="1F497D"/>
              <w:bottom w:val="nil"/>
              <w:right w:val="nil"/>
            </w:tcBorders>
            <w:shd w:val="clear" w:color="auto" w:fill="auto"/>
            <w:noWrap/>
            <w:vAlign w:val="center"/>
          </w:tcPr>
          <w:p w14:paraId="4403EF4F" w14:textId="2F37DE42" w:rsidR="00CF65DE" w:rsidRPr="009E6D43" w:rsidRDefault="00CF65DE" w:rsidP="00CF65DE">
            <w:pPr>
              <w:tabs>
                <w:tab w:val="decimal" w:pos="821"/>
              </w:tabs>
              <w:jc w:val="left"/>
              <w:rPr>
                <w:bCs/>
                <w:color w:val="000000"/>
                <w:sz w:val="16"/>
                <w:szCs w:val="16"/>
              </w:rPr>
            </w:pPr>
            <w:r w:rsidRPr="009E6D43">
              <w:rPr>
                <w:color w:val="000000"/>
                <w:sz w:val="16"/>
                <w:szCs w:val="16"/>
              </w:rPr>
              <w:t xml:space="preserve">  750 723</w:t>
            </w:r>
          </w:p>
        </w:tc>
        <w:tc>
          <w:tcPr>
            <w:tcW w:w="1082" w:type="dxa"/>
            <w:tcBorders>
              <w:top w:val="nil"/>
              <w:left w:val="nil"/>
              <w:bottom w:val="nil"/>
              <w:right w:val="nil"/>
            </w:tcBorders>
            <w:shd w:val="clear" w:color="auto" w:fill="auto"/>
            <w:noWrap/>
            <w:vAlign w:val="center"/>
          </w:tcPr>
          <w:p w14:paraId="660084BC" w14:textId="41E7ACA6" w:rsidR="00CF65DE" w:rsidRPr="009E6D43" w:rsidRDefault="00CF65DE" w:rsidP="00CF65DE">
            <w:pPr>
              <w:tabs>
                <w:tab w:val="decimal" w:pos="789"/>
              </w:tabs>
              <w:jc w:val="left"/>
              <w:rPr>
                <w:color w:val="000000"/>
                <w:sz w:val="16"/>
                <w:szCs w:val="16"/>
              </w:rPr>
            </w:pPr>
            <w:r w:rsidRPr="009E6D43">
              <w:rPr>
                <w:color w:val="000000"/>
                <w:sz w:val="16"/>
                <w:szCs w:val="16"/>
              </w:rPr>
              <w:t xml:space="preserve">  700 167</w:t>
            </w:r>
          </w:p>
        </w:tc>
        <w:tc>
          <w:tcPr>
            <w:tcW w:w="1016" w:type="dxa"/>
            <w:tcBorders>
              <w:top w:val="nil"/>
              <w:left w:val="nil"/>
              <w:bottom w:val="nil"/>
              <w:right w:val="single" w:sz="4" w:space="0" w:color="1F497D"/>
            </w:tcBorders>
            <w:shd w:val="clear" w:color="auto" w:fill="auto"/>
            <w:noWrap/>
            <w:vAlign w:val="center"/>
          </w:tcPr>
          <w:p w14:paraId="3CF114BC" w14:textId="2BBE3837" w:rsidR="00CF65DE" w:rsidRPr="009E6D43" w:rsidRDefault="00CF65DE" w:rsidP="00CF65DE">
            <w:pPr>
              <w:tabs>
                <w:tab w:val="decimal" w:pos="719"/>
              </w:tabs>
              <w:jc w:val="left"/>
              <w:rPr>
                <w:bCs/>
                <w:color w:val="000000"/>
                <w:sz w:val="16"/>
                <w:szCs w:val="16"/>
              </w:rPr>
            </w:pPr>
            <w:r w:rsidRPr="009E6D43">
              <w:rPr>
                <w:color w:val="000000"/>
                <w:sz w:val="16"/>
                <w:szCs w:val="16"/>
              </w:rPr>
              <w:t>-50 556</w:t>
            </w:r>
          </w:p>
        </w:tc>
        <w:tc>
          <w:tcPr>
            <w:tcW w:w="755" w:type="dxa"/>
            <w:tcBorders>
              <w:top w:val="nil"/>
              <w:left w:val="nil"/>
              <w:bottom w:val="nil"/>
              <w:right w:val="nil"/>
            </w:tcBorders>
            <w:shd w:val="clear" w:color="auto" w:fill="auto"/>
            <w:noWrap/>
            <w:vAlign w:val="center"/>
          </w:tcPr>
          <w:p w14:paraId="07B5547B" w14:textId="1E1D9493" w:rsidR="00CF65DE" w:rsidRPr="009E6D43" w:rsidRDefault="00CF65DE" w:rsidP="00CF65DE">
            <w:pPr>
              <w:tabs>
                <w:tab w:val="decimal" w:pos="354"/>
              </w:tabs>
              <w:jc w:val="left"/>
              <w:rPr>
                <w:bCs/>
                <w:color w:val="000000"/>
                <w:sz w:val="16"/>
                <w:szCs w:val="16"/>
              </w:rPr>
            </w:pPr>
            <w:r w:rsidRPr="009E6D43">
              <w:rPr>
                <w:color w:val="000000"/>
                <w:sz w:val="16"/>
                <w:szCs w:val="16"/>
              </w:rPr>
              <w:t>45.6</w:t>
            </w:r>
          </w:p>
        </w:tc>
        <w:tc>
          <w:tcPr>
            <w:tcW w:w="755" w:type="dxa"/>
            <w:tcBorders>
              <w:top w:val="nil"/>
              <w:left w:val="nil"/>
              <w:bottom w:val="nil"/>
              <w:right w:val="nil"/>
            </w:tcBorders>
            <w:shd w:val="clear" w:color="auto" w:fill="auto"/>
            <w:noWrap/>
            <w:vAlign w:val="center"/>
          </w:tcPr>
          <w:p w14:paraId="5276A08A" w14:textId="06EDC384" w:rsidR="00CF65DE" w:rsidRPr="009E6D43" w:rsidRDefault="00CF65DE" w:rsidP="00CF65DE">
            <w:pPr>
              <w:tabs>
                <w:tab w:val="decimal" w:pos="354"/>
              </w:tabs>
              <w:jc w:val="left"/>
              <w:rPr>
                <w:bCs/>
                <w:color w:val="000000"/>
                <w:sz w:val="16"/>
                <w:szCs w:val="16"/>
              </w:rPr>
            </w:pPr>
            <w:r w:rsidRPr="009E6D43">
              <w:rPr>
                <w:color w:val="000000"/>
                <w:sz w:val="16"/>
                <w:szCs w:val="16"/>
              </w:rPr>
              <w:t>44.1</w:t>
            </w:r>
          </w:p>
        </w:tc>
        <w:tc>
          <w:tcPr>
            <w:tcW w:w="1038" w:type="dxa"/>
            <w:tcBorders>
              <w:top w:val="nil"/>
              <w:left w:val="nil"/>
              <w:bottom w:val="nil"/>
              <w:right w:val="single" w:sz="4" w:space="0" w:color="1F497D"/>
            </w:tcBorders>
            <w:shd w:val="clear" w:color="auto" w:fill="auto"/>
            <w:noWrap/>
            <w:vAlign w:val="center"/>
          </w:tcPr>
          <w:p w14:paraId="2BF9AE44" w14:textId="3F721064" w:rsidR="00CF65DE" w:rsidRPr="009E6D43" w:rsidRDefault="00CF65DE" w:rsidP="00CF65DE">
            <w:pPr>
              <w:tabs>
                <w:tab w:val="decimal" w:pos="402"/>
              </w:tabs>
              <w:jc w:val="left"/>
              <w:rPr>
                <w:color w:val="000000"/>
                <w:sz w:val="16"/>
                <w:szCs w:val="16"/>
              </w:rPr>
            </w:pPr>
            <w:r w:rsidRPr="009E6D43">
              <w:rPr>
                <w:color w:val="000000"/>
                <w:sz w:val="16"/>
                <w:szCs w:val="16"/>
              </w:rPr>
              <w:t>-1.5</w:t>
            </w:r>
          </w:p>
        </w:tc>
      </w:tr>
      <w:tr w:rsidR="00CF65DE" w:rsidRPr="009E6D43" w14:paraId="544070D7" w14:textId="77777777" w:rsidTr="00CF65DE">
        <w:trPr>
          <w:trHeight w:val="227"/>
          <w:jc w:val="center"/>
        </w:trPr>
        <w:tc>
          <w:tcPr>
            <w:tcW w:w="3664" w:type="dxa"/>
            <w:tcBorders>
              <w:top w:val="nil"/>
              <w:left w:val="single" w:sz="4" w:space="0" w:color="1F497D"/>
              <w:bottom w:val="nil"/>
              <w:right w:val="nil"/>
            </w:tcBorders>
            <w:shd w:val="clear" w:color="auto" w:fill="auto"/>
            <w:noWrap/>
            <w:vAlign w:val="center"/>
          </w:tcPr>
          <w:p w14:paraId="0CBE0332"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De 45 a 64 años</w:t>
            </w:r>
          </w:p>
        </w:tc>
        <w:tc>
          <w:tcPr>
            <w:tcW w:w="1082" w:type="dxa"/>
            <w:tcBorders>
              <w:top w:val="nil"/>
              <w:left w:val="single" w:sz="4" w:space="0" w:color="1F497D"/>
              <w:bottom w:val="nil"/>
              <w:right w:val="nil"/>
            </w:tcBorders>
            <w:shd w:val="clear" w:color="auto" w:fill="auto"/>
            <w:noWrap/>
            <w:vAlign w:val="center"/>
          </w:tcPr>
          <w:p w14:paraId="708D5C7E" w14:textId="0C2A531B" w:rsidR="00CF65DE" w:rsidRPr="009E6D43" w:rsidRDefault="00CF65DE" w:rsidP="00CF65DE">
            <w:pPr>
              <w:tabs>
                <w:tab w:val="decimal" w:pos="821"/>
              </w:tabs>
              <w:jc w:val="left"/>
              <w:rPr>
                <w:bCs/>
                <w:color w:val="000000"/>
                <w:sz w:val="16"/>
                <w:szCs w:val="16"/>
              </w:rPr>
            </w:pPr>
            <w:r w:rsidRPr="009E6D43">
              <w:rPr>
                <w:color w:val="000000"/>
                <w:sz w:val="16"/>
                <w:szCs w:val="16"/>
              </w:rPr>
              <w:t xml:space="preserve">  292 797</w:t>
            </w:r>
          </w:p>
        </w:tc>
        <w:tc>
          <w:tcPr>
            <w:tcW w:w="1082" w:type="dxa"/>
            <w:tcBorders>
              <w:top w:val="nil"/>
              <w:left w:val="nil"/>
              <w:bottom w:val="nil"/>
              <w:right w:val="nil"/>
            </w:tcBorders>
            <w:shd w:val="clear" w:color="auto" w:fill="auto"/>
            <w:noWrap/>
            <w:vAlign w:val="center"/>
          </w:tcPr>
          <w:p w14:paraId="7A224AFA" w14:textId="28DDAF9A" w:rsidR="00CF65DE" w:rsidRPr="009E6D43" w:rsidRDefault="00CF65DE" w:rsidP="00CF65DE">
            <w:pPr>
              <w:tabs>
                <w:tab w:val="decimal" w:pos="789"/>
              </w:tabs>
              <w:jc w:val="left"/>
              <w:rPr>
                <w:color w:val="000000"/>
                <w:sz w:val="16"/>
                <w:szCs w:val="16"/>
              </w:rPr>
            </w:pPr>
            <w:r w:rsidRPr="009E6D43">
              <w:rPr>
                <w:color w:val="000000"/>
                <w:sz w:val="16"/>
                <w:szCs w:val="16"/>
              </w:rPr>
              <w:t xml:space="preserve">  329 358</w:t>
            </w:r>
          </w:p>
        </w:tc>
        <w:tc>
          <w:tcPr>
            <w:tcW w:w="1016" w:type="dxa"/>
            <w:tcBorders>
              <w:top w:val="nil"/>
              <w:left w:val="nil"/>
              <w:bottom w:val="nil"/>
              <w:right w:val="single" w:sz="4" w:space="0" w:color="1F497D"/>
            </w:tcBorders>
            <w:shd w:val="clear" w:color="auto" w:fill="auto"/>
            <w:noWrap/>
            <w:vAlign w:val="center"/>
          </w:tcPr>
          <w:p w14:paraId="10A346BE" w14:textId="1D2EB620" w:rsidR="00CF65DE" w:rsidRPr="009E6D43" w:rsidRDefault="00CF65DE" w:rsidP="00CF65DE">
            <w:pPr>
              <w:tabs>
                <w:tab w:val="decimal" w:pos="719"/>
              </w:tabs>
              <w:jc w:val="left"/>
              <w:rPr>
                <w:bCs/>
                <w:color w:val="000000"/>
                <w:sz w:val="16"/>
                <w:szCs w:val="16"/>
              </w:rPr>
            </w:pPr>
            <w:r w:rsidRPr="009E6D43">
              <w:rPr>
                <w:color w:val="000000"/>
                <w:sz w:val="16"/>
                <w:szCs w:val="16"/>
              </w:rPr>
              <w:t>36 561</w:t>
            </w:r>
          </w:p>
        </w:tc>
        <w:tc>
          <w:tcPr>
            <w:tcW w:w="755" w:type="dxa"/>
            <w:tcBorders>
              <w:top w:val="nil"/>
              <w:left w:val="nil"/>
              <w:bottom w:val="nil"/>
              <w:right w:val="nil"/>
            </w:tcBorders>
            <w:shd w:val="clear" w:color="auto" w:fill="auto"/>
            <w:noWrap/>
            <w:vAlign w:val="center"/>
          </w:tcPr>
          <w:p w14:paraId="62DDAC7B" w14:textId="3C309F03" w:rsidR="00CF65DE" w:rsidRPr="009E6D43" w:rsidRDefault="00CF65DE" w:rsidP="00CF65DE">
            <w:pPr>
              <w:tabs>
                <w:tab w:val="decimal" w:pos="354"/>
              </w:tabs>
              <w:jc w:val="left"/>
              <w:rPr>
                <w:bCs/>
                <w:color w:val="000000"/>
                <w:sz w:val="16"/>
                <w:szCs w:val="16"/>
              </w:rPr>
            </w:pPr>
            <w:r w:rsidRPr="009E6D43">
              <w:rPr>
                <w:color w:val="000000"/>
                <w:sz w:val="16"/>
                <w:szCs w:val="16"/>
              </w:rPr>
              <w:t>17.8</w:t>
            </w:r>
          </w:p>
        </w:tc>
        <w:tc>
          <w:tcPr>
            <w:tcW w:w="755" w:type="dxa"/>
            <w:tcBorders>
              <w:top w:val="nil"/>
              <w:left w:val="nil"/>
              <w:bottom w:val="nil"/>
              <w:right w:val="nil"/>
            </w:tcBorders>
            <w:shd w:val="clear" w:color="auto" w:fill="auto"/>
            <w:noWrap/>
            <w:vAlign w:val="center"/>
          </w:tcPr>
          <w:p w14:paraId="6D2ED322" w14:textId="2DEBD105" w:rsidR="00CF65DE" w:rsidRPr="009E6D43" w:rsidRDefault="00CF65DE" w:rsidP="00CF65DE">
            <w:pPr>
              <w:tabs>
                <w:tab w:val="decimal" w:pos="354"/>
              </w:tabs>
              <w:jc w:val="left"/>
              <w:rPr>
                <w:bCs/>
                <w:color w:val="000000"/>
                <w:sz w:val="16"/>
                <w:szCs w:val="16"/>
              </w:rPr>
            </w:pPr>
            <w:r w:rsidRPr="009E6D43">
              <w:rPr>
                <w:color w:val="000000"/>
                <w:sz w:val="16"/>
                <w:szCs w:val="16"/>
              </w:rPr>
              <w:t>20.7</w:t>
            </w:r>
          </w:p>
        </w:tc>
        <w:tc>
          <w:tcPr>
            <w:tcW w:w="1038" w:type="dxa"/>
            <w:tcBorders>
              <w:top w:val="nil"/>
              <w:left w:val="nil"/>
              <w:bottom w:val="nil"/>
              <w:right w:val="single" w:sz="4" w:space="0" w:color="1F497D"/>
            </w:tcBorders>
            <w:shd w:val="clear" w:color="auto" w:fill="auto"/>
            <w:noWrap/>
            <w:vAlign w:val="center"/>
          </w:tcPr>
          <w:p w14:paraId="3866A122" w14:textId="05446621" w:rsidR="00CF65DE" w:rsidRPr="009E6D43" w:rsidRDefault="00CF65DE" w:rsidP="00CF65DE">
            <w:pPr>
              <w:tabs>
                <w:tab w:val="decimal" w:pos="402"/>
              </w:tabs>
              <w:jc w:val="left"/>
              <w:rPr>
                <w:color w:val="000000"/>
                <w:sz w:val="16"/>
                <w:szCs w:val="16"/>
              </w:rPr>
            </w:pPr>
            <w:r w:rsidRPr="009E6D43">
              <w:rPr>
                <w:color w:val="000000"/>
                <w:sz w:val="16"/>
                <w:szCs w:val="16"/>
              </w:rPr>
              <w:t>3.0</w:t>
            </w:r>
          </w:p>
        </w:tc>
      </w:tr>
      <w:tr w:rsidR="00CF65DE" w:rsidRPr="009E6D43" w14:paraId="61382C2F" w14:textId="77777777" w:rsidTr="00CF65DE">
        <w:trPr>
          <w:trHeight w:val="227"/>
          <w:jc w:val="center"/>
        </w:trPr>
        <w:tc>
          <w:tcPr>
            <w:tcW w:w="3664" w:type="dxa"/>
            <w:tcBorders>
              <w:top w:val="nil"/>
              <w:left w:val="single" w:sz="4" w:space="0" w:color="1F497D"/>
              <w:bottom w:val="nil"/>
              <w:right w:val="nil"/>
            </w:tcBorders>
            <w:shd w:val="clear" w:color="auto" w:fill="auto"/>
            <w:noWrap/>
            <w:vAlign w:val="center"/>
          </w:tcPr>
          <w:p w14:paraId="4735B9A1"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De 65 años y más</w:t>
            </w:r>
          </w:p>
        </w:tc>
        <w:tc>
          <w:tcPr>
            <w:tcW w:w="1082" w:type="dxa"/>
            <w:tcBorders>
              <w:top w:val="nil"/>
              <w:left w:val="single" w:sz="4" w:space="0" w:color="1F497D"/>
              <w:bottom w:val="nil"/>
              <w:right w:val="nil"/>
            </w:tcBorders>
            <w:shd w:val="clear" w:color="auto" w:fill="auto"/>
            <w:noWrap/>
            <w:vAlign w:val="center"/>
          </w:tcPr>
          <w:p w14:paraId="731F20F0" w14:textId="493602DA" w:rsidR="00CF65DE" w:rsidRPr="009E6D43" w:rsidRDefault="00CF65DE" w:rsidP="00CF65DE">
            <w:pPr>
              <w:tabs>
                <w:tab w:val="decimal" w:pos="821"/>
              </w:tabs>
              <w:jc w:val="left"/>
              <w:rPr>
                <w:bCs/>
                <w:color w:val="000000"/>
                <w:sz w:val="16"/>
                <w:szCs w:val="16"/>
              </w:rPr>
            </w:pPr>
            <w:r w:rsidRPr="009E6D43">
              <w:rPr>
                <w:color w:val="000000"/>
                <w:sz w:val="16"/>
                <w:szCs w:val="16"/>
              </w:rPr>
              <w:t xml:space="preserve">  22 300</w:t>
            </w:r>
          </w:p>
        </w:tc>
        <w:tc>
          <w:tcPr>
            <w:tcW w:w="1082" w:type="dxa"/>
            <w:tcBorders>
              <w:top w:val="nil"/>
              <w:left w:val="nil"/>
              <w:bottom w:val="nil"/>
              <w:right w:val="nil"/>
            </w:tcBorders>
            <w:shd w:val="clear" w:color="auto" w:fill="auto"/>
            <w:noWrap/>
            <w:vAlign w:val="center"/>
          </w:tcPr>
          <w:p w14:paraId="0C3F9406" w14:textId="1775F414" w:rsidR="00CF65DE" w:rsidRPr="009E6D43" w:rsidRDefault="00CF65DE" w:rsidP="00CF65DE">
            <w:pPr>
              <w:tabs>
                <w:tab w:val="decimal" w:pos="789"/>
              </w:tabs>
              <w:jc w:val="left"/>
              <w:rPr>
                <w:color w:val="000000"/>
                <w:sz w:val="16"/>
                <w:szCs w:val="16"/>
              </w:rPr>
            </w:pPr>
            <w:r w:rsidRPr="009E6D43">
              <w:rPr>
                <w:color w:val="000000"/>
                <w:sz w:val="16"/>
                <w:szCs w:val="16"/>
              </w:rPr>
              <w:t xml:space="preserve">  12 470</w:t>
            </w:r>
          </w:p>
        </w:tc>
        <w:tc>
          <w:tcPr>
            <w:tcW w:w="1016" w:type="dxa"/>
            <w:tcBorders>
              <w:top w:val="nil"/>
              <w:left w:val="nil"/>
              <w:bottom w:val="nil"/>
              <w:right w:val="single" w:sz="4" w:space="0" w:color="1F497D"/>
            </w:tcBorders>
            <w:shd w:val="clear" w:color="auto" w:fill="auto"/>
            <w:noWrap/>
            <w:vAlign w:val="center"/>
          </w:tcPr>
          <w:p w14:paraId="7E1E4EF7" w14:textId="53EF2754" w:rsidR="00CF65DE" w:rsidRPr="009E6D43" w:rsidRDefault="00CF65DE" w:rsidP="00CF65DE">
            <w:pPr>
              <w:tabs>
                <w:tab w:val="decimal" w:pos="719"/>
              </w:tabs>
              <w:jc w:val="left"/>
              <w:rPr>
                <w:bCs/>
                <w:color w:val="000000"/>
                <w:sz w:val="16"/>
                <w:szCs w:val="16"/>
              </w:rPr>
            </w:pPr>
            <w:r w:rsidRPr="009E6D43">
              <w:rPr>
                <w:color w:val="000000"/>
                <w:sz w:val="16"/>
                <w:szCs w:val="16"/>
              </w:rPr>
              <w:t>-9 830</w:t>
            </w:r>
          </w:p>
        </w:tc>
        <w:tc>
          <w:tcPr>
            <w:tcW w:w="755" w:type="dxa"/>
            <w:tcBorders>
              <w:top w:val="nil"/>
              <w:left w:val="nil"/>
              <w:bottom w:val="nil"/>
              <w:right w:val="nil"/>
            </w:tcBorders>
            <w:shd w:val="clear" w:color="auto" w:fill="auto"/>
            <w:noWrap/>
            <w:vAlign w:val="center"/>
          </w:tcPr>
          <w:p w14:paraId="6BC8610C" w14:textId="4B1B31A0" w:rsidR="00CF65DE" w:rsidRPr="009E6D43" w:rsidRDefault="00CF65DE" w:rsidP="00CF65DE">
            <w:pPr>
              <w:tabs>
                <w:tab w:val="decimal" w:pos="354"/>
              </w:tabs>
              <w:jc w:val="left"/>
              <w:rPr>
                <w:bCs/>
                <w:color w:val="000000"/>
                <w:sz w:val="16"/>
                <w:szCs w:val="16"/>
              </w:rPr>
            </w:pPr>
            <w:r w:rsidRPr="009E6D43">
              <w:rPr>
                <w:color w:val="000000"/>
                <w:sz w:val="16"/>
                <w:szCs w:val="16"/>
              </w:rPr>
              <w:t>1.4</w:t>
            </w:r>
          </w:p>
        </w:tc>
        <w:tc>
          <w:tcPr>
            <w:tcW w:w="755" w:type="dxa"/>
            <w:tcBorders>
              <w:top w:val="nil"/>
              <w:left w:val="nil"/>
              <w:bottom w:val="nil"/>
              <w:right w:val="nil"/>
            </w:tcBorders>
            <w:shd w:val="clear" w:color="auto" w:fill="auto"/>
            <w:noWrap/>
            <w:vAlign w:val="center"/>
          </w:tcPr>
          <w:p w14:paraId="01400B5D" w14:textId="092038C5" w:rsidR="00CF65DE" w:rsidRPr="009E6D43" w:rsidRDefault="00CF65DE" w:rsidP="00CF65DE">
            <w:pPr>
              <w:tabs>
                <w:tab w:val="decimal" w:pos="354"/>
              </w:tabs>
              <w:jc w:val="left"/>
              <w:rPr>
                <w:bCs/>
                <w:color w:val="000000"/>
                <w:sz w:val="16"/>
                <w:szCs w:val="16"/>
              </w:rPr>
            </w:pPr>
            <w:r w:rsidRPr="009E6D43">
              <w:rPr>
                <w:color w:val="000000"/>
                <w:sz w:val="16"/>
                <w:szCs w:val="16"/>
              </w:rPr>
              <w:t>0.8</w:t>
            </w:r>
          </w:p>
        </w:tc>
        <w:tc>
          <w:tcPr>
            <w:tcW w:w="1038" w:type="dxa"/>
            <w:tcBorders>
              <w:top w:val="nil"/>
              <w:left w:val="nil"/>
              <w:bottom w:val="nil"/>
              <w:right w:val="single" w:sz="4" w:space="0" w:color="1F497D"/>
            </w:tcBorders>
            <w:shd w:val="clear" w:color="auto" w:fill="auto"/>
            <w:noWrap/>
            <w:vAlign w:val="center"/>
          </w:tcPr>
          <w:p w14:paraId="1100A7F5" w14:textId="783D3326" w:rsidR="00CF65DE" w:rsidRPr="009E6D43" w:rsidRDefault="00CF65DE" w:rsidP="00CF65DE">
            <w:pPr>
              <w:tabs>
                <w:tab w:val="decimal" w:pos="402"/>
              </w:tabs>
              <w:jc w:val="left"/>
              <w:rPr>
                <w:color w:val="000000"/>
                <w:sz w:val="16"/>
                <w:szCs w:val="16"/>
              </w:rPr>
            </w:pPr>
            <w:r w:rsidRPr="009E6D43">
              <w:rPr>
                <w:color w:val="000000"/>
                <w:sz w:val="16"/>
                <w:szCs w:val="16"/>
              </w:rPr>
              <w:t>-0.6</w:t>
            </w:r>
          </w:p>
        </w:tc>
      </w:tr>
      <w:tr w:rsidR="00CF65DE" w:rsidRPr="009E6D43" w14:paraId="16979B4D" w14:textId="77777777" w:rsidTr="00CF65DE">
        <w:trPr>
          <w:trHeight w:val="227"/>
          <w:jc w:val="center"/>
        </w:trPr>
        <w:tc>
          <w:tcPr>
            <w:tcW w:w="3664" w:type="dxa"/>
            <w:tcBorders>
              <w:top w:val="nil"/>
              <w:left w:val="single" w:sz="4" w:space="0" w:color="1F497D"/>
              <w:bottom w:val="nil"/>
              <w:right w:val="nil"/>
            </w:tcBorders>
            <w:shd w:val="clear" w:color="auto" w:fill="auto"/>
            <w:noWrap/>
            <w:vAlign w:val="center"/>
          </w:tcPr>
          <w:p w14:paraId="4303E5AC"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No especificado</w:t>
            </w:r>
          </w:p>
        </w:tc>
        <w:tc>
          <w:tcPr>
            <w:tcW w:w="1082" w:type="dxa"/>
            <w:tcBorders>
              <w:top w:val="nil"/>
              <w:left w:val="single" w:sz="4" w:space="0" w:color="1F497D"/>
              <w:bottom w:val="nil"/>
              <w:right w:val="nil"/>
            </w:tcBorders>
            <w:shd w:val="clear" w:color="auto" w:fill="auto"/>
            <w:noWrap/>
            <w:vAlign w:val="center"/>
          </w:tcPr>
          <w:p w14:paraId="078ECA82" w14:textId="5B14922E" w:rsidR="00CF65DE" w:rsidRPr="009E6D43" w:rsidRDefault="00CF65DE" w:rsidP="00CF65DE">
            <w:pPr>
              <w:tabs>
                <w:tab w:val="decimal" w:pos="935"/>
              </w:tabs>
              <w:jc w:val="left"/>
              <w:rPr>
                <w:bCs/>
                <w:color w:val="000000"/>
                <w:sz w:val="16"/>
                <w:szCs w:val="16"/>
              </w:rPr>
            </w:pPr>
            <w:r w:rsidRPr="009E6D43">
              <w:rPr>
                <w:color w:val="000000"/>
                <w:sz w:val="16"/>
                <w:szCs w:val="16"/>
              </w:rPr>
              <w:t xml:space="preserve">   561</w:t>
            </w:r>
          </w:p>
        </w:tc>
        <w:tc>
          <w:tcPr>
            <w:tcW w:w="1082" w:type="dxa"/>
            <w:tcBorders>
              <w:top w:val="nil"/>
              <w:left w:val="nil"/>
              <w:bottom w:val="nil"/>
              <w:right w:val="nil"/>
            </w:tcBorders>
            <w:shd w:val="clear" w:color="auto" w:fill="auto"/>
            <w:noWrap/>
            <w:vAlign w:val="center"/>
          </w:tcPr>
          <w:p w14:paraId="0BFB9A99" w14:textId="00FF7490" w:rsidR="00CF65DE" w:rsidRPr="009E6D43" w:rsidRDefault="00CF65DE" w:rsidP="00CF65DE">
            <w:pPr>
              <w:tabs>
                <w:tab w:val="decimal" w:pos="935"/>
              </w:tabs>
              <w:jc w:val="left"/>
              <w:rPr>
                <w:color w:val="000000"/>
                <w:sz w:val="16"/>
                <w:szCs w:val="16"/>
              </w:rPr>
            </w:pPr>
            <w:r w:rsidRPr="009E6D43">
              <w:rPr>
                <w:color w:val="000000"/>
                <w:sz w:val="16"/>
                <w:szCs w:val="16"/>
              </w:rPr>
              <w:t xml:space="preserve">   573</w:t>
            </w:r>
          </w:p>
        </w:tc>
        <w:tc>
          <w:tcPr>
            <w:tcW w:w="1016" w:type="dxa"/>
            <w:tcBorders>
              <w:top w:val="nil"/>
              <w:left w:val="nil"/>
              <w:bottom w:val="nil"/>
              <w:right w:val="single" w:sz="4" w:space="0" w:color="1F497D"/>
            </w:tcBorders>
            <w:shd w:val="clear" w:color="auto" w:fill="auto"/>
            <w:noWrap/>
            <w:vAlign w:val="center"/>
          </w:tcPr>
          <w:p w14:paraId="4E6689FE" w14:textId="6482620E" w:rsidR="00CF65DE" w:rsidRPr="009E6D43" w:rsidRDefault="00CF65DE" w:rsidP="001721E5">
            <w:pPr>
              <w:tabs>
                <w:tab w:val="decimal" w:pos="839"/>
              </w:tabs>
              <w:jc w:val="right"/>
              <w:rPr>
                <w:bCs/>
                <w:color w:val="000000"/>
                <w:sz w:val="16"/>
                <w:szCs w:val="16"/>
              </w:rPr>
            </w:pPr>
            <w:r w:rsidRPr="009E6D43">
              <w:rPr>
                <w:color w:val="000000"/>
                <w:sz w:val="16"/>
                <w:szCs w:val="16"/>
              </w:rPr>
              <w:t xml:space="preserve"> </w:t>
            </w:r>
            <w:r w:rsidR="001721E5" w:rsidRPr="009E6D43">
              <w:rPr>
                <w:color w:val="000000"/>
                <w:sz w:val="16"/>
                <w:szCs w:val="16"/>
              </w:rPr>
              <w:t xml:space="preserve"> </w:t>
            </w:r>
            <w:r w:rsidRPr="009E6D43">
              <w:rPr>
                <w:color w:val="000000"/>
                <w:sz w:val="16"/>
                <w:szCs w:val="16"/>
              </w:rPr>
              <w:t>12</w:t>
            </w:r>
          </w:p>
        </w:tc>
        <w:tc>
          <w:tcPr>
            <w:tcW w:w="755" w:type="dxa"/>
            <w:tcBorders>
              <w:top w:val="nil"/>
              <w:left w:val="nil"/>
              <w:bottom w:val="nil"/>
              <w:right w:val="nil"/>
            </w:tcBorders>
            <w:shd w:val="clear" w:color="auto" w:fill="auto"/>
            <w:noWrap/>
            <w:vAlign w:val="center"/>
          </w:tcPr>
          <w:p w14:paraId="4EC8A7C5" w14:textId="1255C63F" w:rsidR="00CF65DE" w:rsidRPr="009E6D43" w:rsidRDefault="00CF65DE" w:rsidP="00CF65DE">
            <w:pPr>
              <w:tabs>
                <w:tab w:val="decimal" w:pos="354"/>
              </w:tabs>
              <w:jc w:val="left"/>
              <w:rPr>
                <w:bCs/>
                <w:color w:val="000000"/>
                <w:sz w:val="16"/>
                <w:szCs w:val="16"/>
              </w:rPr>
            </w:pPr>
            <w:r w:rsidRPr="009E6D43">
              <w:rPr>
                <w:color w:val="000000"/>
                <w:sz w:val="16"/>
                <w:szCs w:val="16"/>
              </w:rPr>
              <w:t>0.0</w:t>
            </w:r>
          </w:p>
        </w:tc>
        <w:tc>
          <w:tcPr>
            <w:tcW w:w="755" w:type="dxa"/>
            <w:tcBorders>
              <w:top w:val="nil"/>
              <w:left w:val="nil"/>
              <w:bottom w:val="nil"/>
              <w:right w:val="nil"/>
            </w:tcBorders>
            <w:shd w:val="clear" w:color="auto" w:fill="auto"/>
            <w:noWrap/>
            <w:vAlign w:val="center"/>
          </w:tcPr>
          <w:p w14:paraId="02D909E3" w14:textId="2FE175FD" w:rsidR="00CF65DE" w:rsidRPr="009E6D43" w:rsidRDefault="00CF65DE" w:rsidP="00CF65DE">
            <w:pPr>
              <w:tabs>
                <w:tab w:val="decimal" w:pos="354"/>
              </w:tabs>
              <w:jc w:val="left"/>
              <w:rPr>
                <w:bCs/>
                <w:color w:val="000000"/>
                <w:sz w:val="16"/>
                <w:szCs w:val="16"/>
              </w:rPr>
            </w:pPr>
            <w:r w:rsidRPr="009E6D43">
              <w:rPr>
                <w:color w:val="000000"/>
                <w:sz w:val="16"/>
                <w:szCs w:val="16"/>
              </w:rPr>
              <w:t>0.0</w:t>
            </w:r>
          </w:p>
        </w:tc>
        <w:tc>
          <w:tcPr>
            <w:tcW w:w="1038" w:type="dxa"/>
            <w:tcBorders>
              <w:top w:val="nil"/>
              <w:left w:val="nil"/>
              <w:bottom w:val="nil"/>
              <w:right w:val="single" w:sz="4" w:space="0" w:color="1F497D"/>
            </w:tcBorders>
            <w:shd w:val="clear" w:color="auto" w:fill="auto"/>
            <w:noWrap/>
            <w:vAlign w:val="center"/>
          </w:tcPr>
          <w:p w14:paraId="5B5CEA5B" w14:textId="5CD84113" w:rsidR="00CF65DE" w:rsidRPr="009E6D43" w:rsidRDefault="00CF65DE" w:rsidP="00CF65DE">
            <w:pPr>
              <w:tabs>
                <w:tab w:val="decimal" w:pos="402"/>
              </w:tabs>
              <w:jc w:val="left"/>
              <w:rPr>
                <w:color w:val="000000"/>
                <w:sz w:val="16"/>
                <w:szCs w:val="16"/>
              </w:rPr>
            </w:pPr>
            <w:r w:rsidRPr="009E6D43">
              <w:rPr>
                <w:color w:val="000000"/>
                <w:sz w:val="16"/>
                <w:szCs w:val="16"/>
              </w:rPr>
              <w:t>0.0</w:t>
            </w:r>
          </w:p>
        </w:tc>
      </w:tr>
      <w:tr w:rsidR="00CF65DE" w:rsidRPr="009E6D43" w14:paraId="03AE37D9" w14:textId="77777777" w:rsidTr="00CF65DE">
        <w:trPr>
          <w:trHeight w:val="227"/>
          <w:jc w:val="center"/>
        </w:trPr>
        <w:tc>
          <w:tcPr>
            <w:tcW w:w="3664" w:type="dxa"/>
            <w:tcBorders>
              <w:top w:val="nil"/>
              <w:left w:val="single" w:sz="4" w:space="0" w:color="1F497D"/>
              <w:bottom w:val="nil"/>
              <w:right w:val="nil"/>
            </w:tcBorders>
            <w:shd w:val="clear" w:color="auto" w:fill="auto"/>
            <w:noWrap/>
            <w:vAlign w:val="center"/>
          </w:tcPr>
          <w:p w14:paraId="512D9537" w14:textId="77777777" w:rsidR="00CF65DE" w:rsidRPr="009E6D43" w:rsidRDefault="00CF65DE" w:rsidP="00CF65DE">
            <w:pPr>
              <w:jc w:val="left"/>
              <w:rPr>
                <w:b/>
                <w:bCs/>
                <w:color w:val="000000"/>
                <w:sz w:val="16"/>
                <w:szCs w:val="16"/>
                <w:lang w:val="es-MX" w:eastAsia="es-MX"/>
              </w:rPr>
            </w:pPr>
            <w:r w:rsidRPr="009E6D43">
              <w:rPr>
                <w:b/>
                <w:color w:val="000000"/>
                <w:sz w:val="16"/>
                <w:szCs w:val="16"/>
                <w:lang w:val="es-MX" w:eastAsia="es-MX"/>
              </w:rPr>
              <w:t>Duración de la desocupación</w:t>
            </w:r>
          </w:p>
        </w:tc>
        <w:tc>
          <w:tcPr>
            <w:tcW w:w="1082" w:type="dxa"/>
            <w:tcBorders>
              <w:top w:val="nil"/>
              <w:left w:val="single" w:sz="4" w:space="0" w:color="1F497D"/>
              <w:bottom w:val="nil"/>
              <w:right w:val="nil"/>
            </w:tcBorders>
            <w:shd w:val="clear" w:color="auto" w:fill="auto"/>
            <w:noWrap/>
            <w:vAlign w:val="center"/>
          </w:tcPr>
          <w:p w14:paraId="5CC23A51" w14:textId="535B6350" w:rsidR="00CF65DE" w:rsidRPr="009E6D43" w:rsidRDefault="00CF65DE" w:rsidP="00CF65DE">
            <w:pPr>
              <w:tabs>
                <w:tab w:val="decimal" w:pos="821"/>
              </w:tabs>
              <w:jc w:val="left"/>
              <w:rPr>
                <w:b/>
                <w:color w:val="000000"/>
                <w:sz w:val="16"/>
                <w:szCs w:val="16"/>
              </w:rPr>
            </w:pPr>
            <w:r w:rsidRPr="009E6D43">
              <w:rPr>
                <w:b/>
                <w:bCs/>
                <w:color w:val="000000"/>
                <w:sz w:val="16"/>
                <w:szCs w:val="16"/>
              </w:rPr>
              <w:t xml:space="preserve"> 1 646 870</w:t>
            </w:r>
          </w:p>
        </w:tc>
        <w:tc>
          <w:tcPr>
            <w:tcW w:w="1082" w:type="dxa"/>
            <w:tcBorders>
              <w:top w:val="nil"/>
              <w:left w:val="nil"/>
              <w:bottom w:val="nil"/>
              <w:right w:val="nil"/>
            </w:tcBorders>
            <w:shd w:val="clear" w:color="auto" w:fill="auto"/>
            <w:noWrap/>
            <w:vAlign w:val="center"/>
          </w:tcPr>
          <w:p w14:paraId="22441F60" w14:textId="6B43E36A" w:rsidR="00CF65DE" w:rsidRPr="009E6D43" w:rsidRDefault="00CF65DE" w:rsidP="00CF65DE">
            <w:pPr>
              <w:tabs>
                <w:tab w:val="decimal" w:pos="789"/>
              </w:tabs>
              <w:jc w:val="left"/>
              <w:rPr>
                <w:b/>
                <w:bCs/>
                <w:color w:val="000000"/>
                <w:sz w:val="16"/>
                <w:szCs w:val="16"/>
              </w:rPr>
            </w:pPr>
            <w:r w:rsidRPr="009E6D43">
              <w:rPr>
                <w:b/>
                <w:bCs/>
                <w:color w:val="000000"/>
                <w:sz w:val="16"/>
                <w:szCs w:val="16"/>
              </w:rPr>
              <w:t xml:space="preserve"> 1 587 437</w:t>
            </w:r>
          </w:p>
        </w:tc>
        <w:tc>
          <w:tcPr>
            <w:tcW w:w="1016" w:type="dxa"/>
            <w:tcBorders>
              <w:top w:val="nil"/>
              <w:left w:val="nil"/>
              <w:bottom w:val="nil"/>
              <w:right w:val="single" w:sz="4" w:space="0" w:color="1F497D"/>
            </w:tcBorders>
            <w:shd w:val="clear" w:color="auto" w:fill="auto"/>
            <w:noWrap/>
            <w:vAlign w:val="center"/>
          </w:tcPr>
          <w:p w14:paraId="2A747992" w14:textId="70560109" w:rsidR="00CF65DE" w:rsidRPr="009E6D43" w:rsidRDefault="00CF65DE" w:rsidP="00CF65DE">
            <w:pPr>
              <w:tabs>
                <w:tab w:val="decimal" w:pos="719"/>
              </w:tabs>
              <w:jc w:val="left"/>
              <w:rPr>
                <w:b/>
                <w:bCs/>
                <w:color w:val="000000"/>
                <w:sz w:val="16"/>
                <w:szCs w:val="16"/>
              </w:rPr>
            </w:pPr>
            <w:r w:rsidRPr="009E6D43">
              <w:rPr>
                <w:b/>
                <w:bCs/>
                <w:color w:val="000000"/>
                <w:sz w:val="16"/>
                <w:szCs w:val="16"/>
              </w:rPr>
              <w:t>-59 433</w:t>
            </w:r>
          </w:p>
        </w:tc>
        <w:tc>
          <w:tcPr>
            <w:tcW w:w="755" w:type="dxa"/>
            <w:tcBorders>
              <w:top w:val="nil"/>
              <w:left w:val="nil"/>
              <w:bottom w:val="nil"/>
              <w:right w:val="nil"/>
            </w:tcBorders>
            <w:shd w:val="clear" w:color="auto" w:fill="auto"/>
            <w:noWrap/>
            <w:vAlign w:val="center"/>
          </w:tcPr>
          <w:p w14:paraId="5168ABC2" w14:textId="0164B691" w:rsidR="00CF65DE" w:rsidRPr="009E6D43" w:rsidRDefault="00CF65DE" w:rsidP="00CF65DE">
            <w:pPr>
              <w:tabs>
                <w:tab w:val="decimal" w:pos="354"/>
              </w:tabs>
              <w:jc w:val="left"/>
              <w:rPr>
                <w:b/>
                <w:bCs/>
                <w:color w:val="000000"/>
                <w:sz w:val="16"/>
                <w:szCs w:val="16"/>
                <w:lang w:val="es-MX" w:eastAsia="es-MX"/>
              </w:rPr>
            </w:pPr>
            <w:r w:rsidRPr="009E6D43">
              <w:rPr>
                <w:b/>
                <w:bCs/>
                <w:color w:val="000000"/>
                <w:sz w:val="16"/>
                <w:szCs w:val="16"/>
              </w:rPr>
              <w:t>100.0</w:t>
            </w:r>
          </w:p>
        </w:tc>
        <w:tc>
          <w:tcPr>
            <w:tcW w:w="755" w:type="dxa"/>
            <w:tcBorders>
              <w:top w:val="nil"/>
              <w:left w:val="nil"/>
              <w:bottom w:val="nil"/>
              <w:right w:val="nil"/>
            </w:tcBorders>
            <w:shd w:val="clear" w:color="auto" w:fill="auto"/>
            <w:noWrap/>
            <w:vAlign w:val="center"/>
          </w:tcPr>
          <w:p w14:paraId="37920386" w14:textId="5139903E" w:rsidR="00CF65DE" w:rsidRPr="009E6D43" w:rsidRDefault="00CF65DE" w:rsidP="00CF65DE">
            <w:pPr>
              <w:tabs>
                <w:tab w:val="decimal" w:pos="354"/>
              </w:tabs>
              <w:jc w:val="left"/>
              <w:rPr>
                <w:b/>
                <w:bCs/>
                <w:color w:val="000000"/>
                <w:sz w:val="16"/>
                <w:szCs w:val="16"/>
                <w:lang w:val="es-MX" w:eastAsia="es-MX"/>
              </w:rPr>
            </w:pPr>
            <w:r w:rsidRPr="009E6D43">
              <w:rPr>
                <w:b/>
                <w:bCs/>
                <w:color w:val="000000"/>
                <w:sz w:val="16"/>
                <w:szCs w:val="16"/>
              </w:rPr>
              <w:t>100.0</w:t>
            </w:r>
          </w:p>
        </w:tc>
        <w:tc>
          <w:tcPr>
            <w:tcW w:w="1038" w:type="dxa"/>
            <w:tcBorders>
              <w:top w:val="nil"/>
              <w:left w:val="nil"/>
              <w:bottom w:val="nil"/>
              <w:right w:val="single" w:sz="4" w:space="0" w:color="1F497D"/>
            </w:tcBorders>
            <w:shd w:val="clear" w:color="auto" w:fill="auto"/>
            <w:noWrap/>
            <w:vAlign w:val="center"/>
          </w:tcPr>
          <w:p w14:paraId="779E018B" w14:textId="7300FE55" w:rsidR="00CF65DE" w:rsidRPr="009E6D43" w:rsidRDefault="00CF65DE" w:rsidP="00CF65DE">
            <w:pPr>
              <w:tabs>
                <w:tab w:val="decimal" w:pos="402"/>
              </w:tabs>
              <w:jc w:val="left"/>
              <w:rPr>
                <w:color w:val="000000"/>
                <w:sz w:val="16"/>
                <w:szCs w:val="16"/>
                <w:lang w:val="es-MX" w:eastAsia="es-MX"/>
              </w:rPr>
            </w:pPr>
            <w:r w:rsidRPr="009E6D43">
              <w:rPr>
                <w:color w:val="000000"/>
                <w:sz w:val="16"/>
                <w:szCs w:val="16"/>
              </w:rPr>
              <w:t> </w:t>
            </w:r>
          </w:p>
        </w:tc>
      </w:tr>
      <w:tr w:rsidR="00CF65DE" w:rsidRPr="009E6D43" w14:paraId="45935658" w14:textId="77777777" w:rsidTr="00CF65DE">
        <w:trPr>
          <w:trHeight w:val="227"/>
          <w:jc w:val="center"/>
        </w:trPr>
        <w:tc>
          <w:tcPr>
            <w:tcW w:w="3664" w:type="dxa"/>
            <w:tcBorders>
              <w:top w:val="nil"/>
              <w:left w:val="single" w:sz="4" w:space="0" w:color="1F497D"/>
              <w:bottom w:val="nil"/>
              <w:right w:val="nil"/>
            </w:tcBorders>
            <w:shd w:val="clear" w:color="auto" w:fill="auto"/>
            <w:noWrap/>
            <w:vAlign w:val="center"/>
            <w:hideMark/>
          </w:tcPr>
          <w:p w14:paraId="4DA1272B"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Hasta 1 mes</w:t>
            </w:r>
          </w:p>
        </w:tc>
        <w:tc>
          <w:tcPr>
            <w:tcW w:w="1082" w:type="dxa"/>
            <w:tcBorders>
              <w:top w:val="nil"/>
              <w:left w:val="single" w:sz="4" w:space="0" w:color="1F497D"/>
              <w:bottom w:val="nil"/>
              <w:right w:val="nil"/>
            </w:tcBorders>
            <w:shd w:val="clear" w:color="auto" w:fill="auto"/>
            <w:noWrap/>
            <w:vAlign w:val="center"/>
          </w:tcPr>
          <w:p w14:paraId="3A688453" w14:textId="4D2CE0BD" w:rsidR="00CF65DE" w:rsidRPr="009E6D43" w:rsidRDefault="00CF65DE" w:rsidP="00CF65DE">
            <w:pPr>
              <w:tabs>
                <w:tab w:val="decimal" w:pos="821"/>
              </w:tabs>
              <w:jc w:val="left"/>
              <w:rPr>
                <w:color w:val="000000"/>
                <w:sz w:val="16"/>
                <w:szCs w:val="16"/>
              </w:rPr>
            </w:pPr>
            <w:r w:rsidRPr="009E6D43">
              <w:rPr>
                <w:color w:val="000000"/>
                <w:sz w:val="16"/>
                <w:szCs w:val="16"/>
              </w:rPr>
              <w:t xml:space="preserve">  716 575</w:t>
            </w:r>
          </w:p>
        </w:tc>
        <w:tc>
          <w:tcPr>
            <w:tcW w:w="1082" w:type="dxa"/>
            <w:tcBorders>
              <w:top w:val="nil"/>
              <w:left w:val="nil"/>
              <w:bottom w:val="nil"/>
              <w:right w:val="nil"/>
            </w:tcBorders>
            <w:shd w:val="clear" w:color="auto" w:fill="auto"/>
            <w:noWrap/>
            <w:vAlign w:val="center"/>
          </w:tcPr>
          <w:p w14:paraId="56A9269D" w14:textId="71A8A01B" w:rsidR="00CF65DE" w:rsidRPr="009E6D43" w:rsidRDefault="00CF65DE" w:rsidP="00CF65DE">
            <w:pPr>
              <w:tabs>
                <w:tab w:val="decimal" w:pos="789"/>
              </w:tabs>
              <w:jc w:val="left"/>
              <w:rPr>
                <w:color w:val="000000"/>
                <w:sz w:val="16"/>
                <w:szCs w:val="16"/>
              </w:rPr>
            </w:pPr>
            <w:r w:rsidRPr="009E6D43">
              <w:rPr>
                <w:color w:val="000000"/>
                <w:sz w:val="16"/>
                <w:szCs w:val="16"/>
              </w:rPr>
              <w:t xml:space="preserve">  646 332</w:t>
            </w:r>
          </w:p>
        </w:tc>
        <w:tc>
          <w:tcPr>
            <w:tcW w:w="1016" w:type="dxa"/>
            <w:tcBorders>
              <w:top w:val="nil"/>
              <w:left w:val="nil"/>
              <w:bottom w:val="nil"/>
              <w:right w:val="single" w:sz="4" w:space="0" w:color="1F497D"/>
            </w:tcBorders>
            <w:shd w:val="clear" w:color="auto" w:fill="auto"/>
            <w:noWrap/>
            <w:vAlign w:val="center"/>
          </w:tcPr>
          <w:p w14:paraId="323B334C" w14:textId="11B1F641" w:rsidR="00CF65DE" w:rsidRPr="009E6D43" w:rsidRDefault="00CF65DE" w:rsidP="00CF65DE">
            <w:pPr>
              <w:tabs>
                <w:tab w:val="decimal" w:pos="719"/>
              </w:tabs>
              <w:jc w:val="left"/>
              <w:rPr>
                <w:bCs/>
                <w:color w:val="000000"/>
                <w:sz w:val="16"/>
                <w:szCs w:val="16"/>
              </w:rPr>
            </w:pPr>
            <w:r w:rsidRPr="009E6D43">
              <w:rPr>
                <w:color w:val="000000"/>
                <w:sz w:val="16"/>
                <w:szCs w:val="16"/>
              </w:rPr>
              <w:t>-70 243</w:t>
            </w:r>
          </w:p>
        </w:tc>
        <w:tc>
          <w:tcPr>
            <w:tcW w:w="755" w:type="dxa"/>
            <w:tcBorders>
              <w:top w:val="nil"/>
              <w:left w:val="nil"/>
              <w:bottom w:val="nil"/>
              <w:right w:val="nil"/>
            </w:tcBorders>
            <w:shd w:val="clear" w:color="auto" w:fill="auto"/>
            <w:noWrap/>
            <w:vAlign w:val="center"/>
          </w:tcPr>
          <w:p w14:paraId="242BB16B" w14:textId="18C871DB" w:rsidR="00CF65DE" w:rsidRPr="009E6D43" w:rsidRDefault="00CF65DE" w:rsidP="00CF65DE">
            <w:pPr>
              <w:tabs>
                <w:tab w:val="decimal" w:pos="354"/>
              </w:tabs>
              <w:jc w:val="left"/>
              <w:rPr>
                <w:color w:val="000000"/>
                <w:sz w:val="16"/>
                <w:szCs w:val="16"/>
                <w:lang w:val="es-MX" w:eastAsia="es-MX"/>
              </w:rPr>
            </w:pPr>
            <w:r w:rsidRPr="009E6D43">
              <w:rPr>
                <w:color w:val="000000"/>
                <w:sz w:val="16"/>
                <w:szCs w:val="16"/>
              </w:rPr>
              <w:t>43.5</w:t>
            </w:r>
          </w:p>
        </w:tc>
        <w:tc>
          <w:tcPr>
            <w:tcW w:w="755" w:type="dxa"/>
            <w:tcBorders>
              <w:top w:val="nil"/>
              <w:left w:val="nil"/>
              <w:bottom w:val="nil"/>
              <w:right w:val="nil"/>
            </w:tcBorders>
            <w:shd w:val="clear" w:color="auto" w:fill="auto"/>
            <w:noWrap/>
            <w:vAlign w:val="center"/>
          </w:tcPr>
          <w:p w14:paraId="3B42224C" w14:textId="002286E8" w:rsidR="00CF65DE" w:rsidRPr="009E6D43" w:rsidRDefault="00CF65DE" w:rsidP="00CF65DE">
            <w:pPr>
              <w:tabs>
                <w:tab w:val="decimal" w:pos="354"/>
              </w:tabs>
              <w:jc w:val="left"/>
              <w:rPr>
                <w:color w:val="000000"/>
                <w:sz w:val="16"/>
                <w:szCs w:val="16"/>
                <w:lang w:val="es-MX" w:eastAsia="es-MX"/>
              </w:rPr>
            </w:pPr>
            <w:r w:rsidRPr="009E6D43">
              <w:rPr>
                <w:color w:val="000000"/>
                <w:sz w:val="16"/>
                <w:szCs w:val="16"/>
              </w:rPr>
              <w:t>40.7</w:t>
            </w:r>
          </w:p>
        </w:tc>
        <w:tc>
          <w:tcPr>
            <w:tcW w:w="1038" w:type="dxa"/>
            <w:tcBorders>
              <w:top w:val="nil"/>
              <w:left w:val="nil"/>
              <w:bottom w:val="nil"/>
              <w:right w:val="single" w:sz="4" w:space="0" w:color="1F497D"/>
            </w:tcBorders>
            <w:shd w:val="clear" w:color="auto" w:fill="auto"/>
            <w:noWrap/>
            <w:vAlign w:val="center"/>
          </w:tcPr>
          <w:p w14:paraId="732AA1F0" w14:textId="17A5A5F7" w:rsidR="00CF65DE" w:rsidRPr="009E6D43" w:rsidRDefault="00CF65DE" w:rsidP="00CF65DE">
            <w:pPr>
              <w:tabs>
                <w:tab w:val="decimal" w:pos="402"/>
              </w:tabs>
              <w:jc w:val="left"/>
              <w:rPr>
                <w:color w:val="000000"/>
                <w:sz w:val="16"/>
                <w:szCs w:val="16"/>
                <w:lang w:val="es-MX" w:eastAsia="es-MX"/>
              </w:rPr>
            </w:pPr>
            <w:r w:rsidRPr="009E6D43">
              <w:rPr>
                <w:color w:val="000000"/>
                <w:sz w:val="16"/>
                <w:szCs w:val="16"/>
              </w:rPr>
              <w:t>-2.8</w:t>
            </w:r>
          </w:p>
        </w:tc>
      </w:tr>
      <w:tr w:rsidR="00CF65DE" w:rsidRPr="009E6D43" w14:paraId="195ABC3C" w14:textId="77777777" w:rsidTr="00CF65DE">
        <w:trPr>
          <w:trHeight w:val="227"/>
          <w:jc w:val="center"/>
        </w:trPr>
        <w:tc>
          <w:tcPr>
            <w:tcW w:w="3664" w:type="dxa"/>
            <w:tcBorders>
              <w:top w:val="nil"/>
              <w:left w:val="single" w:sz="4" w:space="0" w:color="1F497D"/>
              <w:bottom w:val="nil"/>
              <w:right w:val="nil"/>
            </w:tcBorders>
            <w:shd w:val="clear" w:color="auto" w:fill="auto"/>
            <w:noWrap/>
            <w:vAlign w:val="center"/>
            <w:hideMark/>
          </w:tcPr>
          <w:p w14:paraId="40644603"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Más de 1 mes hasta 3 meses</w:t>
            </w:r>
          </w:p>
        </w:tc>
        <w:tc>
          <w:tcPr>
            <w:tcW w:w="1082" w:type="dxa"/>
            <w:tcBorders>
              <w:top w:val="nil"/>
              <w:left w:val="single" w:sz="4" w:space="0" w:color="1F497D"/>
              <w:bottom w:val="nil"/>
              <w:right w:val="nil"/>
            </w:tcBorders>
            <w:shd w:val="clear" w:color="auto" w:fill="auto"/>
            <w:noWrap/>
            <w:vAlign w:val="center"/>
          </w:tcPr>
          <w:p w14:paraId="61DEA4F9" w14:textId="5610B533" w:rsidR="00CF65DE" w:rsidRPr="009E6D43" w:rsidRDefault="00CF65DE" w:rsidP="00CF65DE">
            <w:pPr>
              <w:tabs>
                <w:tab w:val="decimal" w:pos="821"/>
              </w:tabs>
              <w:jc w:val="left"/>
              <w:rPr>
                <w:color w:val="000000"/>
                <w:sz w:val="16"/>
                <w:szCs w:val="16"/>
              </w:rPr>
            </w:pPr>
            <w:r w:rsidRPr="009E6D43">
              <w:rPr>
                <w:color w:val="000000"/>
                <w:sz w:val="16"/>
                <w:szCs w:val="16"/>
              </w:rPr>
              <w:t xml:space="preserve">  542 071</w:t>
            </w:r>
          </w:p>
        </w:tc>
        <w:tc>
          <w:tcPr>
            <w:tcW w:w="1082" w:type="dxa"/>
            <w:tcBorders>
              <w:top w:val="nil"/>
              <w:left w:val="nil"/>
              <w:bottom w:val="nil"/>
              <w:right w:val="nil"/>
            </w:tcBorders>
            <w:shd w:val="clear" w:color="auto" w:fill="auto"/>
            <w:noWrap/>
            <w:vAlign w:val="center"/>
          </w:tcPr>
          <w:p w14:paraId="356BD407" w14:textId="6FA98EB3" w:rsidR="00CF65DE" w:rsidRPr="009E6D43" w:rsidRDefault="00CF65DE" w:rsidP="00CF65DE">
            <w:pPr>
              <w:tabs>
                <w:tab w:val="decimal" w:pos="789"/>
              </w:tabs>
              <w:jc w:val="left"/>
              <w:rPr>
                <w:color w:val="000000"/>
                <w:sz w:val="16"/>
                <w:szCs w:val="16"/>
              </w:rPr>
            </w:pPr>
            <w:r w:rsidRPr="009E6D43">
              <w:rPr>
                <w:color w:val="000000"/>
                <w:sz w:val="16"/>
                <w:szCs w:val="16"/>
              </w:rPr>
              <w:t xml:space="preserve">  612 980</w:t>
            </w:r>
          </w:p>
        </w:tc>
        <w:tc>
          <w:tcPr>
            <w:tcW w:w="1016" w:type="dxa"/>
            <w:tcBorders>
              <w:top w:val="nil"/>
              <w:left w:val="nil"/>
              <w:bottom w:val="nil"/>
              <w:right w:val="single" w:sz="4" w:space="0" w:color="1F497D"/>
            </w:tcBorders>
            <w:shd w:val="clear" w:color="auto" w:fill="auto"/>
            <w:noWrap/>
            <w:vAlign w:val="center"/>
          </w:tcPr>
          <w:p w14:paraId="04B1D5C8" w14:textId="294C826E" w:rsidR="00CF65DE" w:rsidRPr="009E6D43" w:rsidRDefault="00CF65DE" w:rsidP="00CF65DE">
            <w:pPr>
              <w:tabs>
                <w:tab w:val="decimal" w:pos="719"/>
              </w:tabs>
              <w:jc w:val="left"/>
              <w:rPr>
                <w:bCs/>
                <w:color w:val="000000"/>
                <w:sz w:val="16"/>
                <w:szCs w:val="16"/>
              </w:rPr>
            </w:pPr>
            <w:r w:rsidRPr="009E6D43">
              <w:rPr>
                <w:color w:val="000000"/>
                <w:sz w:val="16"/>
                <w:szCs w:val="16"/>
              </w:rPr>
              <w:t>70 909</w:t>
            </w:r>
          </w:p>
        </w:tc>
        <w:tc>
          <w:tcPr>
            <w:tcW w:w="755" w:type="dxa"/>
            <w:tcBorders>
              <w:top w:val="nil"/>
              <w:left w:val="nil"/>
              <w:bottom w:val="nil"/>
              <w:right w:val="nil"/>
            </w:tcBorders>
            <w:shd w:val="clear" w:color="auto" w:fill="auto"/>
            <w:noWrap/>
            <w:vAlign w:val="center"/>
          </w:tcPr>
          <w:p w14:paraId="356306D7" w14:textId="340239BA" w:rsidR="00CF65DE" w:rsidRPr="009E6D43" w:rsidRDefault="00CF65DE" w:rsidP="00CF65DE">
            <w:pPr>
              <w:tabs>
                <w:tab w:val="decimal" w:pos="354"/>
              </w:tabs>
              <w:jc w:val="left"/>
              <w:rPr>
                <w:color w:val="000000"/>
                <w:sz w:val="16"/>
                <w:szCs w:val="16"/>
                <w:lang w:val="es-MX" w:eastAsia="es-MX"/>
              </w:rPr>
            </w:pPr>
            <w:r w:rsidRPr="009E6D43">
              <w:rPr>
                <w:color w:val="000000"/>
                <w:sz w:val="16"/>
                <w:szCs w:val="16"/>
              </w:rPr>
              <w:t>32.9</w:t>
            </w:r>
          </w:p>
        </w:tc>
        <w:tc>
          <w:tcPr>
            <w:tcW w:w="755" w:type="dxa"/>
            <w:tcBorders>
              <w:top w:val="nil"/>
              <w:left w:val="nil"/>
              <w:bottom w:val="nil"/>
              <w:right w:val="nil"/>
            </w:tcBorders>
            <w:shd w:val="clear" w:color="auto" w:fill="auto"/>
            <w:noWrap/>
            <w:vAlign w:val="center"/>
          </w:tcPr>
          <w:p w14:paraId="330A2DE3" w14:textId="03A4D5AB" w:rsidR="00CF65DE" w:rsidRPr="009E6D43" w:rsidRDefault="00CF65DE" w:rsidP="00CF65DE">
            <w:pPr>
              <w:tabs>
                <w:tab w:val="decimal" w:pos="354"/>
              </w:tabs>
              <w:jc w:val="left"/>
              <w:rPr>
                <w:color w:val="000000"/>
                <w:sz w:val="16"/>
                <w:szCs w:val="16"/>
                <w:lang w:val="es-MX" w:eastAsia="es-MX"/>
              </w:rPr>
            </w:pPr>
            <w:r w:rsidRPr="009E6D43">
              <w:rPr>
                <w:color w:val="000000"/>
                <w:sz w:val="16"/>
                <w:szCs w:val="16"/>
              </w:rPr>
              <w:t>38.6</w:t>
            </w:r>
          </w:p>
        </w:tc>
        <w:tc>
          <w:tcPr>
            <w:tcW w:w="1038" w:type="dxa"/>
            <w:tcBorders>
              <w:top w:val="nil"/>
              <w:left w:val="nil"/>
              <w:bottom w:val="nil"/>
              <w:right w:val="single" w:sz="4" w:space="0" w:color="1F497D"/>
            </w:tcBorders>
            <w:shd w:val="clear" w:color="auto" w:fill="auto"/>
            <w:noWrap/>
            <w:vAlign w:val="center"/>
          </w:tcPr>
          <w:p w14:paraId="288F37C1" w14:textId="1FFA2FAC" w:rsidR="00CF65DE" w:rsidRPr="009E6D43" w:rsidRDefault="00CF65DE" w:rsidP="00CF65DE">
            <w:pPr>
              <w:tabs>
                <w:tab w:val="decimal" w:pos="402"/>
              </w:tabs>
              <w:jc w:val="left"/>
              <w:rPr>
                <w:color w:val="000000"/>
                <w:sz w:val="16"/>
                <w:szCs w:val="16"/>
                <w:lang w:val="es-MX" w:eastAsia="es-MX"/>
              </w:rPr>
            </w:pPr>
            <w:r w:rsidRPr="009E6D43">
              <w:rPr>
                <w:color w:val="000000"/>
                <w:sz w:val="16"/>
                <w:szCs w:val="16"/>
              </w:rPr>
              <w:t>5.7</w:t>
            </w:r>
          </w:p>
        </w:tc>
      </w:tr>
      <w:tr w:rsidR="00CF65DE" w:rsidRPr="009E6D43" w14:paraId="14E3709E" w14:textId="77777777" w:rsidTr="00CF65DE">
        <w:trPr>
          <w:trHeight w:val="227"/>
          <w:jc w:val="center"/>
        </w:trPr>
        <w:tc>
          <w:tcPr>
            <w:tcW w:w="3664" w:type="dxa"/>
            <w:tcBorders>
              <w:top w:val="nil"/>
              <w:left w:val="single" w:sz="4" w:space="0" w:color="1F497D"/>
              <w:right w:val="nil"/>
            </w:tcBorders>
            <w:shd w:val="clear" w:color="auto" w:fill="auto"/>
            <w:noWrap/>
            <w:vAlign w:val="center"/>
            <w:hideMark/>
          </w:tcPr>
          <w:p w14:paraId="48F40A76"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Más de 3 meses hasta 6 meses</w:t>
            </w:r>
          </w:p>
        </w:tc>
        <w:tc>
          <w:tcPr>
            <w:tcW w:w="1082" w:type="dxa"/>
            <w:tcBorders>
              <w:top w:val="nil"/>
              <w:left w:val="single" w:sz="4" w:space="0" w:color="1F497D"/>
              <w:right w:val="nil"/>
            </w:tcBorders>
            <w:shd w:val="clear" w:color="auto" w:fill="auto"/>
            <w:noWrap/>
            <w:vAlign w:val="center"/>
          </w:tcPr>
          <w:p w14:paraId="55422157" w14:textId="10FE3720" w:rsidR="00CF65DE" w:rsidRPr="009E6D43" w:rsidRDefault="00CF65DE" w:rsidP="00CF65DE">
            <w:pPr>
              <w:tabs>
                <w:tab w:val="decimal" w:pos="821"/>
              </w:tabs>
              <w:jc w:val="left"/>
              <w:rPr>
                <w:color w:val="000000"/>
                <w:sz w:val="16"/>
                <w:szCs w:val="16"/>
              </w:rPr>
            </w:pPr>
            <w:r w:rsidRPr="009E6D43">
              <w:rPr>
                <w:color w:val="000000"/>
                <w:sz w:val="16"/>
                <w:szCs w:val="16"/>
              </w:rPr>
              <w:t xml:space="preserve">  149 282</w:t>
            </w:r>
          </w:p>
        </w:tc>
        <w:tc>
          <w:tcPr>
            <w:tcW w:w="1082" w:type="dxa"/>
            <w:tcBorders>
              <w:top w:val="nil"/>
              <w:left w:val="nil"/>
              <w:right w:val="nil"/>
            </w:tcBorders>
            <w:shd w:val="clear" w:color="auto" w:fill="auto"/>
            <w:noWrap/>
            <w:vAlign w:val="center"/>
          </w:tcPr>
          <w:p w14:paraId="6505E397" w14:textId="1B096BA2" w:rsidR="00CF65DE" w:rsidRPr="009E6D43" w:rsidRDefault="00CF65DE" w:rsidP="00CF65DE">
            <w:pPr>
              <w:tabs>
                <w:tab w:val="decimal" w:pos="789"/>
              </w:tabs>
              <w:jc w:val="left"/>
              <w:rPr>
                <w:color w:val="000000"/>
                <w:sz w:val="16"/>
                <w:szCs w:val="16"/>
              </w:rPr>
            </w:pPr>
            <w:r w:rsidRPr="009E6D43">
              <w:rPr>
                <w:color w:val="000000"/>
                <w:sz w:val="16"/>
                <w:szCs w:val="16"/>
              </w:rPr>
              <w:t xml:space="preserve">  132 205</w:t>
            </w:r>
          </w:p>
        </w:tc>
        <w:tc>
          <w:tcPr>
            <w:tcW w:w="1016" w:type="dxa"/>
            <w:tcBorders>
              <w:top w:val="nil"/>
              <w:left w:val="nil"/>
              <w:right w:val="single" w:sz="4" w:space="0" w:color="1F497D"/>
            </w:tcBorders>
            <w:shd w:val="clear" w:color="auto" w:fill="auto"/>
            <w:noWrap/>
            <w:vAlign w:val="center"/>
          </w:tcPr>
          <w:p w14:paraId="2DF901A8" w14:textId="7AE25C56" w:rsidR="00CF65DE" w:rsidRPr="009E6D43" w:rsidRDefault="00CF65DE" w:rsidP="00CF65DE">
            <w:pPr>
              <w:tabs>
                <w:tab w:val="decimal" w:pos="719"/>
              </w:tabs>
              <w:jc w:val="left"/>
              <w:rPr>
                <w:bCs/>
                <w:color w:val="000000"/>
                <w:sz w:val="16"/>
                <w:szCs w:val="16"/>
              </w:rPr>
            </w:pPr>
            <w:r w:rsidRPr="009E6D43">
              <w:rPr>
                <w:color w:val="000000"/>
                <w:sz w:val="16"/>
                <w:szCs w:val="16"/>
              </w:rPr>
              <w:t>-17 077</w:t>
            </w:r>
          </w:p>
        </w:tc>
        <w:tc>
          <w:tcPr>
            <w:tcW w:w="755" w:type="dxa"/>
            <w:tcBorders>
              <w:top w:val="nil"/>
              <w:left w:val="nil"/>
              <w:right w:val="nil"/>
            </w:tcBorders>
            <w:shd w:val="clear" w:color="auto" w:fill="auto"/>
            <w:noWrap/>
            <w:vAlign w:val="center"/>
          </w:tcPr>
          <w:p w14:paraId="44C14FCA" w14:textId="0728ADD2" w:rsidR="00CF65DE" w:rsidRPr="009E6D43" w:rsidRDefault="00CF65DE" w:rsidP="00CF65DE">
            <w:pPr>
              <w:tabs>
                <w:tab w:val="decimal" w:pos="354"/>
              </w:tabs>
              <w:jc w:val="left"/>
              <w:rPr>
                <w:color w:val="000000"/>
                <w:sz w:val="16"/>
                <w:szCs w:val="16"/>
                <w:lang w:val="es-MX" w:eastAsia="es-MX"/>
              </w:rPr>
            </w:pPr>
            <w:r w:rsidRPr="009E6D43">
              <w:rPr>
                <w:color w:val="000000"/>
                <w:sz w:val="16"/>
                <w:szCs w:val="16"/>
              </w:rPr>
              <w:t>9.1</w:t>
            </w:r>
          </w:p>
        </w:tc>
        <w:tc>
          <w:tcPr>
            <w:tcW w:w="755" w:type="dxa"/>
            <w:tcBorders>
              <w:top w:val="nil"/>
              <w:left w:val="nil"/>
              <w:right w:val="nil"/>
            </w:tcBorders>
            <w:shd w:val="clear" w:color="auto" w:fill="auto"/>
            <w:noWrap/>
            <w:vAlign w:val="center"/>
          </w:tcPr>
          <w:p w14:paraId="471ED658" w14:textId="451DA3E6" w:rsidR="00CF65DE" w:rsidRPr="009E6D43" w:rsidRDefault="00CF65DE" w:rsidP="00CF65DE">
            <w:pPr>
              <w:tabs>
                <w:tab w:val="decimal" w:pos="354"/>
              </w:tabs>
              <w:jc w:val="left"/>
              <w:rPr>
                <w:color w:val="000000"/>
                <w:sz w:val="16"/>
                <w:szCs w:val="16"/>
                <w:lang w:val="es-MX" w:eastAsia="es-MX"/>
              </w:rPr>
            </w:pPr>
            <w:r w:rsidRPr="009E6D43">
              <w:rPr>
                <w:color w:val="000000"/>
                <w:sz w:val="16"/>
                <w:szCs w:val="16"/>
              </w:rPr>
              <w:t>8.3</w:t>
            </w:r>
          </w:p>
        </w:tc>
        <w:tc>
          <w:tcPr>
            <w:tcW w:w="1038" w:type="dxa"/>
            <w:tcBorders>
              <w:top w:val="nil"/>
              <w:left w:val="nil"/>
              <w:right w:val="single" w:sz="4" w:space="0" w:color="1F497D"/>
            </w:tcBorders>
            <w:shd w:val="clear" w:color="auto" w:fill="auto"/>
            <w:noWrap/>
            <w:vAlign w:val="center"/>
          </w:tcPr>
          <w:p w14:paraId="0511BF45" w14:textId="419B5722" w:rsidR="00CF65DE" w:rsidRPr="009E6D43" w:rsidRDefault="00CF65DE" w:rsidP="00CF65DE">
            <w:pPr>
              <w:tabs>
                <w:tab w:val="decimal" w:pos="402"/>
              </w:tabs>
              <w:jc w:val="left"/>
              <w:rPr>
                <w:color w:val="000000"/>
                <w:sz w:val="16"/>
                <w:szCs w:val="16"/>
                <w:lang w:val="es-MX" w:eastAsia="es-MX"/>
              </w:rPr>
            </w:pPr>
            <w:r w:rsidRPr="009E6D43">
              <w:rPr>
                <w:color w:val="000000"/>
                <w:sz w:val="16"/>
                <w:szCs w:val="16"/>
              </w:rPr>
              <w:t>-0.7</w:t>
            </w:r>
          </w:p>
        </w:tc>
      </w:tr>
      <w:tr w:rsidR="00CF65DE" w:rsidRPr="009E6D43" w14:paraId="5780445D" w14:textId="77777777" w:rsidTr="00CF65DE">
        <w:trPr>
          <w:trHeight w:val="227"/>
          <w:jc w:val="center"/>
        </w:trPr>
        <w:tc>
          <w:tcPr>
            <w:tcW w:w="3664" w:type="dxa"/>
            <w:tcBorders>
              <w:top w:val="nil"/>
              <w:left w:val="single" w:sz="4" w:space="0" w:color="1F497D"/>
              <w:right w:val="nil"/>
            </w:tcBorders>
            <w:shd w:val="clear" w:color="auto" w:fill="auto"/>
            <w:noWrap/>
            <w:vAlign w:val="center"/>
          </w:tcPr>
          <w:p w14:paraId="746419DD"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Más de 6 meses hasta 1 año</w:t>
            </w:r>
          </w:p>
        </w:tc>
        <w:tc>
          <w:tcPr>
            <w:tcW w:w="1082" w:type="dxa"/>
            <w:tcBorders>
              <w:top w:val="nil"/>
              <w:left w:val="single" w:sz="4" w:space="0" w:color="1F497D"/>
              <w:right w:val="nil"/>
            </w:tcBorders>
            <w:shd w:val="clear" w:color="auto" w:fill="auto"/>
            <w:noWrap/>
            <w:vAlign w:val="center"/>
          </w:tcPr>
          <w:p w14:paraId="3F412387" w14:textId="3701F39A" w:rsidR="00CF65DE" w:rsidRPr="009E6D43" w:rsidRDefault="00CF65DE" w:rsidP="00CF65DE">
            <w:pPr>
              <w:tabs>
                <w:tab w:val="decimal" w:pos="821"/>
              </w:tabs>
              <w:jc w:val="left"/>
              <w:rPr>
                <w:color w:val="000000"/>
                <w:sz w:val="16"/>
                <w:szCs w:val="16"/>
              </w:rPr>
            </w:pPr>
            <w:r w:rsidRPr="009E6D43">
              <w:rPr>
                <w:color w:val="000000"/>
                <w:sz w:val="16"/>
                <w:szCs w:val="16"/>
              </w:rPr>
              <w:t xml:space="preserve">  105 747</w:t>
            </w:r>
          </w:p>
        </w:tc>
        <w:tc>
          <w:tcPr>
            <w:tcW w:w="1082" w:type="dxa"/>
            <w:tcBorders>
              <w:top w:val="nil"/>
              <w:left w:val="nil"/>
              <w:right w:val="nil"/>
            </w:tcBorders>
            <w:shd w:val="clear" w:color="auto" w:fill="auto"/>
            <w:noWrap/>
            <w:vAlign w:val="center"/>
          </w:tcPr>
          <w:p w14:paraId="40FCCFC7" w14:textId="383E2CBF" w:rsidR="00CF65DE" w:rsidRPr="009E6D43" w:rsidRDefault="00CF65DE" w:rsidP="00CF65DE">
            <w:pPr>
              <w:tabs>
                <w:tab w:val="decimal" w:pos="789"/>
              </w:tabs>
              <w:jc w:val="left"/>
              <w:rPr>
                <w:color w:val="000000"/>
                <w:sz w:val="16"/>
                <w:szCs w:val="16"/>
              </w:rPr>
            </w:pPr>
            <w:r w:rsidRPr="009E6D43">
              <w:rPr>
                <w:color w:val="000000"/>
                <w:sz w:val="16"/>
                <w:szCs w:val="16"/>
              </w:rPr>
              <w:t xml:space="preserve">  67 488</w:t>
            </w:r>
          </w:p>
        </w:tc>
        <w:tc>
          <w:tcPr>
            <w:tcW w:w="1016" w:type="dxa"/>
            <w:tcBorders>
              <w:top w:val="nil"/>
              <w:left w:val="nil"/>
              <w:right w:val="single" w:sz="4" w:space="0" w:color="1F497D"/>
            </w:tcBorders>
            <w:shd w:val="clear" w:color="auto" w:fill="auto"/>
            <w:noWrap/>
            <w:vAlign w:val="center"/>
          </w:tcPr>
          <w:p w14:paraId="3DBBE80D" w14:textId="043B05D1" w:rsidR="00CF65DE" w:rsidRPr="009E6D43" w:rsidRDefault="00CF65DE" w:rsidP="00CF65DE">
            <w:pPr>
              <w:tabs>
                <w:tab w:val="decimal" w:pos="719"/>
              </w:tabs>
              <w:jc w:val="left"/>
              <w:rPr>
                <w:bCs/>
                <w:color w:val="000000"/>
                <w:sz w:val="16"/>
                <w:szCs w:val="16"/>
              </w:rPr>
            </w:pPr>
            <w:r w:rsidRPr="009E6D43">
              <w:rPr>
                <w:color w:val="000000"/>
                <w:sz w:val="16"/>
                <w:szCs w:val="16"/>
              </w:rPr>
              <w:t>-38 259</w:t>
            </w:r>
          </w:p>
        </w:tc>
        <w:tc>
          <w:tcPr>
            <w:tcW w:w="755" w:type="dxa"/>
            <w:tcBorders>
              <w:top w:val="nil"/>
              <w:left w:val="nil"/>
              <w:right w:val="nil"/>
            </w:tcBorders>
            <w:shd w:val="clear" w:color="auto" w:fill="auto"/>
            <w:noWrap/>
            <w:vAlign w:val="center"/>
          </w:tcPr>
          <w:p w14:paraId="6CC1FDA2" w14:textId="2130D27E" w:rsidR="00CF65DE" w:rsidRPr="009E6D43" w:rsidRDefault="00CF65DE" w:rsidP="00CF65DE">
            <w:pPr>
              <w:tabs>
                <w:tab w:val="decimal" w:pos="354"/>
              </w:tabs>
              <w:jc w:val="left"/>
              <w:rPr>
                <w:color w:val="000000"/>
                <w:sz w:val="16"/>
                <w:szCs w:val="16"/>
              </w:rPr>
            </w:pPr>
            <w:r w:rsidRPr="009E6D43">
              <w:rPr>
                <w:color w:val="000000"/>
                <w:sz w:val="16"/>
                <w:szCs w:val="16"/>
              </w:rPr>
              <w:t>6.4</w:t>
            </w:r>
          </w:p>
        </w:tc>
        <w:tc>
          <w:tcPr>
            <w:tcW w:w="755" w:type="dxa"/>
            <w:tcBorders>
              <w:top w:val="nil"/>
              <w:left w:val="nil"/>
              <w:right w:val="nil"/>
            </w:tcBorders>
            <w:shd w:val="clear" w:color="auto" w:fill="auto"/>
            <w:noWrap/>
            <w:vAlign w:val="center"/>
          </w:tcPr>
          <w:p w14:paraId="692C118E" w14:textId="6EA1E532" w:rsidR="00CF65DE" w:rsidRPr="009E6D43" w:rsidRDefault="00CF65DE" w:rsidP="00CF65DE">
            <w:pPr>
              <w:tabs>
                <w:tab w:val="decimal" w:pos="354"/>
              </w:tabs>
              <w:jc w:val="left"/>
              <w:rPr>
                <w:color w:val="000000"/>
                <w:sz w:val="16"/>
                <w:szCs w:val="16"/>
              </w:rPr>
            </w:pPr>
            <w:r w:rsidRPr="009E6D43">
              <w:rPr>
                <w:color w:val="000000"/>
                <w:sz w:val="16"/>
                <w:szCs w:val="16"/>
              </w:rPr>
              <w:t>4.3</w:t>
            </w:r>
          </w:p>
        </w:tc>
        <w:tc>
          <w:tcPr>
            <w:tcW w:w="1038" w:type="dxa"/>
            <w:tcBorders>
              <w:top w:val="nil"/>
              <w:left w:val="nil"/>
              <w:right w:val="single" w:sz="4" w:space="0" w:color="1F497D"/>
            </w:tcBorders>
            <w:shd w:val="clear" w:color="auto" w:fill="auto"/>
            <w:noWrap/>
            <w:vAlign w:val="center"/>
          </w:tcPr>
          <w:p w14:paraId="5AAA6F64" w14:textId="36FEE278" w:rsidR="00CF65DE" w:rsidRPr="009E6D43" w:rsidRDefault="00CF65DE" w:rsidP="00CF65DE">
            <w:pPr>
              <w:tabs>
                <w:tab w:val="decimal" w:pos="402"/>
              </w:tabs>
              <w:jc w:val="left"/>
              <w:rPr>
                <w:color w:val="000000"/>
                <w:sz w:val="16"/>
                <w:szCs w:val="16"/>
              </w:rPr>
            </w:pPr>
            <w:r w:rsidRPr="009E6D43">
              <w:rPr>
                <w:color w:val="000000"/>
                <w:sz w:val="16"/>
                <w:szCs w:val="16"/>
              </w:rPr>
              <w:t>-2.2</w:t>
            </w:r>
          </w:p>
        </w:tc>
      </w:tr>
      <w:tr w:rsidR="00CF65DE" w:rsidRPr="009E6D43" w14:paraId="290DC915" w14:textId="77777777" w:rsidTr="00CF65DE">
        <w:trPr>
          <w:trHeight w:val="227"/>
          <w:jc w:val="center"/>
        </w:trPr>
        <w:tc>
          <w:tcPr>
            <w:tcW w:w="3664" w:type="dxa"/>
            <w:tcBorders>
              <w:top w:val="nil"/>
              <w:left w:val="single" w:sz="4" w:space="0" w:color="1F497D"/>
              <w:right w:val="nil"/>
            </w:tcBorders>
            <w:shd w:val="clear" w:color="auto" w:fill="auto"/>
            <w:noWrap/>
            <w:vAlign w:val="center"/>
          </w:tcPr>
          <w:p w14:paraId="6ECB9958"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Más de 1 año</w:t>
            </w:r>
          </w:p>
        </w:tc>
        <w:tc>
          <w:tcPr>
            <w:tcW w:w="1082" w:type="dxa"/>
            <w:tcBorders>
              <w:top w:val="nil"/>
              <w:left w:val="single" w:sz="4" w:space="0" w:color="1F497D"/>
              <w:right w:val="nil"/>
            </w:tcBorders>
            <w:shd w:val="clear" w:color="auto" w:fill="auto"/>
            <w:noWrap/>
            <w:vAlign w:val="center"/>
          </w:tcPr>
          <w:p w14:paraId="13C6C4F3" w14:textId="0224A449" w:rsidR="00CF65DE" w:rsidRPr="009E6D43" w:rsidRDefault="00CF65DE" w:rsidP="00CF65DE">
            <w:pPr>
              <w:tabs>
                <w:tab w:val="decimal" w:pos="821"/>
              </w:tabs>
              <w:jc w:val="left"/>
              <w:rPr>
                <w:color w:val="000000"/>
                <w:sz w:val="16"/>
                <w:szCs w:val="16"/>
              </w:rPr>
            </w:pPr>
            <w:r w:rsidRPr="009E6D43">
              <w:rPr>
                <w:color w:val="000000"/>
                <w:sz w:val="16"/>
                <w:szCs w:val="16"/>
              </w:rPr>
              <w:t xml:space="preserve">  24 667</w:t>
            </w:r>
          </w:p>
        </w:tc>
        <w:tc>
          <w:tcPr>
            <w:tcW w:w="1082" w:type="dxa"/>
            <w:tcBorders>
              <w:top w:val="nil"/>
              <w:left w:val="nil"/>
              <w:right w:val="nil"/>
            </w:tcBorders>
            <w:shd w:val="clear" w:color="auto" w:fill="auto"/>
            <w:noWrap/>
            <w:vAlign w:val="center"/>
          </w:tcPr>
          <w:p w14:paraId="4B7E5B0B" w14:textId="0B4D14E7" w:rsidR="00CF65DE" w:rsidRPr="009E6D43" w:rsidRDefault="00CF65DE" w:rsidP="00CF65DE">
            <w:pPr>
              <w:tabs>
                <w:tab w:val="decimal" w:pos="789"/>
              </w:tabs>
              <w:jc w:val="left"/>
              <w:rPr>
                <w:color w:val="000000"/>
                <w:sz w:val="16"/>
                <w:szCs w:val="16"/>
              </w:rPr>
            </w:pPr>
            <w:r w:rsidRPr="009E6D43">
              <w:rPr>
                <w:color w:val="000000"/>
                <w:sz w:val="16"/>
                <w:szCs w:val="16"/>
              </w:rPr>
              <w:t xml:space="preserve">  18 068</w:t>
            </w:r>
          </w:p>
        </w:tc>
        <w:tc>
          <w:tcPr>
            <w:tcW w:w="1016" w:type="dxa"/>
            <w:tcBorders>
              <w:top w:val="nil"/>
              <w:left w:val="nil"/>
              <w:right w:val="single" w:sz="4" w:space="0" w:color="1F497D"/>
            </w:tcBorders>
            <w:shd w:val="clear" w:color="auto" w:fill="auto"/>
            <w:noWrap/>
            <w:vAlign w:val="center"/>
          </w:tcPr>
          <w:p w14:paraId="49779AC0" w14:textId="35BD684D" w:rsidR="00CF65DE" w:rsidRPr="009E6D43" w:rsidRDefault="00CF65DE" w:rsidP="00CF65DE">
            <w:pPr>
              <w:tabs>
                <w:tab w:val="decimal" w:pos="719"/>
              </w:tabs>
              <w:jc w:val="left"/>
              <w:rPr>
                <w:bCs/>
                <w:color w:val="000000"/>
                <w:sz w:val="16"/>
                <w:szCs w:val="16"/>
              </w:rPr>
            </w:pPr>
            <w:r w:rsidRPr="009E6D43">
              <w:rPr>
                <w:color w:val="000000"/>
                <w:sz w:val="16"/>
                <w:szCs w:val="16"/>
              </w:rPr>
              <w:t>-6 599</w:t>
            </w:r>
          </w:p>
        </w:tc>
        <w:tc>
          <w:tcPr>
            <w:tcW w:w="755" w:type="dxa"/>
            <w:tcBorders>
              <w:top w:val="nil"/>
              <w:left w:val="nil"/>
              <w:right w:val="nil"/>
            </w:tcBorders>
            <w:shd w:val="clear" w:color="auto" w:fill="auto"/>
            <w:noWrap/>
            <w:vAlign w:val="center"/>
          </w:tcPr>
          <w:p w14:paraId="0C7884DB" w14:textId="3204B30E" w:rsidR="00CF65DE" w:rsidRPr="009E6D43" w:rsidRDefault="00CF65DE" w:rsidP="00CF65DE">
            <w:pPr>
              <w:tabs>
                <w:tab w:val="decimal" w:pos="354"/>
              </w:tabs>
              <w:jc w:val="left"/>
              <w:rPr>
                <w:color w:val="000000"/>
                <w:sz w:val="16"/>
                <w:szCs w:val="16"/>
              </w:rPr>
            </w:pPr>
            <w:r w:rsidRPr="009E6D43">
              <w:rPr>
                <w:color w:val="000000"/>
                <w:sz w:val="16"/>
                <w:szCs w:val="16"/>
              </w:rPr>
              <w:t>1.5</w:t>
            </w:r>
          </w:p>
        </w:tc>
        <w:tc>
          <w:tcPr>
            <w:tcW w:w="755" w:type="dxa"/>
            <w:tcBorders>
              <w:top w:val="nil"/>
              <w:left w:val="nil"/>
              <w:right w:val="nil"/>
            </w:tcBorders>
            <w:shd w:val="clear" w:color="auto" w:fill="auto"/>
            <w:noWrap/>
            <w:vAlign w:val="center"/>
          </w:tcPr>
          <w:p w14:paraId="068D7584" w14:textId="6EB5D50E" w:rsidR="00CF65DE" w:rsidRPr="009E6D43" w:rsidRDefault="00CF65DE" w:rsidP="00CF65DE">
            <w:pPr>
              <w:tabs>
                <w:tab w:val="decimal" w:pos="354"/>
              </w:tabs>
              <w:jc w:val="left"/>
              <w:rPr>
                <w:color w:val="000000"/>
                <w:sz w:val="16"/>
                <w:szCs w:val="16"/>
              </w:rPr>
            </w:pPr>
            <w:r w:rsidRPr="009E6D43">
              <w:rPr>
                <w:color w:val="000000"/>
                <w:sz w:val="16"/>
                <w:szCs w:val="16"/>
              </w:rPr>
              <w:t>1.1</w:t>
            </w:r>
          </w:p>
        </w:tc>
        <w:tc>
          <w:tcPr>
            <w:tcW w:w="1038" w:type="dxa"/>
            <w:tcBorders>
              <w:top w:val="nil"/>
              <w:left w:val="nil"/>
              <w:right w:val="single" w:sz="4" w:space="0" w:color="1F497D"/>
            </w:tcBorders>
            <w:shd w:val="clear" w:color="auto" w:fill="auto"/>
            <w:noWrap/>
            <w:vAlign w:val="center"/>
          </w:tcPr>
          <w:p w14:paraId="7BE20604" w14:textId="43FBB2DF" w:rsidR="00CF65DE" w:rsidRPr="009E6D43" w:rsidRDefault="00CF65DE" w:rsidP="00CF65DE">
            <w:pPr>
              <w:tabs>
                <w:tab w:val="decimal" w:pos="402"/>
              </w:tabs>
              <w:jc w:val="left"/>
              <w:rPr>
                <w:color w:val="000000"/>
                <w:sz w:val="16"/>
                <w:szCs w:val="16"/>
              </w:rPr>
            </w:pPr>
            <w:r w:rsidRPr="009E6D43">
              <w:rPr>
                <w:color w:val="000000"/>
                <w:sz w:val="16"/>
                <w:szCs w:val="16"/>
              </w:rPr>
              <w:t>-0.4</w:t>
            </w:r>
          </w:p>
        </w:tc>
      </w:tr>
      <w:tr w:rsidR="00CF65DE" w:rsidRPr="009E6D43" w14:paraId="06977D17" w14:textId="77777777" w:rsidTr="00CF65DE">
        <w:trPr>
          <w:trHeight w:val="227"/>
          <w:jc w:val="center"/>
        </w:trPr>
        <w:tc>
          <w:tcPr>
            <w:tcW w:w="3664" w:type="dxa"/>
            <w:tcBorders>
              <w:top w:val="nil"/>
              <w:left w:val="single" w:sz="4" w:space="0" w:color="1F497D"/>
              <w:bottom w:val="single" w:sz="4" w:space="0" w:color="1F497D"/>
              <w:right w:val="single" w:sz="4" w:space="0" w:color="1F497D"/>
            </w:tcBorders>
            <w:shd w:val="clear" w:color="auto" w:fill="auto"/>
            <w:noWrap/>
            <w:vAlign w:val="center"/>
            <w:hideMark/>
          </w:tcPr>
          <w:p w14:paraId="10E7E766" w14:textId="77777777" w:rsidR="00CF65DE" w:rsidRPr="009E6D43" w:rsidRDefault="00CF65DE" w:rsidP="00CF65DE">
            <w:pPr>
              <w:ind w:firstLineChars="100" w:firstLine="160"/>
              <w:jc w:val="left"/>
              <w:rPr>
                <w:color w:val="000000"/>
                <w:sz w:val="16"/>
                <w:szCs w:val="16"/>
                <w:lang w:val="es-MX" w:eastAsia="es-MX"/>
              </w:rPr>
            </w:pPr>
            <w:r w:rsidRPr="009E6D43">
              <w:rPr>
                <w:color w:val="000000"/>
                <w:sz w:val="16"/>
                <w:szCs w:val="16"/>
                <w:lang w:val="es-MX" w:eastAsia="es-MX"/>
              </w:rPr>
              <w:t>No especificado</w:t>
            </w:r>
          </w:p>
        </w:tc>
        <w:tc>
          <w:tcPr>
            <w:tcW w:w="1082" w:type="dxa"/>
            <w:tcBorders>
              <w:top w:val="nil"/>
              <w:left w:val="nil"/>
              <w:bottom w:val="single" w:sz="4" w:space="0" w:color="1F497D"/>
              <w:right w:val="nil"/>
            </w:tcBorders>
            <w:shd w:val="clear" w:color="auto" w:fill="auto"/>
            <w:noWrap/>
            <w:vAlign w:val="center"/>
          </w:tcPr>
          <w:p w14:paraId="2BA4F372" w14:textId="5887A51A" w:rsidR="00CF65DE" w:rsidRPr="009E6D43" w:rsidRDefault="00CF65DE" w:rsidP="00CF65DE">
            <w:pPr>
              <w:tabs>
                <w:tab w:val="decimal" w:pos="821"/>
              </w:tabs>
              <w:jc w:val="left"/>
              <w:rPr>
                <w:color w:val="000000"/>
                <w:sz w:val="16"/>
                <w:szCs w:val="16"/>
              </w:rPr>
            </w:pPr>
            <w:r w:rsidRPr="009E6D43">
              <w:rPr>
                <w:color w:val="000000"/>
                <w:sz w:val="16"/>
                <w:szCs w:val="16"/>
              </w:rPr>
              <w:t xml:space="preserve">  108 528</w:t>
            </w:r>
          </w:p>
        </w:tc>
        <w:tc>
          <w:tcPr>
            <w:tcW w:w="1082" w:type="dxa"/>
            <w:tcBorders>
              <w:top w:val="nil"/>
              <w:left w:val="nil"/>
              <w:bottom w:val="single" w:sz="4" w:space="0" w:color="1F497D"/>
              <w:right w:val="nil"/>
            </w:tcBorders>
            <w:shd w:val="clear" w:color="auto" w:fill="auto"/>
            <w:noWrap/>
            <w:vAlign w:val="center"/>
          </w:tcPr>
          <w:p w14:paraId="721C2983" w14:textId="2F9F0945" w:rsidR="00CF65DE" w:rsidRPr="009E6D43" w:rsidRDefault="00CF65DE" w:rsidP="00CF65DE">
            <w:pPr>
              <w:tabs>
                <w:tab w:val="decimal" w:pos="789"/>
              </w:tabs>
              <w:jc w:val="left"/>
              <w:rPr>
                <w:color w:val="000000"/>
                <w:sz w:val="16"/>
                <w:szCs w:val="16"/>
              </w:rPr>
            </w:pPr>
            <w:r w:rsidRPr="009E6D43">
              <w:rPr>
                <w:color w:val="000000"/>
                <w:sz w:val="16"/>
                <w:szCs w:val="16"/>
              </w:rPr>
              <w:t xml:space="preserve">  110 364</w:t>
            </w:r>
          </w:p>
        </w:tc>
        <w:tc>
          <w:tcPr>
            <w:tcW w:w="1016" w:type="dxa"/>
            <w:tcBorders>
              <w:top w:val="nil"/>
              <w:left w:val="nil"/>
              <w:bottom w:val="single" w:sz="4" w:space="0" w:color="1F497D"/>
              <w:right w:val="single" w:sz="4" w:space="0" w:color="1F497D"/>
            </w:tcBorders>
            <w:shd w:val="clear" w:color="auto" w:fill="auto"/>
            <w:noWrap/>
            <w:vAlign w:val="center"/>
          </w:tcPr>
          <w:p w14:paraId="3D718345" w14:textId="65CF5304" w:rsidR="00CF65DE" w:rsidRPr="009E6D43" w:rsidRDefault="00CF65DE" w:rsidP="00CF65DE">
            <w:pPr>
              <w:tabs>
                <w:tab w:val="decimal" w:pos="812"/>
              </w:tabs>
              <w:jc w:val="left"/>
              <w:rPr>
                <w:bCs/>
                <w:color w:val="000000"/>
                <w:sz w:val="16"/>
                <w:szCs w:val="16"/>
              </w:rPr>
            </w:pPr>
            <w:r w:rsidRPr="009E6D43">
              <w:rPr>
                <w:color w:val="000000"/>
                <w:sz w:val="16"/>
                <w:szCs w:val="16"/>
              </w:rPr>
              <w:t>1 836</w:t>
            </w:r>
          </w:p>
        </w:tc>
        <w:tc>
          <w:tcPr>
            <w:tcW w:w="755" w:type="dxa"/>
            <w:tcBorders>
              <w:top w:val="nil"/>
              <w:left w:val="nil"/>
              <w:bottom w:val="single" w:sz="4" w:space="0" w:color="1F497D"/>
              <w:right w:val="nil"/>
            </w:tcBorders>
            <w:shd w:val="clear" w:color="auto" w:fill="auto"/>
            <w:noWrap/>
            <w:vAlign w:val="center"/>
          </w:tcPr>
          <w:p w14:paraId="46C5D17F" w14:textId="5CD3E422" w:rsidR="00CF65DE" w:rsidRPr="009E6D43" w:rsidRDefault="00CF65DE" w:rsidP="00CF65DE">
            <w:pPr>
              <w:tabs>
                <w:tab w:val="decimal" w:pos="354"/>
              </w:tabs>
              <w:jc w:val="left"/>
              <w:rPr>
                <w:color w:val="000000"/>
                <w:sz w:val="16"/>
                <w:szCs w:val="16"/>
                <w:lang w:val="es-MX" w:eastAsia="es-MX"/>
              </w:rPr>
            </w:pPr>
            <w:r w:rsidRPr="009E6D43">
              <w:rPr>
                <w:color w:val="000000"/>
                <w:sz w:val="16"/>
                <w:szCs w:val="16"/>
              </w:rPr>
              <w:t>6.6</w:t>
            </w:r>
          </w:p>
        </w:tc>
        <w:tc>
          <w:tcPr>
            <w:tcW w:w="755" w:type="dxa"/>
            <w:tcBorders>
              <w:top w:val="nil"/>
              <w:left w:val="nil"/>
              <w:bottom w:val="single" w:sz="4" w:space="0" w:color="1F497D"/>
              <w:right w:val="nil"/>
            </w:tcBorders>
            <w:shd w:val="clear" w:color="auto" w:fill="auto"/>
            <w:noWrap/>
            <w:vAlign w:val="center"/>
          </w:tcPr>
          <w:p w14:paraId="2E02D067" w14:textId="0A08C287" w:rsidR="00CF65DE" w:rsidRPr="009E6D43" w:rsidRDefault="00CF65DE" w:rsidP="00CF65DE">
            <w:pPr>
              <w:tabs>
                <w:tab w:val="decimal" w:pos="354"/>
              </w:tabs>
              <w:jc w:val="left"/>
              <w:rPr>
                <w:color w:val="000000"/>
                <w:sz w:val="16"/>
                <w:szCs w:val="16"/>
                <w:lang w:val="es-MX" w:eastAsia="es-MX"/>
              </w:rPr>
            </w:pPr>
            <w:r w:rsidRPr="009E6D43">
              <w:rPr>
                <w:color w:val="000000"/>
                <w:sz w:val="16"/>
                <w:szCs w:val="16"/>
              </w:rPr>
              <w:t>7.0</w:t>
            </w:r>
          </w:p>
        </w:tc>
        <w:tc>
          <w:tcPr>
            <w:tcW w:w="1038" w:type="dxa"/>
            <w:tcBorders>
              <w:top w:val="nil"/>
              <w:left w:val="nil"/>
              <w:bottom w:val="single" w:sz="4" w:space="0" w:color="1F497D"/>
              <w:right w:val="single" w:sz="4" w:space="0" w:color="1F497D"/>
            </w:tcBorders>
            <w:shd w:val="clear" w:color="auto" w:fill="auto"/>
            <w:noWrap/>
            <w:vAlign w:val="center"/>
          </w:tcPr>
          <w:p w14:paraId="3D01BC09" w14:textId="6D242367" w:rsidR="00CF65DE" w:rsidRPr="009E6D43" w:rsidRDefault="00CF65DE" w:rsidP="00CF65DE">
            <w:pPr>
              <w:tabs>
                <w:tab w:val="decimal" w:pos="402"/>
              </w:tabs>
              <w:jc w:val="left"/>
              <w:rPr>
                <w:color w:val="000000"/>
                <w:sz w:val="16"/>
                <w:szCs w:val="16"/>
                <w:lang w:val="es-MX" w:eastAsia="es-MX"/>
              </w:rPr>
            </w:pPr>
            <w:r w:rsidRPr="009E6D43">
              <w:rPr>
                <w:color w:val="000000"/>
                <w:sz w:val="16"/>
                <w:szCs w:val="16"/>
              </w:rPr>
              <w:t>0.4</w:t>
            </w:r>
          </w:p>
        </w:tc>
      </w:tr>
    </w:tbl>
    <w:p w14:paraId="7CA68A55" w14:textId="3B5049BB" w:rsidR="00457000" w:rsidRPr="009E6D43" w:rsidRDefault="00457000" w:rsidP="001D6242">
      <w:pPr>
        <w:pStyle w:val="n0"/>
        <w:keepLines w:val="0"/>
        <w:spacing w:before="0"/>
        <w:ind w:left="994" w:right="482" w:hanging="595"/>
        <w:rPr>
          <w:color w:val="auto"/>
          <w:sz w:val="16"/>
          <w:szCs w:val="16"/>
        </w:rPr>
      </w:pPr>
      <w:r w:rsidRPr="009E6D43">
        <w:rPr>
          <w:color w:val="auto"/>
          <w:sz w:val="18"/>
          <w:szCs w:val="16"/>
          <w:vertAlign w:val="superscript"/>
        </w:rPr>
        <w:t>a/</w:t>
      </w:r>
      <w:r w:rsidRPr="009E6D43">
        <w:rPr>
          <w:color w:val="auto"/>
          <w:sz w:val="16"/>
          <w:szCs w:val="16"/>
        </w:rPr>
        <w:tab/>
        <w:t xml:space="preserve">Porcentaje </w:t>
      </w:r>
      <w:r w:rsidR="00E02E94" w:rsidRPr="009E6D43">
        <w:rPr>
          <w:color w:val="auto"/>
          <w:sz w:val="16"/>
          <w:szCs w:val="16"/>
        </w:rPr>
        <w:t>respecto a</w:t>
      </w:r>
      <w:r w:rsidRPr="009E6D43">
        <w:rPr>
          <w:color w:val="auto"/>
          <w:sz w:val="16"/>
          <w:szCs w:val="16"/>
        </w:rPr>
        <w:t xml:space="preserve"> la población desocupada</w:t>
      </w:r>
      <w:r w:rsidR="00633799" w:rsidRPr="009E6D43">
        <w:rPr>
          <w:color w:val="auto"/>
          <w:sz w:val="16"/>
          <w:szCs w:val="16"/>
        </w:rPr>
        <w:t>.</w:t>
      </w:r>
    </w:p>
    <w:p w14:paraId="1C15DAD0" w14:textId="7F09979D" w:rsidR="007F04C2" w:rsidRPr="009E6D43" w:rsidRDefault="007F04C2" w:rsidP="001D6242">
      <w:pPr>
        <w:pStyle w:val="n0"/>
        <w:keepLines w:val="0"/>
        <w:spacing w:before="0"/>
        <w:ind w:left="994" w:right="482" w:hanging="595"/>
        <w:rPr>
          <w:color w:val="auto"/>
          <w:sz w:val="16"/>
          <w:szCs w:val="16"/>
        </w:rPr>
      </w:pPr>
      <w:r w:rsidRPr="009E6D43">
        <w:rPr>
          <w:color w:val="auto"/>
          <w:sz w:val="16"/>
          <w:szCs w:val="16"/>
        </w:rPr>
        <w:t>Fuente:</w:t>
      </w:r>
      <w:r w:rsidR="00D67F13" w:rsidRPr="009E6D43">
        <w:rPr>
          <w:color w:val="auto"/>
          <w:sz w:val="16"/>
          <w:szCs w:val="16"/>
        </w:rPr>
        <w:tab/>
      </w:r>
      <w:proofErr w:type="spellStart"/>
      <w:r w:rsidR="00DE0FC8" w:rsidRPr="009E6D43">
        <w:rPr>
          <w:smallCaps/>
          <w:color w:val="auto"/>
          <w:sz w:val="16"/>
          <w:szCs w:val="16"/>
        </w:rPr>
        <w:t>inegi</w:t>
      </w:r>
      <w:proofErr w:type="spellEnd"/>
      <w:r w:rsidR="00785C6F" w:rsidRPr="009E6D43">
        <w:rPr>
          <w:color w:val="auto"/>
          <w:sz w:val="16"/>
          <w:szCs w:val="16"/>
        </w:rPr>
        <w:t>.</w:t>
      </w:r>
      <w:r w:rsidR="00D67F13" w:rsidRPr="009E6D43">
        <w:rPr>
          <w:color w:val="auto"/>
          <w:sz w:val="16"/>
          <w:szCs w:val="16"/>
        </w:rPr>
        <w:t xml:space="preserve"> </w:t>
      </w:r>
      <w:proofErr w:type="spellStart"/>
      <w:r w:rsidR="00DE0FC8" w:rsidRPr="009E6D43">
        <w:rPr>
          <w:smallCaps/>
          <w:color w:val="auto"/>
          <w:sz w:val="16"/>
          <w:szCs w:val="16"/>
        </w:rPr>
        <w:t>enoe</w:t>
      </w:r>
      <w:r w:rsidR="00DE0FC8" w:rsidRPr="009E6D43">
        <w:rPr>
          <w:smallCaps/>
          <w:color w:val="auto"/>
          <w:sz w:val="16"/>
          <w:szCs w:val="16"/>
          <w:vertAlign w:val="superscript"/>
        </w:rPr>
        <w:t>n</w:t>
      </w:r>
      <w:proofErr w:type="spellEnd"/>
      <w:r w:rsidR="00027130" w:rsidRPr="009E6D43">
        <w:rPr>
          <w:color w:val="auto"/>
          <w:sz w:val="16"/>
          <w:szCs w:val="16"/>
        </w:rPr>
        <w:t>, 2022</w:t>
      </w:r>
      <w:r w:rsidR="00785C6F" w:rsidRPr="009E6D43">
        <w:rPr>
          <w:color w:val="auto"/>
          <w:sz w:val="16"/>
          <w:szCs w:val="16"/>
        </w:rPr>
        <w:t>.</w:t>
      </w:r>
      <w:r w:rsidR="00F14B75" w:rsidRPr="009E6D43">
        <w:rPr>
          <w:color w:val="auto"/>
          <w:sz w:val="16"/>
          <w:szCs w:val="16"/>
        </w:rPr>
        <w:t xml:space="preserve"> </w:t>
      </w:r>
      <w:proofErr w:type="spellStart"/>
      <w:r w:rsidR="00DE0FC8" w:rsidRPr="009E6D43">
        <w:rPr>
          <w:smallCaps/>
          <w:color w:val="auto"/>
          <w:sz w:val="16"/>
          <w:szCs w:val="16"/>
        </w:rPr>
        <w:t>enoe</w:t>
      </w:r>
      <w:proofErr w:type="spellEnd"/>
      <w:r w:rsidR="00027130" w:rsidRPr="009E6D43">
        <w:rPr>
          <w:color w:val="auto"/>
          <w:sz w:val="16"/>
          <w:szCs w:val="16"/>
        </w:rPr>
        <w:t>, 2023</w:t>
      </w:r>
      <w:r w:rsidR="00785C6F" w:rsidRPr="009E6D43">
        <w:rPr>
          <w:color w:val="auto"/>
          <w:sz w:val="16"/>
          <w:szCs w:val="16"/>
        </w:rPr>
        <w:t>.</w:t>
      </w:r>
    </w:p>
    <w:p w14:paraId="0D7821D3" w14:textId="2CE22C84" w:rsidR="00DE61FC" w:rsidRPr="009E6D43" w:rsidRDefault="00073EBF" w:rsidP="00AD1BD0">
      <w:pPr>
        <w:pStyle w:val="Textoindependiente"/>
        <w:keepLines/>
        <w:widowControl w:val="0"/>
        <w:rPr>
          <w:color w:val="auto"/>
          <w:szCs w:val="23"/>
        </w:rPr>
      </w:pPr>
      <w:r w:rsidRPr="009E6D43">
        <w:rPr>
          <w:color w:val="auto"/>
          <w:szCs w:val="23"/>
        </w:rPr>
        <w:t>S</w:t>
      </w:r>
      <w:r w:rsidR="00455E98" w:rsidRPr="009E6D43">
        <w:rPr>
          <w:color w:val="auto"/>
          <w:szCs w:val="23"/>
        </w:rPr>
        <w:t xml:space="preserve">i se considera </w:t>
      </w:r>
      <w:r w:rsidR="00DE61FC" w:rsidRPr="009E6D43">
        <w:rPr>
          <w:color w:val="auto"/>
          <w:szCs w:val="23"/>
        </w:rPr>
        <w:t xml:space="preserve">solamente el agregado urbano de 32 ciudades del país, en donde el mercado de trabajo está más organizado, </w:t>
      </w:r>
      <w:r w:rsidR="005D152F" w:rsidRPr="009E6D43">
        <w:rPr>
          <w:color w:val="auto"/>
          <w:szCs w:val="23"/>
        </w:rPr>
        <w:t>8</w:t>
      </w:r>
      <w:r w:rsidR="00F61CC6" w:rsidRPr="009E6D43">
        <w:rPr>
          <w:color w:val="auto"/>
          <w:szCs w:val="23"/>
        </w:rPr>
        <w:t>12</w:t>
      </w:r>
      <w:r w:rsidR="008E766E" w:rsidRPr="009E6D43">
        <w:rPr>
          <w:color w:val="auto"/>
          <w:szCs w:val="23"/>
        </w:rPr>
        <w:t xml:space="preserve"> </w:t>
      </w:r>
      <w:r w:rsidR="0058346B" w:rsidRPr="009E6D43">
        <w:rPr>
          <w:color w:val="auto"/>
          <w:szCs w:val="23"/>
        </w:rPr>
        <w:t>mil</w:t>
      </w:r>
      <w:r w:rsidR="00414515" w:rsidRPr="009E6D43">
        <w:rPr>
          <w:color w:val="auto"/>
          <w:szCs w:val="23"/>
        </w:rPr>
        <w:t xml:space="preserve"> </w:t>
      </w:r>
      <w:r w:rsidR="00210763" w:rsidRPr="009E6D43">
        <w:rPr>
          <w:color w:val="auto"/>
          <w:szCs w:val="23"/>
        </w:rPr>
        <w:t>personas estuvieron desocupadas</w:t>
      </w:r>
      <w:r w:rsidR="00013137">
        <w:rPr>
          <w:color w:val="auto"/>
          <w:szCs w:val="23"/>
        </w:rPr>
        <w:t xml:space="preserve">. Lo anterior </w:t>
      </w:r>
      <w:r w:rsidR="00BA5A31" w:rsidRPr="009E6D43">
        <w:rPr>
          <w:color w:val="auto"/>
          <w:szCs w:val="23"/>
        </w:rPr>
        <w:t>represent</w:t>
      </w:r>
      <w:r w:rsidR="005D152F" w:rsidRPr="009E6D43">
        <w:rPr>
          <w:color w:val="auto"/>
          <w:szCs w:val="23"/>
        </w:rPr>
        <w:t>ó</w:t>
      </w:r>
      <w:r w:rsidR="00BA5A31" w:rsidRPr="009E6D43">
        <w:rPr>
          <w:color w:val="auto"/>
          <w:szCs w:val="23"/>
        </w:rPr>
        <w:t xml:space="preserve"> una </w:t>
      </w:r>
      <w:proofErr w:type="spellStart"/>
      <w:r w:rsidR="008764CC" w:rsidRPr="009E6D43">
        <w:rPr>
          <w:smallCaps/>
          <w:color w:val="auto"/>
          <w:szCs w:val="23"/>
        </w:rPr>
        <w:t>td</w:t>
      </w:r>
      <w:proofErr w:type="spellEnd"/>
      <w:r w:rsidR="00DE61FC" w:rsidRPr="009E6D43">
        <w:rPr>
          <w:color w:val="auto"/>
          <w:szCs w:val="23"/>
        </w:rPr>
        <w:t xml:space="preserve"> </w:t>
      </w:r>
      <w:r w:rsidR="00FA1543" w:rsidRPr="009E6D43">
        <w:rPr>
          <w:color w:val="auto"/>
          <w:szCs w:val="23"/>
        </w:rPr>
        <w:t>u</w:t>
      </w:r>
      <w:r w:rsidR="00DE61FC" w:rsidRPr="009E6D43">
        <w:rPr>
          <w:color w:val="auto"/>
          <w:szCs w:val="23"/>
        </w:rPr>
        <w:t xml:space="preserve">rbana </w:t>
      </w:r>
      <w:r w:rsidR="00BA5A31" w:rsidRPr="009E6D43">
        <w:rPr>
          <w:color w:val="auto"/>
          <w:szCs w:val="23"/>
        </w:rPr>
        <w:t xml:space="preserve">de </w:t>
      </w:r>
      <w:r w:rsidR="0007540F" w:rsidRPr="009E6D43">
        <w:rPr>
          <w:color w:val="auto"/>
          <w:szCs w:val="23"/>
        </w:rPr>
        <w:t>3.</w:t>
      </w:r>
      <w:r w:rsidR="00F61CC6" w:rsidRPr="009E6D43">
        <w:rPr>
          <w:color w:val="auto"/>
          <w:szCs w:val="23"/>
        </w:rPr>
        <w:t>1</w:t>
      </w:r>
      <w:r w:rsidR="005B6C22" w:rsidRPr="009E6D43">
        <w:rPr>
          <w:color w:val="auto"/>
          <w:szCs w:val="23"/>
        </w:rPr>
        <w:t xml:space="preserve"> por ciento</w:t>
      </w:r>
      <w:r w:rsidR="00DE61FC" w:rsidRPr="009E6D43">
        <w:rPr>
          <w:color w:val="auto"/>
          <w:szCs w:val="23"/>
        </w:rPr>
        <w:t>.</w:t>
      </w:r>
    </w:p>
    <w:p w14:paraId="54B66156" w14:textId="77777777" w:rsidR="00441953" w:rsidRPr="009E6D43" w:rsidRDefault="00441953" w:rsidP="00271252">
      <w:pPr>
        <w:spacing w:before="360"/>
        <w:jc w:val="center"/>
      </w:pPr>
      <w:r w:rsidRPr="009E6D43">
        <w:rPr>
          <w:sz w:val="20"/>
        </w:rPr>
        <w:t xml:space="preserve">Cuadro </w:t>
      </w:r>
      <w:r w:rsidR="0002223F" w:rsidRPr="009E6D43">
        <w:rPr>
          <w:sz w:val="20"/>
        </w:rPr>
        <w:t>8</w:t>
      </w:r>
    </w:p>
    <w:p w14:paraId="61BB2208" w14:textId="22A08C2A" w:rsidR="00BF71E0" w:rsidRPr="009E6D43" w:rsidRDefault="00441953" w:rsidP="008E2BB5">
      <w:pPr>
        <w:pStyle w:val="n01"/>
        <w:keepLines w:val="0"/>
        <w:widowControl w:val="0"/>
        <w:spacing w:before="0"/>
        <w:ind w:left="0" w:firstLine="0"/>
        <w:jc w:val="center"/>
        <w:rPr>
          <w:rFonts w:ascii="Arial" w:hAnsi="Arial"/>
          <w:b/>
          <w:smallCaps/>
          <w:color w:val="auto"/>
          <w:sz w:val="22"/>
          <w:szCs w:val="22"/>
        </w:rPr>
      </w:pPr>
      <w:r w:rsidRPr="009E6D43">
        <w:rPr>
          <w:rFonts w:ascii="Arial" w:hAnsi="Arial"/>
          <w:b/>
          <w:smallCaps/>
          <w:color w:val="auto"/>
          <w:sz w:val="22"/>
          <w:szCs w:val="22"/>
        </w:rPr>
        <w:t>Tasa de desocupación</w:t>
      </w:r>
      <w:r w:rsidR="006F5CDB" w:rsidRPr="009E6D43">
        <w:rPr>
          <w:rFonts w:ascii="Arial" w:hAnsi="Arial"/>
          <w:b/>
          <w:smallCaps/>
          <w:color w:val="auto"/>
          <w:sz w:val="22"/>
          <w:szCs w:val="22"/>
        </w:rPr>
        <w:t xml:space="preserve"> </w:t>
      </w:r>
      <w:r w:rsidRPr="009E6D43">
        <w:rPr>
          <w:rFonts w:ascii="Arial" w:hAnsi="Arial"/>
          <w:b/>
          <w:smallCaps/>
          <w:color w:val="auto"/>
          <w:sz w:val="22"/>
          <w:szCs w:val="22"/>
        </w:rPr>
        <w:t xml:space="preserve">por </w:t>
      </w:r>
      <w:r w:rsidR="009935C5" w:rsidRPr="009E6D43">
        <w:rPr>
          <w:rFonts w:ascii="Arial" w:hAnsi="Arial"/>
          <w:b/>
          <w:smallCaps/>
          <w:color w:val="auto"/>
          <w:sz w:val="22"/>
          <w:szCs w:val="22"/>
        </w:rPr>
        <w:t>agregación</w:t>
      </w:r>
      <w:r w:rsidR="00E46F75" w:rsidRPr="009E6D43">
        <w:rPr>
          <w:rFonts w:ascii="Arial" w:hAnsi="Arial"/>
          <w:b/>
          <w:smallCaps/>
          <w:color w:val="auto"/>
          <w:sz w:val="22"/>
          <w:szCs w:val="22"/>
        </w:rPr>
        <w:t>,</w:t>
      </w:r>
      <w:r w:rsidR="009935C5" w:rsidRPr="009E6D43">
        <w:rPr>
          <w:rFonts w:ascii="Arial" w:hAnsi="Arial"/>
          <w:b/>
          <w:smallCaps/>
          <w:color w:val="auto"/>
          <w:sz w:val="22"/>
          <w:szCs w:val="22"/>
        </w:rPr>
        <w:t xml:space="preserve"> según </w:t>
      </w:r>
      <w:r w:rsidRPr="009E6D43">
        <w:rPr>
          <w:rFonts w:ascii="Arial" w:hAnsi="Arial"/>
          <w:b/>
          <w:smallCaps/>
          <w:color w:val="auto"/>
          <w:sz w:val="22"/>
          <w:szCs w:val="22"/>
        </w:rPr>
        <w:t>sexo</w:t>
      </w:r>
    </w:p>
    <w:p w14:paraId="4CD98E37" w14:textId="1E614F8E" w:rsidR="00441953" w:rsidRPr="009E6D43" w:rsidRDefault="00CD61EC" w:rsidP="008E2BB5">
      <w:pPr>
        <w:pStyle w:val="n01"/>
        <w:keepLines w:val="0"/>
        <w:widowControl w:val="0"/>
        <w:spacing w:before="0"/>
        <w:ind w:left="0" w:firstLine="0"/>
        <w:jc w:val="center"/>
        <w:rPr>
          <w:rFonts w:ascii="Arial" w:hAnsi="Arial"/>
          <w:color w:val="auto"/>
          <w:sz w:val="20"/>
          <w:szCs w:val="20"/>
        </w:rPr>
      </w:pPr>
      <w:r w:rsidRPr="009E6D43">
        <w:rPr>
          <w:rFonts w:ascii="Arial" w:hAnsi="Arial"/>
          <w:bCs/>
          <w:color w:val="auto"/>
          <w:sz w:val="20"/>
          <w:szCs w:val="20"/>
        </w:rPr>
        <w:t>dic</w:t>
      </w:r>
      <w:r w:rsidR="00F8137B" w:rsidRPr="009E6D43">
        <w:rPr>
          <w:rFonts w:ascii="Arial" w:hAnsi="Arial"/>
          <w:bCs/>
          <w:color w:val="auto"/>
          <w:sz w:val="20"/>
          <w:szCs w:val="20"/>
        </w:rPr>
        <w:t>iembre</w:t>
      </w:r>
      <w:r w:rsidR="00BF71E0" w:rsidRPr="009E6D43">
        <w:rPr>
          <w:rFonts w:ascii="Arial" w:hAnsi="Arial"/>
          <w:bCs/>
          <w:color w:val="auto"/>
          <w:sz w:val="20"/>
          <w:szCs w:val="20"/>
        </w:rPr>
        <w:t xml:space="preserve"> de 2023</w:t>
      </w:r>
      <w:r w:rsidR="006E7FFD" w:rsidRPr="009E6D43">
        <w:rPr>
          <w:rFonts w:ascii="Arial" w:hAnsi="Arial"/>
          <w:b/>
          <w:smallCaps/>
          <w:color w:val="auto"/>
          <w:sz w:val="22"/>
          <w:szCs w:val="22"/>
        </w:rPr>
        <w:br/>
      </w:r>
      <w:r w:rsidR="00441953" w:rsidRPr="009E6D43">
        <w:rPr>
          <w:rFonts w:ascii="Arial" w:hAnsi="Arial"/>
          <w:color w:val="auto"/>
          <w:sz w:val="18"/>
          <w:szCs w:val="18"/>
          <w:lang w:val="es-MX"/>
        </w:rPr>
        <w:t>(</w:t>
      </w:r>
      <w:r w:rsidR="009C5012" w:rsidRPr="009E6D43">
        <w:rPr>
          <w:rFonts w:ascii="Arial" w:hAnsi="Arial"/>
          <w:bCs/>
          <w:color w:val="auto"/>
          <w:sz w:val="18"/>
          <w:szCs w:val="18"/>
        </w:rPr>
        <w:t xml:space="preserve">porcentaje respecto a la </w:t>
      </w:r>
      <w:r w:rsidR="009C5012" w:rsidRPr="009E6D43">
        <w:rPr>
          <w:rFonts w:ascii="Arial" w:hAnsi="Arial"/>
          <w:bCs/>
          <w:smallCaps/>
          <w:color w:val="auto"/>
          <w:sz w:val="18"/>
          <w:szCs w:val="18"/>
        </w:rPr>
        <w:t>pea</w:t>
      </w:r>
      <w:r w:rsidR="00441953" w:rsidRPr="009E6D43">
        <w:rPr>
          <w:rFonts w:ascii="Arial" w:hAnsi="Arial"/>
          <w:color w:val="auto"/>
          <w:sz w:val="18"/>
          <w:szCs w:val="18"/>
          <w:lang w:val="es-MX"/>
        </w:rPr>
        <w:t>)</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E6D43" w14:paraId="4EC2F813"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5131B084" w14:textId="2BD092AE" w:rsidR="009935C5" w:rsidRPr="009E6D43" w:rsidRDefault="009935C5" w:rsidP="00B0055F">
            <w:pPr>
              <w:jc w:val="left"/>
              <w:rPr>
                <w:b/>
                <w:bCs/>
                <w:color w:val="000000"/>
                <w:sz w:val="16"/>
                <w:szCs w:val="18"/>
                <w:lang w:val="es-MX" w:eastAsia="es-MX"/>
              </w:rPr>
            </w:pPr>
            <w:r w:rsidRPr="009E6D43">
              <w:rPr>
                <w:b/>
                <w:bCs/>
                <w:color w:val="000000"/>
                <w:sz w:val="16"/>
                <w:szCs w:val="18"/>
                <w:lang w:val="es-MX" w:eastAsia="es-MX"/>
              </w:rPr>
              <w:t>Tasa</w:t>
            </w:r>
            <w:r w:rsidR="001A0F23" w:rsidRPr="009E6D43">
              <w:rPr>
                <w:b/>
                <w:bCs/>
                <w:color w:val="000000"/>
                <w:sz w:val="16"/>
                <w:szCs w:val="18"/>
                <w:lang w:val="es-MX" w:eastAsia="es-MX"/>
              </w:rPr>
              <w:t>s</w:t>
            </w:r>
            <w:r w:rsidR="00B0055F" w:rsidRPr="009E6D43">
              <w:rPr>
                <w:b/>
                <w:bCs/>
                <w:color w:val="000000"/>
                <w:sz w:val="16"/>
                <w:szCs w:val="18"/>
                <w:lang w:val="es-MX" w:eastAsia="es-MX"/>
              </w:rPr>
              <w:t xml:space="preserve"> </w:t>
            </w:r>
            <w:r w:rsidRPr="009E6D43">
              <w:rPr>
                <w:b/>
                <w:bCs/>
                <w:color w:val="000000"/>
                <w:sz w:val="16"/>
                <w:szCs w:val="18"/>
                <w:lang w:val="es-MX" w:eastAsia="es-MX"/>
              </w:rPr>
              <w:t>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4D9E4D" w14:textId="77777777" w:rsidR="009935C5" w:rsidRPr="009E6D43" w:rsidRDefault="009935C5" w:rsidP="005C1830">
            <w:pPr>
              <w:jc w:val="center"/>
              <w:rPr>
                <w:b/>
                <w:bCs/>
                <w:color w:val="000000"/>
                <w:sz w:val="16"/>
                <w:szCs w:val="18"/>
                <w:lang w:val="es-MX" w:eastAsia="es-MX"/>
              </w:rPr>
            </w:pPr>
            <w:r w:rsidRPr="009E6D43">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EBEF4D3" w14:textId="77777777" w:rsidR="009935C5" w:rsidRPr="009E6D43" w:rsidRDefault="009935C5" w:rsidP="005C1830">
            <w:pPr>
              <w:jc w:val="center"/>
              <w:rPr>
                <w:b/>
                <w:bCs/>
                <w:color w:val="000000"/>
                <w:sz w:val="16"/>
                <w:szCs w:val="18"/>
                <w:lang w:val="es-MX" w:eastAsia="es-MX"/>
              </w:rPr>
            </w:pPr>
            <w:r w:rsidRPr="009E6D43">
              <w:rPr>
                <w:b/>
                <w:bCs/>
                <w:color w:val="000000"/>
                <w:sz w:val="16"/>
                <w:szCs w:val="16"/>
                <w:lang w:val="es-MX" w:eastAsia="es-MX"/>
              </w:rPr>
              <w:t>Agregado urbano de 32 ciudades</w:t>
            </w:r>
          </w:p>
        </w:tc>
      </w:tr>
      <w:tr w:rsidR="00CF65DE" w:rsidRPr="009E6D43" w14:paraId="777C663B" w14:textId="77777777" w:rsidTr="00CF65DE">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8B3DE4D" w14:textId="59D0E542" w:rsidR="00CF65DE" w:rsidRPr="009E6D43" w:rsidRDefault="00CF65DE" w:rsidP="00CF65DE">
            <w:pPr>
              <w:ind w:firstLineChars="41" w:firstLine="66"/>
              <w:jc w:val="left"/>
              <w:rPr>
                <w:color w:val="000000"/>
                <w:sz w:val="16"/>
                <w:szCs w:val="16"/>
                <w:lang w:val="es-MX" w:eastAsia="es-MX"/>
              </w:rPr>
            </w:pPr>
            <w:r w:rsidRPr="009E6D43">
              <w:rPr>
                <w:color w:val="000000"/>
                <w:sz w:val="16"/>
                <w:szCs w:val="16"/>
                <w:lang w:val="es-MX" w:eastAsia="es-MX"/>
              </w:rPr>
              <w:t>Tasa de desocupación (</w:t>
            </w:r>
            <w:proofErr w:type="spellStart"/>
            <w:r w:rsidRPr="009E6D43">
              <w:rPr>
                <w:smallCaps/>
                <w:color w:val="000000"/>
                <w:sz w:val="16"/>
                <w:szCs w:val="16"/>
                <w:lang w:val="es-MX" w:eastAsia="es-MX"/>
              </w:rPr>
              <w:t>td</w:t>
            </w:r>
            <w:proofErr w:type="spellEnd"/>
            <w:r w:rsidRPr="009E6D43">
              <w:rPr>
                <w:color w:val="000000"/>
                <w:sz w:val="16"/>
                <w:szCs w:val="16"/>
                <w:lang w:val="es-MX" w:eastAsia="es-MX"/>
              </w:rPr>
              <w:t>)</w:t>
            </w:r>
          </w:p>
        </w:tc>
        <w:tc>
          <w:tcPr>
            <w:tcW w:w="1701" w:type="dxa"/>
            <w:tcBorders>
              <w:top w:val="nil"/>
              <w:left w:val="single" w:sz="4" w:space="0" w:color="1F497D"/>
              <w:bottom w:val="nil"/>
              <w:right w:val="single" w:sz="4" w:space="0" w:color="1F497D"/>
            </w:tcBorders>
            <w:shd w:val="clear" w:color="auto" w:fill="auto"/>
            <w:noWrap/>
            <w:vAlign w:val="center"/>
          </w:tcPr>
          <w:p w14:paraId="1763EAF2" w14:textId="2656C9D5" w:rsidR="00CF65DE" w:rsidRPr="009E6D43" w:rsidRDefault="00CF65DE" w:rsidP="00CF65DE">
            <w:pPr>
              <w:tabs>
                <w:tab w:val="decimal" w:pos="758"/>
              </w:tabs>
              <w:ind w:firstLineChars="39" w:firstLine="62"/>
              <w:jc w:val="left"/>
              <w:rPr>
                <w:color w:val="000000"/>
                <w:sz w:val="16"/>
                <w:szCs w:val="16"/>
                <w:lang w:val="es-MX" w:eastAsia="es-MX"/>
              </w:rPr>
            </w:pPr>
            <w:r w:rsidRPr="009E6D43">
              <w:rPr>
                <w:color w:val="000000"/>
                <w:sz w:val="16"/>
                <w:szCs w:val="16"/>
              </w:rPr>
              <w:t>2.6</w:t>
            </w:r>
          </w:p>
        </w:tc>
        <w:tc>
          <w:tcPr>
            <w:tcW w:w="1701" w:type="dxa"/>
            <w:tcBorders>
              <w:top w:val="nil"/>
              <w:left w:val="nil"/>
              <w:bottom w:val="nil"/>
              <w:right w:val="single" w:sz="4" w:space="0" w:color="1F497D"/>
            </w:tcBorders>
            <w:shd w:val="clear" w:color="auto" w:fill="auto"/>
            <w:noWrap/>
            <w:vAlign w:val="center"/>
          </w:tcPr>
          <w:p w14:paraId="6F38F784" w14:textId="41033054" w:rsidR="00CF65DE" w:rsidRPr="009E6D43" w:rsidRDefault="00CF65DE" w:rsidP="00CF65DE">
            <w:pPr>
              <w:tabs>
                <w:tab w:val="decimal" w:pos="758"/>
              </w:tabs>
              <w:ind w:firstLineChars="39" w:firstLine="62"/>
              <w:jc w:val="left"/>
              <w:rPr>
                <w:color w:val="000000"/>
                <w:sz w:val="16"/>
                <w:szCs w:val="16"/>
                <w:lang w:val="es-MX" w:eastAsia="es-MX"/>
              </w:rPr>
            </w:pPr>
            <w:r w:rsidRPr="009E6D43">
              <w:rPr>
                <w:color w:val="000000"/>
                <w:sz w:val="16"/>
                <w:szCs w:val="16"/>
              </w:rPr>
              <w:t>3.1</w:t>
            </w:r>
          </w:p>
        </w:tc>
      </w:tr>
      <w:tr w:rsidR="00CF65DE" w:rsidRPr="009E6D43" w14:paraId="71D157F5" w14:textId="77777777" w:rsidTr="00CF65DE">
        <w:trPr>
          <w:trHeight w:hRule="exact" w:val="255"/>
          <w:jc w:val="center"/>
        </w:trPr>
        <w:tc>
          <w:tcPr>
            <w:tcW w:w="2837" w:type="dxa"/>
            <w:tcBorders>
              <w:top w:val="nil"/>
              <w:left w:val="single" w:sz="4" w:space="0" w:color="1F497D"/>
              <w:right w:val="nil"/>
            </w:tcBorders>
            <w:shd w:val="clear" w:color="auto" w:fill="auto"/>
            <w:noWrap/>
            <w:vAlign w:val="center"/>
            <w:hideMark/>
          </w:tcPr>
          <w:p w14:paraId="7A6AD932" w14:textId="7F9C39CF" w:rsidR="00CF65DE" w:rsidRPr="009E6D43" w:rsidRDefault="00CF65DE" w:rsidP="00CF65DE">
            <w:pPr>
              <w:ind w:firstLineChars="41" w:firstLine="66"/>
              <w:jc w:val="left"/>
              <w:rPr>
                <w:color w:val="000000"/>
                <w:sz w:val="16"/>
                <w:szCs w:val="16"/>
                <w:lang w:val="es-MX" w:eastAsia="es-MX"/>
              </w:rPr>
            </w:pPr>
            <w:proofErr w:type="spellStart"/>
            <w:r w:rsidRPr="009E6D43">
              <w:rPr>
                <w:smallCaps/>
                <w:color w:val="000000"/>
                <w:sz w:val="16"/>
                <w:szCs w:val="16"/>
                <w:lang w:val="es-MX" w:eastAsia="es-MX"/>
              </w:rPr>
              <w:t>td</w:t>
            </w:r>
            <w:proofErr w:type="spellEnd"/>
            <w:r w:rsidRPr="009E6D43">
              <w:rPr>
                <w:color w:val="000000"/>
                <w:sz w:val="16"/>
                <w:szCs w:val="16"/>
                <w:lang w:val="es-MX" w:eastAsia="es-MX"/>
              </w:rPr>
              <w:t xml:space="preserve"> hombres</w:t>
            </w:r>
          </w:p>
        </w:tc>
        <w:tc>
          <w:tcPr>
            <w:tcW w:w="1701" w:type="dxa"/>
            <w:tcBorders>
              <w:top w:val="nil"/>
              <w:left w:val="single" w:sz="4" w:space="0" w:color="1F497D"/>
              <w:right w:val="single" w:sz="4" w:space="0" w:color="1F497D"/>
            </w:tcBorders>
            <w:shd w:val="clear" w:color="auto" w:fill="auto"/>
            <w:noWrap/>
            <w:vAlign w:val="center"/>
          </w:tcPr>
          <w:p w14:paraId="701B456D" w14:textId="70F70892" w:rsidR="00CF65DE" w:rsidRPr="009E6D43" w:rsidRDefault="00CF65DE" w:rsidP="00CF65DE">
            <w:pPr>
              <w:tabs>
                <w:tab w:val="decimal" w:pos="758"/>
              </w:tabs>
              <w:ind w:firstLineChars="39" w:firstLine="62"/>
              <w:jc w:val="left"/>
              <w:rPr>
                <w:color w:val="000000"/>
                <w:sz w:val="16"/>
                <w:szCs w:val="16"/>
                <w:lang w:val="es-MX" w:eastAsia="es-MX"/>
              </w:rPr>
            </w:pPr>
            <w:r w:rsidRPr="009E6D43">
              <w:rPr>
                <w:color w:val="000000"/>
                <w:sz w:val="16"/>
                <w:szCs w:val="16"/>
              </w:rPr>
              <w:t>2.6</w:t>
            </w:r>
          </w:p>
        </w:tc>
        <w:tc>
          <w:tcPr>
            <w:tcW w:w="1701" w:type="dxa"/>
            <w:tcBorders>
              <w:top w:val="nil"/>
              <w:left w:val="nil"/>
              <w:right w:val="single" w:sz="4" w:space="0" w:color="1F497D"/>
            </w:tcBorders>
            <w:shd w:val="clear" w:color="auto" w:fill="auto"/>
            <w:noWrap/>
            <w:vAlign w:val="center"/>
          </w:tcPr>
          <w:p w14:paraId="614366F3" w14:textId="2E642884" w:rsidR="00CF65DE" w:rsidRPr="009E6D43" w:rsidRDefault="00CF65DE" w:rsidP="00CF65DE">
            <w:pPr>
              <w:tabs>
                <w:tab w:val="decimal" w:pos="758"/>
              </w:tabs>
              <w:ind w:firstLineChars="39" w:firstLine="62"/>
              <w:jc w:val="left"/>
              <w:rPr>
                <w:color w:val="000000"/>
                <w:sz w:val="16"/>
                <w:szCs w:val="16"/>
                <w:lang w:val="es-MX" w:eastAsia="es-MX"/>
              </w:rPr>
            </w:pPr>
            <w:r w:rsidRPr="009E6D43">
              <w:rPr>
                <w:color w:val="000000"/>
                <w:sz w:val="16"/>
                <w:szCs w:val="16"/>
              </w:rPr>
              <w:t>3.2</w:t>
            </w:r>
          </w:p>
        </w:tc>
      </w:tr>
      <w:tr w:rsidR="00CF65DE" w:rsidRPr="009E6D43" w14:paraId="6C0409F8" w14:textId="77777777" w:rsidTr="00CF65DE">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0728507D" w14:textId="0F59CCD4" w:rsidR="00CF65DE" w:rsidRPr="009E6D43" w:rsidRDefault="00CF65DE" w:rsidP="00CF65DE">
            <w:pPr>
              <w:ind w:firstLineChars="41" w:firstLine="66"/>
              <w:jc w:val="left"/>
              <w:rPr>
                <w:color w:val="000000"/>
                <w:sz w:val="16"/>
                <w:szCs w:val="16"/>
                <w:lang w:val="es-MX" w:eastAsia="es-MX"/>
              </w:rPr>
            </w:pPr>
            <w:proofErr w:type="spellStart"/>
            <w:r w:rsidRPr="009E6D43">
              <w:rPr>
                <w:smallCaps/>
                <w:color w:val="000000"/>
                <w:sz w:val="16"/>
                <w:szCs w:val="16"/>
                <w:lang w:val="es-MX" w:eastAsia="es-MX"/>
              </w:rPr>
              <w:t>td</w:t>
            </w:r>
            <w:proofErr w:type="spellEnd"/>
            <w:r w:rsidRPr="009E6D43">
              <w:rPr>
                <w:color w:val="000000"/>
                <w:sz w:val="16"/>
                <w:szCs w:val="16"/>
                <w:lang w:val="es-MX" w:eastAsia="es-MX"/>
              </w:rPr>
              <w:t xml:space="preserve">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30A46FE7" w14:textId="7F687858" w:rsidR="00CF65DE" w:rsidRPr="009E6D43" w:rsidRDefault="00CF65DE" w:rsidP="00CF65DE">
            <w:pPr>
              <w:tabs>
                <w:tab w:val="decimal" w:pos="758"/>
              </w:tabs>
              <w:ind w:firstLineChars="39" w:firstLine="62"/>
              <w:jc w:val="left"/>
              <w:rPr>
                <w:color w:val="000000"/>
                <w:sz w:val="16"/>
                <w:szCs w:val="16"/>
                <w:lang w:val="es-MX" w:eastAsia="es-MX"/>
              </w:rPr>
            </w:pPr>
            <w:r w:rsidRPr="009E6D43">
              <w:rPr>
                <w:color w:val="000000"/>
                <w:sz w:val="16"/>
                <w:szCs w:val="16"/>
              </w:rPr>
              <w:t>2.6</w:t>
            </w:r>
          </w:p>
        </w:tc>
        <w:tc>
          <w:tcPr>
            <w:tcW w:w="1701" w:type="dxa"/>
            <w:tcBorders>
              <w:top w:val="nil"/>
              <w:left w:val="nil"/>
              <w:bottom w:val="single" w:sz="4" w:space="0" w:color="1F497D"/>
              <w:right w:val="single" w:sz="4" w:space="0" w:color="1F497D"/>
            </w:tcBorders>
            <w:shd w:val="clear" w:color="auto" w:fill="auto"/>
            <w:noWrap/>
            <w:vAlign w:val="center"/>
          </w:tcPr>
          <w:p w14:paraId="2F65B601" w14:textId="07160004" w:rsidR="00CF65DE" w:rsidRPr="009E6D43" w:rsidRDefault="00CF65DE" w:rsidP="00CF65DE">
            <w:pPr>
              <w:tabs>
                <w:tab w:val="decimal" w:pos="758"/>
              </w:tabs>
              <w:ind w:firstLineChars="39" w:firstLine="62"/>
              <w:jc w:val="left"/>
              <w:rPr>
                <w:color w:val="000000"/>
                <w:sz w:val="16"/>
                <w:szCs w:val="16"/>
                <w:lang w:val="es-MX" w:eastAsia="es-MX"/>
              </w:rPr>
            </w:pPr>
            <w:r w:rsidRPr="009E6D43">
              <w:rPr>
                <w:color w:val="000000"/>
                <w:sz w:val="16"/>
                <w:szCs w:val="16"/>
              </w:rPr>
              <w:t>3.0</w:t>
            </w:r>
          </w:p>
        </w:tc>
      </w:tr>
    </w:tbl>
    <w:p w14:paraId="71FF657A" w14:textId="7846A841" w:rsidR="00441953" w:rsidRPr="009E6D43" w:rsidRDefault="00441953" w:rsidP="00803851">
      <w:pPr>
        <w:pStyle w:val="n0"/>
        <w:keepLines w:val="0"/>
        <w:widowControl w:val="0"/>
        <w:spacing w:before="0"/>
        <w:ind w:left="2552" w:right="1894" w:hanging="567"/>
        <w:rPr>
          <w:color w:val="auto"/>
          <w:sz w:val="16"/>
          <w:szCs w:val="14"/>
        </w:rPr>
      </w:pPr>
      <w:r w:rsidRPr="009E6D43">
        <w:rPr>
          <w:color w:val="auto"/>
          <w:sz w:val="16"/>
          <w:szCs w:val="14"/>
        </w:rPr>
        <w:t>Nota:</w:t>
      </w:r>
      <w:r w:rsidRPr="009E6D43">
        <w:rPr>
          <w:color w:val="auto"/>
          <w:sz w:val="16"/>
          <w:szCs w:val="14"/>
        </w:rPr>
        <w:tab/>
        <w:t>Las diferencias en</w:t>
      </w:r>
      <w:r w:rsidR="00683845" w:rsidRPr="009E6D43">
        <w:rPr>
          <w:color w:val="auto"/>
          <w:sz w:val="16"/>
          <w:szCs w:val="14"/>
        </w:rPr>
        <w:t xml:space="preserve"> </w:t>
      </w:r>
      <w:r w:rsidR="00520FC0" w:rsidRPr="009E6D43">
        <w:rPr>
          <w:color w:val="auto"/>
          <w:sz w:val="16"/>
          <w:szCs w:val="14"/>
        </w:rPr>
        <w:t>puntos</w:t>
      </w:r>
      <w:r w:rsidRPr="009E6D43">
        <w:rPr>
          <w:color w:val="auto"/>
          <w:sz w:val="16"/>
          <w:szCs w:val="14"/>
        </w:rPr>
        <w:t xml:space="preserve"> porcentuales resultan de considerar los indicadores con todos sus decimales.</w:t>
      </w:r>
    </w:p>
    <w:p w14:paraId="6DE4F938" w14:textId="31C7F2CC" w:rsidR="00441953" w:rsidRPr="009E6D43" w:rsidRDefault="00441953" w:rsidP="00803851">
      <w:pPr>
        <w:pStyle w:val="n0"/>
        <w:keepLines w:val="0"/>
        <w:widowControl w:val="0"/>
        <w:spacing w:before="0"/>
        <w:ind w:left="2410" w:right="1894" w:hanging="425"/>
        <w:rPr>
          <w:color w:val="auto"/>
          <w:sz w:val="16"/>
          <w:szCs w:val="14"/>
        </w:rPr>
      </w:pPr>
      <w:r w:rsidRPr="009E6D43">
        <w:rPr>
          <w:color w:val="auto"/>
          <w:sz w:val="16"/>
          <w:szCs w:val="14"/>
        </w:rPr>
        <w:t>Fuente:</w:t>
      </w:r>
      <w:r w:rsidRPr="009E6D43">
        <w:rPr>
          <w:color w:val="auto"/>
          <w:sz w:val="16"/>
          <w:szCs w:val="14"/>
        </w:rPr>
        <w:tab/>
      </w:r>
      <w:proofErr w:type="spellStart"/>
      <w:r w:rsidR="008764CC" w:rsidRPr="009E6D43">
        <w:rPr>
          <w:smallCaps/>
          <w:color w:val="auto"/>
          <w:sz w:val="16"/>
          <w:szCs w:val="14"/>
        </w:rPr>
        <w:t>inegi</w:t>
      </w:r>
      <w:proofErr w:type="spellEnd"/>
      <w:r w:rsidR="00B26F53" w:rsidRPr="009E6D43">
        <w:rPr>
          <w:color w:val="auto"/>
          <w:sz w:val="16"/>
          <w:szCs w:val="14"/>
        </w:rPr>
        <w:t xml:space="preserve">. </w:t>
      </w:r>
      <w:proofErr w:type="spellStart"/>
      <w:r w:rsidR="008764CC" w:rsidRPr="009E6D43">
        <w:rPr>
          <w:smallCaps/>
          <w:color w:val="auto"/>
          <w:sz w:val="16"/>
          <w:szCs w:val="16"/>
        </w:rPr>
        <w:t>enoe</w:t>
      </w:r>
      <w:proofErr w:type="spellEnd"/>
      <w:r w:rsidR="002E40A8" w:rsidRPr="009E6D43">
        <w:rPr>
          <w:color w:val="auto"/>
          <w:sz w:val="16"/>
          <w:szCs w:val="16"/>
        </w:rPr>
        <w:t>, 2023</w:t>
      </w:r>
      <w:r w:rsidR="00B26F53" w:rsidRPr="009E6D43">
        <w:rPr>
          <w:color w:val="auto"/>
          <w:sz w:val="16"/>
          <w:szCs w:val="16"/>
        </w:rPr>
        <w:t>.</w:t>
      </w:r>
    </w:p>
    <w:p w14:paraId="0439DBF3" w14:textId="77777777" w:rsidR="008147FA" w:rsidRPr="009E6D43" w:rsidRDefault="008147FA" w:rsidP="00737E1C">
      <w:pPr>
        <w:pStyle w:val="Prrafodelista"/>
        <w:widowControl w:val="0"/>
        <w:spacing w:before="360"/>
        <w:ind w:left="284"/>
        <w:rPr>
          <w:b/>
          <w:iCs/>
          <w:lang w:val="es-ES"/>
        </w:rPr>
      </w:pPr>
      <w:r w:rsidRPr="009E6D43">
        <w:rPr>
          <w:b/>
          <w:iCs/>
          <w:lang w:val="es-ES"/>
        </w:rPr>
        <w:t xml:space="preserve">Tasas complementarias </w:t>
      </w:r>
    </w:p>
    <w:p w14:paraId="3AB79D78" w14:textId="44EA71B6" w:rsidR="008147FA" w:rsidRPr="009E6D43" w:rsidRDefault="008147FA" w:rsidP="00C81D66">
      <w:pPr>
        <w:widowControl w:val="0"/>
        <w:spacing w:before="240"/>
        <w:rPr>
          <w:sz w:val="28"/>
        </w:rPr>
      </w:pPr>
      <w:r w:rsidRPr="009E6D43">
        <w:rPr>
          <w:szCs w:val="20"/>
        </w:rPr>
        <w:t>Con el fin de proporcionar a l</w:t>
      </w:r>
      <w:r w:rsidR="00890E59" w:rsidRPr="009E6D43">
        <w:rPr>
          <w:szCs w:val="20"/>
        </w:rPr>
        <w:t>as y l</w:t>
      </w:r>
      <w:r w:rsidRPr="009E6D43">
        <w:rPr>
          <w:szCs w:val="20"/>
        </w:rPr>
        <w:t xml:space="preserve">os usuarios </w:t>
      </w:r>
      <w:r w:rsidR="008030DF" w:rsidRPr="009E6D43">
        <w:rPr>
          <w:szCs w:val="20"/>
        </w:rPr>
        <w:t xml:space="preserve">más </w:t>
      </w:r>
      <w:r w:rsidRPr="009E6D43">
        <w:rPr>
          <w:szCs w:val="20"/>
        </w:rPr>
        <w:t xml:space="preserve">elementos que apoyen el análisis de las características del mercado laboral de nuestro país, el </w:t>
      </w:r>
      <w:proofErr w:type="spellStart"/>
      <w:r w:rsidR="00A30CEE" w:rsidRPr="009E6D43">
        <w:rPr>
          <w:smallCaps/>
          <w:szCs w:val="20"/>
        </w:rPr>
        <w:t>inegi</w:t>
      </w:r>
      <w:proofErr w:type="spellEnd"/>
      <w:r w:rsidRPr="009E6D43">
        <w:rPr>
          <w:szCs w:val="20"/>
        </w:rPr>
        <w:t xml:space="preserve"> genera mensualmente un conjunto de indicadores complementarios sobre la calidad de inserción en el mercado laboral</w:t>
      </w:r>
      <w:r w:rsidR="007E7F44" w:rsidRPr="009E6D43">
        <w:rPr>
          <w:szCs w:val="20"/>
        </w:rPr>
        <w:t>. Para ello,</w:t>
      </w:r>
      <w:r w:rsidRPr="009E6D43">
        <w:rPr>
          <w:szCs w:val="20"/>
        </w:rPr>
        <w:t xml:space="preserve"> toma en cuenta distintos aspectos que van más allá de las mediciones tradicionales y que recogen la heterogeneidad de circunstancias que se presentan en México. </w:t>
      </w:r>
      <w:r w:rsidR="00D502B3" w:rsidRPr="009E6D43">
        <w:rPr>
          <w:szCs w:val="20"/>
        </w:rPr>
        <w:t>L</w:t>
      </w:r>
      <w:r w:rsidR="00A261E2" w:rsidRPr="009E6D43">
        <w:rPr>
          <w:szCs w:val="20"/>
        </w:rPr>
        <w:t xml:space="preserve">os </w:t>
      </w:r>
      <w:r w:rsidRPr="009E6D43">
        <w:rPr>
          <w:szCs w:val="20"/>
        </w:rPr>
        <w:t>resultado</w:t>
      </w:r>
      <w:r w:rsidR="00A261E2" w:rsidRPr="009E6D43">
        <w:rPr>
          <w:szCs w:val="20"/>
        </w:rPr>
        <w:t>s</w:t>
      </w:r>
      <w:r w:rsidRPr="009E6D43">
        <w:rPr>
          <w:szCs w:val="20"/>
        </w:rPr>
        <w:t xml:space="preserve"> de estas tasas no </w:t>
      </w:r>
      <w:r w:rsidR="0016121C" w:rsidRPr="009E6D43">
        <w:rPr>
          <w:szCs w:val="20"/>
        </w:rPr>
        <w:t>debe</w:t>
      </w:r>
      <w:r w:rsidR="00A261E2" w:rsidRPr="009E6D43">
        <w:rPr>
          <w:szCs w:val="20"/>
        </w:rPr>
        <w:t>n</w:t>
      </w:r>
      <w:r w:rsidR="0016121C" w:rsidRPr="009E6D43">
        <w:rPr>
          <w:szCs w:val="20"/>
        </w:rPr>
        <w:t xml:space="preserve"> sumarse</w:t>
      </w:r>
      <w:r w:rsidRPr="009E6D43">
        <w:rPr>
          <w:szCs w:val="20"/>
        </w:rPr>
        <w:t xml:space="preserve"> a lo que se desprende de otras, ya que un mismo grupo o segmento poblacional puede estar presente en más de una</w:t>
      </w:r>
      <w:r w:rsidR="00EE2607" w:rsidRPr="009E6D43">
        <w:rPr>
          <w:szCs w:val="20"/>
        </w:rPr>
        <w:t xml:space="preserve"> de estas</w:t>
      </w:r>
      <w:r w:rsidR="000F3D02" w:rsidRPr="009E6D43">
        <w:rPr>
          <w:szCs w:val="20"/>
        </w:rPr>
        <w:t>. N</w:t>
      </w:r>
      <w:r w:rsidRPr="009E6D43">
        <w:rPr>
          <w:szCs w:val="20"/>
        </w:rPr>
        <w:t xml:space="preserve">o todos los porcentajes que a continuación se mencionan </w:t>
      </w:r>
      <w:r w:rsidR="007E21F6">
        <w:rPr>
          <w:szCs w:val="20"/>
        </w:rPr>
        <w:t xml:space="preserve">se refieren </w:t>
      </w:r>
      <w:r w:rsidRPr="009E6D43">
        <w:rPr>
          <w:szCs w:val="20"/>
        </w:rPr>
        <w:t xml:space="preserve">al mismo denominador. </w:t>
      </w:r>
    </w:p>
    <w:p w14:paraId="3120D42B" w14:textId="7B9D7DCE" w:rsidR="008147FA" w:rsidRPr="009E6D43" w:rsidRDefault="008147FA" w:rsidP="00D60698">
      <w:pPr>
        <w:pStyle w:val="n01"/>
        <w:keepLines w:val="0"/>
        <w:widowControl w:val="0"/>
        <w:ind w:left="0" w:firstLine="0"/>
        <w:rPr>
          <w:rFonts w:ascii="Arial" w:hAnsi="Arial"/>
          <w:color w:val="auto"/>
        </w:rPr>
      </w:pPr>
      <w:r w:rsidRPr="009E6D43">
        <w:rPr>
          <w:rFonts w:ascii="Arial" w:hAnsi="Arial"/>
          <w:b/>
          <w:bCs/>
          <w:color w:val="auto"/>
        </w:rPr>
        <w:lastRenderedPageBreak/>
        <w:t xml:space="preserve">Tasa de </w:t>
      </w:r>
      <w:r w:rsidR="00286E7A" w:rsidRPr="009E6D43">
        <w:rPr>
          <w:rFonts w:ascii="Arial" w:hAnsi="Arial"/>
          <w:b/>
          <w:bCs/>
          <w:color w:val="auto"/>
        </w:rPr>
        <w:t xml:space="preserve">ocupación parcial </w:t>
      </w:r>
      <w:r w:rsidRPr="009E6D43">
        <w:rPr>
          <w:rFonts w:ascii="Arial" w:hAnsi="Arial"/>
          <w:b/>
          <w:bCs/>
          <w:color w:val="auto"/>
        </w:rPr>
        <w:t xml:space="preserve">y </w:t>
      </w:r>
      <w:r w:rsidR="00286E7A" w:rsidRPr="009E6D43">
        <w:rPr>
          <w:rFonts w:ascii="Arial" w:hAnsi="Arial"/>
          <w:b/>
          <w:bCs/>
          <w:color w:val="auto"/>
        </w:rPr>
        <w:t>desocupación</w:t>
      </w:r>
      <w:r w:rsidR="00B22797" w:rsidRPr="009E6D43">
        <w:rPr>
          <w:rFonts w:ascii="Arial" w:hAnsi="Arial"/>
          <w:b/>
          <w:bCs/>
          <w:color w:val="auto"/>
        </w:rPr>
        <w:t xml:space="preserve"> 1 (</w:t>
      </w:r>
      <w:r w:rsidR="00B22797" w:rsidRPr="009E6D43">
        <w:rPr>
          <w:rFonts w:ascii="Arial" w:hAnsi="Arial"/>
          <w:b/>
          <w:bCs/>
          <w:smallCaps/>
          <w:color w:val="auto"/>
        </w:rPr>
        <w:t>topd</w:t>
      </w:r>
      <w:r w:rsidR="00B22797" w:rsidRPr="009E6D43">
        <w:rPr>
          <w:rFonts w:ascii="Arial" w:hAnsi="Arial"/>
          <w:b/>
          <w:bCs/>
          <w:color w:val="auto"/>
        </w:rPr>
        <w:t>1)</w:t>
      </w:r>
      <w:r w:rsidR="00D71572" w:rsidRPr="009E6D43">
        <w:rPr>
          <w:rFonts w:ascii="Arial" w:hAnsi="Arial"/>
          <w:b/>
          <w:bCs/>
          <w:color w:val="auto"/>
        </w:rPr>
        <w:t>.</w:t>
      </w:r>
      <w:r w:rsidRPr="009E6D43">
        <w:rPr>
          <w:rFonts w:ascii="Arial" w:hAnsi="Arial"/>
          <w:color w:val="auto"/>
        </w:rPr>
        <w:t xml:space="preserve"> </w:t>
      </w:r>
      <w:r w:rsidR="00D71572" w:rsidRPr="009E6D43">
        <w:rPr>
          <w:rFonts w:ascii="Arial" w:hAnsi="Arial"/>
          <w:color w:val="auto"/>
        </w:rPr>
        <w:t>C</w:t>
      </w:r>
      <w:r w:rsidRPr="009E6D43">
        <w:rPr>
          <w:rFonts w:ascii="Arial" w:hAnsi="Arial"/>
          <w:color w:val="auto"/>
        </w:rPr>
        <w:t xml:space="preserve">onsidera a la población desocupada y </w:t>
      </w:r>
      <w:r w:rsidR="00675A4F" w:rsidRPr="009E6D43">
        <w:rPr>
          <w:rFonts w:ascii="Arial" w:hAnsi="Arial"/>
          <w:color w:val="auto"/>
        </w:rPr>
        <w:t>a</w:t>
      </w:r>
      <w:r w:rsidR="00B272F8" w:rsidRPr="009E6D43">
        <w:rPr>
          <w:rFonts w:ascii="Arial" w:hAnsi="Arial"/>
          <w:color w:val="auto"/>
        </w:rPr>
        <w:t xml:space="preserve"> </w:t>
      </w:r>
      <w:r w:rsidRPr="009E6D43">
        <w:rPr>
          <w:rFonts w:ascii="Arial" w:hAnsi="Arial"/>
          <w:color w:val="auto"/>
        </w:rPr>
        <w:t xml:space="preserve">la ocupada que trabajó menos de 15 horas a la semana. </w:t>
      </w:r>
      <w:r w:rsidR="008E014F" w:rsidRPr="009E6D43">
        <w:rPr>
          <w:rFonts w:ascii="Arial" w:hAnsi="Arial"/>
          <w:color w:val="auto"/>
        </w:rPr>
        <w:t xml:space="preserve">En </w:t>
      </w:r>
      <w:r w:rsidR="00CD61EC" w:rsidRPr="009E6D43">
        <w:rPr>
          <w:rFonts w:ascii="Arial" w:hAnsi="Arial"/>
          <w:color w:val="auto"/>
        </w:rPr>
        <w:t>dic</w:t>
      </w:r>
      <w:r w:rsidR="00175890" w:rsidRPr="009E6D43">
        <w:rPr>
          <w:rFonts w:ascii="Arial" w:hAnsi="Arial"/>
          <w:color w:val="auto"/>
        </w:rPr>
        <w:t>iembre</w:t>
      </w:r>
      <w:r w:rsidR="008E014F" w:rsidRPr="009E6D43">
        <w:rPr>
          <w:rFonts w:ascii="Arial" w:hAnsi="Arial"/>
          <w:color w:val="auto"/>
        </w:rPr>
        <w:t xml:space="preserve"> de 202</w:t>
      </w:r>
      <w:r w:rsidR="008E766E" w:rsidRPr="009E6D43">
        <w:rPr>
          <w:rFonts w:ascii="Arial" w:hAnsi="Arial"/>
          <w:color w:val="auto"/>
        </w:rPr>
        <w:t>3</w:t>
      </w:r>
      <w:r w:rsidR="008E014F" w:rsidRPr="009E6D43">
        <w:rPr>
          <w:rFonts w:ascii="Arial" w:hAnsi="Arial"/>
          <w:color w:val="auto"/>
        </w:rPr>
        <w:t xml:space="preserve">, </w:t>
      </w:r>
      <w:r w:rsidR="002E7F97" w:rsidRPr="009E6D43">
        <w:rPr>
          <w:rFonts w:ascii="Arial" w:hAnsi="Arial"/>
          <w:color w:val="auto"/>
        </w:rPr>
        <w:t>e</w:t>
      </w:r>
      <w:r w:rsidRPr="009E6D43">
        <w:rPr>
          <w:rFonts w:ascii="Arial" w:hAnsi="Arial"/>
          <w:color w:val="auto"/>
        </w:rPr>
        <w:t xml:space="preserve">sta se situó en </w:t>
      </w:r>
      <w:r w:rsidR="00C23B87" w:rsidRPr="009E6D43">
        <w:rPr>
          <w:rFonts w:ascii="Arial" w:hAnsi="Arial"/>
          <w:color w:val="auto"/>
        </w:rPr>
        <w:t>8.8</w:t>
      </w:r>
      <w:r w:rsidR="00520FC0" w:rsidRPr="009E6D43">
        <w:rPr>
          <w:rFonts w:ascii="Arial" w:hAnsi="Arial"/>
          <w:color w:val="auto"/>
        </w:rPr>
        <w:t> %</w:t>
      </w:r>
      <w:r w:rsidRPr="009E6D43">
        <w:rPr>
          <w:rFonts w:ascii="Arial" w:hAnsi="Arial"/>
          <w:color w:val="auto"/>
        </w:rPr>
        <w:t xml:space="preserve"> respecto a la </w:t>
      </w:r>
      <w:r w:rsidR="00F04DC1" w:rsidRPr="009E6D43">
        <w:rPr>
          <w:rFonts w:ascii="Arial" w:hAnsi="Arial"/>
          <w:smallCaps/>
          <w:color w:val="auto"/>
        </w:rPr>
        <w:t>pea</w:t>
      </w:r>
      <w:r w:rsidRPr="009E6D43">
        <w:rPr>
          <w:rFonts w:ascii="Arial" w:hAnsi="Arial"/>
          <w:color w:val="auto"/>
        </w:rPr>
        <w:t xml:space="preserve">, tasa </w:t>
      </w:r>
      <w:r w:rsidR="00C23B87" w:rsidRPr="009E6D43">
        <w:rPr>
          <w:rFonts w:ascii="Arial" w:hAnsi="Arial"/>
          <w:color w:val="auto"/>
        </w:rPr>
        <w:t>superi</w:t>
      </w:r>
      <w:r w:rsidR="0064476E" w:rsidRPr="009E6D43">
        <w:rPr>
          <w:rFonts w:ascii="Arial" w:hAnsi="Arial"/>
          <w:color w:val="auto"/>
        </w:rPr>
        <w:t>o</w:t>
      </w:r>
      <w:r w:rsidR="006E283F" w:rsidRPr="009E6D43">
        <w:rPr>
          <w:rFonts w:ascii="Arial" w:hAnsi="Arial"/>
          <w:color w:val="auto"/>
        </w:rPr>
        <w:t>r</w:t>
      </w:r>
      <w:r w:rsidRPr="009E6D43">
        <w:rPr>
          <w:rFonts w:ascii="Arial" w:hAnsi="Arial"/>
          <w:color w:val="auto"/>
        </w:rPr>
        <w:t xml:space="preserve"> a la de </w:t>
      </w:r>
      <w:r w:rsidR="00C23B87" w:rsidRPr="009E6D43">
        <w:rPr>
          <w:rFonts w:ascii="Arial" w:hAnsi="Arial"/>
          <w:color w:val="auto"/>
        </w:rPr>
        <w:t>8.4</w:t>
      </w:r>
      <w:r w:rsidR="00520FC0" w:rsidRPr="009E6D43">
        <w:rPr>
          <w:rFonts w:ascii="Arial" w:hAnsi="Arial"/>
          <w:color w:val="auto"/>
        </w:rPr>
        <w:t> %</w:t>
      </w:r>
      <w:r w:rsidRPr="009E6D43">
        <w:rPr>
          <w:rFonts w:ascii="Arial" w:hAnsi="Arial"/>
          <w:color w:val="auto"/>
        </w:rPr>
        <w:t xml:space="preserve"> de</w:t>
      </w:r>
      <w:r w:rsidR="008F6219" w:rsidRPr="009E6D43">
        <w:rPr>
          <w:rFonts w:ascii="Arial" w:hAnsi="Arial"/>
          <w:color w:val="auto"/>
        </w:rPr>
        <w:t xml:space="preserve"> igual</w:t>
      </w:r>
      <w:r w:rsidR="005A379B" w:rsidRPr="009E6D43">
        <w:rPr>
          <w:rFonts w:ascii="Arial" w:hAnsi="Arial"/>
          <w:color w:val="auto"/>
        </w:rPr>
        <w:t xml:space="preserve"> mes de</w:t>
      </w:r>
      <w:r w:rsidR="000D7320" w:rsidRPr="009E6D43">
        <w:rPr>
          <w:rFonts w:ascii="Arial" w:hAnsi="Arial"/>
          <w:color w:val="auto"/>
        </w:rPr>
        <w:t xml:space="preserve"> 2022</w:t>
      </w:r>
      <w:r w:rsidRPr="009E6D43">
        <w:rPr>
          <w:rFonts w:ascii="Arial" w:hAnsi="Arial"/>
          <w:color w:val="auto"/>
        </w:rPr>
        <w:t>.</w:t>
      </w:r>
    </w:p>
    <w:p w14:paraId="53784BB6" w14:textId="699B783E" w:rsidR="008147FA" w:rsidRPr="009E6D43" w:rsidRDefault="008147FA" w:rsidP="001D6242">
      <w:pPr>
        <w:pStyle w:val="n01"/>
        <w:keepLines w:val="0"/>
        <w:widowControl w:val="0"/>
        <w:spacing w:before="200"/>
        <w:ind w:left="0" w:firstLine="0"/>
        <w:rPr>
          <w:rFonts w:ascii="Arial" w:hAnsi="Arial"/>
          <w:color w:val="auto"/>
        </w:rPr>
      </w:pPr>
      <w:r w:rsidRPr="009E6D43">
        <w:rPr>
          <w:rFonts w:ascii="Arial" w:hAnsi="Arial"/>
          <w:b/>
          <w:bCs/>
          <w:color w:val="auto"/>
        </w:rPr>
        <w:t xml:space="preserve">Tasa de </w:t>
      </w:r>
      <w:r w:rsidR="00286E7A" w:rsidRPr="009E6D43">
        <w:rPr>
          <w:rFonts w:ascii="Arial" w:hAnsi="Arial"/>
          <w:b/>
          <w:bCs/>
          <w:color w:val="auto"/>
        </w:rPr>
        <w:t>presión general</w:t>
      </w:r>
      <w:r w:rsidR="00B22797" w:rsidRPr="009E6D43">
        <w:rPr>
          <w:rFonts w:ascii="Arial" w:hAnsi="Arial"/>
          <w:b/>
          <w:bCs/>
          <w:color w:val="auto"/>
        </w:rPr>
        <w:t xml:space="preserve"> (</w:t>
      </w:r>
      <w:proofErr w:type="spellStart"/>
      <w:r w:rsidR="00B22797" w:rsidRPr="009E6D43">
        <w:rPr>
          <w:rFonts w:ascii="Arial" w:hAnsi="Arial"/>
          <w:b/>
          <w:bCs/>
          <w:smallCaps/>
          <w:color w:val="auto"/>
        </w:rPr>
        <w:t>tprg</w:t>
      </w:r>
      <w:proofErr w:type="spellEnd"/>
      <w:r w:rsidR="00B22797" w:rsidRPr="009E6D43">
        <w:rPr>
          <w:rFonts w:ascii="Arial" w:hAnsi="Arial"/>
          <w:b/>
          <w:bCs/>
          <w:color w:val="auto"/>
        </w:rPr>
        <w:t>)</w:t>
      </w:r>
      <w:r w:rsidR="00306033" w:rsidRPr="009E6D43">
        <w:rPr>
          <w:rFonts w:ascii="Arial" w:hAnsi="Arial"/>
          <w:b/>
          <w:bCs/>
          <w:color w:val="auto"/>
        </w:rPr>
        <w:t>.</w:t>
      </w:r>
      <w:r w:rsidRPr="009E6D43">
        <w:rPr>
          <w:rFonts w:ascii="Arial" w:hAnsi="Arial"/>
          <w:color w:val="auto"/>
        </w:rPr>
        <w:t xml:space="preserve"> </w:t>
      </w:r>
      <w:r w:rsidR="00306033" w:rsidRPr="009E6D43">
        <w:rPr>
          <w:rFonts w:ascii="Arial" w:hAnsi="Arial"/>
          <w:color w:val="auto"/>
        </w:rPr>
        <w:t>I</w:t>
      </w:r>
      <w:r w:rsidRPr="009E6D43">
        <w:rPr>
          <w:rFonts w:ascii="Arial" w:hAnsi="Arial"/>
          <w:color w:val="auto"/>
        </w:rPr>
        <w:t>ncluye</w:t>
      </w:r>
      <w:r w:rsidR="002F23EF" w:rsidRPr="009E6D43">
        <w:rPr>
          <w:rFonts w:ascii="Arial" w:hAnsi="Arial"/>
          <w:color w:val="auto"/>
        </w:rPr>
        <w:t>,</w:t>
      </w:r>
      <w:r w:rsidRPr="009E6D43">
        <w:rPr>
          <w:rFonts w:ascii="Arial" w:hAnsi="Arial"/>
          <w:color w:val="auto"/>
        </w:rPr>
        <w:t xml:space="preserve"> además de</w:t>
      </w:r>
      <w:r w:rsidR="00FD2407" w:rsidRPr="009E6D43">
        <w:rPr>
          <w:rFonts w:ascii="Arial" w:hAnsi="Arial"/>
          <w:color w:val="auto"/>
        </w:rPr>
        <w:t xml:space="preserve"> </w:t>
      </w:r>
      <w:r w:rsidR="00EE15A8" w:rsidRPr="009E6D43">
        <w:rPr>
          <w:rFonts w:ascii="Arial" w:hAnsi="Arial"/>
          <w:color w:val="auto"/>
        </w:rPr>
        <w:t xml:space="preserve">a </w:t>
      </w:r>
      <w:r w:rsidRPr="009E6D43">
        <w:rPr>
          <w:rFonts w:ascii="Arial" w:hAnsi="Arial"/>
          <w:color w:val="auto"/>
        </w:rPr>
        <w:t>l</w:t>
      </w:r>
      <w:r w:rsidR="00FD2407" w:rsidRPr="009E6D43">
        <w:rPr>
          <w:rFonts w:ascii="Arial" w:hAnsi="Arial"/>
          <w:color w:val="auto"/>
        </w:rPr>
        <w:t>a</w:t>
      </w:r>
      <w:r w:rsidR="00995879" w:rsidRPr="009E6D43">
        <w:rPr>
          <w:rFonts w:ascii="Arial" w:hAnsi="Arial"/>
          <w:color w:val="auto"/>
        </w:rPr>
        <w:t xml:space="preserve"> población desocupada</w:t>
      </w:r>
      <w:r w:rsidRPr="009E6D43">
        <w:rPr>
          <w:rFonts w:ascii="Arial" w:hAnsi="Arial"/>
          <w:color w:val="auto"/>
        </w:rPr>
        <w:t>, a l</w:t>
      </w:r>
      <w:r w:rsidR="00995879" w:rsidRPr="009E6D43">
        <w:rPr>
          <w:rFonts w:ascii="Arial" w:hAnsi="Arial"/>
          <w:color w:val="auto"/>
        </w:rPr>
        <w:t xml:space="preserve">a </w:t>
      </w:r>
      <w:r w:rsidRPr="009E6D43">
        <w:rPr>
          <w:rFonts w:ascii="Arial" w:hAnsi="Arial"/>
          <w:color w:val="auto"/>
        </w:rPr>
        <w:t>ocupad</w:t>
      </w:r>
      <w:r w:rsidR="00995879" w:rsidRPr="009E6D43">
        <w:rPr>
          <w:rFonts w:ascii="Arial" w:hAnsi="Arial"/>
          <w:color w:val="auto"/>
        </w:rPr>
        <w:t>a</w:t>
      </w:r>
      <w:r w:rsidRPr="009E6D43">
        <w:rPr>
          <w:rFonts w:ascii="Arial" w:hAnsi="Arial"/>
          <w:color w:val="auto"/>
        </w:rPr>
        <w:t xml:space="preserve"> que busca empleo</w:t>
      </w:r>
      <w:r w:rsidR="00190DE3" w:rsidRPr="009E6D43">
        <w:rPr>
          <w:rFonts w:ascii="Arial" w:hAnsi="Arial"/>
          <w:color w:val="auto"/>
        </w:rPr>
        <w:t>. Con esto, la tasa</w:t>
      </w:r>
      <w:r w:rsidR="00DC7425" w:rsidRPr="009E6D43">
        <w:rPr>
          <w:rFonts w:ascii="Arial" w:hAnsi="Arial"/>
          <w:color w:val="auto"/>
        </w:rPr>
        <w:t xml:space="preserve"> es u</w:t>
      </w:r>
      <w:r w:rsidRPr="009E6D43">
        <w:rPr>
          <w:rFonts w:ascii="Arial" w:hAnsi="Arial"/>
          <w:color w:val="auto"/>
        </w:rPr>
        <w:t xml:space="preserve">na medida global de la competencia por plazas de trabajo </w:t>
      </w:r>
      <w:r w:rsidR="00595BF2" w:rsidRPr="009E6D43">
        <w:rPr>
          <w:rFonts w:ascii="Arial" w:hAnsi="Arial"/>
          <w:color w:val="auto"/>
        </w:rPr>
        <w:t xml:space="preserve">que se </w:t>
      </w:r>
      <w:r w:rsidRPr="009E6D43">
        <w:rPr>
          <w:rFonts w:ascii="Arial" w:hAnsi="Arial"/>
          <w:color w:val="auto"/>
        </w:rPr>
        <w:t>conforma no s</w:t>
      </w:r>
      <w:r w:rsidR="00346C5A" w:rsidRPr="009E6D43">
        <w:rPr>
          <w:rFonts w:ascii="Arial" w:hAnsi="Arial"/>
          <w:color w:val="auto"/>
        </w:rPr>
        <w:t>o</w:t>
      </w:r>
      <w:r w:rsidRPr="009E6D43">
        <w:rPr>
          <w:rFonts w:ascii="Arial" w:hAnsi="Arial"/>
          <w:color w:val="auto"/>
        </w:rPr>
        <w:t xml:space="preserve">lo por </w:t>
      </w:r>
      <w:r w:rsidR="00595BF2" w:rsidRPr="009E6D43">
        <w:rPr>
          <w:rFonts w:ascii="Arial" w:hAnsi="Arial"/>
          <w:color w:val="auto"/>
        </w:rPr>
        <w:t>quienes</w:t>
      </w:r>
      <w:r w:rsidRPr="009E6D43">
        <w:rPr>
          <w:rFonts w:ascii="Arial" w:hAnsi="Arial"/>
          <w:color w:val="auto"/>
        </w:rPr>
        <w:t xml:space="preserve"> quieren trabajar</w:t>
      </w:r>
      <w:r w:rsidR="00821624" w:rsidRPr="009E6D43">
        <w:rPr>
          <w:rFonts w:ascii="Arial" w:hAnsi="Arial"/>
          <w:color w:val="auto"/>
        </w:rPr>
        <w:t>,</w:t>
      </w:r>
      <w:r w:rsidRPr="009E6D43">
        <w:rPr>
          <w:rFonts w:ascii="Arial" w:hAnsi="Arial"/>
          <w:color w:val="auto"/>
        </w:rPr>
        <w:t xml:space="preserve"> sino por </w:t>
      </w:r>
      <w:r w:rsidR="00A70BC7" w:rsidRPr="009E6D43">
        <w:rPr>
          <w:rFonts w:ascii="Arial" w:hAnsi="Arial"/>
          <w:color w:val="auto"/>
        </w:rPr>
        <w:t xml:space="preserve">quienes </w:t>
      </w:r>
      <w:r w:rsidRPr="009E6D43">
        <w:rPr>
          <w:rFonts w:ascii="Arial" w:hAnsi="Arial"/>
          <w:color w:val="auto"/>
        </w:rPr>
        <w:t>t</w:t>
      </w:r>
      <w:r w:rsidR="00A70BC7" w:rsidRPr="009E6D43">
        <w:rPr>
          <w:rFonts w:ascii="Arial" w:hAnsi="Arial"/>
          <w:color w:val="auto"/>
        </w:rPr>
        <w:t>i</w:t>
      </w:r>
      <w:r w:rsidRPr="009E6D43">
        <w:rPr>
          <w:rFonts w:ascii="Arial" w:hAnsi="Arial"/>
          <w:color w:val="auto"/>
        </w:rPr>
        <w:t>enen un empleo</w:t>
      </w:r>
      <w:r w:rsidR="004024D7" w:rsidRPr="009E6D43">
        <w:rPr>
          <w:rFonts w:ascii="Arial" w:hAnsi="Arial"/>
          <w:color w:val="auto"/>
        </w:rPr>
        <w:t>,</w:t>
      </w:r>
      <w:r w:rsidRPr="009E6D43">
        <w:rPr>
          <w:rFonts w:ascii="Arial" w:hAnsi="Arial"/>
          <w:color w:val="auto"/>
        </w:rPr>
        <w:t xml:space="preserve"> </w:t>
      </w:r>
      <w:r w:rsidR="00967512" w:rsidRPr="009E6D43">
        <w:rPr>
          <w:rFonts w:ascii="Arial" w:hAnsi="Arial"/>
          <w:color w:val="auto"/>
        </w:rPr>
        <w:t xml:space="preserve">pero </w:t>
      </w:r>
      <w:r w:rsidRPr="009E6D43">
        <w:rPr>
          <w:rFonts w:ascii="Arial" w:hAnsi="Arial"/>
          <w:color w:val="auto"/>
        </w:rPr>
        <w:t>quieren cambiarlo</w:t>
      </w:r>
      <w:r w:rsidR="00967512" w:rsidRPr="009E6D43">
        <w:rPr>
          <w:rFonts w:ascii="Arial" w:hAnsi="Arial"/>
          <w:color w:val="auto"/>
        </w:rPr>
        <w:t>,</w:t>
      </w:r>
      <w:r w:rsidRPr="009E6D43">
        <w:rPr>
          <w:rFonts w:ascii="Arial" w:hAnsi="Arial"/>
          <w:color w:val="auto"/>
        </w:rPr>
        <w:t xml:space="preserve"> </w:t>
      </w:r>
      <w:r w:rsidR="00E50E89" w:rsidRPr="009E6D43">
        <w:rPr>
          <w:rFonts w:ascii="Arial" w:hAnsi="Arial"/>
          <w:color w:val="auto"/>
        </w:rPr>
        <w:t xml:space="preserve">y </w:t>
      </w:r>
      <w:r w:rsidR="00201205" w:rsidRPr="009E6D43">
        <w:rPr>
          <w:rFonts w:ascii="Arial" w:hAnsi="Arial"/>
          <w:color w:val="auto"/>
        </w:rPr>
        <w:t xml:space="preserve">por </w:t>
      </w:r>
      <w:r w:rsidR="00E50E89" w:rsidRPr="009E6D43">
        <w:rPr>
          <w:rFonts w:ascii="Arial" w:hAnsi="Arial"/>
          <w:color w:val="auto"/>
        </w:rPr>
        <w:t>quienes</w:t>
      </w:r>
      <w:r w:rsidRPr="009E6D43">
        <w:rPr>
          <w:rFonts w:ascii="Arial" w:hAnsi="Arial"/>
          <w:color w:val="auto"/>
        </w:rPr>
        <w:t xml:space="preserve"> buscan otro más para tener un </w:t>
      </w:r>
      <w:r w:rsidR="00A77B84" w:rsidRPr="009E6D43">
        <w:rPr>
          <w:rFonts w:ascii="Arial" w:hAnsi="Arial"/>
          <w:color w:val="auto"/>
        </w:rPr>
        <w:t xml:space="preserve">segundo </w:t>
      </w:r>
      <w:r w:rsidRPr="009E6D43">
        <w:rPr>
          <w:rFonts w:ascii="Arial" w:hAnsi="Arial"/>
          <w:color w:val="auto"/>
        </w:rPr>
        <w:t xml:space="preserve">trabajo. </w:t>
      </w:r>
      <w:r w:rsidR="00A36250" w:rsidRPr="009E6D43">
        <w:rPr>
          <w:rFonts w:ascii="Arial" w:hAnsi="Arial"/>
          <w:color w:val="auto"/>
        </w:rPr>
        <w:t xml:space="preserve">En </w:t>
      </w:r>
      <w:r w:rsidR="007B1E49" w:rsidRPr="009E6D43">
        <w:rPr>
          <w:rFonts w:ascii="Arial" w:hAnsi="Arial"/>
          <w:color w:val="auto"/>
        </w:rPr>
        <w:t>el mes de referencia</w:t>
      </w:r>
      <w:r w:rsidR="00A36250" w:rsidRPr="009E6D43">
        <w:rPr>
          <w:rFonts w:ascii="Arial" w:hAnsi="Arial"/>
          <w:color w:val="auto"/>
        </w:rPr>
        <w:t xml:space="preserve">, </w:t>
      </w:r>
      <w:r w:rsidR="00346C5A" w:rsidRPr="009E6D43">
        <w:rPr>
          <w:rFonts w:ascii="Arial" w:hAnsi="Arial"/>
          <w:color w:val="auto"/>
        </w:rPr>
        <w:t>e</w:t>
      </w:r>
      <w:r w:rsidRPr="009E6D43">
        <w:rPr>
          <w:rFonts w:ascii="Arial" w:hAnsi="Arial"/>
          <w:color w:val="auto"/>
        </w:rPr>
        <w:t xml:space="preserve">sta se ubicó en </w:t>
      </w:r>
      <w:r w:rsidR="00C23B87" w:rsidRPr="009E6D43">
        <w:rPr>
          <w:rFonts w:ascii="Arial" w:hAnsi="Arial"/>
          <w:color w:val="auto"/>
        </w:rPr>
        <w:t>5.7</w:t>
      </w:r>
      <w:r w:rsidR="00520FC0" w:rsidRPr="009E6D43">
        <w:rPr>
          <w:rFonts w:ascii="Arial" w:hAnsi="Arial"/>
          <w:color w:val="auto"/>
        </w:rPr>
        <w:t> %</w:t>
      </w:r>
      <w:r w:rsidRPr="009E6D43">
        <w:rPr>
          <w:rFonts w:ascii="Arial" w:hAnsi="Arial"/>
          <w:color w:val="auto"/>
        </w:rPr>
        <w:t xml:space="preserve"> de la </w:t>
      </w:r>
      <w:r w:rsidR="00F04DC1" w:rsidRPr="009E6D43">
        <w:rPr>
          <w:rFonts w:ascii="Arial" w:hAnsi="Arial"/>
          <w:smallCaps/>
          <w:color w:val="auto"/>
        </w:rPr>
        <w:t>pea</w:t>
      </w:r>
      <w:r w:rsidR="00923374" w:rsidRPr="009E6D43">
        <w:rPr>
          <w:rFonts w:ascii="Arial" w:hAnsi="Arial"/>
          <w:color w:val="auto"/>
        </w:rPr>
        <w:t>,</w:t>
      </w:r>
      <w:r w:rsidRPr="009E6D43">
        <w:rPr>
          <w:rFonts w:ascii="Arial" w:hAnsi="Arial"/>
          <w:color w:val="auto"/>
        </w:rPr>
        <w:t xml:space="preserve"> </w:t>
      </w:r>
      <w:r w:rsidR="00E12C08" w:rsidRPr="009E6D43">
        <w:rPr>
          <w:rFonts w:ascii="Arial" w:hAnsi="Arial"/>
          <w:color w:val="auto"/>
        </w:rPr>
        <w:t xml:space="preserve">tasa </w:t>
      </w:r>
      <w:r w:rsidR="006C7873" w:rsidRPr="009E6D43">
        <w:rPr>
          <w:rFonts w:ascii="Arial" w:hAnsi="Arial"/>
          <w:color w:val="auto"/>
        </w:rPr>
        <w:t>mayor</w:t>
      </w:r>
      <w:r w:rsidR="00E12C08" w:rsidRPr="009E6D43">
        <w:rPr>
          <w:rFonts w:ascii="Arial" w:hAnsi="Arial"/>
          <w:color w:val="auto"/>
        </w:rPr>
        <w:t xml:space="preserve"> a la de </w:t>
      </w:r>
      <w:r w:rsidR="006C7873" w:rsidRPr="009E6D43">
        <w:rPr>
          <w:rFonts w:ascii="Arial" w:hAnsi="Arial"/>
          <w:color w:val="auto"/>
        </w:rPr>
        <w:t>5.</w:t>
      </w:r>
      <w:r w:rsidR="00C23B87" w:rsidRPr="009E6D43">
        <w:rPr>
          <w:rFonts w:ascii="Arial" w:hAnsi="Arial"/>
          <w:color w:val="auto"/>
        </w:rPr>
        <w:t>6</w:t>
      </w:r>
      <w:r w:rsidR="00286E7A" w:rsidRPr="009E6D43">
        <w:rPr>
          <w:rFonts w:ascii="Arial" w:hAnsi="Arial"/>
          <w:color w:val="auto"/>
        </w:rPr>
        <w:t> </w:t>
      </w:r>
      <w:r w:rsidR="00E12C08" w:rsidRPr="009E6D43">
        <w:rPr>
          <w:rFonts w:ascii="Arial" w:hAnsi="Arial"/>
          <w:color w:val="auto"/>
        </w:rPr>
        <w:t>%</w:t>
      </w:r>
      <w:r w:rsidR="008F6219" w:rsidRPr="009E6D43">
        <w:rPr>
          <w:rFonts w:ascii="Arial" w:hAnsi="Arial"/>
          <w:color w:val="auto"/>
        </w:rPr>
        <w:t xml:space="preserve"> </w:t>
      </w:r>
      <w:r w:rsidR="00E12C08" w:rsidRPr="009E6D43">
        <w:rPr>
          <w:rFonts w:ascii="Arial" w:hAnsi="Arial"/>
          <w:color w:val="auto"/>
        </w:rPr>
        <w:t>de</w:t>
      </w:r>
      <w:r w:rsidR="009501B3" w:rsidRPr="009E6D43">
        <w:rPr>
          <w:rFonts w:ascii="Arial" w:hAnsi="Arial"/>
          <w:color w:val="auto"/>
        </w:rPr>
        <w:t xml:space="preserve"> </w:t>
      </w:r>
      <w:r w:rsidR="00CD61EC" w:rsidRPr="009E6D43">
        <w:rPr>
          <w:rFonts w:ascii="Arial" w:hAnsi="Arial"/>
          <w:color w:val="auto"/>
        </w:rPr>
        <w:t>dic</w:t>
      </w:r>
      <w:r w:rsidR="00B13C24" w:rsidRPr="009E6D43">
        <w:rPr>
          <w:rFonts w:ascii="Arial" w:hAnsi="Arial"/>
          <w:color w:val="auto"/>
        </w:rPr>
        <w:t>iembre</w:t>
      </w:r>
      <w:r w:rsidRPr="009E6D43">
        <w:rPr>
          <w:rFonts w:ascii="Arial" w:hAnsi="Arial"/>
          <w:color w:val="auto"/>
        </w:rPr>
        <w:t xml:space="preserve"> de </w:t>
      </w:r>
      <w:r w:rsidR="005E41AB" w:rsidRPr="009E6D43">
        <w:rPr>
          <w:rFonts w:ascii="Arial" w:hAnsi="Arial"/>
          <w:color w:val="auto"/>
        </w:rPr>
        <w:t>202</w:t>
      </w:r>
      <w:r w:rsidR="00E42E73" w:rsidRPr="009E6D43">
        <w:rPr>
          <w:rFonts w:ascii="Arial" w:hAnsi="Arial"/>
          <w:color w:val="auto"/>
        </w:rPr>
        <w:t>2</w:t>
      </w:r>
      <w:r w:rsidRPr="009E6D43">
        <w:rPr>
          <w:rFonts w:ascii="Arial" w:hAnsi="Arial"/>
          <w:color w:val="auto"/>
        </w:rPr>
        <w:t>.</w:t>
      </w:r>
    </w:p>
    <w:p w14:paraId="48FD7A01" w14:textId="4E084D44" w:rsidR="008147FA" w:rsidRPr="009E6D43" w:rsidRDefault="008147FA" w:rsidP="001D6242">
      <w:pPr>
        <w:pStyle w:val="n01"/>
        <w:keepLines w:val="0"/>
        <w:widowControl w:val="0"/>
        <w:spacing w:before="200"/>
        <w:ind w:left="0" w:firstLine="0"/>
        <w:rPr>
          <w:rFonts w:ascii="Arial" w:hAnsi="Arial"/>
          <w:color w:val="auto"/>
          <w:spacing w:val="-4"/>
        </w:rPr>
      </w:pPr>
      <w:r w:rsidRPr="009E6D43">
        <w:rPr>
          <w:rFonts w:ascii="Arial" w:hAnsi="Arial"/>
          <w:b/>
          <w:bCs/>
          <w:color w:val="auto"/>
        </w:rPr>
        <w:t xml:space="preserve">Tasa de </w:t>
      </w:r>
      <w:r w:rsidR="00286E7A" w:rsidRPr="009E6D43">
        <w:rPr>
          <w:rFonts w:ascii="Arial" w:hAnsi="Arial"/>
          <w:b/>
          <w:bCs/>
          <w:color w:val="auto"/>
        </w:rPr>
        <w:t>trabajo asalariado</w:t>
      </w:r>
      <w:r w:rsidR="00D41C3E" w:rsidRPr="009E6D43">
        <w:rPr>
          <w:rFonts w:ascii="Arial" w:hAnsi="Arial"/>
          <w:b/>
          <w:bCs/>
          <w:color w:val="auto"/>
        </w:rPr>
        <w:t>.</w:t>
      </w:r>
      <w:r w:rsidRPr="009E6D43">
        <w:rPr>
          <w:rFonts w:ascii="Arial" w:hAnsi="Arial"/>
          <w:color w:val="auto"/>
        </w:rPr>
        <w:t xml:space="preserve"> </w:t>
      </w:r>
      <w:r w:rsidR="00D41C3E" w:rsidRPr="009E6D43">
        <w:rPr>
          <w:rFonts w:ascii="Arial" w:hAnsi="Arial"/>
          <w:color w:val="auto"/>
          <w:spacing w:val="-4"/>
        </w:rPr>
        <w:t>R</w:t>
      </w:r>
      <w:r w:rsidRPr="009E6D43">
        <w:rPr>
          <w:rFonts w:ascii="Arial" w:hAnsi="Arial"/>
          <w:color w:val="auto"/>
          <w:spacing w:val="-4"/>
        </w:rPr>
        <w:t xml:space="preserve">epresenta a la población que percibe </w:t>
      </w:r>
      <w:r w:rsidR="00B94CA7" w:rsidRPr="009E6D43">
        <w:rPr>
          <w:rFonts w:ascii="Arial" w:hAnsi="Arial"/>
          <w:color w:val="auto"/>
          <w:spacing w:val="-4"/>
        </w:rPr>
        <w:t xml:space="preserve">un sueldo, salario o jornal por las actividades realizadas </w:t>
      </w:r>
      <w:r w:rsidRPr="009E6D43">
        <w:rPr>
          <w:rFonts w:ascii="Arial" w:hAnsi="Arial"/>
          <w:color w:val="auto"/>
          <w:spacing w:val="-4"/>
        </w:rPr>
        <w:t xml:space="preserve">de </w:t>
      </w:r>
      <w:r w:rsidR="00E04314" w:rsidRPr="009E6D43">
        <w:rPr>
          <w:rFonts w:ascii="Arial" w:hAnsi="Arial"/>
          <w:color w:val="auto"/>
          <w:spacing w:val="-4"/>
        </w:rPr>
        <w:t xml:space="preserve">parte de </w:t>
      </w:r>
      <w:r w:rsidRPr="009E6D43">
        <w:rPr>
          <w:rFonts w:ascii="Arial" w:hAnsi="Arial"/>
          <w:color w:val="auto"/>
          <w:spacing w:val="-4"/>
        </w:rPr>
        <w:t xml:space="preserve">la unidad económica para la que trabaja. </w:t>
      </w:r>
      <w:r w:rsidR="00E04314" w:rsidRPr="009E6D43" w:rsidDel="00E92274">
        <w:rPr>
          <w:rFonts w:ascii="Arial" w:hAnsi="Arial"/>
          <w:color w:val="auto"/>
          <w:spacing w:val="-4"/>
        </w:rPr>
        <w:t xml:space="preserve">En </w:t>
      </w:r>
      <w:r w:rsidR="0047287F" w:rsidRPr="009E6D43" w:rsidDel="00E92274">
        <w:rPr>
          <w:rFonts w:ascii="Arial" w:hAnsi="Arial"/>
          <w:color w:val="auto"/>
          <w:spacing w:val="-4"/>
        </w:rPr>
        <w:t>el</w:t>
      </w:r>
      <w:r w:rsidR="007251C7" w:rsidRPr="009E6D43" w:rsidDel="00E92274">
        <w:rPr>
          <w:rFonts w:ascii="Arial" w:hAnsi="Arial"/>
          <w:color w:val="auto"/>
          <w:spacing w:val="-4"/>
        </w:rPr>
        <w:t xml:space="preserve"> </w:t>
      </w:r>
      <w:r w:rsidR="00B13C24" w:rsidRPr="009E6D43" w:rsidDel="00E92274">
        <w:rPr>
          <w:rFonts w:ascii="Arial" w:hAnsi="Arial"/>
          <w:color w:val="auto"/>
          <w:spacing w:val="-4"/>
        </w:rPr>
        <w:t>último</w:t>
      </w:r>
      <w:r w:rsidR="0047287F" w:rsidRPr="009E6D43" w:rsidDel="00E92274">
        <w:rPr>
          <w:rFonts w:ascii="Arial" w:hAnsi="Arial"/>
          <w:color w:val="auto"/>
          <w:spacing w:val="-4"/>
        </w:rPr>
        <w:t xml:space="preserve"> mes </w:t>
      </w:r>
      <w:r w:rsidR="00E04314" w:rsidRPr="009E6D43" w:rsidDel="00E92274">
        <w:rPr>
          <w:rFonts w:ascii="Arial" w:hAnsi="Arial"/>
          <w:color w:val="auto"/>
          <w:spacing w:val="-4"/>
        </w:rPr>
        <w:t>de 202</w:t>
      </w:r>
      <w:r w:rsidR="00E42E73" w:rsidRPr="009E6D43" w:rsidDel="00E92274">
        <w:rPr>
          <w:rFonts w:ascii="Arial" w:hAnsi="Arial"/>
          <w:color w:val="auto"/>
          <w:spacing w:val="-4"/>
        </w:rPr>
        <w:t>3</w:t>
      </w:r>
      <w:r w:rsidR="00E04314" w:rsidRPr="009E6D43" w:rsidDel="00E92274">
        <w:rPr>
          <w:rFonts w:ascii="Arial" w:hAnsi="Arial"/>
          <w:color w:val="auto"/>
          <w:spacing w:val="-4"/>
        </w:rPr>
        <w:t>, l</w:t>
      </w:r>
      <w:r w:rsidRPr="009E6D43" w:rsidDel="00E92274">
        <w:rPr>
          <w:rFonts w:ascii="Arial" w:hAnsi="Arial"/>
          <w:color w:val="auto"/>
          <w:spacing w:val="-4"/>
        </w:rPr>
        <w:t>a tasa fue de 6</w:t>
      </w:r>
      <w:r w:rsidR="00C23B87" w:rsidRPr="009E6D43">
        <w:rPr>
          <w:rFonts w:ascii="Arial" w:hAnsi="Arial"/>
          <w:color w:val="auto"/>
          <w:spacing w:val="-4"/>
        </w:rPr>
        <w:t>7</w:t>
      </w:r>
      <w:r w:rsidR="00520FC0" w:rsidRPr="009E6D43" w:rsidDel="00E92274">
        <w:rPr>
          <w:rFonts w:ascii="Arial" w:hAnsi="Arial"/>
          <w:color w:val="auto"/>
          <w:spacing w:val="-4"/>
        </w:rPr>
        <w:t> %</w:t>
      </w:r>
      <w:r w:rsidRPr="009E6D43" w:rsidDel="00E92274">
        <w:rPr>
          <w:rFonts w:ascii="Arial" w:hAnsi="Arial"/>
          <w:color w:val="auto"/>
          <w:spacing w:val="-4"/>
        </w:rPr>
        <w:t xml:space="preserve"> de la población ocupada, </w:t>
      </w:r>
      <w:r w:rsidR="0064476E" w:rsidRPr="009E6D43" w:rsidDel="00E92274">
        <w:rPr>
          <w:rFonts w:ascii="Arial" w:hAnsi="Arial"/>
          <w:color w:val="auto"/>
          <w:spacing w:val="-4"/>
        </w:rPr>
        <w:t>mayo</w:t>
      </w:r>
      <w:r w:rsidR="007D315B" w:rsidRPr="009E6D43" w:rsidDel="00E92274">
        <w:rPr>
          <w:rFonts w:ascii="Arial" w:hAnsi="Arial"/>
          <w:color w:val="auto"/>
          <w:spacing w:val="-4"/>
        </w:rPr>
        <w:t>r</w:t>
      </w:r>
      <w:r w:rsidR="007027D8" w:rsidRPr="009E6D43" w:rsidDel="00E92274">
        <w:rPr>
          <w:rFonts w:ascii="Arial" w:hAnsi="Arial"/>
          <w:color w:val="auto"/>
          <w:spacing w:val="-4"/>
        </w:rPr>
        <w:t xml:space="preserve"> </w:t>
      </w:r>
      <w:r w:rsidRPr="009E6D43" w:rsidDel="00E92274">
        <w:rPr>
          <w:rFonts w:ascii="Arial" w:hAnsi="Arial"/>
          <w:color w:val="auto"/>
          <w:spacing w:val="-4"/>
        </w:rPr>
        <w:t>a la d</w:t>
      </w:r>
      <w:r w:rsidR="006C69A9" w:rsidRPr="009E6D43" w:rsidDel="00E92274">
        <w:rPr>
          <w:rFonts w:ascii="Arial" w:hAnsi="Arial"/>
          <w:color w:val="auto"/>
          <w:spacing w:val="-4"/>
        </w:rPr>
        <w:t>e un año antes</w:t>
      </w:r>
      <w:r w:rsidR="00E72706" w:rsidRPr="009E6D43" w:rsidDel="00E92274">
        <w:rPr>
          <w:rFonts w:ascii="Arial" w:hAnsi="Arial"/>
          <w:color w:val="auto"/>
          <w:spacing w:val="-4"/>
        </w:rPr>
        <w:t xml:space="preserve"> (</w:t>
      </w:r>
      <w:r w:rsidR="00644F08" w:rsidRPr="009E6D43" w:rsidDel="00E92274">
        <w:rPr>
          <w:rFonts w:ascii="Arial" w:hAnsi="Arial"/>
          <w:color w:val="auto"/>
          <w:spacing w:val="-4"/>
        </w:rPr>
        <w:t>6</w:t>
      </w:r>
      <w:r w:rsidR="00C23B87" w:rsidRPr="009E6D43">
        <w:rPr>
          <w:rFonts w:ascii="Arial" w:hAnsi="Arial"/>
          <w:color w:val="auto"/>
          <w:spacing w:val="-4"/>
        </w:rPr>
        <w:t>4.7</w:t>
      </w:r>
      <w:r w:rsidR="00520FC0" w:rsidRPr="009E6D43" w:rsidDel="00E92274">
        <w:rPr>
          <w:rFonts w:ascii="Arial" w:hAnsi="Arial"/>
          <w:color w:val="auto"/>
          <w:spacing w:val="-4"/>
        </w:rPr>
        <w:t> %</w:t>
      </w:r>
      <w:r w:rsidR="00644F08" w:rsidRPr="009E6D43" w:rsidDel="00E92274">
        <w:rPr>
          <w:rFonts w:ascii="Arial" w:hAnsi="Arial"/>
          <w:color w:val="auto"/>
          <w:spacing w:val="-4"/>
        </w:rPr>
        <w:t>)</w:t>
      </w:r>
      <w:r w:rsidRPr="009E6D43" w:rsidDel="00E92274">
        <w:rPr>
          <w:rFonts w:ascii="Arial" w:hAnsi="Arial"/>
          <w:color w:val="auto"/>
          <w:spacing w:val="-4"/>
        </w:rPr>
        <w:t>.</w:t>
      </w:r>
    </w:p>
    <w:p w14:paraId="74B5DD71" w14:textId="01D5097C" w:rsidR="003671CE" w:rsidRPr="009E6D43" w:rsidRDefault="008147FA" w:rsidP="001D6242">
      <w:pPr>
        <w:pStyle w:val="n01"/>
        <w:widowControl w:val="0"/>
        <w:spacing w:before="200"/>
        <w:ind w:left="0" w:firstLine="0"/>
        <w:rPr>
          <w:rFonts w:ascii="Arial" w:hAnsi="Arial"/>
          <w:color w:val="auto"/>
          <w:szCs w:val="32"/>
        </w:rPr>
      </w:pPr>
      <w:r w:rsidRPr="009E6D43">
        <w:rPr>
          <w:rFonts w:ascii="Arial" w:hAnsi="Arial"/>
          <w:b/>
          <w:bCs/>
          <w:color w:val="auto"/>
        </w:rPr>
        <w:t xml:space="preserve">Tasa de </w:t>
      </w:r>
      <w:r w:rsidR="00286E7A" w:rsidRPr="009E6D43">
        <w:rPr>
          <w:rFonts w:ascii="Arial" w:hAnsi="Arial"/>
          <w:b/>
          <w:bCs/>
          <w:color w:val="auto"/>
        </w:rPr>
        <w:t xml:space="preserve">condiciones críticas </w:t>
      </w:r>
      <w:r w:rsidRPr="009E6D43">
        <w:rPr>
          <w:rFonts w:ascii="Arial" w:hAnsi="Arial"/>
          <w:b/>
          <w:bCs/>
          <w:color w:val="auto"/>
        </w:rPr>
        <w:t xml:space="preserve">de </w:t>
      </w:r>
      <w:r w:rsidR="00286E7A" w:rsidRPr="009E6D43">
        <w:rPr>
          <w:rFonts w:ascii="Arial" w:hAnsi="Arial"/>
          <w:b/>
          <w:bCs/>
          <w:color w:val="auto"/>
        </w:rPr>
        <w:t>ocupación</w:t>
      </w:r>
      <w:r w:rsidR="00B22797" w:rsidRPr="009E6D43">
        <w:rPr>
          <w:rFonts w:ascii="Arial" w:hAnsi="Arial"/>
          <w:b/>
          <w:bCs/>
          <w:color w:val="auto"/>
        </w:rPr>
        <w:t xml:space="preserve"> (</w:t>
      </w:r>
      <w:proofErr w:type="spellStart"/>
      <w:r w:rsidR="00B22797" w:rsidRPr="009E6D43">
        <w:rPr>
          <w:rFonts w:ascii="Arial" w:hAnsi="Arial"/>
          <w:b/>
          <w:bCs/>
          <w:smallCaps/>
          <w:color w:val="auto"/>
        </w:rPr>
        <w:t>tcco</w:t>
      </w:r>
      <w:proofErr w:type="spellEnd"/>
      <w:r w:rsidR="00B22797" w:rsidRPr="009E6D43">
        <w:rPr>
          <w:rFonts w:ascii="Arial" w:hAnsi="Arial"/>
          <w:b/>
          <w:bCs/>
          <w:color w:val="auto"/>
        </w:rPr>
        <w:t>)</w:t>
      </w:r>
      <w:r w:rsidR="00972269" w:rsidRPr="009E6D43">
        <w:rPr>
          <w:rFonts w:ascii="Arial" w:hAnsi="Arial"/>
          <w:b/>
          <w:bCs/>
          <w:color w:val="auto"/>
        </w:rPr>
        <w:t>.</w:t>
      </w:r>
      <w:r w:rsidRPr="009E6D43">
        <w:rPr>
          <w:rFonts w:ascii="Arial" w:hAnsi="Arial"/>
          <w:color w:val="auto"/>
        </w:rPr>
        <w:t xml:space="preserve"> </w:t>
      </w:r>
      <w:r w:rsidR="00146D94" w:rsidRPr="009E6D43">
        <w:rPr>
          <w:rFonts w:ascii="Arial" w:hAnsi="Arial"/>
          <w:color w:val="auto"/>
        </w:rPr>
        <w:t>I</w:t>
      </w:r>
      <w:r w:rsidRPr="009E6D43">
        <w:rPr>
          <w:rFonts w:ascii="Arial" w:hAnsi="Arial"/>
          <w:color w:val="auto"/>
        </w:rPr>
        <w:t xml:space="preserve">ndicador de condiciones inadecuadas de empleo desde el punto de vista del tiempo de trabajo, los ingresos o una combinación insatisfactoria de ambos. Incluye a las personas que trabajan menos de 35 horas a la semana por razones ajenas a sus decisiones, </w:t>
      </w:r>
      <w:r w:rsidR="00685FD5" w:rsidRPr="009E6D43">
        <w:rPr>
          <w:rFonts w:ascii="Arial" w:hAnsi="Arial"/>
          <w:color w:val="auto"/>
        </w:rPr>
        <w:t xml:space="preserve">a </w:t>
      </w:r>
      <w:r w:rsidR="00B554CD" w:rsidRPr="009E6D43">
        <w:rPr>
          <w:rFonts w:ascii="Arial" w:hAnsi="Arial"/>
          <w:color w:val="auto"/>
        </w:rPr>
        <w:t xml:space="preserve">quienes </w:t>
      </w:r>
      <w:r w:rsidRPr="009E6D43">
        <w:rPr>
          <w:rFonts w:ascii="Arial" w:hAnsi="Arial"/>
          <w:color w:val="auto"/>
        </w:rPr>
        <w:t xml:space="preserve">trabajan más de 35 horas semanales con ingresos mensuales inferiores al salario mínimo y </w:t>
      </w:r>
      <w:r w:rsidR="00C756B7" w:rsidRPr="009E6D43">
        <w:rPr>
          <w:rFonts w:ascii="Arial" w:hAnsi="Arial"/>
          <w:color w:val="auto"/>
        </w:rPr>
        <w:t xml:space="preserve">a </w:t>
      </w:r>
      <w:r w:rsidR="00B554CD" w:rsidRPr="009E6D43">
        <w:rPr>
          <w:rFonts w:ascii="Arial" w:hAnsi="Arial"/>
          <w:color w:val="auto"/>
        </w:rPr>
        <w:t xml:space="preserve">quienes </w:t>
      </w:r>
      <w:r w:rsidRPr="009E6D43">
        <w:rPr>
          <w:rFonts w:ascii="Arial" w:hAnsi="Arial"/>
          <w:color w:val="auto"/>
        </w:rPr>
        <w:t xml:space="preserve">laboran más de 48 horas semanales </w:t>
      </w:r>
      <w:r w:rsidR="00A26D90" w:rsidRPr="009E6D43">
        <w:rPr>
          <w:rFonts w:ascii="Arial" w:hAnsi="Arial"/>
          <w:color w:val="auto"/>
        </w:rPr>
        <w:t xml:space="preserve">y que </w:t>
      </w:r>
      <w:r w:rsidRPr="009E6D43">
        <w:rPr>
          <w:rFonts w:ascii="Arial" w:hAnsi="Arial"/>
          <w:color w:val="auto"/>
        </w:rPr>
        <w:t xml:space="preserve">ganan hasta dos salarios mínimos. El indicador se calcula como porcentaje de la población ocupada. La tasa se </w:t>
      </w:r>
      <w:r w:rsidR="00D63304" w:rsidRPr="009E6D43">
        <w:rPr>
          <w:rFonts w:ascii="Arial" w:hAnsi="Arial"/>
          <w:color w:val="auto"/>
        </w:rPr>
        <w:t>ubic</w:t>
      </w:r>
      <w:r w:rsidRPr="009E6D43">
        <w:rPr>
          <w:rFonts w:ascii="Arial" w:hAnsi="Arial"/>
          <w:color w:val="auto"/>
        </w:rPr>
        <w:t xml:space="preserve">ó en </w:t>
      </w:r>
      <w:r w:rsidR="00C23B87" w:rsidRPr="009E6D43">
        <w:rPr>
          <w:rFonts w:ascii="Arial" w:hAnsi="Arial"/>
          <w:color w:val="auto"/>
        </w:rPr>
        <w:t>33.3</w:t>
      </w:r>
      <w:r w:rsidR="00520FC0" w:rsidRPr="009E6D43">
        <w:rPr>
          <w:rFonts w:ascii="Arial" w:hAnsi="Arial"/>
          <w:color w:val="auto"/>
        </w:rPr>
        <w:t> %</w:t>
      </w:r>
      <w:r w:rsidRPr="009E6D43">
        <w:rPr>
          <w:rFonts w:ascii="Arial" w:hAnsi="Arial"/>
          <w:color w:val="auto"/>
        </w:rPr>
        <w:t xml:space="preserve"> en </w:t>
      </w:r>
      <w:r w:rsidR="00CD61EC" w:rsidRPr="009E6D43">
        <w:rPr>
          <w:rFonts w:ascii="Arial" w:hAnsi="Arial"/>
          <w:color w:val="auto"/>
        </w:rPr>
        <w:t>dic</w:t>
      </w:r>
      <w:r w:rsidR="00B13C24" w:rsidRPr="009E6D43">
        <w:rPr>
          <w:rFonts w:ascii="Arial" w:hAnsi="Arial"/>
          <w:color w:val="auto"/>
        </w:rPr>
        <w:t>iembre</w:t>
      </w:r>
      <w:r w:rsidR="00E434BD" w:rsidRPr="009E6D43">
        <w:rPr>
          <w:rFonts w:ascii="Arial" w:hAnsi="Arial"/>
          <w:color w:val="auto"/>
        </w:rPr>
        <w:t xml:space="preserve"> pasado</w:t>
      </w:r>
      <w:r w:rsidR="006C69A9" w:rsidRPr="009E6D43">
        <w:rPr>
          <w:rFonts w:ascii="Arial" w:hAnsi="Arial"/>
          <w:color w:val="auto"/>
        </w:rPr>
        <w:t xml:space="preserve"> y fue</w:t>
      </w:r>
      <w:r w:rsidR="00111A49" w:rsidRPr="009E6D43">
        <w:rPr>
          <w:rFonts w:ascii="Arial" w:hAnsi="Arial"/>
          <w:color w:val="auto"/>
        </w:rPr>
        <w:t xml:space="preserve"> </w:t>
      </w:r>
      <w:r w:rsidR="00D16641" w:rsidRPr="009E6D43">
        <w:rPr>
          <w:rFonts w:ascii="Arial" w:hAnsi="Arial"/>
          <w:color w:val="auto"/>
        </w:rPr>
        <w:t>inferior</w:t>
      </w:r>
      <w:r w:rsidR="00111A49" w:rsidRPr="009E6D43">
        <w:rPr>
          <w:rFonts w:ascii="Arial" w:hAnsi="Arial"/>
          <w:color w:val="auto"/>
        </w:rPr>
        <w:t xml:space="preserve"> </w:t>
      </w:r>
      <w:r w:rsidR="00772C98" w:rsidRPr="009E6D43">
        <w:rPr>
          <w:rFonts w:ascii="Arial" w:hAnsi="Arial"/>
          <w:color w:val="auto"/>
        </w:rPr>
        <w:t xml:space="preserve">a </w:t>
      </w:r>
      <w:r w:rsidR="00625EEA" w:rsidRPr="009E6D43">
        <w:rPr>
          <w:rFonts w:ascii="Arial" w:hAnsi="Arial"/>
          <w:color w:val="auto"/>
        </w:rPr>
        <w:t xml:space="preserve">la de </w:t>
      </w:r>
      <w:r w:rsidR="00CD61EC" w:rsidRPr="009E6D43">
        <w:rPr>
          <w:rFonts w:ascii="Arial" w:hAnsi="Arial"/>
          <w:color w:val="auto"/>
        </w:rPr>
        <w:t>dic</w:t>
      </w:r>
      <w:r w:rsidR="00B13C24" w:rsidRPr="009E6D43">
        <w:rPr>
          <w:rFonts w:ascii="Arial" w:hAnsi="Arial"/>
          <w:color w:val="auto"/>
        </w:rPr>
        <w:t>iembre</w:t>
      </w:r>
      <w:r w:rsidR="00625EEA" w:rsidRPr="009E6D43">
        <w:rPr>
          <w:rFonts w:ascii="Arial" w:hAnsi="Arial"/>
          <w:color w:val="auto"/>
        </w:rPr>
        <w:t xml:space="preserve"> de 202</w:t>
      </w:r>
      <w:r w:rsidR="00E42E73" w:rsidRPr="009E6D43">
        <w:rPr>
          <w:rFonts w:ascii="Arial" w:hAnsi="Arial"/>
          <w:color w:val="auto"/>
        </w:rPr>
        <w:t>2</w:t>
      </w:r>
      <w:r w:rsidR="006C69A9" w:rsidRPr="009E6D43">
        <w:rPr>
          <w:rFonts w:ascii="Arial" w:hAnsi="Arial"/>
          <w:color w:val="auto"/>
        </w:rPr>
        <w:t xml:space="preserve"> (</w:t>
      </w:r>
      <w:r w:rsidR="00F821A4" w:rsidRPr="009E6D43">
        <w:rPr>
          <w:rFonts w:ascii="Arial" w:hAnsi="Arial"/>
          <w:color w:val="auto"/>
        </w:rPr>
        <w:t>33.</w:t>
      </w:r>
      <w:r w:rsidR="00C23B87" w:rsidRPr="009E6D43">
        <w:rPr>
          <w:rFonts w:ascii="Arial" w:hAnsi="Arial"/>
          <w:color w:val="auto"/>
        </w:rPr>
        <w:t>9</w:t>
      </w:r>
      <w:r w:rsidR="00520FC0" w:rsidRPr="009E6D43">
        <w:rPr>
          <w:rFonts w:ascii="Arial" w:hAnsi="Arial"/>
          <w:color w:val="auto"/>
        </w:rPr>
        <w:t> %</w:t>
      </w:r>
      <w:r w:rsidR="006C69A9" w:rsidRPr="009E6D43">
        <w:rPr>
          <w:rFonts w:ascii="Arial" w:hAnsi="Arial"/>
          <w:color w:val="auto"/>
        </w:rPr>
        <w:t>).</w:t>
      </w:r>
    </w:p>
    <w:p w14:paraId="56F54EC4" w14:textId="0B527096" w:rsidR="008147FA" w:rsidRPr="009E6D43" w:rsidRDefault="00B2441D" w:rsidP="001D6242">
      <w:pPr>
        <w:pStyle w:val="n01"/>
        <w:keepLines w:val="0"/>
        <w:widowControl w:val="0"/>
        <w:spacing w:before="200"/>
        <w:ind w:left="0" w:firstLine="0"/>
        <w:jc w:val="center"/>
        <w:rPr>
          <w:rFonts w:ascii="Arial" w:hAnsi="Arial"/>
          <w:color w:val="auto"/>
          <w:sz w:val="20"/>
        </w:rPr>
      </w:pPr>
      <w:r w:rsidRPr="009E6D43">
        <w:rPr>
          <w:rFonts w:ascii="Arial" w:hAnsi="Arial"/>
          <w:color w:val="auto"/>
          <w:sz w:val="20"/>
        </w:rPr>
        <w:t xml:space="preserve">Cuadro </w:t>
      </w:r>
      <w:r w:rsidR="005C1830" w:rsidRPr="009E6D43">
        <w:rPr>
          <w:rFonts w:ascii="Arial" w:hAnsi="Arial"/>
          <w:color w:val="auto"/>
          <w:sz w:val="20"/>
        </w:rPr>
        <w:t>9</w:t>
      </w:r>
    </w:p>
    <w:p w14:paraId="75424EF9" w14:textId="7ED4CACD" w:rsidR="00F04DC1" w:rsidRPr="009E6D43" w:rsidRDefault="008147FA" w:rsidP="008147FA">
      <w:pPr>
        <w:pStyle w:val="n01"/>
        <w:keepLines w:val="0"/>
        <w:widowControl w:val="0"/>
        <w:spacing w:before="0"/>
        <w:ind w:left="0" w:firstLine="0"/>
        <w:jc w:val="center"/>
        <w:rPr>
          <w:rFonts w:ascii="Arial" w:hAnsi="Arial"/>
          <w:b/>
          <w:smallCaps/>
          <w:color w:val="auto"/>
          <w:sz w:val="22"/>
        </w:rPr>
      </w:pPr>
      <w:r w:rsidRPr="009E6D43">
        <w:rPr>
          <w:rFonts w:ascii="Arial" w:hAnsi="Arial"/>
          <w:b/>
          <w:smallCaps/>
          <w:color w:val="auto"/>
          <w:sz w:val="22"/>
        </w:rPr>
        <w:t>Tasas complementarias de ocupación y desocupación</w:t>
      </w:r>
      <w:r w:rsidR="00F04DC1" w:rsidRPr="009E6D43">
        <w:rPr>
          <w:rFonts w:ascii="Arial" w:hAnsi="Arial"/>
          <w:b/>
          <w:smallCaps/>
          <w:color w:val="auto"/>
          <w:sz w:val="22"/>
        </w:rPr>
        <w:t xml:space="preserve"> </w:t>
      </w:r>
      <w:r w:rsidR="006E7FFD" w:rsidRPr="009E6D43">
        <w:rPr>
          <w:rFonts w:ascii="Arial" w:hAnsi="Arial"/>
          <w:b/>
          <w:smallCaps/>
          <w:color w:val="auto"/>
          <w:sz w:val="22"/>
        </w:rPr>
        <w:t>por agregación</w:t>
      </w:r>
    </w:p>
    <w:p w14:paraId="5CAC4246" w14:textId="0B73BECA" w:rsidR="00BA4BCF" w:rsidRPr="009E6D43" w:rsidRDefault="00CD61EC" w:rsidP="008147FA">
      <w:pPr>
        <w:pStyle w:val="n01"/>
        <w:keepLines w:val="0"/>
        <w:widowControl w:val="0"/>
        <w:spacing w:before="0"/>
        <w:ind w:left="0" w:firstLine="0"/>
        <w:jc w:val="center"/>
        <w:rPr>
          <w:rFonts w:ascii="Arial" w:hAnsi="Arial"/>
          <w:b/>
          <w:smallCaps/>
          <w:color w:val="auto"/>
          <w:sz w:val="22"/>
        </w:rPr>
      </w:pPr>
      <w:r w:rsidRPr="009E6D43">
        <w:rPr>
          <w:rFonts w:ascii="Arial" w:hAnsi="Arial"/>
          <w:bCs/>
          <w:color w:val="auto"/>
          <w:sz w:val="20"/>
          <w:szCs w:val="20"/>
        </w:rPr>
        <w:t>dic</w:t>
      </w:r>
      <w:r w:rsidR="00B13C24" w:rsidRPr="009E6D43">
        <w:rPr>
          <w:rFonts w:ascii="Arial" w:hAnsi="Arial"/>
          <w:bCs/>
          <w:color w:val="auto"/>
          <w:sz w:val="20"/>
          <w:szCs w:val="20"/>
        </w:rPr>
        <w:t>iembre</w:t>
      </w:r>
      <w:r w:rsidR="00BA4BCF" w:rsidRPr="009E6D43">
        <w:rPr>
          <w:rFonts w:ascii="Arial" w:hAnsi="Arial"/>
          <w:bCs/>
          <w:color w:val="auto"/>
          <w:sz w:val="20"/>
          <w:szCs w:val="20"/>
        </w:rPr>
        <w:t xml:space="preserve"> de </w:t>
      </w:r>
      <w:r w:rsidR="003671CE" w:rsidRPr="009E6D43">
        <w:rPr>
          <w:rFonts w:ascii="Arial" w:hAnsi="Arial"/>
          <w:bCs/>
          <w:color w:val="auto"/>
          <w:sz w:val="20"/>
          <w:szCs w:val="20"/>
        </w:rPr>
        <w:t>2022 y 2023</w:t>
      </w:r>
    </w:p>
    <w:p w14:paraId="52531BED" w14:textId="1514BB4D" w:rsidR="008147FA" w:rsidRPr="009E6D43" w:rsidRDefault="008147FA" w:rsidP="00573782">
      <w:pPr>
        <w:pStyle w:val="n01"/>
        <w:keepLines w:val="0"/>
        <w:widowControl w:val="0"/>
        <w:spacing w:before="0"/>
        <w:ind w:left="0" w:firstLine="0"/>
        <w:jc w:val="center"/>
        <w:rPr>
          <w:rFonts w:ascii="Arial" w:hAnsi="Arial"/>
          <w:b/>
          <w:bCs/>
          <w:smallCaps/>
          <w:color w:val="auto"/>
          <w:sz w:val="18"/>
          <w:szCs w:val="18"/>
        </w:rPr>
      </w:pPr>
      <w:r w:rsidRPr="009E6D43">
        <w:rPr>
          <w:rFonts w:ascii="Arial" w:hAnsi="Arial"/>
          <w:color w:val="auto"/>
          <w:sz w:val="18"/>
          <w:szCs w:val="18"/>
        </w:rPr>
        <w:t>(</w:t>
      </w:r>
      <w:r w:rsidR="00573782" w:rsidRPr="009E6D43">
        <w:rPr>
          <w:rFonts w:ascii="Arial" w:hAnsi="Arial"/>
          <w:bCs/>
          <w:color w:val="auto"/>
          <w:sz w:val="18"/>
          <w:szCs w:val="18"/>
        </w:rPr>
        <w:t>porcentajes</w:t>
      </w:r>
      <w:r w:rsidRPr="009E6D43">
        <w:rPr>
          <w:rFonts w:ascii="Arial" w:hAnsi="Arial"/>
          <w:color w:val="auto"/>
          <w:sz w:val="18"/>
          <w:szCs w:val="18"/>
        </w:rPr>
        <w:t>)</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9E6D43" w14:paraId="26AF418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63230B" w14:textId="775CB6D2" w:rsidR="009054E8" w:rsidRPr="009E6D43" w:rsidRDefault="009054E8" w:rsidP="005C1830">
            <w:pPr>
              <w:jc w:val="left"/>
              <w:rPr>
                <w:b/>
                <w:bCs/>
                <w:color w:val="000000"/>
                <w:sz w:val="16"/>
                <w:szCs w:val="18"/>
                <w:lang w:val="es-MX" w:eastAsia="es-MX"/>
              </w:rPr>
            </w:pPr>
            <w:r w:rsidRPr="009E6D43">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B4455EE" w14:textId="77777777" w:rsidR="009054E8" w:rsidRPr="009E6D43" w:rsidRDefault="009054E8" w:rsidP="00F561B3">
            <w:pPr>
              <w:jc w:val="center"/>
              <w:rPr>
                <w:b/>
                <w:bCs/>
                <w:color w:val="000000"/>
                <w:sz w:val="16"/>
                <w:szCs w:val="18"/>
                <w:lang w:val="es-MX" w:eastAsia="es-MX"/>
              </w:rPr>
            </w:pPr>
            <w:r w:rsidRPr="009E6D43">
              <w:rPr>
                <w:b/>
                <w:bCs/>
                <w:color w:val="000000"/>
                <w:sz w:val="16"/>
                <w:szCs w:val="18"/>
                <w:lang w:val="es-MX" w:eastAsia="es-MX"/>
              </w:rPr>
              <w:t>Nacional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A16BBF" w14:textId="77777777" w:rsidR="009054E8" w:rsidRPr="009E6D43" w:rsidRDefault="009054E8" w:rsidP="00F561B3">
            <w:pPr>
              <w:jc w:val="center"/>
              <w:rPr>
                <w:b/>
                <w:bCs/>
                <w:color w:val="000000"/>
                <w:sz w:val="16"/>
                <w:szCs w:val="18"/>
                <w:lang w:val="es-MX" w:eastAsia="es-MX"/>
              </w:rPr>
            </w:pPr>
            <w:r w:rsidRPr="009E6D43">
              <w:rPr>
                <w:b/>
                <w:bCs/>
                <w:color w:val="000000"/>
                <w:sz w:val="16"/>
                <w:szCs w:val="18"/>
                <w:lang w:val="es-MX" w:eastAsia="es-MX"/>
              </w:rPr>
              <w:t>Agregado urbano de 32 ciudades</w:t>
            </w:r>
          </w:p>
        </w:tc>
      </w:tr>
      <w:tr w:rsidR="00E42E73" w:rsidRPr="009E6D43" w14:paraId="4B34572F" w14:textId="77777777" w:rsidTr="00C545B6">
        <w:trPr>
          <w:trHeight w:val="45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C7181EE" w14:textId="77777777" w:rsidR="00E42E73" w:rsidRPr="009E6D43" w:rsidRDefault="00E42E73" w:rsidP="00E42E73">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2B0B9E" w14:textId="77777777" w:rsidR="00E42E73" w:rsidRPr="009E6D43" w:rsidRDefault="00E42E73" w:rsidP="00E42E73">
            <w:pPr>
              <w:jc w:val="center"/>
              <w:rPr>
                <w:b/>
                <w:bCs/>
                <w:sz w:val="16"/>
                <w:szCs w:val="16"/>
                <w:lang w:val="es-MX" w:eastAsia="es-MX"/>
              </w:rPr>
            </w:pPr>
            <w:r w:rsidRPr="009E6D43">
              <w:rPr>
                <w:b/>
                <w:bCs/>
                <w:sz w:val="16"/>
                <w:szCs w:val="16"/>
                <w:lang w:val="es-MX" w:eastAsia="es-MX"/>
              </w:rPr>
              <w:t>2022</w:t>
            </w:r>
          </w:p>
          <w:p w14:paraId="19924F8B" w14:textId="4017A1DC" w:rsidR="00E42E73" w:rsidRPr="009E6D43" w:rsidRDefault="00913F94" w:rsidP="00E42E73">
            <w:pPr>
              <w:jc w:val="center"/>
              <w:rPr>
                <w:b/>
                <w:bCs/>
                <w:smallCaps/>
                <w:color w:val="000000"/>
                <w:sz w:val="16"/>
                <w:szCs w:val="18"/>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953" w:type="dxa"/>
            <w:tcBorders>
              <w:top w:val="nil"/>
              <w:left w:val="nil"/>
              <w:bottom w:val="single" w:sz="4" w:space="0" w:color="1F497D"/>
              <w:right w:val="single" w:sz="4" w:space="0" w:color="1F497D"/>
            </w:tcBorders>
            <w:shd w:val="clear" w:color="000000" w:fill="BDD7EE"/>
            <w:vAlign w:val="center"/>
            <w:hideMark/>
          </w:tcPr>
          <w:p w14:paraId="7EF4D88F" w14:textId="77777777" w:rsidR="00E42E73" w:rsidRPr="009E6D43" w:rsidRDefault="00E42E73" w:rsidP="00E42E73">
            <w:pPr>
              <w:jc w:val="center"/>
              <w:rPr>
                <w:b/>
                <w:bCs/>
                <w:sz w:val="16"/>
                <w:szCs w:val="16"/>
                <w:lang w:val="es-MX" w:eastAsia="es-MX"/>
              </w:rPr>
            </w:pPr>
            <w:r w:rsidRPr="009E6D43">
              <w:rPr>
                <w:b/>
                <w:bCs/>
                <w:sz w:val="16"/>
                <w:szCs w:val="16"/>
                <w:lang w:val="es-MX" w:eastAsia="es-MX"/>
              </w:rPr>
              <w:t>2023</w:t>
            </w:r>
          </w:p>
          <w:p w14:paraId="1D02574C" w14:textId="289ED5C7" w:rsidR="00E42E73" w:rsidRPr="009E6D43" w:rsidRDefault="00913F94" w:rsidP="00E42E73">
            <w:pPr>
              <w:jc w:val="center"/>
              <w:rPr>
                <w:b/>
                <w:bCs/>
                <w:smallCaps/>
                <w:color w:val="000000"/>
                <w:sz w:val="16"/>
                <w:szCs w:val="18"/>
                <w:lang w:val="es-MX" w:eastAsia="es-MX"/>
              </w:rPr>
            </w:pPr>
            <w:proofErr w:type="spellStart"/>
            <w:r w:rsidRPr="009E6D43">
              <w:rPr>
                <w:b/>
                <w:bCs/>
                <w:smallCaps/>
                <w:sz w:val="16"/>
                <w:szCs w:val="16"/>
                <w:lang w:val="es-MX" w:eastAsia="es-MX"/>
              </w:rPr>
              <w:t>enoe</w:t>
            </w:r>
            <w:proofErr w:type="spellEnd"/>
          </w:p>
        </w:tc>
        <w:tc>
          <w:tcPr>
            <w:tcW w:w="953" w:type="dxa"/>
            <w:tcBorders>
              <w:top w:val="nil"/>
              <w:left w:val="nil"/>
              <w:bottom w:val="single" w:sz="4" w:space="0" w:color="1F497D"/>
              <w:right w:val="single" w:sz="4" w:space="0" w:color="1F497D"/>
            </w:tcBorders>
            <w:shd w:val="clear" w:color="000000" w:fill="BDD7EE"/>
            <w:vAlign w:val="center"/>
            <w:hideMark/>
          </w:tcPr>
          <w:p w14:paraId="5B1674F6" w14:textId="77777777" w:rsidR="00E42E73" w:rsidRPr="009E6D43" w:rsidRDefault="00E42E73" w:rsidP="00E42E73">
            <w:pPr>
              <w:jc w:val="center"/>
              <w:rPr>
                <w:b/>
                <w:bCs/>
                <w:sz w:val="16"/>
                <w:szCs w:val="16"/>
                <w:lang w:val="es-MX" w:eastAsia="es-MX"/>
              </w:rPr>
            </w:pPr>
            <w:r w:rsidRPr="009E6D43">
              <w:rPr>
                <w:b/>
                <w:bCs/>
                <w:sz w:val="16"/>
                <w:szCs w:val="16"/>
                <w:lang w:val="es-MX" w:eastAsia="es-MX"/>
              </w:rPr>
              <w:t>2022</w:t>
            </w:r>
          </w:p>
          <w:p w14:paraId="7DDBC33E" w14:textId="21E71194" w:rsidR="00E42E73" w:rsidRPr="009E6D43" w:rsidRDefault="00913F94" w:rsidP="00E42E73">
            <w:pPr>
              <w:jc w:val="center"/>
              <w:rPr>
                <w:b/>
                <w:bCs/>
                <w:smallCaps/>
                <w:color w:val="000000"/>
                <w:sz w:val="16"/>
                <w:szCs w:val="18"/>
                <w:lang w:val="es-MX" w:eastAsia="es-MX"/>
              </w:rPr>
            </w:pPr>
            <w:proofErr w:type="spellStart"/>
            <w:r w:rsidRPr="009E6D43">
              <w:rPr>
                <w:b/>
                <w:bCs/>
                <w:smallCaps/>
                <w:sz w:val="16"/>
                <w:szCs w:val="16"/>
                <w:lang w:val="es-MX" w:eastAsia="es-MX"/>
              </w:rPr>
              <w:t>enoe</w:t>
            </w:r>
            <w:r w:rsidRPr="009E6D43">
              <w:rPr>
                <w:b/>
                <w:bCs/>
                <w:smallCaps/>
                <w:sz w:val="16"/>
                <w:szCs w:val="16"/>
                <w:vertAlign w:val="superscript"/>
                <w:lang w:val="es-MX" w:eastAsia="es-MX"/>
              </w:rPr>
              <w:t>n</w:t>
            </w:r>
            <w:proofErr w:type="spellEnd"/>
          </w:p>
        </w:tc>
        <w:tc>
          <w:tcPr>
            <w:tcW w:w="953" w:type="dxa"/>
            <w:tcBorders>
              <w:top w:val="nil"/>
              <w:left w:val="nil"/>
              <w:bottom w:val="single" w:sz="4" w:space="0" w:color="1F497D"/>
              <w:right w:val="single" w:sz="4" w:space="0" w:color="1F497D"/>
            </w:tcBorders>
            <w:shd w:val="clear" w:color="000000" w:fill="BDD7EE"/>
            <w:vAlign w:val="center"/>
          </w:tcPr>
          <w:p w14:paraId="3B13C384" w14:textId="77777777" w:rsidR="00E42E73" w:rsidRPr="009E6D43" w:rsidRDefault="00E42E73" w:rsidP="00E42E73">
            <w:pPr>
              <w:jc w:val="center"/>
              <w:rPr>
                <w:b/>
                <w:bCs/>
                <w:sz w:val="16"/>
                <w:szCs w:val="16"/>
                <w:lang w:val="es-MX" w:eastAsia="es-MX"/>
              </w:rPr>
            </w:pPr>
            <w:r w:rsidRPr="009E6D43">
              <w:rPr>
                <w:b/>
                <w:bCs/>
                <w:sz w:val="16"/>
                <w:szCs w:val="16"/>
                <w:lang w:val="es-MX" w:eastAsia="es-MX"/>
              </w:rPr>
              <w:t>2023</w:t>
            </w:r>
          </w:p>
          <w:p w14:paraId="72DE0A0C" w14:textId="3347CF3F" w:rsidR="00E42E73" w:rsidRPr="009E6D43" w:rsidRDefault="00913F94" w:rsidP="00E42E73">
            <w:pPr>
              <w:jc w:val="center"/>
              <w:rPr>
                <w:b/>
                <w:bCs/>
                <w:smallCaps/>
                <w:color w:val="000000"/>
                <w:sz w:val="16"/>
                <w:szCs w:val="18"/>
                <w:lang w:val="es-MX" w:eastAsia="es-MX"/>
              </w:rPr>
            </w:pPr>
            <w:proofErr w:type="spellStart"/>
            <w:r w:rsidRPr="009E6D43">
              <w:rPr>
                <w:b/>
                <w:bCs/>
                <w:smallCaps/>
                <w:sz w:val="16"/>
                <w:szCs w:val="16"/>
                <w:lang w:val="es-MX" w:eastAsia="es-MX"/>
              </w:rPr>
              <w:t>enoe</w:t>
            </w:r>
            <w:proofErr w:type="spellEnd"/>
          </w:p>
        </w:tc>
      </w:tr>
      <w:tr w:rsidR="00CF65DE" w:rsidRPr="009E6D43" w14:paraId="03F950EB"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32018469" w14:textId="24092127" w:rsidR="00CF65DE" w:rsidRPr="009E6D43" w:rsidRDefault="00CF65DE" w:rsidP="00CF65DE">
            <w:pPr>
              <w:jc w:val="left"/>
              <w:rPr>
                <w:color w:val="000000"/>
                <w:sz w:val="16"/>
                <w:szCs w:val="18"/>
                <w:lang w:val="es-MX" w:eastAsia="es-MX"/>
              </w:rPr>
            </w:pPr>
            <w:r w:rsidRPr="009E6D43">
              <w:rPr>
                <w:color w:val="000000"/>
                <w:sz w:val="16"/>
                <w:szCs w:val="18"/>
                <w:lang w:val="es-MX" w:eastAsia="es-MX"/>
              </w:rPr>
              <w:t>Tasa de participación</w:t>
            </w:r>
            <w:r w:rsidRPr="009E6D43">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7F417DEB" w14:textId="059D0F4C"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59.7</w:t>
            </w:r>
          </w:p>
        </w:tc>
        <w:tc>
          <w:tcPr>
            <w:tcW w:w="953" w:type="dxa"/>
            <w:tcBorders>
              <w:top w:val="nil"/>
              <w:left w:val="nil"/>
              <w:bottom w:val="nil"/>
              <w:right w:val="single" w:sz="4" w:space="0" w:color="1F497D"/>
            </w:tcBorders>
            <w:shd w:val="clear" w:color="auto" w:fill="auto"/>
            <w:noWrap/>
            <w:vAlign w:val="center"/>
            <w:hideMark/>
          </w:tcPr>
          <w:p w14:paraId="0E888F0B" w14:textId="12B28A46"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59.9</w:t>
            </w:r>
          </w:p>
        </w:tc>
        <w:tc>
          <w:tcPr>
            <w:tcW w:w="953" w:type="dxa"/>
            <w:tcBorders>
              <w:top w:val="single" w:sz="4" w:space="0" w:color="1F497D"/>
              <w:left w:val="nil"/>
              <w:bottom w:val="nil"/>
            </w:tcBorders>
            <w:shd w:val="clear" w:color="auto" w:fill="auto"/>
            <w:noWrap/>
            <w:vAlign w:val="center"/>
            <w:hideMark/>
          </w:tcPr>
          <w:p w14:paraId="27E4576A" w14:textId="56A16D67" w:rsidR="00CF65DE" w:rsidRPr="009E6D43" w:rsidRDefault="00CF65DE" w:rsidP="00CF65DE">
            <w:pPr>
              <w:tabs>
                <w:tab w:val="decimal" w:pos="411"/>
              </w:tabs>
              <w:ind w:right="-115"/>
              <w:jc w:val="left"/>
              <w:rPr>
                <w:color w:val="000000"/>
                <w:sz w:val="16"/>
                <w:szCs w:val="16"/>
              </w:rPr>
            </w:pPr>
            <w:r w:rsidRPr="009E6D43">
              <w:rPr>
                <w:color w:val="000000"/>
                <w:sz w:val="16"/>
                <w:szCs w:val="16"/>
              </w:rPr>
              <w:t>61.0</w:t>
            </w:r>
          </w:p>
        </w:tc>
        <w:tc>
          <w:tcPr>
            <w:tcW w:w="953" w:type="dxa"/>
            <w:tcBorders>
              <w:top w:val="single" w:sz="4" w:space="0" w:color="1F497D"/>
              <w:bottom w:val="nil"/>
              <w:right w:val="single" w:sz="4" w:space="0" w:color="1F497D"/>
            </w:tcBorders>
            <w:shd w:val="clear" w:color="auto" w:fill="auto"/>
            <w:vAlign w:val="center"/>
          </w:tcPr>
          <w:p w14:paraId="7DFA3CBE" w14:textId="2D56850C" w:rsidR="00CF65DE" w:rsidRPr="009E6D43" w:rsidRDefault="00CF65DE" w:rsidP="00CF65DE">
            <w:pPr>
              <w:tabs>
                <w:tab w:val="decimal" w:pos="426"/>
              </w:tabs>
              <w:ind w:right="-115"/>
              <w:jc w:val="left"/>
              <w:rPr>
                <w:color w:val="000000"/>
                <w:sz w:val="16"/>
                <w:szCs w:val="16"/>
              </w:rPr>
            </w:pPr>
            <w:r w:rsidRPr="009E6D43">
              <w:rPr>
                <w:color w:val="000000"/>
                <w:sz w:val="16"/>
                <w:szCs w:val="16"/>
              </w:rPr>
              <w:t>60.2</w:t>
            </w:r>
          </w:p>
        </w:tc>
      </w:tr>
      <w:tr w:rsidR="00CF65DE" w:rsidRPr="009E6D43" w14:paraId="7DDDAFCC"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0EA1FFA5" w14:textId="5BE612C3" w:rsidR="00CF65DE" w:rsidRPr="009E6D43" w:rsidRDefault="00CF65DE" w:rsidP="00CF65DE">
            <w:pPr>
              <w:jc w:val="left"/>
              <w:rPr>
                <w:color w:val="000000"/>
                <w:sz w:val="16"/>
                <w:szCs w:val="18"/>
                <w:lang w:val="es-MX" w:eastAsia="es-MX"/>
              </w:rPr>
            </w:pPr>
            <w:r w:rsidRPr="009E6D43">
              <w:rPr>
                <w:color w:val="000000"/>
                <w:sz w:val="16"/>
                <w:szCs w:val="18"/>
                <w:lang w:val="es-MX" w:eastAsia="es-MX"/>
              </w:rPr>
              <w:t>Tasa de desocupación</w:t>
            </w:r>
            <w:r w:rsidRPr="009E6D43">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D92039" w14:textId="4B72E784"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2.8</w:t>
            </w:r>
          </w:p>
        </w:tc>
        <w:tc>
          <w:tcPr>
            <w:tcW w:w="953" w:type="dxa"/>
            <w:tcBorders>
              <w:top w:val="nil"/>
              <w:left w:val="nil"/>
              <w:bottom w:val="nil"/>
              <w:right w:val="single" w:sz="4" w:space="0" w:color="1F497D"/>
            </w:tcBorders>
            <w:shd w:val="clear" w:color="auto" w:fill="auto"/>
            <w:noWrap/>
            <w:vAlign w:val="center"/>
            <w:hideMark/>
          </w:tcPr>
          <w:p w14:paraId="5FB62F41" w14:textId="394F122D"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2.6</w:t>
            </w:r>
          </w:p>
        </w:tc>
        <w:tc>
          <w:tcPr>
            <w:tcW w:w="953" w:type="dxa"/>
            <w:tcBorders>
              <w:top w:val="nil"/>
              <w:left w:val="nil"/>
              <w:bottom w:val="nil"/>
            </w:tcBorders>
            <w:shd w:val="clear" w:color="auto" w:fill="auto"/>
            <w:noWrap/>
            <w:vAlign w:val="center"/>
            <w:hideMark/>
          </w:tcPr>
          <w:p w14:paraId="6B3FB6E3" w14:textId="26F91EEC" w:rsidR="00CF65DE" w:rsidRPr="009E6D43" w:rsidRDefault="00CF65DE" w:rsidP="00CF65DE">
            <w:pPr>
              <w:tabs>
                <w:tab w:val="decimal" w:pos="411"/>
              </w:tabs>
              <w:ind w:right="-115"/>
              <w:jc w:val="left"/>
              <w:rPr>
                <w:color w:val="000000"/>
                <w:sz w:val="16"/>
                <w:szCs w:val="16"/>
              </w:rPr>
            </w:pPr>
            <w:r w:rsidRPr="009E6D43">
              <w:rPr>
                <w:color w:val="000000"/>
                <w:sz w:val="16"/>
                <w:szCs w:val="16"/>
              </w:rPr>
              <w:t>3.6</w:t>
            </w:r>
          </w:p>
        </w:tc>
        <w:tc>
          <w:tcPr>
            <w:tcW w:w="953" w:type="dxa"/>
            <w:tcBorders>
              <w:top w:val="nil"/>
              <w:bottom w:val="nil"/>
              <w:right w:val="single" w:sz="4" w:space="0" w:color="1F497D"/>
            </w:tcBorders>
            <w:shd w:val="clear" w:color="auto" w:fill="auto"/>
            <w:vAlign w:val="center"/>
          </w:tcPr>
          <w:p w14:paraId="06582059" w14:textId="07A403B4" w:rsidR="00CF65DE" w:rsidRPr="009E6D43" w:rsidRDefault="00CF65DE" w:rsidP="00CF65DE">
            <w:pPr>
              <w:tabs>
                <w:tab w:val="decimal" w:pos="426"/>
              </w:tabs>
              <w:ind w:right="-115"/>
              <w:jc w:val="left"/>
              <w:rPr>
                <w:color w:val="000000"/>
                <w:sz w:val="16"/>
                <w:szCs w:val="16"/>
              </w:rPr>
            </w:pPr>
            <w:r w:rsidRPr="009E6D43">
              <w:rPr>
                <w:color w:val="000000"/>
                <w:sz w:val="16"/>
                <w:szCs w:val="16"/>
              </w:rPr>
              <w:t>3.1</w:t>
            </w:r>
          </w:p>
        </w:tc>
      </w:tr>
      <w:tr w:rsidR="00CF65DE" w:rsidRPr="009E6D43" w14:paraId="442C00DA"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3CAE3187" w14:textId="27030B6B" w:rsidR="00CF65DE" w:rsidRPr="009E6D43" w:rsidRDefault="00CF65DE" w:rsidP="00CF65DE">
            <w:pPr>
              <w:ind w:firstLineChars="100" w:firstLine="160"/>
              <w:jc w:val="left"/>
              <w:rPr>
                <w:color w:val="000000"/>
                <w:sz w:val="16"/>
                <w:szCs w:val="18"/>
                <w:lang w:val="es-MX" w:eastAsia="es-MX"/>
              </w:rPr>
            </w:pPr>
            <w:proofErr w:type="spellStart"/>
            <w:r w:rsidRPr="009E6D43">
              <w:rPr>
                <w:smallCaps/>
                <w:color w:val="000000"/>
                <w:sz w:val="16"/>
                <w:szCs w:val="18"/>
                <w:lang w:val="es-MX" w:eastAsia="es-MX"/>
              </w:rPr>
              <w:t>td</w:t>
            </w:r>
            <w:proofErr w:type="spellEnd"/>
            <w:r w:rsidRPr="009E6D43">
              <w:rPr>
                <w:color w:val="000000"/>
                <w:sz w:val="16"/>
                <w:szCs w:val="18"/>
                <w:lang w:val="es-MX" w:eastAsia="es-MX"/>
              </w:rPr>
              <w:t xml:space="preserve"> hombres</w:t>
            </w:r>
          </w:p>
        </w:tc>
        <w:tc>
          <w:tcPr>
            <w:tcW w:w="953" w:type="dxa"/>
            <w:tcBorders>
              <w:top w:val="nil"/>
              <w:left w:val="single" w:sz="4" w:space="0" w:color="1F497D"/>
              <w:bottom w:val="nil"/>
              <w:right w:val="nil"/>
            </w:tcBorders>
            <w:shd w:val="clear" w:color="auto" w:fill="auto"/>
            <w:noWrap/>
            <w:vAlign w:val="center"/>
            <w:hideMark/>
          </w:tcPr>
          <w:p w14:paraId="01AECACF" w14:textId="2EA432C1"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2.9</w:t>
            </w:r>
          </w:p>
        </w:tc>
        <w:tc>
          <w:tcPr>
            <w:tcW w:w="953" w:type="dxa"/>
            <w:tcBorders>
              <w:top w:val="nil"/>
              <w:left w:val="nil"/>
              <w:bottom w:val="nil"/>
              <w:right w:val="single" w:sz="4" w:space="0" w:color="1F497D"/>
            </w:tcBorders>
            <w:shd w:val="clear" w:color="auto" w:fill="auto"/>
            <w:noWrap/>
            <w:vAlign w:val="center"/>
            <w:hideMark/>
          </w:tcPr>
          <w:p w14:paraId="29A7149C" w14:textId="4F91566B"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2.6</w:t>
            </w:r>
          </w:p>
        </w:tc>
        <w:tc>
          <w:tcPr>
            <w:tcW w:w="953" w:type="dxa"/>
            <w:tcBorders>
              <w:top w:val="nil"/>
              <w:left w:val="nil"/>
              <w:bottom w:val="nil"/>
            </w:tcBorders>
            <w:shd w:val="clear" w:color="auto" w:fill="auto"/>
            <w:noWrap/>
            <w:vAlign w:val="center"/>
            <w:hideMark/>
          </w:tcPr>
          <w:p w14:paraId="09CE5B00" w14:textId="30A11733" w:rsidR="00CF65DE" w:rsidRPr="009E6D43" w:rsidRDefault="00CF65DE" w:rsidP="00CF65DE">
            <w:pPr>
              <w:tabs>
                <w:tab w:val="decimal" w:pos="411"/>
              </w:tabs>
              <w:ind w:right="-115"/>
              <w:jc w:val="left"/>
              <w:rPr>
                <w:color w:val="000000"/>
                <w:sz w:val="16"/>
                <w:szCs w:val="16"/>
              </w:rPr>
            </w:pPr>
            <w:r w:rsidRPr="009E6D43">
              <w:rPr>
                <w:color w:val="000000"/>
                <w:sz w:val="16"/>
                <w:szCs w:val="16"/>
              </w:rPr>
              <w:t>4.0</w:t>
            </w:r>
          </w:p>
        </w:tc>
        <w:tc>
          <w:tcPr>
            <w:tcW w:w="953" w:type="dxa"/>
            <w:tcBorders>
              <w:top w:val="nil"/>
              <w:bottom w:val="nil"/>
              <w:right w:val="single" w:sz="4" w:space="0" w:color="1F497D"/>
            </w:tcBorders>
            <w:shd w:val="clear" w:color="auto" w:fill="auto"/>
            <w:vAlign w:val="center"/>
          </w:tcPr>
          <w:p w14:paraId="4C85CD91" w14:textId="413E0241" w:rsidR="00CF65DE" w:rsidRPr="009E6D43" w:rsidRDefault="00CF65DE" w:rsidP="00CF65DE">
            <w:pPr>
              <w:tabs>
                <w:tab w:val="decimal" w:pos="426"/>
              </w:tabs>
              <w:ind w:right="-115"/>
              <w:jc w:val="left"/>
              <w:rPr>
                <w:color w:val="000000"/>
                <w:sz w:val="16"/>
                <w:szCs w:val="16"/>
              </w:rPr>
            </w:pPr>
            <w:r w:rsidRPr="009E6D43">
              <w:rPr>
                <w:color w:val="000000"/>
                <w:sz w:val="16"/>
                <w:szCs w:val="16"/>
              </w:rPr>
              <w:t>3.2</w:t>
            </w:r>
          </w:p>
        </w:tc>
      </w:tr>
      <w:tr w:rsidR="00CF65DE" w:rsidRPr="009E6D43" w14:paraId="13FCC01C"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6729887B" w14:textId="534D5972" w:rsidR="00CF65DE" w:rsidRPr="009E6D43" w:rsidRDefault="00CF65DE" w:rsidP="00CF65DE">
            <w:pPr>
              <w:ind w:firstLineChars="100" w:firstLine="160"/>
              <w:jc w:val="left"/>
              <w:rPr>
                <w:color w:val="000000"/>
                <w:sz w:val="16"/>
                <w:szCs w:val="18"/>
                <w:lang w:val="es-MX" w:eastAsia="es-MX"/>
              </w:rPr>
            </w:pPr>
            <w:proofErr w:type="spellStart"/>
            <w:r w:rsidRPr="009E6D43">
              <w:rPr>
                <w:smallCaps/>
                <w:color w:val="000000"/>
                <w:sz w:val="16"/>
                <w:szCs w:val="18"/>
                <w:lang w:val="es-MX" w:eastAsia="es-MX"/>
              </w:rPr>
              <w:t>td</w:t>
            </w:r>
            <w:proofErr w:type="spellEnd"/>
            <w:r w:rsidRPr="009E6D43">
              <w:rPr>
                <w:color w:val="000000"/>
                <w:sz w:val="16"/>
                <w:szCs w:val="18"/>
                <w:lang w:val="es-MX" w:eastAsia="es-MX"/>
              </w:rPr>
              <w:t xml:space="preserve"> mujeres</w:t>
            </w:r>
          </w:p>
        </w:tc>
        <w:tc>
          <w:tcPr>
            <w:tcW w:w="953" w:type="dxa"/>
            <w:tcBorders>
              <w:top w:val="nil"/>
              <w:left w:val="single" w:sz="4" w:space="0" w:color="1F497D"/>
              <w:bottom w:val="nil"/>
              <w:right w:val="nil"/>
            </w:tcBorders>
            <w:shd w:val="clear" w:color="auto" w:fill="auto"/>
            <w:noWrap/>
            <w:vAlign w:val="center"/>
            <w:hideMark/>
          </w:tcPr>
          <w:p w14:paraId="3F65B5FE" w14:textId="4906C1EB"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2.5</w:t>
            </w:r>
          </w:p>
        </w:tc>
        <w:tc>
          <w:tcPr>
            <w:tcW w:w="953" w:type="dxa"/>
            <w:tcBorders>
              <w:top w:val="nil"/>
              <w:left w:val="nil"/>
              <w:bottom w:val="nil"/>
              <w:right w:val="single" w:sz="4" w:space="0" w:color="1F497D"/>
            </w:tcBorders>
            <w:shd w:val="clear" w:color="auto" w:fill="auto"/>
            <w:noWrap/>
            <w:vAlign w:val="center"/>
            <w:hideMark/>
          </w:tcPr>
          <w:p w14:paraId="3C03ACE9" w14:textId="72AA55F5"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2.6</w:t>
            </w:r>
          </w:p>
        </w:tc>
        <w:tc>
          <w:tcPr>
            <w:tcW w:w="953" w:type="dxa"/>
            <w:tcBorders>
              <w:top w:val="nil"/>
              <w:left w:val="nil"/>
              <w:bottom w:val="nil"/>
            </w:tcBorders>
            <w:shd w:val="clear" w:color="auto" w:fill="auto"/>
            <w:noWrap/>
            <w:vAlign w:val="center"/>
            <w:hideMark/>
          </w:tcPr>
          <w:p w14:paraId="740D461A" w14:textId="1033A1EF" w:rsidR="00CF65DE" w:rsidRPr="009E6D43" w:rsidRDefault="00CF65DE" w:rsidP="00CF65DE">
            <w:pPr>
              <w:tabs>
                <w:tab w:val="decimal" w:pos="411"/>
              </w:tabs>
              <w:ind w:right="-115"/>
              <w:jc w:val="left"/>
              <w:rPr>
                <w:color w:val="000000"/>
                <w:sz w:val="16"/>
                <w:szCs w:val="16"/>
              </w:rPr>
            </w:pPr>
            <w:r w:rsidRPr="009E6D43">
              <w:rPr>
                <w:color w:val="000000"/>
                <w:sz w:val="16"/>
                <w:szCs w:val="16"/>
              </w:rPr>
              <w:t>3.0</w:t>
            </w:r>
          </w:p>
        </w:tc>
        <w:tc>
          <w:tcPr>
            <w:tcW w:w="953" w:type="dxa"/>
            <w:tcBorders>
              <w:top w:val="nil"/>
              <w:bottom w:val="nil"/>
              <w:right w:val="single" w:sz="4" w:space="0" w:color="1F497D"/>
            </w:tcBorders>
            <w:shd w:val="clear" w:color="auto" w:fill="auto"/>
            <w:vAlign w:val="center"/>
          </w:tcPr>
          <w:p w14:paraId="3C473D05" w14:textId="24F8D5AC" w:rsidR="00CF65DE" w:rsidRPr="009E6D43" w:rsidRDefault="00CF65DE" w:rsidP="00CF65DE">
            <w:pPr>
              <w:tabs>
                <w:tab w:val="decimal" w:pos="426"/>
              </w:tabs>
              <w:ind w:right="-115"/>
              <w:jc w:val="left"/>
              <w:rPr>
                <w:color w:val="000000"/>
                <w:sz w:val="16"/>
                <w:szCs w:val="16"/>
              </w:rPr>
            </w:pPr>
            <w:r w:rsidRPr="009E6D43">
              <w:rPr>
                <w:color w:val="000000"/>
                <w:sz w:val="16"/>
                <w:szCs w:val="16"/>
              </w:rPr>
              <w:t>3.0</w:t>
            </w:r>
          </w:p>
        </w:tc>
      </w:tr>
      <w:tr w:rsidR="00CF65DE" w:rsidRPr="009E6D43" w14:paraId="27EA418D"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6262BD19" w14:textId="5B30F769" w:rsidR="00CF65DE" w:rsidRPr="009E6D43" w:rsidRDefault="00CF65DE" w:rsidP="00CF65DE">
            <w:pPr>
              <w:jc w:val="left"/>
              <w:rPr>
                <w:color w:val="000000"/>
                <w:sz w:val="16"/>
                <w:szCs w:val="18"/>
                <w:lang w:val="es-MX" w:eastAsia="es-MX"/>
              </w:rPr>
            </w:pPr>
            <w:r w:rsidRPr="009E6D43">
              <w:rPr>
                <w:color w:val="000000"/>
                <w:sz w:val="16"/>
                <w:szCs w:val="18"/>
                <w:lang w:val="es-MX" w:eastAsia="es-MX"/>
              </w:rPr>
              <w:t>Tasa de ocupación parcial y desocupación</w:t>
            </w:r>
            <w:r w:rsidRPr="009E6D43">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0FD5A80" w14:textId="58BB9EC4"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8.4</w:t>
            </w:r>
          </w:p>
        </w:tc>
        <w:tc>
          <w:tcPr>
            <w:tcW w:w="953" w:type="dxa"/>
            <w:tcBorders>
              <w:top w:val="nil"/>
              <w:left w:val="nil"/>
              <w:bottom w:val="nil"/>
              <w:right w:val="single" w:sz="4" w:space="0" w:color="1F497D"/>
            </w:tcBorders>
            <w:shd w:val="clear" w:color="auto" w:fill="auto"/>
            <w:noWrap/>
            <w:vAlign w:val="center"/>
            <w:hideMark/>
          </w:tcPr>
          <w:p w14:paraId="1285A1FE" w14:textId="51D29802"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8.8</w:t>
            </w:r>
          </w:p>
        </w:tc>
        <w:tc>
          <w:tcPr>
            <w:tcW w:w="953" w:type="dxa"/>
            <w:tcBorders>
              <w:top w:val="nil"/>
              <w:left w:val="nil"/>
              <w:bottom w:val="nil"/>
            </w:tcBorders>
            <w:shd w:val="clear" w:color="auto" w:fill="auto"/>
            <w:noWrap/>
            <w:vAlign w:val="center"/>
            <w:hideMark/>
          </w:tcPr>
          <w:p w14:paraId="2BA43750" w14:textId="0443E529" w:rsidR="00CF65DE" w:rsidRPr="009E6D43" w:rsidRDefault="00CF65DE" w:rsidP="00CF65DE">
            <w:pPr>
              <w:tabs>
                <w:tab w:val="decimal" w:pos="411"/>
              </w:tabs>
              <w:ind w:right="-115"/>
              <w:jc w:val="left"/>
              <w:rPr>
                <w:color w:val="000000"/>
                <w:sz w:val="16"/>
                <w:szCs w:val="16"/>
              </w:rPr>
            </w:pPr>
            <w:r w:rsidRPr="009E6D43">
              <w:rPr>
                <w:color w:val="000000"/>
                <w:sz w:val="16"/>
                <w:szCs w:val="16"/>
              </w:rPr>
              <w:t>8.6</w:t>
            </w:r>
          </w:p>
        </w:tc>
        <w:tc>
          <w:tcPr>
            <w:tcW w:w="953" w:type="dxa"/>
            <w:tcBorders>
              <w:top w:val="nil"/>
              <w:bottom w:val="nil"/>
              <w:right w:val="single" w:sz="4" w:space="0" w:color="1F497D"/>
            </w:tcBorders>
            <w:shd w:val="clear" w:color="auto" w:fill="auto"/>
            <w:vAlign w:val="center"/>
          </w:tcPr>
          <w:p w14:paraId="55EAB338" w14:textId="1191511E" w:rsidR="00CF65DE" w:rsidRPr="009E6D43" w:rsidRDefault="00CF65DE" w:rsidP="00CF65DE">
            <w:pPr>
              <w:tabs>
                <w:tab w:val="decimal" w:pos="426"/>
              </w:tabs>
              <w:ind w:right="-115"/>
              <w:jc w:val="left"/>
              <w:rPr>
                <w:color w:val="000000"/>
                <w:sz w:val="16"/>
                <w:szCs w:val="16"/>
              </w:rPr>
            </w:pPr>
            <w:r w:rsidRPr="009E6D43">
              <w:rPr>
                <w:color w:val="000000"/>
                <w:sz w:val="16"/>
                <w:szCs w:val="16"/>
              </w:rPr>
              <w:t>7.9</w:t>
            </w:r>
          </w:p>
        </w:tc>
      </w:tr>
      <w:tr w:rsidR="00CF65DE" w:rsidRPr="009E6D43" w14:paraId="2219B3CD"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60E1840E" w14:textId="1F280288" w:rsidR="00CF65DE" w:rsidRPr="009E6D43" w:rsidRDefault="00CF65DE" w:rsidP="00CF65DE">
            <w:pPr>
              <w:jc w:val="left"/>
              <w:rPr>
                <w:color w:val="000000"/>
                <w:sz w:val="16"/>
                <w:szCs w:val="18"/>
                <w:lang w:val="es-MX" w:eastAsia="es-MX"/>
              </w:rPr>
            </w:pPr>
            <w:r w:rsidRPr="009E6D43">
              <w:rPr>
                <w:color w:val="000000"/>
                <w:sz w:val="16"/>
                <w:szCs w:val="18"/>
                <w:lang w:val="es-MX" w:eastAsia="es-MX"/>
              </w:rPr>
              <w:t>Tasa de presión general</w:t>
            </w:r>
            <w:r w:rsidRPr="009E6D43">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693F204" w14:textId="0238A5B4"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5.6</w:t>
            </w:r>
          </w:p>
        </w:tc>
        <w:tc>
          <w:tcPr>
            <w:tcW w:w="953" w:type="dxa"/>
            <w:tcBorders>
              <w:top w:val="nil"/>
              <w:left w:val="nil"/>
              <w:bottom w:val="nil"/>
              <w:right w:val="single" w:sz="4" w:space="0" w:color="1F497D"/>
            </w:tcBorders>
            <w:shd w:val="clear" w:color="auto" w:fill="auto"/>
            <w:noWrap/>
            <w:vAlign w:val="center"/>
            <w:hideMark/>
          </w:tcPr>
          <w:p w14:paraId="34B850A1" w14:textId="085B9477"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5.7</w:t>
            </w:r>
          </w:p>
        </w:tc>
        <w:tc>
          <w:tcPr>
            <w:tcW w:w="953" w:type="dxa"/>
            <w:tcBorders>
              <w:top w:val="nil"/>
              <w:left w:val="nil"/>
              <w:bottom w:val="nil"/>
            </w:tcBorders>
            <w:shd w:val="clear" w:color="auto" w:fill="auto"/>
            <w:noWrap/>
            <w:vAlign w:val="center"/>
            <w:hideMark/>
          </w:tcPr>
          <w:p w14:paraId="1DFA0DC7" w14:textId="13198A45" w:rsidR="00CF65DE" w:rsidRPr="009E6D43" w:rsidRDefault="00CF65DE" w:rsidP="00CF65DE">
            <w:pPr>
              <w:tabs>
                <w:tab w:val="decimal" w:pos="411"/>
              </w:tabs>
              <w:ind w:right="-115"/>
              <w:jc w:val="left"/>
              <w:rPr>
                <w:color w:val="000000"/>
                <w:sz w:val="16"/>
                <w:szCs w:val="16"/>
              </w:rPr>
            </w:pPr>
            <w:r w:rsidRPr="009E6D43">
              <w:rPr>
                <w:color w:val="000000"/>
                <w:sz w:val="16"/>
                <w:szCs w:val="16"/>
              </w:rPr>
              <w:t>6.3</w:t>
            </w:r>
          </w:p>
        </w:tc>
        <w:tc>
          <w:tcPr>
            <w:tcW w:w="953" w:type="dxa"/>
            <w:tcBorders>
              <w:top w:val="nil"/>
              <w:bottom w:val="nil"/>
              <w:right w:val="single" w:sz="4" w:space="0" w:color="1F497D"/>
            </w:tcBorders>
            <w:shd w:val="clear" w:color="auto" w:fill="auto"/>
            <w:vAlign w:val="center"/>
          </w:tcPr>
          <w:p w14:paraId="1CEF443E" w14:textId="2D9845EB" w:rsidR="00CF65DE" w:rsidRPr="009E6D43" w:rsidRDefault="00CF65DE" w:rsidP="00CF65DE">
            <w:pPr>
              <w:tabs>
                <w:tab w:val="decimal" w:pos="426"/>
              </w:tabs>
              <w:ind w:right="-115"/>
              <w:jc w:val="left"/>
              <w:rPr>
                <w:color w:val="000000"/>
                <w:sz w:val="16"/>
                <w:szCs w:val="16"/>
              </w:rPr>
            </w:pPr>
            <w:r w:rsidRPr="009E6D43">
              <w:rPr>
                <w:color w:val="000000"/>
                <w:sz w:val="16"/>
                <w:szCs w:val="16"/>
              </w:rPr>
              <w:t>6.4</w:t>
            </w:r>
          </w:p>
        </w:tc>
      </w:tr>
      <w:tr w:rsidR="00CF65DE" w:rsidRPr="009E6D43" w14:paraId="64E76DF3"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4F137891" w14:textId="1E5E01DA" w:rsidR="00CF65DE" w:rsidRPr="009E6D43" w:rsidRDefault="00CF65DE" w:rsidP="00CF65DE">
            <w:pPr>
              <w:jc w:val="left"/>
              <w:rPr>
                <w:color w:val="000000"/>
                <w:sz w:val="16"/>
                <w:szCs w:val="18"/>
                <w:lang w:val="es-MX" w:eastAsia="es-MX"/>
              </w:rPr>
            </w:pPr>
            <w:r w:rsidRPr="009E6D43">
              <w:rPr>
                <w:color w:val="000000"/>
                <w:sz w:val="16"/>
                <w:szCs w:val="18"/>
                <w:lang w:val="es-MX" w:eastAsia="es-MX"/>
              </w:rPr>
              <w:t>Tasa de trabajo asalariado</w:t>
            </w:r>
            <w:r w:rsidRPr="009E6D43">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053C40" w14:textId="51289C6F"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64.7</w:t>
            </w:r>
          </w:p>
        </w:tc>
        <w:tc>
          <w:tcPr>
            <w:tcW w:w="953" w:type="dxa"/>
            <w:tcBorders>
              <w:top w:val="nil"/>
              <w:left w:val="nil"/>
              <w:bottom w:val="nil"/>
              <w:right w:val="single" w:sz="4" w:space="0" w:color="1F497D"/>
            </w:tcBorders>
            <w:shd w:val="clear" w:color="auto" w:fill="auto"/>
            <w:noWrap/>
            <w:vAlign w:val="center"/>
            <w:hideMark/>
          </w:tcPr>
          <w:p w14:paraId="18E53A78" w14:textId="6EF1B166"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67.0</w:t>
            </w:r>
          </w:p>
        </w:tc>
        <w:tc>
          <w:tcPr>
            <w:tcW w:w="953" w:type="dxa"/>
            <w:tcBorders>
              <w:top w:val="nil"/>
              <w:left w:val="nil"/>
              <w:bottom w:val="nil"/>
            </w:tcBorders>
            <w:shd w:val="clear" w:color="auto" w:fill="auto"/>
            <w:noWrap/>
            <w:vAlign w:val="center"/>
            <w:hideMark/>
          </w:tcPr>
          <w:p w14:paraId="2D00D18E" w14:textId="404E230A" w:rsidR="00CF65DE" w:rsidRPr="009E6D43" w:rsidRDefault="00CF65DE" w:rsidP="00CF65DE">
            <w:pPr>
              <w:tabs>
                <w:tab w:val="decimal" w:pos="411"/>
              </w:tabs>
              <w:ind w:right="-115"/>
              <w:jc w:val="left"/>
              <w:rPr>
                <w:color w:val="000000"/>
                <w:sz w:val="16"/>
                <w:szCs w:val="16"/>
              </w:rPr>
            </w:pPr>
            <w:r w:rsidRPr="009E6D43">
              <w:rPr>
                <w:color w:val="000000"/>
                <w:sz w:val="16"/>
                <w:szCs w:val="16"/>
              </w:rPr>
              <w:t>69.5</w:t>
            </w:r>
          </w:p>
        </w:tc>
        <w:tc>
          <w:tcPr>
            <w:tcW w:w="953" w:type="dxa"/>
            <w:tcBorders>
              <w:top w:val="nil"/>
              <w:bottom w:val="nil"/>
              <w:right w:val="single" w:sz="4" w:space="0" w:color="1F497D"/>
            </w:tcBorders>
            <w:shd w:val="clear" w:color="auto" w:fill="auto"/>
            <w:vAlign w:val="center"/>
          </w:tcPr>
          <w:p w14:paraId="137404C3" w14:textId="596B72C2" w:rsidR="00CF65DE" w:rsidRPr="009E6D43" w:rsidRDefault="00CF65DE" w:rsidP="00CF65DE">
            <w:pPr>
              <w:tabs>
                <w:tab w:val="decimal" w:pos="426"/>
              </w:tabs>
              <w:ind w:right="-115"/>
              <w:jc w:val="left"/>
              <w:rPr>
                <w:color w:val="000000"/>
                <w:sz w:val="16"/>
                <w:szCs w:val="16"/>
              </w:rPr>
            </w:pPr>
            <w:r w:rsidRPr="009E6D43">
              <w:rPr>
                <w:color w:val="000000"/>
                <w:sz w:val="16"/>
                <w:szCs w:val="16"/>
              </w:rPr>
              <w:t>72.2</w:t>
            </w:r>
          </w:p>
        </w:tc>
      </w:tr>
      <w:tr w:rsidR="00CF65DE" w:rsidRPr="009E6D43" w14:paraId="1B82DC45"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1D71FD90" w14:textId="35DC333E" w:rsidR="00CF65DE" w:rsidRPr="009E6D43" w:rsidRDefault="00CF65DE" w:rsidP="00CF65DE">
            <w:pPr>
              <w:jc w:val="left"/>
              <w:rPr>
                <w:color w:val="000000"/>
                <w:sz w:val="16"/>
                <w:szCs w:val="18"/>
                <w:lang w:val="es-MX" w:eastAsia="es-MX"/>
              </w:rPr>
            </w:pPr>
            <w:r w:rsidRPr="009E6D43">
              <w:rPr>
                <w:color w:val="000000"/>
                <w:sz w:val="16"/>
                <w:szCs w:val="18"/>
                <w:lang w:val="es-MX" w:eastAsia="es-MX"/>
              </w:rPr>
              <w:t>Tasa de subocupación</w:t>
            </w:r>
            <w:r w:rsidRPr="009E6D43">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194193" w14:textId="4C156E3D"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7.3</w:t>
            </w:r>
          </w:p>
        </w:tc>
        <w:tc>
          <w:tcPr>
            <w:tcW w:w="953" w:type="dxa"/>
            <w:tcBorders>
              <w:top w:val="nil"/>
              <w:left w:val="nil"/>
              <w:bottom w:val="nil"/>
              <w:right w:val="single" w:sz="4" w:space="0" w:color="1F497D"/>
            </w:tcBorders>
            <w:shd w:val="clear" w:color="auto" w:fill="auto"/>
            <w:noWrap/>
            <w:vAlign w:val="center"/>
            <w:hideMark/>
          </w:tcPr>
          <w:p w14:paraId="18F56A17" w14:textId="58EC7CF8"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7.6</w:t>
            </w:r>
          </w:p>
        </w:tc>
        <w:tc>
          <w:tcPr>
            <w:tcW w:w="953" w:type="dxa"/>
            <w:tcBorders>
              <w:top w:val="nil"/>
              <w:left w:val="nil"/>
              <w:bottom w:val="nil"/>
            </w:tcBorders>
            <w:shd w:val="clear" w:color="auto" w:fill="auto"/>
            <w:noWrap/>
            <w:vAlign w:val="center"/>
            <w:hideMark/>
          </w:tcPr>
          <w:p w14:paraId="19F3A4FD" w14:textId="58BEB633" w:rsidR="00CF65DE" w:rsidRPr="009E6D43" w:rsidRDefault="00CF65DE" w:rsidP="00CF65DE">
            <w:pPr>
              <w:tabs>
                <w:tab w:val="decimal" w:pos="411"/>
              </w:tabs>
              <w:ind w:right="-115"/>
              <w:jc w:val="left"/>
              <w:rPr>
                <w:color w:val="000000"/>
                <w:sz w:val="16"/>
                <w:szCs w:val="16"/>
              </w:rPr>
            </w:pPr>
            <w:r w:rsidRPr="009E6D43">
              <w:rPr>
                <w:color w:val="000000"/>
                <w:sz w:val="16"/>
                <w:szCs w:val="16"/>
              </w:rPr>
              <w:t>6.9</w:t>
            </w:r>
          </w:p>
        </w:tc>
        <w:tc>
          <w:tcPr>
            <w:tcW w:w="953" w:type="dxa"/>
            <w:tcBorders>
              <w:top w:val="nil"/>
              <w:bottom w:val="nil"/>
              <w:right w:val="single" w:sz="4" w:space="0" w:color="1F497D"/>
            </w:tcBorders>
            <w:shd w:val="clear" w:color="auto" w:fill="auto"/>
            <w:vAlign w:val="center"/>
          </w:tcPr>
          <w:p w14:paraId="330D2CF7" w14:textId="40501456" w:rsidR="00CF65DE" w:rsidRPr="009E6D43" w:rsidRDefault="00CF65DE" w:rsidP="00CF65DE">
            <w:pPr>
              <w:tabs>
                <w:tab w:val="decimal" w:pos="426"/>
              </w:tabs>
              <w:ind w:right="-115"/>
              <w:jc w:val="left"/>
              <w:rPr>
                <w:color w:val="000000"/>
                <w:sz w:val="16"/>
                <w:szCs w:val="16"/>
              </w:rPr>
            </w:pPr>
            <w:r w:rsidRPr="009E6D43">
              <w:rPr>
                <w:color w:val="000000"/>
                <w:sz w:val="16"/>
                <w:szCs w:val="16"/>
              </w:rPr>
              <w:t>6.8</w:t>
            </w:r>
          </w:p>
        </w:tc>
      </w:tr>
      <w:tr w:rsidR="00CF65DE" w:rsidRPr="009E6D43" w14:paraId="5C25ED10"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0649030F" w14:textId="43A45BEF" w:rsidR="00CF65DE" w:rsidRPr="009E6D43" w:rsidRDefault="00CF65DE" w:rsidP="00CF65DE">
            <w:pPr>
              <w:jc w:val="left"/>
              <w:rPr>
                <w:color w:val="000000"/>
                <w:sz w:val="16"/>
                <w:szCs w:val="18"/>
                <w:lang w:val="es-MX" w:eastAsia="es-MX"/>
              </w:rPr>
            </w:pPr>
            <w:r w:rsidRPr="009E6D43">
              <w:rPr>
                <w:color w:val="000000"/>
                <w:sz w:val="16"/>
                <w:szCs w:val="18"/>
                <w:lang w:val="es-MX" w:eastAsia="es-MX"/>
              </w:rPr>
              <w:t>Tasa de condiciones críticas de ocupación</w:t>
            </w:r>
            <w:r w:rsidRPr="009E6D43">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3A070E92" w14:textId="518278A0" w:rsidR="00CF65DE" w:rsidRPr="009E6D43" w:rsidRDefault="00CF65DE" w:rsidP="00CF65DE">
            <w:pPr>
              <w:tabs>
                <w:tab w:val="decimal" w:pos="414"/>
              </w:tabs>
              <w:ind w:right="-115"/>
              <w:jc w:val="left"/>
              <w:rPr>
                <w:sz w:val="16"/>
                <w:szCs w:val="16"/>
                <w:lang w:val="es-MX" w:eastAsia="es-MX"/>
              </w:rPr>
            </w:pPr>
            <w:r w:rsidRPr="009E6D43">
              <w:rPr>
                <w:color w:val="000000"/>
                <w:sz w:val="16"/>
                <w:szCs w:val="16"/>
              </w:rPr>
              <w:t>33.9</w:t>
            </w:r>
          </w:p>
        </w:tc>
        <w:tc>
          <w:tcPr>
            <w:tcW w:w="953" w:type="dxa"/>
            <w:tcBorders>
              <w:top w:val="nil"/>
              <w:left w:val="nil"/>
              <w:bottom w:val="nil"/>
              <w:right w:val="single" w:sz="4" w:space="0" w:color="1F497D"/>
            </w:tcBorders>
            <w:shd w:val="clear" w:color="auto" w:fill="auto"/>
            <w:noWrap/>
            <w:vAlign w:val="center"/>
            <w:hideMark/>
          </w:tcPr>
          <w:p w14:paraId="3BC6D2C0" w14:textId="48ECB467" w:rsidR="00CF65DE" w:rsidRPr="009E6D43" w:rsidRDefault="00CF65DE" w:rsidP="00CF65DE">
            <w:pPr>
              <w:tabs>
                <w:tab w:val="decimal" w:pos="399"/>
              </w:tabs>
              <w:ind w:right="-115"/>
              <w:jc w:val="left"/>
              <w:rPr>
                <w:color w:val="000000"/>
                <w:sz w:val="18"/>
                <w:szCs w:val="18"/>
                <w:highlight w:val="yellow"/>
                <w:lang w:val="es-MX" w:eastAsia="es-MX"/>
              </w:rPr>
            </w:pPr>
            <w:r w:rsidRPr="009E6D43">
              <w:rPr>
                <w:color w:val="000000"/>
                <w:sz w:val="16"/>
                <w:szCs w:val="16"/>
              </w:rPr>
              <w:t>33.3</w:t>
            </w:r>
          </w:p>
        </w:tc>
        <w:tc>
          <w:tcPr>
            <w:tcW w:w="953" w:type="dxa"/>
            <w:tcBorders>
              <w:top w:val="nil"/>
              <w:left w:val="nil"/>
              <w:bottom w:val="nil"/>
            </w:tcBorders>
            <w:shd w:val="clear" w:color="auto" w:fill="auto"/>
            <w:noWrap/>
            <w:vAlign w:val="center"/>
            <w:hideMark/>
          </w:tcPr>
          <w:p w14:paraId="558FF62D" w14:textId="75DF4F6C" w:rsidR="00CF65DE" w:rsidRPr="009E6D43" w:rsidRDefault="00CF65DE" w:rsidP="00CF65DE">
            <w:pPr>
              <w:tabs>
                <w:tab w:val="decimal" w:pos="411"/>
              </w:tabs>
              <w:ind w:right="-115"/>
              <w:jc w:val="left"/>
              <w:rPr>
                <w:color w:val="000000"/>
                <w:sz w:val="16"/>
                <w:szCs w:val="16"/>
                <w:highlight w:val="yellow"/>
              </w:rPr>
            </w:pPr>
            <w:r w:rsidRPr="009E6D43">
              <w:rPr>
                <w:color w:val="000000"/>
                <w:sz w:val="16"/>
                <w:szCs w:val="16"/>
              </w:rPr>
              <w:t>29.3</w:t>
            </w:r>
          </w:p>
        </w:tc>
        <w:tc>
          <w:tcPr>
            <w:tcW w:w="953" w:type="dxa"/>
            <w:tcBorders>
              <w:top w:val="nil"/>
              <w:bottom w:val="nil"/>
              <w:right w:val="single" w:sz="4" w:space="0" w:color="1F497D"/>
            </w:tcBorders>
            <w:shd w:val="clear" w:color="auto" w:fill="auto"/>
            <w:vAlign w:val="center"/>
          </w:tcPr>
          <w:p w14:paraId="0EE401CE" w14:textId="223D4CC0" w:rsidR="00CF65DE" w:rsidRPr="009E6D43" w:rsidRDefault="00CF65DE" w:rsidP="00CF65DE">
            <w:pPr>
              <w:tabs>
                <w:tab w:val="decimal" w:pos="426"/>
              </w:tabs>
              <w:ind w:right="-115"/>
              <w:jc w:val="left"/>
              <w:rPr>
                <w:color w:val="000000"/>
                <w:sz w:val="16"/>
                <w:szCs w:val="16"/>
                <w:highlight w:val="yellow"/>
              </w:rPr>
            </w:pPr>
            <w:r w:rsidRPr="009E6D43">
              <w:rPr>
                <w:color w:val="000000"/>
                <w:sz w:val="16"/>
                <w:szCs w:val="16"/>
              </w:rPr>
              <w:t>29.9</w:t>
            </w:r>
          </w:p>
        </w:tc>
      </w:tr>
      <w:tr w:rsidR="00CF65DE" w:rsidRPr="009E6D43" w14:paraId="2619E26D" w14:textId="77777777" w:rsidTr="00CF65DE">
        <w:trPr>
          <w:trHeight w:val="227"/>
          <w:jc w:val="center"/>
        </w:trPr>
        <w:tc>
          <w:tcPr>
            <w:tcW w:w="4145" w:type="dxa"/>
            <w:tcBorders>
              <w:top w:val="nil"/>
              <w:left w:val="single" w:sz="4" w:space="0" w:color="1F497D"/>
              <w:bottom w:val="nil"/>
              <w:right w:val="nil"/>
            </w:tcBorders>
            <w:shd w:val="clear" w:color="auto" w:fill="auto"/>
            <w:noWrap/>
            <w:vAlign w:val="center"/>
            <w:hideMark/>
          </w:tcPr>
          <w:p w14:paraId="3604659D" w14:textId="3AC0027A" w:rsidR="00CF65DE" w:rsidRPr="009E6D43" w:rsidRDefault="00CF65DE" w:rsidP="00CF65DE">
            <w:pPr>
              <w:jc w:val="left"/>
              <w:rPr>
                <w:color w:val="000000"/>
                <w:sz w:val="16"/>
                <w:szCs w:val="18"/>
                <w:lang w:val="es-MX" w:eastAsia="es-MX"/>
              </w:rPr>
            </w:pPr>
            <w:r w:rsidRPr="009E6D43">
              <w:rPr>
                <w:color w:val="000000"/>
                <w:sz w:val="16"/>
                <w:szCs w:val="18"/>
                <w:lang w:val="es-MX" w:eastAsia="es-MX"/>
              </w:rPr>
              <w:t>Tasa de informalidad laboral 1</w:t>
            </w:r>
            <w:r w:rsidRPr="009E6D43">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1BB19F7" w14:textId="7A72AB8E"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54.9</w:t>
            </w:r>
          </w:p>
        </w:tc>
        <w:tc>
          <w:tcPr>
            <w:tcW w:w="953" w:type="dxa"/>
            <w:tcBorders>
              <w:top w:val="nil"/>
              <w:left w:val="nil"/>
              <w:bottom w:val="nil"/>
              <w:right w:val="single" w:sz="4" w:space="0" w:color="1F497D"/>
            </w:tcBorders>
            <w:shd w:val="clear" w:color="auto" w:fill="auto"/>
            <w:noWrap/>
            <w:vAlign w:val="center"/>
            <w:hideMark/>
          </w:tcPr>
          <w:p w14:paraId="61E00214" w14:textId="6DDD8BA6"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53.6</w:t>
            </w:r>
          </w:p>
        </w:tc>
        <w:tc>
          <w:tcPr>
            <w:tcW w:w="953" w:type="dxa"/>
            <w:tcBorders>
              <w:top w:val="nil"/>
              <w:left w:val="nil"/>
              <w:bottom w:val="nil"/>
            </w:tcBorders>
            <w:shd w:val="clear" w:color="auto" w:fill="auto"/>
            <w:noWrap/>
            <w:vAlign w:val="center"/>
            <w:hideMark/>
          </w:tcPr>
          <w:p w14:paraId="69BCA1F0" w14:textId="1BA3135B" w:rsidR="00CF65DE" w:rsidRPr="009E6D43" w:rsidRDefault="00CF65DE" w:rsidP="00CF65DE">
            <w:pPr>
              <w:tabs>
                <w:tab w:val="decimal" w:pos="411"/>
              </w:tabs>
              <w:ind w:right="-115"/>
              <w:jc w:val="left"/>
              <w:rPr>
                <w:color w:val="000000"/>
                <w:sz w:val="16"/>
                <w:szCs w:val="16"/>
              </w:rPr>
            </w:pPr>
            <w:r w:rsidRPr="009E6D43">
              <w:rPr>
                <w:color w:val="000000"/>
                <w:sz w:val="16"/>
                <w:szCs w:val="16"/>
              </w:rPr>
              <w:t>43.8</w:t>
            </w:r>
          </w:p>
        </w:tc>
        <w:tc>
          <w:tcPr>
            <w:tcW w:w="953" w:type="dxa"/>
            <w:tcBorders>
              <w:top w:val="nil"/>
              <w:bottom w:val="nil"/>
              <w:right w:val="single" w:sz="4" w:space="0" w:color="1F497D"/>
            </w:tcBorders>
            <w:shd w:val="clear" w:color="auto" w:fill="auto"/>
            <w:vAlign w:val="center"/>
          </w:tcPr>
          <w:p w14:paraId="049D6AE1" w14:textId="256CF591" w:rsidR="00CF65DE" w:rsidRPr="009E6D43" w:rsidRDefault="00CF65DE" w:rsidP="00CF65DE">
            <w:pPr>
              <w:tabs>
                <w:tab w:val="decimal" w:pos="426"/>
              </w:tabs>
              <w:ind w:right="-115"/>
              <w:jc w:val="left"/>
              <w:rPr>
                <w:color w:val="000000"/>
                <w:sz w:val="16"/>
                <w:szCs w:val="16"/>
              </w:rPr>
            </w:pPr>
            <w:r w:rsidRPr="009E6D43">
              <w:rPr>
                <w:color w:val="000000"/>
                <w:sz w:val="16"/>
                <w:szCs w:val="16"/>
              </w:rPr>
              <w:t>42.2</w:t>
            </w:r>
          </w:p>
        </w:tc>
      </w:tr>
      <w:tr w:rsidR="00CF65DE" w:rsidRPr="009E6D43" w14:paraId="4AFECC60" w14:textId="77777777" w:rsidTr="00CF65DE">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4A103B46" w14:textId="1E19799E" w:rsidR="00CF65DE" w:rsidRPr="009E6D43" w:rsidRDefault="00CF65DE" w:rsidP="00CF65DE">
            <w:pPr>
              <w:jc w:val="left"/>
              <w:rPr>
                <w:color w:val="000000"/>
                <w:sz w:val="16"/>
                <w:szCs w:val="18"/>
                <w:lang w:val="es-MX" w:eastAsia="es-MX"/>
              </w:rPr>
            </w:pPr>
            <w:r w:rsidRPr="009E6D43">
              <w:rPr>
                <w:color w:val="000000"/>
                <w:sz w:val="16"/>
                <w:szCs w:val="18"/>
                <w:lang w:val="es-MX" w:eastAsia="es-MX"/>
              </w:rPr>
              <w:t>Tasa de ocupación en el sector informal 1</w:t>
            </w:r>
            <w:r w:rsidRPr="009E6D43">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6BBED7CD" w14:textId="356F2DA3" w:rsidR="00CF65DE" w:rsidRPr="009E6D43" w:rsidRDefault="00CF65DE" w:rsidP="00CF65DE">
            <w:pPr>
              <w:tabs>
                <w:tab w:val="decimal" w:pos="414"/>
              </w:tabs>
              <w:ind w:right="-115"/>
              <w:jc w:val="left"/>
              <w:rPr>
                <w:color w:val="000000"/>
                <w:sz w:val="18"/>
                <w:szCs w:val="18"/>
                <w:lang w:val="es-MX" w:eastAsia="es-MX"/>
              </w:rPr>
            </w:pPr>
            <w:r w:rsidRPr="009E6D43">
              <w:rPr>
                <w:color w:val="000000"/>
                <w:sz w:val="16"/>
                <w:szCs w:val="16"/>
              </w:rPr>
              <w:t>28.6</w:t>
            </w:r>
          </w:p>
        </w:tc>
        <w:tc>
          <w:tcPr>
            <w:tcW w:w="953" w:type="dxa"/>
            <w:tcBorders>
              <w:top w:val="nil"/>
              <w:left w:val="nil"/>
              <w:bottom w:val="single" w:sz="4" w:space="0" w:color="1F497D"/>
              <w:right w:val="single" w:sz="4" w:space="0" w:color="1F497D"/>
            </w:tcBorders>
            <w:shd w:val="clear" w:color="auto" w:fill="auto"/>
            <w:noWrap/>
            <w:vAlign w:val="center"/>
            <w:hideMark/>
          </w:tcPr>
          <w:p w14:paraId="1369B87B" w14:textId="1A623960" w:rsidR="00CF65DE" w:rsidRPr="009E6D43" w:rsidRDefault="00CF65DE" w:rsidP="00CF65DE">
            <w:pPr>
              <w:tabs>
                <w:tab w:val="decimal" w:pos="399"/>
              </w:tabs>
              <w:ind w:right="-115"/>
              <w:jc w:val="left"/>
              <w:rPr>
                <w:color w:val="000000"/>
                <w:sz w:val="18"/>
                <w:szCs w:val="18"/>
                <w:lang w:val="es-MX" w:eastAsia="es-MX"/>
              </w:rPr>
            </w:pPr>
            <w:r w:rsidRPr="009E6D43">
              <w:rPr>
                <w:color w:val="000000"/>
                <w:sz w:val="16"/>
                <w:szCs w:val="16"/>
              </w:rPr>
              <w:t>27.9</w:t>
            </w:r>
          </w:p>
        </w:tc>
        <w:tc>
          <w:tcPr>
            <w:tcW w:w="953" w:type="dxa"/>
            <w:tcBorders>
              <w:top w:val="nil"/>
              <w:left w:val="nil"/>
              <w:bottom w:val="single" w:sz="4" w:space="0" w:color="1F497D"/>
            </w:tcBorders>
            <w:shd w:val="clear" w:color="auto" w:fill="auto"/>
            <w:noWrap/>
            <w:vAlign w:val="center"/>
            <w:hideMark/>
          </w:tcPr>
          <w:p w14:paraId="59D6F477" w14:textId="3C23E4F6" w:rsidR="00CF65DE" w:rsidRPr="009E6D43" w:rsidRDefault="00CF65DE" w:rsidP="00CF65DE">
            <w:pPr>
              <w:tabs>
                <w:tab w:val="decimal" w:pos="411"/>
              </w:tabs>
              <w:ind w:right="-115"/>
              <w:jc w:val="left"/>
              <w:rPr>
                <w:color w:val="000000"/>
                <w:sz w:val="16"/>
                <w:szCs w:val="16"/>
              </w:rPr>
            </w:pPr>
            <w:r w:rsidRPr="009E6D43">
              <w:rPr>
                <w:color w:val="000000"/>
                <w:sz w:val="16"/>
                <w:szCs w:val="16"/>
              </w:rPr>
              <w:t>26.8</w:t>
            </w:r>
          </w:p>
        </w:tc>
        <w:tc>
          <w:tcPr>
            <w:tcW w:w="953" w:type="dxa"/>
            <w:tcBorders>
              <w:top w:val="nil"/>
              <w:bottom w:val="single" w:sz="4" w:space="0" w:color="1F497D"/>
              <w:right w:val="single" w:sz="4" w:space="0" w:color="1F497D"/>
            </w:tcBorders>
            <w:shd w:val="clear" w:color="auto" w:fill="auto"/>
            <w:vAlign w:val="center"/>
          </w:tcPr>
          <w:p w14:paraId="266D5266" w14:textId="30D8E18A" w:rsidR="00CF65DE" w:rsidRPr="009E6D43" w:rsidRDefault="00CF65DE" w:rsidP="00CF65DE">
            <w:pPr>
              <w:tabs>
                <w:tab w:val="decimal" w:pos="426"/>
              </w:tabs>
              <w:ind w:right="-115"/>
              <w:jc w:val="left"/>
              <w:rPr>
                <w:color w:val="000000"/>
                <w:sz w:val="16"/>
                <w:szCs w:val="16"/>
              </w:rPr>
            </w:pPr>
            <w:r w:rsidRPr="009E6D43">
              <w:rPr>
                <w:color w:val="000000"/>
                <w:sz w:val="16"/>
                <w:szCs w:val="16"/>
              </w:rPr>
              <w:t>24.8</w:t>
            </w:r>
          </w:p>
        </w:tc>
      </w:tr>
    </w:tbl>
    <w:p w14:paraId="2BF356FE" w14:textId="5EA40CC5" w:rsidR="008147FA" w:rsidRPr="009E6D43" w:rsidRDefault="008147FA" w:rsidP="001D124A">
      <w:pPr>
        <w:ind w:left="1701" w:right="1043" w:hanging="567"/>
        <w:rPr>
          <w:sz w:val="16"/>
          <w:szCs w:val="16"/>
        </w:rPr>
      </w:pPr>
      <w:bookmarkStart w:id="11" w:name="_Hlk14350592"/>
      <w:r w:rsidRPr="009E6D43">
        <w:rPr>
          <w:sz w:val="18"/>
          <w:szCs w:val="18"/>
          <w:vertAlign w:val="superscript"/>
        </w:rPr>
        <w:t>1/</w:t>
      </w:r>
      <w:r w:rsidRPr="009E6D43">
        <w:rPr>
          <w:sz w:val="18"/>
          <w:szCs w:val="18"/>
          <w:vertAlign w:val="superscript"/>
        </w:rPr>
        <w:tab/>
      </w:r>
      <w:r w:rsidR="007322FC" w:rsidRPr="009E6D43">
        <w:rPr>
          <w:smallCaps/>
          <w:sz w:val="16"/>
          <w:szCs w:val="18"/>
        </w:rPr>
        <w:t>pea</w:t>
      </w:r>
      <w:r w:rsidR="00551D53" w:rsidRPr="009E6D43">
        <w:rPr>
          <w:sz w:val="16"/>
          <w:szCs w:val="18"/>
        </w:rPr>
        <w:t xml:space="preserve"> co</w:t>
      </w:r>
      <w:r w:rsidRPr="009E6D43">
        <w:rPr>
          <w:sz w:val="16"/>
          <w:szCs w:val="16"/>
        </w:rPr>
        <w:t xml:space="preserve">mo porcentaje de la </w:t>
      </w:r>
      <w:r w:rsidR="00B12399" w:rsidRPr="009E6D43">
        <w:rPr>
          <w:sz w:val="16"/>
          <w:szCs w:val="16"/>
        </w:rPr>
        <w:t>p</w:t>
      </w:r>
      <w:r w:rsidRPr="009E6D43">
        <w:rPr>
          <w:sz w:val="16"/>
          <w:szCs w:val="16"/>
        </w:rPr>
        <w:t>oblación de 15 años y más</w:t>
      </w:r>
      <w:r w:rsidR="00633799" w:rsidRPr="009E6D43">
        <w:rPr>
          <w:sz w:val="16"/>
          <w:szCs w:val="16"/>
        </w:rPr>
        <w:t>.</w:t>
      </w:r>
    </w:p>
    <w:p w14:paraId="315D1921" w14:textId="26BF125A" w:rsidR="008147FA" w:rsidRPr="009E6D43" w:rsidRDefault="008147FA" w:rsidP="001D124A">
      <w:pPr>
        <w:ind w:left="1701" w:right="1043" w:hanging="567"/>
        <w:rPr>
          <w:sz w:val="16"/>
          <w:szCs w:val="16"/>
        </w:rPr>
      </w:pPr>
      <w:r w:rsidRPr="009E6D43">
        <w:rPr>
          <w:sz w:val="18"/>
          <w:szCs w:val="18"/>
          <w:vertAlign w:val="superscript"/>
        </w:rPr>
        <w:t>2/</w:t>
      </w:r>
      <w:r w:rsidRPr="009E6D43">
        <w:rPr>
          <w:sz w:val="18"/>
          <w:szCs w:val="18"/>
          <w:vertAlign w:val="superscript"/>
        </w:rPr>
        <w:tab/>
      </w:r>
      <w:r w:rsidRPr="009E6D43">
        <w:rPr>
          <w:sz w:val="16"/>
          <w:szCs w:val="16"/>
        </w:rPr>
        <w:t xml:space="preserve">Porcentaje respecto a la </w:t>
      </w:r>
      <w:r w:rsidR="007322FC" w:rsidRPr="009E6D43">
        <w:rPr>
          <w:smallCaps/>
          <w:sz w:val="16"/>
          <w:szCs w:val="16"/>
        </w:rPr>
        <w:t>pea</w:t>
      </w:r>
      <w:r w:rsidR="00633799" w:rsidRPr="009E6D43">
        <w:rPr>
          <w:sz w:val="16"/>
          <w:szCs w:val="16"/>
        </w:rPr>
        <w:t>.</w:t>
      </w:r>
    </w:p>
    <w:p w14:paraId="5B99CC12" w14:textId="44A951C1" w:rsidR="008147FA" w:rsidRPr="009E6D43" w:rsidRDefault="008147FA" w:rsidP="001D124A">
      <w:pPr>
        <w:ind w:left="1701" w:right="1043" w:hanging="567"/>
        <w:rPr>
          <w:sz w:val="16"/>
          <w:szCs w:val="16"/>
        </w:rPr>
      </w:pPr>
      <w:r w:rsidRPr="009E6D43">
        <w:rPr>
          <w:sz w:val="18"/>
          <w:szCs w:val="18"/>
          <w:vertAlign w:val="superscript"/>
        </w:rPr>
        <w:t>3/</w:t>
      </w:r>
      <w:r w:rsidRPr="009E6D43">
        <w:rPr>
          <w:sz w:val="18"/>
          <w:szCs w:val="18"/>
          <w:vertAlign w:val="superscript"/>
        </w:rPr>
        <w:tab/>
      </w:r>
      <w:r w:rsidRPr="009E6D43">
        <w:rPr>
          <w:sz w:val="16"/>
          <w:szCs w:val="16"/>
        </w:rPr>
        <w:t xml:space="preserve">Porcentaje respecto a la </w:t>
      </w:r>
      <w:proofErr w:type="spellStart"/>
      <w:r w:rsidR="007322FC" w:rsidRPr="009E6D43">
        <w:rPr>
          <w:smallCaps/>
          <w:sz w:val="16"/>
          <w:szCs w:val="16"/>
        </w:rPr>
        <w:t>po</w:t>
      </w:r>
      <w:proofErr w:type="spellEnd"/>
      <w:r w:rsidR="00633799" w:rsidRPr="009E6D43">
        <w:rPr>
          <w:sz w:val="16"/>
          <w:szCs w:val="16"/>
        </w:rPr>
        <w:t>.</w:t>
      </w:r>
    </w:p>
    <w:p w14:paraId="3636BA83" w14:textId="3D8B3239" w:rsidR="008147FA" w:rsidRPr="009E6D43" w:rsidRDefault="008147FA" w:rsidP="001D124A">
      <w:pPr>
        <w:ind w:left="1701" w:right="1043" w:hanging="567"/>
        <w:rPr>
          <w:sz w:val="16"/>
          <w:szCs w:val="16"/>
        </w:rPr>
      </w:pPr>
      <w:r w:rsidRPr="009E6D43">
        <w:rPr>
          <w:sz w:val="18"/>
          <w:szCs w:val="18"/>
          <w:vertAlign w:val="superscript"/>
        </w:rPr>
        <w:t>4/</w:t>
      </w:r>
      <w:r w:rsidRPr="009E6D43">
        <w:rPr>
          <w:sz w:val="16"/>
          <w:szCs w:val="16"/>
        </w:rPr>
        <w:tab/>
      </w:r>
      <w:r w:rsidR="00111A49" w:rsidRPr="009E6D43">
        <w:rPr>
          <w:sz w:val="16"/>
          <w:szCs w:val="16"/>
        </w:rPr>
        <w:t xml:space="preserve">Por construcción, los indicadores de la </w:t>
      </w:r>
      <w:proofErr w:type="spellStart"/>
      <w:r w:rsidR="007322FC" w:rsidRPr="009E6D43">
        <w:rPr>
          <w:smallCaps/>
          <w:sz w:val="16"/>
          <w:szCs w:val="16"/>
        </w:rPr>
        <w:t>enoe</w:t>
      </w:r>
      <w:r w:rsidR="007322FC" w:rsidRPr="009E6D43">
        <w:rPr>
          <w:smallCaps/>
          <w:sz w:val="16"/>
          <w:szCs w:val="16"/>
          <w:vertAlign w:val="superscript"/>
        </w:rPr>
        <w:t>n</w:t>
      </w:r>
      <w:proofErr w:type="spellEnd"/>
      <w:r w:rsidR="00111A49" w:rsidRPr="009E6D43">
        <w:rPr>
          <w:sz w:val="16"/>
          <w:szCs w:val="16"/>
        </w:rPr>
        <w:t xml:space="preserve"> </w:t>
      </w:r>
      <w:r w:rsidR="00E42E73" w:rsidRPr="009E6D43">
        <w:rPr>
          <w:sz w:val="16"/>
          <w:szCs w:val="16"/>
        </w:rPr>
        <w:t xml:space="preserve">y </w:t>
      </w:r>
      <w:proofErr w:type="spellStart"/>
      <w:r w:rsidR="007322FC" w:rsidRPr="009E6D43">
        <w:rPr>
          <w:smallCaps/>
          <w:sz w:val="16"/>
          <w:szCs w:val="16"/>
        </w:rPr>
        <w:t>enoe</w:t>
      </w:r>
      <w:proofErr w:type="spellEnd"/>
      <w:r w:rsidR="00E42E73" w:rsidRPr="009E6D43">
        <w:rPr>
          <w:sz w:val="16"/>
          <w:szCs w:val="16"/>
        </w:rPr>
        <w:t xml:space="preserve"> </w:t>
      </w:r>
      <w:r w:rsidR="00111A49" w:rsidRPr="009E6D43">
        <w:rPr>
          <w:sz w:val="16"/>
          <w:szCs w:val="16"/>
        </w:rPr>
        <w:t xml:space="preserve">que involucran a la </w:t>
      </w:r>
      <w:proofErr w:type="spellStart"/>
      <w:r w:rsidR="007322FC" w:rsidRPr="009E6D43">
        <w:rPr>
          <w:smallCaps/>
          <w:sz w:val="16"/>
          <w:szCs w:val="16"/>
        </w:rPr>
        <w:t>po</w:t>
      </w:r>
      <w:proofErr w:type="spellEnd"/>
      <w:r w:rsidR="00111A49" w:rsidRPr="009E6D43">
        <w:rPr>
          <w:sz w:val="16"/>
          <w:szCs w:val="16"/>
        </w:rPr>
        <w:t xml:space="preserve">, u otra variable clasificada en rangos de salarios mínimos, son sensibles a los cambios en dichos salarios. Para la comparación en el tiempo de la </w:t>
      </w:r>
      <w:proofErr w:type="spellStart"/>
      <w:r w:rsidR="00B22797" w:rsidRPr="009E6D43">
        <w:rPr>
          <w:smallCaps/>
          <w:sz w:val="16"/>
          <w:szCs w:val="16"/>
        </w:rPr>
        <w:t>tcco</w:t>
      </w:r>
      <w:proofErr w:type="spellEnd"/>
      <w:r w:rsidR="00111A49" w:rsidRPr="009E6D43">
        <w:rPr>
          <w:sz w:val="16"/>
          <w:szCs w:val="16"/>
        </w:rPr>
        <w:t>, se presentan resultados a partir de salarios mínimos equivalentes base enero de 202</w:t>
      </w:r>
      <w:r w:rsidR="00E42E73" w:rsidRPr="009E6D43">
        <w:rPr>
          <w:sz w:val="16"/>
          <w:szCs w:val="16"/>
        </w:rPr>
        <w:t>3</w:t>
      </w:r>
      <w:r w:rsidR="00111A49" w:rsidRPr="009E6D43">
        <w:rPr>
          <w:sz w:val="16"/>
          <w:szCs w:val="16"/>
        </w:rPr>
        <w:t xml:space="preserve">. El </w:t>
      </w:r>
      <w:proofErr w:type="spellStart"/>
      <w:r w:rsidR="003C3B99" w:rsidRPr="009E6D43">
        <w:rPr>
          <w:smallCaps/>
          <w:sz w:val="16"/>
          <w:szCs w:val="16"/>
        </w:rPr>
        <w:t>inegi</w:t>
      </w:r>
      <w:proofErr w:type="spellEnd"/>
      <w:r w:rsidR="00111A49" w:rsidRPr="009E6D43">
        <w:rPr>
          <w:sz w:val="16"/>
          <w:szCs w:val="16"/>
        </w:rPr>
        <w:t xml:space="preserve"> pone a disposición de las y los usuarios cifras comparables en la siguiente liga: </w:t>
      </w:r>
      <w:hyperlink r:id="rId32" w:anchor="Tabulados" w:history="1">
        <w:r w:rsidR="00111A49" w:rsidRPr="009E6D43">
          <w:rPr>
            <w:rStyle w:val="Hipervnculo"/>
            <w:sz w:val="16"/>
            <w:szCs w:val="16"/>
          </w:rPr>
          <w:t>https://www.inegi.org.mx/programas/enoe/15ymas/#Tabulados</w:t>
        </w:r>
      </w:hyperlink>
      <w:r w:rsidR="00111A49" w:rsidRPr="009E6D43">
        <w:rPr>
          <w:sz w:val="16"/>
          <w:szCs w:val="16"/>
        </w:rPr>
        <w:t>.</w:t>
      </w:r>
    </w:p>
    <w:p w14:paraId="2D9B076F" w14:textId="69AB83A1" w:rsidR="003671CE" w:rsidRPr="009E6D43" w:rsidRDefault="008147FA" w:rsidP="00B13C24">
      <w:pPr>
        <w:pStyle w:val="n0"/>
        <w:keepLines w:val="0"/>
        <w:spacing w:before="0"/>
        <w:ind w:left="991" w:right="476" w:firstLine="143"/>
        <w:rPr>
          <w:color w:val="auto"/>
          <w:sz w:val="16"/>
          <w:szCs w:val="16"/>
        </w:rPr>
      </w:pPr>
      <w:r w:rsidRPr="009E6D43">
        <w:rPr>
          <w:color w:val="auto"/>
          <w:sz w:val="16"/>
          <w:szCs w:val="16"/>
        </w:rPr>
        <w:t xml:space="preserve">Fuente: </w:t>
      </w:r>
      <w:proofErr w:type="spellStart"/>
      <w:r w:rsidR="003C3B99" w:rsidRPr="009E6D43">
        <w:rPr>
          <w:smallCaps/>
          <w:color w:val="auto"/>
          <w:sz w:val="16"/>
          <w:szCs w:val="16"/>
        </w:rPr>
        <w:t>inegi</w:t>
      </w:r>
      <w:proofErr w:type="spellEnd"/>
      <w:r w:rsidR="00B24D7E" w:rsidRPr="009E6D43">
        <w:rPr>
          <w:color w:val="auto"/>
          <w:sz w:val="16"/>
          <w:szCs w:val="16"/>
        </w:rPr>
        <w:t xml:space="preserve">. </w:t>
      </w:r>
      <w:proofErr w:type="spellStart"/>
      <w:r w:rsidR="003C3B99" w:rsidRPr="009E6D43">
        <w:rPr>
          <w:smallCaps/>
          <w:color w:val="auto"/>
          <w:sz w:val="16"/>
          <w:szCs w:val="16"/>
        </w:rPr>
        <w:t>enoe</w:t>
      </w:r>
      <w:r w:rsidR="003C3B99" w:rsidRPr="009E6D43">
        <w:rPr>
          <w:smallCaps/>
          <w:color w:val="auto"/>
          <w:sz w:val="16"/>
          <w:szCs w:val="16"/>
          <w:vertAlign w:val="superscript"/>
        </w:rPr>
        <w:t>n</w:t>
      </w:r>
      <w:proofErr w:type="spellEnd"/>
      <w:r w:rsidR="002E40A8" w:rsidRPr="009E6D43">
        <w:rPr>
          <w:color w:val="auto"/>
          <w:sz w:val="16"/>
          <w:szCs w:val="16"/>
        </w:rPr>
        <w:t>, 2022</w:t>
      </w:r>
      <w:r w:rsidR="00B24D7E" w:rsidRPr="009E6D43">
        <w:rPr>
          <w:color w:val="auto"/>
          <w:sz w:val="16"/>
          <w:szCs w:val="16"/>
        </w:rPr>
        <w:t>.</w:t>
      </w:r>
      <w:r w:rsidR="00B13C24" w:rsidRPr="009E6D43">
        <w:rPr>
          <w:color w:val="auto"/>
          <w:sz w:val="16"/>
          <w:szCs w:val="16"/>
        </w:rPr>
        <w:t xml:space="preserve"> </w:t>
      </w:r>
      <w:proofErr w:type="spellStart"/>
      <w:r w:rsidR="003C3B99" w:rsidRPr="009E6D43">
        <w:rPr>
          <w:smallCaps/>
          <w:color w:val="auto"/>
          <w:sz w:val="16"/>
          <w:szCs w:val="16"/>
        </w:rPr>
        <w:t>enoe</w:t>
      </w:r>
      <w:proofErr w:type="spellEnd"/>
      <w:r w:rsidR="002E40A8" w:rsidRPr="009E6D43">
        <w:rPr>
          <w:color w:val="auto"/>
          <w:sz w:val="16"/>
          <w:szCs w:val="16"/>
        </w:rPr>
        <w:t>, 2023</w:t>
      </w:r>
      <w:r w:rsidR="00B24D7E" w:rsidRPr="009E6D43">
        <w:rPr>
          <w:color w:val="auto"/>
          <w:sz w:val="16"/>
          <w:szCs w:val="16"/>
        </w:rPr>
        <w:t>.</w:t>
      </w:r>
      <w:r w:rsidR="003671CE" w:rsidRPr="009E6D43">
        <w:rPr>
          <w:sz w:val="16"/>
          <w:szCs w:val="16"/>
        </w:rPr>
        <w:br w:type="page"/>
      </w:r>
    </w:p>
    <w:bookmarkEnd w:id="11"/>
    <w:p w14:paraId="04FD7794" w14:textId="03B0A340" w:rsidR="00624475" w:rsidRPr="009E6D43" w:rsidRDefault="001B0DEF" w:rsidP="00C173EB">
      <w:pPr>
        <w:pStyle w:val="Prrafodelista"/>
        <w:widowControl w:val="0"/>
        <w:numPr>
          <w:ilvl w:val="0"/>
          <w:numId w:val="25"/>
        </w:numPr>
        <w:spacing w:before="480"/>
        <w:ind w:left="357" w:hanging="357"/>
        <w:jc w:val="center"/>
        <w:rPr>
          <w:b/>
          <w:iCs/>
          <w:smallCaps/>
          <w:lang w:val="es-ES"/>
        </w:rPr>
      </w:pPr>
      <w:r w:rsidRPr="009E6D43">
        <w:rPr>
          <w:b/>
          <w:iCs/>
          <w:smallCaps/>
          <w:lang w:val="es-ES"/>
        </w:rPr>
        <w:lastRenderedPageBreak/>
        <w:t>C</w:t>
      </w:r>
      <w:r w:rsidR="00D55FC2" w:rsidRPr="009E6D43">
        <w:rPr>
          <w:b/>
          <w:iCs/>
          <w:smallCaps/>
          <w:lang w:val="es-ES"/>
        </w:rPr>
        <w:t>ifras</w:t>
      </w:r>
      <w:r w:rsidR="00624475" w:rsidRPr="009E6D43">
        <w:rPr>
          <w:b/>
          <w:iCs/>
          <w:smallCaps/>
          <w:lang w:val="es-ES"/>
        </w:rPr>
        <w:t xml:space="preserve"> desestacionalizadas</w:t>
      </w:r>
      <w:r w:rsidR="00C85E1C" w:rsidRPr="009E6D43">
        <w:rPr>
          <w:b/>
          <w:bCs/>
          <w:vertAlign w:val="superscript"/>
        </w:rPr>
        <w:footnoteReference w:id="10"/>
      </w:r>
    </w:p>
    <w:p w14:paraId="0AE11EA5" w14:textId="49A808FA" w:rsidR="00262640" w:rsidRPr="009E6D43" w:rsidRDefault="00262640" w:rsidP="00CD18FE">
      <w:pPr>
        <w:pStyle w:val="n01"/>
        <w:keepLines w:val="0"/>
        <w:widowControl w:val="0"/>
        <w:spacing w:before="360"/>
        <w:ind w:left="0" w:firstLine="0"/>
        <w:rPr>
          <w:rFonts w:ascii="Arial" w:hAnsi="Arial"/>
          <w:color w:val="auto"/>
        </w:rPr>
      </w:pPr>
      <w:r w:rsidRPr="009E6D43">
        <w:rPr>
          <w:rFonts w:ascii="Arial" w:hAnsi="Arial"/>
          <w:color w:val="auto"/>
        </w:rPr>
        <w:t>A continuación</w:t>
      </w:r>
      <w:r w:rsidR="00313117" w:rsidRPr="009E6D43">
        <w:rPr>
          <w:rFonts w:ascii="Arial" w:hAnsi="Arial"/>
          <w:color w:val="auto"/>
        </w:rPr>
        <w:t>,</w:t>
      </w:r>
      <w:r w:rsidRPr="009E6D43">
        <w:rPr>
          <w:rFonts w:ascii="Arial" w:hAnsi="Arial"/>
          <w:color w:val="auto"/>
        </w:rPr>
        <w:t xml:space="preserve"> se presentan los indicadores relevantes de ocupación y desocupación</w:t>
      </w:r>
      <w:r w:rsidR="0056276D" w:rsidRPr="009E6D43">
        <w:rPr>
          <w:rFonts w:ascii="Arial" w:hAnsi="Arial"/>
          <w:color w:val="auto"/>
        </w:rPr>
        <w:t>,</w:t>
      </w:r>
      <w:r w:rsidRPr="009E6D43">
        <w:rPr>
          <w:rFonts w:ascii="Arial" w:hAnsi="Arial"/>
          <w:color w:val="auto"/>
        </w:rPr>
        <w:t xml:space="preserve"> tanto a nivel nacional como para el agregado de 32 áreas urbanas</w:t>
      </w:r>
      <w:r w:rsidR="006C69A9" w:rsidRPr="009E6D43">
        <w:rPr>
          <w:rFonts w:ascii="Arial" w:hAnsi="Arial"/>
          <w:color w:val="auto"/>
        </w:rPr>
        <w:t>,</w:t>
      </w:r>
      <w:r w:rsidRPr="009E6D43">
        <w:rPr>
          <w:rFonts w:ascii="Arial" w:hAnsi="Arial"/>
          <w:color w:val="auto"/>
        </w:rPr>
        <w:t xml:space="preserve"> con cifras ajustadas estacionalmente.</w:t>
      </w:r>
    </w:p>
    <w:p w14:paraId="237CBC0F" w14:textId="77777777" w:rsidR="00F86FAE" w:rsidRPr="009E6D43" w:rsidRDefault="00F86FAE" w:rsidP="00F86FAE">
      <w:pPr>
        <w:pStyle w:val="n01"/>
        <w:keepLines w:val="0"/>
        <w:widowControl w:val="0"/>
        <w:ind w:left="0" w:firstLine="0"/>
        <w:jc w:val="center"/>
        <w:rPr>
          <w:rFonts w:ascii="Arial" w:hAnsi="Arial"/>
          <w:color w:val="auto"/>
          <w:sz w:val="20"/>
        </w:rPr>
      </w:pPr>
      <w:r w:rsidRPr="009E6D43">
        <w:rPr>
          <w:rFonts w:ascii="Arial" w:hAnsi="Arial"/>
          <w:color w:val="auto"/>
          <w:sz w:val="20"/>
        </w:rPr>
        <w:t xml:space="preserve">Cuadro </w:t>
      </w:r>
      <w:r w:rsidR="002F25C7" w:rsidRPr="009E6D43">
        <w:rPr>
          <w:rFonts w:ascii="Arial" w:hAnsi="Arial"/>
          <w:color w:val="auto"/>
          <w:sz w:val="20"/>
        </w:rPr>
        <w:t>10</w:t>
      </w:r>
    </w:p>
    <w:p w14:paraId="03473F61" w14:textId="6449D4A6" w:rsidR="00500327" w:rsidRPr="009E6D43" w:rsidRDefault="006F7E7E" w:rsidP="00F86FAE">
      <w:pPr>
        <w:pStyle w:val="n01"/>
        <w:keepLines w:val="0"/>
        <w:widowControl w:val="0"/>
        <w:spacing w:before="0"/>
        <w:ind w:left="0" w:firstLine="0"/>
        <w:jc w:val="center"/>
        <w:rPr>
          <w:rFonts w:ascii="Arial" w:hAnsi="Arial"/>
          <w:b/>
          <w:smallCaps/>
          <w:color w:val="auto"/>
          <w:sz w:val="22"/>
          <w:szCs w:val="22"/>
        </w:rPr>
      </w:pPr>
      <w:r w:rsidRPr="009E6D43">
        <w:rPr>
          <w:rFonts w:ascii="Arial" w:hAnsi="Arial"/>
          <w:b/>
          <w:smallCaps/>
          <w:color w:val="auto"/>
          <w:sz w:val="22"/>
        </w:rPr>
        <w:t>Tasas complementarias de ocupación y desocupación</w:t>
      </w:r>
      <w:r w:rsidR="00286E7A" w:rsidRPr="009E6D43">
        <w:rPr>
          <w:rFonts w:ascii="Arial" w:hAnsi="Arial"/>
          <w:b/>
          <w:smallCaps/>
          <w:color w:val="auto"/>
          <w:sz w:val="22"/>
          <w:szCs w:val="22"/>
        </w:rPr>
        <w:t xml:space="preserve">, </w:t>
      </w:r>
      <w:r w:rsidRPr="009E6D43">
        <w:rPr>
          <w:rFonts w:ascii="Arial" w:hAnsi="Arial"/>
          <w:b/>
          <w:smallCaps/>
          <w:color w:val="auto"/>
          <w:sz w:val="22"/>
          <w:szCs w:val="22"/>
        </w:rPr>
        <w:br/>
      </w:r>
      <w:r w:rsidR="005C3DB1" w:rsidRPr="009E6D43">
        <w:rPr>
          <w:rFonts w:ascii="Arial" w:hAnsi="Arial"/>
          <w:b/>
          <w:smallCaps/>
          <w:color w:val="auto"/>
          <w:sz w:val="22"/>
          <w:szCs w:val="22"/>
        </w:rPr>
        <w:t>según</w:t>
      </w:r>
      <w:r w:rsidR="00415B61" w:rsidRPr="009E6D43">
        <w:rPr>
          <w:rFonts w:ascii="Arial" w:hAnsi="Arial"/>
          <w:b/>
          <w:smallCaps/>
          <w:color w:val="auto"/>
          <w:sz w:val="22"/>
          <w:szCs w:val="22"/>
        </w:rPr>
        <w:t xml:space="preserve"> agregación</w:t>
      </w:r>
    </w:p>
    <w:p w14:paraId="2BB3694E" w14:textId="0428A9A9" w:rsidR="008658E8" w:rsidRPr="009E6D43" w:rsidRDefault="008A748C" w:rsidP="008658E8">
      <w:pPr>
        <w:pStyle w:val="n0"/>
        <w:keepLines w:val="0"/>
        <w:widowControl w:val="0"/>
        <w:spacing w:before="0"/>
        <w:ind w:left="0" w:right="0" w:firstLine="0"/>
        <w:jc w:val="center"/>
        <w:rPr>
          <w:b/>
          <w:smallCaps/>
          <w:color w:val="auto"/>
          <w:sz w:val="20"/>
          <w:szCs w:val="20"/>
        </w:rPr>
      </w:pPr>
      <w:r w:rsidRPr="009E6D43">
        <w:rPr>
          <w:b/>
          <w:smallCaps/>
          <w:color w:val="auto"/>
          <w:sz w:val="20"/>
          <w:szCs w:val="20"/>
        </w:rPr>
        <w:t>c</w:t>
      </w:r>
      <w:r w:rsidR="008658E8" w:rsidRPr="009E6D43">
        <w:rPr>
          <w:b/>
          <w:smallCaps/>
          <w:color w:val="auto"/>
          <w:sz w:val="20"/>
          <w:szCs w:val="20"/>
        </w:rPr>
        <w:t>ifras desestacionalizadas</w:t>
      </w:r>
    </w:p>
    <w:p w14:paraId="7ACDF01D" w14:textId="7EA6CC7E" w:rsidR="000F0B6F" w:rsidRPr="009E6D43" w:rsidRDefault="00CD61EC" w:rsidP="000F0B6F">
      <w:pPr>
        <w:pStyle w:val="n01"/>
        <w:keepLines w:val="0"/>
        <w:widowControl w:val="0"/>
        <w:spacing w:before="0"/>
        <w:ind w:left="0" w:firstLine="0"/>
        <w:jc w:val="center"/>
        <w:rPr>
          <w:rFonts w:ascii="Arial" w:hAnsi="Arial"/>
          <w:bCs/>
          <w:color w:val="auto"/>
          <w:sz w:val="20"/>
          <w:szCs w:val="20"/>
        </w:rPr>
      </w:pPr>
      <w:r w:rsidRPr="009E6D43">
        <w:rPr>
          <w:rFonts w:ascii="Arial" w:hAnsi="Arial"/>
          <w:bCs/>
          <w:color w:val="auto"/>
          <w:sz w:val="20"/>
          <w:szCs w:val="20"/>
        </w:rPr>
        <w:t>dic</w:t>
      </w:r>
      <w:r w:rsidR="00495684" w:rsidRPr="009E6D43">
        <w:rPr>
          <w:rFonts w:ascii="Arial" w:hAnsi="Arial"/>
          <w:bCs/>
          <w:color w:val="auto"/>
          <w:sz w:val="20"/>
          <w:szCs w:val="20"/>
        </w:rPr>
        <w:t>iembre</w:t>
      </w:r>
      <w:r w:rsidR="000F0B6F" w:rsidRPr="009E6D43">
        <w:rPr>
          <w:rFonts w:ascii="Arial" w:hAnsi="Arial"/>
          <w:bCs/>
          <w:color w:val="auto"/>
          <w:sz w:val="20"/>
          <w:szCs w:val="20"/>
        </w:rPr>
        <w:t xml:space="preserve"> de 2023</w:t>
      </w:r>
    </w:p>
    <w:p w14:paraId="3F9DDEB6" w14:textId="33CD62E0" w:rsidR="00C17950" w:rsidRPr="009E6D43" w:rsidRDefault="00C17950" w:rsidP="000F0B6F">
      <w:pPr>
        <w:pStyle w:val="n01"/>
        <w:keepLines w:val="0"/>
        <w:widowControl w:val="0"/>
        <w:spacing w:before="0"/>
        <w:ind w:left="0" w:firstLine="0"/>
        <w:jc w:val="center"/>
        <w:rPr>
          <w:rFonts w:ascii="Arial" w:hAnsi="Arial"/>
          <w:bCs/>
          <w:color w:val="auto"/>
          <w:sz w:val="18"/>
          <w:szCs w:val="18"/>
        </w:rPr>
      </w:pPr>
      <w:r w:rsidRPr="009E6D43">
        <w:rPr>
          <w:rFonts w:ascii="Arial" w:hAnsi="Arial"/>
          <w:bCs/>
          <w:color w:val="auto"/>
          <w:sz w:val="18"/>
          <w:szCs w:val="18"/>
        </w:rPr>
        <w:t>(porcentaje, diferencia mensual y anual)</w:t>
      </w:r>
    </w:p>
    <w:tbl>
      <w:tblPr>
        <w:tblW w:w="7225" w:type="dxa"/>
        <w:jc w:val="center"/>
        <w:tblLayout w:type="fixed"/>
        <w:tblCellMar>
          <w:left w:w="70" w:type="dxa"/>
          <w:right w:w="70" w:type="dxa"/>
        </w:tblCellMar>
        <w:tblLook w:val="04A0" w:firstRow="1" w:lastRow="0" w:firstColumn="1" w:lastColumn="0" w:noHBand="0" w:noVBand="1"/>
      </w:tblPr>
      <w:tblGrid>
        <w:gridCol w:w="3523"/>
        <w:gridCol w:w="1330"/>
        <w:gridCol w:w="1203"/>
        <w:gridCol w:w="1169"/>
      </w:tblGrid>
      <w:tr w:rsidR="005C1830" w:rsidRPr="009E6D43" w14:paraId="450A6C91" w14:textId="77777777" w:rsidTr="000B427D">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DB9673" w14:textId="023AC968" w:rsidR="005C1830" w:rsidRPr="009E6D43" w:rsidRDefault="00A77B84" w:rsidP="00A77B84">
            <w:pPr>
              <w:jc w:val="left"/>
              <w:rPr>
                <w:b/>
                <w:bCs/>
                <w:color w:val="000000"/>
                <w:sz w:val="16"/>
                <w:szCs w:val="16"/>
                <w:lang w:val="es-MX" w:eastAsia="es-MX"/>
              </w:rPr>
            </w:pPr>
            <w:r w:rsidRPr="009E6D43">
              <w:rPr>
                <w:b/>
                <w:bCs/>
                <w:color w:val="000000"/>
                <w:sz w:val="16"/>
                <w:szCs w:val="16"/>
                <w:lang w:val="es-MX" w:eastAsia="es-MX"/>
              </w:rPr>
              <w:t>Tasas</w:t>
            </w:r>
            <w:r w:rsidR="001063C5" w:rsidRPr="009E6D43">
              <w:rPr>
                <w:b/>
                <w:bCs/>
                <w:color w:val="000000"/>
                <w:sz w:val="16"/>
                <w:szCs w:val="16"/>
                <w:lang w:val="es-MX" w:eastAsia="es-MX"/>
              </w:rPr>
              <w:t xml:space="preserve"> </w:t>
            </w:r>
            <w:r w:rsidR="005C3DB1" w:rsidRPr="009E6D43">
              <w:rPr>
                <w:b/>
                <w:bCs/>
                <w:color w:val="000000"/>
                <w:sz w:val="16"/>
                <w:szCs w:val="16"/>
                <w:lang w:val="es-MX" w:eastAsia="es-MX"/>
              </w:rPr>
              <w:t xml:space="preserve">según </w:t>
            </w:r>
            <w:r w:rsidR="0039490B" w:rsidRPr="009E6D43">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278DB3" w14:textId="77777777" w:rsidR="005C1830" w:rsidRPr="009E6D43" w:rsidRDefault="005C1830" w:rsidP="005C1830">
            <w:pPr>
              <w:jc w:val="center"/>
              <w:rPr>
                <w:b/>
                <w:bCs/>
                <w:color w:val="000000"/>
                <w:sz w:val="16"/>
                <w:szCs w:val="16"/>
                <w:lang w:val="es-MX" w:eastAsia="es-MX"/>
              </w:rPr>
            </w:pPr>
            <w:r w:rsidRPr="009E6D43">
              <w:rPr>
                <w:b/>
                <w:bCs/>
                <w:color w:val="000000"/>
                <w:sz w:val="16"/>
                <w:szCs w:val="16"/>
                <w:lang w:val="es-MX" w:eastAsia="es-MX"/>
              </w:rPr>
              <w:t>Porcentaje</w:t>
            </w:r>
          </w:p>
        </w:tc>
        <w:tc>
          <w:tcPr>
            <w:tcW w:w="2372"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B73D04A" w14:textId="37F3F50C" w:rsidR="005C1830" w:rsidRPr="009E6D43" w:rsidRDefault="005C1830" w:rsidP="005C1830">
            <w:pPr>
              <w:jc w:val="center"/>
              <w:rPr>
                <w:b/>
                <w:bCs/>
                <w:color w:val="000000"/>
                <w:sz w:val="16"/>
                <w:szCs w:val="16"/>
                <w:lang w:val="es-MX" w:eastAsia="es-MX"/>
              </w:rPr>
            </w:pPr>
            <w:r w:rsidRPr="009E6D43">
              <w:rPr>
                <w:b/>
                <w:bCs/>
                <w:color w:val="000000"/>
                <w:sz w:val="16"/>
                <w:szCs w:val="16"/>
                <w:lang w:val="es-MX" w:eastAsia="es-MX"/>
              </w:rPr>
              <w:t>Diferencia en</w:t>
            </w:r>
            <w:r w:rsidR="00520FC0" w:rsidRPr="009E6D43">
              <w:rPr>
                <w:b/>
                <w:bCs/>
                <w:color w:val="000000"/>
                <w:sz w:val="16"/>
                <w:szCs w:val="16"/>
                <w:lang w:val="es-MX" w:eastAsia="es-MX"/>
              </w:rPr>
              <w:t> puntos</w:t>
            </w:r>
            <w:r w:rsidRPr="009E6D43">
              <w:rPr>
                <w:b/>
                <w:bCs/>
                <w:color w:val="000000"/>
                <w:sz w:val="16"/>
                <w:szCs w:val="16"/>
                <w:lang w:val="es-MX" w:eastAsia="es-MX"/>
              </w:rPr>
              <w:t xml:space="preserve"> porcentuales respecto a:</w:t>
            </w:r>
          </w:p>
        </w:tc>
      </w:tr>
      <w:tr w:rsidR="005C1830" w:rsidRPr="009E6D43" w14:paraId="61E6AE71" w14:textId="77777777" w:rsidTr="000B427D">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F3CDAB" w14:textId="77777777" w:rsidR="005C1830" w:rsidRPr="009E6D43"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1325EE8B" w14:textId="77777777" w:rsidR="005C1830" w:rsidRPr="009E6D43" w:rsidRDefault="005C1830" w:rsidP="005C1830">
            <w:pPr>
              <w:jc w:val="left"/>
              <w:rPr>
                <w:b/>
                <w:bCs/>
                <w:color w:val="000000"/>
                <w:sz w:val="16"/>
                <w:szCs w:val="16"/>
                <w:lang w:val="es-MX" w:eastAsia="es-MX"/>
              </w:rPr>
            </w:pPr>
          </w:p>
        </w:tc>
        <w:tc>
          <w:tcPr>
            <w:tcW w:w="1203" w:type="dxa"/>
            <w:tcBorders>
              <w:top w:val="nil"/>
              <w:left w:val="nil"/>
              <w:bottom w:val="single" w:sz="4" w:space="0" w:color="1F497D"/>
              <w:right w:val="single" w:sz="4" w:space="0" w:color="1F497D"/>
            </w:tcBorders>
            <w:shd w:val="clear" w:color="000000" w:fill="BDD7EE"/>
            <w:vAlign w:val="center"/>
            <w:hideMark/>
          </w:tcPr>
          <w:p w14:paraId="0547598B" w14:textId="3B0883D6" w:rsidR="00BD6A9C" w:rsidRPr="009E6D43" w:rsidRDefault="00F168DF" w:rsidP="005C1830">
            <w:pPr>
              <w:jc w:val="center"/>
              <w:rPr>
                <w:b/>
                <w:bCs/>
                <w:color w:val="000000"/>
                <w:sz w:val="16"/>
                <w:szCs w:val="16"/>
                <w:lang w:val="es-MX" w:eastAsia="es-MX"/>
              </w:rPr>
            </w:pPr>
            <w:r w:rsidRPr="0050749D">
              <w:rPr>
                <w:b/>
                <w:bCs/>
                <w:color w:val="000000"/>
                <w:sz w:val="16"/>
                <w:szCs w:val="16"/>
                <w:lang w:val="es-MX" w:eastAsia="es-MX"/>
              </w:rPr>
              <w:t>n</w:t>
            </w:r>
            <w:r w:rsidR="00CD61EC" w:rsidRPr="0050749D">
              <w:rPr>
                <w:b/>
                <w:bCs/>
                <w:color w:val="000000"/>
                <w:sz w:val="16"/>
                <w:szCs w:val="16"/>
                <w:lang w:val="es-MX" w:eastAsia="es-MX"/>
              </w:rPr>
              <w:t>oviem</w:t>
            </w:r>
            <w:r w:rsidR="00495684" w:rsidRPr="0050749D">
              <w:rPr>
                <w:b/>
                <w:bCs/>
                <w:color w:val="000000"/>
                <w:sz w:val="16"/>
                <w:szCs w:val="16"/>
                <w:lang w:val="es-MX" w:eastAsia="es-MX"/>
              </w:rPr>
              <w:t>bre</w:t>
            </w:r>
            <w:r w:rsidR="00DB736B" w:rsidRPr="0050749D">
              <w:rPr>
                <w:b/>
                <w:bCs/>
                <w:color w:val="000000"/>
                <w:sz w:val="16"/>
                <w:szCs w:val="16"/>
                <w:vertAlign w:val="superscript"/>
                <w:lang w:val="es-MX" w:eastAsia="es-MX"/>
              </w:rPr>
              <w:t>4/</w:t>
            </w:r>
          </w:p>
          <w:p w14:paraId="313D00AC" w14:textId="0FBA9DE0" w:rsidR="005C1830" w:rsidRPr="009E6D43" w:rsidRDefault="000B427D" w:rsidP="005C1830">
            <w:pPr>
              <w:jc w:val="center"/>
              <w:rPr>
                <w:b/>
                <w:bCs/>
                <w:color w:val="000000"/>
                <w:sz w:val="16"/>
                <w:szCs w:val="16"/>
                <w:lang w:val="es-MX" w:eastAsia="es-MX"/>
              </w:rPr>
            </w:pPr>
            <w:r w:rsidRPr="009E6D43">
              <w:rPr>
                <w:b/>
                <w:bCs/>
                <w:color w:val="000000"/>
                <w:sz w:val="16"/>
                <w:szCs w:val="16"/>
                <w:lang w:val="es-MX" w:eastAsia="es-MX"/>
              </w:rPr>
              <w:t>de</w:t>
            </w:r>
            <w:r w:rsidR="00E5242D" w:rsidRPr="009E6D43">
              <w:rPr>
                <w:b/>
                <w:bCs/>
                <w:color w:val="000000"/>
                <w:sz w:val="16"/>
                <w:szCs w:val="16"/>
                <w:lang w:val="es-MX" w:eastAsia="es-MX"/>
              </w:rPr>
              <w:t xml:space="preserve"> </w:t>
            </w:r>
            <w:r w:rsidRPr="009E6D43">
              <w:rPr>
                <w:b/>
                <w:bCs/>
                <w:color w:val="000000"/>
                <w:sz w:val="16"/>
                <w:szCs w:val="16"/>
                <w:lang w:val="es-MX" w:eastAsia="es-MX"/>
              </w:rPr>
              <w:t>2023</w:t>
            </w:r>
          </w:p>
        </w:tc>
        <w:tc>
          <w:tcPr>
            <w:tcW w:w="1169" w:type="dxa"/>
            <w:tcBorders>
              <w:top w:val="nil"/>
              <w:left w:val="nil"/>
              <w:bottom w:val="single" w:sz="4" w:space="0" w:color="1F497D"/>
              <w:right w:val="single" w:sz="4" w:space="0" w:color="1F497D"/>
            </w:tcBorders>
            <w:shd w:val="clear" w:color="000000" w:fill="BDD7EE"/>
            <w:vAlign w:val="center"/>
            <w:hideMark/>
          </w:tcPr>
          <w:p w14:paraId="2AA390C4" w14:textId="5A5486AC" w:rsidR="00BD6A9C" w:rsidRPr="009E6D43" w:rsidRDefault="00CD61EC" w:rsidP="005C1830">
            <w:pPr>
              <w:jc w:val="center"/>
              <w:rPr>
                <w:b/>
                <w:bCs/>
                <w:color w:val="000000"/>
                <w:sz w:val="16"/>
                <w:szCs w:val="16"/>
                <w:lang w:val="es-MX" w:eastAsia="es-MX"/>
              </w:rPr>
            </w:pPr>
            <w:r w:rsidRPr="009E6D43">
              <w:rPr>
                <w:b/>
                <w:bCs/>
                <w:color w:val="000000"/>
                <w:sz w:val="16"/>
                <w:szCs w:val="16"/>
                <w:lang w:val="es-MX" w:eastAsia="es-MX"/>
              </w:rPr>
              <w:t>dic</w:t>
            </w:r>
            <w:r w:rsidR="00495684" w:rsidRPr="009E6D43">
              <w:rPr>
                <w:b/>
                <w:bCs/>
                <w:color w:val="000000"/>
                <w:sz w:val="16"/>
                <w:szCs w:val="16"/>
                <w:lang w:val="es-MX" w:eastAsia="es-MX"/>
              </w:rPr>
              <w:t>iembre</w:t>
            </w:r>
          </w:p>
          <w:p w14:paraId="0C4F867A" w14:textId="4614E50A" w:rsidR="005C1830" w:rsidRPr="009E6D43" w:rsidRDefault="000B427D" w:rsidP="005C1830">
            <w:pPr>
              <w:jc w:val="center"/>
              <w:rPr>
                <w:b/>
                <w:bCs/>
                <w:color w:val="000000"/>
                <w:sz w:val="16"/>
                <w:szCs w:val="16"/>
                <w:lang w:val="es-MX" w:eastAsia="es-MX"/>
              </w:rPr>
            </w:pPr>
            <w:r w:rsidRPr="009E6D43">
              <w:rPr>
                <w:b/>
                <w:bCs/>
                <w:color w:val="000000"/>
                <w:sz w:val="16"/>
                <w:szCs w:val="16"/>
                <w:lang w:val="es-MX" w:eastAsia="es-MX"/>
              </w:rPr>
              <w:t>de</w:t>
            </w:r>
            <w:r w:rsidR="00E5242D" w:rsidRPr="009E6D43">
              <w:rPr>
                <w:b/>
                <w:bCs/>
                <w:color w:val="000000"/>
                <w:sz w:val="16"/>
                <w:szCs w:val="16"/>
                <w:lang w:val="es-MX" w:eastAsia="es-MX"/>
              </w:rPr>
              <w:t xml:space="preserve"> </w:t>
            </w:r>
            <w:r w:rsidRPr="009E6D43">
              <w:rPr>
                <w:b/>
                <w:bCs/>
                <w:color w:val="000000"/>
                <w:sz w:val="16"/>
                <w:szCs w:val="16"/>
                <w:lang w:val="es-MX" w:eastAsia="es-MX"/>
              </w:rPr>
              <w:t>202</w:t>
            </w:r>
            <w:r w:rsidR="007B34A2" w:rsidRPr="009E6D43">
              <w:rPr>
                <w:b/>
                <w:bCs/>
                <w:color w:val="000000"/>
                <w:sz w:val="16"/>
                <w:szCs w:val="16"/>
                <w:lang w:val="es-MX" w:eastAsia="es-MX"/>
              </w:rPr>
              <w:t>2</w:t>
            </w:r>
          </w:p>
        </w:tc>
      </w:tr>
      <w:tr w:rsidR="00E23533" w:rsidRPr="009E6D43" w14:paraId="22052B11" w14:textId="77777777" w:rsidTr="000B427D">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BF00C3" w14:textId="77777777" w:rsidR="00E23533" w:rsidRPr="009E6D43" w:rsidRDefault="00E23533" w:rsidP="00E23533">
            <w:pPr>
              <w:jc w:val="left"/>
              <w:rPr>
                <w:b/>
                <w:bCs/>
                <w:color w:val="000000"/>
                <w:sz w:val="16"/>
                <w:szCs w:val="16"/>
                <w:lang w:val="es-MX" w:eastAsia="es-MX"/>
              </w:rPr>
            </w:pPr>
            <w:r w:rsidRPr="009E6D43">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5F8D1F44" w14:textId="77777777" w:rsidR="00E23533" w:rsidRPr="009E6D43" w:rsidRDefault="00E23533" w:rsidP="00E23533">
            <w:pPr>
              <w:tabs>
                <w:tab w:val="decimal" w:pos="601"/>
              </w:tabs>
              <w:jc w:val="left"/>
              <w:rPr>
                <w:color w:val="000000"/>
                <w:sz w:val="16"/>
                <w:szCs w:val="16"/>
              </w:rPr>
            </w:pPr>
          </w:p>
        </w:tc>
        <w:tc>
          <w:tcPr>
            <w:tcW w:w="1203" w:type="dxa"/>
            <w:tcBorders>
              <w:top w:val="nil"/>
              <w:left w:val="nil"/>
              <w:bottom w:val="nil"/>
              <w:right w:val="nil"/>
            </w:tcBorders>
            <w:shd w:val="clear" w:color="auto" w:fill="auto"/>
            <w:noWrap/>
            <w:vAlign w:val="center"/>
          </w:tcPr>
          <w:p w14:paraId="43F55928" w14:textId="77777777" w:rsidR="00E23533" w:rsidRPr="009E6D43" w:rsidRDefault="00E23533" w:rsidP="00E23533">
            <w:pPr>
              <w:tabs>
                <w:tab w:val="decimal" w:pos="601"/>
              </w:tabs>
              <w:jc w:val="left"/>
              <w:rPr>
                <w:color w:val="000000"/>
                <w:sz w:val="16"/>
                <w:szCs w:val="16"/>
              </w:rPr>
            </w:pPr>
          </w:p>
        </w:tc>
        <w:tc>
          <w:tcPr>
            <w:tcW w:w="1169" w:type="dxa"/>
            <w:tcBorders>
              <w:top w:val="nil"/>
              <w:left w:val="single" w:sz="4" w:space="0" w:color="1F497D"/>
              <w:bottom w:val="nil"/>
              <w:right w:val="single" w:sz="4" w:space="0" w:color="1F497D"/>
            </w:tcBorders>
            <w:shd w:val="clear" w:color="auto" w:fill="auto"/>
            <w:noWrap/>
            <w:vAlign w:val="center"/>
          </w:tcPr>
          <w:p w14:paraId="366A2B20" w14:textId="77777777" w:rsidR="00E23533" w:rsidRPr="009E6D43" w:rsidRDefault="00E23533" w:rsidP="00E23533">
            <w:pPr>
              <w:tabs>
                <w:tab w:val="decimal" w:pos="601"/>
              </w:tabs>
              <w:jc w:val="left"/>
              <w:rPr>
                <w:color w:val="000000"/>
                <w:sz w:val="16"/>
                <w:szCs w:val="16"/>
              </w:rPr>
            </w:pPr>
          </w:p>
        </w:tc>
      </w:tr>
      <w:tr w:rsidR="00B72DB5" w:rsidRPr="009E6D43" w14:paraId="1AFB21E4"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B51E6BF" w14:textId="0EC3F62A"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participación</w:t>
            </w:r>
            <w:r w:rsidRPr="009E6D43">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00DF05F" w14:textId="0520C646" w:rsidR="00B72DB5" w:rsidRPr="009E6D43" w:rsidRDefault="00B72DB5" w:rsidP="00B72DB5">
            <w:pPr>
              <w:tabs>
                <w:tab w:val="decimal" w:pos="601"/>
              </w:tabs>
              <w:jc w:val="left"/>
              <w:rPr>
                <w:sz w:val="16"/>
                <w:szCs w:val="16"/>
                <w:highlight w:val="yellow"/>
              </w:rPr>
            </w:pPr>
            <w:r w:rsidRPr="009E6D43">
              <w:rPr>
                <w:sz w:val="16"/>
                <w:szCs w:val="16"/>
              </w:rPr>
              <w:t>60.2</w:t>
            </w:r>
          </w:p>
        </w:tc>
        <w:tc>
          <w:tcPr>
            <w:tcW w:w="1203" w:type="dxa"/>
            <w:tcBorders>
              <w:top w:val="nil"/>
              <w:left w:val="nil"/>
              <w:bottom w:val="nil"/>
              <w:right w:val="single" w:sz="4" w:space="0" w:color="1F497D"/>
            </w:tcBorders>
            <w:shd w:val="clear" w:color="auto" w:fill="auto"/>
            <w:noWrap/>
            <w:vAlign w:val="center"/>
          </w:tcPr>
          <w:p w14:paraId="41CB5530" w14:textId="54C291AE" w:rsidR="00B72DB5" w:rsidRPr="009E6D43" w:rsidRDefault="00B72DB5" w:rsidP="00B72DB5">
            <w:pPr>
              <w:tabs>
                <w:tab w:val="decimal" w:pos="495"/>
              </w:tabs>
              <w:jc w:val="left"/>
              <w:rPr>
                <w:sz w:val="16"/>
                <w:szCs w:val="16"/>
                <w:highlight w:val="yellow"/>
              </w:rPr>
            </w:pPr>
            <w:r w:rsidRPr="009E6D43">
              <w:rPr>
                <w:sz w:val="16"/>
                <w:szCs w:val="16"/>
              </w:rPr>
              <w:t>-0.3</w:t>
            </w:r>
          </w:p>
        </w:tc>
        <w:tc>
          <w:tcPr>
            <w:tcW w:w="1169" w:type="dxa"/>
            <w:tcBorders>
              <w:top w:val="nil"/>
              <w:left w:val="nil"/>
              <w:bottom w:val="nil"/>
              <w:right w:val="single" w:sz="4" w:space="0" w:color="1F497D"/>
            </w:tcBorders>
            <w:shd w:val="clear" w:color="auto" w:fill="auto"/>
            <w:noWrap/>
            <w:vAlign w:val="center"/>
          </w:tcPr>
          <w:p w14:paraId="308FE2C3" w14:textId="20657412" w:rsidR="00B72DB5" w:rsidRPr="009E6D43" w:rsidRDefault="00B72DB5" w:rsidP="00B72DB5">
            <w:pPr>
              <w:tabs>
                <w:tab w:val="decimal" w:pos="518"/>
              </w:tabs>
              <w:jc w:val="left"/>
              <w:rPr>
                <w:sz w:val="16"/>
                <w:szCs w:val="16"/>
                <w:highlight w:val="yellow"/>
              </w:rPr>
            </w:pPr>
            <w:r w:rsidRPr="009E6D43">
              <w:rPr>
                <w:sz w:val="16"/>
                <w:szCs w:val="16"/>
              </w:rPr>
              <w:t>0.2</w:t>
            </w:r>
          </w:p>
        </w:tc>
      </w:tr>
      <w:tr w:rsidR="00B72DB5" w:rsidRPr="009E6D43" w14:paraId="1F727791"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F4FF382" w14:textId="0FB67B8F"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ocupación</w:t>
            </w:r>
            <w:r w:rsidRPr="009E6D43">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93D873D" w14:textId="1B660982" w:rsidR="00B72DB5" w:rsidRPr="009E6D43" w:rsidRDefault="00B72DB5" w:rsidP="00B72DB5">
            <w:pPr>
              <w:tabs>
                <w:tab w:val="decimal" w:pos="601"/>
              </w:tabs>
              <w:jc w:val="left"/>
              <w:rPr>
                <w:sz w:val="16"/>
                <w:szCs w:val="16"/>
                <w:highlight w:val="yellow"/>
              </w:rPr>
            </w:pPr>
            <w:r w:rsidRPr="009E6D43">
              <w:rPr>
                <w:color w:val="000000"/>
                <w:sz w:val="16"/>
                <w:szCs w:val="16"/>
              </w:rPr>
              <w:t>97.2</w:t>
            </w:r>
          </w:p>
        </w:tc>
        <w:tc>
          <w:tcPr>
            <w:tcW w:w="1203" w:type="dxa"/>
            <w:tcBorders>
              <w:top w:val="nil"/>
              <w:left w:val="nil"/>
              <w:bottom w:val="nil"/>
              <w:right w:val="nil"/>
            </w:tcBorders>
            <w:shd w:val="clear" w:color="auto" w:fill="auto"/>
            <w:noWrap/>
            <w:vAlign w:val="center"/>
          </w:tcPr>
          <w:p w14:paraId="3879EDCD" w14:textId="4B579319" w:rsidR="00B72DB5" w:rsidRPr="009E6D43" w:rsidRDefault="00B72DB5" w:rsidP="00B72DB5">
            <w:pPr>
              <w:tabs>
                <w:tab w:val="decimal" w:pos="495"/>
              </w:tabs>
              <w:jc w:val="left"/>
              <w:rPr>
                <w:sz w:val="16"/>
                <w:szCs w:val="16"/>
                <w:highlight w:val="yellow"/>
              </w:rPr>
            </w:pPr>
            <w:r w:rsidRPr="009E6D43">
              <w:rPr>
                <w:color w:val="000000"/>
                <w:sz w:val="16"/>
                <w:szCs w:val="16"/>
              </w:rPr>
              <w:t>0.0</w:t>
            </w:r>
          </w:p>
        </w:tc>
        <w:tc>
          <w:tcPr>
            <w:tcW w:w="1169" w:type="dxa"/>
            <w:tcBorders>
              <w:top w:val="nil"/>
              <w:left w:val="single" w:sz="4" w:space="0" w:color="1F497D"/>
              <w:bottom w:val="nil"/>
              <w:right w:val="single" w:sz="4" w:space="0" w:color="1F497D"/>
            </w:tcBorders>
            <w:shd w:val="clear" w:color="auto" w:fill="auto"/>
            <w:noWrap/>
            <w:vAlign w:val="center"/>
          </w:tcPr>
          <w:p w14:paraId="38A4A59E" w14:textId="62309C7E" w:rsidR="00B72DB5" w:rsidRPr="009E6D43" w:rsidRDefault="00B72DB5" w:rsidP="00B72DB5">
            <w:pPr>
              <w:tabs>
                <w:tab w:val="decimal" w:pos="518"/>
              </w:tabs>
              <w:jc w:val="left"/>
              <w:rPr>
                <w:sz w:val="16"/>
                <w:szCs w:val="16"/>
                <w:highlight w:val="yellow"/>
              </w:rPr>
            </w:pPr>
            <w:r w:rsidRPr="009E6D43">
              <w:rPr>
                <w:color w:val="000000"/>
                <w:sz w:val="16"/>
                <w:szCs w:val="16"/>
              </w:rPr>
              <w:t>0.2</w:t>
            </w:r>
          </w:p>
        </w:tc>
      </w:tr>
      <w:tr w:rsidR="00B72DB5" w:rsidRPr="009E6D43" w14:paraId="357FB752"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61AF00" w14:textId="5EEE4FB2"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subocupación</w:t>
            </w:r>
            <w:r w:rsidRPr="009E6D43">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8344C1" w14:textId="0CE02B66" w:rsidR="00B72DB5" w:rsidRPr="009E6D43" w:rsidRDefault="00B72DB5" w:rsidP="00B72DB5">
            <w:pPr>
              <w:tabs>
                <w:tab w:val="decimal" w:pos="601"/>
              </w:tabs>
              <w:jc w:val="left"/>
              <w:rPr>
                <w:sz w:val="16"/>
                <w:szCs w:val="16"/>
                <w:highlight w:val="yellow"/>
              </w:rPr>
            </w:pPr>
            <w:r w:rsidRPr="009E6D43">
              <w:rPr>
                <w:color w:val="000000"/>
                <w:sz w:val="16"/>
                <w:szCs w:val="16"/>
              </w:rPr>
              <w:t>7.9</w:t>
            </w:r>
          </w:p>
        </w:tc>
        <w:tc>
          <w:tcPr>
            <w:tcW w:w="1203" w:type="dxa"/>
            <w:tcBorders>
              <w:top w:val="nil"/>
              <w:left w:val="nil"/>
              <w:bottom w:val="nil"/>
              <w:right w:val="nil"/>
            </w:tcBorders>
            <w:shd w:val="clear" w:color="auto" w:fill="auto"/>
            <w:noWrap/>
            <w:vAlign w:val="center"/>
          </w:tcPr>
          <w:p w14:paraId="39F16AF8" w14:textId="4B498F87" w:rsidR="00B72DB5" w:rsidRPr="009E6D43" w:rsidRDefault="00B72DB5" w:rsidP="00B72DB5">
            <w:pPr>
              <w:tabs>
                <w:tab w:val="decimal" w:pos="495"/>
              </w:tabs>
              <w:jc w:val="left"/>
              <w:rPr>
                <w:sz w:val="16"/>
                <w:szCs w:val="16"/>
                <w:highlight w:val="yellow"/>
              </w:rPr>
            </w:pPr>
            <w:r w:rsidRPr="009E6D43">
              <w:rPr>
                <w:color w:val="000000"/>
                <w:sz w:val="16"/>
                <w:szCs w:val="16"/>
              </w:rPr>
              <w:t>-0.2</w:t>
            </w:r>
          </w:p>
        </w:tc>
        <w:tc>
          <w:tcPr>
            <w:tcW w:w="1169" w:type="dxa"/>
            <w:tcBorders>
              <w:top w:val="nil"/>
              <w:left w:val="single" w:sz="4" w:space="0" w:color="1F497D"/>
              <w:bottom w:val="nil"/>
              <w:right w:val="single" w:sz="4" w:space="0" w:color="1F497D"/>
            </w:tcBorders>
            <w:shd w:val="clear" w:color="auto" w:fill="auto"/>
            <w:noWrap/>
            <w:vAlign w:val="center"/>
          </w:tcPr>
          <w:p w14:paraId="7DA1712D" w14:textId="7C6AF02A" w:rsidR="00B72DB5" w:rsidRPr="009E6D43" w:rsidRDefault="00B72DB5" w:rsidP="00B72DB5">
            <w:pPr>
              <w:tabs>
                <w:tab w:val="decimal" w:pos="518"/>
              </w:tabs>
              <w:jc w:val="left"/>
              <w:rPr>
                <w:sz w:val="16"/>
                <w:szCs w:val="16"/>
                <w:highlight w:val="yellow"/>
              </w:rPr>
            </w:pPr>
            <w:r w:rsidRPr="009E6D43">
              <w:rPr>
                <w:color w:val="000000"/>
                <w:sz w:val="16"/>
                <w:szCs w:val="16"/>
              </w:rPr>
              <w:t>0.4</w:t>
            </w:r>
          </w:p>
        </w:tc>
      </w:tr>
      <w:tr w:rsidR="00B72DB5" w:rsidRPr="009E6D43" w14:paraId="0FC344AD"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A894E2" w14:textId="417B53C7"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desocupación</w:t>
            </w:r>
            <w:r w:rsidRPr="009E6D43">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64A8FA" w14:textId="0271A3B8" w:rsidR="00B72DB5" w:rsidRPr="009E6D43" w:rsidRDefault="00B72DB5" w:rsidP="00B72DB5">
            <w:pPr>
              <w:tabs>
                <w:tab w:val="decimal" w:pos="601"/>
              </w:tabs>
              <w:jc w:val="left"/>
              <w:rPr>
                <w:sz w:val="16"/>
                <w:szCs w:val="16"/>
                <w:highlight w:val="yellow"/>
              </w:rPr>
            </w:pPr>
            <w:r w:rsidRPr="009E6D43">
              <w:rPr>
                <w:color w:val="000000"/>
                <w:sz w:val="16"/>
                <w:szCs w:val="16"/>
              </w:rPr>
              <w:t>2.8</w:t>
            </w:r>
          </w:p>
        </w:tc>
        <w:tc>
          <w:tcPr>
            <w:tcW w:w="1203" w:type="dxa"/>
            <w:tcBorders>
              <w:top w:val="nil"/>
              <w:left w:val="nil"/>
              <w:bottom w:val="nil"/>
              <w:right w:val="nil"/>
            </w:tcBorders>
            <w:shd w:val="clear" w:color="auto" w:fill="auto"/>
            <w:noWrap/>
            <w:vAlign w:val="center"/>
          </w:tcPr>
          <w:p w14:paraId="0DB33080" w14:textId="62551173" w:rsidR="00B72DB5" w:rsidRPr="009E6D43" w:rsidRDefault="00B72DB5" w:rsidP="00B72DB5">
            <w:pPr>
              <w:tabs>
                <w:tab w:val="decimal" w:pos="495"/>
              </w:tabs>
              <w:jc w:val="left"/>
              <w:rPr>
                <w:sz w:val="16"/>
                <w:szCs w:val="16"/>
                <w:highlight w:val="yellow"/>
              </w:rPr>
            </w:pPr>
            <w:r w:rsidRPr="009E6D43">
              <w:rPr>
                <w:color w:val="000000"/>
                <w:sz w:val="16"/>
                <w:szCs w:val="16"/>
              </w:rPr>
              <w:t>0.0</w:t>
            </w:r>
          </w:p>
        </w:tc>
        <w:tc>
          <w:tcPr>
            <w:tcW w:w="1169" w:type="dxa"/>
            <w:tcBorders>
              <w:top w:val="nil"/>
              <w:left w:val="single" w:sz="4" w:space="0" w:color="1F497D"/>
              <w:bottom w:val="nil"/>
              <w:right w:val="single" w:sz="4" w:space="0" w:color="1F497D"/>
            </w:tcBorders>
            <w:shd w:val="clear" w:color="auto" w:fill="auto"/>
            <w:noWrap/>
            <w:vAlign w:val="center"/>
          </w:tcPr>
          <w:p w14:paraId="2E586263" w14:textId="221C444F" w:rsidR="00B72DB5" w:rsidRPr="009E6D43" w:rsidRDefault="00B72DB5" w:rsidP="00B72DB5">
            <w:pPr>
              <w:tabs>
                <w:tab w:val="decimal" w:pos="518"/>
              </w:tabs>
              <w:jc w:val="left"/>
              <w:rPr>
                <w:sz w:val="16"/>
                <w:szCs w:val="16"/>
                <w:highlight w:val="yellow"/>
              </w:rPr>
            </w:pPr>
            <w:r w:rsidRPr="009E6D43">
              <w:rPr>
                <w:color w:val="000000"/>
                <w:sz w:val="16"/>
                <w:szCs w:val="16"/>
              </w:rPr>
              <w:t>-0.2</w:t>
            </w:r>
          </w:p>
        </w:tc>
      </w:tr>
      <w:tr w:rsidR="00B72DB5" w:rsidRPr="009E6D43" w14:paraId="2F2A9E50"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2E4E5E" w14:textId="29182E81" w:rsidR="00B72DB5" w:rsidRPr="009E6D43" w:rsidRDefault="00B72DB5" w:rsidP="00B72DB5">
            <w:pPr>
              <w:ind w:firstLineChars="200" w:firstLine="320"/>
              <w:jc w:val="left"/>
              <w:rPr>
                <w:color w:val="000000"/>
                <w:sz w:val="16"/>
                <w:szCs w:val="16"/>
                <w:lang w:val="es-MX" w:eastAsia="es-MX"/>
              </w:rPr>
            </w:pPr>
            <w:proofErr w:type="spellStart"/>
            <w:r w:rsidRPr="009E6D43">
              <w:rPr>
                <w:smallCaps/>
                <w:color w:val="000000"/>
                <w:sz w:val="16"/>
                <w:szCs w:val="16"/>
                <w:lang w:val="es-MX" w:eastAsia="es-MX"/>
              </w:rPr>
              <w:t>td</w:t>
            </w:r>
            <w:proofErr w:type="spellEnd"/>
            <w:r w:rsidRPr="009E6D43">
              <w:rPr>
                <w:color w:val="000000"/>
                <w:sz w:val="16"/>
                <w:szCs w:val="16"/>
                <w:lang w:val="es-MX" w:eastAsia="es-MX"/>
              </w:rPr>
              <w:t xml:space="preserve"> hombres</w:t>
            </w:r>
          </w:p>
        </w:tc>
        <w:tc>
          <w:tcPr>
            <w:tcW w:w="1330" w:type="dxa"/>
            <w:tcBorders>
              <w:top w:val="nil"/>
              <w:left w:val="single" w:sz="4" w:space="0" w:color="1F497D"/>
              <w:bottom w:val="nil"/>
              <w:right w:val="single" w:sz="4" w:space="0" w:color="1F497D"/>
            </w:tcBorders>
            <w:shd w:val="clear" w:color="auto" w:fill="auto"/>
            <w:noWrap/>
            <w:vAlign w:val="center"/>
          </w:tcPr>
          <w:p w14:paraId="7881401A" w14:textId="7AD08B27" w:rsidR="00B72DB5" w:rsidRPr="009E6D43" w:rsidRDefault="00B72DB5" w:rsidP="00B72DB5">
            <w:pPr>
              <w:tabs>
                <w:tab w:val="decimal" w:pos="601"/>
              </w:tabs>
              <w:jc w:val="left"/>
              <w:rPr>
                <w:sz w:val="16"/>
                <w:szCs w:val="16"/>
                <w:highlight w:val="yellow"/>
              </w:rPr>
            </w:pPr>
            <w:r w:rsidRPr="009E6D43">
              <w:rPr>
                <w:color w:val="000000"/>
                <w:sz w:val="16"/>
                <w:szCs w:val="16"/>
              </w:rPr>
              <w:t>2.8</w:t>
            </w:r>
          </w:p>
        </w:tc>
        <w:tc>
          <w:tcPr>
            <w:tcW w:w="1203" w:type="dxa"/>
            <w:tcBorders>
              <w:top w:val="nil"/>
              <w:left w:val="nil"/>
              <w:bottom w:val="nil"/>
              <w:right w:val="nil"/>
            </w:tcBorders>
            <w:shd w:val="clear" w:color="auto" w:fill="auto"/>
            <w:noWrap/>
            <w:vAlign w:val="center"/>
          </w:tcPr>
          <w:p w14:paraId="118526C6" w14:textId="562BEB96" w:rsidR="00B72DB5" w:rsidRPr="009E6D43" w:rsidRDefault="00B72DB5" w:rsidP="00B72DB5">
            <w:pPr>
              <w:tabs>
                <w:tab w:val="decimal" w:pos="495"/>
              </w:tabs>
              <w:jc w:val="left"/>
              <w:rPr>
                <w:sz w:val="16"/>
                <w:szCs w:val="16"/>
                <w:highlight w:val="yellow"/>
              </w:rPr>
            </w:pPr>
            <w:r w:rsidRPr="009E6D43">
              <w:rPr>
                <w:color w:val="000000"/>
                <w:sz w:val="16"/>
                <w:szCs w:val="16"/>
              </w:rPr>
              <w:t>0.0</w:t>
            </w:r>
          </w:p>
        </w:tc>
        <w:tc>
          <w:tcPr>
            <w:tcW w:w="1169" w:type="dxa"/>
            <w:tcBorders>
              <w:top w:val="nil"/>
              <w:left w:val="single" w:sz="4" w:space="0" w:color="1F497D"/>
              <w:bottom w:val="nil"/>
              <w:right w:val="single" w:sz="4" w:space="0" w:color="1F497D"/>
            </w:tcBorders>
            <w:shd w:val="clear" w:color="auto" w:fill="auto"/>
            <w:noWrap/>
            <w:vAlign w:val="center"/>
          </w:tcPr>
          <w:p w14:paraId="3C2D4130" w14:textId="1FF9EEB3" w:rsidR="00B72DB5" w:rsidRPr="009E6D43" w:rsidRDefault="00B72DB5" w:rsidP="00B72DB5">
            <w:pPr>
              <w:tabs>
                <w:tab w:val="decimal" w:pos="518"/>
              </w:tabs>
              <w:jc w:val="left"/>
              <w:rPr>
                <w:sz w:val="16"/>
                <w:szCs w:val="16"/>
                <w:highlight w:val="yellow"/>
              </w:rPr>
            </w:pPr>
            <w:r w:rsidRPr="009E6D43">
              <w:rPr>
                <w:color w:val="000000"/>
                <w:sz w:val="16"/>
                <w:szCs w:val="16"/>
              </w:rPr>
              <w:t>-0.3</w:t>
            </w:r>
          </w:p>
        </w:tc>
      </w:tr>
      <w:tr w:rsidR="00B72DB5" w:rsidRPr="009E6D43" w14:paraId="258F372F"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082EAB" w14:textId="28D8CA85" w:rsidR="00B72DB5" w:rsidRPr="009E6D43" w:rsidRDefault="00B72DB5" w:rsidP="00B72DB5">
            <w:pPr>
              <w:ind w:firstLineChars="200" w:firstLine="320"/>
              <w:jc w:val="left"/>
              <w:rPr>
                <w:color w:val="000000"/>
                <w:sz w:val="16"/>
                <w:szCs w:val="16"/>
                <w:lang w:val="es-MX" w:eastAsia="es-MX"/>
              </w:rPr>
            </w:pPr>
            <w:proofErr w:type="spellStart"/>
            <w:r w:rsidRPr="009E6D43">
              <w:rPr>
                <w:smallCaps/>
                <w:color w:val="000000"/>
                <w:sz w:val="16"/>
                <w:szCs w:val="16"/>
                <w:lang w:val="es-MX" w:eastAsia="es-MX"/>
              </w:rPr>
              <w:t>td</w:t>
            </w:r>
            <w:proofErr w:type="spellEnd"/>
            <w:r w:rsidRPr="009E6D43">
              <w:rPr>
                <w:color w:val="000000"/>
                <w:sz w:val="16"/>
                <w:szCs w:val="16"/>
                <w:lang w:val="es-MX" w:eastAsia="es-MX"/>
              </w:rPr>
              <w:t xml:space="preserve"> mujeres</w:t>
            </w:r>
          </w:p>
        </w:tc>
        <w:tc>
          <w:tcPr>
            <w:tcW w:w="1330" w:type="dxa"/>
            <w:tcBorders>
              <w:top w:val="nil"/>
              <w:left w:val="single" w:sz="4" w:space="0" w:color="1F497D"/>
              <w:bottom w:val="nil"/>
              <w:right w:val="single" w:sz="4" w:space="0" w:color="1F497D"/>
            </w:tcBorders>
            <w:shd w:val="clear" w:color="auto" w:fill="auto"/>
            <w:noWrap/>
            <w:vAlign w:val="center"/>
          </w:tcPr>
          <w:p w14:paraId="01F3142A" w14:textId="0A069EE2" w:rsidR="00B72DB5" w:rsidRPr="009E6D43" w:rsidRDefault="00B72DB5" w:rsidP="00B72DB5">
            <w:pPr>
              <w:tabs>
                <w:tab w:val="decimal" w:pos="601"/>
              </w:tabs>
              <w:jc w:val="left"/>
              <w:rPr>
                <w:sz w:val="16"/>
                <w:szCs w:val="16"/>
                <w:highlight w:val="yellow"/>
              </w:rPr>
            </w:pPr>
            <w:r w:rsidRPr="009E6D43">
              <w:rPr>
                <w:color w:val="000000"/>
                <w:sz w:val="16"/>
                <w:szCs w:val="16"/>
              </w:rPr>
              <w:t>2.9</w:t>
            </w:r>
          </w:p>
        </w:tc>
        <w:tc>
          <w:tcPr>
            <w:tcW w:w="1203" w:type="dxa"/>
            <w:tcBorders>
              <w:top w:val="nil"/>
              <w:left w:val="nil"/>
              <w:bottom w:val="nil"/>
              <w:right w:val="nil"/>
            </w:tcBorders>
            <w:shd w:val="clear" w:color="auto" w:fill="auto"/>
            <w:noWrap/>
            <w:vAlign w:val="center"/>
          </w:tcPr>
          <w:p w14:paraId="65595204" w14:textId="067790F2" w:rsidR="00B72DB5" w:rsidRPr="009E6D43" w:rsidRDefault="00B72DB5" w:rsidP="00B72DB5">
            <w:pPr>
              <w:tabs>
                <w:tab w:val="decimal" w:pos="495"/>
              </w:tabs>
              <w:jc w:val="left"/>
              <w:rPr>
                <w:sz w:val="16"/>
                <w:szCs w:val="16"/>
                <w:highlight w:val="yellow"/>
              </w:rPr>
            </w:pPr>
            <w:r w:rsidRPr="009E6D43">
              <w:rPr>
                <w:color w:val="000000"/>
                <w:sz w:val="16"/>
                <w:szCs w:val="16"/>
              </w:rPr>
              <w:t>0.1</w:t>
            </w:r>
          </w:p>
        </w:tc>
        <w:tc>
          <w:tcPr>
            <w:tcW w:w="1169" w:type="dxa"/>
            <w:tcBorders>
              <w:top w:val="nil"/>
              <w:left w:val="single" w:sz="4" w:space="0" w:color="1F497D"/>
              <w:bottom w:val="nil"/>
              <w:right w:val="single" w:sz="4" w:space="0" w:color="1F497D"/>
            </w:tcBorders>
            <w:shd w:val="clear" w:color="auto" w:fill="auto"/>
            <w:noWrap/>
            <w:vAlign w:val="center"/>
          </w:tcPr>
          <w:p w14:paraId="2EAC5D97" w14:textId="07E82E37" w:rsidR="00B72DB5" w:rsidRPr="009E6D43" w:rsidRDefault="00B72DB5" w:rsidP="00B72DB5">
            <w:pPr>
              <w:tabs>
                <w:tab w:val="decimal" w:pos="518"/>
              </w:tabs>
              <w:jc w:val="left"/>
              <w:rPr>
                <w:sz w:val="16"/>
                <w:szCs w:val="16"/>
                <w:highlight w:val="yellow"/>
              </w:rPr>
            </w:pPr>
            <w:r w:rsidRPr="009E6D43">
              <w:rPr>
                <w:color w:val="000000"/>
                <w:sz w:val="16"/>
                <w:szCs w:val="16"/>
              </w:rPr>
              <w:t>0.1</w:t>
            </w:r>
          </w:p>
        </w:tc>
      </w:tr>
      <w:tr w:rsidR="00B72DB5" w:rsidRPr="009E6D43" w14:paraId="566D2BCA"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244CAF0" w14:textId="236E3C39"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informalidad laboral 1</w:t>
            </w:r>
            <w:r w:rsidRPr="009E6D43">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42A09E5" w14:textId="7C7D5F4C" w:rsidR="00B72DB5" w:rsidRPr="009E6D43" w:rsidRDefault="00B72DB5" w:rsidP="00B72DB5">
            <w:pPr>
              <w:tabs>
                <w:tab w:val="decimal" w:pos="601"/>
              </w:tabs>
              <w:jc w:val="left"/>
              <w:rPr>
                <w:sz w:val="16"/>
                <w:szCs w:val="16"/>
                <w:highlight w:val="yellow"/>
              </w:rPr>
            </w:pPr>
            <w:r w:rsidRPr="009E6D43">
              <w:rPr>
                <w:color w:val="000000"/>
                <w:sz w:val="16"/>
                <w:szCs w:val="16"/>
              </w:rPr>
              <w:t>53.8</w:t>
            </w:r>
          </w:p>
        </w:tc>
        <w:tc>
          <w:tcPr>
            <w:tcW w:w="1203" w:type="dxa"/>
            <w:tcBorders>
              <w:top w:val="nil"/>
              <w:left w:val="nil"/>
              <w:bottom w:val="nil"/>
              <w:right w:val="nil"/>
            </w:tcBorders>
            <w:shd w:val="clear" w:color="auto" w:fill="auto"/>
            <w:noWrap/>
            <w:vAlign w:val="center"/>
          </w:tcPr>
          <w:p w14:paraId="7BCA4C37" w14:textId="3E80A000" w:rsidR="00B72DB5" w:rsidRPr="009E6D43" w:rsidRDefault="00B72DB5" w:rsidP="00B72DB5">
            <w:pPr>
              <w:tabs>
                <w:tab w:val="decimal" w:pos="495"/>
              </w:tabs>
              <w:jc w:val="left"/>
              <w:rPr>
                <w:sz w:val="16"/>
                <w:szCs w:val="16"/>
                <w:highlight w:val="yellow"/>
              </w:rPr>
            </w:pPr>
            <w:r w:rsidRPr="009E6D43">
              <w:rPr>
                <w:color w:val="000000"/>
                <w:sz w:val="16"/>
                <w:szCs w:val="16"/>
              </w:rPr>
              <w:t>-1.1</w:t>
            </w:r>
          </w:p>
        </w:tc>
        <w:tc>
          <w:tcPr>
            <w:tcW w:w="1169" w:type="dxa"/>
            <w:tcBorders>
              <w:top w:val="nil"/>
              <w:left w:val="single" w:sz="4" w:space="0" w:color="1F497D"/>
              <w:bottom w:val="nil"/>
              <w:right w:val="single" w:sz="4" w:space="0" w:color="1F497D"/>
            </w:tcBorders>
            <w:shd w:val="clear" w:color="auto" w:fill="auto"/>
            <w:noWrap/>
            <w:vAlign w:val="center"/>
          </w:tcPr>
          <w:p w14:paraId="1ADAC967" w14:textId="423C66FB" w:rsidR="00B72DB5" w:rsidRPr="009E6D43" w:rsidRDefault="00B72DB5" w:rsidP="00B72DB5">
            <w:pPr>
              <w:tabs>
                <w:tab w:val="decimal" w:pos="518"/>
              </w:tabs>
              <w:jc w:val="left"/>
              <w:rPr>
                <w:sz w:val="16"/>
                <w:szCs w:val="16"/>
                <w:highlight w:val="yellow"/>
              </w:rPr>
            </w:pPr>
            <w:r w:rsidRPr="009E6D43">
              <w:rPr>
                <w:color w:val="000000"/>
                <w:sz w:val="16"/>
                <w:szCs w:val="16"/>
              </w:rPr>
              <w:t>-1.2</w:t>
            </w:r>
          </w:p>
        </w:tc>
      </w:tr>
      <w:tr w:rsidR="00B72DB5" w:rsidRPr="009E6D43" w14:paraId="0121A726"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35C724" w14:textId="0D4B4DFC"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ocupación en el sector informal 1</w:t>
            </w:r>
            <w:r w:rsidRPr="009E6D43">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B2572FD" w14:textId="2E0EBA1C" w:rsidR="00B72DB5" w:rsidRPr="009E6D43" w:rsidRDefault="00B72DB5" w:rsidP="00B72DB5">
            <w:pPr>
              <w:tabs>
                <w:tab w:val="decimal" w:pos="601"/>
              </w:tabs>
              <w:jc w:val="left"/>
              <w:rPr>
                <w:sz w:val="16"/>
                <w:szCs w:val="16"/>
                <w:highlight w:val="yellow"/>
              </w:rPr>
            </w:pPr>
            <w:r w:rsidRPr="009E6D43">
              <w:rPr>
                <w:color w:val="000000"/>
                <w:sz w:val="16"/>
                <w:szCs w:val="16"/>
              </w:rPr>
              <w:t>27.8</w:t>
            </w:r>
          </w:p>
        </w:tc>
        <w:tc>
          <w:tcPr>
            <w:tcW w:w="1203" w:type="dxa"/>
            <w:tcBorders>
              <w:top w:val="nil"/>
              <w:left w:val="nil"/>
              <w:bottom w:val="nil"/>
              <w:right w:val="nil"/>
            </w:tcBorders>
            <w:shd w:val="clear" w:color="auto" w:fill="auto"/>
            <w:noWrap/>
            <w:vAlign w:val="center"/>
          </w:tcPr>
          <w:p w14:paraId="16B9359F" w14:textId="456D3BD5" w:rsidR="00B72DB5" w:rsidRPr="009E6D43" w:rsidRDefault="00B72DB5" w:rsidP="00B72DB5">
            <w:pPr>
              <w:tabs>
                <w:tab w:val="decimal" w:pos="495"/>
              </w:tabs>
              <w:jc w:val="left"/>
              <w:rPr>
                <w:sz w:val="16"/>
                <w:szCs w:val="16"/>
                <w:highlight w:val="yellow"/>
              </w:rPr>
            </w:pPr>
            <w:r w:rsidRPr="009E6D43">
              <w:rPr>
                <w:color w:val="000000"/>
                <w:sz w:val="16"/>
                <w:szCs w:val="16"/>
              </w:rPr>
              <w:t>-0.4</w:t>
            </w:r>
          </w:p>
        </w:tc>
        <w:tc>
          <w:tcPr>
            <w:tcW w:w="1169" w:type="dxa"/>
            <w:tcBorders>
              <w:top w:val="nil"/>
              <w:left w:val="single" w:sz="4" w:space="0" w:color="1F497D"/>
              <w:bottom w:val="nil"/>
              <w:right w:val="single" w:sz="4" w:space="0" w:color="1F497D"/>
            </w:tcBorders>
            <w:shd w:val="clear" w:color="auto" w:fill="auto"/>
            <w:noWrap/>
            <w:vAlign w:val="center"/>
          </w:tcPr>
          <w:p w14:paraId="5A4AC2D7" w14:textId="4CE04EE5" w:rsidR="00B72DB5" w:rsidRPr="009E6D43" w:rsidRDefault="00B72DB5" w:rsidP="00B72DB5">
            <w:pPr>
              <w:tabs>
                <w:tab w:val="decimal" w:pos="518"/>
              </w:tabs>
              <w:jc w:val="left"/>
              <w:rPr>
                <w:sz w:val="16"/>
                <w:szCs w:val="16"/>
                <w:highlight w:val="yellow"/>
              </w:rPr>
            </w:pPr>
            <w:r w:rsidRPr="009E6D43">
              <w:rPr>
                <w:color w:val="000000"/>
                <w:sz w:val="16"/>
                <w:szCs w:val="16"/>
              </w:rPr>
              <w:t>-0.8</w:t>
            </w:r>
          </w:p>
        </w:tc>
      </w:tr>
      <w:tr w:rsidR="00400FAC" w:rsidRPr="009E6D43" w14:paraId="61749103" w14:textId="77777777" w:rsidTr="00746DB3">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1605A5" w14:textId="77777777" w:rsidR="00400FAC" w:rsidRPr="009E6D43" w:rsidRDefault="00400FAC" w:rsidP="00400FAC">
            <w:pPr>
              <w:jc w:val="left"/>
              <w:rPr>
                <w:b/>
                <w:bCs/>
                <w:color w:val="000000"/>
                <w:sz w:val="16"/>
                <w:szCs w:val="16"/>
                <w:lang w:val="es-MX" w:eastAsia="es-MX"/>
              </w:rPr>
            </w:pPr>
            <w:r w:rsidRPr="009E6D43">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7EE33E31" w14:textId="5F7ED78C" w:rsidR="00400FAC" w:rsidRPr="009E6D43" w:rsidRDefault="00400FAC" w:rsidP="00746DB3">
            <w:pPr>
              <w:tabs>
                <w:tab w:val="decimal" w:pos="601"/>
              </w:tabs>
              <w:jc w:val="left"/>
              <w:rPr>
                <w:sz w:val="16"/>
                <w:szCs w:val="16"/>
                <w:highlight w:val="yellow"/>
              </w:rPr>
            </w:pPr>
          </w:p>
        </w:tc>
        <w:tc>
          <w:tcPr>
            <w:tcW w:w="1203" w:type="dxa"/>
            <w:tcBorders>
              <w:top w:val="nil"/>
              <w:left w:val="nil"/>
              <w:bottom w:val="nil"/>
              <w:right w:val="nil"/>
            </w:tcBorders>
            <w:shd w:val="clear" w:color="auto" w:fill="auto"/>
            <w:noWrap/>
            <w:vAlign w:val="center"/>
          </w:tcPr>
          <w:p w14:paraId="6ED5CC6D" w14:textId="77777777" w:rsidR="00400FAC" w:rsidRPr="009E6D43" w:rsidRDefault="00400FAC" w:rsidP="00746DB3">
            <w:pPr>
              <w:tabs>
                <w:tab w:val="decimal" w:pos="495"/>
              </w:tabs>
              <w:jc w:val="left"/>
              <w:rPr>
                <w:sz w:val="16"/>
                <w:szCs w:val="16"/>
                <w:highlight w:val="yellow"/>
              </w:rPr>
            </w:pPr>
          </w:p>
        </w:tc>
        <w:tc>
          <w:tcPr>
            <w:tcW w:w="1169" w:type="dxa"/>
            <w:tcBorders>
              <w:top w:val="nil"/>
              <w:left w:val="single" w:sz="4" w:space="0" w:color="1F497D"/>
              <w:bottom w:val="nil"/>
              <w:right w:val="single" w:sz="4" w:space="0" w:color="1F497D"/>
            </w:tcBorders>
            <w:shd w:val="clear" w:color="auto" w:fill="auto"/>
            <w:noWrap/>
            <w:vAlign w:val="center"/>
          </w:tcPr>
          <w:p w14:paraId="1B107566" w14:textId="389FA4B7" w:rsidR="00400FAC" w:rsidRPr="009E6D43" w:rsidRDefault="00400FAC" w:rsidP="00746DB3">
            <w:pPr>
              <w:tabs>
                <w:tab w:val="decimal" w:pos="518"/>
              </w:tabs>
              <w:jc w:val="left"/>
              <w:rPr>
                <w:sz w:val="16"/>
                <w:szCs w:val="16"/>
                <w:highlight w:val="yellow"/>
              </w:rPr>
            </w:pPr>
          </w:p>
        </w:tc>
      </w:tr>
      <w:tr w:rsidR="00B72DB5" w:rsidRPr="009E6D43" w14:paraId="04AFFFAA"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EBFA74" w14:textId="77780BA8"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participación</w:t>
            </w:r>
            <w:r w:rsidRPr="009E6D43">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AF4103B" w14:textId="0E71340C" w:rsidR="00B72DB5" w:rsidRPr="009E6D43" w:rsidRDefault="00B72DB5" w:rsidP="00B72DB5">
            <w:pPr>
              <w:tabs>
                <w:tab w:val="decimal" w:pos="601"/>
              </w:tabs>
              <w:jc w:val="left"/>
              <w:rPr>
                <w:sz w:val="16"/>
                <w:szCs w:val="16"/>
                <w:highlight w:val="yellow"/>
              </w:rPr>
            </w:pPr>
            <w:r w:rsidRPr="009E6D43">
              <w:rPr>
                <w:color w:val="000000"/>
                <w:sz w:val="16"/>
                <w:szCs w:val="16"/>
              </w:rPr>
              <w:t>60.4</w:t>
            </w:r>
          </w:p>
        </w:tc>
        <w:tc>
          <w:tcPr>
            <w:tcW w:w="1203" w:type="dxa"/>
            <w:tcBorders>
              <w:top w:val="nil"/>
              <w:left w:val="nil"/>
              <w:bottom w:val="nil"/>
              <w:right w:val="nil"/>
            </w:tcBorders>
            <w:shd w:val="clear" w:color="auto" w:fill="auto"/>
            <w:noWrap/>
            <w:vAlign w:val="center"/>
          </w:tcPr>
          <w:p w14:paraId="701F63F9" w14:textId="4E06899A" w:rsidR="00B72DB5" w:rsidRPr="009E6D43" w:rsidRDefault="00B72DB5" w:rsidP="00B72DB5">
            <w:pPr>
              <w:tabs>
                <w:tab w:val="decimal" w:pos="495"/>
              </w:tabs>
              <w:jc w:val="left"/>
              <w:rPr>
                <w:sz w:val="16"/>
                <w:szCs w:val="16"/>
                <w:highlight w:val="yellow"/>
              </w:rPr>
            </w:pPr>
            <w:r w:rsidRPr="009E6D43">
              <w:rPr>
                <w:color w:val="000000"/>
                <w:sz w:val="16"/>
                <w:szCs w:val="16"/>
              </w:rPr>
              <w:t>-1.0</w:t>
            </w:r>
          </w:p>
        </w:tc>
        <w:tc>
          <w:tcPr>
            <w:tcW w:w="1169" w:type="dxa"/>
            <w:tcBorders>
              <w:top w:val="nil"/>
              <w:left w:val="single" w:sz="4" w:space="0" w:color="1F497D"/>
              <w:bottom w:val="nil"/>
              <w:right w:val="single" w:sz="4" w:space="0" w:color="1F497D"/>
            </w:tcBorders>
            <w:shd w:val="clear" w:color="auto" w:fill="auto"/>
            <w:noWrap/>
            <w:vAlign w:val="center"/>
          </w:tcPr>
          <w:p w14:paraId="7F4B3EAA" w14:textId="19CF1924" w:rsidR="00B72DB5" w:rsidRPr="009E6D43" w:rsidRDefault="00B72DB5" w:rsidP="00B72DB5">
            <w:pPr>
              <w:tabs>
                <w:tab w:val="decimal" w:pos="518"/>
              </w:tabs>
              <w:jc w:val="left"/>
              <w:rPr>
                <w:sz w:val="16"/>
                <w:szCs w:val="16"/>
                <w:highlight w:val="yellow"/>
              </w:rPr>
            </w:pPr>
            <w:r w:rsidRPr="009E6D43">
              <w:rPr>
                <w:color w:val="000000"/>
                <w:sz w:val="16"/>
                <w:szCs w:val="16"/>
              </w:rPr>
              <w:t>-0.8</w:t>
            </w:r>
          </w:p>
        </w:tc>
      </w:tr>
      <w:tr w:rsidR="00B72DB5" w:rsidRPr="009E6D43" w14:paraId="250D3EBD"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EEFD2A1" w14:textId="428967FF"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ocupación</w:t>
            </w:r>
            <w:r w:rsidRPr="009E6D43">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705B56" w14:textId="745F43B3" w:rsidR="00B72DB5" w:rsidRPr="009E6D43" w:rsidRDefault="00B72DB5" w:rsidP="00B72DB5">
            <w:pPr>
              <w:tabs>
                <w:tab w:val="decimal" w:pos="601"/>
              </w:tabs>
              <w:jc w:val="left"/>
              <w:rPr>
                <w:sz w:val="16"/>
                <w:szCs w:val="16"/>
                <w:highlight w:val="yellow"/>
              </w:rPr>
            </w:pPr>
            <w:r w:rsidRPr="009E6D43">
              <w:rPr>
                <w:color w:val="000000"/>
                <w:sz w:val="16"/>
                <w:szCs w:val="16"/>
              </w:rPr>
              <w:t>96.7</w:t>
            </w:r>
          </w:p>
        </w:tc>
        <w:tc>
          <w:tcPr>
            <w:tcW w:w="1203" w:type="dxa"/>
            <w:tcBorders>
              <w:top w:val="nil"/>
              <w:left w:val="nil"/>
              <w:bottom w:val="nil"/>
              <w:right w:val="nil"/>
            </w:tcBorders>
            <w:shd w:val="clear" w:color="auto" w:fill="auto"/>
            <w:noWrap/>
            <w:vAlign w:val="center"/>
          </w:tcPr>
          <w:p w14:paraId="4E6C94A2" w14:textId="0E33D873" w:rsidR="00B72DB5" w:rsidRPr="009E6D43" w:rsidRDefault="00B72DB5" w:rsidP="00B72DB5">
            <w:pPr>
              <w:tabs>
                <w:tab w:val="decimal" w:pos="495"/>
              </w:tabs>
              <w:jc w:val="left"/>
              <w:rPr>
                <w:sz w:val="16"/>
                <w:szCs w:val="16"/>
                <w:highlight w:val="yellow"/>
              </w:rPr>
            </w:pPr>
            <w:r w:rsidRPr="009E6D43">
              <w:rPr>
                <w:color w:val="000000"/>
                <w:sz w:val="16"/>
                <w:szCs w:val="16"/>
              </w:rPr>
              <w:t>0.1</w:t>
            </w:r>
          </w:p>
        </w:tc>
        <w:tc>
          <w:tcPr>
            <w:tcW w:w="1169" w:type="dxa"/>
            <w:tcBorders>
              <w:top w:val="nil"/>
              <w:left w:val="single" w:sz="4" w:space="0" w:color="1F497D"/>
              <w:bottom w:val="nil"/>
              <w:right w:val="single" w:sz="4" w:space="0" w:color="1F497D"/>
            </w:tcBorders>
            <w:shd w:val="clear" w:color="auto" w:fill="auto"/>
            <w:noWrap/>
            <w:vAlign w:val="center"/>
          </w:tcPr>
          <w:p w14:paraId="368EF301" w14:textId="7A46E9AC" w:rsidR="00B72DB5" w:rsidRPr="009E6D43" w:rsidRDefault="00B72DB5" w:rsidP="00B72DB5">
            <w:pPr>
              <w:tabs>
                <w:tab w:val="decimal" w:pos="518"/>
              </w:tabs>
              <w:jc w:val="left"/>
              <w:rPr>
                <w:sz w:val="16"/>
                <w:szCs w:val="16"/>
                <w:highlight w:val="yellow"/>
              </w:rPr>
            </w:pPr>
            <w:r w:rsidRPr="009E6D43">
              <w:rPr>
                <w:color w:val="000000"/>
                <w:sz w:val="16"/>
                <w:szCs w:val="16"/>
              </w:rPr>
              <w:t>0.5</w:t>
            </w:r>
          </w:p>
        </w:tc>
      </w:tr>
      <w:tr w:rsidR="00B72DB5" w:rsidRPr="009E6D43" w14:paraId="0F2587B9"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2C962E" w14:textId="17D6760F"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subocupación</w:t>
            </w:r>
            <w:r w:rsidRPr="009E6D43">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18A1B0F" w14:textId="6B059FAF" w:rsidR="00B72DB5" w:rsidRPr="009E6D43" w:rsidRDefault="00B72DB5" w:rsidP="00B72DB5">
            <w:pPr>
              <w:tabs>
                <w:tab w:val="decimal" w:pos="601"/>
              </w:tabs>
              <w:jc w:val="left"/>
              <w:rPr>
                <w:sz w:val="16"/>
                <w:szCs w:val="16"/>
                <w:highlight w:val="yellow"/>
              </w:rPr>
            </w:pPr>
            <w:r w:rsidRPr="009E6D43">
              <w:rPr>
                <w:color w:val="000000"/>
                <w:sz w:val="16"/>
                <w:szCs w:val="16"/>
              </w:rPr>
              <w:t>7.5</w:t>
            </w:r>
          </w:p>
        </w:tc>
        <w:tc>
          <w:tcPr>
            <w:tcW w:w="1203" w:type="dxa"/>
            <w:tcBorders>
              <w:top w:val="nil"/>
              <w:left w:val="nil"/>
              <w:bottom w:val="nil"/>
              <w:right w:val="nil"/>
            </w:tcBorders>
            <w:shd w:val="clear" w:color="auto" w:fill="auto"/>
            <w:noWrap/>
            <w:vAlign w:val="center"/>
          </w:tcPr>
          <w:p w14:paraId="1A3CD8B5" w14:textId="178DE88F" w:rsidR="00B72DB5" w:rsidRPr="009E6D43" w:rsidRDefault="00B72DB5" w:rsidP="00B72DB5">
            <w:pPr>
              <w:tabs>
                <w:tab w:val="decimal" w:pos="495"/>
              </w:tabs>
              <w:jc w:val="left"/>
              <w:rPr>
                <w:sz w:val="16"/>
                <w:szCs w:val="16"/>
                <w:highlight w:val="yellow"/>
              </w:rPr>
            </w:pPr>
            <w:r w:rsidRPr="009E6D43">
              <w:rPr>
                <w:color w:val="000000"/>
                <w:sz w:val="16"/>
                <w:szCs w:val="16"/>
              </w:rPr>
              <w:t>-0.6</w:t>
            </w:r>
          </w:p>
        </w:tc>
        <w:tc>
          <w:tcPr>
            <w:tcW w:w="1169" w:type="dxa"/>
            <w:tcBorders>
              <w:top w:val="nil"/>
              <w:left w:val="single" w:sz="4" w:space="0" w:color="1F497D"/>
              <w:bottom w:val="nil"/>
              <w:right w:val="single" w:sz="4" w:space="0" w:color="1F497D"/>
            </w:tcBorders>
            <w:shd w:val="clear" w:color="auto" w:fill="auto"/>
            <w:noWrap/>
            <w:vAlign w:val="center"/>
          </w:tcPr>
          <w:p w14:paraId="2B524B75" w14:textId="65DF40F1" w:rsidR="00B72DB5" w:rsidRPr="009E6D43" w:rsidRDefault="00B72DB5" w:rsidP="00B72DB5">
            <w:pPr>
              <w:tabs>
                <w:tab w:val="decimal" w:pos="518"/>
              </w:tabs>
              <w:jc w:val="left"/>
              <w:rPr>
                <w:sz w:val="16"/>
                <w:szCs w:val="16"/>
                <w:highlight w:val="yellow"/>
              </w:rPr>
            </w:pPr>
            <w:r w:rsidRPr="009E6D43">
              <w:rPr>
                <w:color w:val="000000"/>
                <w:sz w:val="16"/>
                <w:szCs w:val="16"/>
              </w:rPr>
              <w:t>-0.2</w:t>
            </w:r>
          </w:p>
        </w:tc>
      </w:tr>
      <w:tr w:rsidR="00B72DB5" w:rsidRPr="009E6D43" w14:paraId="4EE19178"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D46ADF" w14:textId="3D1C5081"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desocupación</w:t>
            </w:r>
            <w:r w:rsidRPr="009E6D43">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914BC5C" w14:textId="54DB66A8" w:rsidR="00B72DB5" w:rsidRPr="009E6D43" w:rsidRDefault="00B72DB5" w:rsidP="00B72DB5">
            <w:pPr>
              <w:tabs>
                <w:tab w:val="decimal" w:pos="601"/>
              </w:tabs>
              <w:jc w:val="left"/>
              <w:rPr>
                <w:sz w:val="16"/>
                <w:szCs w:val="16"/>
                <w:highlight w:val="yellow"/>
              </w:rPr>
            </w:pPr>
            <w:r w:rsidRPr="009E6D43">
              <w:rPr>
                <w:color w:val="000000"/>
                <w:sz w:val="16"/>
                <w:szCs w:val="16"/>
              </w:rPr>
              <w:t>3.3</w:t>
            </w:r>
          </w:p>
        </w:tc>
        <w:tc>
          <w:tcPr>
            <w:tcW w:w="1203" w:type="dxa"/>
            <w:tcBorders>
              <w:top w:val="nil"/>
              <w:left w:val="nil"/>
              <w:bottom w:val="nil"/>
              <w:right w:val="nil"/>
            </w:tcBorders>
            <w:shd w:val="clear" w:color="auto" w:fill="auto"/>
            <w:noWrap/>
            <w:vAlign w:val="center"/>
          </w:tcPr>
          <w:p w14:paraId="3B8AFCF9" w14:textId="50C42892" w:rsidR="00B72DB5" w:rsidRPr="009E6D43" w:rsidRDefault="00B72DB5" w:rsidP="00B72DB5">
            <w:pPr>
              <w:tabs>
                <w:tab w:val="decimal" w:pos="495"/>
              </w:tabs>
              <w:jc w:val="left"/>
              <w:rPr>
                <w:sz w:val="16"/>
                <w:szCs w:val="16"/>
                <w:highlight w:val="yellow"/>
              </w:rPr>
            </w:pPr>
            <w:r w:rsidRPr="009E6D43">
              <w:rPr>
                <w:color w:val="000000"/>
                <w:sz w:val="16"/>
                <w:szCs w:val="16"/>
              </w:rPr>
              <w:t>-0.1</w:t>
            </w:r>
          </w:p>
        </w:tc>
        <w:tc>
          <w:tcPr>
            <w:tcW w:w="1169" w:type="dxa"/>
            <w:tcBorders>
              <w:top w:val="nil"/>
              <w:left w:val="single" w:sz="4" w:space="0" w:color="1F497D"/>
              <w:bottom w:val="nil"/>
              <w:right w:val="single" w:sz="4" w:space="0" w:color="1F497D"/>
            </w:tcBorders>
            <w:shd w:val="clear" w:color="auto" w:fill="auto"/>
            <w:noWrap/>
            <w:vAlign w:val="center"/>
          </w:tcPr>
          <w:p w14:paraId="5E17B758" w14:textId="35129F75" w:rsidR="00B72DB5" w:rsidRPr="009E6D43" w:rsidRDefault="00B72DB5" w:rsidP="00B72DB5">
            <w:pPr>
              <w:tabs>
                <w:tab w:val="decimal" w:pos="518"/>
              </w:tabs>
              <w:jc w:val="left"/>
              <w:rPr>
                <w:sz w:val="16"/>
                <w:szCs w:val="16"/>
                <w:highlight w:val="yellow"/>
              </w:rPr>
            </w:pPr>
            <w:r w:rsidRPr="009E6D43">
              <w:rPr>
                <w:color w:val="000000"/>
                <w:sz w:val="16"/>
                <w:szCs w:val="16"/>
              </w:rPr>
              <w:t>-0.5</w:t>
            </w:r>
          </w:p>
        </w:tc>
      </w:tr>
      <w:tr w:rsidR="00B72DB5" w:rsidRPr="009E6D43" w14:paraId="20E017D5"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E969504" w14:textId="23BD0EFD" w:rsidR="00B72DB5" w:rsidRPr="009E6D43" w:rsidRDefault="00B72DB5" w:rsidP="00B72DB5">
            <w:pPr>
              <w:ind w:firstLineChars="200" w:firstLine="320"/>
              <w:jc w:val="left"/>
              <w:rPr>
                <w:color w:val="000000"/>
                <w:sz w:val="16"/>
                <w:szCs w:val="16"/>
                <w:lang w:val="es-MX" w:eastAsia="es-MX"/>
              </w:rPr>
            </w:pPr>
            <w:proofErr w:type="spellStart"/>
            <w:r w:rsidRPr="009E6D43">
              <w:rPr>
                <w:smallCaps/>
                <w:color w:val="000000"/>
                <w:sz w:val="16"/>
                <w:szCs w:val="16"/>
                <w:lang w:val="es-MX" w:eastAsia="es-MX"/>
              </w:rPr>
              <w:t>td</w:t>
            </w:r>
            <w:proofErr w:type="spellEnd"/>
            <w:r w:rsidRPr="009E6D43">
              <w:rPr>
                <w:color w:val="000000"/>
                <w:sz w:val="16"/>
                <w:szCs w:val="16"/>
                <w:lang w:val="es-MX" w:eastAsia="es-MX"/>
              </w:rPr>
              <w:t xml:space="preserve"> hombres</w:t>
            </w:r>
          </w:p>
        </w:tc>
        <w:tc>
          <w:tcPr>
            <w:tcW w:w="1330" w:type="dxa"/>
            <w:tcBorders>
              <w:top w:val="nil"/>
              <w:left w:val="single" w:sz="4" w:space="0" w:color="1F497D"/>
              <w:bottom w:val="nil"/>
              <w:right w:val="single" w:sz="4" w:space="0" w:color="1F497D"/>
            </w:tcBorders>
            <w:shd w:val="clear" w:color="auto" w:fill="auto"/>
            <w:noWrap/>
            <w:vAlign w:val="center"/>
          </w:tcPr>
          <w:p w14:paraId="31DF8DED" w14:textId="04696A5E" w:rsidR="00B72DB5" w:rsidRPr="009E6D43" w:rsidRDefault="00B72DB5" w:rsidP="00B72DB5">
            <w:pPr>
              <w:tabs>
                <w:tab w:val="decimal" w:pos="601"/>
              </w:tabs>
              <w:jc w:val="left"/>
              <w:rPr>
                <w:sz w:val="16"/>
                <w:szCs w:val="16"/>
                <w:highlight w:val="yellow"/>
              </w:rPr>
            </w:pPr>
            <w:r w:rsidRPr="009E6D43">
              <w:rPr>
                <w:color w:val="000000"/>
                <w:sz w:val="16"/>
                <w:szCs w:val="16"/>
              </w:rPr>
              <w:t>3.3</w:t>
            </w:r>
          </w:p>
        </w:tc>
        <w:tc>
          <w:tcPr>
            <w:tcW w:w="1203" w:type="dxa"/>
            <w:tcBorders>
              <w:top w:val="nil"/>
              <w:left w:val="nil"/>
              <w:bottom w:val="nil"/>
              <w:right w:val="nil"/>
            </w:tcBorders>
            <w:shd w:val="clear" w:color="auto" w:fill="auto"/>
            <w:noWrap/>
            <w:vAlign w:val="center"/>
          </w:tcPr>
          <w:p w14:paraId="68547DE9" w14:textId="4E62C34C" w:rsidR="00B72DB5" w:rsidRPr="009E6D43" w:rsidRDefault="00B72DB5" w:rsidP="00B72DB5">
            <w:pPr>
              <w:tabs>
                <w:tab w:val="decimal" w:pos="495"/>
              </w:tabs>
              <w:jc w:val="left"/>
              <w:rPr>
                <w:sz w:val="16"/>
                <w:szCs w:val="16"/>
                <w:highlight w:val="yellow"/>
              </w:rPr>
            </w:pPr>
            <w:r w:rsidRPr="009E6D43">
              <w:rPr>
                <w:color w:val="000000"/>
                <w:sz w:val="16"/>
                <w:szCs w:val="16"/>
              </w:rPr>
              <w:t>0.0</w:t>
            </w:r>
          </w:p>
        </w:tc>
        <w:tc>
          <w:tcPr>
            <w:tcW w:w="1169" w:type="dxa"/>
            <w:tcBorders>
              <w:top w:val="nil"/>
              <w:left w:val="single" w:sz="4" w:space="0" w:color="1F497D"/>
              <w:bottom w:val="nil"/>
              <w:right w:val="single" w:sz="4" w:space="0" w:color="1F497D"/>
            </w:tcBorders>
            <w:shd w:val="clear" w:color="auto" w:fill="auto"/>
            <w:noWrap/>
            <w:vAlign w:val="center"/>
          </w:tcPr>
          <w:p w14:paraId="0C6F320F" w14:textId="7D17E17B" w:rsidR="00B72DB5" w:rsidRPr="009E6D43" w:rsidRDefault="00B72DB5" w:rsidP="00B72DB5">
            <w:pPr>
              <w:tabs>
                <w:tab w:val="decimal" w:pos="518"/>
              </w:tabs>
              <w:jc w:val="left"/>
              <w:rPr>
                <w:sz w:val="16"/>
                <w:szCs w:val="16"/>
                <w:highlight w:val="yellow"/>
              </w:rPr>
            </w:pPr>
            <w:r w:rsidRPr="009E6D43">
              <w:rPr>
                <w:color w:val="000000"/>
                <w:sz w:val="16"/>
                <w:szCs w:val="16"/>
              </w:rPr>
              <w:t>-0.9</w:t>
            </w:r>
          </w:p>
        </w:tc>
      </w:tr>
      <w:tr w:rsidR="00B72DB5" w:rsidRPr="009E6D43" w14:paraId="7D0102C6"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FF0A90" w14:textId="17500F15" w:rsidR="00B72DB5" w:rsidRPr="009E6D43" w:rsidRDefault="00B72DB5" w:rsidP="00B72DB5">
            <w:pPr>
              <w:ind w:firstLineChars="200" w:firstLine="320"/>
              <w:jc w:val="left"/>
              <w:rPr>
                <w:color w:val="000000"/>
                <w:sz w:val="16"/>
                <w:szCs w:val="16"/>
                <w:lang w:val="es-MX" w:eastAsia="es-MX"/>
              </w:rPr>
            </w:pPr>
            <w:proofErr w:type="spellStart"/>
            <w:r w:rsidRPr="009E6D43">
              <w:rPr>
                <w:smallCaps/>
                <w:color w:val="000000"/>
                <w:sz w:val="16"/>
                <w:szCs w:val="16"/>
                <w:lang w:val="es-MX" w:eastAsia="es-MX"/>
              </w:rPr>
              <w:t>td</w:t>
            </w:r>
            <w:proofErr w:type="spellEnd"/>
            <w:r w:rsidRPr="009E6D43">
              <w:rPr>
                <w:color w:val="000000"/>
                <w:sz w:val="16"/>
                <w:szCs w:val="16"/>
                <w:lang w:val="es-MX" w:eastAsia="es-MX"/>
              </w:rPr>
              <w:t xml:space="preserve"> mujeres</w:t>
            </w:r>
          </w:p>
        </w:tc>
        <w:tc>
          <w:tcPr>
            <w:tcW w:w="1330" w:type="dxa"/>
            <w:tcBorders>
              <w:top w:val="nil"/>
              <w:left w:val="single" w:sz="4" w:space="0" w:color="1F497D"/>
              <w:bottom w:val="nil"/>
              <w:right w:val="single" w:sz="4" w:space="0" w:color="1F497D"/>
            </w:tcBorders>
            <w:shd w:val="clear" w:color="auto" w:fill="auto"/>
            <w:noWrap/>
            <w:vAlign w:val="center"/>
          </w:tcPr>
          <w:p w14:paraId="06451B65" w14:textId="5990A0C7" w:rsidR="00B72DB5" w:rsidRPr="009E6D43" w:rsidRDefault="00B72DB5" w:rsidP="00B72DB5">
            <w:pPr>
              <w:tabs>
                <w:tab w:val="decimal" w:pos="601"/>
              </w:tabs>
              <w:jc w:val="left"/>
              <w:rPr>
                <w:sz w:val="16"/>
                <w:szCs w:val="16"/>
                <w:highlight w:val="yellow"/>
              </w:rPr>
            </w:pPr>
            <w:r w:rsidRPr="009E6D43">
              <w:rPr>
                <w:color w:val="000000"/>
                <w:sz w:val="16"/>
                <w:szCs w:val="16"/>
              </w:rPr>
              <w:t>3.3</w:t>
            </w:r>
          </w:p>
        </w:tc>
        <w:tc>
          <w:tcPr>
            <w:tcW w:w="1203" w:type="dxa"/>
            <w:tcBorders>
              <w:top w:val="nil"/>
              <w:left w:val="nil"/>
              <w:bottom w:val="nil"/>
              <w:right w:val="nil"/>
            </w:tcBorders>
            <w:shd w:val="clear" w:color="auto" w:fill="auto"/>
            <w:noWrap/>
            <w:vAlign w:val="center"/>
          </w:tcPr>
          <w:p w14:paraId="2438A671" w14:textId="48EA58F6" w:rsidR="00B72DB5" w:rsidRPr="009E6D43" w:rsidRDefault="00B72DB5" w:rsidP="00B72DB5">
            <w:pPr>
              <w:tabs>
                <w:tab w:val="decimal" w:pos="495"/>
              </w:tabs>
              <w:jc w:val="left"/>
              <w:rPr>
                <w:sz w:val="16"/>
                <w:szCs w:val="16"/>
                <w:highlight w:val="yellow"/>
              </w:rPr>
            </w:pPr>
            <w:r w:rsidRPr="009E6D43">
              <w:rPr>
                <w:color w:val="000000"/>
                <w:sz w:val="16"/>
                <w:szCs w:val="16"/>
              </w:rPr>
              <w:t>-0.1</w:t>
            </w:r>
          </w:p>
        </w:tc>
        <w:tc>
          <w:tcPr>
            <w:tcW w:w="1169" w:type="dxa"/>
            <w:tcBorders>
              <w:top w:val="nil"/>
              <w:left w:val="single" w:sz="4" w:space="0" w:color="1F497D"/>
              <w:bottom w:val="nil"/>
              <w:right w:val="single" w:sz="4" w:space="0" w:color="1F497D"/>
            </w:tcBorders>
            <w:shd w:val="clear" w:color="auto" w:fill="auto"/>
            <w:noWrap/>
            <w:vAlign w:val="center"/>
          </w:tcPr>
          <w:p w14:paraId="2C561219" w14:textId="49116CBE" w:rsidR="00B72DB5" w:rsidRPr="009E6D43" w:rsidRDefault="00B72DB5" w:rsidP="00B72DB5">
            <w:pPr>
              <w:tabs>
                <w:tab w:val="decimal" w:pos="518"/>
              </w:tabs>
              <w:jc w:val="left"/>
              <w:rPr>
                <w:sz w:val="16"/>
                <w:szCs w:val="16"/>
                <w:highlight w:val="yellow"/>
              </w:rPr>
            </w:pPr>
            <w:r w:rsidRPr="009E6D43">
              <w:rPr>
                <w:color w:val="000000"/>
                <w:sz w:val="16"/>
                <w:szCs w:val="16"/>
              </w:rPr>
              <w:t>-0.1</w:t>
            </w:r>
          </w:p>
        </w:tc>
      </w:tr>
      <w:tr w:rsidR="00B72DB5" w:rsidRPr="009E6D43" w14:paraId="4564CAE7" w14:textId="77777777" w:rsidTr="00B72DB5">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D460E3" w14:textId="1758D230"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informalidad laboral 1</w:t>
            </w:r>
            <w:r w:rsidRPr="009E6D43">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095C127" w14:textId="6CDA4E08" w:rsidR="00B72DB5" w:rsidRPr="009E6D43" w:rsidRDefault="00B72DB5" w:rsidP="00B72DB5">
            <w:pPr>
              <w:tabs>
                <w:tab w:val="decimal" w:pos="601"/>
              </w:tabs>
              <w:jc w:val="left"/>
              <w:rPr>
                <w:sz w:val="16"/>
                <w:szCs w:val="16"/>
                <w:highlight w:val="yellow"/>
              </w:rPr>
            </w:pPr>
            <w:r w:rsidRPr="009E6D43">
              <w:rPr>
                <w:color w:val="000000"/>
                <w:sz w:val="16"/>
                <w:szCs w:val="16"/>
              </w:rPr>
              <w:t>42.6</w:t>
            </w:r>
          </w:p>
        </w:tc>
        <w:tc>
          <w:tcPr>
            <w:tcW w:w="1203" w:type="dxa"/>
            <w:tcBorders>
              <w:top w:val="nil"/>
              <w:left w:val="nil"/>
              <w:bottom w:val="nil"/>
              <w:right w:val="nil"/>
            </w:tcBorders>
            <w:shd w:val="clear" w:color="auto" w:fill="auto"/>
            <w:noWrap/>
            <w:vAlign w:val="center"/>
          </w:tcPr>
          <w:p w14:paraId="7C1FC317" w14:textId="5AB2A394" w:rsidR="00B72DB5" w:rsidRPr="009E6D43" w:rsidRDefault="00B72DB5" w:rsidP="00B72DB5">
            <w:pPr>
              <w:tabs>
                <w:tab w:val="decimal" w:pos="495"/>
              </w:tabs>
              <w:jc w:val="left"/>
              <w:rPr>
                <w:sz w:val="16"/>
                <w:szCs w:val="16"/>
                <w:highlight w:val="yellow"/>
              </w:rPr>
            </w:pPr>
            <w:r w:rsidRPr="009E6D43">
              <w:rPr>
                <w:color w:val="000000"/>
                <w:sz w:val="16"/>
                <w:szCs w:val="16"/>
              </w:rPr>
              <w:t>-1.8</w:t>
            </w:r>
          </w:p>
        </w:tc>
        <w:tc>
          <w:tcPr>
            <w:tcW w:w="1169" w:type="dxa"/>
            <w:tcBorders>
              <w:top w:val="nil"/>
              <w:left w:val="single" w:sz="4" w:space="0" w:color="1F497D"/>
              <w:bottom w:val="nil"/>
              <w:right w:val="single" w:sz="4" w:space="0" w:color="1F497D"/>
            </w:tcBorders>
            <w:shd w:val="clear" w:color="auto" w:fill="auto"/>
            <w:noWrap/>
            <w:vAlign w:val="center"/>
          </w:tcPr>
          <w:p w14:paraId="698C45F6" w14:textId="5F94B113" w:rsidR="00B72DB5" w:rsidRPr="009E6D43" w:rsidRDefault="00B72DB5" w:rsidP="00B72DB5">
            <w:pPr>
              <w:tabs>
                <w:tab w:val="decimal" w:pos="518"/>
              </w:tabs>
              <w:jc w:val="left"/>
              <w:rPr>
                <w:sz w:val="16"/>
                <w:szCs w:val="16"/>
                <w:highlight w:val="yellow"/>
              </w:rPr>
            </w:pPr>
            <w:r w:rsidRPr="009E6D43">
              <w:rPr>
                <w:color w:val="000000"/>
                <w:sz w:val="16"/>
                <w:szCs w:val="16"/>
              </w:rPr>
              <w:t>-1.6</w:t>
            </w:r>
          </w:p>
        </w:tc>
      </w:tr>
      <w:tr w:rsidR="00B72DB5" w:rsidRPr="009E6D43" w14:paraId="5617A2B4" w14:textId="77777777" w:rsidTr="00B72DB5">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46C8E645" w14:textId="40EF8895" w:rsidR="00B72DB5" w:rsidRPr="009E6D43" w:rsidRDefault="00B72DB5" w:rsidP="00B72DB5">
            <w:pPr>
              <w:ind w:firstLineChars="100" w:firstLine="160"/>
              <w:jc w:val="left"/>
              <w:rPr>
                <w:color w:val="000000"/>
                <w:sz w:val="16"/>
                <w:szCs w:val="16"/>
                <w:lang w:val="es-MX" w:eastAsia="es-MX"/>
              </w:rPr>
            </w:pPr>
            <w:r w:rsidRPr="009E6D43">
              <w:rPr>
                <w:color w:val="000000"/>
                <w:sz w:val="16"/>
                <w:szCs w:val="16"/>
                <w:lang w:val="es-MX" w:eastAsia="es-MX"/>
              </w:rPr>
              <w:t>Tasa de ocupación en el sector informal 1</w:t>
            </w:r>
            <w:r w:rsidRPr="009E6D43">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436C38E" w14:textId="2710BE0C" w:rsidR="00B72DB5" w:rsidRPr="009E6D43" w:rsidRDefault="00B72DB5" w:rsidP="00B72DB5">
            <w:pPr>
              <w:tabs>
                <w:tab w:val="decimal" w:pos="601"/>
              </w:tabs>
              <w:jc w:val="left"/>
              <w:rPr>
                <w:sz w:val="16"/>
                <w:szCs w:val="16"/>
                <w:highlight w:val="yellow"/>
              </w:rPr>
            </w:pPr>
            <w:r w:rsidRPr="009E6D43">
              <w:rPr>
                <w:color w:val="000000"/>
                <w:sz w:val="16"/>
                <w:szCs w:val="16"/>
              </w:rPr>
              <w:t>24.7</w:t>
            </w:r>
          </w:p>
        </w:tc>
        <w:tc>
          <w:tcPr>
            <w:tcW w:w="1203" w:type="dxa"/>
            <w:tcBorders>
              <w:top w:val="nil"/>
              <w:left w:val="nil"/>
              <w:bottom w:val="single" w:sz="4" w:space="0" w:color="1F497D"/>
              <w:right w:val="nil"/>
            </w:tcBorders>
            <w:shd w:val="clear" w:color="auto" w:fill="auto"/>
            <w:noWrap/>
            <w:vAlign w:val="center"/>
          </w:tcPr>
          <w:p w14:paraId="63F8D3EF" w14:textId="666792D8" w:rsidR="00B72DB5" w:rsidRPr="009E6D43" w:rsidRDefault="00B72DB5" w:rsidP="00B72DB5">
            <w:pPr>
              <w:tabs>
                <w:tab w:val="decimal" w:pos="495"/>
              </w:tabs>
              <w:jc w:val="left"/>
              <w:rPr>
                <w:sz w:val="16"/>
                <w:szCs w:val="16"/>
                <w:highlight w:val="yellow"/>
              </w:rPr>
            </w:pPr>
            <w:r w:rsidRPr="009E6D43">
              <w:rPr>
                <w:color w:val="000000"/>
                <w:sz w:val="16"/>
                <w:szCs w:val="16"/>
              </w:rPr>
              <w:t>-1.6</w:t>
            </w:r>
          </w:p>
        </w:tc>
        <w:tc>
          <w:tcPr>
            <w:tcW w:w="1169" w:type="dxa"/>
            <w:tcBorders>
              <w:top w:val="nil"/>
              <w:left w:val="single" w:sz="4" w:space="0" w:color="1F497D"/>
              <w:bottom w:val="single" w:sz="4" w:space="0" w:color="1F497D"/>
              <w:right w:val="single" w:sz="4" w:space="0" w:color="1F497D"/>
            </w:tcBorders>
            <w:shd w:val="clear" w:color="auto" w:fill="auto"/>
            <w:noWrap/>
            <w:vAlign w:val="center"/>
          </w:tcPr>
          <w:p w14:paraId="5BE75E40" w14:textId="7FF6DF94" w:rsidR="00B72DB5" w:rsidRPr="009E6D43" w:rsidRDefault="00B72DB5" w:rsidP="00B72DB5">
            <w:pPr>
              <w:tabs>
                <w:tab w:val="decimal" w:pos="518"/>
              </w:tabs>
              <w:jc w:val="left"/>
              <w:rPr>
                <w:sz w:val="16"/>
                <w:szCs w:val="16"/>
                <w:highlight w:val="yellow"/>
              </w:rPr>
            </w:pPr>
            <w:r w:rsidRPr="009E6D43">
              <w:rPr>
                <w:color w:val="000000"/>
                <w:sz w:val="16"/>
                <w:szCs w:val="16"/>
              </w:rPr>
              <w:t>-2.1</w:t>
            </w:r>
          </w:p>
        </w:tc>
      </w:tr>
    </w:tbl>
    <w:p w14:paraId="63C9AAFB" w14:textId="7054CE42" w:rsidR="008658E8" w:rsidRPr="009E6D43" w:rsidRDefault="008658E8" w:rsidP="00DD72ED">
      <w:pPr>
        <w:pStyle w:val="n0"/>
        <w:keepLines w:val="0"/>
        <w:widowControl w:val="0"/>
        <w:tabs>
          <w:tab w:val="left" w:pos="8364"/>
        </w:tabs>
        <w:spacing w:before="0"/>
        <w:ind w:left="1985" w:right="1469" w:hanging="567"/>
        <w:rPr>
          <w:color w:val="auto"/>
          <w:sz w:val="16"/>
          <w:szCs w:val="14"/>
        </w:rPr>
      </w:pPr>
      <w:r w:rsidRPr="009E6D43">
        <w:rPr>
          <w:color w:val="auto"/>
          <w:sz w:val="16"/>
          <w:szCs w:val="14"/>
        </w:rPr>
        <w:t>Nota:</w:t>
      </w:r>
      <w:r w:rsidRPr="009E6D43">
        <w:rPr>
          <w:color w:val="auto"/>
          <w:sz w:val="16"/>
          <w:szCs w:val="14"/>
        </w:rPr>
        <w:tab/>
        <w:t>Las diferencias en</w:t>
      </w:r>
      <w:r w:rsidR="00520FC0" w:rsidRPr="009E6D43">
        <w:rPr>
          <w:color w:val="auto"/>
          <w:sz w:val="16"/>
          <w:szCs w:val="14"/>
        </w:rPr>
        <w:t> puntos</w:t>
      </w:r>
      <w:r w:rsidRPr="009E6D43">
        <w:rPr>
          <w:color w:val="auto"/>
          <w:sz w:val="16"/>
          <w:szCs w:val="14"/>
        </w:rPr>
        <w:t xml:space="preserve"> porcentuales resultan de considerar los indicadores con todos sus decimales.</w:t>
      </w:r>
    </w:p>
    <w:p w14:paraId="4AB145FC" w14:textId="63D2B788" w:rsidR="00F74075" w:rsidRPr="009E6D43" w:rsidRDefault="00F74075" w:rsidP="00DD72ED">
      <w:pPr>
        <w:pStyle w:val="n0"/>
        <w:keepLines w:val="0"/>
        <w:widowControl w:val="0"/>
        <w:tabs>
          <w:tab w:val="left" w:pos="8364"/>
        </w:tabs>
        <w:spacing w:before="0"/>
        <w:ind w:left="1985" w:right="1469" w:hanging="567"/>
        <w:rPr>
          <w:color w:val="auto"/>
          <w:sz w:val="16"/>
          <w:szCs w:val="16"/>
        </w:rPr>
      </w:pPr>
      <w:r w:rsidRPr="009E6D43">
        <w:rPr>
          <w:color w:val="auto"/>
          <w:sz w:val="18"/>
          <w:szCs w:val="18"/>
          <w:vertAlign w:val="superscript"/>
        </w:rPr>
        <w:t>1/</w:t>
      </w:r>
      <w:r w:rsidRPr="009E6D43">
        <w:rPr>
          <w:color w:val="auto"/>
          <w:sz w:val="18"/>
          <w:szCs w:val="18"/>
          <w:vertAlign w:val="superscript"/>
        </w:rPr>
        <w:tab/>
      </w:r>
      <w:r w:rsidR="00454B2B" w:rsidRPr="009E6D43">
        <w:rPr>
          <w:smallCaps/>
          <w:color w:val="auto"/>
          <w:sz w:val="16"/>
          <w:szCs w:val="18"/>
        </w:rPr>
        <w:t>pea</w:t>
      </w:r>
      <w:r w:rsidRPr="009E6D43">
        <w:rPr>
          <w:color w:val="auto"/>
          <w:sz w:val="16"/>
          <w:szCs w:val="16"/>
        </w:rPr>
        <w:t xml:space="preserve"> como porcentaje de la </w:t>
      </w:r>
      <w:r w:rsidR="00B12399" w:rsidRPr="009E6D43">
        <w:rPr>
          <w:color w:val="auto"/>
          <w:sz w:val="16"/>
          <w:szCs w:val="16"/>
        </w:rPr>
        <w:t>p</w:t>
      </w:r>
      <w:r w:rsidRPr="009E6D43">
        <w:rPr>
          <w:color w:val="auto"/>
          <w:sz w:val="16"/>
          <w:szCs w:val="16"/>
        </w:rPr>
        <w:t>oblación de 15 años y más</w:t>
      </w:r>
      <w:r w:rsidR="00633799" w:rsidRPr="009E6D43">
        <w:rPr>
          <w:color w:val="auto"/>
          <w:sz w:val="16"/>
          <w:szCs w:val="16"/>
        </w:rPr>
        <w:t>.</w:t>
      </w:r>
    </w:p>
    <w:p w14:paraId="0DD6B67B" w14:textId="25595CFA" w:rsidR="00F74075" w:rsidRPr="009E6D43" w:rsidRDefault="00F74075" w:rsidP="00DD72ED">
      <w:pPr>
        <w:pStyle w:val="n0"/>
        <w:keepLines w:val="0"/>
        <w:widowControl w:val="0"/>
        <w:tabs>
          <w:tab w:val="left" w:pos="8364"/>
        </w:tabs>
        <w:spacing w:before="0"/>
        <w:ind w:left="1985" w:right="1469" w:hanging="567"/>
        <w:rPr>
          <w:color w:val="auto"/>
          <w:sz w:val="16"/>
          <w:szCs w:val="16"/>
        </w:rPr>
      </w:pPr>
      <w:r w:rsidRPr="009E6D43">
        <w:rPr>
          <w:color w:val="auto"/>
          <w:sz w:val="18"/>
          <w:szCs w:val="18"/>
          <w:vertAlign w:val="superscript"/>
        </w:rPr>
        <w:t>2/</w:t>
      </w:r>
      <w:r w:rsidRPr="009E6D43">
        <w:rPr>
          <w:color w:val="auto"/>
          <w:sz w:val="18"/>
          <w:szCs w:val="18"/>
          <w:vertAlign w:val="superscript"/>
        </w:rPr>
        <w:tab/>
      </w:r>
      <w:r w:rsidRPr="009E6D43">
        <w:rPr>
          <w:color w:val="auto"/>
          <w:sz w:val="16"/>
          <w:szCs w:val="16"/>
        </w:rPr>
        <w:t xml:space="preserve">Porcentaje respecto a la </w:t>
      </w:r>
      <w:r w:rsidR="00454B2B" w:rsidRPr="009E6D43">
        <w:rPr>
          <w:smallCaps/>
          <w:color w:val="auto"/>
          <w:sz w:val="16"/>
          <w:szCs w:val="16"/>
        </w:rPr>
        <w:t>pea</w:t>
      </w:r>
      <w:r w:rsidR="00633799" w:rsidRPr="009E6D43">
        <w:rPr>
          <w:color w:val="auto"/>
          <w:sz w:val="16"/>
          <w:szCs w:val="16"/>
        </w:rPr>
        <w:t>.</w:t>
      </w:r>
    </w:p>
    <w:p w14:paraId="01234FAC" w14:textId="5F1759C8" w:rsidR="00F74075" w:rsidRDefault="00F74075" w:rsidP="00DD72ED">
      <w:pPr>
        <w:pStyle w:val="n0"/>
        <w:keepLines w:val="0"/>
        <w:widowControl w:val="0"/>
        <w:tabs>
          <w:tab w:val="left" w:pos="8364"/>
        </w:tabs>
        <w:spacing w:before="0"/>
        <w:ind w:left="1985" w:right="1469" w:hanging="567"/>
        <w:rPr>
          <w:color w:val="auto"/>
          <w:sz w:val="16"/>
          <w:szCs w:val="16"/>
        </w:rPr>
      </w:pPr>
      <w:r w:rsidRPr="009E6D43">
        <w:rPr>
          <w:color w:val="auto"/>
          <w:sz w:val="18"/>
          <w:szCs w:val="18"/>
          <w:vertAlign w:val="superscript"/>
        </w:rPr>
        <w:t>3/</w:t>
      </w:r>
      <w:r w:rsidRPr="009E6D43">
        <w:rPr>
          <w:color w:val="auto"/>
          <w:sz w:val="18"/>
          <w:szCs w:val="18"/>
          <w:vertAlign w:val="superscript"/>
        </w:rPr>
        <w:tab/>
      </w:r>
      <w:r w:rsidRPr="009E6D43">
        <w:rPr>
          <w:color w:val="auto"/>
          <w:sz w:val="16"/>
          <w:szCs w:val="16"/>
        </w:rPr>
        <w:t xml:space="preserve">Porcentaje respecto a la </w:t>
      </w:r>
      <w:proofErr w:type="spellStart"/>
      <w:r w:rsidR="00454B2B" w:rsidRPr="009E6D43">
        <w:rPr>
          <w:smallCaps/>
          <w:color w:val="auto"/>
          <w:sz w:val="16"/>
          <w:szCs w:val="16"/>
        </w:rPr>
        <w:t>po</w:t>
      </w:r>
      <w:proofErr w:type="spellEnd"/>
      <w:r w:rsidR="00633799" w:rsidRPr="009E6D43">
        <w:rPr>
          <w:color w:val="auto"/>
          <w:sz w:val="16"/>
          <w:szCs w:val="16"/>
        </w:rPr>
        <w:t>.</w:t>
      </w:r>
    </w:p>
    <w:p w14:paraId="55F1F259" w14:textId="2CC5542B" w:rsidR="00DB736B" w:rsidRPr="009E6D43" w:rsidRDefault="00DB736B" w:rsidP="00DD72ED">
      <w:pPr>
        <w:pStyle w:val="n0"/>
        <w:keepLines w:val="0"/>
        <w:widowControl w:val="0"/>
        <w:tabs>
          <w:tab w:val="left" w:pos="8364"/>
        </w:tabs>
        <w:spacing w:before="0"/>
        <w:ind w:left="1985" w:right="1469" w:hanging="567"/>
        <w:rPr>
          <w:color w:val="auto"/>
          <w:sz w:val="16"/>
          <w:szCs w:val="16"/>
        </w:rPr>
      </w:pPr>
      <w:r w:rsidRPr="0050749D">
        <w:rPr>
          <w:color w:val="auto"/>
          <w:sz w:val="18"/>
          <w:szCs w:val="18"/>
          <w:vertAlign w:val="superscript"/>
        </w:rPr>
        <w:t>4/</w:t>
      </w:r>
      <w:r w:rsidRPr="0050749D">
        <w:rPr>
          <w:color w:val="auto"/>
          <w:sz w:val="18"/>
          <w:szCs w:val="18"/>
          <w:vertAlign w:val="superscript"/>
        </w:rPr>
        <w:tab/>
      </w:r>
      <w:r w:rsidRPr="0050749D">
        <w:rPr>
          <w:bCs/>
          <w:color w:val="auto"/>
          <w:sz w:val="16"/>
          <w:szCs w:val="16"/>
        </w:rPr>
        <w:t>Las cifras de noviembre de 2023 no contemplan información de la entidad federativa de Guerrero</w:t>
      </w:r>
      <w:r w:rsidRPr="0050749D">
        <w:rPr>
          <w:color w:val="auto"/>
          <w:sz w:val="16"/>
          <w:szCs w:val="16"/>
        </w:rPr>
        <w:t>.</w:t>
      </w:r>
    </w:p>
    <w:p w14:paraId="42B43BCC" w14:textId="10DFEE39" w:rsidR="008658E8" w:rsidRPr="009E6D43" w:rsidRDefault="008658E8" w:rsidP="00DD72ED">
      <w:pPr>
        <w:pStyle w:val="n0"/>
        <w:keepLines w:val="0"/>
        <w:widowControl w:val="0"/>
        <w:tabs>
          <w:tab w:val="left" w:pos="8364"/>
        </w:tabs>
        <w:spacing w:before="0"/>
        <w:ind w:left="1985" w:right="1469" w:hanging="567"/>
        <w:rPr>
          <w:color w:val="auto"/>
          <w:sz w:val="16"/>
          <w:szCs w:val="14"/>
        </w:rPr>
      </w:pPr>
      <w:r w:rsidRPr="009E6D43">
        <w:rPr>
          <w:color w:val="auto"/>
          <w:sz w:val="16"/>
          <w:szCs w:val="14"/>
        </w:rPr>
        <w:t>Fuente:</w:t>
      </w:r>
      <w:r w:rsidRPr="009E6D43">
        <w:rPr>
          <w:color w:val="auto"/>
          <w:sz w:val="16"/>
          <w:szCs w:val="14"/>
        </w:rPr>
        <w:tab/>
      </w:r>
      <w:proofErr w:type="spellStart"/>
      <w:r w:rsidR="00454B2B" w:rsidRPr="009E6D43">
        <w:rPr>
          <w:smallCaps/>
          <w:color w:val="auto"/>
          <w:sz w:val="16"/>
          <w:szCs w:val="14"/>
        </w:rPr>
        <w:t>inegi</w:t>
      </w:r>
      <w:proofErr w:type="spellEnd"/>
      <w:r w:rsidR="00236369" w:rsidRPr="009E6D43">
        <w:rPr>
          <w:color w:val="auto"/>
          <w:sz w:val="16"/>
          <w:szCs w:val="14"/>
        </w:rPr>
        <w:t xml:space="preserve">. </w:t>
      </w:r>
      <w:proofErr w:type="spellStart"/>
      <w:r w:rsidR="00454B2B" w:rsidRPr="009E6D43">
        <w:rPr>
          <w:smallCaps/>
          <w:color w:val="auto"/>
          <w:sz w:val="16"/>
          <w:szCs w:val="16"/>
        </w:rPr>
        <w:t>enoe</w:t>
      </w:r>
      <w:proofErr w:type="spellEnd"/>
      <w:r w:rsidR="005B0711" w:rsidRPr="009E6D43">
        <w:rPr>
          <w:color w:val="auto"/>
          <w:sz w:val="16"/>
          <w:szCs w:val="16"/>
        </w:rPr>
        <w:t xml:space="preserve">. Cifras elaboradas mediante métodos econométricos, </w:t>
      </w:r>
      <w:r w:rsidR="00E7091A" w:rsidRPr="009E6D43">
        <w:rPr>
          <w:color w:val="auto"/>
          <w:sz w:val="16"/>
          <w:szCs w:val="16"/>
        </w:rPr>
        <w:t>2023</w:t>
      </w:r>
      <w:r w:rsidR="00236369" w:rsidRPr="009E6D43">
        <w:rPr>
          <w:color w:val="auto"/>
          <w:sz w:val="16"/>
          <w:szCs w:val="16"/>
        </w:rPr>
        <w:t>.</w:t>
      </w:r>
    </w:p>
    <w:p w14:paraId="635E4067" w14:textId="77777777" w:rsidR="00AE459E" w:rsidRPr="009E6D43" w:rsidRDefault="00AE459E">
      <w:pPr>
        <w:jc w:val="left"/>
        <w:rPr>
          <w:sz w:val="20"/>
        </w:rPr>
      </w:pPr>
      <w:r w:rsidRPr="009E6D43">
        <w:rPr>
          <w:sz w:val="20"/>
        </w:rPr>
        <w:br w:type="page"/>
      </w:r>
    </w:p>
    <w:p w14:paraId="5E7D69D6" w14:textId="5C1D193E" w:rsidR="00E71E9A" w:rsidRPr="009E6D43" w:rsidRDefault="00B2441D" w:rsidP="00AE459E">
      <w:pPr>
        <w:pStyle w:val="n0"/>
        <w:keepNext/>
        <w:widowControl w:val="0"/>
        <w:ind w:left="0" w:right="0" w:firstLine="0"/>
        <w:jc w:val="center"/>
        <w:rPr>
          <w:color w:val="auto"/>
          <w:sz w:val="20"/>
        </w:rPr>
      </w:pPr>
      <w:r w:rsidRPr="009E6D43">
        <w:rPr>
          <w:color w:val="auto"/>
          <w:sz w:val="20"/>
        </w:rPr>
        <w:lastRenderedPageBreak/>
        <w:t xml:space="preserve">Gráfica </w:t>
      </w:r>
      <w:r w:rsidR="002F25C7" w:rsidRPr="009E6D43">
        <w:rPr>
          <w:color w:val="auto"/>
          <w:sz w:val="20"/>
        </w:rPr>
        <w:t>7</w:t>
      </w:r>
    </w:p>
    <w:p w14:paraId="74D876B5" w14:textId="0D6B2F0A" w:rsidR="00AE459E" w:rsidRPr="009E6D43" w:rsidRDefault="00AE459E" w:rsidP="002144D3">
      <w:pPr>
        <w:pStyle w:val="n01"/>
        <w:keepLines w:val="0"/>
        <w:widowControl w:val="0"/>
        <w:spacing w:before="0"/>
        <w:ind w:left="0" w:firstLine="0"/>
        <w:jc w:val="center"/>
        <w:rPr>
          <w:rFonts w:ascii="Arial" w:hAnsi="Arial"/>
          <w:b/>
          <w:smallCaps/>
          <w:color w:val="auto"/>
          <w:sz w:val="22"/>
          <w:szCs w:val="22"/>
        </w:rPr>
      </w:pPr>
      <w:r w:rsidRPr="009E6D43">
        <w:rPr>
          <w:rFonts w:ascii="Arial" w:hAnsi="Arial"/>
          <w:b/>
          <w:smallCaps/>
          <w:color w:val="auto"/>
          <w:sz w:val="22"/>
          <w:szCs w:val="22"/>
        </w:rPr>
        <w:t>Serie desestacionalizada y de tendencia-ciclo</w:t>
      </w:r>
      <w:r w:rsidR="005D0EB1" w:rsidRPr="009E6D43">
        <w:rPr>
          <w:rFonts w:ascii="Arial" w:hAnsi="Arial"/>
          <w:b/>
          <w:bCs/>
          <w:color w:val="auto"/>
          <w:sz w:val="22"/>
          <w:szCs w:val="22"/>
          <w:vertAlign w:val="superscript"/>
        </w:rPr>
        <w:footnoteReference w:id="11"/>
      </w:r>
    </w:p>
    <w:p w14:paraId="0C5220C5" w14:textId="112B94D3" w:rsidR="002144D3" w:rsidRPr="009E6D43" w:rsidRDefault="00AE459E" w:rsidP="002144D3">
      <w:pPr>
        <w:pStyle w:val="n01"/>
        <w:keepLines w:val="0"/>
        <w:widowControl w:val="0"/>
        <w:spacing w:before="0"/>
        <w:ind w:left="0" w:firstLine="0"/>
        <w:jc w:val="center"/>
        <w:rPr>
          <w:rFonts w:ascii="Arial" w:hAnsi="Arial"/>
          <w:b/>
          <w:smallCaps/>
          <w:color w:val="auto"/>
          <w:sz w:val="22"/>
          <w:szCs w:val="22"/>
        </w:rPr>
      </w:pPr>
      <w:r w:rsidRPr="009E6D43">
        <w:rPr>
          <w:rFonts w:ascii="Arial" w:hAnsi="Arial"/>
          <w:b/>
          <w:smallCaps/>
          <w:color w:val="auto"/>
          <w:sz w:val="22"/>
          <w:szCs w:val="22"/>
        </w:rPr>
        <w:t xml:space="preserve">de </w:t>
      </w:r>
      <w:r w:rsidR="006F7E7E" w:rsidRPr="009E6D43">
        <w:rPr>
          <w:rFonts w:ascii="Arial" w:hAnsi="Arial"/>
          <w:b/>
          <w:smallCaps/>
          <w:color w:val="auto"/>
          <w:sz w:val="22"/>
        </w:rPr>
        <w:t xml:space="preserve">tasas complementarias de </w:t>
      </w:r>
      <w:r w:rsidR="002144D3" w:rsidRPr="009E6D43">
        <w:rPr>
          <w:rFonts w:ascii="Arial" w:hAnsi="Arial"/>
          <w:b/>
          <w:smallCaps/>
          <w:color w:val="auto"/>
          <w:sz w:val="22"/>
          <w:szCs w:val="22"/>
        </w:rPr>
        <w:t>ocupación y desocupación</w:t>
      </w:r>
      <w:r w:rsidR="00286E7A" w:rsidRPr="009E6D43">
        <w:rPr>
          <w:rFonts w:ascii="Arial" w:hAnsi="Arial"/>
          <w:b/>
          <w:smallCaps/>
          <w:color w:val="auto"/>
          <w:sz w:val="22"/>
          <w:szCs w:val="22"/>
        </w:rPr>
        <w:t>,</w:t>
      </w:r>
      <w:r w:rsidR="002144D3" w:rsidRPr="009E6D43">
        <w:rPr>
          <w:rFonts w:ascii="Arial" w:hAnsi="Arial"/>
          <w:b/>
          <w:smallCaps/>
          <w:color w:val="auto"/>
          <w:sz w:val="22"/>
          <w:szCs w:val="22"/>
        </w:rPr>
        <w:t xml:space="preserve"> según agregación</w:t>
      </w:r>
    </w:p>
    <w:p w14:paraId="45BFD9DE" w14:textId="293AC4F9" w:rsidR="002144D3" w:rsidRPr="009E6D43" w:rsidRDefault="003671CE" w:rsidP="008C1E80">
      <w:pPr>
        <w:pStyle w:val="n01"/>
        <w:keepLines w:val="0"/>
        <w:widowControl w:val="0"/>
        <w:spacing w:before="0"/>
        <w:ind w:left="0" w:firstLine="0"/>
        <w:jc w:val="center"/>
        <w:rPr>
          <w:rFonts w:ascii="Arial" w:hAnsi="Arial"/>
          <w:bCs/>
          <w:color w:val="auto"/>
          <w:sz w:val="20"/>
          <w:szCs w:val="20"/>
        </w:rPr>
      </w:pPr>
      <w:r w:rsidRPr="009E6D43">
        <w:rPr>
          <w:rFonts w:ascii="Arial" w:hAnsi="Arial"/>
          <w:bCs/>
          <w:color w:val="auto"/>
          <w:sz w:val="20"/>
          <w:szCs w:val="20"/>
        </w:rPr>
        <w:t xml:space="preserve">a </w:t>
      </w:r>
      <w:r w:rsidR="00CD61EC" w:rsidRPr="009E6D43">
        <w:rPr>
          <w:rFonts w:ascii="Arial" w:hAnsi="Arial"/>
          <w:bCs/>
          <w:color w:val="auto"/>
          <w:sz w:val="20"/>
          <w:szCs w:val="20"/>
        </w:rPr>
        <w:t>dic</w:t>
      </w:r>
      <w:r w:rsidR="00531858" w:rsidRPr="009E6D43">
        <w:rPr>
          <w:rFonts w:ascii="Arial" w:hAnsi="Arial"/>
          <w:bCs/>
          <w:color w:val="auto"/>
          <w:sz w:val="20"/>
          <w:szCs w:val="20"/>
        </w:rPr>
        <w:t>iembre</w:t>
      </w:r>
      <w:r w:rsidR="002144D3" w:rsidRPr="009E6D43">
        <w:rPr>
          <w:rFonts w:ascii="Arial" w:hAnsi="Arial"/>
          <w:bCs/>
          <w:color w:val="auto"/>
          <w:sz w:val="20"/>
          <w:szCs w:val="20"/>
        </w:rPr>
        <w:t xml:space="preserve"> de 202</w:t>
      </w:r>
      <w:r w:rsidR="00E42E73" w:rsidRPr="009E6D43">
        <w:rPr>
          <w:rFonts w:ascii="Arial" w:hAnsi="Arial"/>
          <w:bCs/>
          <w:color w:val="auto"/>
          <w:sz w:val="20"/>
          <w:szCs w:val="20"/>
        </w:rPr>
        <w:t>3</w:t>
      </w:r>
      <w:r w:rsidR="00DB736B" w:rsidRPr="0050749D">
        <w:rPr>
          <w:rStyle w:val="Refdenotaalpie"/>
          <w:rFonts w:ascii="Arial" w:hAnsi="Arial"/>
          <w:bCs/>
          <w:color w:val="auto"/>
          <w:sz w:val="20"/>
          <w:szCs w:val="20"/>
        </w:rPr>
        <w:footnoteReference w:id="12"/>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14"/>
        <w:gridCol w:w="146"/>
        <w:gridCol w:w="4914"/>
      </w:tblGrid>
      <w:tr w:rsidR="0035460A" w:rsidRPr="009E6D43" w14:paraId="3A112EBD" w14:textId="77777777" w:rsidTr="000433CC">
        <w:trPr>
          <w:jc w:val="center"/>
        </w:trPr>
        <w:tc>
          <w:tcPr>
            <w:tcW w:w="2372" w:type="pct"/>
            <w:shd w:val="clear" w:color="auto" w:fill="DBE5F1" w:themeFill="accent1" w:themeFillTint="33"/>
          </w:tcPr>
          <w:p w14:paraId="6C15EB3E" w14:textId="77777777" w:rsidR="009648C1" w:rsidRPr="009E6D43" w:rsidRDefault="009648C1" w:rsidP="008D65FA">
            <w:pPr>
              <w:pStyle w:val="n0"/>
              <w:keepLines w:val="0"/>
              <w:widowControl w:val="0"/>
              <w:spacing w:before="60" w:after="60"/>
              <w:ind w:left="-142" w:right="0" w:firstLine="0"/>
              <w:jc w:val="center"/>
              <w:rPr>
                <w:b/>
                <w:color w:val="auto"/>
                <w:sz w:val="22"/>
              </w:rPr>
            </w:pPr>
            <w:r w:rsidRPr="009E6D43">
              <w:rPr>
                <w:b/>
                <w:color w:val="auto"/>
                <w:sz w:val="22"/>
              </w:rPr>
              <w:t>Nacional</w:t>
            </w:r>
          </w:p>
        </w:tc>
        <w:tc>
          <w:tcPr>
            <w:tcW w:w="70" w:type="pct"/>
            <w:shd w:val="clear" w:color="auto" w:fill="auto"/>
          </w:tcPr>
          <w:p w14:paraId="1FEEA24F" w14:textId="77777777" w:rsidR="009648C1" w:rsidRPr="009E6D43" w:rsidRDefault="009648C1" w:rsidP="009648C1">
            <w:pPr>
              <w:pStyle w:val="n0"/>
              <w:keepLines w:val="0"/>
              <w:widowControl w:val="0"/>
              <w:spacing w:before="60" w:after="60"/>
              <w:ind w:left="0" w:right="0" w:firstLine="0"/>
              <w:jc w:val="center"/>
              <w:rPr>
                <w:b/>
                <w:color w:val="auto"/>
                <w:sz w:val="22"/>
              </w:rPr>
            </w:pPr>
          </w:p>
        </w:tc>
        <w:tc>
          <w:tcPr>
            <w:tcW w:w="2558" w:type="pct"/>
            <w:shd w:val="clear" w:color="auto" w:fill="DBE5F1" w:themeFill="accent1" w:themeFillTint="33"/>
          </w:tcPr>
          <w:p w14:paraId="20D5830C" w14:textId="5B47BB5C" w:rsidR="009648C1" w:rsidRPr="009E6D43" w:rsidRDefault="009648C1" w:rsidP="009648C1">
            <w:pPr>
              <w:pStyle w:val="n0"/>
              <w:keepLines w:val="0"/>
              <w:widowControl w:val="0"/>
              <w:spacing w:before="60" w:after="60"/>
              <w:ind w:left="0" w:right="0" w:firstLine="0"/>
              <w:jc w:val="center"/>
              <w:rPr>
                <w:b/>
                <w:color w:val="auto"/>
                <w:sz w:val="22"/>
              </w:rPr>
            </w:pPr>
            <w:r w:rsidRPr="009E6D43">
              <w:rPr>
                <w:b/>
                <w:color w:val="auto"/>
                <w:sz w:val="22"/>
              </w:rPr>
              <w:t xml:space="preserve">Agregado </w:t>
            </w:r>
            <w:r w:rsidR="00B12399" w:rsidRPr="009E6D43">
              <w:rPr>
                <w:b/>
                <w:color w:val="auto"/>
                <w:sz w:val="22"/>
              </w:rPr>
              <w:t>u</w:t>
            </w:r>
            <w:r w:rsidRPr="009E6D43">
              <w:rPr>
                <w:b/>
                <w:color w:val="auto"/>
                <w:sz w:val="22"/>
              </w:rPr>
              <w:t xml:space="preserve">rbano </w:t>
            </w:r>
            <w:r w:rsidR="009F09ED" w:rsidRPr="009E6D43">
              <w:rPr>
                <w:b/>
                <w:color w:val="auto"/>
                <w:sz w:val="22"/>
              </w:rPr>
              <w:t xml:space="preserve">de </w:t>
            </w:r>
            <w:r w:rsidRPr="009E6D43">
              <w:rPr>
                <w:b/>
                <w:color w:val="auto"/>
                <w:sz w:val="22"/>
              </w:rPr>
              <w:t xml:space="preserve">32 </w:t>
            </w:r>
            <w:r w:rsidR="00B12399" w:rsidRPr="009E6D43">
              <w:rPr>
                <w:b/>
                <w:color w:val="auto"/>
                <w:sz w:val="22"/>
              </w:rPr>
              <w:t>c</w:t>
            </w:r>
            <w:r w:rsidRPr="009E6D43">
              <w:rPr>
                <w:b/>
                <w:color w:val="auto"/>
                <w:sz w:val="22"/>
              </w:rPr>
              <w:t>iudades</w:t>
            </w:r>
          </w:p>
        </w:tc>
      </w:tr>
      <w:tr w:rsidR="00875D7C" w:rsidRPr="009E6D43" w14:paraId="2C836C05" w14:textId="77777777" w:rsidTr="000433CC">
        <w:trPr>
          <w:jc w:val="center"/>
        </w:trPr>
        <w:tc>
          <w:tcPr>
            <w:tcW w:w="5000" w:type="pct"/>
            <w:gridSpan w:val="3"/>
          </w:tcPr>
          <w:p w14:paraId="403AD829" w14:textId="78070888" w:rsidR="00875D7C" w:rsidRPr="009E6D43" w:rsidRDefault="00875D7C" w:rsidP="00AE459E">
            <w:pPr>
              <w:pStyle w:val="n0"/>
              <w:keepLines w:val="0"/>
              <w:widowControl w:val="0"/>
              <w:spacing w:before="20"/>
              <w:ind w:left="0" w:right="0" w:firstLine="0"/>
              <w:jc w:val="center"/>
              <w:rPr>
                <w:color w:val="auto"/>
                <w:sz w:val="20"/>
              </w:rPr>
            </w:pPr>
            <w:r w:rsidRPr="009E6D43">
              <w:rPr>
                <w:b/>
                <w:smallCaps/>
                <w:color w:val="auto"/>
                <w:sz w:val="20"/>
              </w:rPr>
              <w:t xml:space="preserve">Tasa de </w:t>
            </w:r>
            <w:r w:rsidR="001E0569" w:rsidRPr="009E6D43">
              <w:rPr>
                <w:b/>
                <w:smallCaps/>
                <w:color w:val="auto"/>
                <w:sz w:val="20"/>
              </w:rPr>
              <w:t>p</w:t>
            </w:r>
            <w:r w:rsidRPr="009E6D43">
              <w:rPr>
                <w:b/>
                <w:smallCaps/>
                <w:color w:val="auto"/>
                <w:sz w:val="20"/>
              </w:rPr>
              <w:t>articipación</w:t>
            </w:r>
            <w:r w:rsidRPr="009E6D43">
              <w:rPr>
                <w:b/>
                <w:smallCaps/>
                <w:color w:val="auto"/>
                <w:sz w:val="18"/>
              </w:rPr>
              <w:br/>
            </w:r>
            <w:r w:rsidRPr="009E6D43">
              <w:rPr>
                <w:color w:val="auto"/>
                <w:sz w:val="18"/>
              </w:rPr>
              <w:t>(</w:t>
            </w:r>
            <w:r w:rsidR="00AE459E" w:rsidRPr="009E6D43">
              <w:rPr>
                <w:color w:val="auto"/>
                <w:sz w:val="18"/>
              </w:rPr>
              <w:t>p</w:t>
            </w:r>
            <w:r w:rsidRPr="009E6D43">
              <w:rPr>
                <w:color w:val="auto"/>
                <w:sz w:val="18"/>
              </w:rPr>
              <w:t>orcentaje de la población de 15</w:t>
            </w:r>
            <w:r w:rsidR="005F2692" w:rsidRPr="009E6D43">
              <w:rPr>
                <w:color w:val="auto"/>
                <w:sz w:val="18"/>
              </w:rPr>
              <w:t xml:space="preserve"> años</w:t>
            </w:r>
            <w:r w:rsidRPr="009E6D43">
              <w:rPr>
                <w:color w:val="auto"/>
                <w:sz w:val="18"/>
              </w:rPr>
              <w:t xml:space="preserve"> y más)</w:t>
            </w:r>
          </w:p>
        </w:tc>
      </w:tr>
      <w:tr w:rsidR="0035460A" w:rsidRPr="009E6D43" w14:paraId="7E15946A" w14:textId="77777777" w:rsidTr="000433CC">
        <w:tblPrEx>
          <w:tblCellMar>
            <w:left w:w="70" w:type="dxa"/>
            <w:right w:w="70" w:type="dxa"/>
          </w:tblCellMar>
        </w:tblPrEx>
        <w:trPr>
          <w:trHeight w:val="3118"/>
          <w:jc w:val="center"/>
        </w:trPr>
        <w:tc>
          <w:tcPr>
            <w:tcW w:w="2372" w:type="pct"/>
          </w:tcPr>
          <w:p w14:paraId="48D3CE76" w14:textId="2369A261" w:rsidR="00FE6CA0" w:rsidRPr="009E6D43" w:rsidRDefault="00300191" w:rsidP="009D08D1">
            <w:pPr>
              <w:pStyle w:val="n0"/>
              <w:keepLines w:val="0"/>
              <w:widowControl w:val="0"/>
              <w:spacing w:before="20"/>
              <w:ind w:left="-57" w:right="0" w:firstLine="0"/>
              <w:jc w:val="center"/>
              <w:rPr>
                <w:color w:val="auto"/>
                <w:sz w:val="20"/>
              </w:rPr>
            </w:pPr>
            <w:r w:rsidRPr="009E6D43">
              <w:rPr>
                <w:noProof/>
              </w:rPr>
              <w:drawing>
                <wp:inline distT="0" distB="0" distL="0" distR="0" wp14:anchorId="26871657" wp14:editId="7AC32FF6">
                  <wp:extent cx="3096000" cy="1904400"/>
                  <wp:effectExtent l="0" t="0" r="9525" b="635"/>
                  <wp:docPr id="370545096" name="Gráfico 1">
                    <a:extLst xmlns:a="http://schemas.openxmlformats.org/drawingml/2006/main">
                      <a:ext uri="{FF2B5EF4-FFF2-40B4-BE49-F238E27FC236}">
                        <a16:creationId xmlns:a16="http://schemas.microsoft.com/office/drawing/2014/main" id="{9D395EE4-BF67-4C61-85FB-8CBA7D3182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70" w:type="pct"/>
          </w:tcPr>
          <w:p w14:paraId="00A46C1F" w14:textId="77777777" w:rsidR="00FE6CA0" w:rsidRPr="009E6D43" w:rsidRDefault="00FE6CA0" w:rsidP="009D08D1">
            <w:pPr>
              <w:pStyle w:val="n0"/>
              <w:keepLines w:val="0"/>
              <w:widowControl w:val="0"/>
              <w:spacing w:before="20"/>
              <w:ind w:left="-57" w:right="0" w:firstLine="0"/>
              <w:jc w:val="center"/>
              <w:rPr>
                <w:color w:val="auto"/>
                <w:sz w:val="20"/>
              </w:rPr>
            </w:pPr>
          </w:p>
        </w:tc>
        <w:tc>
          <w:tcPr>
            <w:tcW w:w="2558" w:type="pct"/>
          </w:tcPr>
          <w:p w14:paraId="3ED4A047" w14:textId="4975D0B5" w:rsidR="00FE6CA0" w:rsidRPr="009E6D43" w:rsidRDefault="0030252E" w:rsidP="009D08D1">
            <w:pPr>
              <w:pStyle w:val="n0"/>
              <w:keepLines w:val="0"/>
              <w:widowControl w:val="0"/>
              <w:spacing w:before="20"/>
              <w:ind w:left="-57" w:right="0" w:firstLine="0"/>
              <w:jc w:val="center"/>
              <w:rPr>
                <w:color w:val="auto"/>
                <w:sz w:val="20"/>
              </w:rPr>
            </w:pPr>
            <w:r w:rsidRPr="009E6D43">
              <w:rPr>
                <w:noProof/>
              </w:rPr>
              <w:drawing>
                <wp:inline distT="0" distB="0" distL="0" distR="0" wp14:anchorId="47D48E9D" wp14:editId="2D13F9A3">
                  <wp:extent cx="2973600" cy="1904400"/>
                  <wp:effectExtent l="0" t="0" r="17780" b="635"/>
                  <wp:docPr id="2018174618" name="Gráfico 1">
                    <a:extLst xmlns:a="http://schemas.openxmlformats.org/drawingml/2006/main">
                      <a:ext uri="{FF2B5EF4-FFF2-40B4-BE49-F238E27FC236}">
                        <a16:creationId xmlns:a16="http://schemas.microsoft.com/office/drawing/2014/main" id="{0A3E0EAC-CA2A-473C-A5E4-187E8EC5C4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875D7C" w:rsidRPr="009E6D43" w14:paraId="15EED6BC" w14:textId="77777777" w:rsidTr="000433CC">
        <w:trPr>
          <w:trHeight w:val="284"/>
          <w:jc w:val="center"/>
        </w:trPr>
        <w:tc>
          <w:tcPr>
            <w:tcW w:w="5000" w:type="pct"/>
            <w:gridSpan w:val="3"/>
          </w:tcPr>
          <w:p w14:paraId="1CEB9CE6" w14:textId="51FDAD12" w:rsidR="00875D7C" w:rsidRPr="009E6D43" w:rsidRDefault="00875D7C" w:rsidP="00AE459E">
            <w:pPr>
              <w:pStyle w:val="n0"/>
              <w:keepNext/>
              <w:widowControl w:val="0"/>
              <w:spacing w:before="20"/>
              <w:ind w:left="0" w:right="0" w:firstLine="0"/>
              <w:jc w:val="center"/>
              <w:rPr>
                <w:color w:val="auto"/>
                <w:sz w:val="20"/>
              </w:rPr>
            </w:pPr>
            <w:r w:rsidRPr="009E6D43">
              <w:rPr>
                <w:b/>
                <w:smallCaps/>
                <w:color w:val="auto"/>
                <w:sz w:val="20"/>
              </w:rPr>
              <w:t xml:space="preserve">Tasa de </w:t>
            </w:r>
            <w:r w:rsidR="001E0569" w:rsidRPr="009E6D43">
              <w:rPr>
                <w:b/>
                <w:smallCaps/>
                <w:color w:val="auto"/>
                <w:sz w:val="20"/>
              </w:rPr>
              <w:t>s</w:t>
            </w:r>
            <w:r w:rsidRPr="009E6D43">
              <w:rPr>
                <w:b/>
                <w:smallCaps/>
                <w:color w:val="auto"/>
                <w:sz w:val="20"/>
              </w:rPr>
              <w:t>ubocupación</w:t>
            </w:r>
            <w:r w:rsidRPr="009E6D43">
              <w:rPr>
                <w:b/>
                <w:smallCaps/>
                <w:color w:val="auto"/>
                <w:sz w:val="22"/>
              </w:rPr>
              <w:br/>
            </w:r>
            <w:r w:rsidRPr="009E6D43">
              <w:rPr>
                <w:color w:val="auto"/>
                <w:sz w:val="18"/>
              </w:rPr>
              <w:t>(</w:t>
            </w:r>
            <w:r w:rsidR="00AE459E" w:rsidRPr="009E6D43">
              <w:rPr>
                <w:color w:val="auto"/>
                <w:sz w:val="18"/>
              </w:rPr>
              <w:t>p</w:t>
            </w:r>
            <w:r w:rsidRPr="009E6D43">
              <w:rPr>
                <w:color w:val="auto"/>
                <w:sz w:val="18"/>
              </w:rPr>
              <w:t xml:space="preserve">orcentaje de la </w:t>
            </w:r>
            <w:proofErr w:type="spellStart"/>
            <w:r w:rsidR="00413D8A" w:rsidRPr="009E6D43">
              <w:rPr>
                <w:smallCaps/>
                <w:color w:val="auto"/>
                <w:sz w:val="18"/>
              </w:rPr>
              <w:t>po</w:t>
            </w:r>
            <w:proofErr w:type="spellEnd"/>
            <w:r w:rsidRPr="009E6D43">
              <w:rPr>
                <w:color w:val="auto"/>
                <w:sz w:val="18"/>
              </w:rPr>
              <w:t>)</w:t>
            </w:r>
          </w:p>
        </w:tc>
      </w:tr>
      <w:tr w:rsidR="0035460A" w:rsidRPr="009E6D43" w14:paraId="2B52B6C1" w14:textId="77777777" w:rsidTr="000433CC">
        <w:tblPrEx>
          <w:tblCellMar>
            <w:left w:w="70" w:type="dxa"/>
            <w:right w:w="70" w:type="dxa"/>
          </w:tblCellMar>
        </w:tblPrEx>
        <w:trPr>
          <w:trHeight w:val="3118"/>
          <w:jc w:val="center"/>
        </w:trPr>
        <w:tc>
          <w:tcPr>
            <w:tcW w:w="2372" w:type="pct"/>
          </w:tcPr>
          <w:p w14:paraId="06B0A019" w14:textId="00ED1DD4" w:rsidR="00FE6CA0" w:rsidRPr="009E6D43" w:rsidRDefault="00300191" w:rsidP="005E6A53">
            <w:pPr>
              <w:pStyle w:val="n0"/>
              <w:keepNext/>
              <w:widowControl w:val="0"/>
              <w:spacing w:before="20"/>
              <w:ind w:left="-57" w:right="0" w:firstLine="0"/>
              <w:jc w:val="center"/>
              <w:rPr>
                <w:color w:val="auto"/>
                <w:sz w:val="20"/>
              </w:rPr>
            </w:pPr>
            <w:r w:rsidRPr="009E6D43">
              <w:rPr>
                <w:noProof/>
              </w:rPr>
              <w:drawing>
                <wp:inline distT="0" distB="0" distL="0" distR="0" wp14:anchorId="239DF0C9" wp14:editId="0AAA142D">
                  <wp:extent cx="3096000" cy="1904400"/>
                  <wp:effectExtent l="0" t="0" r="9525" b="635"/>
                  <wp:docPr id="1011505247"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70" w:type="pct"/>
          </w:tcPr>
          <w:p w14:paraId="40FAA298" w14:textId="77777777" w:rsidR="00FE6CA0" w:rsidRPr="009E6D43" w:rsidRDefault="00FE6CA0" w:rsidP="005E6A53">
            <w:pPr>
              <w:pStyle w:val="n0"/>
              <w:keepNext/>
              <w:widowControl w:val="0"/>
              <w:spacing w:before="20"/>
              <w:ind w:left="-57" w:right="0" w:firstLine="0"/>
              <w:jc w:val="center"/>
              <w:rPr>
                <w:color w:val="auto"/>
                <w:sz w:val="20"/>
              </w:rPr>
            </w:pPr>
          </w:p>
        </w:tc>
        <w:tc>
          <w:tcPr>
            <w:tcW w:w="2558" w:type="pct"/>
          </w:tcPr>
          <w:p w14:paraId="6A3C6DF1" w14:textId="2D4FA0D3" w:rsidR="00FE6CA0" w:rsidRPr="009E6D43" w:rsidRDefault="00300191" w:rsidP="005E6A53">
            <w:pPr>
              <w:pStyle w:val="n0"/>
              <w:keepNext/>
              <w:widowControl w:val="0"/>
              <w:spacing w:before="20"/>
              <w:ind w:left="-57" w:right="0" w:firstLine="0"/>
              <w:jc w:val="center"/>
              <w:rPr>
                <w:color w:val="auto"/>
                <w:sz w:val="20"/>
              </w:rPr>
            </w:pPr>
            <w:r w:rsidRPr="009E6D43">
              <w:rPr>
                <w:noProof/>
              </w:rPr>
              <w:drawing>
                <wp:inline distT="0" distB="0" distL="0" distR="0" wp14:anchorId="62D978CB" wp14:editId="39D4B107">
                  <wp:extent cx="3096000" cy="1904400"/>
                  <wp:effectExtent l="0" t="0" r="9525" b="635"/>
                  <wp:docPr id="419827080" name="Gráfico 1">
                    <a:extLst xmlns:a="http://schemas.openxmlformats.org/drawingml/2006/main">
                      <a:ext uri="{FF2B5EF4-FFF2-40B4-BE49-F238E27FC236}">
                        <a16:creationId xmlns:a16="http://schemas.microsoft.com/office/drawing/2014/main" id="{DC4EE5AC-E4B3-452F-AF39-1715FD8AAA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14:paraId="085E2864" w14:textId="77777777" w:rsidR="008D65FA" w:rsidRPr="009E6D43" w:rsidRDefault="008D65FA">
      <w:r w:rsidRPr="009E6D43">
        <w:br w:type="page"/>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14"/>
        <w:gridCol w:w="132"/>
        <w:gridCol w:w="14"/>
        <w:gridCol w:w="4914"/>
      </w:tblGrid>
      <w:tr w:rsidR="003671CE" w:rsidRPr="009E6D43" w14:paraId="7BF31823" w14:textId="77777777" w:rsidTr="002742D9">
        <w:trPr>
          <w:trHeight w:val="340"/>
          <w:jc w:val="center"/>
        </w:trPr>
        <w:tc>
          <w:tcPr>
            <w:tcW w:w="2480" w:type="pct"/>
            <w:shd w:val="clear" w:color="auto" w:fill="DBE5F1" w:themeFill="accent1" w:themeFillTint="33"/>
            <w:vAlign w:val="center"/>
          </w:tcPr>
          <w:p w14:paraId="78C6A525" w14:textId="1F403290" w:rsidR="003671CE" w:rsidRPr="009E6D43" w:rsidRDefault="00AE459E" w:rsidP="005E6A53">
            <w:pPr>
              <w:pStyle w:val="n0"/>
              <w:keepLines w:val="0"/>
              <w:widowControl w:val="0"/>
              <w:spacing w:before="60"/>
              <w:ind w:left="0" w:right="0" w:firstLine="0"/>
              <w:jc w:val="center"/>
              <w:rPr>
                <w:b/>
                <w:smallCaps/>
                <w:color w:val="auto"/>
                <w:sz w:val="20"/>
              </w:rPr>
            </w:pPr>
            <w:r w:rsidRPr="009E6D43">
              <w:lastRenderedPageBreak/>
              <w:br w:type="page"/>
            </w:r>
            <w:r w:rsidR="003671CE" w:rsidRPr="009E6D43">
              <w:rPr>
                <w:b/>
                <w:color w:val="auto"/>
                <w:sz w:val="22"/>
              </w:rPr>
              <w:t>Nacional</w:t>
            </w:r>
          </w:p>
        </w:tc>
        <w:tc>
          <w:tcPr>
            <w:tcW w:w="66" w:type="pct"/>
            <w:shd w:val="clear" w:color="auto" w:fill="auto"/>
            <w:vAlign w:val="center"/>
          </w:tcPr>
          <w:p w14:paraId="20E85CD6" w14:textId="485ED2B7" w:rsidR="003671CE" w:rsidRPr="009E6D43" w:rsidRDefault="003671CE" w:rsidP="005E6A53">
            <w:pPr>
              <w:pStyle w:val="n0"/>
              <w:keepLines w:val="0"/>
              <w:widowControl w:val="0"/>
              <w:spacing w:before="60"/>
              <w:ind w:left="0" w:right="0" w:firstLine="0"/>
              <w:jc w:val="center"/>
              <w:rPr>
                <w:b/>
                <w:smallCaps/>
                <w:color w:val="auto"/>
                <w:sz w:val="20"/>
              </w:rPr>
            </w:pPr>
          </w:p>
        </w:tc>
        <w:tc>
          <w:tcPr>
            <w:tcW w:w="2454" w:type="pct"/>
            <w:gridSpan w:val="2"/>
            <w:shd w:val="clear" w:color="auto" w:fill="DBE5F1" w:themeFill="accent1" w:themeFillTint="33"/>
            <w:vAlign w:val="center"/>
          </w:tcPr>
          <w:p w14:paraId="2D539E77" w14:textId="5C7898F8" w:rsidR="003671CE" w:rsidRPr="009E6D43" w:rsidRDefault="003671CE" w:rsidP="005E6A53">
            <w:pPr>
              <w:pStyle w:val="n0"/>
              <w:keepLines w:val="0"/>
              <w:widowControl w:val="0"/>
              <w:spacing w:before="60"/>
              <w:ind w:left="0" w:right="0" w:firstLine="0"/>
              <w:jc w:val="center"/>
              <w:rPr>
                <w:b/>
                <w:smallCaps/>
                <w:color w:val="auto"/>
                <w:sz w:val="20"/>
              </w:rPr>
            </w:pPr>
            <w:r w:rsidRPr="009E6D43">
              <w:rPr>
                <w:b/>
                <w:color w:val="auto"/>
                <w:sz w:val="22"/>
              </w:rPr>
              <w:t>Agregado urbano de 32 ciudades</w:t>
            </w:r>
          </w:p>
        </w:tc>
      </w:tr>
      <w:tr w:rsidR="008D65FA" w:rsidRPr="009E6D43" w14:paraId="573DA2CA" w14:textId="77777777" w:rsidTr="002742D9">
        <w:trPr>
          <w:jc w:val="center"/>
        </w:trPr>
        <w:tc>
          <w:tcPr>
            <w:tcW w:w="5000" w:type="pct"/>
            <w:gridSpan w:val="4"/>
          </w:tcPr>
          <w:p w14:paraId="476A61FB" w14:textId="7DBF05C1" w:rsidR="008D65FA" w:rsidRPr="009E6D43" w:rsidRDefault="008D65FA" w:rsidP="007362F6">
            <w:pPr>
              <w:pStyle w:val="n0"/>
              <w:keepLines w:val="0"/>
              <w:widowControl w:val="0"/>
              <w:spacing w:before="60"/>
              <w:ind w:left="0" w:right="0" w:firstLine="0"/>
              <w:jc w:val="center"/>
              <w:rPr>
                <w:color w:val="auto"/>
                <w:sz w:val="20"/>
              </w:rPr>
            </w:pPr>
            <w:r w:rsidRPr="009E6D43">
              <w:rPr>
                <w:rFonts w:eastAsia="Times New Roman"/>
                <w:color w:val="auto"/>
              </w:rPr>
              <w:br w:type="page"/>
            </w:r>
            <w:r w:rsidRPr="009E6D43">
              <w:rPr>
                <w:b/>
                <w:smallCaps/>
                <w:color w:val="auto"/>
                <w:sz w:val="20"/>
              </w:rPr>
              <w:t xml:space="preserve">Tasa de </w:t>
            </w:r>
            <w:r w:rsidR="001E0569" w:rsidRPr="009E6D43">
              <w:rPr>
                <w:b/>
                <w:smallCaps/>
                <w:color w:val="auto"/>
                <w:sz w:val="20"/>
              </w:rPr>
              <w:t>d</w:t>
            </w:r>
            <w:r w:rsidRPr="009E6D43">
              <w:rPr>
                <w:b/>
                <w:smallCaps/>
                <w:color w:val="auto"/>
                <w:sz w:val="20"/>
              </w:rPr>
              <w:t>esocupación</w:t>
            </w:r>
            <w:r w:rsidRPr="009E6D43">
              <w:rPr>
                <w:b/>
                <w:smallCaps/>
                <w:color w:val="auto"/>
                <w:sz w:val="22"/>
              </w:rPr>
              <w:br/>
            </w:r>
            <w:r w:rsidRPr="009E6D43">
              <w:rPr>
                <w:color w:val="auto"/>
                <w:sz w:val="18"/>
              </w:rPr>
              <w:t xml:space="preserve">(porcentaje de la </w:t>
            </w:r>
            <w:r w:rsidRPr="009E6D43">
              <w:rPr>
                <w:smallCaps/>
                <w:color w:val="auto"/>
                <w:sz w:val="18"/>
              </w:rPr>
              <w:t>pea</w:t>
            </w:r>
            <w:r w:rsidRPr="009E6D43">
              <w:rPr>
                <w:color w:val="auto"/>
                <w:sz w:val="18"/>
              </w:rPr>
              <w:t>)</w:t>
            </w:r>
          </w:p>
        </w:tc>
      </w:tr>
      <w:tr w:rsidR="008D65FA" w:rsidRPr="009E6D43" w14:paraId="4C641299" w14:textId="77777777" w:rsidTr="002742D9">
        <w:tblPrEx>
          <w:tblCellMar>
            <w:left w:w="70" w:type="dxa"/>
            <w:right w:w="70" w:type="dxa"/>
          </w:tblCellMar>
        </w:tblPrEx>
        <w:trPr>
          <w:trHeight w:val="3118"/>
          <w:jc w:val="center"/>
        </w:trPr>
        <w:tc>
          <w:tcPr>
            <w:tcW w:w="2480" w:type="pct"/>
          </w:tcPr>
          <w:p w14:paraId="729AF998" w14:textId="2D693D37" w:rsidR="008D65FA" w:rsidRPr="009E6D43" w:rsidRDefault="00300191" w:rsidP="007362F6">
            <w:pPr>
              <w:pStyle w:val="n0"/>
              <w:keepNext/>
              <w:widowControl w:val="0"/>
              <w:spacing w:before="20"/>
              <w:ind w:left="-57" w:right="0" w:firstLine="0"/>
              <w:jc w:val="center"/>
              <w:rPr>
                <w:color w:val="auto"/>
                <w:sz w:val="20"/>
              </w:rPr>
            </w:pPr>
            <w:r w:rsidRPr="009E6D43">
              <w:rPr>
                <w:noProof/>
              </w:rPr>
              <w:drawing>
                <wp:inline distT="0" distB="0" distL="0" distR="0" wp14:anchorId="395E2998" wp14:editId="518C6636">
                  <wp:extent cx="3096000" cy="1904400"/>
                  <wp:effectExtent l="0" t="0" r="9525" b="635"/>
                  <wp:docPr id="805683490"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73" w:type="pct"/>
            <w:gridSpan w:val="2"/>
          </w:tcPr>
          <w:p w14:paraId="3E6630BC" w14:textId="77777777" w:rsidR="008D65FA" w:rsidRPr="009E6D43" w:rsidRDefault="008D65FA" w:rsidP="007362F6">
            <w:pPr>
              <w:pStyle w:val="n0"/>
              <w:keepNext/>
              <w:widowControl w:val="0"/>
              <w:spacing w:before="20"/>
              <w:ind w:left="-57" w:right="0" w:firstLine="0"/>
              <w:jc w:val="center"/>
              <w:rPr>
                <w:color w:val="auto"/>
                <w:sz w:val="20"/>
              </w:rPr>
            </w:pPr>
          </w:p>
        </w:tc>
        <w:tc>
          <w:tcPr>
            <w:tcW w:w="2447" w:type="pct"/>
          </w:tcPr>
          <w:p w14:paraId="71686127" w14:textId="316107CC" w:rsidR="008D65FA" w:rsidRPr="009E6D43" w:rsidRDefault="00300191" w:rsidP="007362F6">
            <w:pPr>
              <w:pStyle w:val="n0"/>
              <w:keepNext/>
              <w:widowControl w:val="0"/>
              <w:spacing w:before="20"/>
              <w:ind w:left="-57" w:right="0" w:firstLine="0"/>
              <w:jc w:val="center"/>
              <w:rPr>
                <w:color w:val="auto"/>
                <w:sz w:val="20"/>
              </w:rPr>
            </w:pPr>
            <w:r w:rsidRPr="009E6D43">
              <w:rPr>
                <w:noProof/>
              </w:rPr>
              <w:drawing>
                <wp:inline distT="0" distB="0" distL="0" distR="0" wp14:anchorId="7274F838" wp14:editId="082926F3">
                  <wp:extent cx="3096000" cy="1904400"/>
                  <wp:effectExtent l="0" t="0" r="9525" b="635"/>
                  <wp:docPr id="79901513" name="Gráfico 1">
                    <a:extLst xmlns:a="http://schemas.openxmlformats.org/drawingml/2006/main">
                      <a:ext uri="{FF2B5EF4-FFF2-40B4-BE49-F238E27FC236}">
                        <a16:creationId xmlns:a16="http://schemas.microsoft.com/office/drawing/2014/main" id="{ED523937-F93F-43D1-A8BC-24C8AEDE5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875D7C" w:rsidRPr="009E6D43" w14:paraId="39B1F4D8" w14:textId="77777777" w:rsidTr="002742D9">
        <w:trPr>
          <w:jc w:val="center"/>
        </w:trPr>
        <w:tc>
          <w:tcPr>
            <w:tcW w:w="5000" w:type="pct"/>
            <w:gridSpan w:val="4"/>
            <w:vAlign w:val="center"/>
          </w:tcPr>
          <w:p w14:paraId="3B1BEF23" w14:textId="4DF32534" w:rsidR="00875D7C" w:rsidRPr="009E6D43" w:rsidRDefault="00875D7C" w:rsidP="005E6A53">
            <w:pPr>
              <w:pStyle w:val="n0"/>
              <w:keepLines w:val="0"/>
              <w:widowControl w:val="0"/>
              <w:spacing w:before="60"/>
              <w:ind w:left="0" w:right="0" w:firstLine="0"/>
              <w:jc w:val="center"/>
              <w:rPr>
                <w:color w:val="auto"/>
                <w:sz w:val="20"/>
              </w:rPr>
            </w:pPr>
            <w:r w:rsidRPr="009E6D43">
              <w:rPr>
                <w:b/>
                <w:smallCaps/>
                <w:color w:val="auto"/>
                <w:sz w:val="20"/>
              </w:rPr>
              <w:t xml:space="preserve">Tasa de </w:t>
            </w:r>
            <w:r w:rsidR="001E0569" w:rsidRPr="009E6D43">
              <w:rPr>
                <w:b/>
                <w:smallCaps/>
                <w:color w:val="auto"/>
                <w:sz w:val="20"/>
              </w:rPr>
              <w:t>i</w:t>
            </w:r>
            <w:r w:rsidRPr="009E6D43">
              <w:rPr>
                <w:b/>
                <w:smallCaps/>
                <w:color w:val="auto"/>
                <w:sz w:val="20"/>
              </w:rPr>
              <w:t xml:space="preserve">nformalidad </w:t>
            </w:r>
            <w:r w:rsidR="001E0569" w:rsidRPr="009E6D43">
              <w:rPr>
                <w:b/>
                <w:smallCaps/>
                <w:color w:val="auto"/>
                <w:sz w:val="20"/>
              </w:rPr>
              <w:t>l</w:t>
            </w:r>
            <w:r w:rsidRPr="009E6D43">
              <w:rPr>
                <w:b/>
                <w:smallCaps/>
                <w:color w:val="auto"/>
                <w:sz w:val="20"/>
              </w:rPr>
              <w:t>aboral 1</w:t>
            </w:r>
            <w:r w:rsidRPr="009E6D43">
              <w:rPr>
                <w:b/>
                <w:smallCaps/>
                <w:color w:val="auto"/>
                <w:sz w:val="18"/>
              </w:rPr>
              <w:br/>
            </w:r>
            <w:r w:rsidRPr="009E6D43">
              <w:rPr>
                <w:color w:val="auto"/>
                <w:sz w:val="18"/>
              </w:rPr>
              <w:t>(</w:t>
            </w:r>
            <w:r w:rsidR="00AE459E" w:rsidRPr="009E6D43">
              <w:rPr>
                <w:color w:val="auto"/>
                <w:sz w:val="18"/>
              </w:rPr>
              <w:t>p</w:t>
            </w:r>
            <w:r w:rsidRPr="009E6D43">
              <w:rPr>
                <w:color w:val="auto"/>
                <w:sz w:val="18"/>
              </w:rPr>
              <w:t xml:space="preserve">orcentaje de la </w:t>
            </w:r>
            <w:proofErr w:type="spellStart"/>
            <w:r w:rsidR="00413D8A" w:rsidRPr="009E6D43">
              <w:rPr>
                <w:smallCaps/>
                <w:color w:val="auto"/>
                <w:sz w:val="18"/>
              </w:rPr>
              <w:t>po</w:t>
            </w:r>
            <w:proofErr w:type="spellEnd"/>
            <w:r w:rsidRPr="009E6D43">
              <w:rPr>
                <w:color w:val="auto"/>
                <w:sz w:val="18"/>
              </w:rPr>
              <w:t>)</w:t>
            </w:r>
          </w:p>
        </w:tc>
      </w:tr>
      <w:tr w:rsidR="0035460A" w:rsidRPr="009E6D43" w14:paraId="0F06F155" w14:textId="77777777" w:rsidTr="002742D9">
        <w:tblPrEx>
          <w:tblCellMar>
            <w:left w:w="70" w:type="dxa"/>
            <w:right w:w="70" w:type="dxa"/>
          </w:tblCellMar>
        </w:tblPrEx>
        <w:trPr>
          <w:trHeight w:hRule="exact" w:val="3062"/>
          <w:jc w:val="center"/>
        </w:trPr>
        <w:tc>
          <w:tcPr>
            <w:tcW w:w="2480" w:type="pct"/>
          </w:tcPr>
          <w:p w14:paraId="7B0AE838" w14:textId="55B8340A" w:rsidR="009F260E" w:rsidRPr="009E6D43" w:rsidRDefault="00300191" w:rsidP="005E6A53">
            <w:pPr>
              <w:pStyle w:val="n0"/>
              <w:keepLines w:val="0"/>
              <w:widowControl w:val="0"/>
              <w:spacing w:before="20"/>
              <w:ind w:left="-57" w:right="0" w:firstLine="0"/>
              <w:jc w:val="center"/>
              <w:rPr>
                <w:color w:val="auto"/>
                <w:sz w:val="20"/>
              </w:rPr>
            </w:pPr>
            <w:r w:rsidRPr="009E6D43">
              <w:rPr>
                <w:noProof/>
              </w:rPr>
              <w:drawing>
                <wp:inline distT="0" distB="0" distL="0" distR="0" wp14:anchorId="16B159F3" wp14:editId="62DF7F8C">
                  <wp:extent cx="3096000" cy="1904400"/>
                  <wp:effectExtent l="0" t="0" r="9525" b="635"/>
                  <wp:docPr id="418155707" name="Gráfico 1">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73" w:type="pct"/>
            <w:gridSpan w:val="2"/>
          </w:tcPr>
          <w:p w14:paraId="6C7B9FCE" w14:textId="77777777" w:rsidR="009F260E" w:rsidRPr="009E6D43" w:rsidRDefault="009F260E" w:rsidP="005E6A53">
            <w:pPr>
              <w:pStyle w:val="n0"/>
              <w:keepLines w:val="0"/>
              <w:widowControl w:val="0"/>
              <w:spacing w:before="20"/>
              <w:ind w:left="-57" w:right="0" w:firstLine="0"/>
              <w:jc w:val="center"/>
              <w:rPr>
                <w:color w:val="auto"/>
                <w:sz w:val="20"/>
              </w:rPr>
            </w:pPr>
          </w:p>
        </w:tc>
        <w:tc>
          <w:tcPr>
            <w:tcW w:w="2447" w:type="pct"/>
          </w:tcPr>
          <w:p w14:paraId="5DAE9E97" w14:textId="0677808E" w:rsidR="009F260E" w:rsidRPr="009E6D43" w:rsidRDefault="00300191" w:rsidP="005E6A53">
            <w:pPr>
              <w:pStyle w:val="n0"/>
              <w:keepLines w:val="0"/>
              <w:widowControl w:val="0"/>
              <w:spacing w:before="20"/>
              <w:ind w:left="-57" w:right="0" w:firstLine="0"/>
              <w:jc w:val="center"/>
              <w:rPr>
                <w:color w:val="auto"/>
                <w:sz w:val="20"/>
              </w:rPr>
            </w:pPr>
            <w:r w:rsidRPr="009E6D43">
              <w:rPr>
                <w:noProof/>
              </w:rPr>
              <w:drawing>
                <wp:inline distT="0" distB="0" distL="0" distR="0" wp14:anchorId="318B8B8C" wp14:editId="618E8406">
                  <wp:extent cx="3096000" cy="1904400"/>
                  <wp:effectExtent l="0" t="0" r="9525" b="635"/>
                  <wp:docPr id="166251392" name="Gráfico 1">
                    <a:extLst xmlns:a="http://schemas.openxmlformats.org/drawingml/2006/main">
                      <a:ext uri="{FF2B5EF4-FFF2-40B4-BE49-F238E27FC236}">
                        <a16:creationId xmlns:a16="http://schemas.microsoft.com/office/drawing/2014/main" id="{3EAA2D96-32E9-4CF1-B4B2-AB06A819339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875D7C" w:rsidRPr="009E6D43" w14:paraId="75FC365B" w14:textId="77777777" w:rsidTr="002742D9">
        <w:trPr>
          <w:jc w:val="center"/>
        </w:trPr>
        <w:tc>
          <w:tcPr>
            <w:tcW w:w="5000" w:type="pct"/>
            <w:gridSpan w:val="4"/>
          </w:tcPr>
          <w:p w14:paraId="186501A1" w14:textId="0E9711F8" w:rsidR="00875D7C" w:rsidRPr="009E6D43" w:rsidRDefault="00875D7C" w:rsidP="005E6A53">
            <w:pPr>
              <w:pStyle w:val="n0"/>
              <w:keepNext/>
              <w:widowControl w:val="0"/>
              <w:spacing w:before="60"/>
              <w:ind w:left="0" w:right="0" w:firstLine="0"/>
              <w:jc w:val="center"/>
              <w:rPr>
                <w:color w:val="auto"/>
                <w:sz w:val="20"/>
              </w:rPr>
            </w:pPr>
            <w:r w:rsidRPr="009E6D43">
              <w:rPr>
                <w:b/>
                <w:smallCaps/>
                <w:color w:val="auto"/>
                <w:sz w:val="20"/>
              </w:rPr>
              <w:t xml:space="preserve">Tasa de </w:t>
            </w:r>
            <w:r w:rsidR="001E0569" w:rsidRPr="009E6D43">
              <w:rPr>
                <w:b/>
                <w:smallCaps/>
                <w:color w:val="auto"/>
                <w:sz w:val="20"/>
              </w:rPr>
              <w:t>o</w:t>
            </w:r>
            <w:r w:rsidRPr="009E6D43">
              <w:rPr>
                <w:b/>
                <w:smallCaps/>
                <w:color w:val="auto"/>
                <w:sz w:val="20"/>
              </w:rPr>
              <w:t xml:space="preserve">cupación en el </w:t>
            </w:r>
            <w:r w:rsidR="001E0569" w:rsidRPr="009E6D43">
              <w:rPr>
                <w:b/>
                <w:smallCaps/>
                <w:color w:val="auto"/>
                <w:sz w:val="20"/>
              </w:rPr>
              <w:t>s</w:t>
            </w:r>
            <w:r w:rsidRPr="009E6D43">
              <w:rPr>
                <w:b/>
                <w:smallCaps/>
                <w:color w:val="auto"/>
                <w:sz w:val="20"/>
              </w:rPr>
              <w:t xml:space="preserve">ector </w:t>
            </w:r>
            <w:r w:rsidR="001E0569" w:rsidRPr="009E6D43">
              <w:rPr>
                <w:b/>
                <w:smallCaps/>
                <w:color w:val="auto"/>
                <w:sz w:val="20"/>
              </w:rPr>
              <w:t>i</w:t>
            </w:r>
            <w:r w:rsidRPr="009E6D43">
              <w:rPr>
                <w:b/>
                <w:smallCaps/>
                <w:color w:val="auto"/>
                <w:sz w:val="20"/>
              </w:rPr>
              <w:t>nformal 1</w:t>
            </w:r>
            <w:r w:rsidRPr="009E6D43">
              <w:rPr>
                <w:color w:val="auto"/>
                <w:sz w:val="16"/>
              </w:rPr>
              <w:br/>
            </w:r>
            <w:r w:rsidRPr="009E6D43">
              <w:rPr>
                <w:color w:val="auto"/>
                <w:sz w:val="18"/>
              </w:rPr>
              <w:t>(</w:t>
            </w:r>
            <w:r w:rsidR="00AE459E" w:rsidRPr="009E6D43">
              <w:rPr>
                <w:color w:val="auto"/>
                <w:sz w:val="18"/>
              </w:rPr>
              <w:t>p</w:t>
            </w:r>
            <w:r w:rsidRPr="009E6D43">
              <w:rPr>
                <w:color w:val="auto"/>
                <w:sz w:val="18"/>
              </w:rPr>
              <w:t xml:space="preserve">orcentaje de la </w:t>
            </w:r>
            <w:proofErr w:type="spellStart"/>
            <w:r w:rsidRPr="009E6D43">
              <w:rPr>
                <w:smallCaps/>
                <w:color w:val="auto"/>
                <w:sz w:val="18"/>
              </w:rPr>
              <w:t>po</w:t>
            </w:r>
            <w:proofErr w:type="spellEnd"/>
            <w:r w:rsidRPr="009E6D43">
              <w:rPr>
                <w:color w:val="auto"/>
                <w:sz w:val="18"/>
              </w:rPr>
              <w:t>)</w:t>
            </w:r>
          </w:p>
        </w:tc>
      </w:tr>
      <w:tr w:rsidR="0035460A" w:rsidRPr="009E6D43" w14:paraId="67150FB2" w14:textId="77777777" w:rsidTr="002742D9">
        <w:tblPrEx>
          <w:tblCellMar>
            <w:left w:w="70" w:type="dxa"/>
            <w:right w:w="70" w:type="dxa"/>
          </w:tblCellMar>
        </w:tblPrEx>
        <w:trPr>
          <w:trHeight w:val="3061"/>
          <w:jc w:val="center"/>
        </w:trPr>
        <w:tc>
          <w:tcPr>
            <w:tcW w:w="2480" w:type="pct"/>
          </w:tcPr>
          <w:p w14:paraId="67BE3C17" w14:textId="6AEC04D9" w:rsidR="00A86E5F" w:rsidRPr="009E6D43" w:rsidRDefault="00300191" w:rsidP="005E6A53">
            <w:pPr>
              <w:pStyle w:val="n0"/>
              <w:keepNext/>
              <w:widowControl w:val="0"/>
              <w:spacing w:before="20"/>
              <w:ind w:left="-57" w:right="0" w:firstLine="0"/>
              <w:jc w:val="center"/>
              <w:rPr>
                <w:color w:val="auto"/>
                <w:sz w:val="20"/>
              </w:rPr>
            </w:pPr>
            <w:r w:rsidRPr="009E6D43">
              <w:rPr>
                <w:noProof/>
              </w:rPr>
              <w:drawing>
                <wp:inline distT="0" distB="0" distL="0" distR="0" wp14:anchorId="7B82F609" wp14:editId="45E5F57D">
                  <wp:extent cx="3096000" cy="1904400"/>
                  <wp:effectExtent l="0" t="0" r="9525" b="635"/>
                  <wp:docPr id="294854405" name="Gráfico 1">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73" w:type="pct"/>
            <w:gridSpan w:val="2"/>
          </w:tcPr>
          <w:p w14:paraId="08142217" w14:textId="77777777" w:rsidR="009F260E" w:rsidRPr="009E6D43" w:rsidRDefault="009F260E" w:rsidP="005E6A53">
            <w:pPr>
              <w:pStyle w:val="n0"/>
              <w:keepNext/>
              <w:widowControl w:val="0"/>
              <w:spacing w:before="20"/>
              <w:ind w:left="-57" w:right="0" w:firstLine="0"/>
              <w:jc w:val="center"/>
              <w:rPr>
                <w:color w:val="auto"/>
                <w:sz w:val="20"/>
              </w:rPr>
            </w:pPr>
          </w:p>
        </w:tc>
        <w:tc>
          <w:tcPr>
            <w:tcW w:w="2447" w:type="pct"/>
          </w:tcPr>
          <w:p w14:paraId="076C76C5" w14:textId="1CF82DF3" w:rsidR="009F260E" w:rsidRPr="009E6D43" w:rsidRDefault="00300191" w:rsidP="005E6A53">
            <w:pPr>
              <w:pStyle w:val="n0"/>
              <w:keepNext/>
              <w:widowControl w:val="0"/>
              <w:spacing w:before="20"/>
              <w:ind w:left="-57" w:right="0" w:firstLine="0"/>
              <w:jc w:val="center"/>
              <w:rPr>
                <w:color w:val="auto"/>
                <w:sz w:val="20"/>
              </w:rPr>
            </w:pPr>
            <w:r w:rsidRPr="009E6D43">
              <w:rPr>
                <w:noProof/>
              </w:rPr>
              <w:drawing>
                <wp:inline distT="0" distB="0" distL="0" distR="0" wp14:anchorId="780784E9" wp14:editId="180AA7B3">
                  <wp:extent cx="3096000" cy="1904400"/>
                  <wp:effectExtent l="0" t="0" r="9525" b="635"/>
                  <wp:docPr id="612309481" name="Gráfico 1">
                    <a:extLst xmlns:a="http://schemas.openxmlformats.org/drawingml/2006/main">
                      <a:ext uri="{FF2B5EF4-FFF2-40B4-BE49-F238E27FC236}">
                        <a16:creationId xmlns:a16="http://schemas.microsoft.com/office/drawing/2014/main" id="{36E7D887-508D-4F89-B414-01A1FD6D4E2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A6140D" w:rsidRPr="009E6D43" w14:paraId="2A1F1985" w14:textId="77777777" w:rsidTr="002742D9">
        <w:tblPrEx>
          <w:tblCellMar>
            <w:left w:w="70" w:type="dxa"/>
            <w:right w:w="70" w:type="dxa"/>
          </w:tblCellMar>
        </w:tblPrEx>
        <w:trPr>
          <w:jc w:val="center"/>
        </w:trPr>
        <w:tc>
          <w:tcPr>
            <w:tcW w:w="5000" w:type="pct"/>
            <w:gridSpan w:val="4"/>
          </w:tcPr>
          <w:p w14:paraId="127192F2" w14:textId="54730080" w:rsidR="00A6140D" w:rsidRPr="009E6D43" w:rsidRDefault="00A6140D" w:rsidP="00E30492">
            <w:pPr>
              <w:pStyle w:val="n0"/>
              <w:keepNext/>
              <w:widowControl w:val="0"/>
              <w:spacing w:before="20"/>
              <w:ind w:left="214" w:right="0" w:hanging="142"/>
              <w:jc w:val="left"/>
              <w:rPr>
                <w:sz w:val="18"/>
              </w:rPr>
            </w:pPr>
            <w:r w:rsidRPr="009E6D43">
              <w:rPr>
                <w:color w:val="auto"/>
                <w:sz w:val="16"/>
              </w:rPr>
              <w:t xml:space="preserve">Fuente: </w:t>
            </w:r>
            <w:proofErr w:type="spellStart"/>
            <w:r w:rsidR="00E66B51" w:rsidRPr="009E6D43">
              <w:rPr>
                <w:smallCaps/>
                <w:color w:val="auto"/>
                <w:sz w:val="16"/>
              </w:rPr>
              <w:t>inegi</w:t>
            </w:r>
            <w:proofErr w:type="spellEnd"/>
            <w:r w:rsidRPr="009E6D43">
              <w:rPr>
                <w:color w:val="auto"/>
                <w:sz w:val="16"/>
              </w:rPr>
              <w:t xml:space="preserve">. </w:t>
            </w:r>
            <w:proofErr w:type="spellStart"/>
            <w:r w:rsidR="00E66B51" w:rsidRPr="009E6D43">
              <w:rPr>
                <w:smallCaps/>
                <w:color w:val="auto"/>
                <w:sz w:val="16"/>
                <w:szCs w:val="16"/>
              </w:rPr>
              <w:t>enoe</w:t>
            </w:r>
            <w:proofErr w:type="spellEnd"/>
            <w:r w:rsidR="00E66B51" w:rsidRPr="009E6D43">
              <w:rPr>
                <w:color w:val="auto"/>
                <w:sz w:val="16"/>
                <w:szCs w:val="16"/>
              </w:rPr>
              <w:t>. Series elaboradas mediante métodos econométricos, 2023.</w:t>
            </w:r>
          </w:p>
        </w:tc>
      </w:tr>
    </w:tbl>
    <w:p w14:paraId="57F6CDE5" w14:textId="77777777" w:rsidR="008D65FA" w:rsidRPr="009E6D43" w:rsidRDefault="008D65FA">
      <w:pPr>
        <w:jc w:val="left"/>
        <w:rPr>
          <w:b/>
          <w:iCs/>
          <w:smallCaps/>
          <w:lang w:val="es-ES"/>
        </w:rPr>
      </w:pPr>
      <w:r w:rsidRPr="009E6D43">
        <w:rPr>
          <w:b/>
          <w:iCs/>
          <w:smallCaps/>
          <w:lang w:val="es-ES"/>
        </w:rPr>
        <w:br w:type="page"/>
      </w:r>
    </w:p>
    <w:p w14:paraId="5D4743D8" w14:textId="24AB3AAD" w:rsidR="0033743E" w:rsidRPr="009E6D43" w:rsidRDefault="009E2F60" w:rsidP="00226B2D">
      <w:pPr>
        <w:pStyle w:val="n0"/>
        <w:keepLines w:val="0"/>
        <w:spacing w:before="480"/>
        <w:ind w:left="0" w:right="0" w:firstLine="0"/>
        <w:jc w:val="left"/>
        <w:rPr>
          <w:b/>
          <w:iCs/>
          <w:smallCaps/>
          <w:color w:val="auto"/>
          <w:lang w:val="es-ES"/>
        </w:rPr>
      </w:pPr>
      <w:r w:rsidRPr="009E6D43">
        <w:rPr>
          <w:b/>
          <w:iCs/>
          <w:smallCaps/>
          <w:color w:val="auto"/>
          <w:lang w:val="es-ES"/>
        </w:rPr>
        <w:lastRenderedPageBreak/>
        <w:t xml:space="preserve">Nota </w:t>
      </w:r>
      <w:r w:rsidR="0033743E" w:rsidRPr="009E6D43">
        <w:rPr>
          <w:b/>
          <w:iCs/>
          <w:smallCaps/>
          <w:color w:val="auto"/>
          <w:lang w:val="es-ES"/>
        </w:rPr>
        <w:t>metodológic</w:t>
      </w:r>
      <w:r w:rsidRPr="009E6D43">
        <w:rPr>
          <w:b/>
          <w:iCs/>
          <w:smallCaps/>
          <w:color w:val="auto"/>
          <w:lang w:val="es-ES"/>
        </w:rPr>
        <w:t>a</w:t>
      </w:r>
      <w:r w:rsidR="00762487" w:rsidRPr="009E6D43">
        <w:rPr>
          <w:b/>
          <w:iCs/>
          <w:smallCaps/>
          <w:color w:val="auto"/>
          <w:lang w:val="es-ES"/>
        </w:rPr>
        <w:t xml:space="preserve"> </w:t>
      </w:r>
    </w:p>
    <w:p w14:paraId="1202924F" w14:textId="77549203" w:rsidR="007E6BA7" w:rsidRPr="009E6D43" w:rsidRDefault="007B5CBF" w:rsidP="00906AD8">
      <w:pPr>
        <w:pStyle w:val="Subttulo"/>
        <w:spacing w:before="240"/>
        <w:jc w:val="both"/>
        <w:rPr>
          <w:b w:val="0"/>
        </w:rPr>
      </w:pPr>
      <w:r w:rsidRPr="009E6D43">
        <w:rPr>
          <w:b w:val="0"/>
        </w:rPr>
        <w:t>A partir de enero de 2023 se retom</w:t>
      </w:r>
      <w:r w:rsidR="004B140C" w:rsidRPr="009E6D43">
        <w:rPr>
          <w:b w:val="0"/>
        </w:rPr>
        <w:t>ó</w:t>
      </w:r>
      <w:r w:rsidRPr="009E6D43">
        <w:rPr>
          <w:b w:val="0"/>
        </w:rPr>
        <w:t xml:space="preserve"> el levantamiento de la </w:t>
      </w:r>
      <w:proofErr w:type="spellStart"/>
      <w:r w:rsidR="00BB4D98" w:rsidRPr="009E6D43">
        <w:rPr>
          <w:b w:val="0"/>
          <w:smallCaps/>
        </w:rPr>
        <w:t>enoe</w:t>
      </w:r>
      <w:proofErr w:type="spellEnd"/>
      <w:r w:rsidR="00D5216C" w:rsidRPr="009E6D43">
        <w:rPr>
          <w:b w:val="0"/>
        </w:rPr>
        <w:t xml:space="preserve">. Lo anterior, </w:t>
      </w:r>
      <w:r w:rsidRPr="009E6D43">
        <w:rPr>
          <w:b w:val="0"/>
        </w:rPr>
        <w:t>bajo una estrategia operativa mixta de entrevistas cara a cara y telefónicas, la incorporación de las preguntas de migración</w:t>
      </w:r>
      <w:r w:rsidR="00FD580A" w:rsidRPr="009E6D43">
        <w:rPr>
          <w:b w:val="0"/>
        </w:rPr>
        <w:t>,</w:t>
      </w:r>
      <w:r w:rsidRPr="009E6D43">
        <w:rPr>
          <w:b w:val="0"/>
        </w:rPr>
        <w:t xml:space="preserve"> lugar de trabajo</w:t>
      </w:r>
      <w:r w:rsidR="000D44B6" w:rsidRPr="009E6D43">
        <w:rPr>
          <w:b w:val="0"/>
        </w:rPr>
        <w:t>,</w:t>
      </w:r>
      <w:r w:rsidRPr="009E6D43">
        <w:rPr>
          <w:b w:val="0"/>
        </w:rPr>
        <w:t xml:space="preserve"> clasificaciones de parentescos, carreras, ocupaciones, actividades económicas y variables geográficas actualizadas. </w:t>
      </w:r>
    </w:p>
    <w:p w14:paraId="07B39634" w14:textId="11BE11BB" w:rsidR="00346C5A" w:rsidRPr="009E6D43" w:rsidRDefault="00346C5A" w:rsidP="00906AD8">
      <w:pPr>
        <w:keepLines/>
        <w:spacing w:before="240"/>
        <w:rPr>
          <w:bCs/>
        </w:rPr>
      </w:pPr>
      <w:r w:rsidRPr="009E6D43">
        <w:rPr>
          <w:bCs/>
        </w:rPr>
        <w:t xml:space="preserve">La </w:t>
      </w:r>
      <w:proofErr w:type="spellStart"/>
      <w:r w:rsidR="00BB4D98" w:rsidRPr="009E6D43">
        <w:rPr>
          <w:bCs/>
          <w:smallCaps/>
        </w:rPr>
        <w:t>enoe</w:t>
      </w:r>
      <w:proofErr w:type="spellEnd"/>
      <w:r w:rsidRPr="009E6D43">
        <w:rPr>
          <w:bCs/>
        </w:rPr>
        <w:t xml:space="preserve"> se aplica a</w:t>
      </w:r>
      <w:r w:rsidR="00853BB5" w:rsidRPr="009E6D43">
        <w:rPr>
          <w:bCs/>
        </w:rPr>
        <w:t xml:space="preserve"> las y los habitantes </w:t>
      </w:r>
      <w:r w:rsidRPr="009E6D43">
        <w:rPr>
          <w:bCs/>
        </w:rPr>
        <w:t xml:space="preserve">del hogar de una vivienda seleccionada por medio de técnicas de muestreo. El esquema de muestreo es probabilístico, </w:t>
      </w:r>
      <w:proofErr w:type="spellStart"/>
      <w:r w:rsidRPr="009E6D43">
        <w:rPr>
          <w:bCs/>
        </w:rPr>
        <w:t>bietápico</w:t>
      </w:r>
      <w:proofErr w:type="spellEnd"/>
      <w:r w:rsidRPr="009E6D43">
        <w:rPr>
          <w:bCs/>
        </w:rPr>
        <w:t>, estratificado y por conglomerados. Además, tiene como unidad última de selección las viviendas particulares y</w:t>
      </w:r>
      <w:r w:rsidR="00B372ED" w:rsidRPr="009E6D43">
        <w:rPr>
          <w:bCs/>
        </w:rPr>
        <w:t>,</w:t>
      </w:r>
      <w:r w:rsidRPr="009E6D43">
        <w:rPr>
          <w:bCs/>
        </w:rPr>
        <w:t xml:space="preserve"> como unidad de observación</w:t>
      </w:r>
      <w:r w:rsidR="00B372ED" w:rsidRPr="009E6D43">
        <w:rPr>
          <w:bCs/>
        </w:rPr>
        <w:t>,</w:t>
      </w:r>
      <w:r w:rsidRPr="009E6D43">
        <w:rPr>
          <w:bCs/>
        </w:rPr>
        <w:t xml:space="preserve"> a las personas.</w:t>
      </w:r>
    </w:p>
    <w:p w14:paraId="0F95F088" w14:textId="0C39E0C7" w:rsidR="00346C5A" w:rsidRPr="009E6D43" w:rsidRDefault="00346C5A" w:rsidP="00906AD8">
      <w:pPr>
        <w:spacing w:before="240"/>
        <w:rPr>
          <w:bCs/>
          <w:lang w:val="es-ES"/>
        </w:rPr>
      </w:pPr>
      <w:r w:rsidRPr="009E6D43">
        <w:rPr>
          <w:bCs/>
          <w:lang w:val="es-ES"/>
        </w:rPr>
        <w:t xml:space="preserve">Una vez que se selecciona una vivienda, se la vuelve a visitar cada tres meses hasta completar un total de cinco visitas. Una vez que el grupo de viviendas completa el ciclo, se sustituye por otro grupo </w:t>
      </w:r>
      <w:r w:rsidR="00D5216C" w:rsidRPr="009E6D43">
        <w:rPr>
          <w:bCs/>
          <w:lang w:val="es-ES"/>
        </w:rPr>
        <w:t>y se vuelve a empezar</w:t>
      </w:r>
      <w:r w:rsidRPr="009E6D43">
        <w:rPr>
          <w:bCs/>
          <w:lang w:val="es-ES"/>
        </w:rPr>
        <w:t xml:space="preserve">. Se denomina </w:t>
      </w:r>
      <w:r w:rsidRPr="009E6D43">
        <w:rPr>
          <w:bCs/>
          <w:i/>
          <w:iCs/>
          <w:lang w:val="es-ES"/>
        </w:rPr>
        <w:t>panel de muestra</w:t>
      </w:r>
      <w:r w:rsidRPr="009E6D43">
        <w:rPr>
          <w:bCs/>
          <w:lang w:val="es-ES"/>
        </w:rPr>
        <w:t xml:space="preserve"> a estos grupos de viviendas</w:t>
      </w:r>
      <w:r w:rsidR="00D5216C" w:rsidRPr="009E6D43">
        <w:rPr>
          <w:bCs/>
          <w:lang w:val="es-ES"/>
        </w:rPr>
        <w:t>,</w:t>
      </w:r>
      <w:r w:rsidRPr="009E6D43">
        <w:rPr>
          <w:bCs/>
          <w:lang w:val="es-ES"/>
        </w:rPr>
        <w:t xml:space="preserve"> según el número de visitas que han tenido. En cada momento</w:t>
      </w:r>
      <w:r w:rsidR="00D5216C" w:rsidRPr="009E6D43">
        <w:rPr>
          <w:bCs/>
          <w:lang w:val="es-ES"/>
        </w:rPr>
        <w:t xml:space="preserve"> hay cinco paneles</w:t>
      </w:r>
      <w:r w:rsidRPr="009E6D43">
        <w:rPr>
          <w:bCs/>
          <w:lang w:val="es-ES"/>
        </w:rPr>
        <w:t xml:space="preserve"> en campo, es decir</w:t>
      </w:r>
      <w:r w:rsidR="00273DB1" w:rsidRPr="009E6D43">
        <w:rPr>
          <w:bCs/>
          <w:lang w:val="es-ES"/>
        </w:rPr>
        <w:t>,</w:t>
      </w:r>
      <w:r w:rsidRPr="009E6D43">
        <w:rPr>
          <w:bCs/>
          <w:lang w:val="es-ES"/>
        </w:rPr>
        <w:t xml:space="preserve"> cinco grupos de viviendas que están por entrar a su primera, segunda, tercera, cuarta o quinta visita. Así, siempre hay una quinta parte de la muestra que es totalmente nueva</w:t>
      </w:r>
      <w:r w:rsidR="00D5216C" w:rsidRPr="009E6D43">
        <w:rPr>
          <w:bCs/>
          <w:lang w:val="es-ES"/>
        </w:rPr>
        <w:t>,</w:t>
      </w:r>
      <w:r w:rsidRPr="009E6D43">
        <w:rPr>
          <w:bCs/>
          <w:lang w:val="es-ES"/>
        </w:rPr>
        <w:t xml:space="preserve"> en tanto que las otras cuatro quintas partes ya </w:t>
      </w:r>
      <w:r w:rsidR="00455E98" w:rsidRPr="009E6D43">
        <w:rPr>
          <w:bCs/>
          <w:lang w:val="es-ES"/>
        </w:rPr>
        <w:t xml:space="preserve">se visitaron </w:t>
      </w:r>
      <w:r w:rsidRPr="009E6D43">
        <w:rPr>
          <w:bCs/>
          <w:lang w:val="es-ES"/>
        </w:rPr>
        <w:t xml:space="preserve">tres meses atrás. Este esquema permite dar a la muestra una combinación de estabilidad y renovación. Asimismo, permite a las y los investigadores especializados rastrear los cambios </w:t>
      </w:r>
      <w:r w:rsidR="00D5216C" w:rsidRPr="009E6D43">
        <w:rPr>
          <w:bCs/>
          <w:lang w:val="es-ES"/>
        </w:rPr>
        <w:t xml:space="preserve">en los </w:t>
      </w:r>
      <w:r w:rsidRPr="009E6D43">
        <w:rPr>
          <w:bCs/>
          <w:lang w:val="es-ES"/>
        </w:rPr>
        <w:t>hogares que permanecieron en la muestra a lo largo del tiempo (estudios longitudinales).</w:t>
      </w:r>
    </w:p>
    <w:p w14:paraId="06394842" w14:textId="1720ED7A" w:rsidR="00346C5A" w:rsidRPr="009E6D43" w:rsidRDefault="00346C5A" w:rsidP="00906AD8">
      <w:pPr>
        <w:pStyle w:val="Subttulo"/>
        <w:spacing w:before="240"/>
        <w:jc w:val="both"/>
        <w:rPr>
          <w:b w:val="0"/>
          <w:lang w:val="es-ES"/>
        </w:rPr>
      </w:pPr>
      <w:r w:rsidRPr="009E6D43">
        <w:rPr>
          <w:b w:val="0"/>
          <w:lang w:val="es-ES"/>
        </w:rPr>
        <w:t>El que cada vivienda tenga una probabilidad de selección se traduce en que tod</w:t>
      </w:r>
      <w:r w:rsidR="00C438F0" w:rsidRPr="009E6D43">
        <w:rPr>
          <w:b w:val="0"/>
          <w:lang w:val="es-ES"/>
        </w:rPr>
        <w:t>as y todos</w:t>
      </w:r>
      <w:r w:rsidR="00DC606D" w:rsidRPr="009E6D43">
        <w:rPr>
          <w:b w:val="0"/>
          <w:lang w:val="es-ES"/>
        </w:rPr>
        <w:t xml:space="preserve"> </w:t>
      </w:r>
      <w:r w:rsidRPr="009E6D43">
        <w:rPr>
          <w:b w:val="0"/>
          <w:lang w:val="es-ES"/>
        </w:rPr>
        <w:t>sus residentes son representativos de otros muchos en su área de residencia (dominio de muestra) tanto en sus características sociodemográficas como socioeconómicas. Los resultados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p>
    <w:p w14:paraId="5E95BDF4" w14:textId="371890C4" w:rsidR="004D75C0" w:rsidRPr="009E6D43" w:rsidRDefault="00C4642B" w:rsidP="00906AD8">
      <w:pPr>
        <w:pStyle w:val="Subttulo"/>
        <w:spacing w:before="240"/>
        <w:jc w:val="both"/>
        <w:rPr>
          <w:b w:val="0"/>
          <w:lang w:val="es-ES"/>
        </w:rPr>
      </w:pPr>
      <w:r w:rsidRPr="009E6D43">
        <w:rPr>
          <w:b w:val="0"/>
          <w:lang w:val="es-ES"/>
        </w:rPr>
        <w:t xml:space="preserve">El diseño muestral de la </w:t>
      </w:r>
      <w:proofErr w:type="spellStart"/>
      <w:r w:rsidR="00E71CB1" w:rsidRPr="009E6D43">
        <w:rPr>
          <w:b w:val="0"/>
          <w:smallCaps/>
          <w:lang w:val="es-ES"/>
        </w:rPr>
        <w:t>enoe</w:t>
      </w:r>
      <w:proofErr w:type="spellEnd"/>
      <w:r w:rsidRPr="009E6D43">
        <w:rPr>
          <w:b w:val="0"/>
          <w:lang w:val="es-ES"/>
        </w:rPr>
        <w:t xml:space="preserve"> es probabilístico</w:t>
      </w:r>
      <w:r w:rsidR="00DC606D" w:rsidRPr="009E6D43">
        <w:rPr>
          <w:b w:val="0"/>
          <w:lang w:val="es-ES"/>
        </w:rPr>
        <w:t>,</w:t>
      </w:r>
      <w:r w:rsidRPr="009E6D43">
        <w:rPr>
          <w:b w:val="0"/>
          <w:lang w:val="es-ES"/>
        </w:rPr>
        <w:t xml:space="preserve"> por lo que sus resultados se generalizan a la población objeto de estudio. A su vez, la muestra se obtiene en dos etapas a partir de un marco de muestreo de conglomerados estratificados.</w:t>
      </w:r>
      <w:r w:rsidR="004D75C0" w:rsidRPr="009E6D43">
        <w:rPr>
          <w:b w:val="0"/>
          <w:lang w:val="es-ES"/>
        </w:rPr>
        <w:t xml:space="preserve"> Los resultados se ajustan a una estimación de población que el </w:t>
      </w:r>
      <w:proofErr w:type="spellStart"/>
      <w:r w:rsidR="00E71CB1" w:rsidRPr="009E6D43">
        <w:rPr>
          <w:b w:val="0"/>
          <w:smallCaps/>
          <w:lang w:val="es-ES"/>
        </w:rPr>
        <w:t>inegi</w:t>
      </w:r>
      <w:proofErr w:type="spellEnd"/>
      <w:r w:rsidR="004D75C0" w:rsidRPr="009E6D43">
        <w:rPr>
          <w:b w:val="0"/>
          <w:lang w:val="es-ES"/>
        </w:rPr>
        <w:t xml:space="preserve"> elabora con base en el Marco de Muestreo de Viviendas.</w:t>
      </w:r>
    </w:p>
    <w:p w14:paraId="31A51966" w14:textId="1CDCA07B" w:rsidR="00455E98" w:rsidRPr="009E6D43" w:rsidRDefault="00317F93" w:rsidP="00906AD8">
      <w:pPr>
        <w:spacing w:before="240"/>
        <w:rPr>
          <w:bCs/>
        </w:rPr>
      </w:pPr>
      <w:r w:rsidRPr="009E6D43">
        <w:rPr>
          <w:bCs/>
        </w:rPr>
        <w:t xml:space="preserve">La encuesta </w:t>
      </w:r>
      <w:r w:rsidR="001E585C" w:rsidRPr="009E6D43">
        <w:rPr>
          <w:bCs/>
        </w:rPr>
        <w:t xml:space="preserve">proporciona información preliminar </w:t>
      </w:r>
      <w:r w:rsidRPr="009E6D43">
        <w:rPr>
          <w:bCs/>
        </w:rPr>
        <w:t>mensual con un tercio de la muestra</w:t>
      </w:r>
      <w:r w:rsidR="001E585C" w:rsidRPr="009E6D43">
        <w:rPr>
          <w:bCs/>
        </w:rPr>
        <w:t xml:space="preserve"> trimestral</w:t>
      </w:r>
      <w:r w:rsidR="00635A45" w:rsidRPr="009E6D43">
        <w:rPr>
          <w:bCs/>
        </w:rPr>
        <w:t>.</w:t>
      </w:r>
      <w:r w:rsidRPr="009E6D43">
        <w:rPr>
          <w:bCs/>
        </w:rPr>
        <w:t xml:space="preserve"> </w:t>
      </w:r>
      <w:r w:rsidR="00635A45" w:rsidRPr="009E6D43">
        <w:rPr>
          <w:bCs/>
        </w:rPr>
        <w:t>E</w:t>
      </w:r>
      <w:r w:rsidRPr="009E6D43">
        <w:rPr>
          <w:bCs/>
        </w:rPr>
        <w:t xml:space="preserve">se tercio permite </w:t>
      </w:r>
      <w:r w:rsidR="001E585C" w:rsidRPr="009E6D43">
        <w:rPr>
          <w:bCs/>
        </w:rPr>
        <w:t xml:space="preserve">presentar </w:t>
      </w:r>
      <w:r w:rsidRPr="009E6D43">
        <w:rPr>
          <w:bCs/>
        </w:rPr>
        <w:t xml:space="preserve">el dato nacional y el </w:t>
      </w:r>
      <w:r w:rsidR="001E585C" w:rsidRPr="009E6D43">
        <w:rPr>
          <w:bCs/>
        </w:rPr>
        <w:t xml:space="preserve">del </w:t>
      </w:r>
      <w:r w:rsidRPr="009E6D43">
        <w:rPr>
          <w:bCs/>
        </w:rPr>
        <w:t>agregado de áreas urbanas</w:t>
      </w:r>
      <w:r w:rsidR="00B565CB" w:rsidRPr="009E6D43">
        <w:rPr>
          <w:bCs/>
        </w:rPr>
        <w:t xml:space="preserve">. De este </w:t>
      </w:r>
      <w:r w:rsidRPr="009E6D43">
        <w:rPr>
          <w:bCs/>
        </w:rPr>
        <w:t>modo</w:t>
      </w:r>
      <w:r w:rsidR="00B565CB" w:rsidRPr="009E6D43">
        <w:rPr>
          <w:bCs/>
        </w:rPr>
        <w:t xml:space="preserve">, </w:t>
      </w:r>
      <w:r w:rsidR="00AE656F" w:rsidRPr="009E6D43">
        <w:rPr>
          <w:bCs/>
        </w:rPr>
        <w:t>los niveles que respectivamente presentan la desocupación y la subocupación</w:t>
      </w:r>
      <w:r w:rsidR="005F79FB" w:rsidRPr="009E6D43">
        <w:rPr>
          <w:bCs/>
        </w:rPr>
        <w:t xml:space="preserve"> </w:t>
      </w:r>
      <w:r w:rsidRPr="009E6D43">
        <w:rPr>
          <w:bCs/>
        </w:rPr>
        <w:t>pued</w:t>
      </w:r>
      <w:r w:rsidR="00B565CB" w:rsidRPr="009E6D43">
        <w:rPr>
          <w:bCs/>
        </w:rPr>
        <w:t>e</w:t>
      </w:r>
      <w:r w:rsidRPr="009E6D43">
        <w:rPr>
          <w:bCs/>
        </w:rPr>
        <w:t>n contrastarse para uno y otro ámbito</w:t>
      </w:r>
      <w:r w:rsidR="002A59CE" w:rsidRPr="009E6D43">
        <w:rPr>
          <w:bCs/>
        </w:rPr>
        <w:t>.</w:t>
      </w:r>
      <w:r w:rsidR="00455E98" w:rsidRPr="009E6D43">
        <w:rPr>
          <w:bCs/>
        </w:rPr>
        <w:t xml:space="preserve"> </w:t>
      </w:r>
    </w:p>
    <w:p w14:paraId="25CC3D24" w14:textId="04AACBFC" w:rsidR="0033743E" w:rsidRPr="009E6D43" w:rsidRDefault="00E47C69" w:rsidP="00CD18FE">
      <w:pPr>
        <w:spacing w:before="240"/>
        <w:rPr>
          <w:bCs/>
          <w:spacing w:val="-2"/>
          <w:lang w:val="es-ES"/>
        </w:rPr>
      </w:pPr>
      <w:r w:rsidRPr="009E6D43">
        <w:rPr>
          <w:bCs/>
          <w:spacing w:val="-2"/>
          <w:lang w:val="es-ES"/>
        </w:rPr>
        <w:t xml:space="preserve">La </w:t>
      </w:r>
      <w:proofErr w:type="spellStart"/>
      <w:r w:rsidR="00E71CB1" w:rsidRPr="009E6D43">
        <w:rPr>
          <w:bCs/>
          <w:smallCaps/>
          <w:spacing w:val="-2"/>
          <w:lang w:val="es-ES"/>
        </w:rPr>
        <w:t>enoe</w:t>
      </w:r>
      <w:proofErr w:type="spellEnd"/>
      <w:r w:rsidRPr="009E6D43">
        <w:rPr>
          <w:bCs/>
          <w:spacing w:val="-2"/>
          <w:lang w:val="es-ES"/>
        </w:rPr>
        <w:t xml:space="preserve"> toma en cuenta los criterios que la Organización para la Cooperación y el Desarrollo Económicos propone dentro del marco general de la Organización Internacional del Trabajo (</w:t>
      </w:r>
      <w:proofErr w:type="spellStart"/>
      <w:r w:rsidR="00E71CB1" w:rsidRPr="009E6D43">
        <w:rPr>
          <w:bCs/>
          <w:smallCaps/>
          <w:spacing w:val="-2"/>
          <w:lang w:val="es-ES"/>
        </w:rPr>
        <w:t>oit</w:t>
      </w:r>
      <w:proofErr w:type="spellEnd"/>
      <w:r w:rsidRPr="009E6D43">
        <w:rPr>
          <w:bCs/>
          <w:spacing w:val="-2"/>
          <w:lang w:val="es-ES"/>
        </w:rPr>
        <w:t xml:space="preserve">). </w:t>
      </w:r>
      <w:r w:rsidR="008A2526" w:rsidRPr="009E6D43">
        <w:rPr>
          <w:bCs/>
          <w:spacing w:val="-2"/>
          <w:lang w:val="es-ES"/>
        </w:rPr>
        <w:t>Esto</w:t>
      </w:r>
      <w:r w:rsidR="00F27646" w:rsidRPr="009E6D43">
        <w:rPr>
          <w:bCs/>
          <w:spacing w:val="-2"/>
          <w:lang w:val="es-ES"/>
        </w:rPr>
        <w:t xml:space="preserve"> </w:t>
      </w:r>
      <w:r w:rsidRPr="009E6D43">
        <w:rPr>
          <w:bCs/>
          <w:spacing w:val="-2"/>
          <w:lang w:val="es-ES"/>
        </w:rPr>
        <w:t xml:space="preserve">permite delimitar con mayor claridad a la población ocupada y a la desocupada, además de facilitar la comparabilidad internacional de las cifras de ocupación y empleo. La </w:t>
      </w:r>
      <w:proofErr w:type="spellStart"/>
      <w:r w:rsidR="00E71CB1" w:rsidRPr="009E6D43">
        <w:rPr>
          <w:bCs/>
          <w:smallCaps/>
          <w:spacing w:val="-2"/>
          <w:lang w:val="es-ES"/>
        </w:rPr>
        <w:t>enoe</w:t>
      </w:r>
      <w:proofErr w:type="spellEnd"/>
      <w:r w:rsidRPr="009E6D43">
        <w:rPr>
          <w:bCs/>
          <w:spacing w:val="-2"/>
          <w:lang w:val="es-ES"/>
        </w:rPr>
        <w:t xml:space="preserve"> incorpora el marco conceptual de la </w:t>
      </w:r>
      <w:proofErr w:type="spellStart"/>
      <w:r w:rsidR="00E71CB1" w:rsidRPr="009E6D43">
        <w:rPr>
          <w:bCs/>
          <w:smallCaps/>
          <w:spacing w:val="-2"/>
          <w:lang w:val="es-ES"/>
        </w:rPr>
        <w:t>oit</w:t>
      </w:r>
      <w:proofErr w:type="spellEnd"/>
      <w:r w:rsidRPr="009E6D43">
        <w:rPr>
          <w:bCs/>
          <w:spacing w:val="-2"/>
          <w:lang w:val="es-ES"/>
        </w:rPr>
        <w:t xml:space="preserve"> y las recomendaciones del Grupo de Delhi relativas a la </w:t>
      </w:r>
      <w:r w:rsidRPr="009E6D43">
        <w:rPr>
          <w:bCs/>
          <w:spacing w:val="-2"/>
          <w:lang w:val="es-ES"/>
        </w:rPr>
        <w:lastRenderedPageBreak/>
        <w:t xml:space="preserve">medición de la ocupación en el </w:t>
      </w:r>
      <w:r w:rsidR="0031242B" w:rsidRPr="009E6D43">
        <w:rPr>
          <w:bCs/>
          <w:spacing w:val="-2"/>
          <w:lang w:val="es-ES"/>
        </w:rPr>
        <w:t>s</w:t>
      </w:r>
      <w:r w:rsidRPr="009E6D43">
        <w:rPr>
          <w:bCs/>
          <w:spacing w:val="-2"/>
          <w:lang w:val="es-ES"/>
        </w:rPr>
        <w:t xml:space="preserve">ector </w:t>
      </w:r>
      <w:r w:rsidR="0031242B" w:rsidRPr="009E6D43">
        <w:rPr>
          <w:bCs/>
          <w:spacing w:val="-2"/>
          <w:lang w:val="es-ES"/>
        </w:rPr>
        <w:t>i</w:t>
      </w:r>
      <w:r w:rsidRPr="009E6D43">
        <w:rPr>
          <w:bCs/>
          <w:spacing w:val="-2"/>
          <w:lang w:val="es-ES"/>
        </w:rPr>
        <w:t>nformal. La encuesta está diseñada para identificar los conceptos de desocupación, subocupación e informalidad</w:t>
      </w:r>
      <w:r w:rsidR="00D5216C" w:rsidRPr="009E6D43">
        <w:rPr>
          <w:bCs/>
          <w:spacing w:val="-2"/>
          <w:lang w:val="es-ES"/>
        </w:rPr>
        <w:t>,</w:t>
      </w:r>
      <w:r w:rsidRPr="009E6D43">
        <w:rPr>
          <w:bCs/>
          <w:spacing w:val="-2"/>
          <w:lang w:val="es-ES"/>
        </w:rPr>
        <w:t xml:space="preserve"> sin confundirlos. También toma en cuenta</w:t>
      </w:r>
      <w:r w:rsidR="00FB49B7" w:rsidRPr="009E6D43">
        <w:rPr>
          <w:bCs/>
          <w:spacing w:val="-2"/>
          <w:lang w:val="es-ES"/>
        </w:rPr>
        <w:t>,</w:t>
      </w:r>
      <w:r w:rsidRPr="009E6D43">
        <w:rPr>
          <w:bCs/>
          <w:spacing w:val="-2"/>
          <w:lang w:val="es-ES"/>
        </w:rPr>
        <w:t xml:space="preserve"> y da un lugar específico</w:t>
      </w:r>
      <w:r w:rsidR="00FB49B7" w:rsidRPr="009E6D43">
        <w:rPr>
          <w:bCs/>
          <w:spacing w:val="-2"/>
          <w:lang w:val="es-ES"/>
        </w:rPr>
        <w:t>,</w:t>
      </w:r>
      <w:r w:rsidRPr="009E6D43">
        <w:rPr>
          <w:bCs/>
          <w:spacing w:val="-2"/>
          <w:lang w:val="es-ES"/>
        </w:rPr>
        <w:t xml:space="preserve"> a </w:t>
      </w:r>
      <w:r w:rsidR="00455E98" w:rsidRPr="009E6D43">
        <w:rPr>
          <w:bCs/>
          <w:spacing w:val="-2"/>
          <w:lang w:val="es-ES"/>
        </w:rPr>
        <w:t xml:space="preserve">quienes </w:t>
      </w:r>
      <w:r w:rsidRPr="009E6D43">
        <w:rPr>
          <w:bCs/>
          <w:spacing w:val="-2"/>
          <w:lang w:val="es-ES"/>
        </w:rPr>
        <w:t>no presionan activamente en el mercado laboral porque</w:t>
      </w:r>
      <w:r w:rsidR="00455E98" w:rsidRPr="009E6D43">
        <w:rPr>
          <w:bCs/>
          <w:spacing w:val="-2"/>
          <w:lang w:val="es-ES"/>
        </w:rPr>
        <w:t xml:space="preserve"> </w:t>
      </w:r>
      <w:r w:rsidRPr="009E6D43">
        <w:rPr>
          <w:bCs/>
          <w:spacing w:val="-2"/>
          <w:lang w:val="es-ES"/>
        </w:rPr>
        <w:t xml:space="preserve">consideran que ya no tienen oportunidad alguna de competir en </w:t>
      </w:r>
      <w:r w:rsidR="00FC6CCB" w:rsidRPr="009E6D43">
        <w:rPr>
          <w:bCs/>
          <w:spacing w:val="-2"/>
          <w:lang w:val="es-ES"/>
        </w:rPr>
        <w:t>este</w:t>
      </w:r>
      <w:r w:rsidRPr="009E6D43">
        <w:rPr>
          <w:bCs/>
          <w:spacing w:val="-2"/>
          <w:lang w:val="es-ES"/>
        </w:rPr>
        <w:t xml:space="preserve"> (</w:t>
      </w:r>
      <w:r w:rsidR="00F20C53" w:rsidRPr="009E6D43">
        <w:rPr>
          <w:bCs/>
          <w:spacing w:val="-2"/>
          <w:lang w:val="es-ES"/>
        </w:rPr>
        <w:t xml:space="preserve">personas </w:t>
      </w:r>
      <w:r w:rsidRPr="009E6D43">
        <w:rPr>
          <w:bCs/>
          <w:spacing w:val="-2"/>
          <w:lang w:val="es-ES"/>
        </w:rPr>
        <w:t>que por dedicarse al hogar no han acumulado experiencia laboral, personas maduras y de la tercera edad, etc.).</w:t>
      </w:r>
    </w:p>
    <w:p w14:paraId="1C8C7506" w14:textId="32012ACE" w:rsidR="00E47C69" w:rsidRPr="009E6D43" w:rsidRDefault="00E47C69" w:rsidP="00CD18FE">
      <w:pPr>
        <w:spacing w:before="240"/>
        <w:rPr>
          <w:snapToGrid w:val="0"/>
          <w:szCs w:val="20"/>
        </w:rPr>
      </w:pPr>
      <w:r w:rsidRPr="009E6D43">
        <w:rPr>
          <w:snapToGrid w:val="0"/>
          <w:szCs w:val="20"/>
        </w:rPr>
        <w:t xml:space="preserve">La mayoría de las series económicas se ve afectada por factores estacionales: efectos periódicos que se repiten cada año y cuyas causas son ajenas a la naturaleza económica de las series. Estas pueden ser: las festividades, </w:t>
      </w:r>
      <w:r w:rsidR="000D4EAD" w:rsidRPr="009E6D43">
        <w:t>meses más largos que otros</w:t>
      </w:r>
      <w:r w:rsidRPr="009E6D43">
        <w:rPr>
          <w:snapToGrid w:val="0"/>
          <w:szCs w:val="20"/>
        </w:rPr>
        <w:t>, las vacaciones escolares, el clima y otras fluctuaciones, como la elevada producción de juguetes en los meses previos a la Navidad.</w:t>
      </w:r>
    </w:p>
    <w:p w14:paraId="53722944" w14:textId="7CC49CE0" w:rsidR="00E47C69" w:rsidRPr="009E6D43" w:rsidRDefault="00E47C69" w:rsidP="00CD18FE">
      <w:pPr>
        <w:spacing w:before="240"/>
        <w:rPr>
          <w:snapToGrid w:val="0"/>
          <w:szCs w:val="20"/>
        </w:rPr>
      </w:pPr>
      <w:r w:rsidRPr="009E6D43">
        <w:rPr>
          <w:snapToGrid w:val="0"/>
          <w:szCs w:val="20"/>
        </w:rPr>
        <w:t xml:space="preserve">La desestacionalización o ajuste estacional de series económicas consiste en remover estas influencias </w:t>
      </w:r>
      <w:proofErr w:type="spellStart"/>
      <w:r w:rsidRPr="009E6D43">
        <w:rPr>
          <w:snapToGrid w:val="0"/>
          <w:szCs w:val="20"/>
        </w:rPr>
        <w:t>intra-anuales</w:t>
      </w:r>
      <w:proofErr w:type="spellEnd"/>
      <w:r w:rsidRPr="009E6D43">
        <w:rPr>
          <w:snapToGrid w:val="0"/>
          <w:szCs w:val="20"/>
        </w:rPr>
        <w:t xml:space="preserve"> periódicas: su presencia dificulta diagnosticar y describir el comportamiento de una serie económica, pues no permite comparar adecuadamente un determinado </w:t>
      </w:r>
      <w:r w:rsidR="00A410EC" w:rsidRPr="009E6D43">
        <w:rPr>
          <w:snapToGrid w:val="0"/>
          <w:szCs w:val="20"/>
        </w:rPr>
        <w:t xml:space="preserve">mes </w:t>
      </w:r>
      <w:r w:rsidRPr="009E6D43">
        <w:rPr>
          <w:snapToGrid w:val="0"/>
          <w:szCs w:val="20"/>
        </w:rPr>
        <w:t>con el inmediato anterior.</w:t>
      </w:r>
      <w:r w:rsidR="005F46CE" w:rsidRPr="009E6D43">
        <w:rPr>
          <w:snapToGrid w:val="0"/>
          <w:szCs w:val="20"/>
        </w:rPr>
        <w:t xml:space="preserve"> </w:t>
      </w:r>
      <w:r w:rsidRPr="009E6D43">
        <w:rPr>
          <w:snapToGrid w:val="0"/>
          <w:szCs w:val="20"/>
        </w:rPr>
        <w:t xml:space="preserve">Analizar la serie desestacionalizada ayuda a realizar un mejor diagnóstico y pronóstico de su evolución, </w:t>
      </w:r>
      <w:r w:rsidR="000D4EAD" w:rsidRPr="009E6D43">
        <w:rPr>
          <w:snapToGrid w:val="0"/>
          <w:szCs w:val="20"/>
        </w:rPr>
        <w:t>pues</w:t>
      </w:r>
      <w:r w:rsidR="003E7D53" w:rsidRPr="009E6D43">
        <w:rPr>
          <w:snapToGrid w:val="0"/>
          <w:szCs w:val="20"/>
        </w:rPr>
        <w:t>,</w:t>
      </w:r>
      <w:r w:rsidR="00A410EC" w:rsidRPr="009E6D43">
        <w:rPr>
          <w:snapToGrid w:val="0"/>
          <w:szCs w:val="20"/>
        </w:rPr>
        <w:t xml:space="preserve"> </w:t>
      </w:r>
      <w:r w:rsidRPr="009E6D43">
        <w:rPr>
          <w:snapToGrid w:val="0"/>
          <w:szCs w:val="20"/>
        </w:rPr>
        <w:t xml:space="preserve">en el corto plazo, identifica la posible dirección de los movimientos </w:t>
      </w:r>
      <w:r w:rsidR="00A410EC" w:rsidRPr="009E6D43">
        <w:rPr>
          <w:snapToGrid w:val="0"/>
          <w:szCs w:val="20"/>
        </w:rPr>
        <w:t xml:space="preserve">de </w:t>
      </w:r>
      <w:r w:rsidRPr="009E6D43">
        <w:rPr>
          <w:snapToGrid w:val="0"/>
          <w:szCs w:val="20"/>
        </w:rPr>
        <w:t>la variable en cuestión.</w:t>
      </w:r>
    </w:p>
    <w:p w14:paraId="5DA5F77C" w14:textId="11C5FDF0" w:rsidR="00E47C69" w:rsidRPr="009E6D43" w:rsidRDefault="00E47C69" w:rsidP="00CD18FE">
      <w:pPr>
        <w:spacing w:before="240"/>
        <w:rPr>
          <w:snapToGrid w:val="0"/>
          <w:szCs w:val="20"/>
        </w:rPr>
      </w:pPr>
      <w:r w:rsidRPr="009E6D43">
        <w:rPr>
          <w:snapToGrid w:val="0"/>
          <w:szCs w:val="20"/>
        </w:rPr>
        <w:t>Las series originales se ajustan estacionalmente mediante el paquete estadístico X</w:t>
      </w:r>
      <w:r w:rsidR="00E2107E" w:rsidRPr="009E6D43">
        <w:rPr>
          <w:snapToGrid w:val="0"/>
          <w:szCs w:val="20"/>
        </w:rPr>
        <w:noBreakHyphen/>
      </w:r>
      <w:r w:rsidR="009C37B9" w:rsidRPr="009E6D43">
        <w:rPr>
          <w:snapToGrid w:val="0"/>
          <w:szCs w:val="20"/>
        </w:rPr>
        <w:t>13ARIMA</w:t>
      </w:r>
      <w:r w:rsidR="009C37B9" w:rsidRPr="009E6D43">
        <w:rPr>
          <w:snapToGrid w:val="0"/>
          <w:szCs w:val="20"/>
        </w:rPr>
        <w:noBreakHyphen/>
      </w:r>
      <w:r w:rsidRPr="009E6D43">
        <w:rPr>
          <w:snapToGrid w:val="0"/>
          <w:szCs w:val="20"/>
        </w:rPr>
        <w:t>SEATS. Para conocer la metodología</w:t>
      </w:r>
      <w:r w:rsidR="00135157" w:rsidRPr="009E6D43">
        <w:rPr>
          <w:snapToGrid w:val="0"/>
          <w:szCs w:val="20"/>
        </w:rPr>
        <w:t>,</w:t>
      </w:r>
      <w:r w:rsidRPr="009E6D43">
        <w:rPr>
          <w:snapToGrid w:val="0"/>
          <w:szCs w:val="20"/>
        </w:rPr>
        <w:t xml:space="preserve"> consúltese la siguiente liga:</w:t>
      </w:r>
    </w:p>
    <w:p w14:paraId="43142B76" w14:textId="77777777" w:rsidR="00E47C69" w:rsidRPr="009E6D43" w:rsidRDefault="00F226D9" w:rsidP="007B5CBF">
      <w:pPr>
        <w:rPr>
          <w:snapToGrid w:val="0"/>
          <w:szCs w:val="20"/>
        </w:rPr>
      </w:pPr>
      <w:hyperlink r:id="rId43" w:history="1">
        <w:r w:rsidR="00E47C69" w:rsidRPr="009E6D43">
          <w:rPr>
            <w:rStyle w:val="Hipervnculo"/>
            <w:snapToGrid w:val="0"/>
            <w:szCs w:val="20"/>
          </w:rPr>
          <w:t>https://www.inegi.org.mx/app/biblioteca/ficha.html?upc=702825099060</w:t>
        </w:r>
      </w:hyperlink>
    </w:p>
    <w:p w14:paraId="77D4186B" w14:textId="3E7767DE" w:rsidR="00C4642B" w:rsidRPr="009E6D43" w:rsidRDefault="005E6A53" w:rsidP="005E6A53">
      <w:pPr>
        <w:keepLines/>
        <w:spacing w:before="240"/>
      </w:pPr>
      <w:r w:rsidRPr="009E6D43">
        <w:rPr>
          <w:noProof/>
          <w:sz w:val="18"/>
          <w:szCs w:val="18"/>
          <w:lang w:val="es-MX" w:eastAsia="es-MX"/>
        </w:rPr>
        <w:drawing>
          <wp:anchor distT="0" distB="0" distL="36195" distR="36195" simplePos="0" relativeHeight="251658240" behindDoc="1" locked="0" layoutInCell="1" allowOverlap="1" wp14:anchorId="2AE41A3B" wp14:editId="4F17B953">
            <wp:simplePos x="0" y="0"/>
            <wp:positionH relativeFrom="margin">
              <wp:posOffset>4617085</wp:posOffset>
            </wp:positionH>
            <wp:positionV relativeFrom="paragraph">
              <wp:posOffset>696107</wp:posOffset>
            </wp:positionV>
            <wp:extent cx="144000" cy="144000"/>
            <wp:effectExtent l="0" t="0" r="8890" b="8890"/>
            <wp:wrapTight wrapText="bothSides">
              <wp:wrapPolygon edited="0">
                <wp:start x="0" y="0"/>
                <wp:lineTo x="0" y="20071"/>
                <wp:lineTo x="17204" y="20071"/>
                <wp:lineTo x="20071" y="17204"/>
                <wp:lineTo x="20071" y="5735"/>
                <wp:lineTo x="17204"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2917" t="-2917" r="-2917" b="-2917"/>
                    <a:stretch/>
                  </pic:blipFill>
                  <pic:spPr bwMode="auto">
                    <a:xfrm>
                      <a:off x="0" y="0"/>
                      <a:ext cx="144000" cy="14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rsidRPr="009E6D43">
        <w:t>L</w:t>
      </w:r>
      <w:r w:rsidR="00C4642B" w:rsidRPr="009E6D43">
        <w:t>as especificaciones de los modelos utilizados para realizar el ajuste estacional están disponibles en el Banco de Información Económica</w:t>
      </w:r>
      <w:r w:rsidR="00CD61EC" w:rsidRPr="009E6D43">
        <w:t xml:space="preserve"> </w:t>
      </w:r>
      <w:r w:rsidR="00CD61EC" w:rsidRPr="009E6D43">
        <w:rPr>
          <w:smallCaps/>
        </w:rPr>
        <w:t>(</w:t>
      </w:r>
      <w:proofErr w:type="spellStart"/>
      <w:r w:rsidR="00CD61EC" w:rsidRPr="009E6D43">
        <w:rPr>
          <w:smallCaps/>
        </w:rPr>
        <w:t>bie</w:t>
      </w:r>
      <w:proofErr w:type="spellEnd"/>
      <w:r w:rsidR="00CD61EC" w:rsidRPr="009E6D43">
        <w:rPr>
          <w:smallCaps/>
        </w:rPr>
        <w:t>)</w:t>
      </w:r>
      <w:r w:rsidR="00870355" w:rsidRPr="009E6D43">
        <w:t>.</w:t>
      </w:r>
      <w:r w:rsidR="00C4642B" w:rsidRPr="009E6D43">
        <w:t xml:space="preserve"> </w:t>
      </w:r>
      <w:r w:rsidR="00870355" w:rsidRPr="009E6D43">
        <w:t>S</w:t>
      </w:r>
      <w:r w:rsidR="00A410EC" w:rsidRPr="009E6D43">
        <w:t>elecci</w:t>
      </w:r>
      <w:r w:rsidR="006D4242" w:rsidRPr="009E6D43">
        <w:t>o</w:t>
      </w:r>
      <w:r w:rsidR="00A410EC" w:rsidRPr="009E6D43">
        <w:t xml:space="preserve">ne </w:t>
      </w:r>
      <w:r w:rsidR="004A655B" w:rsidRPr="009E6D43">
        <w:t xml:space="preserve">«Indicadores económicos de coyuntura, Tasas de ocupación, desocupación y subocupación (resultados mensuales de la </w:t>
      </w:r>
      <w:proofErr w:type="spellStart"/>
      <w:r w:rsidR="00E71CB1" w:rsidRPr="009E6D43">
        <w:rPr>
          <w:smallCaps/>
        </w:rPr>
        <w:t>enoe</w:t>
      </w:r>
      <w:proofErr w:type="spellEnd"/>
      <w:r w:rsidR="004A655B" w:rsidRPr="009E6D43">
        <w:t>, 15 años y más)» y vaya al</w:t>
      </w:r>
      <w:r w:rsidR="00C4642B" w:rsidRPr="009E6D43">
        <w:t xml:space="preserve"> icono de información</w:t>
      </w:r>
      <w:r w:rsidRPr="009E6D43">
        <w:t xml:space="preserve"> </w:t>
      </w:r>
      <w:r w:rsidR="00C4642B" w:rsidRPr="009E6D43">
        <w:t xml:space="preserve">correspondiente a las </w:t>
      </w:r>
      <w:r w:rsidR="000D4EAD" w:rsidRPr="009E6D43">
        <w:t>«</w:t>
      </w:r>
      <w:r w:rsidR="00C4642B" w:rsidRPr="009E6D43">
        <w:t>series desestacionalizadas y de tendencia</w:t>
      </w:r>
      <w:r w:rsidR="00D00726" w:rsidRPr="009E6D43">
        <w:noBreakHyphen/>
      </w:r>
      <w:r w:rsidR="00C4642B" w:rsidRPr="009E6D43">
        <w:t>ciclo</w:t>
      </w:r>
      <w:r w:rsidR="000D4EAD" w:rsidRPr="009E6D43">
        <w:t>»</w:t>
      </w:r>
      <w:r w:rsidR="00C4642B" w:rsidRPr="009E6D43">
        <w:t>.</w:t>
      </w:r>
      <w:r w:rsidR="00D91E41" w:rsidRPr="009E6D43">
        <w:t xml:space="preserve"> </w:t>
      </w:r>
    </w:p>
    <w:p w14:paraId="1EB9B6D0" w14:textId="0092431D" w:rsidR="0033743E" w:rsidRPr="009E6D43" w:rsidRDefault="00A901A8" w:rsidP="007B5CBF">
      <w:pPr>
        <w:spacing w:before="240"/>
        <w:rPr>
          <w:lang w:val="es-ES"/>
        </w:rPr>
      </w:pPr>
      <w:r w:rsidRPr="009E6D43">
        <w:rPr>
          <w:lang w:val="es-ES"/>
        </w:rPr>
        <w:t>M</w:t>
      </w:r>
      <w:r w:rsidR="00996ECD" w:rsidRPr="009E6D43">
        <w:rPr>
          <w:lang w:val="es-ES"/>
        </w:rPr>
        <w:t xml:space="preserve">ediante </w:t>
      </w:r>
      <w:r w:rsidR="009F4F01" w:rsidRPr="009E6D43">
        <w:rPr>
          <w:lang w:val="es-ES"/>
        </w:rPr>
        <w:t xml:space="preserve">la </w:t>
      </w:r>
      <w:proofErr w:type="spellStart"/>
      <w:r w:rsidR="00E71CB1" w:rsidRPr="009E6D43">
        <w:rPr>
          <w:bCs/>
          <w:smallCaps/>
        </w:rPr>
        <w:t>enoe</w:t>
      </w:r>
      <w:proofErr w:type="spellEnd"/>
      <w:r w:rsidRPr="009E6D43">
        <w:rPr>
          <w:bCs/>
        </w:rPr>
        <w:t>, e</w:t>
      </w:r>
      <w:r w:rsidRPr="009E6D43">
        <w:rPr>
          <w:lang w:val="es-ES"/>
        </w:rPr>
        <w:t xml:space="preserve">l </w:t>
      </w:r>
      <w:proofErr w:type="spellStart"/>
      <w:r w:rsidR="00E71CB1" w:rsidRPr="009E6D43">
        <w:rPr>
          <w:smallCaps/>
          <w:lang w:val="es-ES"/>
        </w:rPr>
        <w:t>inegi</w:t>
      </w:r>
      <w:proofErr w:type="spellEnd"/>
      <w:r w:rsidR="004518F9" w:rsidRPr="009E6D43">
        <w:rPr>
          <w:bCs/>
        </w:rPr>
        <w:t xml:space="preserve"> </w:t>
      </w:r>
      <w:r w:rsidR="004518F9" w:rsidRPr="009E6D43">
        <w:rPr>
          <w:lang w:val="es-ES"/>
        </w:rPr>
        <w:t>genera la información</w:t>
      </w:r>
      <w:r w:rsidRPr="009E6D43">
        <w:rPr>
          <w:lang w:val="es-ES"/>
        </w:rPr>
        <w:t xml:space="preserve"> de</w:t>
      </w:r>
      <w:r w:rsidR="007559CA" w:rsidRPr="009E6D43">
        <w:rPr>
          <w:lang w:val="es-ES"/>
        </w:rPr>
        <w:t xml:space="preserve"> </w:t>
      </w:r>
      <w:r w:rsidR="004518F9" w:rsidRPr="009E6D43">
        <w:rPr>
          <w:lang w:val="es-ES"/>
        </w:rPr>
        <w:t>este documento y la d</w:t>
      </w:r>
      <w:r w:rsidR="0033743E" w:rsidRPr="009E6D43">
        <w:rPr>
          <w:lang w:val="es-ES"/>
        </w:rPr>
        <w:t xml:space="preserve">a a conocer </w:t>
      </w:r>
      <w:r w:rsidR="004518F9" w:rsidRPr="009E6D43">
        <w:rPr>
          <w:lang w:val="es-ES"/>
        </w:rPr>
        <w:t xml:space="preserve">con base en </w:t>
      </w:r>
      <w:r w:rsidR="00E862C9" w:rsidRPr="009E6D43">
        <w:rPr>
          <w:lang w:val="es-ES"/>
        </w:rPr>
        <w:t>el</w:t>
      </w:r>
      <w:r w:rsidR="0033743E" w:rsidRPr="009E6D43">
        <w:rPr>
          <w:lang w:val="es-ES"/>
        </w:rPr>
        <w:t xml:space="preserve"> Calendario de </w:t>
      </w:r>
      <w:r w:rsidR="008A748C" w:rsidRPr="009E6D43">
        <w:rPr>
          <w:snapToGrid w:val="0"/>
        </w:rPr>
        <w:t>D</w:t>
      </w:r>
      <w:r w:rsidR="008C36D9" w:rsidRPr="009E6D43">
        <w:rPr>
          <w:snapToGrid w:val="0"/>
        </w:rPr>
        <w:t xml:space="preserve">ifusión de </w:t>
      </w:r>
      <w:r w:rsidR="008A748C" w:rsidRPr="009E6D43">
        <w:rPr>
          <w:snapToGrid w:val="0"/>
        </w:rPr>
        <w:t>I</w:t>
      </w:r>
      <w:r w:rsidR="008C36D9" w:rsidRPr="009E6D43">
        <w:rPr>
          <w:snapToGrid w:val="0"/>
        </w:rPr>
        <w:t xml:space="preserve">nformación </w:t>
      </w:r>
      <w:r w:rsidR="008A748C" w:rsidRPr="009E6D43">
        <w:rPr>
          <w:snapToGrid w:val="0"/>
        </w:rPr>
        <w:t>E</w:t>
      </w:r>
      <w:r w:rsidR="008C36D9" w:rsidRPr="009E6D43">
        <w:rPr>
          <w:snapToGrid w:val="0"/>
        </w:rPr>
        <w:t xml:space="preserve">stadística y </w:t>
      </w:r>
      <w:r w:rsidR="008A748C" w:rsidRPr="009E6D43">
        <w:rPr>
          <w:snapToGrid w:val="0"/>
        </w:rPr>
        <w:t>G</w:t>
      </w:r>
      <w:r w:rsidR="008C36D9" w:rsidRPr="009E6D43">
        <w:rPr>
          <w:snapToGrid w:val="0"/>
        </w:rPr>
        <w:t>eográfica y de Interés Nacional</w:t>
      </w:r>
      <w:r w:rsidR="0033743E" w:rsidRPr="009E6D43">
        <w:rPr>
          <w:lang w:val="es-ES"/>
        </w:rPr>
        <w:t>.</w:t>
      </w:r>
    </w:p>
    <w:p w14:paraId="55A6F971" w14:textId="61DE8C93" w:rsidR="005A42D6" w:rsidRPr="009E6D43" w:rsidRDefault="00EA54C6" w:rsidP="007B5CBF">
      <w:pPr>
        <w:spacing w:before="240"/>
        <w:rPr>
          <w:bCs/>
        </w:rPr>
      </w:pPr>
      <w:r w:rsidRPr="009E6D43">
        <w:rPr>
          <w:bCs/>
        </w:rPr>
        <w:t>La</w:t>
      </w:r>
      <w:r w:rsidR="004518F9" w:rsidRPr="009E6D43">
        <w:rPr>
          <w:bCs/>
        </w:rPr>
        <w:t xml:space="preserve">s cifras </w:t>
      </w:r>
      <w:r w:rsidR="00F34CCE" w:rsidRPr="009E6D43">
        <w:rPr>
          <w:bCs/>
        </w:rPr>
        <w:t xml:space="preserve">que </w:t>
      </w:r>
      <w:r w:rsidR="004518F9" w:rsidRPr="009E6D43">
        <w:rPr>
          <w:bCs/>
        </w:rPr>
        <w:t xml:space="preserve">aquí </w:t>
      </w:r>
      <w:r w:rsidR="00F34CCE" w:rsidRPr="009E6D43">
        <w:rPr>
          <w:bCs/>
        </w:rPr>
        <w:t xml:space="preserve">se </w:t>
      </w:r>
      <w:r w:rsidR="004518F9" w:rsidRPr="009E6D43">
        <w:rPr>
          <w:bCs/>
        </w:rPr>
        <w:t>menciona</w:t>
      </w:r>
      <w:r w:rsidR="00F34CCE" w:rsidRPr="009E6D43">
        <w:rPr>
          <w:bCs/>
        </w:rPr>
        <w:t>n</w:t>
      </w:r>
      <w:r w:rsidR="004518F9" w:rsidRPr="009E6D43">
        <w:rPr>
          <w:bCs/>
        </w:rPr>
        <w:t xml:space="preserve"> pueden</w:t>
      </w:r>
      <w:r w:rsidRPr="009E6D43">
        <w:rPr>
          <w:bCs/>
        </w:rPr>
        <w:t xml:space="preserve"> consultar</w:t>
      </w:r>
      <w:r w:rsidR="00A901A8" w:rsidRPr="009E6D43">
        <w:rPr>
          <w:bCs/>
        </w:rPr>
        <w:t>se</w:t>
      </w:r>
      <w:r w:rsidRPr="009E6D43">
        <w:rPr>
          <w:bCs/>
        </w:rPr>
        <w:t xml:space="preserve"> en la </w:t>
      </w:r>
      <w:r w:rsidR="008A748C" w:rsidRPr="009E6D43">
        <w:t xml:space="preserve">página del </w:t>
      </w:r>
      <w:proofErr w:type="spellStart"/>
      <w:r w:rsidR="00E71CB1" w:rsidRPr="009E6D43">
        <w:rPr>
          <w:smallCaps/>
        </w:rPr>
        <w:t>inegi</w:t>
      </w:r>
      <w:proofErr w:type="spellEnd"/>
      <w:r w:rsidR="00C02A8F" w:rsidRPr="009E6D43">
        <w:t>:</w:t>
      </w:r>
    </w:p>
    <w:p w14:paraId="01BC4084" w14:textId="44D98AF6" w:rsidR="00EA54C6" w:rsidRPr="009E6D43" w:rsidRDefault="00F226D9" w:rsidP="007B5CBF">
      <w:pPr>
        <w:rPr>
          <w:bCs/>
        </w:rPr>
      </w:pPr>
      <w:hyperlink r:id="rId45" w:history="1">
        <w:r w:rsidR="00EA54C6" w:rsidRPr="009E6D43">
          <w:rPr>
            <w:rStyle w:val="Hipervnculo"/>
            <w:bCs/>
          </w:rPr>
          <w:t>https://www.inegi.org.mx/programas/enoe/15ymas/</w:t>
        </w:r>
      </w:hyperlink>
    </w:p>
    <w:sectPr w:rsidR="00EA54C6" w:rsidRPr="009E6D43" w:rsidSect="006D7203">
      <w:headerReference w:type="default" r:id="rId46"/>
      <w:footerReference w:type="default" r:id="rId47"/>
      <w:pgSz w:w="12242" w:h="15842" w:code="1"/>
      <w:pgMar w:top="2268" w:right="1134" w:bottom="992" w:left="1134" w:header="567" w:footer="258"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91A28" w14:textId="77777777" w:rsidR="00F226D9" w:rsidRDefault="00F226D9">
      <w:r>
        <w:separator/>
      </w:r>
    </w:p>
  </w:endnote>
  <w:endnote w:type="continuationSeparator" w:id="0">
    <w:p w14:paraId="4FE63E14" w14:textId="77777777" w:rsidR="00F226D9" w:rsidRDefault="00F226D9">
      <w:r>
        <w:continuationSeparator/>
      </w:r>
    </w:p>
  </w:endnote>
  <w:endnote w:type="continuationNotice" w:id="1">
    <w:p w14:paraId="4666E005" w14:textId="77777777" w:rsidR="00F226D9" w:rsidRDefault="00F22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egrita">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20FAB" w14:textId="77777777" w:rsidR="001D124A" w:rsidRDefault="001D124A" w:rsidP="001D124A">
    <w:pPr>
      <w:pStyle w:val="Piedepgina"/>
      <w:jc w:val="center"/>
      <w:rPr>
        <w:b/>
        <w:color w:val="003057"/>
        <w:sz w:val="20"/>
      </w:rPr>
    </w:pPr>
  </w:p>
  <w:p w14:paraId="0FAFFC10" w14:textId="77777777" w:rsidR="001D124A" w:rsidRPr="00204167" w:rsidRDefault="001D124A" w:rsidP="001D124A">
    <w:pPr>
      <w:pStyle w:val="Piedepgina"/>
      <w:jc w:val="center"/>
      <w:rPr>
        <w:noProof/>
        <w:color w:val="003057"/>
        <w:lang w:eastAsia="es-MX"/>
      </w:rPr>
    </w:pPr>
    <w:bookmarkStart w:id="13" w:name="_Hlk155603245"/>
    <w:r w:rsidRPr="00204167">
      <w:rPr>
        <w:b/>
        <w:color w:val="003057"/>
        <w:sz w:val="20"/>
      </w:rPr>
      <w:t>Comunicación social</w:t>
    </w:r>
    <w:bookmarkEnd w:id="13"/>
  </w:p>
  <w:p w14:paraId="5DE660B9" w14:textId="00E741C0" w:rsidR="00B242A7" w:rsidRPr="001D124A" w:rsidRDefault="00B242A7" w:rsidP="001D12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CEDF8" w14:textId="77777777" w:rsidR="00F226D9" w:rsidRDefault="00F226D9">
      <w:r>
        <w:separator/>
      </w:r>
    </w:p>
  </w:footnote>
  <w:footnote w:type="continuationSeparator" w:id="0">
    <w:p w14:paraId="51AC2CC2" w14:textId="77777777" w:rsidR="00F226D9" w:rsidRDefault="00F226D9">
      <w:r>
        <w:continuationSeparator/>
      </w:r>
    </w:p>
  </w:footnote>
  <w:footnote w:type="continuationNotice" w:id="1">
    <w:p w14:paraId="43BE34D2" w14:textId="77777777" w:rsidR="00F226D9" w:rsidRDefault="00F226D9"/>
  </w:footnote>
  <w:footnote w:id="2">
    <w:p w14:paraId="75D14175" w14:textId="096A8B1A" w:rsidR="00C87A42" w:rsidRPr="00C87A42" w:rsidRDefault="00C87A42" w:rsidP="00C87A42">
      <w:pPr>
        <w:pStyle w:val="Textonotapie"/>
        <w:ind w:left="142" w:right="50" w:hanging="142"/>
        <w:rPr>
          <w:sz w:val="16"/>
          <w:szCs w:val="16"/>
        </w:rPr>
      </w:pPr>
      <w:r w:rsidRPr="005856F6">
        <w:rPr>
          <w:rStyle w:val="Refdenotaalpie"/>
          <w:sz w:val="18"/>
        </w:rPr>
        <w:footnoteRef/>
      </w:r>
      <w:r w:rsidRPr="005856F6">
        <w:rPr>
          <w:sz w:val="16"/>
        </w:rPr>
        <w:tab/>
      </w:r>
      <w:r w:rsidRPr="00804A80">
        <w:rPr>
          <w:sz w:val="16"/>
          <w:szCs w:val="16"/>
        </w:rPr>
        <w:t>Cifras oportunas. Las sumas de los componentes que integran la estadística de los Indicadores de Ocupación y Empleo que se presentan en este documento pueden no coincidir con los totales debido al redondeo de las cifras.</w:t>
      </w:r>
    </w:p>
  </w:footnote>
  <w:footnote w:id="3">
    <w:p w14:paraId="1D374679" w14:textId="419B0591" w:rsidR="00B242A7" w:rsidRPr="00E5242D" w:rsidRDefault="00B242A7" w:rsidP="00804A80">
      <w:pPr>
        <w:ind w:left="142" w:right="50" w:hanging="142"/>
        <w:rPr>
          <w:sz w:val="16"/>
          <w:szCs w:val="16"/>
          <w:lang w:val="es-MX"/>
        </w:rPr>
      </w:pPr>
      <w:r w:rsidRPr="000175E8">
        <w:rPr>
          <w:rStyle w:val="Refdenotaalpie"/>
          <w:sz w:val="18"/>
          <w:szCs w:val="18"/>
        </w:rPr>
        <w:footnoteRef/>
      </w:r>
      <w:r w:rsidRPr="00E5242D">
        <w:rPr>
          <w:sz w:val="16"/>
          <w:szCs w:val="16"/>
        </w:rPr>
        <w:tab/>
      </w:r>
      <w:r w:rsidRPr="000175E8">
        <w:rPr>
          <w:sz w:val="16"/>
          <w:szCs w:val="16"/>
        </w:rPr>
        <w:t xml:space="preserve">Población </w:t>
      </w:r>
      <w:r w:rsidR="00B664AA" w:rsidRPr="000175E8">
        <w:rPr>
          <w:bCs/>
          <w:sz w:val="16"/>
          <w:szCs w:val="16"/>
        </w:rPr>
        <w:t xml:space="preserve">que durante la semana </w:t>
      </w:r>
      <w:r w:rsidR="00B664AA" w:rsidRPr="000175E8">
        <w:rPr>
          <w:sz w:val="16"/>
          <w:szCs w:val="16"/>
          <w:lang w:val="es-MX"/>
        </w:rPr>
        <w:t xml:space="preserve">de referencia realizó o tiene un vínculo con una actividad económica (población ocupada) o buscó activamente hacerlo (población desocupada en las </w:t>
      </w:r>
      <w:r w:rsidR="00B664AA" w:rsidRPr="000175E8">
        <w:rPr>
          <w:bCs/>
          <w:sz w:val="16"/>
          <w:szCs w:val="16"/>
        </w:rPr>
        <w:t>últimas cuatro semanas</w:t>
      </w:r>
      <w:r w:rsidR="000175E8">
        <w:rPr>
          <w:bCs/>
          <w:sz w:val="16"/>
          <w:szCs w:val="16"/>
        </w:rPr>
        <w:t>)</w:t>
      </w:r>
      <w:r w:rsidR="000175E8" w:rsidRPr="000175E8">
        <w:rPr>
          <w:bCs/>
          <w:sz w:val="16"/>
          <w:szCs w:val="16"/>
        </w:rPr>
        <w:t>.</w:t>
      </w:r>
    </w:p>
  </w:footnote>
  <w:footnote w:id="4">
    <w:p w14:paraId="6C4DEA1E" w14:textId="0B7DAC56" w:rsidR="00414248" w:rsidRPr="00AB5582" w:rsidRDefault="00414248" w:rsidP="00804A80">
      <w:pPr>
        <w:pStyle w:val="Textonotapie"/>
        <w:ind w:left="142" w:right="50" w:hanging="142"/>
        <w:rPr>
          <w:sz w:val="16"/>
          <w:lang w:val="es-MX"/>
        </w:rPr>
      </w:pPr>
      <w:r w:rsidRPr="00E5242D">
        <w:rPr>
          <w:rStyle w:val="Refdenotaalpie"/>
          <w:sz w:val="18"/>
          <w:szCs w:val="18"/>
        </w:rPr>
        <w:footnoteRef/>
      </w:r>
      <w:r>
        <w:rPr>
          <w:sz w:val="16"/>
          <w:szCs w:val="18"/>
        </w:rPr>
        <w:tab/>
      </w:r>
      <w:r w:rsidR="00C85CE4" w:rsidRPr="00C85CE4">
        <w:rPr>
          <w:smallCaps/>
          <w:sz w:val="16"/>
          <w:szCs w:val="16"/>
        </w:rPr>
        <w:t>pea</w:t>
      </w:r>
      <w:r>
        <w:rPr>
          <w:sz w:val="16"/>
          <w:szCs w:val="16"/>
        </w:rPr>
        <w:t xml:space="preserve"> </w:t>
      </w:r>
      <w:r w:rsidRPr="00FD18F6">
        <w:rPr>
          <w:sz w:val="16"/>
          <w:szCs w:val="16"/>
        </w:rPr>
        <w:t xml:space="preserve">como porcentaje de la </w:t>
      </w:r>
      <w:r>
        <w:rPr>
          <w:sz w:val="16"/>
          <w:szCs w:val="16"/>
        </w:rPr>
        <w:t>p</w:t>
      </w:r>
      <w:r w:rsidRPr="00FD18F6">
        <w:rPr>
          <w:sz w:val="16"/>
          <w:szCs w:val="16"/>
        </w:rPr>
        <w:t>oblación de 15 años y más.</w:t>
      </w:r>
    </w:p>
  </w:footnote>
  <w:footnote w:id="5">
    <w:p w14:paraId="21500167" w14:textId="5B06DE14" w:rsidR="00AA103D" w:rsidRPr="00AB5582" w:rsidRDefault="00AA103D" w:rsidP="00AA103D">
      <w:pPr>
        <w:pStyle w:val="Textonotapie"/>
        <w:ind w:left="142" w:right="50" w:hanging="142"/>
        <w:rPr>
          <w:sz w:val="16"/>
          <w:lang w:val="es-MX"/>
        </w:rPr>
      </w:pPr>
      <w:r w:rsidRPr="00E5242D">
        <w:rPr>
          <w:rStyle w:val="Refdenotaalpie"/>
          <w:sz w:val="18"/>
          <w:szCs w:val="18"/>
        </w:rPr>
        <w:footnoteRef/>
      </w:r>
      <w:r>
        <w:rPr>
          <w:sz w:val="16"/>
          <w:szCs w:val="18"/>
        </w:rPr>
        <w:tab/>
      </w:r>
      <w:r w:rsidRPr="00AA103D">
        <w:rPr>
          <w:bCs/>
          <w:sz w:val="16"/>
          <w:szCs w:val="16"/>
        </w:rPr>
        <w:t xml:space="preserve">Población </w:t>
      </w:r>
      <w:r w:rsidRPr="000175E8">
        <w:rPr>
          <w:bCs/>
          <w:sz w:val="16"/>
          <w:szCs w:val="16"/>
        </w:rPr>
        <w:t xml:space="preserve">que durante la semana </w:t>
      </w:r>
      <w:r w:rsidRPr="000175E8">
        <w:rPr>
          <w:sz w:val="16"/>
          <w:szCs w:val="16"/>
          <w:lang w:val="es-MX"/>
        </w:rPr>
        <w:t>de referencia</w:t>
      </w:r>
      <w:r w:rsidRPr="00AA103D">
        <w:rPr>
          <w:bCs/>
          <w:sz w:val="16"/>
          <w:szCs w:val="16"/>
        </w:rPr>
        <w:t xml:space="preserve"> se dedic</w:t>
      </w:r>
      <w:r w:rsidR="00490847">
        <w:rPr>
          <w:bCs/>
          <w:sz w:val="16"/>
          <w:szCs w:val="16"/>
        </w:rPr>
        <w:t>ó</w:t>
      </w:r>
      <w:r w:rsidRPr="00AA103D">
        <w:rPr>
          <w:bCs/>
          <w:sz w:val="16"/>
          <w:szCs w:val="16"/>
        </w:rPr>
        <w:t xml:space="preserve"> al hogar, estudi</w:t>
      </w:r>
      <w:r w:rsidR="008039F4">
        <w:rPr>
          <w:bCs/>
          <w:sz w:val="16"/>
          <w:szCs w:val="16"/>
        </w:rPr>
        <w:t>ó</w:t>
      </w:r>
      <w:r w:rsidRPr="00AA103D">
        <w:rPr>
          <w:bCs/>
          <w:sz w:val="16"/>
          <w:szCs w:val="16"/>
        </w:rPr>
        <w:t>, es</w:t>
      </w:r>
      <w:r w:rsidR="008039F4">
        <w:rPr>
          <w:bCs/>
          <w:sz w:val="16"/>
          <w:szCs w:val="16"/>
        </w:rPr>
        <w:t>taba</w:t>
      </w:r>
      <w:r w:rsidRPr="00AA103D">
        <w:rPr>
          <w:bCs/>
          <w:sz w:val="16"/>
          <w:szCs w:val="16"/>
        </w:rPr>
        <w:t xml:space="preserve"> jubilada o pensionada, tiene impedimentos personales o llev</w:t>
      </w:r>
      <w:r w:rsidR="00490847">
        <w:rPr>
          <w:bCs/>
          <w:sz w:val="16"/>
          <w:szCs w:val="16"/>
        </w:rPr>
        <w:t>ó</w:t>
      </w:r>
      <w:r w:rsidRPr="00AA103D">
        <w:rPr>
          <w:bCs/>
          <w:sz w:val="16"/>
          <w:szCs w:val="16"/>
        </w:rPr>
        <w:t xml:space="preserve"> a cabo otras actividades.</w:t>
      </w:r>
    </w:p>
  </w:footnote>
  <w:footnote w:id="6">
    <w:p w14:paraId="6BFBA3FE" w14:textId="1FBEE3CA" w:rsidR="00B242A7" w:rsidRPr="00906820" w:rsidRDefault="00B242A7" w:rsidP="005B5A18">
      <w:pPr>
        <w:ind w:left="142" w:hanging="142"/>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00295FC2">
        <w:rPr>
          <w:sz w:val="16"/>
          <w:szCs w:val="16"/>
        </w:rPr>
        <w:t>,</w:t>
      </w:r>
      <w:r w:rsidRPr="002A59CE">
        <w:rPr>
          <w:sz w:val="16"/>
          <w:szCs w:val="16"/>
        </w:rPr>
        <w:t xml:space="preserve"> se incorporó </w:t>
      </w:r>
      <w:r w:rsidRPr="00A2621F">
        <w:rPr>
          <w:sz w:val="16"/>
          <w:szCs w:val="16"/>
        </w:rPr>
        <w:t>el área metropolitana de La Laguna (área conurbada de Torreón y Matamoros en Coahuila</w:t>
      </w:r>
      <w:r w:rsidR="005077D3">
        <w:rPr>
          <w:sz w:val="16"/>
          <w:szCs w:val="16"/>
        </w:rPr>
        <w:t>,</w:t>
      </w:r>
      <w:r w:rsidRPr="00A2621F">
        <w:rPr>
          <w:sz w:val="16"/>
          <w:szCs w:val="16"/>
        </w:rPr>
        <w:t xml:space="preserve">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00A438AE">
        <w:rPr>
          <w:bCs/>
          <w:sz w:val="16"/>
          <w:szCs w:val="16"/>
          <w:lang w:val="es-ES"/>
        </w:rPr>
        <w:t xml:space="preserve">Aunque </w:t>
      </w:r>
      <w:r w:rsidRPr="00A2621F">
        <w:rPr>
          <w:sz w:val="16"/>
          <w:szCs w:val="16"/>
        </w:rPr>
        <w:t>a</w:t>
      </w:r>
      <w:r>
        <w:rPr>
          <w:sz w:val="16"/>
          <w:szCs w:val="16"/>
        </w:rPr>
        <w:t xml:space="preserve">hora el agregado urbano </w:t>
      </w:r>
      <w:r w:rsidR="00A438AE">
        <w:rPr>
          <w:sz w:val="16"/>
          <w:szCs w:val="16"/>
        </w:rPr>
        <w:t>sea</w:t>
      </w:r>
      <w:r>
        <w:rPr>
          <w:sz w:val="16"/>
          <w:szCs w:val="16"/>
        </w:rPr>
        <w:t xml:space="preserve">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 w:id="7">
    <w:p w14:paraId="1CE8F6B0" w14:textId="76D1EAEC" w:rsidR="008276D0" w:rsidRPr="00906820" w:rsidRDefault="008276D0" w:rsidP="005B5A18">
      <w:pPr>
        <w:ind w:left="142" w:hanging="142"/>
        <w:rPr>
          <w:sz w:val="16"/>
          <w:szCs w:val="16"/>
        </w:rPr>
      </w:pPr>
      <w:r w:rsidRPr="00DB6F19">
        <w:rPr>
          <w:rStyle w:val="Refdenotaalpie"/>
          <w:sz w:val="18"/>
        </w:rPr>
        <w:footnoteRef/>
      </w:r>
      <w:r>
        <w:rPr>
          <w:sz w:val="16"/>
          <w:szCs w:val="16"/>
        </w:rPr>
        <w:tab/>
      </w:r>
      <w:r w:rsidRPr="008276D0">
        <w:rPr>
          <w:sz w:val="16"/>
          <w:szCs w:val="16"/>
        </w:rPr>
        <w:t>Se refiere a la población que durante la semana de referencia realizó alguna actividad económica durante al menos una hora. Incluye a</w:t>
      </w:r>
      <w:r w:rsidR="001B2A6F">
        <w:rPr>
          <w:sz w:val="16"/>
          <w:szCs w:val="16"/>
        </w:rPr>
        <w:t xml:space="preserve"> las y</w:t>
      </w:r>
      <w:r w:rsidRPr="008276D0">
        <w:rPr>
          <w:sz w:val="16"/>
          <w:szCs w:val="16"/>
        </w:rPr>
        <w:t xml:space="preserve"> los ocupados que tenían trabajo, pero no lo desempeñaron</w:t>
      </w:r>
      <w:r w:rsidRPr="008276D0">
        <w:rPr>
          <w:sz w:val="16"/>
          <w:szCs w:val="16"/>
        </w:rPr>
        <w:t xml:space="preserve"> temporalmente por alguna razón, sin que por ello perdieran el vínculo laboral con este</w:t>
      </w:r>
      <w:r w:rsidR="00122135">
        <w:rPr>
          <w:sz w:val="16"/>
          <w:szCs w:val="16"/>
        </w:rPr>
        <w:t>,</w:t>
      </w:r>
      <w:r w:rsidRPr="008276D0">
        <w:rPr>
          <w:sz w:val="16"/>
          <w:szCs w:val="16"/>
        </w:rPr>
        <w:t xml:space="preserve"> así como a quienes ayudaron en alguna actividad económica sin recibir un sueldo o salario</w:t>
      </w:r>
      <w:r w:rsidRPr="00C316AB">
        <w:rPr>
          <w:sz w:val="16"/>
          <w:szCs w:val="16"/>
        </w:rPr>
        <w:t>.</w:t>
      </w:r>
    </w:p>
  </w:footnote>
  <w:footnote w:id="8">
    <w:p w14:paraId="270C1435" w14:textId="79922266" w:rsidR="003902F4" w:rsidRPr="00D37E44" w:rsidRDefault="003902F4" w:rsidP="005B5A18">
      <w:pPr>
        <w:ind w:left="142" w:hanging="170"/>
        <w:rPr>
          <w:sz w:val="16"/>
          <w:szCs w:val="16"/>
          <w:lang w:val="pt-PT"/>
        </w:rPr>
      </w:pPr>
      <w:r w:rsidRPr="00DF35D8">
        <w:rPr>
          <w:rStyle w:val="Refdenotaalpie"/>
          <w:sz w:val="18"/>
        </w:rPr>
        <w:footnoteRef/>
      </w:r>
      <w:r w:rsidRPr="00D37E44">
        <w:rPr>
          <w:rStyle w:val="Refdenotaalpie"/>
          <w:sz w:val="18"/>
          <w:lang w:val="pt-PT"/>
        </w:rPr>
        <w:tab/>
      </w:r>
      <w:r w:rsidR="004A3CF4" w:rsidRPr="00D37E44">
        <w:rPr>
          <w:rStyle w:val="Refdenotaalpie"/>
          <w:sz w:val="16"/>
          <w:szCs w:val="16"/>
          <w:vertAlign w:val="baseline"/>
          <w:lang w:val="pt-PT"/>
        </w:rPr>
        <w:t>Personas</w:t>
      </w:r>
      <w:r w:rsidR="00DF35D8" w:rsidRPr="00D37E44">
        <w:rPr>
          <w:sz w:val="16"/>
          <w:szCs w:val="16"/>
          <w:lang w:val="pt-PT"/>
        </w:rPr>
        <w:t xml:space="preserve"> </w:t>
      </w:r>
      <w:r w:rsidRPr="00D37E44">
        <w:rPr>
          <w:rStyle w:val="Refdenotaalpie"/>
          <w:sz w:val="16"/>
          <w:szCs w:val="16"/>
          <w:vertAlign w:val="baseline"/>
          <w:lang w:val="pt-PT"/>
        </w:rPr>
        <w:t xml:space="preserve">que </w:t>
      </w:r>
      <w:r w:rsidR="004A3CF4" w:rsidRPr="00D37E44">
        <w:rPr>
          <w:rStyle w:val="Refdenotaalpie"/>
          <w:sz w:val="16"/>
          <w:szCs w:val="16"/>
          <w:vertAlign w:val="baseline"/>
          <w:lang w:val="pt-PT"/>
        </w:rPr>
        <w:t>declararo</w:t>
      </w:r>
      <w:r w:rsidR="00DF35D8" w:rsidRPr="00D37E44">
        <w:rPr>
          <w:sz w:val="16"/>
          <w:szCs w:val="16"/>
          <w:lang w:val="pt-PT"/>
        </w:rPr>
        <w:t xml:space="preserve">n </w:t>
      </w:r>
      <w:r w:rsidRPr="00D37E44">
        <w:rPr>
          <w:rStyle w:val="Refdenotaalpie"/>
          <w:sz w:val="16"/>
          <w:szCs w:val="16"/>
          <w:vertAlign w:val="baseline"/>
          <w:lang w:val="pt-PT"/>
        </w:rPr>
        <w:t>tener necesidad y disponibilidad para trabajar más horas de lo que su ocupación actual</w:t>
      </w:r>
      <w:r w:rsidR="00DF35D8" w:rsidRPr="00D37E44">
        <w:rPr>
          <w:sz w:val="16"/>
          <w:szCs w:val="16"/>
          <w:lang w:val="pt-PT"/>
        </w:rPr>
        <w:t xml:space="preserve"> </w:t>
      </w:r>
      <w:r w:rsidR="004A3CF4" w:rsidRPr="00D37E44">
        <w:rPr>
          <w:rStyle w:val="Refdenotaalpie"/>
          <w:sz w:val="16"/>
          <w:szCs w:val="16"/>
          <w:vertAlign w:val="baseline"/>
          <w:lang w:val="pt-PT"/>
        </w:rPr>
        <w:t>les</w:t>
      </w:r>
      <w:r w:rsidRPr="00D37E44">
        <w:rPr>
          <w:rStyle w:val="Refdenotaalpie"/>
          <w:sz w:val="16"/>
          <w:szCs w:val="16"/>
          <w:vertAlign w:val="baseline"/>
          <w:lang w:val="pt-PT"/>
        </w:rPr>
        <w:t xml:space="preserve"> demanda.</w:t>
      </w:r>
    </w:p>
  </w:footnote>
  <w:footnote w:id="9">
    <w:p w14:paraId="6554F788" w14:textId="77777777" w:rsidR="00813EBF" w:rsidRPr="00A26B0B" w:rsidRDefault="00813EBF" w:rsidP="005B5A18">
      <w:pPr>
        <w:pStyle w:val="Textonotapie"/>
        <w:ind w:left="142" w:right="50" w:hanging="142"/>
        <w:rPr>
          <w:sz w:val="16"/>
          <w:lang w:val="es-MX"/>
        </w:rPr>
      </w:pPr>
      <w:r w:rsidRPr="00E5242D">
        <w:rPr>
          <w:rStyle w:val="Refdenotaalpie"/>
          <w:sz w:val="18"/>
          <w:szCs w:val="18"/>
        </w:rPr>
        <w:footnoteRef/>
      </w:r>
      <w:r w:rsidRPr="00E5242D">
        <w:rPr>
          <w:sz w:val="16"/>
        </w:rPr>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footnote>
  <w:footnote w:id="10">
    <w:p w14:paraId="2A738433" w14:textId="13EC3B29" w:rsidR="00C85E1C" w:rsidRPr="00A26B0B" w:rsidRDefault="00C85E1C" w:rsidP="00C85E1C">
      <w:pPr>
        <w:pStyle w:val="Textonotapie"/>
        <w:ind w:left="142" w:right="50" w:hanging="142"/>
        <w:rPr>
          <w:sz w:val="16"/>
          <w:lang w:val="es-MX"/>
        </w:rPr>
      </w:pPr>
      <w:r w:rsidRPr="00E5242D">
        <w:rPr>
          <w:rStyle w:val="Refdenotaalpie"/>
          <w:sz w:val="18"/>
          <w:szCs w:val="18"/>
        </w:rPr>
        <w:footnoteRef/>
      </w:r>
      <w:r w:rsidRPr="00E5242D">
        <w:rPr>
          <w:sz w:val="16"/>
        </w:rPr>
        <w:tab/>
      </w:r>
      <w:r w:rsidR="00E70E01" w:rsidRPr="00140D9C">
        <w:rPr>
          <w:sz w:val="16"/>
          <w:szCs w:val="16"/>
        </w:rPr>
        <w:t>La mayoría de las series económicas se ve afectada por factores estacionales y de calendario. El ajuste de l</w:t>
      </w:r>
      <w:r w:rsidR="00E70E01">
        <w:rPr>
          <w:sz w:val="16"/>
          <w:szCs w:val="16"/>
        </w:rPr>
        <w:t>o</w:t>
      </w:r>
      <w:r w:rsidR="00E70E01" w:rsidRPr="00140D9C">
        <w:rPr>
          <w:sz w:val="16"/>
          <w:szCs w:val="16"/>
        </w:rPr>
        <w:t xml:space="preserve">s </w:t>
      </w:r>
      <w:r w:rsidR="00E70E01">
        <w:rPr>
          <w:sz w:val="16"/>
          <w:szCs w:val="16"/>
        </w:rPr>
        <w:t xml:space="preserve">datos </w:t>
      </w:r>
      <w:r w:rsidR="00E70E01" w:rsidRPr="00140D9C">
        <w:rPr>
          <w:sz w:val="16"/>
          <w:szCs w:val="16"/>
        </w:rPr>
        <w:t>por dichos factores permite obtener las cifras desestacionalizadas</w:t>
      </w:r>
      <w:r w:rsidR="00E70E01">
        <w:rPr>
          <w:sz w:val="16"/>
          <w:szCs w:val="16"/>
        </w:rPr>
        <w:t>. Su</w:t>
      </w:r>
      <w:r w:rsidR="00E70E01" w:rsidRPr="00140D9C">
        <w:rPr>
          <w:sz w:val="16"/>
          <w:szCs w:val="16"/>
        </w:rPr>
        <w:t xml:space="preserve"> análisis ayuda a realizar un mejor diagnóstico de la evolución de las variables</w:t>
      </w:r>
      <w:r w:rsidRPr="00A26B0B">
        <w:rPr>
          <w:sz w:val="16"/>
        </w:rPr>
        <w:t>.</w:t>
      </w:r>
    </w:p>
  </w:footnote>
  <w:footnote w:id="11">
    <w:p w14:paraId="63F84881" w14:textId="7B094AD6" w:rsidR="005D0EB1" w:rsidRPr="00A26B0B" w:rsidRDefault="005D0EB1" w:rsidP="00073EF1">
      <w:pPr>
        <w:pStyle w:val="Textonotapie"/>
        <w:ind w:left="199" w:right="85" w:hanging="199"/>
        <w:rPr>
          <w:sz w:val="16"/>
          <w:lang w:val="es-MX"/>
        </w:rPr>
      </w:pPr>
      <w:r w:rsidRPr="00E5242D">
        <w:rPr>
          <w:rStyle w:val="Refdenotaalpie"/>
          <w:sz w:val="18"/>
          <w:szCs w:val="18"/>
        </w:rPr>
        <w:footnoteRef/>
      </w:r>
      <w:r w:rsidRPr="00E5242D">
        <w:rPr>
          <w:sz w:val="16"/>
        </w:rPr>
        <w:tab/>
      </w:r>
      <w:bookmarkStart w:id="12" w:name="_Hlk151628639"/>
      <w:r>
        <w:rPr>
          <w:bCs/>
          <w:sz w:val="16"/>
          <w:szCs w:val="16"/>
        </w:rPr>
        <w:t xml:space="preserve">Tendencia-ciclo </w:t>
      </w:r>
      <w:r>
        <w:rPr>
          <w:sz w:val="16"/>
          <w:szCs w:val="16"/>
        </w:rPr>
        <w:t>e</w:t>
      </w:r>
      <w:r w:rsidRPr="005A6BF6">
        <w:rPr>
          <w:sz w:val="16"/>
          <w:szCs w:val="16"/>
        </w:rPr>
        <w:t>s la combinación de los componentes de tendencia y ciclo. La tendencia se refiere a la evolución de largo plazo de la serie de tiempo</w:t>
      </w:r>
      <w:r w:rsidR="005952C9">
        <w:rPr>
          <w:sz w:val="16"/>
          <w:szCs w:val="16"/>
        </w:rPr>
        <w:t>,</w:t>
      </w:r>
      <w:r w:rsidRPr="005A6BF6">
        <w:rPr>
          <w:sz w:val="16"/>
          <w:szCs w:val="16"/>
        </w:rPr>
        <w:t xml:space="preserve"> y el ciclo, a las desviaciones alrededor de la tendencia</w:t>
      </w:r>
      <w:bookmarkEnd w:id="12"/>
      <w:r w:rsidRPr="00A26B0B">
        <w:rPr>
          <w:sz w:val="16"/>
        </w:rPr>
        <w:t>.</w:t>
      </w:r>
    </w:p>
  </w:footnote>
  <w:footnote w:id="12">
    <w:p w14:paraId="4EA345A5" w14:textId="49C13459" w:rsidR="00DB736B" w:rsidRPr="00DB736B" w:rsidRDefault="00DB736B" w:rsidP="00DB736B">
      <w:pPr>
        <w:pStyle w:val="Textonotapie"/>
        <w:ind w:left="199" w:right="85" w:hanging="199"/>
        <w:rPr>
          <w:lang w:val="es-MX"/>
        </w:rPr>
      </w:pPr>
      <w:r w:rsidRPr="0050749D">
        <w:rPr>
          <w:rStyle w:val="Refdenotaalpie"/>
        </w:rPr>
        <w:footnoteRef/>
      </w:r>
      <w:r w:rsidRPr="0050749D">
        <w:tab/>
      </w:r>
      <w:r w:rsidRPr="0050749D">
        <w:rPr>
          <w:bCs/>
          <w:sz w:val="16"/>
          <w:szCs w:val="16"/>
        </w:rPr>
        <w:t>En las series históricas, los resultados correspondientes a noviembre de 2023 no contemplan información de la entidad federativa de Guerrero.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11B44" w14:textId="77777777" w:rsidR="001D124A" w:rsidRDefault="001D124A" w:rsidP="001D124A">
    <w:r>
      <w:rPr>
        <w:noProof/>
        <w14:ligatures w14:val="standardContextual"/>
      </w:rPr>
      <w:drawing>
        <wp:anchor distT="0" distB="0" distL="114300" distR="114300" simplePos="0" relativeHeight="251659264" behindDoc="0" locked="0" layoutInCell="1" allowOverlap="1" wp14:anchorId="78596045" wp14:editId="17CF37A5">
          <wp:simplePos x="0" y="0"/>
          <wp:positionH relativeFrom="margin">
            <wp:posOffset>-12976</wp:posOffset>
          </wp:positionH>
          <wp:positionV relativeFrom="paragraph">
            <wp:posOffset>-32385</wp:posOffset>
          </wp:positionV>
          <wp:extent cx="1673225" cy="795020"/>
          <wp:effectExtent l="0" t="0" r="3175" b="0"/>
          <wp:wrapSquare wrapText="bothSides"/>
          <wp:docPr id="1883533613" name="Imagen 1883533613"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6350" name="Imagen 2" descr="Un letrero de color negro&#10;&#10;Descripción generada automáticamente con confianza media"/>
                  <pic:cNvPicPr/>
                </pic:nvPicPr>
                <pic:blipFill rotWithShape="1">
                  <a:blip r:embed="rId1">
                    <a:extLst>
                      <a:ext uri="{28A0092B-C50C-407E-A947-70E740481C1C}">
                        <a14:useLocalDpi xmlns:a14="http://schemas.microsoft.com/office/drawing/2010/main" val="0"/>
                      </a:ext>
                    </a:extLst>
                  </a:blip>
                  <a:srcRect r="39347"/>
                  <a:stretch/>
                </pic:blipFill>
                <pic:spPr bwMode="auto">
                  <a:xfrm>
                    <a:off x="0" y="0"/>
                    <a:ext cx="1673225" cy="795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9FD86B" w14:textId="77777777" w:rsidR="001D124A" w:rsidRPr="00306ECD" w:rsidRDefault="001D124A" w:rsidP="001D124A">
    <w:pPr>
      <w:pStyle w:val="Encabezado"/>
      <w:ind w:left="-142" w:right="49" w:hanging="142"/>
      <w:jc w:val="right"/>
      <w:rPr>
        <w:b/>
        <w:color w:val="002060"/>
        <w:lang w:val="pt-BR"/>
      </w:rPr>
    </w:pPr>
    <w:r w:rsidRPr="00306ECD">
      <w:rPr>
        <w:b/>
        <w:color w:val="002060"/>
      </w:rPr>
      <w:t>Comunicado de prensa núm</w:t>
    </w:r>
    <w:r>
      <w:rPr>
        <w:b/>
        <w:color w:val="002060"/>
      </w:rPr>
      <w:t>ero</w:t>
    </w:r>
    <w:r w:rsidRPr="00306ECD">
      <w:rPr>
        <w:b/>
        <w:color w:val="002060"/>
      </w:rPr>
      <w:t xml:space="preserve"> </w:t>
    </w:r>
    <w:r>
      <w:rPr>
        <w:b/>
        <w:color w:val="002060"/>
      </w:rPr>
      <w:t>30</w:t>
    </w:r>
    <w:r w:rsidRPr="00306ECD">
      <w:rPr>
        <w:b/>
        <w:color w:val="002060"/>
      </w:rPr>
      <w:t>/2</w:t>
    </w:r>
    <w:r>
      <w:rPr>
        <w:b/>
        <w:color w:val="002060"/>
      </w:rPr>
      <w:t>4</w:t>
    </w:r>
  </w:p>
  <w:p w14:paraId="443E5D1C" w14:textId="77777777" w:rsidR="001D124A" w:rsidRPr="00306ECD" w:rsidRDefault="001D124A" w:rsidP="001D124A">
    <w:pPr>
      <w:pStyle w:val="Encabezado"/>
      <w:tabs>
        <w:tab w:val="clear" w:pos="4320"/>
        <w:tab w:val="clear" w:pos="8640"/>
      </w:tabs>
      <w:ind w:left="-567" w:right="49"/>
      <w:jc w:val="right"/>
      <w:rPr>
        <w:b/>
        <w:color w:val="002060"/>
        <w:lang w:val="pt-BR"/>
      </w:rPr>
    </w:pPr>
    <w:r>
      <w:rPr>
        <w:b/>
        <w:color w:val="002060"/>
        <w:lang w:val="pt-BR"/>
      </w:rPr>
      <w:t xml:space="preserve">25 de </w:t>
    </w:r>
    <w:proofErr w:type="spellStart"/>
    <w:r>
      <w:rPr>
        <w:b/>
        <w:color w:val="002060"/>
        <w:lang w:val="pt-BR"/>
      </w:rPr>
      <w:t>enero</w:t>
    </w:r>
    <w:proofErr w:type="spellEnd"/>
    <w:r>
      <w:rPr>
        <w:b/>
        <w:color w:val="002060"/>
        <w:lang w:val="pt-BR"/>
      </w:rPr>
      <w:t xml:space="preserve"> de </w:t>
    </w:r>
    <w:r w:rsidRPr="00306ECD">
      <w:rPr>
        <w:b/>
        <w:color w:val="002060"/>
        <w:lang w:val="pt-BR"/>
      </w:rPr>
      <w:t>202</w:t>
    </w:r>
    <w:r>
      <w:rPr>
        <w:b/>
        <w:color w:val="002060"/>
        <w:lang w:val="pt-BR"/>
      </w:rPr>
      <w:t>4</w:t>
    </w:r>
  </w:p>
  <w:p w14:paraId="2786C5A7" w14:textId="77777777" w:rsidR="001D124A" w:rsidRPr="00F22E89" w:rsidRDefault="001D124A" w:rsidP="001D124A">
    <w:pPr>
      <w:pStyle w:val="Encabezado"/>
      <w:ind w:left="-567" w:right="49"/>
      <w:jc w:val="right"/>
      <w:rPr>
        <w:b/>
        <w:color w:val="002060"/>
      </w:rPr>
    </w:pPr>
    <w:r w:rsidRPr="006B2980">
      <w:rPr>
        <w:b/>
        <w:color w:val="002060"/>
      </w:rPr>
      <w:t xml:space="preserve">Página </w:t>
    </w:r>
    <w:r w:rsidRPr="006B2980">
      <w:rPr>
        <w:b/>
        <w:color w:val="002060"/>
      </w:rPr>
      <w:fldChar w:fldCharType="begin"/>
    </w:r>
    <w:r w:rsidRPr="006B2980">
      <w:rPr>
        <w:b/>
        <w:color w:val="002060"/>
      </w:rPr>
      <w:instrText xml:space="preserve"> PAGE  \* Arabic </w:instrText>
    </w:r>
    <w:r w:rsidRPr="006B2980">
      <w:rPr>
        <w:b/>
        <w:color w:val="002060"/>
      </w:rPr>
      <w:fldChar w:fldCharType="separate"/>
    </w:r>
    <w:r>
      <w:rPr>
        <w:b/>
        <w:color w:val="002060"/>
      </w:rPr>
      <w:t>1</w:t>
    </w:r>
    <w:r w:rsidRPr="006B2980">
      <w:rPr>
        <w:b/>
        <w:color w:val="002060"/>
      </w:rPr>
      <w:fldChar w:fldCharType="end"/>
    </w:r>
    <w:r w:rsidRPr="006B2980">
      <w:rPr>
        <w:b/>
        <w:color w:val="002060"/>
      </w:rPr>
      <w:t>/</w:t>
    </w:r>
    <w:r>
      <w:rPr>
        <w:b/>
        <w:color w:val="002060"/>
      </w:rPr>
      <w:t>1</w:t>
    </w:r>
    <w:r w:rsidRPr="006B2980">
      <w:rPr>
        <w:b/>
        <w:color w:val="002060"/>
      </w:rPr>
      <w:t>8</w:t>
    </w:r>
  </w:p>
  <w:p w14:paraId="2AC2C013" w14:textId="1E912E12" w:rsidR="00B242A7" w:rsidRDefault="00B242A7" w:rsidP="00370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0821BE"/>
    <w:multiLevelType w:val="hybridMultilevel"/>
    <w:tmpl w:val="A502E9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6"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7"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8"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8"/>
  </w:num>
  <w:num w:numId="6">
    <w:abstractNumId w:val="2"/>
  </w:num>
  <w:num w:numId="7">
    <w:abstractNumId w:val="5"/>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7"/>
  </w:num>
  <w:num w:numId="12">
    <w:abstractNumId w:val="19"/>
  </w:num>
  <w:num w:numId="13">
    <w:abstractNumId w:val="20"/>
  </w:num>
  <w:num w:numId="14">
    <w:abstractNumId w:val="11"/>
  </w:num>
  <w:num w:numId="15">
    <w:abstractNumId w:val="9"/>
  </w:num>
  <w:num w:numId="16">
    <w:abstractNumId w:val="14"/>
  </w:num>
  <w:num w:numId="17">
    <w:abstractNumId w:val="10"/>
  </w:num>
  <w:num w:numId="18">
    <w:abstractNumId w:val="13"/>
  </w:num>
  <w:num w:numId="19">
    <w:abstractNumId w:val="6"/>
  </w:num>
  <w:num w:numId="20">
    <w:abstractNumId w:val="18"/>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3"/>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12C"/>
    <w:rsid w:val="0000180F"/>
    <w:rsid w:val="00001A30"/>
    <w:rsid w:val="00001DF8"/>
    <w:rsid w:val="00002466"/>
    <w:rsid w:val="00002665"/>
    <w:rsid w:val="000027BD"/>
    <w:rsid w:val="00002B0E"/>
    <w:rsid w:val="00002B26"/>
    <w:rsid w:val="0000345A"/>
    <w:rsid w:val="000034D5"/>
    <w:rsid w:val="00003693"/>
    <w:rsid w:val="00003C25"/>
    <w:rsid w:val="00003C68"/>
    <w:rsid w:val="00003E42"/>
    <w:rsid w:val="00004291"/>
    <w:rsid w:val="0000458A"/>
    <w:rsid w:val="0000477D"/>
    <w:rsid w:val="0000487C"/>
    <w:rsid w:val="000048D3"/>
    <w:rsid w:val="00004985"/>
    <w:rsid w:val="00004E58"/>
    <w:rsid w:val="00004F62"/>
    <w:rsid w:val="00004F89"/>
    <w:rsid w:val="000050C6"/>
    <w:rsid w:val="0000521A"/>
    <w:rsid w:val="00005531"/>
    <w:rsid w:val="00005940"/>
    <w:rsid w:val="0000636C"/>
    <w:rsid w:val="00006B5A"/>
    <w:rsid w:val="000075FB"/>
    <w:rsid w:val="000078B1"/>
    <w:rsid w:val="00007A1A"/>
    <w:rsid w:val="00010203"/>
    <w:rsid w:val="00010586"/>
    <w:rsid w:val="00010A59"/>
    <w:rsid w:val="000112A7"/>
    <w:rsid w:val="0001151F"/>
    <w:rsid w:val="00011840"/>
    <w:rsid w:val="00011AC0"/>
    <w:rsid w:val="00011BD3"/>
    <w:rsid w:val="0001203F"/>
    <w:rsid w:val="00012278"/>
    <w:rsid w:val="00012A27"/>
    <w:rsid w:val="00012A44"/>
    <w:rsid w:val="00012E16"/>
    <w:rsid w:val="0001302A"/>
    <w:rsid w:val="00013137"/>
    <w:rsid w:val="000132A4"/>
    <w:rsid w:val="00013319"/>
    <w:rsid w:val="00013652"/>
    <w:rsid w:val="00013717"/>
    <w:rsid w:val="00013735"/>
    <w:rsid w:val="00013908"/>
    <w:rsid w:val="00013E55"/>
    <w:rsid w:val="0001447E"/>
    <w:rsid w:val="000144ED"/>
    <w:rsid w:val="00014633"/>
    <w:rsid w:val="00014FBD"/>
    <w:rsid w:val="00015281"/>
    <w:rsid w:val="00015302"/>
    <w:rsid w:val="00015B56"/>
    <w:rsid w:val="00016590"/>
    <w:rsid w:val="00016B4E"/>
    <w:rsid w:val="00016D3A"/>
    <w:rsid w:val="00016E40"/>
    <w:rsid w:val="000170EC"/>
    <w:rsid w:val="0001718D"/>
    <w:rsid w:val="000173B0"/>
    <w:rsid w:val="000175E8"/>
    <w:rsid w:val="00017603"/>
    <w:rsid w:val="000176AC"/>
    <w:rsid w:val="000176E7"/>
    <w:rsid w:val="0001797D"/>
    <w:rsid w:val="00020F65"/>
    <w:rsid w:val="00021205"/>
    <w:rsid w:val="0002132F"/>
    <w:rsid w:val="00021432"/>
    <w:rsid w:val="00021492"/>
    <w:rsid w:val="0002167A"/>
    <w:rsid w:val="000216A3"/>
    <w:rsid w:val="00021AF6"/>
    <w:rsid w:val="0002223F"/>
    <w:rsid w:val="000228C4"/>
    <w:rsid w:val="00022C19"/>
    <w:rsid w:val="00022CA3"/>
    <w:rsid w:val="00022D4D"/>
    <w:rsid w:val="00022FD4"/>
    <w:rsid w:val="00023D0F"/>
    <w:rsid w:val="0002477C"/>
    <w:rsid w:val="00024986"/>
    <w:rsid w:val="00025517"/>
    <w:rsid w:val="000260EE"/>
    <w:rsid w:val="000264BB"/>
    <w:rsid w:val="000265EA"/>
    <w:rsid w:val="00026B3C"/>
    <w:rsid w:val="00026B52"/>
    <w:rsid w:val="00026DB3"/>
    <w:rsid w:val="00027130"/>
    <w:rsid w:val="000302AE"/>
    <w:rsid w:val="000302F7"/>
    <w:rsid w:val="00030347"/>
    <w:rsid w:val="00030480"/>
    <w:rsid w:val="0003065F"/>
    <w:rsid w:val="000309AC"/>
    <w:rsid w:val="00030D10"/>
    <w:rsid w:val="00031231"/>
    <w:rsid w:val="00031329"/>
    <w:rsid w:val="000314D3"/>
    <w:rsid w:val="0003163B"/>
    <w:rsid w:val="00031A99"/>
    <w:rsid w:val="00031BCF"/>
    <w:rsid w:val="000329B2"/>
    <w:rsid w:val="00032ABE"/>
    <w:rsid w:val="00032B16"/>
    <w:rsid w:val="000332AC"/>
    <w:rsid w:val="00033603"/>
    <w:rsid w:val="00033792"/>
    <w:rsid w:val="00033A14"/>
    <w:rsid w:val="000340E5"/>
    <w:rsid w:val="0003447A"/>
    <w:rsid w:val="000349B4"/>
    <w:rsid w:val="00034BC3"/>
    <w:rsid w:val="00034E11"/>
    <w:rsid w:val="000353F3"/>
    <w:rsid w:val="00035522"/>
    <w:rsid w:val="0003555A"/>
    <w:rsid w:val="00035600"/>
    <w:rsid w:val="000357EE"/>
    <w:rsid w:val="00035A44"/>
    <w:rsid w:val="00035B2D"/>
    <w:rsid w:val="00035DA7"/>
    <w:rsid w:val="000367D7"/>
    <w:rsid w:val="00036AD1"/>
    <w:rsid w:val="00036D72"/>
    <w:rsid w:val="00037089"/>
    <w:rsid w:val="00037177"/>
    <w:rsid w:val="000376F8"/>
    <w:rsid w:val="00037AF8"/>
    <w:rsid w:val="00037CC4"/>
    <w:rsid w:val="00040358"/>
    <w:rsid w:val="0004066E"/>
    <w:rsid w:val="00040EE9"/>
    <w:rsid w:val="00040F75"/>
    <w:rsid w:val="000410C7"/>
    <w:rsid w:val="00041FF7"/>
    <w:rsid w:val="0004225C"/>
    <w:rsid w:val="000426D7"/>
    <w:rsid w:val="000430B9"/>
    <w:rsid w:val="000433CC"/>
    <w:rsid w:val="00043535"/>
    <w:rsid w:val="00043B32"/>
    <w:rsid w:val="00043E2B"/>
    <w:rsid w:val="00044296"/>
    <w:rsid w:val="0004454F"/>
    <w:rsid w:val="00044699"/>
    <w:rsid w:val="00044700"/>
    <w:rsid w:val="00044C41"/>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7AF"/>
    <w:rsid w:val="00051C72"/>
    <w:rsid w:val="00051D1C"/>
    <w:rsid w:val="00051D9E"/>
    <w:rsid w:val="00051FE9"/>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4EFD"/>
    <w:rsid w:val="00055047"/>
    <w:rsid w:val="000554AC"/>
    <w:rsid w:val="00055B54"/>
    <w:rsid w:val="00055DAA"/>
    <w:rsid w:val="000564A9"/>
    <w:rsid w:val="00056F51"/>
    <w:rsid w:val="000573F5"/>
    <w:rsid w:val="00057F37"/>
    <w:rsid w:val="00057FFD"/>
    <w:rsid w:val="000602B0"/>
    <w:rsid w:val="0006056C"/>
    <w:rsid w:val="00060A0C"/>
    <w:rsid w:val="00060C08"/>
    <w:rsid w:val="00060EA7"/>
    <w:rsid w:val="0006228A"/>
    <w:rsid w:val="00062585"/>
    <w:rsid w:val="00062A61"/>
    <w:rsid w:val="00062E2F"/>
    <w:rsid w:val="00063614"/>
    <w:rsid w:val="00063838"/>
    <w:rsid w:val="0006385C"/>
    <w:rsid w:val="00064260"/>
    <w:rsid w:val="0006433F"/>
    <w:rsid w:val="000643B9"/>
    <w:rsid w:val="000645AC"/>
    <w:rsid w:val="000646BA"/>
    <w:rsid w:val="000648C9"/>
    <w:rsid w:val="00064BBC"/>
    <w:rsid w:val="00064D84"/>
    <w:rsid w:val="00064E9D"/>
    <w:rsid w:val="00064FDB"/>
    <w:rsid w:val="00064FDD"/>
    <w:rsid w:val="00065106"/>
    <w:rsid w:val="000651F1"/>
    <w:rsid w:val="0006523B"/>
    <w:rsid w:val="00065708"/>
    <w:rsid w:val="00065A07"/>
    <w:rsid w:val="00065AB9"/>
    <w:rsid w:val="00065BC1"/>
    <w:rsid w:val="00065BCA"/>
    <w:rsid w:val="00065ECB"/>
    <w:rsid w:val="00065F02"/>
    <w:rsid w:val="00066638"/>
    <w:rsid w:val="00066EA7"/>
    <w:rsid w:val="00067B1A"/>
    <w:rsid w:val="0007012A"/>
    <w:rsid w:val="0007017F"/>
    <w:rsid w:val="00070431"/>
    <w:rsid w:val="000707FF"/>
    <w:rsid w:val="00070864"/>
    <w:rsid w:val="00070D6E"/>
    <w:rsid w:val="00071234"/>
    <w:rsid w:val="0007145A"/>
    <w:rsid w:val="00071738"/>
    <w:rsid w:val="00071A6A"/>
    <w:rsid w:val="00071BDA"/>
    <w:rsid w:val="00071F0C"/>
    <w:rsid w:val="00071F33"/>
    <w:rsid w:val="0007258B"/>
    <w:rsid w:val="000725AC"/>
    <w:rsid w:val="00072B18"/>
    <w:rsid w:val="000730F3"/>
    <w:rsid w:val="00073491"/>
    <w:rsid w:val="00073938"/>
    <w:rsid w:val="000739D2"/>
    <w:rsid w:val="00073EBF"/>
    <w:rsid w:val="00073EF1"/>
    <w:rsid w:val="00073EF4"/>
    <w:rsid w:val="000740B5"/>
    <w:rsid w:val="000740FD"/>
    <w:rsid w:val="000741E2"/>
    <w:rsid w:val="00074A11"/>
    <w:rsid w:val="000750C8"/>
    <w:rsid w:val="0007538A"/>
    <w:rsid w:val="000753EC"/>
    <w:rsid w:val="0007540F"/>
    <w:rsid w:val="0007567F"/>
    <w:rsid w:val="00075B3A"/>
    <w:rsid w:val="00075DEC"/>
    <w:rsid w:val="00076234"/>
    <w:rsid w:val="000767F7"/>
    <w:rsid w:val="00076CA7"/>
    <w:rsid w:val="00076CC7"/>
    <w:rsid w:val="00076EE9"/>
    <w:rsid w:val="00076F61"/>
    <w:rsid w:val="00076FE9"/>
    <w:rsid w:val="00077980"/>
    <w:rsid w:val="00077C46"/>
    <w:rsid w:val="0008019D"/>
    <w:rsid w:val="00080216"/>
    <w:rsid w:val="0008027F"/>
    <w:rsid w:val="0008073E"/>
    <w:rsid w:val="0008084D"/>
    <w:rsid w:val="00080F62"/>
    <w:rsid w:val="000810D7"/>
    <w:rsid w:val="000814ED"/>
    <w:rsid w:val="0008175A"/>
    <w:rsid w:val="0008195B"/>
    <w:rsid w:val="00081BEC"/>
    <w:rsid w:val="00081E34"/>
    <w:rsid w:val="000826F7"/>
    <w:rsid w:val="00082B81"/>
    <w:rsid w:val="00082C8A"/>
    <w:rsid w:val="00082F11"/>
    <w:rsid w:val="0008325D"/>
    <w:rsid w:val="00083384"/>
    <w:rsid w:val="000834DD"/>
    <w:rsid w:val="00084687"/>
    <w:rsid w:val="00084887"/>
    <w:rsid w:val="0008498E"/>
    <w:rsid w:val="00084A57"/>
    <w:rsid w:val="00084B68"/>
    <w:rsid w:val="00084BED"/>
    <w:rsid w:val="00084C6E"/>
    <w:rsid w:val="00084EDB"/>
    <w:rsid w:val="00084FA9"/>
    <w:rsid w:val="00084FF2"/>
    <w:rsid w:val="000850D8"/>
    <w:rsid w:val="0008524D"/>
    <w:rsid w:val="00085561"/>
    <w:rsid w:val="000856E9"/>
    <w:rsid w:val="0008604B"/>
    <w:rsid w:val="000860E2"/>
    <w:rsid w:val="00086295"/>
    <w:rsid w:val="000862ED"/>
    <w:rsid w:val="00086B0E"/>
    <w:rsid w:val="0008756B"/>
    <w:rsid w:val="00087594"/>
    <w:rsid w:val="00087DB7"/>
    <w:rsid w:val="0009025D"/>
    <w:rsid w:val="00090B9C"/>
    <w:rsid w:val="00090D7B"/>
    <w:rsid w:val="000910B2"/>
    <w:rsid w:val="00091474"/>
    <w:rsid w:val="000915F7"/>
    <w:rsid w:val="000918FA"/>
    <w:rsid w:val="00092764"/>
    <w:rsid w:val="0009292F"/>
    <w:rsid w:val="00092F4C"/>
    <w:rsid w:val="00094027"/>
    <w:rsid w:val="00094240"/>
    <w:rsid w:val="00094496"/>
    <w:rsid w:val="000950E7"/>
    <w:rsid w:val="00095360"/>
    <w:rsid w:val="000955AA"/>
    <w:rsid w:val="00095699"/>
    <w:rsid w:val="000957BC"/>
    <w:rsid w:val="00095D24"/>
    <w:rsid w:val="00095F1B"/>
    <w:rsid w:val="00096737"/>
    <w:rsid w:val="00096F7F"/>
    <w:rsid w:val="00097271"/>
    <w:rsid w:val="00097C0A"/>
    <w:rsid w:val="00097C9F"/>
    <w:rsid w:val="000A0344"/>
    <w:rsid w:val="000A0823"/>
    <w:rsid w:val="000A092C"/>
    <w:rsid w:val="000A101A"/>
    <w:rsid w:val="000A103B"/>
    <w:rsid w:val="000A1B57"/>
    <w:rsid w:val="000A1FAB"/>
    <w:rsid w:val="000A21D6"/>
    <w:rsid w:val="000A2F4F"/>
    <w:rsid w:val="000A31EF"/>
    <w:rsid w:val="000A3206"/>
    <w:rsid w:val="000A323F"/>
    <w:rsid w:val="000A3354"/>
    <w:rsid w:val="000A3689"/>
    <w:rsid w:val="000A3733"/>
    <w:rsid w:val="000A37D7"/>
    <w:rsid w:val="000A3B63"/>
    <w:rsid w:val="000A3DAA"/>
    <w:rsid w:val="000A43B0"/>
    <w:rsid w:val="000A4574"/>
    <w:rsid w:val="000A4884"/>
    <w:rsid w:val="000A49C0"/>
    <w:rsid w:val="000A4C87"/>
    <w:rsid w:val="000A52FC"/>
    <w:rsid w:val="000A53E6"/>
    <w:rsid w:val="000A574B"/>
    <w:rsid w:val="000A5B04"/>
    <w:rsid w:val="000A5B4D"/>
    <w:rsid w:val="000A5E2A"/>
    <w:rsid w:val="000A643B"/>
    <w:rsid w:val="000A6F40"/>
    <w:rsid w:val="000A707A"/>
    <w:rsid w:val="000A7107"/>
    <w:rsid w:val="000A7223"/>
    <w:rsid w:val="000A7635"/>
    <w:rsid w:val="000A78BA"/>
    <w:rsid w:val="000A7E87"/>
    <w:rsid w:val="000A7F65"/>
    <w:rsid w:val="000B03E8"/>
    <w:rsid w:val="000B0710"/>
    <w:rsid w:val="000B1C11"/>
    <w:rsid w:val="000B1D13"/>
    <w:rsid w:val="000B1E95"/>
    <w:rsid w:val="000B29B8"/>
    <w:rsid w:val="000B2A27"/>
    <w:rsid w:val="000B2BFA"/>
    <w:rsid w:val="000B3CBF"/>
    <w:rsid w:val="000B4038"/>
    <w:rsid w:val="000B427D"/>
    <w:rsid w:val="000B44F2"/>
    <w:rsid w:val="000B4A6A"/>
    <w:rsid w:val="000B4B54"/>
    <w:rsid w:val="000B50FB"/>
    <w:rsid w:val="000B515D"/>
    <w:rsid w:val="000B55D5"/>
    <w:rsid w:val="000B5A74"/>
    <w:rsid w:val="000B5B02"/>
    <w:rsid w:val="000B5E04"/>
    <w:rsid w:val="000B5E42"/>
    <w:rsid w:val="000B5E68"/>
    <w:rsid w:val="000B5FA3"/>
    <w:rsid w:val="000B6748"/>
    <w:rsid w:val="000B6AF6"/>
    <w:rsid w:val="000B6DF1"/>
    <w:rsid w:val="000B75DB"/>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3FA1"/>
    <w:rsid w:val="000C439B"/>
    <w:rsid w:val="000C482F"/>
    <w:rsid w:val="000C48EC"/>
    <w:rsid w:val="000C4992"/>
    <w:rsid w:val="000C4E86"/>
    <w:rsid w:val="000C518E"/>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809"/>
    <w:rsid w:val="000D1E60"/>
    <w:rsid w:val="000D28A5"/>
    <w:rsid w:val="000D2A0A"/>
    <w:rsid w:val="000D2AF7"/>
    <w:rsid w:val="000D2D3E"/>
    <w:rsid w:val="000D3171"/>
    <w:rsid w:val="000D31C1"/>
    <w:rsid w:val="000D3223"/>
    <w:rsid w:val="000D36B2"/>
    <w:rsid w:val="000D385E"/>
    <w:rsid w:val="000D39FD"/>
    <w:rsid w:val="000D3E54"/>
    <w:rsid w:val="000D44B6"/>
    <w:rsid w:val="000D4833"/>
    <w:rsid w:val="000D49D2"/>
    <w:rsid w:val="000D4A88"/>
    <w:rsid w:val="000D4BBC"/>
    <w:rsid w:val="000D4D90"/>
    <w:rsid w:val="000D4E26"/>
    <w:rsid w:val="000D4EAD"/>
    <w:rsid w:val="000D5176"/>
    <w:rsid w:val="000D585B"/>
    <w:rsid w:val="000D5EDB"/>
    <w:rsid w:val="000D679B"/>
    <w:rsid w:val="000D6C0F"/>
    <w:rsid w:val="000D6F1E"/>
    <w:rsid w:val="000D7320"/>
    <w:rsid w:val="000D79F7"/>
    <w:rsid w:val="000D7A95"/>
    <w:rsid w:val="000D7BBD"/>
    <w:rsid w:val="000D7C53"/>
    <w:rsid w:val="000E038F"/>
    <w:rsid w:val="000E03C0"/>
    <w:rsid w:val="000E0654"/>
    <w:rsid w:val="000E1023"/>
    <w:rsid w:val="000E1625"/>
    <w:rsid w:val="000E19B3"/>
    <w:rsid w:val="000E2623"/>
    <w:rsid w:val="000E2871"/>
    <w:rsid w:val="000E2970"/>
    <w:rsid w:val="000E2B93"/>
    <w:rsid w:val="000E3651"/>
    <w:rsid w:val="000E37CE"/>
    <w:rsid w:val="000E3CC1"/>
    <w:rsid w:val="000E3E43"/>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E7B93"/>
    <w:rsid w:val="000E7BC3"/>
    <w:rsid w:val="000E7BCF"/>
    <w:rsid w:val="000F05D5"/>
    <w:rsid w:val="000F0B6F"/>
    <w:rsid w:val="000F0EBD"/>
    <w:rsid w:val="000F1674"/>
    <w:rsid w:val="000F17F9"/>
    <w:rsid w:val="000F1DEB"/>
    <w:rsid w:val="000F33DC"/>
    <w:rsid w:val="000F3491"/>
    <w:rsid w:val="000F3622"/>
    <w:rsid w:val="000F3D02"/>
    <w:rsid w:val="000F3DE6"/>
    <w:rsid w:val="000F41F3"/>
    <w:rsid w:val="000F44E7"/>
    <w:rsid w:val="000F49F1"/>
    <w:rsid w:val="000F4C41"/>
    <w:rsid w:val="000F4FA7"/>
    <w:rsid w:val="000F5205"/>
    <w:rsid w:val="000F536A"/>
    <w:rsid w:val="000F541D"/>
    <w:rsid w:val="000F5AD1"/>
    <w:rsid w:val="000F5E51"/>
    <w:rsid w:val="000F69FA"/>
    <w:rsid w:val="000F6E31"/>
    <w:rsid w:val="000F7577"/>
    <w:rsid w:val="000F7700"/>
    <w:rsid w:val="000F777E"/>
    <w:rsid w:val="000F7974"/>
    <w:rsid w:val="000F7EBD"/>
    <w:rsid w:val="000F7ECD"/>
    <w:rsid w:val="000F7FB5"/>
    <w:rsid w:val="00100317"/>
    <w:rsid w:val="00100BCD"/>
    <w:rsid w:val="001011EC"/>
    <w:rsid w:val="001015A9"/>
    <w:rsid w:val="0010175E"/>
    <w:rsid w:val="001017C1"/>
    <w:rsid w:val="00101D6C"/>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02E"/>
    <w:rsid w:val="0010619C"/>
    <w:rsid w:val="001063C5"/>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B2A"/>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BD3"/>
    <w:rsid w:val="00114E47"/>
    <w:rsid w:val="001157FE"/>
    <w:rsid w:val="00115A20"/>
    <w:rsid w:val="00116647"/>
    <w:rsid w:val="00116775"/>
    <w:rsid w:val="00116F84"/>
    <w:rsid w:val="00117D7A"/>
    <w:rsid w:val="00120112"/>
    <w:rsid w:val="00120EA1"/>
    <w:rsid w:val="0012181E"/>
    <w:rsid w:val="00121821"/>
    <w:rsid w:val="00122048"/>
    <w:rsid w:val="00122135"/>
    <w:rsid w:val="001224FE"/>
    <w:rsid w:val="001228A0"/>
    <w:rsid w:val="001231D8"/>
    <w:rsid w:val="00123EFF"/>
    <w:rsid w:val="001241F7"/>
    <w:rsid w:val="00124D1A"/>
    <w:rsid w:val="001251AF"/>
    <w:rsid w:val="00125654"/>
    <w:rsid w:val="00125BFC"/>
    <w:rsid w:val="00125D0D"/>
    <w:rsid w:val="00125D26"/>
    <w:rsid w:val="00125D9D"/>
    <w:rsid w:val="00126270"/>
    <w:rsid w:val="001263E8"/>
    <w:rsid w:val="00127810"/>
    <w:rsid w:val="00127E38"/>
    <w:rsid w:val="00127E58"/>
    <w:rsid w:val="001301E6"/>
    <w:rsid w:val="00130472"/>
    <w:rsid w:val="001304F2"/>
    <w:rsid w:val="00130C4C"/>
    <w:rsid w:val="00130DAD"/>
    <w:rsid w:val="001313EB"/>
    <w:rsid w:val="00131DD8"/>
    <w:rsid w:val="0013222E"/>
    <w:rsid w:val="00132468"/>
    <w:rsid w:val="00134904"/>
    <w:rsid w:val="001349AB"/>
    <w:rsid w:val="00134F4E"/>
    <w:rsid w:val="00134FB0"/>
    <w:rsid w:val="001350AC"/>
    <w:rsid w:val="00135157"/>
    <w:rsid w:val="001352EC"/>
    <w:rsid w:val="00135E0B"/>
    <w:rsid w:val="001361A8"/>
    <w:rsid w:val="00136323"/>
    <w:rsid w:val="001364E0"/>
    <w:rsid w:val="001365A5"/>
    <w:rsid w:val="001368CC"/>
    <w:rsid w:val="00136EDC"/>
    <w:rsid w:val="00137105"/>
    <w:rsid w:val="001372CA"/>
    <w:rsid w:val="0013744F"/>
    <w:rsid w:val="001375E1"/>
    <w:rsid w:val="00137711"/>
    <w:rsid w:val="001377CB"/>
    <w:rsid w:val="00137AFD"/>
    <w:rsid w:val="0014012A"/>
    <w:rsid w:val="001409AB"/>
    <w:rsid w:val="00140AD8"/>
    <w:rsid w:val="00140BA8"/>
    <w:rsid w:val="00140BE4"/>
    <w:rsid w:val="001411DE"/>
    <w:rsid w:val="00141399"/>
    <w:rsid w:val="00141A0B"/>
    <w:rsid w:val="00141AF4"/>
    <w:rsid w:val="00142E09"/>
    <w:rsid w:val="00143291"/>
    <w:rsid w:val="0014362C"/>
    <w:rsid w:val="0014377B"/>
    <w:rsid w:val="00143836"/>
    <w:rsid w:val="00143C53"/>
    <w:rsid w:val="00143D3A"/>
    <w:rsid w:val="0014412A"/>
    <w:rsid w:val="00144B0C"/>
    <w:rsid w:val="00145462"/>
    <w:rsid w:val="00145631"/>
    <w:rsid w:val="00145F65"/>
    <w:rsid w:val="001460E0"/>
    <w:rsid w:val="0014685C"/>
    <w:rsid w:val="00146902"/>
    <w:rsid w:val="00146D94"/>
    <w:rsid w:val="00146DFA"/>
    <w:rsid w:val="00147EAC"/>
    <w:rsid w:val="0015018D"/>
    <w:rsid w:val="00150228"/>
    <w:rsid w:val="001502C3"/>
    <w:rsid w:val="001504E8"/>
    <w:rsid w:val="00150536"/>
    <w:rsid w:val="0015076E"/>
    <w:rsid w:val="00151232"/>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506"/>
    <w:rsid w:val="001557A9"/>
    <w:rsid w:val="00155878"/>
    <w:rsid w:val="0015599D"/>
    <w:rsid w:val="00155A36"/>
    <w:rsid w:val="00155BDC"/>
    <w:rsid w:val="001567E3"/>
    <w:rsid w:val="001574A5"/>
    <w:rsid w:val="0015755C"/>
    <w:rsid w:val="001600C9"/>
    <w:rsid w:val="00160308"/>
    <w:rsid w:val="0016052B"/>
    <w:rsid w:val="00160957"/>
    <w:rsid w:val="00160B56"/>
    <w:rsid w:val="0016121C"/>
    <w:rsid w:val="0016159C"/>
    <w:rsid w:val="001617E3"/>
    <w:rsid w:val="001617F5"/>
    <w:rsid w:val="00161833"/>
    <w:rsid w:val="00161E0F"/>
    <w:rsid w:val="00161E62"/>
    <w:rsid w:val="0016219F"/>
    <w:rsid w:val="00162797"/>
    <w:rsid w:val="00162A20"/>
    <w:rsid w:val="00163944"/>
    <w:rsid w:val="00163E08"/>
    <w:rsid w:val="00164CAE"/>
    <w:rsid w:val="00164CD1"/>
    <w:rsid w:val="00165157"/>
    <w:rsid w:val="001655BD"/>
    <w:rsid w:val="00165810"/>
    <w:rsid w:val="001658B7"/>
    <w:rsid w:val="00165DD6"/>
    <w:rsid w:val="00165E36"/>
    <w:rsid w:val="00165F72"/>
    <w:rsid w:val="0016614B"/>
    <w:rsid w:val="00166286"/>
    <w:rsid w:val="001662AE"/>
    <w:rsid w:val="0016647C"/>
    <w:rsid w:val="001665FD"/>
    <w:rsid w:val="00166A4C"/>
    <w:rsid w:val="00166AD3"/>
    <w:rsid w:val="00167A23"/>
    <w:rsid w:val="00167A72"/>
    <w:rsid w:val="00167E48"/>
    <w:rsid w:val="00167EF9"/>
    <w:rsid w:val="0017080F"/>
    <w:rsid w:val="00170972"/>
    <w:rsid w:val="00170AE3"/>
    <w:rsid w:val="00170BD4"/>
    <w:rsid w:val="001711E3"/>
    <w:rsid w:val="00171620"/>
    <w:rsid w:val="00171647"/>
    <w:rsid w:val="00171AA0"/>
    <w:rsid w:val="00171B26"/>
    <w:rsid w:val="00171F36"/>
    <w:rsid w:val="00171FF6"/>
    <w:rsid w:val="00172132"/>
    <w:rsid w:val="001721E5"/>
    <w:rsid w:val="00172464"/>
    <w:rsid w:val="0017250A"/>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890"/>
    <w:rsid w:val="00175CF4"/>
    <w:rsid w:val="001763FA"/>
    <w:rsid w:val="001763FC"/>
    <w:rsid w:val="00176592"/>
    <w:rsid w:val="00176711"/>
    <w:rsid w:val="00176AA6"/>
    <w:rsid w:val="00176E7D"/>
    <w:rsid w:val="00177026"/>
    <w:rsid w:val="001770F1"/>
    <w:rsid w:val="00177187"/>
    <w:rsid w:val="001773BC"/>
    <w:rsid w:val="00177962"/>
    <w:rsid w:val="00177A0F"/>
    <w:rsid w:val="00177FC0"/>
    <w:rsid w:val="00180350"/>
    <w:rsid w:val="00180887"/>
    <w:rsid w:val="00180A83"/>
    <w:rsid w:val="00180BE1"/>
    <w:rsid w:val="001810BE"/>
    <w:rsid w:val="001813AB"/>
    <w:rsid w:val="001814B0"/>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0FB7"/>
    <w:rsid w:val="001912D2"/>
    <w:rsid w:val="001912FB"/>
    <w:rsid w:val="00191364"/>
    <w:rsid w:val="001913AE"/>
    <w:rsid w:val="00191571"/>
    <w:rsid w:val="00191608"/>
    <w:rsid w:val="00191664"/>
    <w:rsid w:val="0019171E"/>
    <w:rsid w:val="0019186C"/>
    <w:rsid w:val="00191A11"/>
    <w:rsid w:val="00191BB9"/>
    <w:rsid w:val="00191C5B"/>
    <w:rsid w:val="00192065"/>
    <w:rsid w:val="001923DE"/>
    <w:rsid w:val="001924E0"/>
    <w:rsid w:val="00193E8E"/>
    <w:rsid w:val="001941AA"/>
    <w:rsid w:val="00194F73"/>
    <w:rsid w:val="00195EC2"/>
    <w:rsid w:val="00195F99"/>
    <w:rsid w:val="001961F4"/>
    <w:rsid w:val="0019675B"/>
    <w:rsid w:val="00196B03"/>
    <w:rsid w:val="00196E21"/>
    <w:rsid w:val="001976FE"/>
    <w:rsid w:val="00197FA3"/>
    <w:rsid w:val="001A016C"/>
    <w:rsid w:val="001A01DB"/>
    <w:rsid w:val="001A0422"/>
    <w:rsid w:val="001A0556"/>
    <w:rsid w:val="001A0A8E"/>
    <w:rsid w:val="001A0DF3"/>
    <w:rsid w:val="001A0EB3"/>
    <w:rsid w:val="001A0F23"/>
    <w:rsid w:val="001A102F"/>
    <w:rsid w:val="001A1A27"/>
    <w:rsid w:val="001A1CCC"/>
    <w:rsid w:val="001A1ED0"/>
    <w:rsid w:val="001A2265"/>
    <w:rsid w:val="001A2A79"/>
    <w:rsid w:val="001A2A95"/>
    <w:rsid w:val="001A2E71"/>
    <w:rsid w:val="001A305E"/>
    <w:rsid w:val="001A35A6"/>
    <w:rsid w:val="001A368A"/>
    <w:rsid w:val="001A379E"/>
    <w:rsid w:val="001A3963"/>
    <w:rsid w:val="001A3EE9"/>
    <w:rsid w:val="001A4130"/>
    <w:rsid w:val="001A41DF"/>
    <w:rsid w:val="001A43F5"/>
    <w:rsid w:val="001A4E0E"/>
    <w:rsid w:val="001A4E8C"/>
    <w:rsid w:val="001A4E91"/>
    <w:rsid w:val="001A4EF7"/>
    <w:rsid w:val="001A4F6E"/>
    <w:rsid w:val="001A5175"/>
    <w:rsid w:val="001A5ABD"/>
    <w:rsid w:val="001A5CE0"/>
    <w:rsid w:val="001A60E2"/>
    <w:rsid w:val="001A6202"/>
    <w:rsid w:val="001A670B"/>
    <w:rsid w:val="001A69BD"/>
    <w:rsid w:val="001A69F0"/>
    <w:rsid w:val="001A75F8"/>
    <w:rsid w:val="001A79AA"/>
    <w:rsid w:val="001A7C0D"/>
    <w:rsid w:val="001A7F95"/>
    <w:rsid w:val="001B07B0"/>
    <w:rsid w:val="001B0992"/>
    <w:rsid w:val="001B0AC4"/>
    <w:rsid w:val="001B0DEF"/>
    <w:rsid w:val="001B1120"/>
    <w:rsid w:val="001B12B9"/>
    <w:rsid w:val="001B15E2"/>
    <w:rsid w:val="001B163A"/>
    <w:rsid w:val="001B253D"/>
    <w:rsid w:val="001B277C"/>
    <w:rsid w:val="001B2A6F"/>
    <w:rsid w:val="001B2C6A"/>
    <w:rsid w:val="001B2CDC"/>
    <w:rsid w:val="001B2D5C"/>
    <w:rsid w:val="001B2F19"/>
    <w:rsid w:val="001B3216"/>
    <w:rsid w:val="001B321F"/>
    <w:rsid w:val="001B35ED"/>
    <w:rsid w:val="001B369D"/>
    <w:rsid w:val="001B377A"/>
    <w:rsid w:val="001B3B84"/>
    <w:rsid w:val="001B450E"/>
    <w:rsid w:val="001B46DB"/>
    <w:rsid w:val="001B4B48"/>
    <w:rsid w:val="001B4D8E"/>
    <w:rsid w:val="001B4F75"/>
    <w:rsid w:val="001B50CD"/>
    <w:rsid w:val="001B5BB8"/>
    <w:rsid w:val="001B5DDB"/>
    <w:rsid w:val="001B62D3"/>
    <w:rsid w:val="001B63A4"/>
    <w:rsid w:val="001B74F4"/>
    <w:rsid w:val="001B75DC"/>
    <w:rsid w:val="001C0049"/>
    <w:rsid w:val="001C0136"/>
    <w:rsid w:val="001C0A6E"/>
    <w:rsid w:val="001C0AD1"/>
    <w:rsid w:val="001C0BCC"/>
    <w:rsid w:val="001C1015"/>
    <w:rsid w:val="001C117D"/>
    <w:rsid w:val="001C1497"/>
    <w:rsid w:val="001C17BA"/>
    <w:rsid w:val="001C1F9C"/>
    <w:rsid w:val="001C226A"/>
    <w:rsid w:val="001C236E"/>
    <w:rsid w:val="001C2420"/>
    <w:rsid w:val="001C29E7"/>
    <w:rsid w:val="001C2CFD"/>
    <w:rsid w:val="001C32C6"/>
    <w:rsid w:val="001C32E7"/>
    <w:rsid w:val="001C37A9"/>
    <w:rsid w:val="001C3B7B"/>
    <w:rsid w:val="001C3DDB"/>
    <w:rsid w:val="001C3E2D"/>
    <w:rsid w:val="001C48C7"/>
    <w:rsid w:val="001C4A9E"/>
    <w:rsid w:val="001C5B53"/>
    <w:rsid w:val="001C6CAB"/>
    <w:rsid w:val="001C6CC1"/>
    <w:rsid w:val="001C6E96"/>
    <w:rsid w:val="001C6EA0"/>
    <w:rsid w:val="001C7130"/>
    <w:rsid w:val="001C78A9"/>
    <w:rsid w:val="001C7901"/>
    <w:rsid w:val="001C7E70"/>
    <w:rsid w:val="001D0068"/>
    <w:rsid w:val="001D00F4"/>
    <w:rsid w:val="001D01C6"/>
    <w:rsid w:val="001D092F"/>
    <w:rsid w:val="001D0A3F"/>
    <w:rsid w:val="001D0F8C"/>
    <w:rsid w:val="001D124A"/>
    <w:rsid w:val="001D15CD"/>
    <w:rsid w:val="001D1AEF"/>
    <w:rsid w:val="001D1CDC"/>
    <w:rsid w:val="001D244E"/>
    <w:rsid w:val="001D24A4"/>
    <w:rsid w:val="001D24F1"/>
    <w:rsid w:val="001D29D9"/>
    <w:rsid w:val="001D3088"/>
    <w:rsid w:val="001D3AD1"/>
    <w:rsid w:val="001D4341"/>
    <w:rsid w:val="001D478B"/>
    <w:rsid w:val="001D4943"/>
    <w:rsid w:val="001D4970"/>
    <w:rsid w:val="001D4A4E"/>
    <w:rsid w:val="001D4BD7"/>
    <w:rsid w:val="001D4F24"/>
    <w:rsid w:val="001D5116"/>
    <w:rsid w:val="001D5F02"/>
    <w:rsid w:val="001D609E"/>
    <w:rsid w:val="001D6186"/>
    <w:rsid w:val="001D6242"/>
    <w:rsid w:val="001D62AF"/>
    <w:rsid w:val="001D637E"/>
    <w:rsid w:val="001D6652"/>
    <w:rsid w:val="001D69E5"/>
    <w:rsid w:val="001D6A1A"/>
    <w:rsid w:val="001D6B3D"/>
    <w:rsid w:val="001D6F8F"/>
    <w:rsid w:val="001D7104"/>
    <w:rsid w:val="001D7A8E"/>
    <w:rsid w:val="001D7FE3"/>
    <w:rsid w:val="001E0569"/>
    <w:rsid w:val="001E075F"/>
    <w:rsid w:val="001E078C"/>
    <w:rsid w:val="001E0933"/>
    <w:rsid w:val="001E0A2A"/>
    <w:rsid w:val="001E1332"/>
    <w:rsid w:val="001E14E8"/>
    <w:rsid w:val="001E1627"/>
    <w:rsid w:val="001E18BD"/>
    <w:rsid w:val="001E1DBA"/>
    <w:rsid w:val="001E1EF2"/>
    <w:rsid w:val="001E243E"/>
    <w:rsid w:val="001E251A"/>
    <w:rsid w:val="001E290B"/>
    <w:rsid w:val="001E2B37"/>
    <w:rsid w:val="001E2BC2"/>
    <w:rsid w:val="001E3613"/>
    <w:rsid w:val="001E37B7"/>
    <w:rsid w:val="001E385F"/>
    <w:rsid w:val="001E39E4"/>
    <w:rsid w:val="001E3BA1"/>
    <w:rsid w:val="001E414C"/>
    <w:rsid w:val="001E42CE"/>
    <w:rsid w:val="001E490C"/>
    <w:rsid w:val="001E4C68"/>
    <w:rsid w:val="001E50FD"/>
    <w:rsid w:val="001E5164"/>
    <w:rsid w:val="001E5310"/>
    <w:rsid w:val="001E5482"/>
    <w:rsid w:val="001E585C"/>
    <w:rsid w:val="001E59DC"/>
    <w:rsid w:val="001E5DD7"/>
    <w:rsid w:val="001E5EEE"/>
    <w:rsid w:val="001E604E"/>
    <w:rsid w:val="001E63A3"/>
    <w:rsid w:val="001E66FB"/>
    <w:rsid w:val="001E690D"/>
    <w:rsid w:val="001E6B7D"/>
    <w:rsid w:val="001E6E10"/>
    <w:rsid w:val="001E7003"/>
    <w:rsid w:val="001E7358"/>
    <w:rsid w:val="001E7C72"/>
    <w:rsid w:val="001E7D64"/>
    <w:rsid w:val="001E7EDD"/>
    <w:rsid w:val="001F00FD"/>
    <w:rsid w:val="001F023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03"/>
    <w:rsid w:val="001F43D2"/>
    <w:rsid w:val="001F44B4"/>
    <w:rsid w:val="001F44D3"/>
    <w:rsid w:val="001F4510"/>
    <w:rsid w:val="001F4B3A"/>
    <w:rsid w:val="001F5092"/>
    <w:rsid w:val="001F575D"/>
    <w:rsid w:val="001F58D3"/>
    <w:rsid w:val="001F65A4"/>
    <w:rsid w:val="001F65E0"/>
    <w:rsid w:val="001F68F0"/>
    <w:rsid w:val="001F6CBC"/>
    <w:rsid w:val="001F6E2B"/>
    <w:rsid w:val="001F6EE3"/>
    <w:rsid w:val="001F6FCE"/>
    <w:rsid w:val="001F7362"/>
    <w:rsid w:val="001F78AE"/>
    <w:rsid w:val="001F7AE9"/>
    <w:rsid w:val="001F7CFD"/>
    <w:rsid w:val="001F7E00"/>
    <w:rsid w:val="002011D5"/>
    <w:rsid w:val="00201205"/>
    <w:rsid w:val="00201C2D"/>
    <w:rsid w:val="00203117"/>
    <w:rsid w:val="00203367"/>
    <w:rsid w:val="00203590"/>
    <w:rsid w:val="00203974"/>
    <w:rsid w:val="0020398A"/>
    <w:rsid w:val="00203D1B"/>
    <w:rsid w:val="00204438"/>
    <w:rsid w:val="002049A8"/>
    <w:rsid w:val="00204A44"/>
    <w:rsid w:val="002056BA"/>
    <w:rsid w:val="00205D33"/>
    <w:rsid w:val="00205D9C"/>
    <w:rsid w:val="00206147"/>
    <w:rsid w:val="002064F3"/>
    <w:rsid w:val="002067DB"/>
    <w:rsid w:val="002069A8"/>
    <w:rsid w:val="002069EC"/>
    <w:rsid w:val="00206DF8"/>
    <w:rsid w:val="00206EE7"/>
    <w:rsid w:val="0020789A"/>
    <w:rsid w:val="00207C83"/>
    <w:rsid w:val="0021068B"/>
    <w:rsid w:val="00210763"/>
    <w:rsid w:val="00210869"/>
    <w:rsid w:val="0021103C"/>
    <w:rsid w:val="0021145D"/>
    <w:rsid w:val="002116AD"/>
    <w:rsid w:val="00211999"/>
    <w:rsid w:val="002123A4"/>
    <w:rsid w:val="002126CD"/>
    <w:rsid w:val="00212CB4"/>
    <w:rsid w:val="00213049"/>
    <w:rsid w:val="002134AC"/>
    <w:rsid w:val="00213773"/>
    <w:rsid w:val="00213B0E"/>
    <w:rsid w:val="00213CBC"/>
    <w:rsid w:val="002141FB"/>
    <w:rsid w:val="002141FF"/>
    <w:rsid w:val="00214360"/>
    <w:rsid w:val="00214404"/>
    <w:rsid w:val="002144D3"/>
    <w:rsid w:val="0021466B"/>
    <w:rsid w:val="002146CA"/>
    <w:rsid w:val="0021476F"/>
    <w:rsid w:val="002147D6"/>
    <w:rsid w:val="0021575B"/>
    <w:rsid w:val="00215783"/>
    <w:rsid w:val="0021580D"/>
    <w:rsid w:val="00215FE0"/>
    <w:rsid w:val="0021669B"/>
    <w:rsid w:val="00216876"/>
    <w:rsid w:val="002174A3"/>
    <w:rsid w:val="0021779E"/>
    <w:rsid w:val="0021781A"/>
    <w:rsid w:val="002178E8"/>
    <w:rsid w:val="00217A17"/>
    <w:rsid w:val="00217AC2"/>
    <w:rsid w:val="0022018A"/>
    <w:rsid w:val="002201A1"/>
    <w:rsid w:val="002203CF"/>
    <w:rsid w:val="00220422"/>
    <w:rsid w:val="00220ADA"/>
    <w:rsid w:val="00220B7B"/>
    <w:rsid w:val="00220DF2"/>
    <w:rsid w:val="0022180E"/>
    <w:rsid w:val="00221D11"/>
    <w:rsid w:val="00221FF3"/>
    <w:rsid w:val="002220BA"/>
    <w:rsid w:val="002227B3"/>
    <w:rsid w:val="002228A1"/>
    <w:rsid w:val="002228D9"/>
    <w:rsid w:val="00222CE3"/>
    <w:rsid w:val="00222E98"/>
    <w:rsid w:val="002235D7"/>
    <w:rsid w:val="002239C4"/>
    <w:rsid w:val="002242F9"/>
    <w:rsid w:val="00224617"/>
    <w:rsid w:val="00225430"/>
    <w:rsid w:val="00225591"/>
    <w:rsid w:val="00225690"/>
    <w:rsid w:val="0022574F"/>
    <w:rsid w:val="0022593A"/>
    <w:rsid w:val="00225B52"/>
    <w:rsid w:val="00225CE3"/>
    <w:rsid w:val="002260D7"/>
    <w:rsid w:val="00226B17"/>
    <w:rsid w:val="00226B2D"/>
    <w:rsid w:val="0022712B"/>
    <w:rsid w:val="00227202"/>
    <w:rsid w:val="002272C6"/>
    <w:rsid w:val="002276A4"/>
    <w:rsid w:val="002277C2"/>
    <w:rsid w:val="00227843"/>
    <w:rsid w:val="00227A99"/>
    <w:rsid w:val="00227C8B"/>
    <w:rsid w:val="00230648"/>
    <w:rsid w:val="00230A44"/>
    <w:rsid w:val="00230A52"/>
    <w:rsid w:val="00230EE5"/>
    <w:rsid w:val="00230FA5"/>
    <w:rsid w:val="0023109A"/>
    <w:rsid w:val="00231131"/>
    <w:rsid w:val="0023133A"/>
    <w:rsid w:val="0023170E"/>
    <w:rsid w:val="00231839"/>
    <w:rsid w:val="00231BBF"/>
    <w:rsid w:val="00231E08"/>
    <w:rsid w:val="00231EC3"/>
    <w:rsid w:val="00232621"/>
    <w:rsid w:val="0023262B"/>
    <w:rsid w:val="002326EF"/>
    <w:rsid w:val="00232A33"/>
    <w:rsid w:val="00232A44"/>
    <w:rsid w:val="00232A4E"/>
    <w:rsid w:val="00232EAF"/>
    <w:rsid w:val="00233706"/>
    <w:rsid w:val="00233A7D"/>
    <w:rsid w:val="00233BE5"/>
    <w:rsid w:val="00233F10"/>
    <w:rsid w:val="0023482B"/>
    <w:rsid w:val="0023482C"/>
    <w:rsid w:val="00234AA4"/>
    <w:rsid w:val="00234AE4"/>
    <w:rsid w:val="00234C7F"/>
    <w:rsid w:val="00234E62"/>
    <w:rsid w:val="00234F8F"/>
    <w:rsid w:val="002353D3"/>
    <w:rsid w:val="002356A6"/>
    <w:rsid w:val="00235B63"/>
    <w:rsid w:val="00235FC9"/>
    <w:rsid w:val="00235FEE"/>
    <w:rsid w:val="002361CF"/>
    <w:rsid w:val="00236369"/>
    <w:rsid w:val="0023658F"/>
    <w:rsid w:val="00236872"/>
    <w:rsid w:val="0023688B"/>
    <w:rsid w:val="00236890"/>
    <w:rsid w:val="002368C0"/>
    <w:rsid w:val="00236CC2"/>
    <w:rsid w:val="00236CDE"/>
    <w:rsid w:val="00236DFF"/>
    <w:rsid w:val="00236EED"/>
    <w:rsid w:val="0023763A"/>
    <w:rsid w:val="0023764D"/>
    <w:rsid w:val="00237C47"/>
    <w:rsid w:val="00237D7D"/>
    <w:rsid w:val="00240423"/>
    <w:rsid w:val="002404C4"/>
    <w:rsid w:val="002404D1"/>
    <w:rsid w:val="002404FD"/>
    <w:rsid w:val="002405C8"/>
    <w:rsid w:val="00240D84"/>
    <w:rsid w:val="00240ECB"/>
    <w:rsid w:val="002414F2"/>
    <w:rsid w:val="002415DA"/>
    <w:rsid w:val="00241857"/>
    <w:rsid w:val="00241B31"/>
    <w:rsid w:val="0024285E"/>
    <w:rsid w:val="00242C03"/>
    <w:rsid w:val="00242F79"/>
    <w:rsid w:val="00242FA8"/>
    <w:rsid w:val="0024310E"/>
    <w:rsid w:val="002431BF"/>
    <w:rsid w:val="00243204"/>
    <w:rsid w:val="002432F2"/>
    <w:rsid w:val="0024354E"/>
    <w:rsid w:val="002439BE"/>
    <w:rsid w:val="00243AC5"/>
    <w:rsid w:val="0024405D"/>
    <w:rsid w:val="00244516"/>
    <w:rsid w:val="00244CF8"/>
    <w:rsid w:val="002454F0"/>
    <w:rsid w:val="00245B9E"/>
    <w:rsid w:val="00245C61"/>
    <w:rsid w:val="002460BD"/>
    <w:rsid w:val="002465AC"/>
    <w:rsid w:val="002465EC"/>
    <w:rsid w:val="00246614"/>
    <w:rsid w:val="00246907"/>
    <w:rsid w:val="00246C0E"/>
    <w:rsid w:val="00246E81"/>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152A"/>
    <w:rsid w:val="002520E6"/>
    <w:rsid w:val="00252411"/>
    <w:rsid w:val="002526B9"/>
    <w:rsid w:val="0025279C"/>
    <w:rsid w:val="002528FE"/>
    <w:rsid w:val="00252DD3"/>
    <w:rsid w:val="00252E9D"/>
    <w:rsid w:val="002532EF"/>
    <w:rsid w:val="00253619"/>
    <w:rsid w:val="0025394F"/>
    <w:rsid w:val="00253A34"/>
    <w:rsid w:val="00253B78"/>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02A4"/>
    <w:rsid w:val="002610D8"/>
    <w:rsid w:val="0026146A"/>
    <w:rsid w:val="00261533"/>
    <w:rsid w:val="0026177C"/>
    <w:rsid w:val="00261A25"/>
    <w:rsid w:val="00261A6C"/>
    <w:rsid w:val="00262640"/>
    <w:rsid w:val="002629E2"/>
    <w:rsid w:val="00262B81"/>
    <w:rsid w:val="00262BA8"/>
    <w:rsid w:val="00262BC8"/>
    <w:rsid w:val="00262DCF"/>
    <w:rsid w:val="00263031"/>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B3"/>
    <w:rsid w:val="002670EF"/>
    <w:rsid w:val="002671A2"/>
    <w:rsid w:val="0026720D"/>
    <w:rsid w:val="00267444"/>
    <w:rsid w:val="0026760D"/>
    <w:rsid w:val="00267A38"/>
    <w:rsid w:val="00267A9D"/>
    <w:rsid w:val="00267F5F"/>
    <w:rsid w:val="00270704"/>
    <w:rsid w:val="0027095C"/>
    <w:rsid w:val="00270965"/>
    <w:rsid w:val="00270E31"/>
    <w:rsid w:val="00271252"/>
    <w:rsid w:val="00271E5D"/>
    <w:rsid w:val="00272082"/>
    <w:rsid w:val="00272B9A"/>
    <w:rsid w:val="00272FF2"/>
    <w:rsid w:val="0027349D"/>
    <w:rsid w:val="00273516"/>
    <w:rsid w:val="00273985"/>
    <w:rsid w:val="00273B82"/>
    <w:rsid w:val="00273DB1"/>
    <w:rsid w:val="00273E7A"/>
    <w:rsid w:val="002742D9"/>
    <w:rsid w:val="00274372"/>
    <w:rsid w:val="0027475A"/>
    <w:rsid w:val="0027599F"/>
    <w:rsid w:val="00275F56"/>
    <w:rsid w:val="002760A4"/>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695"/>
    <w:rsid w:val="002846DB"/>
    <w:rsid w:val="0028470C"/>
    <w:rsid w:val="00284B5F"/>
    <w:rsid w:val="0028505D"/>
    <w:rsid w:val="002851D9"/>
    <w:rsid w:val="00285718"/>
    <w:rsid w:val="0028596B"/>
    <w:rsid w:val="00285FB9"/>
    <w:rsid w:val="00286219"/>
    <w:rsid w:val="00286A03"/>
    <w:rsid w:val="00286D4F"/>
    <w:rsid w:val="00286E7A"/>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2D06"/>
    <w:rsid w:val="00293271"/>
    <w:rsid w:val="00293587"/>
    <w:rsid w:val="00293896"/>
    <w:rsid w:val="002939CE"/>
    <w:rsid w:val="00293C5E"/>
    <w:rsid w:val="00293ED1"/>
    <w:rsid w:val="00293FFA"/>
    <w:rsid w:val="002940FF"/>
    <w:rsid w:val="00294540"/>
    <w:rsid w:val="002948F7"/>
    <w:rsid w:val="00294A06"/>
    <w:rsid w:val="00294FFB"/>
    <w:rsid w:val="002950AB"/>
    <w:rsid w:val="002954FD"/>
    <w:rsid w:val="00295893"/>
    <w:rsid w:val="00295FC2"/>
    <w:rsid w:val="00296242"/>
    <w:rsid w:val="00296CE6"/>
    <w:rsid w:val="00296F96"/>
    <w:rsid w:val="002973DF"/>
    <w:rsid w:val="00297D6A"/>
    <w:rsid w:val="002A0190"/>
    <w:rsid w:val="002A0751"/>
    <w:rsid w:val="002A0983"/>
    <w:rsid w:val="002A0BF5"/>
    <w:rsid w:val="002A0E74"/>
    <w:rsid w:val="002A0F2F"/>
    <w:rsid w:val="002A1128"/>
    <w:rsid w:val="002A1431"/>
    <w:rsid w:val="002A158C"/>
    <w:rsid w:val="002A1FFD"/>
    <w:rsid w:val="002A20B9"/>
    <w:rsid w:val="002A222F"/>
    <w:rsid w:val="002A24EB"/>
    <w:rsid w:val="002A257D"/>
    <w:rsid w:val="002A2C5E"/>
    <w:rsid w:val="002A2D66"/>
    <w:rsid w:val="002A3B1E"/>
    <w:rsid w:val="002A428E"/>
    <w:rsid w:val="002A4416"/>
    <w:rsid w:val="002A46FA"/>
    <w:rsid w:val="002A4806"/>
    <w:rsid w:val="002A4861"/>
    <w:rsid w:val="002A4B37"/>
    <w:rsid w:val="002A5227"/>
    <w:rsid w:val="002A5417"/>
    <w:rsid w:val="002A57BC"/>
    <w:rsid w:val="002A581C"/>
    <w:rsid w:val="002A59CE"/>
    <w:rsid w:val="002A5A27"/>
    <w:rsid w:val="002A60BB"/>
    <w:rsid w:val="002A6AA6"/>
    <w:rsid w:val="002A6E8A"/>
    <w:rsid w:val="002A74DB"/>
    <w:rsid w:val="002A753D"/>
    <w:rsid w:val="002B00B5"/>
    <w:rsid w:val="002B00FE"/>
    <w:rsid w:val="002B01B6"/>
    <w:rsid w:val="002B0693"/>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B7402"/>
    <w:rsid w:val="002B78D6"/>
    <w:rsid w:val="002B7BEF"/>
    <w:rsid w:val="002C0144"/>
    <w:rsid w:val="002C092E"/>
    <w:rsid w:val="002C0998"/>
    <w:rsid w:val="002C0CAC"/>
    <w:rsid w:val="002C1F28"/>
    <w:rsid w:val="002C254B"/>
    <w:rsid w:val="002C2575"/>
    <w:rsid w:val="002C25DE"/>
    <w:rsid w:val="002C27E8"/>
    <w:rsid w:val="002C2846"/>
    <w:rsid w:val="002C2ACB"/>
    <w:rsid w:val="002C2F60"/>
    <w:rsid w:val="002C2FF5"/>
    <w:rsid w:val="002C310F"/>
    <w:rsid w:val="002C373F"/>
    <w:rsid w:val="002C387A"/>
    <w:rsid w:val="002C41CB"/>
    <w:rsid w:val="002C433C"/>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1D"/>
    <w:rsid w:val="002D0E7A"/>
    <w:rsid w:val="002D155B"/>
    <w:rsid w:val="002D17F9"/>
    <w:rsid w:val="002D1AD3"/>
    <w:rsid w:val="002D1E0B"/>
    <w:rsid w:val="002D27F0"/>
    <w:rsid w:val="002D312C"/>
    <w:rsid w:val="002D312D"/>
    <w:rsid w:val="002D35F0"/>
    <w:rsid w:val="002D40A5"/>
    <w:rsid w:val="002D4613"/>
    <w:rsid w:val="002D48E1"/>
    <w:rsid w:val="002D4AFB"/>
    <w:rsid w:val="002D5353"/>
    <w:rsid w:val="002D53E9"/>
    <w:rsid w:val="002D5C42"/>
    <w:rsid w:val="002D61C8"/>
    <w:rsid w:val="002D629E"/>
    <w:rsid w:val="002D63B8"/>
    <w:rsid w:val="002D63E8"/>
    <w:rsid w:val="002D6584"/>
    <w:rsid w:val="002D6E9A"/>
    <w:rsid w:val="002D726B"/>
    <w:rsid w:val="002D75DB"/>
    <w:rsid w:val="002D760B"/>
    <w:rsid w:val="002E0067"/>
    <w:rsid w:val="002E02D0"/>
    <w:rsid w:val="002E0489"/>
    <w:rsid w:val="002E04C0"/>
    <w:rsid w:val="002E0544"/>
    <w:rsid w:val="002E0B58"/>
    <w:rsid w:val="002E1377"/>
    <w:rsid w:val="002E1B1B"/>
    <w:rsid w:val="002E1DF4"/>
    <w:rsid w:val="002E1F5F"/>
    <w:rsid w:val="002E2003"/>
    <w:rsid w:val="002E2B57"/>
    <w:rsid w:val="002E2C3B"/>
    <w:rsid w:val="002E2EF8"/>
    <w:rsid w:val="002E39F5"/>
    <w:rsid w:val="002E3C37"/>
    <w:rsid w:val="002E40A8"/>
    <w:rsid w:val="002E4BA7"/>
    <w:rsid w:val="002E4D3D"/>
    <w:rsid w:val="002E54D0"/>
    <w:rsid w:val="002E57C3"/>
    <w:rsid w:val="002E5CA7"/>
    <w:rsid w:val="002E668B"/>
    <w:rsid w:val="002E67E4"/>
    <w:rsid w:val="002E6A3D"/>
    <w:rsid w:val="002E6F77"/>
    <w:rsid w:val="002E7235"/>
    <w:rsid w:val="002E7DEA"/>
    <w:rsid w:val="002E7F97"/>
    <w:rsid w:val="002F01BA"/>
    <w:rsid w:val="002F023E"/>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0DA"/>
    <w:rsid w:val="002F510D"/>
    <w:rsid w:val="002F5264"/>
    <w:rsid w:val="002F5BF6"/>
    <w:rsid w:val="002F5C35"/>
    <w:rsid w:val="002F5F61"/>
    <w:rsid w:val="002F6CB7"/>
    <w:rsid w:val="002F7379"/>
    <w:rsid w:val="002F794F"/>
    <w:rsid w:val="00300081"/>
    <w:rsid w:val="00300191"/>
    <w:rsid w:val="00300216"/>
    <w:rsid w:val="0030023E"/>
    <w:rsid w:val="0030045D"/>
    <w:rsid w:val="0030059B"/>
    <w:rsid w:val="00300ED6"/>
    <w:rsid w:val="00300FC5"/>
    <w:rsid w:val="00301138"/>
    <w:rsid w:val="00301277"/>
    <w:rsid w:val="0030169B"/>
    <w:rsid w:val="00301837"/>
    <w:rsid w:val="003019CD"/>
    <w:rsid w:val="0030252E"/>
    <w:rsid w:val="00302ED0"/>
    <w:rsid w:val="0030338A"/>
    <w:rsid w:val="0030341B"/>
    <w:rsid w:val="003034D2"/>
    <w:rsid w:val="0030373E"/>
    <w:rsid w:val="00303766"/>
    <w:rsid w:val="00303A1B"/>
    <w:rsid w:val="00304152"/>
    <w:rsid w:val="003045BE"/>
    <w:rsid w:val="003050CE"/>
    <w:rsid w:val="00305216"/>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A08"/>
    <w:rsid w:val="00307C94"/>
    <w:rsid w:val="003100A7"/>
    <w:rsid w:val="003106C8"/>
    <w:rsid w:val="003107FF"/>
    <w:rsid w:val="003108A2"/>
    <w:rsid w:val="00310DD1"/>
    <w:rsid w:val="00310DDB"/>
    <w:rsid w:val="00310E3F"/>
    <w:rsid w:val="00311154"/>
    <w:rsid w:val="00311270"/>
    <w:rsid w:val="003115FE"/>
    <w:rsid w:val="0031175D"/>
    <w:rsid w:val="0031185E"/>
    <w:rsid w:val="00311988"/>
    <w:rsid w:val="003119DD"/>
    <w:rsid w:val="00311BB9"/>
    <w:rsid w:val="003120E6"/>
    <w:rsid w:val="00312125"/>
    <w:rsid w:val="00312297"/>
    <w:rsid w:val="0031242B"/>
    <w:rsid w:val="00312781"/>
    <w:rsid w:val="00312D0F"/>
    <w:rsid w:val="00313102"/>
    <w:rsid w:val="00313117"/>
    <w:rsid w:val="00313367"/>
    <w:rsid w:val="0031354F"/>
    <w:rsid w:val="0031399B"/>
    <w:rsid w:val="00314614"/>
    <w:rsid w:val="003146D0"/>
    <w:rsid w:val="00314739"/>
    <w:rsid w:val="00314773"/>
    <w:rsid w:val="00314F8A"/>
    <w:rsid w:val="00315142"/>
    <w:rsid w:val="003151F3"/>
    <w:rsid w:val="003152FA"/>
    <w:rsid w:val="003154DB"/>
    <w:rsid w:val="00315FB2"/>
    <w:rsid w:val="00316779"/>
    <w:rsid w:val="00316EBC"/>
    <w:rsid w:val="00316F5E"/>
    <w:rsid w:val="003172DA"/>
    <w:rsid w:val="0031740C"/>
    <w:rsid w:val="00317698"/>
    <w:rsid w:val="00317804"/>
    <w:rsid w:val="00317A0C"/>
    <w:rsid w:val="00317B21"/>
    <w:rsid w:val="00317DA5"/>
    <w:rsid w:val="00317F93"/>
    <w:rsid w:val="003201D0"/>
    <w:rsid w:val="003205E0"/>
    <w:rsid w:val="00320655"/>
    <w:rsid w:val="003211E5"/>
    <w:rsid w:val="00321386"/>
    <w:rsid w:val="00321788"/>
    <w:rsid w:val="00321848"/>
    <w:rsid w:val="003218ED"/>
    <w:rsid w:val="00321CB3"/>
    <w:rsid w:val="003221E9"/>
    <w:rsid w:val="00322341"/>
    <w:rsid w:val="0032345B"/>
    <w:rsid w:val="003235FE"/>
    <w:rsid w:val="00324331"/>
    <w:rsid w:val="003247C7"/>
    <w:rsid w:val="00324CA8"/>
    <w:rsid w:val="00324D31"/>
    <w:rsid w:val="00324F18"/>
    <w:rsid w:val="00324FF5"/>
    <w:rsid w:val="0032542A"/>
    <w:rsid w:val="003256A0"/>
    <w:rsid w:val="00325CAA"/>
    <w:rsid w:val="0032616E"/>
    <w:rsid w:val="003265DE"/>
    <w:rsid w:val="00326A08"/>
    <w:rsid w:val="003273C2"/>
    <w:rsid w:val="003275D6"/>
    <w:rsid w:val="0032767E"/>
    <w:rsid w:val="0032773C"/>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996"/>
    <w:rsid w:val="00335A53"/>
    <w:rsid w:val="00335DC9"/>
    <w:rsid w:val="00335F8A"/>
    <w:rsid w:val="00335FDF"/>
    <w:rsid w:val="00336A5F"/>
    <w:rsid w:val="00336EE3"/>
    <w:rsid w:val="0033743E"/>
    <w:rsid w:val="00337460"/>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55D"/>
    <w:rsid w:val="0034356C"/>
    <w:rsid w:val="00343628"/>
    <w:rsid w:val="00343860"/>
    <w:rsid w:val="00343AB5"/>
    <w:rsid w:val="00344AD6"/>
    <w:rsid w:val="00344B5D"/>
    <w:rsid w:val="00344CEF"/>
    <w:rsid w:val="00344F44"/>
    <w:rsid w:val="0034511C"/>
    <w:rsid w:val="00345191"/>
    <w:rsid w:val="0034550A"/>
    <w:rsid w:val="00345B7B"/>
    <w:rsid w:val="00345BD7"/>
    <w:rsid w:val="00345FA1"/>
    <w:rsid w:val="0034620C"/>
    <w:rsid w:val="00346579"/>
    <w:rsid w:val="00346C50"/>
    <w:rsid w:val="00346C5A"/>
    <w:rsid w:val="00346C70"/>
    <w:rsid w:val="00346EA4"/>
    <w:rsid w:val="00346FB5"/>
    <w:rsid w:val="003474B3"/>
    <w:rsid w:val="003478FE"/>
    <w:rsid w:val="00347A1B"/>
    <w:rsid w:val="00347C82"/>
    <w:rsid w:val="00347CA3"/>
    <w:rsid w:val="00347F9F"/>
    <w:rsid w:val="00350DC8"/>
    <w:rsid w:val="00351032"/>
    <w:rsid w:val="0035149A"/>
    <w:rsid w:val="00351668"/>
    <w:rsid w:val="003516CC"/>
    <w:rsid w:val="0035197B"/>
    <w:rsid w:val="00352775"/>
    <w:rsid w:val="00352865"/>
    <w:rsid w:val="00352F14"/>
    <w:rsid w:val="003530B3"/>
    <w:rsid w:val="0035351B"/>
    <w:rsid w:val="0035411B"/>
    <w:rsid w:val="0035426E"/>
    <w:rsid w:val="0035460A"/>
    <w:rsid w:val="003546C0"/>
    <w:rsid w:val="00354BCE"/>
    <w:rsid w:val="0035513A"/>
    <w:rsid w:val="00355277"/>
    <w:rsid w:val="0035546F"/>
    <w:rsid w:val="003554BD"/>
    <w:rsid w:val="003554CE"/>
    <w:rsid w:val="00355EA1"/>
    <w:rsid w:val="00356586"/>
    <w:rsid w:val="00356792"/>
    <w:rsid w:val="00357053"/>
    <w:rsid w:val="00357106"/>
    <w:rsid w:val="003571E2"/>
    <w:rsid w:val="003574D7"/>
    <w:rsid w:val="003608C1"/>
    <w:rsid w:val="00360A17"/>
    <w:rsid w:val="00360A82"/>
    <w:rsid w:val="00361062"/>
    <w:rsid w:val="003610F5"/>
    <w:rsid w:val="003612FF"/>
    <w:rsid w:val="0036149C"/>
    <w:rsid w:val="003616F4"/>
    <w:rsid w:val="00361E85"/>
    <w:rsid w:val="003627D4"/>
    <w:rsid w:val="00362B5E"/>
    <w:rsid w:val="00362D31"/>
    <w:rsid w:val="00363569"/>
    <w:rsid w:val="00363615"/>
    <w:rsid w:val="003638E9"/>
    <w:rsid w:val="00363B8F"/>
    <w:rsid w:val="00363D6F"/>
    <w:rsid w:val="00363E54"/>
    <w:rsid w:val="003643A5"/>
    <w:rsid w:val="003647B9"/>
    <w:rsid w:val="00364903"/>
    <w:rsid w:val="00364B98"/>
    <w:rsid w:val="00364C60"/>
    <w:rsid w:val="00364D97"/>
    <w:rsid w:val="0036533F"/>
    <w:rsid w:val="00365370"/>
    <w:rsid w:val="003654F4"/>
    <w:rsid w:val="00365AD8"/>
    <w:rsid w:val="00365C0D"/>
    <w:rsid w:val="003661C9"/>
    <w:rsid w:val="0036622C"/>
    <w:rsid w:val="00366932"/>
    <w:rsid w:val="0036693A"/>
    <w:rsid w:val="00366AFA"/>
    <w:rsid w:val="00366BD9"/>
    <w:rsid w:val="00366C31"/>
    <w:rsid w:val="00366C38"/>
    <w:rsid w:val="00366D1D"/>
    <w:rsid w:val="00366E4E"/>
    <w:rsid w:val="00366FC0"/>
    <w:rsid w:val="003671CE"/>
    <w:rsid w:val="00367389"/>
    <w:rsid w:val="003675D6"/>
    <w:rsid w:val="003676E5"/>
    <w:rsid w:val="003676EA"/>
    <w:rsid w:val="00367886"/>
    <w:rsid w:val="0036791C"/>
    <w:rsid w:val="00367AD9"/>
    <w:rsid w:val="00367CC7"/>
    <w:rsid w:val="00367E68"/>
    <w:rsid w:val="00370219"/>
    <w:rsid w:val="00370397"/>
    <w:rsid w:val="0037051E"/>
    <w:rsid w:val="003705C6"/>
    <w:rsid w:val="00370859"/>
    <w:rsid w:val="00371188"/>
    <w:rsid w:val="00371208"/>
    <w:rsid w:val="00371264"/>
    <w:rsid w:val="003712DC"/>
    <w:rsid w:val="00371381"/>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4D4A"/>
    <w:rsid w:val="00375820"/>
    <w:rsid w:val="00375831"/>
    <w:rsid w:val="00375B14"/>
    <w:rsid w:val="00375D85"/>
    <w:rsid w:val="003760FD"/>
    <w:rsid w:val="00376470"/>
    <w:rsid w:val="003764C0"/>
    <w:rsid w:val="003767BE"/>
    <w:rsid w:val="003769D5"/>
    <w:rsid w:val="00376EC2"/>
    <w:rsid w:val="00377173"/>
    <w:rsid w:val="00377291"/>
    <w:rsid w:val="00377353"/>
    <w:rsid w:val="00377475"/>
    <w:rsid w:val="00377835"/>
    <w:rsid w:val="003779A1"/>
    <w:rsid w:val="00377A8C"/>
    <w:rsid w:val="00377B20"/>
    <w:rsid w:val="00377D1B"/>
    <w:rsid w:val="0038054C"/>
    <w:rsid w:val="0038061C"/>
    <w:rsid w:val="00381168"/>
    <w:rsid w:val="00381483"/>
    <w:rsid w:val="0038157E"/>
    <w:rsid w:val="00381E3D"/>
    <w:rsid w:val="00381FF8"/>
    <w:rsid w:val="003825F3"/>
    <w:rsid w:val="003825F4"/>
    <w:rsid w:val="00382717"/>
    <w:rsid w:val="00382A52"/>
    <w:rsid w:val="00382B75"/>
    <w:rsid w:val="003830DC"/>
    <w:rsid w:val="00383181"/>
    <w:rsid w:val="003831C2"/>
    <w:rsid w:val="00383338"/>
    <w:rsid w:val="0038339B"/>
    <w:rsid w:val="003835AE"/>
    <w:rsid w:val="00383701"/>
    <w:rsid w:val="00383844"/>
    <w:rsid w:val="003840B4"/>
    <w:rsid w:val="00384187"/>
    <w:rsid w:val="0038430D"/>
    <w:rsid w:val="0038458A"/>
    <w:rsid w:val="0038470C"/>
    <w:rsid w:val="00384744"/>
    <w:rsid w:val="00384791"/>
    <w:rsid w:val="00384900"/>
    <w:rsid w:val="00384B71"/>
    <w:rsid w:val="00384D8F"/>
    <w:rsid w:val="00384DCE"/>
    <w:rsid w:val="00384EF8"/>
    <w:rsid w:val="00385205"/>
    <w:rsid w:val="003855B6"/>
    <w:rsid w:val="00385705"/>
    <w:rsid w:val="00385954"/>
    <w:rsid w:val="00385C9A"/>
    <w:rsid w:val="00385ECE"/>
    <w:rsid w:val="00386891"/>
    <w:rsid w:val="00386A21"/>
    <w:rsid w:val="00386BC0"/>
    <w:rsid w:val="0038735C"/>
    <w:rsid w:val="003874B4"/>
    <w:rsid w:val="00387631"/>
    <w:rsid w:val="00387823"/>
    <w:rsid w:val="00390044"/>
    <w:rsid w:val="0039019A"/>
    <w:rsid w:val="003902F4"/>
    <w:rsid w:val="003903FB"/>
    <w:rsid w:val="00390644"/>
    <w:rsid w:val="0039066F"/>
    <w:rsid w:val="00390D50"/>
    <w:rsid w:val="00390EAD"/>
    <w:rsid w:val="00390EAF"/>
    <w:rsid w:val="00391A23"/>
    <w:rsid w:val="00391CBB"/>
    <w:rsid w:val="00391D90"/>
    <w:rsid w:val="00391DDE"/>
    <w:rsid w:val="0039208E"/>
    <w:rsid w:val="003923A6"/>
    <w:rsid w:val="0039257A"/>
    <w:rsid w:val="003928F1"/>
    <w:rsid w:val="00392DDE"/>
    <w:rsid w:val="00393231"/>
    <w:rsid w:val="00393527"/>
    <w:rsid w:val="0039372B"/>
    <w:rsid w:val="0039383D"/>
    <w:rsid w:val="00393E9A"/>
    <w:rsid w:val="00394334"/>
    <w:rsid w:val="0039490B"/>
    <w:rsid w:val="00394DF6"/>
    <w:rsid w:val="00394FE8"/>
    <w:rsid w:val="00395069"/>
    <w:rsid w:val="003955AD"/>
    <w:rsid w:val="00395A0A"/>
    <w:rsid w:val="0039672F"/>
    <w:rsid w:val="00396C46"/>
    <w:rsid w:val="00396CF2"/>
    <w:rsid w:val="0039731A"/>
    <w:rsid w:val="00397BF1"/>
    <w:rsid w:val="00397F75"/>
    <w:rsid w:val="003A0A3F"/>
    <w:rsid w:val="003A0A67"/>
    <w:rsid w:val="003A1273"/>
    <w:rsid w:val="003A1596"/>
    <w:rsid w:val="003A1E57"/>
    <w:rsid w:val="003A1FEA"/>
    <w:rsid w:val="003A2101"/>
    <w:rsid w:val="003A22F1"/>
    <w:rsid w:val="003A344A"/>
    <w:rsid w:val="003A3622"/>
    <w:rsid w:val="003A36D4"/>
    <w:rsid w:val="003A37FF"/>
    <w:rsid w:val="003A3C66"/>
    <w:rsid w:val="003A4139"/>
    <w:rsid w:val="003A4566"/>
    <w:rsid w:val="003A495B"/>
    <w:rsid w:val="003A4B2F"/>
    <w:rsid w:val="003A4C4A"/>
    <w:rsid w:val="003A4D8F"/>
    <w:rsid w:val="003A4F9E"/>
    <w:rsid w:val="003A5033"/>
    <w:rsid w:val="003A53AA"/>
    <w:rsid w:val="003A56EA"/>
    <w:rsid w:val="003A5D4A"/>
    <w:rsid w:val="003A5DD5"/>
    <w:rsid w:val="003A5EEB"/>
    <w:rsid w:val="003A6616"/>
    <w:rsid w:val="003A6C54"/>
    <w:rsid w:val="003A6C62"/>
    <w:rsid w:val="003A701E"/>
    <w:rsid w:val="003A7161"/>
    <w:rsid w:val="003A7200"/>
    <w:rsid w:val="003A75C6"/>
    <w:rsid w:val="003A77CD"/>
    <w:rsid w:val="003A79FF"/>
    <w:rsid w:val="003A7DFF"/>
    <w:rsid w:val="003B00E9"/>
    <w:rsid w:val="003B02DF"/>
    <w:rsid w:val="003B0411"/>
    <w:rsid w:val="003B0547"/>
    <w:rsid w:val="003B0A8B"/>
    <w:rsid w:val="003B0C83"/>
    <w:rsid w:val="003B1083"/>
    <w:rsid w:val="003B12DB"/>
    <w:rsid w:val="003B13B8"/>
    <w:rsid w:val="003B141C"/>
    <w:rsid w:val="003B1742"/>
    <w:rsid w:val="003B1A9A"/>
    <w:rsid w:val="003B1C5D"/>
    <w:rsid w:val="003B1E8A"/>
    <w:rsid w:val="003B1EAD"/>
    <w:rsid w:val="003B1F1C"/>
    <w:rsid w:val="003B23A8"/>
    <w:rsid w:val="003B26B5"/>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9AC"/>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397"/>
    <w:rsid w:val="003C364D"/>
    <w:rsid w:val="003C3B99"/>
    <w:rsid w:val="003C3F73"/>
    <w:rsid w:val="003C40A2"/>
    <w:rsid w:val="003C49D2"/>
    <w:rsid w:val="003C4C65"/>
    <w:rsid w:val="003C53D7"/>
    <w:rsid w:val="003C5519"/>
    <w:rsid w:val="003C5A97"/>
    <w:rsid w:val="003C616B"/>
    <w:rsid w:val="003C625F"/>
    <w:rsid w:val="003C6506"/>
    <w:rsid w:val="003C66EC"/>
    <w:rsid w:val="003C681D"/>
    <w:rsid w:val="003C6BED"/>
    <w:rsid w:val="003C6D86"/>
    <w:rsid w:val="003C7965"/>
    <w:rsid w:val="003C7D06"/>
    <w:rsid w:val="003C7EF7"/>
    <w:rsid w:val="003D0BE3"/>
    <w:rsid w:val="003D0E1F"/>
    <w:rsid w:val="003D1182"/>
    <w:rsid w:val="003D129F"/>
    <w:rsid w:val="003D15BE"/>
    <w:rsid w:val="003D1AE0"/>
    <w:rsid w:val="003D1B5C"/>
    <w:rsid w:val="003D22DA"/>
    <w:rsid w:val="003D23DA"/>
    <w:rsid w:val="003D2D67"/>
    <w:rsid w:val="003D2FB9"/>
    <w:rsid w:val="003D31CC"/>
    <w:rsid w:val="003D35D8"/>
    <w:rsid w:val="003D3779"/>
    <w:rsid w:val="003D3F46"/>
    <w:rsid w:val="003D425A"/>
    <w:rsid w:val="003D46DD"/>
    <w:rsid w:val="003D4866"/>
    <w:rsid w:val="003D4C38"/>
    <w:rsid w:val="003D507A"/>
    <w:rsid w:val="003D61FF"/>
    <w:rsid w:val="003D6280"/>
    <w:rsid w:val="003D66CB"/>
    <w:rsid w:val="003D687A"/>
    <w:rsid w:val="003D68DB"/>
    <w:rsid w:val="003D6903"/>
    <w:rsid w:val="003D6B69"/>
    <w:rsid w:val="003D6E45"/>
    <w:rsid w:val="003D7058"/>
    <w:rsid w:val="003D71A5"/>
    <w:rsid w:val="003D78B4"/>
    <w:rsid w:val="003D79BD"/>
    <w:rsid w:val="003D7A2D"/>
    <w:rsid w:val="003D7C91"/>
    <w:rsid w:val="003E043F"/>
    <w:rsid w:val="003E07F1"/>
    <w:rsid w:val="003E0C8A"/>
    <w:rsid w:val="003E0E8C"/>
    <w:rsid w:val="003E113F"/>
    <w:rsid w:val="003E1418"/>
    <w:rsid w:val="003E1533"/>
    <w:rsid w:val="003E1D6C"/>
    <w:rsid w:val="003E29B5"/>
    <w:rsid w:val="003E2A7E"/>
    <w:rsid w:val="003E3178"/>
    <w:rsid w:val="003E3C3D"/>
    <w:rsid w:val="003E3F44"/>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2C3"/>
    <w:rsid w:val="003E7D53"/>
    <w:rsid w:val="003E7DD3"/>
    <w:rsid w:val="003E7EEA"/>
    <w:rsid w:val="003F01E7"/>
    <w:rsid w:val="003F0E89"/>
    <w:rsid w:val="003F13CB"/>
    <w:rsid w:val="003F1780"/>
    <w:rsid w:val="003F1842"/>
    <w:rsid w:val="003F18CF"/>
    <w:rsid w:val="003F19FF"/>
    <w:rsid w:val="003F1AEE"/>
    <w:rsid w:val="003F1C2B"/>
    <w:rsid w:val="003F2BFE"/>
    <w:rsid w:val="003F2E9B"/>
    <w:rsid w:val="003F3A44"/>
    <w:rsid w:val="003F422B"/>
    <w:rsid w:val="003F5316"/>
    <w:rsid w:val="003F549D"/>
    <w:rsid w:val="003F5F0A"/>
    <w:rsid w:val="003F5F0B"/>
    <w:rsid w:val="003F6320"/>
    <w:rsid w:val="003F6DF4"/>
    <w:rsid w:val="003F6E2E"/>
    <w:rsid w:val="003F7022"/>
    <w:rsid w:val="003F7045"/>
    <w:rsid w:val="003F7263"/>
    <w:rsid w:val="003F7B0D"/>
    <w:rsid w:val="003F7D77"/>
    <w:rsid w:val="00400117"/>
    <w:rsid w:val="004005B8"/>
    <w:rsid w:val="00400A5E"/>
    <w:rsid w:val="00400FAC"/>
    <w:rsid w:val="0040112C"/>
    <w:rsid w:val="004015B0"/>
    <w:rsid w:val="004016AD"/>
    <w:rsid w:val="00401A15"/>
    <w:rsid w:val="00401BC5"/>
    <w:rsid w:val="00401C5B"/>
    <w:rsid w:val="00401DB1"/>
    <w:rsid w:val="004020FB"/>
    <w:rsid w:val="0040228E"/>
    <w:rsid w:val="0040230D"/>
    <w:rsid w:val="004024D7"/>
    <w:rsid w:val="004025F6"/>
    <w:rsid w:val="004028D0"/>
    <w:rsid w:val="00402940"/>
    <w:rsid w:val="00402B50"/>
    <w:rsid w:val="00402BB0"/>
    <w:rsid w:val="00403226"/>
    <w:rsid w:val="00403827"/>
    <w:rsid w:val="00403A91"/>
    <w:rsid w:val="004040E3"/>
    <w:rsid w:val="00404330"/>
    <w:rsid w:val="0040451B"/>
    <w:rsid w:val="00404682"/>
    <w:rsid w:val="00404D4D"/>
    <w:rsid w:val="0040676C"/>
    <w:rsid w:val="00406F4C"/>
    <w:rsid w:val="004072A3"/>
    <w:rsid w:val="004072D0"/>
    <w:rsid w:val="00407514"/>
    <w:rsid w:val="00407CDA"/>
    <w:rsid w:val="0041004D"/>
    <w:rsid w:val="004100FD"/>
    <w:rsid w:val="0041029D"/>
    <w:rsid w:val="00410347"/>
    <w:rsid w:val="004104BF"/>
    <w:rsid w:val="004105D6"/>
    <w:rsid w:val="0041068A"/>
    <w:rsid w:val="004107D1"/>
    <w:rsid w:val="00410DEC"/>
    <w:rsid w:val="004110D1"/>
    <w:rsid w:val="0041138F"/>
    <w:rsid w:val="004118D5"/>
    <w:rsid w:val="00411A7A"/>
    <w:rsid w:val="004120A7"/>
    <w:rsid w:val="00412491"/>
    <w:rsid w:val="00412A4B"/>
    <w:rsid w:val="00412D1C"/>
    <w:rsid w:val="00412D45"/>
    <w:rsid w:val="00412EF3"/>
    <w:rsid w:val="004130AB"/>
    <w:rsid w:val="00413212"/>
    <w:rsid w:val="00413273"/>
    <w:rsid w:val="0041330A"/>
    <w:rsid w:val="004133CD"/>
    <w:rsid w:val="00413549"/>
    <w:rsid w:val="004135C7"/>
    <w:rsid w:val="00413B5E"/>
    <w:rsid w:val="00413C8D"/>
    <w:rsid w:val="00413D8A"/>
    <w:rsid w:val="00414248"/>
    <w:rsid w:val="004142E6"/>
    <w:rsid w:val="00414515"/>
    <w:rsid w:val="00414538"/>
    <w:rsid w:val="0041479C"/>
    <w:rsid w:val="00414DB7"/>
    <w:rsid w:val="00415B61"/>
    <w:rsid w:val="00416635"/>
    <w:rsid w:val="00416787"/>
    <w:rsid w:val="004167F1"/>
    <w:rsid w:val="004171E9"/>
    <w:rsid w:val="00417718"/>
    <w:rsid w:val="004203CA"/>
    <w:rsid w:val="004208D7"/>
    <w:rsid w:val="00420A05"/>
    <w:rsid w:val="00420CA2"/>
    <w:rsid w:val="00421253"/>
    <w:rsid w:val="00421878"/>
    <w:rsid w:val="00421B24"/>
    <w:rsid w:val="00421BF4"/>
    <w:rsid w:val="004228EE"/>
    <w:rsid w:val="00422BB1"/>
    <w:rsid w:val="00422D87"/>
    <w:rsid w:val="0042325A"/>
    <w:rsid w:val="0042336F"/>
    <w:rsid w:val="004234EF"/>
    <w:rsid w:val="0042357D"/>
    <w:rsid w:val="004236CC"/>
    <w:rsid w:val="00423FAC"/>
    <w:rsid w:val="004242F2"/>
    <w:rsid w:val="004249DB"/>
    <w:rsid w:val="00424B95"/>
    <w:rsid w:val="00424C76"/>
    <w:rsid w:val="00425113"/>
    <w:rsid w:val="004251F0"/>
    <w:rsid w:val="00425554"/>
    <w:rsid w:val="0042556A"/>
    <w:rsid w:val="00425A36"/>
    <w:rsid w:val="00425B68"/>
    <w:rsid w:val="00425C9F"/>
    <w:rsid w:val="0042652D"/>
    <w:rsid w:val="004268A5"/>
    <w:rsid w:val="00426E49"/>
    <w:rsid w:val="004271A7"/>
    <w:rsid w:val="0042739A"/>
    <w:rsid w:val="004273AF"/>
    <w:rsid w:val="0042775C"/>
    <w:rsid w:val="004277B9"/>
    <w:rsid w:val="00427A53"/>
    <w:rsid w:val="00427F1C"/>
    <w:rsid w:val="004300E1"/>
    <w:rsid w:val="00430294"/>
    <w:rsid w:val="004309CF"/>
    <w:rsid w:val="00430B44"/>
    <w:rsid w:val="00430BB2"/>
    <w:rsid w:val="00430F27"/>
    <w:rsid w:val="0043104B"/>
    <w:rsid w:val="00431054"/>
    <w:rsid w:val="004314C3"/>
    <w:rsid w:val="00431504"/>
    <w:rsid w:val="0043181D"/>
    <w:rsid w:val="00431E63"/>
    <w:rsid w:val="00431ED0"/>
    <w:rsid w:val="00432454"/>
    <w:rsid w:val="0043246E"/>
    <w:rsid w:val="004325DA"/>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B2C"/>
    <w:rsid w:val="00441E99"/>
    <w:rsid w:val="00442112"/>
    <w:rsid w:val="00442156"/>
    <w:rsid w:val="00442822"/>
    <w:rsid w:val="00442830"/>
    <w:rsid w:val="00442DF0"/>
    <w:rsid w:val="004431B5"/>
    <w:rsid w:val="004437F3"/>
    <w:rsid w:val="004439A2"/>
    <w:rsid w:val="00443A3A"/>
    <w:rsid w:val="00443AE0"/>
    <w:rsid w:val="00443D1A"/>
    <w:rsid w:val="004442B1"/>
    <w:rsid w:val="004443FB"/>
    <w:rsid w:val="0044476D"/>
    <w:rsid w:val="00445064"/>
    <w:rsid w:val="00445172"/>
    <w:rsid w:val="004460C0"/>
    <w:rsid w:val="00446200"/>
    <w:rsid w:val="004469B1"/>
    <w:rsid w:val="00446F55"/>
    <w:rsid w:val="004470DD"/>
    <w:rsid w:val="0044710D"/>
    <w:rsid w:val="00447603"/>
    <w:rsid w:val="00447999"/>
    <w:rsid w:val="00447AC5"/>
    <w:rsid w:val="00447BA8"/>
    <w:rsid w:val="00447EAD"/>
    <w:rsid w:val="004504A7"/>
    <w:rsid w:val="00450899"/>
    <w:rsid w:val="004508B7"/>
    <w:rsid w:val="00450FE9"/>
    <w:rsid w:val="0045119E"/>
    <w:rsid w:val="00451767"/>
    <w:rsid w:val="00451799"/>
    <w:rsid w:val="004518F9"/>
    <w:rsid w:val="00451A7B"/>
    <w:rsid w:val="00451AA6"/>
    <w:rsid w:val="00451AAA"/>
    <w:rsid w:val="00451C8B"/>
    <w:rsid w:val="0045210D"/>
    <w:rsid w:val="00452158"/>
    <w:rsid w:val="004522A6"/>
    <w:rsid w:val="004523E2"/>
    <w:rsid w:val="004525D8"/>
    <w:rsid w:val="00452931"/>
    <w:rsid w:val="004529D7"/>
    <w:rsid w:val="00452A11"/>
    <w:rsid w:val="00452B43"/>
    <w:rsid w:val="00452BE0"/>
    <w:rsid w:val="004531E9"/>
    <w:rsid w:val="00453BF4"/>
    <w:rsid w:val="004541F8"/>
    <w:rsid w:val="00454571"/>
    <w:rsid w:val="004545B4"/>
    <w:rsid w:val="00454743"/>
    <w:rsid w:val="00454A1F"/>
    <w:rsid w:val="00454B2B"/>
    <w:rsid w:val="00454D43"/>
    <w:rsid w:val="0045515B"/>
    <w:rsid w:val="0045524B"/>
    <w:rsid w:val="0045569C"/>
    <w:rsid w:val="004559BE"/>
    <w:rsid w:val="00455AFA"/>
    <w:rsid w:val="00455BA6"/>
    <w:rsid w:val="00455E98"/>
    <w:rsid w:val="00456308"/>
    <w:rsid w:val="00456587"/>
    <w:rsid w:val="004566BE"/>
    <w:rsid w:val="0045682E"/>
    <w:rsid w:val="004568B4"/>
    <w:rsid w:val="00456FF3"/>
    <w:rsid w:val="00457000"/>
    <w:rsid w:val="00457142"/>
    <w:rsid w:val="004573A4"/>
    <w:rsid w:val="00457493"/>
    <w:rsid w:val="00457958"/>
    <w:rsid w:val="00457A45"/>
    <w:rsid w:val="00460288"/>
    <w:rsid w:val="0046115F"/>
    <w:rsid w:val="0046148D"/>
    <w:rsid w:val="00461535"/>
    <w:rsid w:val="00461F26"/>
    <w:rsid w:val="004627CF"/>
    <w:rsid w:val="00462914"/>
    <w:rsid w:val="00462977"/>
    <w:rsid w:val="00462A29"/>
    <w:rsid w:val="00462B3E"/>
    <w:rsid w:val="00462DBA"/>
    <w:rsid w:val="00463249"/>
    <w:rsid w:val="004635B7"/>
    <w:rsid w:val="004637D5"/>
    <w:rsid w:val="00464027"/>
    <w:rsid w:val="004641CB"/>
    <w:rsid w:val="0046443B"/>
    <w:rsid w:val="00464444"/>
    <w:rsid w:val="00464465"/>
    <w:rsid w:val="004649AB"/>
    <w:rsid w:val="00464BC7"/>
    <w:rsid w:val="00464FA5"/>
    <w:rsid w:val="004651B8"/>
    <w:rsid w:val="00465236"/>
    <w:rsid w:val="00465580"/>
    <w:rsid w:val="00465972"/>
    <w:rsid w:val="00465E7E"/>
    <w:rsid w:val="00466759"/>
    <w:rsid w:val="00466BB5"/>
    <w:rsid w:val="004672E8"/>
    <w:rsid w:val="004677E9"/>
    <w:rsid w:val="00467950"/>
    <w:rsid w:val="00467DFF"/>
    <w:rsid w:val="00470535"/>
    <w:rsid w:val="00470D1D"/>
    <w:rsid w:val="00471183"/>
    <w:rsid w:val="0047123C"/>
    <w:rsid w:val="004714F6"/>
    <w:rsid w:val="0047192D"/>
    <w:rsid w:val="00471C66"/>
    <w:rsid w:val="00471DF0"/>
    <w:rsid w:val="00471FC9"/>
    <w:rsid w:val="0047221A"/>
    <w:rsid w:val="00472662"/>
    <w:rsid w:val="0047287F"/>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0C2"/>
    <w:rsid w:val="00477163"/>
    <w:rsid w:val="0047749B"/>
    <w:rsid w:val="00477622"/>
    <w:rsid w:val="00477B0E"/>
    <w:rsid w:val="00477BB5"/>
    <w:rsid w:val="00477EEB"/>
    <w:rsid w:val="004810CB"/>
    <w:rsid w:val="00481688"/>
    <w:rsid w:val="004817E0"/>
    <w:rsid w:val="00481847"/>
    <w:rsid w:val="00481B0D"/>
    <w:rsid w:val="004820E0"/>
    <w:rsid w:val="004822CA"/>
    <w:rsid w:val="00482936"/>
    <w:rsid w:val="00482F36"/>
    <w:rsid w:val="004830A5"/>
    <w:rsid w:val="00483523"/>
    <w:rsid w:val="00483F95"/>
    <w:rsid w:val="00483FA8"/>
    <w:rsid w:val="00484D20"/>
    <w:rsid w:val="004850C1"/>
    <w:rsid w:val="0048511D"/>
    <w:rsid w:val="004851FE"/>
    <w:rsid w:val="00485FBA"/>
    <w:rsid w:val="00485FBD"/>
    <w:rsid w:val="00486058"/>
    <w:rsid w:val="004862DA"/>
    <w:rsid w:val="00486F54"/>
    <w:rsid w:val="004870C9"/>
    <w:rsid w:val="004871B4"/>
    <w:rsid w:val="004872C8"/>
    <w:rsid w:val="004873CF"/>
    <w:rsid w:val="004876DD"/>
    <w:rsid w:val="00490229"/>
    <w:rsid w:val="00490847"/>
    <w:rsid w:val="00490856"/>
    <w:rsid w:val="00490EB6"/>
    <w:rsid w:val="0049178A"/>
    <w:rsid w:val="00491C1D"/>
    <w:rsid w:val="00491DF1"/>
    <w:rsid w:val="00491F16"/>
    <w:rsid w:val="0049203C"/>
    <w:rsid w:val="004920FA"/>
    <w:rsid w:val="00492535"/>
    <w:rsid w:val="00492697"/>
    <w:rsid w:val="00492A0F"/>
    <w:rsid w:val="00493018"/>
    <w:rsid w:val="00493435"/>
    <w:rsid w:val="004934DB"/>
    <w:rsid w:val="00493692"/>
    <w:rsid w:val="0049401D"/>
    <w:rsid w:val="004944AE"/>
    <w:rsid w:val="004949EC"/>
    <w:rsid w:val="00494B28"/>
    <w:rsid w:val="00494D22"/>
    <w:rsid w:val="00495684"/>
    <w:rsid w:val="00495FFF"/>
    <w:rsid w:val="0049630E"/>
    <w:rsid w:val="00496881"/>
    <w:rsid w:val="00496A9F"/>
    <w:rsid w:val="00497358"/>
    <w:rsid w:val="00497FA5"/>
    <w:rsid w:val="004A03B3"/>
    <w:rsid w:val="004A04D5"/>
    <w:rsid w:val="004A0C58"/>
    <w:rsid w:val="004A0DA3"/>
    <w:rsid w:val="004A0F18"/>
    <w:rsid w:val="004A1B07"/>
    <w:rsid w:val="004A22D7"/>
    <w:rsid w:val="004A296D"/>
    <w:rsid w:val="004A2E04"/>
    <w:rsid w:val="004A3226"/>
    <w:rsid w:val="004A38FC"/>
    <w:rsid w:val="004A399F"/>
    <w:rsid w:val="004A3CF4"/>
    <w:rsid w:val="004A3D30"/>
    <w:rsid w:val="004A3E2A"/>
    <w:rsid w:val="004A4096"/>
    <w:rsid w:val="004A4454"/>
    <w:rsid w:val="004A4692"/>
    <w:rsid w:val="004A4789"/>
    <w:rsid w:val="004A48F3"/>
    <w:rsid w:val="004A4ECB"/>
    <w:rsid w:val="004A5151"/>
    <w:rsid w:val="004A572F"/>
    <w:rsid w:val="004A64FD"/>
    <w:rsid w:val="004A655B"/>
    <w:rsid w:val="004A669F"/>
    <w:rsid w:val="004A6796"/>
    <w:rsid w:val="004A6842"/>
    <w:rsid w:val="004A6BA8"/>
    <w:rsid w:val="004A6CC2"/>
    <w:rsid w:val="004A6FDE"/>
    <w:rsid w:val="004A718C"/>
    <w:rsid w:val="004A7610"/>
    <w:rsid w:val="004A7DBE"/>
    <w:rsid w:val="004A7ED3"/>
    <w:rsid w:val="004A7F94"/>
    <w:rsid w:val="004B08AC"/>
    <w:rsid w:val="004B0CCB"/>
    <w:rsid w:val="004B0D88"/>
    <w:rsid w:val="004B11E8"/>
    <w:rsid w:val="004B140C"/>
    <w:rsid w:val="004B1FBE"/>
    <w:rsid w:val="004B206E"/>
    <w:rsid w:val="004B229E"/>
    <w:rsid w:val="004B2812"/>
    <w:rsid w:val="004B29C2"/>
    <w:rsid w:val="004B29E1"/>
    <w:rsid w:val="004B2C52"/>
    <w:rsid w:val="004B2F46"/>
    <w:rsid w:val="004B3639"/>
    <w:rsid w:val="004B395D"/>
    <w:rsid w:val="004B3C4C"/>
    <w:rsid w:val="004B4079"/>
    <w:rsid w:val="004B4194"/>
    <w:rsid w:val="004B457E"/>
    <w:rsid w:val="004B4DA3"/>
    <w:rsid w:val="004B55F0"/>
    <w:rsid w:val="004B56C3"/>
    <w:rsid w:val="004B572F"/>
    <w:rsid w:val="004B5C0B"/>
    <w:rsid w:val="004B5DC0"/>
    <w:rsid w:val="004B6928"/>
    <w:rsid w:val="004B7504"/>
    <w:rsid w:val="004B78A3"/>
    <w:rsid w:val="004B79FA"/>
    <w:rsid w:val="004B7D94"/>
    <w:rsid w:val="004C0BE3"/>
    <w:rsid w:val="004C0E20"/>
    <w:rsid w:val="004C0FB7"/>
    <w:rsid w:val="004C104B"/>
    <w:rsid w:val="004C1315"/>
    <w:rsid w:val="004C164A"/>
    <w:rsid w:val="004C1757"/>
    <w:rsid w:val="004C1F18"/>
    <w:rsid w:val="004C24CB"/>
    <w:rsid w:val="004C2815"/>
    <w:rsid w:val="004C2A69"/>
    <w:rsid w:val="004C2E14"/>
    <w:rsid w:val="004C2FE3"/>
    <w:rsid w:val="004C305A"/>
    <w:rsid w:val="004C32C5"/>
    <w:rsid w:val="004C3365"/>
    <w:rsid w:val="004C35EF"/>
    <w:rsid w:val="004C3BCF"/>
    <w:rsid w:val="004C3F5A"/>
    <w:rsid w:val="004C4322"/>
    <w:rsid w:val="004C4829"/>
    <w:rsid w:val="004C4D30"/>
    <w:rsid w:val="004C4EAB"/>
    <w:rsid w:val="004C4EF9"/>
    <w:rsid w:val="004C5570"/>
    <w:rsid w:val="004C5BD0"/>
    <w:rsid w:val="004C5D52"/>
    <w:rsid w:val="004C5DB0"/>
    <w:rsid w:val="004C60D8"/>
    <w:rsid w:val="004C62EE"/>
    <w:rsid w:val="004C6544"/>
    <w:rsid w:val="004C6A0D"/>
    <w:rsid w:val="004D0913"/>
    <w:rsid w:val="004D1000"/>
    <w:rsid w:val="004D1D27"/>
    <w:rsid w:val="004D21B2"/>
    <w:rsid w:val="004D222A"/>
    <w:rsid w:val="004D284F"/>
    <w:rsid w:val="004D2A1E"/>
    <w:rsid w:val="004D2EC3"/>
    <w:rsid w:val="004D2FF6"/>
    <w:rsid w:val="004D30AA"/>
    <w:rsid w:val="004D3570"/>
    <w:rsid w:val="004D3FD6"/>
    <w:rsid w:val="004D405F"/>
    <w:rsid w:val="004D466D"/>
    <w:rsid w:val="004D468D"/>
    <w:rsid w:val="004D55CA"/>
    <w:rsid w:val="004D5872"/>
    <w:rsid w:val="004D5A27"/>
    <w:rsid w:val="004D5A2A"/>
    <w:rsid w:val="004D5B06"/>
    <w:rsid w:val="004D5D60"/>
    <w:rsid w:val="004D5F0E"/>
    <w:rsid w:val="004D5FD7"/>
    <w:rsid w:val="004D6626"/>
    <w:rsid w:val="004D6758"/>
    <w:rsid w:val="004D75C0"/>
    <w:rsid w:val="004D7B1A"/>
    <w:rsid w:val="004E0830"/>
    <w:rsid w:val="004E0B79"/>
    <w:rsid w:val="004E15E0"/>
    <w:rsid w:val="004E169C"/>
    <w:rsid w:val="004E18EF"/>
    <w:rsid w:val="004E1B61"/>
    <w:rsid w:val="004E1BF0"/>
    <w:rsid w:val="004E1E6A"/>
    <w:rsid w:val="004E22FA"/>
    <w:rsid w:val="004E28E1"/>
    <w:rsid w:val="004E2B01"/>
    <w:rsid w:val="004E2CDA"/>
    <w:rsid w:val="004E34C7"/>
    <w:rsid w:val="004E356A"/>
    <w:rsid w:val="004E375D"/>
    <w:rsid w:val="004E3797"/>
    <w:rsid w:val="004E3850"/>
    <w:rsid w:val="004E3AEB"/>
    <w:rsid w:val="004E3B62"/>
    <w:rsid w:val="004E3FC1"/>
    <w:rsid w:val="004E459E"/>
    <w:rsid w:val="004E4A6C"/>
    <w:rsid w:val="004E5162"/>
    <w:rsid w:val="004E54A4"/>
    <w:rsid w:val="004E561C"/>
    <w:rsid w:val="004E58EA"/>
    <w:rsid w:val="004E5BC1"/>
    <w:rsid w:val="004E5F65"/>
    <w:rsid w:val="004E60BF"/>
    <w:rsid w:val="004E6A1F"/>
    <w:rsid w:val="004E6C7A"/>
    <w:rsid w:val="004E7615"/>
    <w:rsid w:val="004E7AB0"/>
    <w:rsid w:val="004E7CDF"/>
    <w:rsid w:val="004E7DA2"/>
    <w:rsid w:val="004F036A"/>
    <w:rsid w:val="004F045A"/>
    <w:rsid w:val="004F078C"/>
    <w:rsid w:val="004F0D44"/>
    <w:rsid w:val="004F0E1B"/>
    <w:rsid w:val="004F1324"/>
    <w:rsid w:val="004F1C7D"/>
    <w:rsid w:val="004F1D24"/>
    <w:rsid w:val="004F21D2"/>
    <w:rsid w:val="004F2272"/>
    <w:rsid w:val="004F23D5"/>
    <w:rsid w:val="004F2641"/>
    <w:rsid w:val="004F27F3"/>
    <w:rsid w:val="004F29B9"/>
    <w:rsid w:val="004F29ED"/>
    <w:rsid w:val="004F2B8E"/>
    <w:rsid w:val="004F2C85"/>
    <w:rsid w:val="004F2FD1"/>
    <w:rsid w:val="004F32BF"/>
    <w:rsid w:val="004F34B0"/>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2FB"/>
    <w:rsid w:val="004F773F"/>
    <w:rsid w:val="004F7F0F"/>
    <w:rsid w:val="004F7FBC"/>
    <w:rsid w:val="005001AE"/>
    <w:rsid w:val="00500204"/>
    <w:rsid w:val="00500327"/>
    <w:rsid w:val="00500674"/>
    <w:rsid w:val="005007E7"/>
    <w:rsid w:val="00500F0D"/>
    <w:rsid w:val="005012FC"/>
    <w:rsid w:val="00501502"/>
    <w:rsid w:val="005016C0"/>
    <w:rsid w:val="00501D2D"/>
    <w:rsid w:val="00501EBE"/>
    <w:rsid w:val="00502095"/>
    <w:rsid w:val="005024DD"/>
    <w:rsid w:val="00502B78"/>
    <w:rsid w:val="00502DF5"/>
    <w:rsid w:val="00503551"/>
    <w:rsid w:val="00503C93"/>
    <w:rsid w:val="00503F38"/>
    <w:rsid w:val="005043FC"/>
    <w:rsid w:val="00504A55"/>
    <w:rsid w:val="00504F73"/>
    <w:rsid w:val="00505010"/>
    <w:rsid w:val="005050A7"/>
    <w:rsid w:val="005052E2"/>
    <w:rsid w:val="00505F08"/>
    <w:rsid w:val="0050671D"/>
    <w:rsid w:val="0050672C"/>
    <w:rsid w:val="005068E2"/>
    <w:rsid w:val="00506C4C"/>
    <w:rsid w:val="0050700E"/>
    <w:rsid w:val="00507470"/>
    <w:rsid w:val="0050749D"/>
    <w:rsid w:val="0050755F"/>
    <w:rsid w:val="005077D3"/>
    <w:rsid w:val="005079D7"/>
    <w:rsid w:val="00507B2A"/>
    <w:rsid w:val="00507B8E"/>
    <w:rsid w:val="00510890"/>
    <w:rsid w:val="00510A22"/>
    <w:rsid w:val="00510B45"/>
    <w:rsid w:val="00510D8A"/>
    <w:rsid w:val="00510EE8"/>
    <w:rsid w:val="00510FB5"/>
    <w:rsid w:val="00511393"/>
    <w:rsid w:val="0051140E"/>
    <w:rsid w:val="00511C57"/>
    <w:rsid w:val="00511EBC"/>
    <w:rsid w:val="00512561"/>
    <w:rsid w:val="005125D5"/>
    <w:rsid w:val="00512D51"/>
    <w:rsid w:val="00512E95"/>
    <w:rsid w:val="00512EA4"/>
    <w:rsid w:val="00513A5C"/>
    <w:rsid w:val="00513C7D"/>
    <w:rsid w:val="0051418A"/>
    <w:rsid w:val="00514674"/>
    <w:rsid w:val="005146D1"/>
    <w:rsid w:val="0051477F"/>
    <w:rsid w:val="00514C46"/>
    <w:rsid w:val="00515BCF"/>
    <w:rsid w:val="00516083"/>
    <w:rsid w:val="0051635A"/>
    <w:rsid w:val="0051646E"/>
    <w:rsid w:val="005166C3"/>
    <w:rsid w:val="00516A8E"/>
    <w:rsid w:val="00516EA5"/>
    <w:rsid w:val="005179DA"/>
    <w:rsid w:val="00517D9C"/>
    <w:rsid w:val="00517E15"/>
    <w:rsid w:val="00517E2A"/>
    <w:rsid w:val="00520054"/>
    <w:rsid w:val="00520339"/>
    <w:rsid w:val="00520BE0"/>
    <w:rsid w:val="00520C1C"/>
    <w:rsid w:val="00520FC0"/>
    <w:rsid w:val="00521439"/>
    <w:rsid w:val="005214D7"/>
    <w:rsid w:val="005215A6"/>
    <w:rsid w:val="00521643"/>
    <w:rsid w:val="005216CB"/>
    <w:rsid w:val="00522000"/>
    <w:rsid w:val="00522097"/>
    <w:rsid w:val="00522133"/>
    <w:rsid w:val="00522262"/>
    <w:rsid w:val="00522343"/>
    <w:rsid w:val="0052248E"/>
    <w:rsid w:val="0052292E"/>
    <w:rsid w:val="005231C3"/>
    <w:rsid w:val="005232E0"/>
    <w:rsid w:val="0052367F"/>
    <w:rsid w:val="0052373B"/>
    <w:rsid w:val="00523B82"/>
    <w:rsid w:val="00523E00"/>
    <w:rsid w:val="00523F9B"/>
    <w:rsid w:val="0052439F"/>
    <w:rsid w:val="005243EB"/>
    <w:rsid w:val="00524D50"/>
    <w:rsid w:val="005251DF"/>
    <w:rsid w:val="0052548C"/>
    <w:rsid w:val="00525789"/>
    <w:rsid w:val="00525890"/>
    <w:rsid w:val="00526452"/>
    <w:rsid w:val="00526816"/>
    <w:rsid w:val="00526C8A"/>
    <w:rsid w:val="00526F09"/>
    <w:rsid w:val="0052751F"/>
    <w:rsid w:val="00527F4F"/>
    <w:rsid w:val="00530014"/>
    <w:rsid w:val="005301D7"/>
    <w:rsid w:val="00530512"/>
    <w:rsid w:val="00530799"/>
    <w:rsid w:val="0053109F"/>
    <w:rsid w:val="005311E8"/>
    <w:rsid w:val="005312C4"/>
    <w:rsid w:val="0053133A"/>
    <w:rsid w:val="00531822"/>
    <w:rsid w:val="00531858"/>
    <w:rsid w:val="0053231F"/>
    <w:rsid w:val="005326D0"/>
    <w:rsid w:val="005327CB"/>
    <w:rsid w:val="00532800"/>
    <w:rsid w:val="00532A80"/>
    <w:rsid w:val="00532AB3"/>
    <w:rsid w:val="00532FDA"/>
    <w:rsid w:val="005332B3"/>
    <w:rsid w:val="00533EE8"/>
    <w:rsid w:val="0053417D"/>
    <w:rsid w:val="005342AC"/>
    <w:rsid w:val="0053490C"/>
    <w:rsid w:val="00534E86"/>
    <w:rsid w:val="005350D8"/>
    <w:rsid w:val="005350DE"/>
    <w:rsid w:val="00535585"/>
    <w:rsid w:val="00535617"/>
    <w:rsid w:val="00535E96"/>
    <w:rsid w:val="005364DA"/>
    <w:rsid w:val="00536A58"/>
    <w:rsid w:val="00536AB4"/>
    <w:rsid w:val="00537127"/>
    <w:rsid w:val="005375F3"/>
    <w:rsid w:val="0053764B"/>
    <w:rsid w:val="0054069F"/>
    <w:rsid w:val="005408C0"/>
    <w:rsid w:val="00541058"/>
    <w:rsid w:val="00541138"/>
    <w:rsid w:val="00541307"/>
    <w:rsid w:val="00541466"/>
    <w:rsid w:val="005414E0"/>
    <w:rsid w:val="00541512"/>
    <w:rsid w:val="00541B02"/>
    <w:rsid w:val="00541B60"/>
    <w:rsid w:val="00541DB8"/>
    <w:rsid w:val="00541EB5"/>
    <w:rsid w:val="00541F9A"/>
    <w:rsid w:val="00542599"/>
    <w:rsid w:val="00542C2B"/>
    <w:rsid w:val="00542EB4"/>
    <w:rsid w:val="0054341F"/>
    <w:rsid w:val="00543491"/>
    <w:rsid w:val="005435DD"/>
    <w:rsid w:val="005448B9"/>
    <w:rsid w:val="00545136"/>
    <w:rsid w:val="005452C1"/>
    <w:rsid w:val="005455A4"/>
    <w:rsid w:val="00545B42"/>
    <w:rsid w:val="00545E26"/>
    <w:rsid w:val="0054602C"/>
    <w:rsid w:val="0054612B"/>
    <w:rsid w:val="00546B48"/>
    <w:rsid w:val="00547208"/>
    <w:rsid w:val="0054742C"/>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474"/>
    <w:rsid w:val="00554802"/>
    <w:rsid w:val="005548DD"/>
    <w:rsid w:val="00555356"/>
    <w:rsid w:val="00555500"/>
    <w:rsid w:val="00555F05"/>
    <w:rsid w:val="00555FC3"/>
    <w:rsid w:val="00556027"/>
    <w:rsid w:val="00556307"/>
    <w:rsid w:val="00556506"/>
    <w:rsid w:val="0055659A"/>
    <w:rsid w:val="00556731"/>
    <w:rsid w:val="00556E76"/>
    <w:rsid w:val="00557401"/>
    <w:rsid w:val="0055747C"/>
    <w:rsid w:val="00557670"/>
    <w:rsid w:val="00557A15"/>
    <w:rsid w:val="00557D41"/>
    <w:rsid w:val="00557F5B"/>
    <w:rsid w:val="00557FE2"/>
    <w:rsid w:val="00560514"/>
    <w:rsid w:val="0056052C"/>
    <w:rsid w:val="00560729"/>
    <w:rsid w:val="00560901"/>
    <w:rsid w:val="00560A86"/>
    <w:rsid w:val="00560CBC"/>
    <w:rsid w:val="005611D7"/>
    <w:rsid w:val="00561247"/>
    <w:rsid w:val="005615C3"/>
    <w:rsid w:val="00561C64"/>
    <w:rsid w:val="00561DB0"/>
    <w:rsid w:val="00562043"/>
    <w:rsid w:val="00562086"/>
    <w:rsid w:val="0056218D"/>
    <w:rsid w:val="0056276D"/>
    <w:rsid w:val="00562EAD"/>
    <w:rsid w:val="00562EE6"/>
    <w:rsid w:val="00563222"/>
    <w:rsid w:val="0056362C"/>
    <w:rsid w:val="005637FF"/>
    <w:rsid w:val="0056388C"/>
    <w:rsid w:val="005638F6"/>
    <w:rsid w:val="00563AEB"/>
    <w:rsid w:val="00564104"/>
    <w:rsid w:val="00564775"/>
    <w:rsid w:val="00564F5B"/>
    <w:rsid w:val="00565024"/>
    <w:rsid w:val="005658F4"/>
    <w:rsid w:val="00565C64"/>
    <w:rsid w:val="005662F7"/>
    <w:rsid w:val="00566669"/>
    <w:rsid w:val="00566A00"/>
    <w:rsid w:val="00566C28"/>
    <w:rsid w:val="00566EBC"/>
    <w:rsid w:val="00566FC4"/>
    <w:rsid w:val="00567500"/>
    <w:rsid w:val="0056753D"/>
    <w:rsid w:val="00567679"/>
    <w:rsid w:val="00567811"/>
    <w:rsid w:val="00567CD2"/>
    <w:rsid w:val="00567CDA"/>
    <w:rsid w:val="00570163"/>
    <w:rsid w:val="005701B3"/>
    <w:rsid w:val="005702BD"/>
    <w:rsid w:val="005704B1"/>
    <w:rsid w:val="005705C0"/>
    <w:rsid w:val="005709CD"/>
    <w:rsid w:val="00570AB8"/>
    <w:rsid w:val="00570BC4"/>
    <w:rsid w:val="00571D25"/>
    <w:rsid w:val="00571D78"/>
    <w:rsid w:val="00572749"/>
    <w:rsid w:val="00573782"/>
    <w:rsid w:val="005739F4"/>
    <w:rsid w:val="00573A7F"/>
    <w:rsid w:val="00573E60"/>
    <w:rsid w:val="00573EE1"/>
    <w:rsid w:val="0057406C"/>
    <w:rsid w:val="00575051"/>
    <w:rsid w:val="005758E3"/>
    <w:rsid w:val="00576956"/>
    <w:rsid w:val="00576B50"/>
    <w:rsid w:val="00576D35"/>
    <w:rsid w:val="00577702"/>
    <w:rsid w:val="005777C8"/>
    <w:rsid w:val="005779A1"/>
    <w:rsid w:val="00577AD5"/>
    <w:rsid w:val="00577F23"/>
    <w:rsid w:val="00580778"/>
    <w:rsid w:val="00580A72"/>
    <w:rsid w:val="00580BB1"/>
    <w:rsid w:val="0058107B"/>
    <w:rsid w:val="0058149F"/>
    <w:rsid w:val="005815B9"/>
    <w:rsid w:val="0058161B"/>
    <w:rsid w:val="005817A5"/>
    <w:rsid w:val="00581DF3"/>
    <w:rsid w:val="00582853"/>
    <w:rsid w:val="00582893"/>
    <w:rsid w:val="00582C76"/>
    <w:rsid w:val="0058346B"/>
    <w:rsid w:val="00583A87"/>
    <w:rsid w:val="00583B43"/>
    <w:rsid w:val="0058403B"/>
    <w:rsid w:val="005842BA"/>
    <w:rsid w:val="005843E6"/>
    <w:rsid w:val="005845FA"/>
    <w:rsid w:val="00584AC0"/>
    <w:rsid w:val="00584AC3"/>
    <w:rsid w:val="00584D54"/>
    <w:rsid w:val="00585680"/>
    <w:rsid w:val="005856F6"/>
    <w:rsid w:val="00585C21"/>
    <w:rsid w:val="00585E0E"/>
    <w:rsid w:val="00586509"/>
    <w:rsid w:val="005868CF"/>
    <w:rsid w:val="005874CD"/>
    <w:rsid w:val="00587597"/>
    <w:rsid w:val="00587CF2"/>
    <w:rsid w:val="00587EA7"/>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85"/>
    <w:rsid w:val="005938DB"/>
    <w:rsid w:val="005941AA"/>
    <w:rsid w:val="0059431C"/>
    <w:rsid w:val="005949FB"/>
    <w:rsid w:val="00594C1A"/>
    <w:rsid w:val="00595106"/>
    <w:rsid w:val="005952C9"/>
    <w:rsid w:val="00595356"/>
    <w:rsid w:val="00595692"/>
    <w:rsid w:val="00595B7B"/>
    <w:rsid w:val="00595BF2"/>
    <w:rsid w:val="00596020"/>
    <w:rsid w:val="00596103"/>
    <w:rsid w:val="0059632F"/>
    <w:rsid w:val="005969AC"/>
    <w:rsid w:val="00596C39"/>
    <w:rsid w:val="005970D0"/>
    <w:rsid w:val="005972EE"/>
    <w:rsid w:val="00597515"/>
    <w:rsid w:val="00597628"/>
    <w:rsid w:val="00597799"/>
    <w:rsid w:val="005977F9"/>
    <w:rsid w:val="00597A9E"/>
    <w:rsid w:val="00597BA8"/>
    <w:rsid w:val="005A01E7"/>
    <w:rsid w:val="005A02C8"/>
    <w:rsid w:val="005A09E5"/>
    <w:rsid w:val="005A0D0E"/>
    <w:rsid w:val="005A1473"/>
    <w:rsid w:val="005A19FF"/>
    <w:rsid w:val="005A2074"/>
    <w:rsid w:val="005A24AE"/>
    <w:rsid w:val="005A29E1"/>
    <w:rsid w:val="005A318C"/>
    <w:rsid w:val="005A3394"/>
    <w:rsid w:val="005A379B"/>
    <w:rsid w:val="005A403A"/>
    <w:rsid w:val="005A405F"/>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A780F"/>
    <w:rsid w:val="005B018B"/>
    <w:rsid w:val="005B01C4"/>
    <w:rsid w:val="005B024A"/>
    <w:rsid w:val="005B050A"/>
    <w:rsid w:val="005B0711"/>
    <w:rsid w:val="005B089F"/>
    <w:rsid w:val="005B096F"/>
    <w:rsid w:val="005B0987"/>
    <w:rsid w:val="005B0D6C"/>
    <w:rsid w:val="005B0E16"/>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095"/>
    <w:rsid w:val="005B5926"/>
    <w:rsid w:val="005B5A18"/>
    <w:rsid w:val="005B5A74"/>
    <w:rsid w:val="005B5AE4"/>
    <w:rsid w:val="005B5DBE"/>
    <w:rsid w:val="005B63DE"/>
    <w:rsid w:val="005B66DA"/>
    <w:rsid w:val="005B6927"/>
    <w:rsid w:val="005B698D"/>
    <w:rsid w:val="005B6B33"/>
    <w:rsid w:val="005B6B72"/>
    <w:rsid w:val="005B6BFD"/>
    <w:rsid w:val="005B6C22"/>
    <w:rsid w:val="005B6D05"/>
    <w:rsid w:val="005B7331"/>
    <w:rsid w:val="005B75B6"/>
    <w:rsid w:val="005B7E79"/>
    <w:rsid w:val="005B7F6E"/>
    <w:rsid w:val="005C02FF"/>
    <w:rsid w:val="005C0304"/>
    <w:rsid w:val="005C048B"/>
    <w:rsid w:val="005C04B9"/>
    <w:rsid w:val="005C0A7E"/>
    <w:rsid w:val="005C12AC"/>
    <w:rsid w:val="005C1830"/>
    <w:rsid w:val="005C1AEA"/>
    <w:rsid w:val="005C1BED"/>
    <w:rsid w:val="005C1C6D"/>
    <w:rsid w:val="005C1C90"/>
    <w:rsid w:val="005C1CEF"/>
    <w:rsid w:val="005C202D"/>
    <w:rsid w:val="005C230C"/>
    <w:rsid w:val="005C2EDA"/>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1"/>
    <w:rsid w:val="005C572E"/>
    <w:rsid w:val="005C5CDF"/>
    <w:rsid w:val="005C639F"/>
    <w:rsid w:val="005C648C"/>
    <w:rsid w:val="005C677E"/>
    <w:rsid w:val="005C6966"/>
    <w:rsid w:val="005C6CD0"/>
    <w:rsid w:val="005C6F39"/>
    <w:rsid w:val="005C7072"/>
    <w:rsid w:val="005C785E"/>
    <w:rsid w:val="005C78D5"/>
    <w:rsid w:val="005C7939"/>
    <w:rsid w:val="005C7A5E"/>
    <w:rsid w:val="005D00B6"/>
    <w:rsid w:val="005D026B"/>
    <w:rsid w:val="005D02B1"/>
    <w:rsid w:val="005D0EB1"/>
    <w:rsid w:val="005D101F"/>
    <w:rsid w:val="005D1042"/>
    <w:rsid w:val="005D1247"/>
    <w:rsid w:val="005D152F"/>
    <w:rsid w:val="005D16CB"/>
    <w:rsid w:val="005D19B2"/>
    <w:rsid w:val="005D1D60"/>
    <w:rsid w:val="005D205D"/>
    <w:rsid w:val="005D2F54"/>
    <w:rsid w:val="005D33D2"/>
    <w:rsid w:val="005D353D"/>
    <w:rsid w:val="005D3793"/>
    <w:rsid w:val="005D38E1"/>
    <w:rsid w:val="005D391A"/>
    <w:rsid w:val="005D39D0"/>
    <w:rsid w:val="005D3D5F"/>
    <w:rsid w:val="005D3DD7"/>
    <w:rsid w:val="005D3FD5"/>
    <w:rsid w:val="005D42FB"/>
    <w:rsid w:val="005D489A"/>
    <w:rsid w:val="005D4AF1"/>
    <w:rsid w:val="005D570F"/>
    <w:rsid w:val="005D593D"/>
    <w:rsid w:val="005D61CC"/>
    <w:rsid w:val="005D63A5"/>
    <w:rsid w:val="005D69A4"/>
    <w:rsid w:val="005D7173"/>
    <w:rsid w:val="005D75D6"/>
    <w:rsid w:val="005D75D9"/>
    <w:rsid w:val="005D79B5"/>
    <w:rsid w:val="005D7BDA"/>
    <w:rsid w:val="005D7CDA"/>
    <w:rsid w:val="005E0903"/>
    <w:rsid w:val="005E0A1F"/>
    <w:rsid w:val="005E0DEA"/>
    <w:rsid w:val="005E1251"/>
    <w:rsid w:val="005E1667"/>
    <w:rsid w:val="005E168F"/>
    <w:rsid w:val="005E17B3"/>
    <w:rsid w:val="005E1BB5"/>
    <w:rsid w:val="005E1BD6"/>
    <w:rsid w:val="005E1CAB"/>
    <w:rsid w:val="005E1D07"/>
    <w:rsid w:val="005E20D0"/>
    <w:rsid w:val="005E25FE"/>
    <w:rsid w:val="005E2A79"/>
    <w:rsid w:val="005E2D15"/>
    <w:rsid w:val="005E2DEF"/>
    <w:rsid w:val="005E2ED0"/>
    <w:rsid w:val="005E2EDB"/>
    <w:rsid w:val="005E2FB1"/>
    <w:rsid w:val="005E2FC7"/>
    <w:rsid w:val="005E3850"/>
    <w:rsid w:val="005E3EB4"/>
    <w:rsid w:val="005E3ECA"/>
    <w:rsid w:val="005E40C8"/>
    <w:rsid w:val="005E41AB"/>
    <w:rsid w:val="005E43DF"/>
    <w:rsid w:val="005E4540"/>
    <w:rsid w:val="005E48DE"/>
    <w:rsid w:val="005E53F3"/>
    <w:rsid w:val="005E566F"/>
    <w:rsid w:val="005E6212"/>
    <w:rsid w:val="005E64AF"/>
    <w:rsid w:val="005E6A41"/>
    <w:rsid w:val="005E6A53"/>
    <w:rsid w:val="005E6B34"/>
    <w:rsid w:val="005E6BE9"/>
    <w:rsid w:val="005E6C10"/>
    <w:rsid w:val="005E71A5"/>
    <w:rsid w:val="005E777B"/>
    <w:rsid w:val="005E7B54"/>
    <w:rsid w:val="005F032A"/>
    <w:rsid w:val="005F03D5"/>
    <w:rsid w:val="005F0860"/>
    <w:rsid w:val="005F14A7"/>
    <w:rsid w:val="005F1897"/>
    <w:rsid w:val="005F18E4"/>
    <w:rsid w:val="005F1AA3"/>
    <w:rsid w:val="005F1B20"/>
    <w:rsid w:val="005F1D04"/>
    <w:rsid w:val="005F1D9C"/>
    <w:rsid w:val="005F1E18"/>
    <w:rsid w:val="005F2692"/>
    <w:rsid w:val="005F27E0"/>
    <w:rsid w:val="005F27E7"/>
    <w:rsid w:val="005F29C0"/>
    <w:rsid w:val="005F2A66"/>
    <w:rsid w:val="005F2B32"/>
    <w:rsid w:val="005F2B51"/>
    <w:rsid w:val="005F3062"/>
    <w:rsid w:val="005F316B"/>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14B"/>
    <w:rsid w:val="005F764A"/>
    <w:rsid w:val="005F7726"/>
    <w:rsid w:val="005F7891"/>
    <w:rsid w:val="005F79FB"/>
    <w:rsid w:val="0060008E"/>
    <w:rsid w:val="006005C1"/>
    <w:rsid w:val="00600DA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4FE0"/>
    <w:rsid w:val="006052A3"/>
    <w:rsid w:val="006053D8"/>
    <w:rsid w:val="006057CF"/>
    <w:rsid w:val="006059A0"/>
    <w:rsid w:val="00605A1A"/>
    <w:rsid w:val="00605D64"/>
    <w:rsid w:val="00606054"/>
    <w:rsid w:val="006060E9"/>
    <w:rsid w:val="0060611E"/>
    <w:rsid w:val="006063E0"/>
    <w:rsid w:val="0060662B"/>
    <w:rsid w:val="00606906"/>
    <w:rsid w:val="00606B1E"/>
    <w:rsid w:val="00606E39"/>
    <w:rsid w:val="00606EE7"/>
    <w:rsid w:val="00606EEE"/>
    <w:rsid w:val="00606FAA"/>
    <w:rsid w:val="006076C9"/>
    <w:rsid w:val="00607C10"/>
    <w:rsid w:val="006102FA"/>
    <w:rsid w:val="006105B7"/>
    <w:rsid w:val="0061139C"/>
    <w:rsid w:val="00611BA6"/>
    <w:rsid w:val="0061219D"/>
    <w:rsid w:val="00612C4E"/>
    <w:rsid w:val="00612D19"/>
    <w:rsid w:val="0061330F"/>
    <w:rsid w:val="00613530"/>
    <w:rsid w:val="00613641"/>
    <w:rsid w:val="00613B63"/>
    <w:rsid w:val="00613B74"/>
    <w:rsid w:val="00614011"/>
    <w:rsid w:val="00614139"/>
    <w:rsid w:val="00614483"/>
    <w:rsid w:val="0061458C"/>
    <w:rsid w:val="0061478C"/>
    <w:rsid w:val="00614BA8"/>
    <w:rsid w:val="00614DA7"/>
    <w:rsid w:val="0061516E"/>
    <w:rsid w:val="006151BC"/>
    <w:rsid w:val="00615204"/>
    <w:rsid w:val="006154F0"/>
    <w:rsid w:val="00615547"/>
    <w:rsid w:val="006155C8"/>
    <w:rsid w:val="006156F6"/>
    <w:rsid w:val="00615E77"/>
    <w:rsid w:val="006162A3"/>
    <w:rsid w:val="00616C7D"/>
    <w:rsid w:val="00617110"/>
    <w:rsid w:val="0061735F"/>
    <w:rsid w:val="00617BF8"/>
    <w:rsid w:val="00617EF5"/>
    <w:rsid w:val="00620024"/>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001"/>
    <w:rsid w:val="00622789"/>
    <w:rsid w:val="00622DD1"/>
    <w:rsid w:val="00623060"/>
    <w:rsid w:val="006233C1"/>
    <w:rsid w:val="00623DD3"/>
    <w:rsid w:val="00624121"/>
    <w:rsid w:val="00624475"/>
    <w:rsid w:val="00624649"/>
    <w:rsid w:val="006249A7"/>
    <w:rsid w:val="006249D1"/>
    <w:rsid w:val="00624D4F"/>
    <w:rsid w:val="00624F05"/>
    <w:rsid w:val="00625713"/>
    <w:rsid w:val="006257BC"/>
    <w:rsid w:val="00625B22"/>
    <w:rsid w:val="00625B78"/>
    <w:rsid w:val="00625C53"/>
    <w:rsid w:val="00625EEA"/>
    <w:rsid w:val="006262B8"/>
    <w:rsid w:val="00626415"/>
    <w:rsid w:val="006274C2"/>
    <w:rsid w:val="0062757E"/>
    <w:rsid w:val="0062768B"/>
    <w:rsid w:val="00627867"/>
    <w:rsid w:val="006278BA"/>
    <w:rsid w:val="00627A49"/>
    <w:rsid w:val="00627D60"/>
    <w:rsid w:val="00627E30"/>
    <w:rsid w:val="006303FC"/>
    <w:rsid w:val="006309D1"/>
    <w:rsid w:val="00631716"/>
    <w:rsid w:val="0063179F"/>
    <w:rsid w:val="006317A4"/>
    <w:rsid w:val="0063180D"/>
    <w:rsid w:val="00632259"/>
    <w:rsid w:val="00632765"/>
    <w:rsid w:val="006328C9"/>
    <w:rsid w:val="00632CD8"/>
    <w:rsid w:val="00632DD8"/>
    <w:rsid w:val="0063366E"/>
    <w:rsid w:val="0063372E"/>
    <w:rsid w:val="00633799"/>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0BE"/>
    <w:rsid w:val="00642453"/>
    <w:rsid w:val="006443B2"/>
    <w:rsid w:val="00644504"/>
    <w:rsid w:val="006446E9"/>
    <w:rsid w:val="0064476E"/>
    <w:rsid w:val="0064487F"/>
    <w:rsid w:val="00644F08"/>
    <w:rsid w:val="00645210"/>
    <w:rsid w:val="00645574"/>
    <w:rsid w:val="006457BB"/>
    <w:rsid w:val="00645933"/>
    <w:rsid w:val="006459B3"/>
    <w:rsid w:val="00645BAB"/>
    <w:rsid w:val="00645D57"/>
    <w:rsid w:val="00645DEE"/>
    <w:rsid w:val="00645F16"/>
    <w:rsid w:val="00645F3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2CD9"/>
    <w:rsid w:val="006532C5"/>
    <w:rsid w:val="006537C5"/>
    <w:rsid w:val="00653AC4"/>
    <w:rsid w:val="00653C52"/>
    <w:rsid w:val="00653F50"/>
    <w:rsid w:val="00654086"/>
    <w:rsid w:val="006540A5"/>
    <w:rsid w:val="006540C1"/>
    <w:rsid w:val="00654642"/>
    <w:rsid w:val="00654AF4"/>
    <w:rsid w:val="00654BB0"/>
    <w:rsid w:val="00654BF9"/>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8E0"/>
    <w:rsid w:val="00660B4D"/>
    <w:rsid w:val="00660BFB"/>
    <w:rsid w:val="00660E23"/>
    <w:rsid w:val="00661533"/>
    <w:rsid w:val="006620DB"/>
    <w:rsid w:val="00662192"/>
    <w:rsid w:val="00662A21"/>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1CB3"/>
    <w:rsid w:val="0067269F"/>
    <w:rsid w:val="006726CB"/>
    <w:rsid w:val="0067272F"/>
    <w:rsid w:val="006727D4"/>
    <w:rsid w:val="00672A24"/>
    <w:rsid w:val="0067314A"/>
    <w:rsid w:val="00673237"/>
    <w:rsid w:val="006738BB"/>
    <w:rsid w:val="00673BA4"/>
    <w:rsid w:val="00673BFE"/>
    <w:rsid w:val="00674031"/>
    <w:rsid w:val="00674C5D"/>
    <w:rsid w:val="00674ED8"/>
    <w:rsid w:val="00675793"/>
    <w:rsid w:val="00675A4F"/>
    <w:rsid w:val="00675A84"/>
    <w:rsid w:val="00675C5E"/>
    <w:rsid w:val="006764AF"/>
    <w:rsid w:val="00676AC4"/>
    <w:rsid w:val="00676C0B"/>
    <w:rsid w:val="00676F0B"/>
    <w:rsid w:val="00677057"/>
    <w:rsid w:val="006770EE"/>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8D"/>
    <w:rsid w:val="006813DA"/>
    <w:rsid w:val="006818B4"/>
    <w:rsid w:val="0068194F"/>
    <w:rsid w:val="0068241B"/>
    <w:rsid w:val="00682739"/>
    <w:rsid w:val="006828E7"/>
    <w:rsid w:val="00683845"/>
    <w:rsid w:val="00683889"/>
    <w:rsid w:val="00683EAD"/>
    <w:rsid w:val="00683F60"/>
    <w:rsid w:val="006842A2"/>
    <w:rsid w:val="006842DE"/>
    <w:rsid w:val="0068437A"/>
    <w:rsid w:val="006848BB"/>
    <w:rsid w:val="00684B72"/>
    <w:rsid w:val="00685075"/>
    <w:rsid w:val="00685339"/>
    <w:rsid w:val="00685597"/>
    <w:rsid w:val="006856BB"/>
    <w:rsid w:val="00685D16"/>
    <w:rsid w:val="00685FD5"/>
    <w:rsid w:val="006862BD"/>
    <w:rsid w:val="00686338"/>
    <w:rsid w:val="0068731C"/>
    <w:rsid w:val="00687940"/>
    <w:rsid w:val="00687B37"/>
    <w:rsid w:val="00687C73"/>
    <w:rsid w:val="006904AD"/>
    <w:rsid w:val="006905F1"/>
    <w:rsid w:val="00690982"/>
    <w:rsid w:val="00690C6E"/>
    <w:rsid w:val="006912E6"/>
    <w:rsid w:val="006914E9"/>
    <w:rsid w:val="00691815"/>
    <w:rsid w:val="006918F6"/>
    <w:rsid w:val="00691E51"/>
    <w:rsid w:val="006920CA"/>
    <w:rsid w:val="006927F0"/>
    <w:rsid w:val="00692916"/>
    <w:rsid w:val="00692C4E"/>
    <w:rsid w:val="0069305D"/>
    <w:rsid w:val="006936DB"/>
    <w:rsid w:val="00693801"/>
    <w:rsid w:val="00693B73"/>
    <w:rsid w:val="006944B8"/>
    <w:rsid w:val="0069460D"/>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943"/>
    <w:rsid w:val="00697A32"/>
    <w:rsid w:val="006A0557"/>
    <w:rsid w:val="006A06E3"/>
    <w:rsid w:val="006A080B"/>
    <w:rsid w:val="006A080C"/>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3D82"/>
    <w:rsid w:val="006A43EA"/>
    <w:rsid w:val="006A471A"/>
    <w:rsid w:val="006A5290"/>
    <w:rsid w:val="006A58F5"/>
    <w:rsid w:val="006A5B9B"/>
    <w:rsid w:val="006A5F9E"/>
    <w:rsid w:val="006A5FBE"/>
    <w:rsid w:val="006A6170"/>
    <w:rsid w:val="006A61CD"/>
    <w:rsid w:val="006A6846"/>
    <w:rsid w:val="006A750A"/>
    <w:rsid w:val="006A777A"/>
    <w:rsid w:val="006A7AE9"/>
    <w:rsid w:val="006A7C9D"/>
    <w:rsid w:val="006B0264"/>
    <w:rsid w:val="006B02AF"/>
    <w:rsid w:val="006B04A5"/>
    <w:rsid w:val="006B0651"/>
    <w:rsid w:val="006B07D1"/>
    <w:rsid w:val="006B134A"/>
    <w:rsid w:val="006B1507"/>
    <w:rsid w:val="006B1E59"/>
    <w:rsid w:val="006B2170"/>
    <w:rsid w:val="006B2995"/>
    <w:rsid w:val="006B2A56"/>
    <w:rsid w:val="006B2F13"/>
    <w:rsid w:val="006B37C7"/>
    <w:rsid w:val="006B3EFD"/>
    <w:rsid w:val="006B40C8"/>
    <w:rsid w:val="006B472A"/>
    <w:rsid w:val="006B4941"/>
    <w:rsid w:val="006B4E99"/>
    <w:rsid w:val="006B549F"/>
    <w:rsid w:val="006B63D7"/>
    <w:rsid w:val="006B65CB"/>
    <w:rsid w:val="006B746B"/>
    <w:rsid w:val="006B74A4"/>
    <w:rsid w:val="006B765D"/>
    <w:rsid w:val="006B7991"/>
    <w:rsid w:val="006C0166"/>
    <w:rsid w:val="006C0867"/>
    <w:rsid w:val="006C0CB4"/>
    <w:rsid w:val="006C0CE9"/>
    <w:rsid w:val="006C1053"/>
    <w:rsid w:val="006C106C"/>
    <w:rsid w:val="006C12F3"/>
    <w:rsid w:val="006C1584"/>
    <w:rsid w:val="006C185E"/>
    <w:rsid w:val="006C1A8D"/>
    <w:rsid w:val="006C215A"/>
    <w:rsid w:val="006C24C7"/>
    <w:rsid w:val="006C273C"/>
    <w:rsid w:val="006C2828"/>
    <w:rsid w:val="006C2D06"/>
    <w:rsid w:val="006C3291"/>
    <w:rsid w:val="006C374A"/>
    <w:rsid w:val="006C394C"/>
    <w:rsid w:val="006C3A0F"/>
    <w:rsid w:val="006C3EF1"/>
    <w:rsid w:val="006C45E4"/>
    <w:rsid w:val="006C45FE"/>
    <w:rsid w:val="006C479E"/>
    <w:rsid w:val="006C4ED9"/>
    <w:rsid w:val="006C528C"/>
    <w:rsid w:val="006C57FE"/>
    <w:rsid w:val="006C5AB5"/>
    <w:rsid w:val="006C6152"/>
    <w:rsid w:val="006C64D5"/>
    <w:rsid w:val="006C6941"/>
    <w:rsid w:val="006C69A9"/>
    <w:rsid w:val="006C6A5C"/>
    <w:rsid w:val="006C6A7C"/>
    <w:rsid w:val="006C6B5F"/>
    <w:rsid w:val="006C6E36"/>
    <w:rsid w:val="006C705E"/>
    <w:rsid w:val="006C7216"/>
    <w:rsid w:val="006C7266"/>
    <w:rsid w:val="006C7789"/>
    <w:rsid w:val="006C7873"/>
    <w:rsid w:val="006C7A19"/>
    <w:rsid w:val="006C7D52"/>
    <w:rsid w:val="006D045E"/>
    <w:rsid w:val="006D06BF"/>
    <w:rsid w:val="006D075B"/>
    <w:rsid w:val="006D0B6D"/>
    <w:rsid w:val="006D10B3"/>
    <w:rsid w:val="006D1549"/>
    <w:rsid w:val="006D1768"/>
    <w:rsid w:val="006D1A5F"/>
    <w:rsid w:val="006D1B86"/>
    <w:rsid w:val="006D25C3"/>
    <w:rsid w:val="006D2781"/>
    <w:rsid w:val="006D2A43"/>
    <w:rsid w:val="006D3300"/>
    <w:rsid w:val="006D381C"/>
    <w:rsid w:val="006D3948"/>
    <w:rsid w:val="006D39EA"/>
    <w:rsid w:val="006D3CE0"/>
    <w:rsid w:val="006D4242"/>
    <w:rsid w:val="006D4353"/>
    <w:rsid w:val="006D4801"/>
    <w:rsid w:val="006D487E"/>
    <w:rsid w:val="006D4A33"/>
    <w:rsid w:val="006D53DF"/>
    <w:rsid w:val="006D54F7"/>
    <w:rsid w:val="006D5604"/>
    <w:rsid w:val="006D598D"/>
    <w:rsid w:val="006D5CDA"/>
    <w:rsid w:val="006D6864"/>
    <w:rsid w:val="006D6AA0"/>
    <w:rsid w:val="006D6D58"/>
    <w:rsid w:val="006D7203"/>
    <w:rsid w:val="006D7902"/>
    <w:rsid w:val="006D7C62"/>
    <w:rsid w:val="006D7C9D"/>
    <w:rsid w:val="006D7D85"/>
    <w:rsid w:val="006E045E"/>
    <w:rsid w:val="006E09E9"/>
    <w:rsid w:val="006E0B21"/>
    <w:rsid w:val="006E0C5D"/>
    <w:rsid w:val="006E0D4E"/>
    <w:rsid w:val="006E10F9"/>
    <w:rsid w:val="006E171B"/>
    <w:rsid w:val="006E17DA"/>
    <w:rsid w:val="006E1F21"/>
    <w:rsid w:val="006E22FE"/>
    <w:rsid w:val="006E283F"/>
    <w:rsid w:val="006E2C6D"/>
    <w:rsid w:val="006E2CE7"/>
    <w:rsid w:val="006E33D2"/>
    <w:rsid w:val="006E3747"/>
    <w:rsid w:val="006E374B"/>
    <w:rsid w:val="006E3B50"/>
    <w:rsid w:val="006E3DE2"/>
    <w:rsid w:val="006E4277"/>
    <w:rsid w:val="006E44D3"/>
    <w:rsid w:val="006E4649"/>
    <w:rsid w:val="006E4705"/>
    <w:rsid w:val="006E470D"/>
    <w:rsid w:val="006E49DF"/>
    <w:rsid w:val="006E4D3A"/>
    <w:rsid w:val="006E4E81"/>
    <w:rsid w:val="006E50B5"/>
    <w:rsid w:val="006E58CF"/>
    <w:rsid w:val="006E6241"/>
    <w:rsid w:val="006E645F"/>
    <w:rsid w:val="006E6B5B"/>
    <w:rsid w:val="006E6B8B"/>
    <w:rsid w:val="006E6CD7"/>
    <w:rsid w:val="006E6F3D"/>
    <w:rsid w:val="006E7BC4"/>
    <w:rsid w:val="006E7FFD"/>
    <w:rsid w:val="006F0C43"/>
    <w:rsid w:val="006F0DFF"/>
    <w:rsid w:val="006F117D"/>
    <w:rsid w:val="006F1195"/>
    <w:rsid w:val="006F13F3"/>
    <w:rsid w:val="006F157C"/>
    <w:rsid w:val="006F1A1C"/>
    <w:rsid w:val="006F1DBD"/>
    <w:rsid w:val="006F1E00"/>
    <w:rsid w:val="006F21EA"/>
    <w:rsid w:val="006F27AE"/>
    <w:rsid w:val="006F301F"/>
    <w:rsid w:val="006F30DA"/>
    <w:rsid w:val="006F3281"/>
    <w:rsid w:val="006F479B"/>
    <w:rsid w:val="006F4EDC"/>
    <w:rsid w:val="006F4F3E"/>
    <w:rsid w:val="006F506E"/>
    <w:rsid w:val="006F517B"/>
    <w:rsid w:val="006F5847"/>
    <w:rsid w:val="006F5B1A"/>
    <w:rsid w:val="006F5CDB"/>
    <w:rsid w:val="006F5F76"/>
    <w:rsid w:val="006F610B"/>
    <w:rsid w:val="006F6790"/>
    <w:rsid w:val="006F75E2"/>
    <w:rsid w:val="006F7B15"/>
    <w:rsid w:val="006F7E7E"/>
    <w:rsid w:val="00700362"/>
    <w:rsid w:val="007003AD"/>
    <w:rsid w:val="0070045D"/>
    <w:rsid w:val="00700821"/>
    <w:rsid w:val="007010A7"/>
    <w:rsid w:val="007011D1"/>
    <w:rsid w:val="007011D8"/>
    <w:rsid w:val="00702723"/>
    <w:rsid w:val="007027D8"/>
    <w:rsid w:val="0070303A"/>
    <w:rsid w:val="0070328F"/>
    <w:rsid w:val="00703852"/>
    <w:rsid w:val="00703AAF"/>
    <w:rsid w:val="00704346"/>
    <w:rsid w:val="00704464"/>
    <w:rsid w:val="00704527"/>
    <w:rsid w:val="0070522E"/>
    <w:rsid w:val="00705592"/>
    <w:rsid w:val="00705BD7"/>
    <w:rsid w:val="007061EC"/>
    <w:rsid w:val="007062F0"/>
    <w:rsid w:val="00706461"/>
    <w:rsid w:val="007068C5"/>
    <w:rsid w:val="00706995"/>
    <w:rsid w:val="00706C3A"/>
    <w:rsid w:val="00706E1E"/>
    <w:rsid w:val="007071D4"/>
    <w:rsid w:val="007076BC"/>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40"/>
    <w:rsid w:val="0071376E"/>
    <w:rsid w:val="007139BF"/>
    <w:rsid w:val="00713C11"/>
    <w:rsid w:val="00713F42"/>
    <w:rsid w:val="0071473B"/>
    <w:rsid w:val="00714A38"/>
    <w:rsid w:val="00714B10"/>
    <w:rsid w:val="00714B64"/>
    <w:rsid w:val="00714BA7"/>
    <w:rsid w:val="00714E1A"/>
    <w:rsid w:val="00714F03"/>
    <w:rsid w:val="00715C06"/>
    <w:rsid w:val="00715D78"/>
    <w:rsid w:val="007164EB"/>
    <w:rsid w:val="0071668B"/>
    <w:rsid w:val="00716D23"/>
    <w:rsid w:val="00716D4E"/>
    <w:rsid w:val="0071717E"/>
    <w:rsid w:val="007174A4"/>
    <w:rsid w:val="00717795"/>
    <w:rsid w:val="00717D31"/>
    <w:rsid w:val="00717D83"/>
    <w:rsid w:val="0072004F"/>
    <w:rsid w:val="007204C3"/>
    <w:rsid w:val="00720855"/>
    <w:rsid w:val="007208DD"/>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A02"/>
    <w:rsid w:val="00723F60"/>
    <w:rsid w:val="0072454A"/>
    <w:rsid w:val="007245B1"/>
    <w:rsid w:val="00724696"/>
    <w:rsid w:val="007248B5"/>
    <w:rsid w:val="00724952"/>
    <w:rsid w:val="00724CD4"/>
    <w:rsid w:val="007251C7"/>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2FC"/>
    <w:rsid w:val="00732732"/>
    <w:rsid w:val="007327D2"/>
    <w:rsid w:val="00732C9C"/>
    <w:rsid w:val="0073314E"/>
    <w:rsid w:val="0073397C"/>
    <w:rsid w:val="00734051"/>
    <w:rsid w:val="00734519"/>
    <w:rsid w:val="0073458B"/>
    <w:rsid w:val="00734B84"/>
    <w:rsid w:val="00735728"/>
    <w:rsid w:val="00735EBF"/>
    <w:rsid w:val="0073600C"/>
    <w:rsid w:val="007360F4"/>
    <w:rsid w:val="007365ED"/>
    <w:rsid w:val="00736927"/>
    <w:rsid w:val="007378A6"/>
    <w:rsid w:val="00737A4B"/>
    <w:rsid w:val="00737E1C"/>
    <w:rsid w:val="00740008"/>
    <w:rsid w:val="007404C2"/>
    <w:rsid w:val="00741355"/>
    <w:rsid w:val="007416E4"/>
    <w:rsid w:val="007417C7"/>
    <w:rsid w:val="00741AEA"/>
    <w:rsid w:val="00741C56"/>
    <w:rsid w:val="00741C83"/>
    <w:rsid w:val="00741E9A"/>
    <w:rsid w:val="00742891"/>
    <w:rsid w:val="00742C0E"/>
    <w:rsid w:val="00742C3D"/>
    <w:rsid w:val="00742DAD"/>
    <w:rsid w:val="00743404"/>
    <w:rsid w:val="00743455"/>
    <w:rsid w:val="007435B8"/>
    <w:rsid w:val="00743949"/>
    <w:rsid w:val="00744294"/>
    <w:rsid w:val="007444AE"/>
    <w:rsid w:val="007447C6"/>
    <w:rsid w:val="00744934"/>
    <w:rsid w:val="007449FE"/>
    <w:rsid w:val="00744BA7"/>
    <w:rsid w:val="00744CEC"/>
    <w:rsid w:val="00744D43"/>
    <w:rsid w:val="0074538A"/>
    <w:rsid w:val="007454EC"/>
    <w:rsid w:val="00745A05"/>
    <w:rsid w:val="00745F8E"/>
    <w:rsid w:val="007463FF"/>
    <w:rsid w:val="00746564"/>
    <w:rsid w:val="00746721"/>
    <w:rsid w:val="00746B32"/>
    <w:rsid w:val="00746DB3"/>
    <w:rsid w:val="00747741"/>
    <w:rsid w:val="00747896"/>
    <w:rsid w:val="00750099"/>
    <w:rsid w:val="00750519"/>
    <w:rsid w:val="007505F4"/>
    <w:rsid w:val="00750979"/>
    <w:rsid w:val="00750DF7"/>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3F93"/>
    <w:rsid w:val="00754A57"/>
    <w:rsid w:val="00754C13"/>
    <w:rsid w:val="00754E53"/>
    <w:rsid w:val="0075502B"/>
    <w:rsid w:val="00755109"/>
    <w:rsid w:val="00755633"/>
    <w:rsid w:val="007559CA"/>
    <w:rsid w:val="00755B6F"/>
    <w:rsid w:val="00755D5D"/>
    <w:rsid w:val="00755EE3"/>
    <w:rsid w:val="00756048"/>
    <w:rsid w:val="00756430"/>
    <w:rsid w:val="00756A17"/>
    <w:rsid w:val="00756B41"/>
    <w:rsid w:val="007570DF"/>
    <w:rsid w:val="007570EF"/>
    <w:rsid w:val="007574F5"/>
    <w:rsid w:val="007576EC"/>
    <w:rsid w:val="00757957"/>
    <w:rsid w:val="00757FE0"/>
    <w:rsid w:val="0076051F"/>
    <w:rsid w:val="00760978"/>
    <w:rsid w:val="00760D42"/>
    <w:rsid w:val="00760D54"/>
    <w:rsid w:val="00761AE0"/>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1CE"/>
    <w:rsid w:val="0077130E"/>
    <w:rsid w:val="007713D7"/>
    <w:rsid w:val="007719A3"/>
    <w:rsid w:val="00771BF6"/>
    <w:rsid w:val="007720AC"/>
    <w:rsid w:val="0077249A"/>
    <w:rsid w:val="00772598"/>
    <w:rsid w:val="0077262C"/>
    <w:rsid w:val="00772A29"/>
    <w:rsid w:val="00772B8D"/>
    <w:rsid w:val="00772C98"/>
    <w:rsid w:val="00773B3E"/>
    <w:rsid w:val="00773E65"/>
    <w:rsid w:val="007741B0"/>
    <w:rsid w:val="007745D3"/>
    <w:rsid w:val="007746DC"/>
    <w:rsid w:val="0077558B"/>
    <w:rsid w:val="007756E4"/>
    <w:rsid w:val="00775772"/>
    <w:rsid w:val="00776080"/>
    <w:rsid w:val="0077613D"/>
    <w:rsid w:val="00776874"/>
    <w:rsid w:val="00776AF2"/>
    <w:rsid w:val="0077726C"/>
    <w:rsid w:val="0077743F"/>
    <w:rsid w:val="00777AAB"/>
    <w:rsid w:val="00780012"/>
    <w:rsid w:val="00780AA7"/>
    <w:rsid w:val="00780F64"/>
    <w:rsid w:val="00780FF9"/>
    <w:rsid w:val="0078100A"/>
    <w:rsid w:val="0078285C"/>
    <w:rsid w:val="00782A18"/>
    <w:rsid w:val="00782B30"/>
    <w:rsid w:val="00782BF0"/>
    <w:rsid w:val="00782D4F"/>
    <w:rsid w:val="00782E0C"/>
    <w:rsid w:val="00783A36"/>
    <w:rsid w:val="00783C15"/>
    <w:rsid w:val="007841CE"/>
    <w:rsid w:val="0078437D"/>
    <w:rsid w:val="0078459B"/>
    <w:rsid w:val="007845D4"/>
    <w:rsid w:val="00784955"/>
    <w:rsid w:val="00784A04"/>
    <w:rsid w:val="00784BA4"/>
    <w:rsid w:val="00784CD2"/>
    <w:rsid w:val="00784DF0"/>
    <w:rsid w:val="00785A38"/>
    <w:rsid w:val="00785B7E"/>
    <w:rsid w:val="00785C2A"/>
    <w:rsid w:val="00785C6F"/>
    <w:rsid w:val="007863DD"/>
    <w:rsid w:val="0078668F"/>
    <w:rsid w:val="0078682F"/>
    <w:rsid w:val="00786882"/>
    <w:rsid w:val="007869E1"/>
    <w:rsid w:val="00786D4E"/>
    <w:rsid w:val="00786FA6"/>
    <w:rsid w:val="0078700E"/>
    <w:rsid w:val="00787339"/>
    <w:rsid w:val="00787B59"/>
    <w:rsid w:val="007900A9"/>
    <w:rsid w:val="00790393"/>
    <w:rsid w:val="007910C3"/>
    <w:rsid w:val="00791110"/>
    <w:rsid w:val="00791250"/>
    <w:rsid w:val="0079150D"/>
    <w:rsid w:val="0079160D"/>
    <w:rsid w:val="00791DE1"/>
    <w:rsid w:val="00792782"/>
    <w:rsid w:val="0079317E"/>
    <w:rsid w:val="00793181"/>
    <w:rsid w:val="00793320"/>
    <w:rsid w:val="007936BD"/>
    <w:rsid w:val="007936C1"/>
    <w:rsid w:val="00793D45"/>
    <w:rsid w:val="007940B2"/>
    <w:rsid w:val="007947D6"/>
    <w:rsid w:val="00794C22"/>
    <w:rsid w:val="00794DB6"/>
    <w:rsid w:val="007953B3"/>
    <w:rsid w:val="00795589"/>
    <w:rsid w:val="00795E20"/>
    <w:rsid w:val="00795E52"/>
    <w:rsid w:val="00796787"/>
    <w:rsid w:val="00797073"/>
    <w:rsid w:val="007975BD"/>
    <w:rsid w:val="00797B7E"/>
    <w:rsid w:val="007A05A2"/>
    <w:rsid w:val="007A0B5B"/>
    <w:rsid w:val="007A10D6"/>
    <w:rsid w:val="007A11F4"/>
    <w:rsid w:val="007A12EE"/>
    <w:rsid w:val="007A138C"/>
    <w:rsid w:val="007A1834"/>
    <w:rsid w:val="007A1856"/>
    <w:rsid w:val="007A187C"/>
    <w:rsid w:val="007A1B36"/>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790"/>
    <w:rsid w:val="007A58E9"/>
    <w:rsid w:val="007A5AC0"/>
    <w:rsid w:val="007A61E4"/>
    <w:rsid w:val="007A631B"/>
    <w:rsid w:val="007A6610"/>
    <w:rsid w:val="007A6B2B"/>
    <w:rsid w:val="007A704A"/>
    <w:rsid w:val="007A7242"/>
    <w:rsid w:val="007B12B0"/>
    <w:rsid w:val="007B1392"/>
    <w:rsid w:val="007B1785"/>
    <w:rsid w:val="007B17D8"/>
    <w:rsid w:val="007B1E49"/>
    <w:rsid w:val="007B2018"/>
    <w:rsid w:val="007B215A"/>
    <w:rsid w:val="007B22DC"/>
    <w:rsid w:val="007B24F0"/>
    <w:rsid w:val="007B2B32"/>
    <w:rsid w:val="007B2F72"/>
    <w:rsid w:val="007B320B"/>
    <w:rsid w:val="007B34A2"/>
    <w:rsid w:val="007B34DC"/>
    <w:rsid w:val="007B3A98"/>
    <w:rsid w:val="007B3DE0"/>
    <w:rsid w:val="007B3F00"/>
    <w:rsid w:val="007B4008"/>
    <w:rsid w:val="007B49C4"/>
    <w:rsid w:val="007B4D74"/>
    <w:rsid w:val="007B4DC6"/>
    <w:rsid w:val="007B4EFD"/>
    <w:rsid w:val="007B5132"/>
    <w:rsid w:val="007B5CBF"/>
    <w:rsid w:val="007B6516"/>
    <w:rsid w:val="007B69E8"/>
    <w:rsid w:val="007B6C17"/>
    <w:rsid w:val="007B71BC"/>
    <w:rsid w:val="007B743C"/>
    <w:rsid w:val="007B7EA7"/>
    <w:rsid w:val="007C0165"/>
    <w:rsid w:val="007C036A"/>
    <w:rsid w:val="007C048B"/>
    <w:rsid w:val="007C0508"/>
    <w:rsid w:val="007C057E"/>
    <w:rsid w:val="007C1541"/>
    <w:rsid w:val="007C19DF"/>
    <w:rsid w:val="007C1B6D"/>
    <w:rsid w:val="007C20AB"/>
    <w:rsid w:val="007C2320"/>
    <w:rsid w:val="007C241B"/>
    <w:rsid w:val="007C25F8"/>
    <w:rsid w:val="007C2D7F"/>
    <w:rsid w:val="007C3124"/>
    <w:rsid w:val="007C3745"/>
    <w:rsid w:val="007C44DC"/>
    <w:rsid w:val="007C4545"/>
    <w:rsid w:val="007C45EC"/>
    <w:rsid w:val="007C45F7"/>
    <w:rsid w:val="007C46D1"/>
    <w:rsid w:val="007C47C2"/>
    <w:rsid w:val="007C4822"/>
    <w:rsid w:val="007C4DEF"/>
    <w:rsid w:val="007C4E7B"/>
    <w:rsid w:val="007C4F64"/>
    <w:rsid w:val="007C5468"/>
    <w:rsid w:val="007C5484"/>
    <w:rsid w:val="007C55F1"/>
    <w:rsid w:val="007C58AB"/>
    <w:rsid w:val="007C5951"/>
    <w:rsid w:val="007C5D1A"/>
    <w:rsid w:val="007C6148"/>
    <w:rsid w:val="007C6900"/>
    <w:rsid w:val="007C69A9"/>
    <w:rsid w:val="007C6B03"/>
    <w:rsid w:val="007C6C36"/>
    <w:rsid w:val="007C6C60"/>
    <w:rsid w:val="007C6D07"/>
    <w:rsid w:val="007C6F1E"/>
    <w:rsid w:val="007C745C"/>
    <w:rsid w:val="007C7578"/>
    <w:rsid w:val="007C75A4"/>
    <w:rsid w:val="007C77DF"/>
    <w:rsid w:val="007C7AF4"/>
    <w:rsid w:val="007C7E7C"/>
    <w:rsid w:val="007C7F4C"/>
    <w:rsid w:val="007D0221"/>
    <w:rsid w:val="007D049D"/>
    <w:rsid w:val="007D065E"/>
    <w:rsid w:val="007D0A94"/>
    <w:rsid w:val="007D0B22"/>
    <w:rsid w:val="007D0BD6"/>
    <w:rsid w:val="007D0D5B"/>
    <w:rsid w:val="007D114A"/>
    <w:rsid w:val="007D13A2"/>
    <w:rsid w:val="007D143D"/>
    <w:rsid w:val="007D1E69"/>
    <w:rsid w:val="007D25B9"/>
    <w:rsid w:val="007D2BE8"/>
    <w:rsid w:val="007D3066"/>
    <w:rsid w:val="007D315B"/>
    <w:rsid w:val="007D3912"/>
    <w:rsid w:val="007D421B"/>
    <w:rsid w:val="007D4490"/>
    <w:rsid w:val="007D4579"/>
    <w:rsid w:val="007D4599"/>
    <w:rsid w:val="007D4FD4"/>
    <w:rsid w:val="007D5055"/>
    <w:rsid w:val="007D50A0"/>
    <w:rsid w:val="007D5181"/>
    <w:rsid w:val="007D51EB"/>
    <w:rsid w:val="007D539B"/>
    <w:rsid w:val="007D58BB"/>
    <w:rsid w:val="007D5BDC"/>
    <w:rsid w:val="007D6127"/>
    <w:rsid w:val="007D62F2"/>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14BC"/>
    <w:rsid w:val="007E21D9"/>
    <w:rsid w:val="007E21F6"/>
    <w:rsid w:val="007E2492"/>
    <w:rsid w:val="007E2AB2"/>
    <w:rsid w:val="007E2BDD"/>
    <w:rsid w:val="007E327A"/>
    <w:rsid w:val="007E36D1"/>
    <w:rsid w:val="007E3D68"/>
    <w:rsid w:val="007E45CA"/>
    <w:rsid w:val="007E46E3"/>
    <w:rsid w:val="007E48C0"/>
    <w:rsid w:val="007E4F15"/>
    <w:rsid w:val="007E5885"/>
    <w:rsid w:val="007E61B7"/>
    <w:rsid w:val="007E64FF"/>
    <w:rsid w:val="007E659C"/>
    <w:rsid w:val="007E68F5"/>
    <w:rsid w:val="007E6BA7"/>
    <w:rsid w:val="007E6F62"/>
    <w:rsid w:val="007E6FEA"/>
    <w:rsid w:val="007E7267"/>
    <w:rsid w:val="007E73EA"/>
    <w:rsid w:val="007E77AD"/>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759"/>
    <w:rsid w:val="007F3AA2"/>
    <w:rsid w:val="007F3B45"/>
    <w:rsid w:val="007F3E3E"/>
    <w:rsid w:val="007F430F"/>
    <w:rsid w:val="007F4A9E"/>
    <w:rsid w:val="007F4ABC"/>
    <w:rsid w:val="007F4D45"/>
    <w:rsid w:val="007F510F"/>
    <w:rsid w:val="007F545B"/>
    <w:rsid w:val="007F564D"/>
    <w:rsid w:val="007F59B2"/>
    <w:rsid w:val="007F6607"/>
    <w:rsid w:val="007F6865"/>
    <w:rsid w:val="007F68DC"/>
    <w:rsid w:val="007F68FE"/>
    <w:rsid w:val="007F6911"/>
    <w:rsid w:val="007F6BE4"/>
    <w:rsid w:val="007F7375"/>
    <w:rsid w:val="007F7746"/>
    <w:rsid w:val="007F7865"/>
    <w:rsid w:val="007F7A8E"/>
    <w:rsid w:val="007F7D0F"/>
    <w:rsid w:val="007F7DC1"/>
    <w:rsid w:val="007F7FB3"/>
    <w:rsid w:val="007F7FC1"/>
    <w:rsid w:val="00800000"/>
    <w:rsid w:val="0080026A"/>
    <w:rsid w:val="00800340"/>
    <w:rsid w:val="0080080C"/>
    <w:rsid w:val="00800953"/>
    <w:rsid w:val="00800E09"/>
    <w:rsid w:val="00801255"/>
    <w:rsid w:val="008014EC"/>
    <w:rsid w:val="00801544"/>
    <w:rsid w:val="0080197B"/>
    <w:rsid w:val="00801AAF"/>
    <w:rsid w:val="00801C1F"/>
    <w:rsid w:val="00801EA4"/>
    <w:rsid w:val="008021D3"/>
    <w:rsid w:val="008026C4"/>
    <w:rsid w:val="008027F9"/>
    <w:rsid w:val="00802849"/>
    <w:rsid w:val="00802971"/>
    <w:rsid w:val="008030DF"/>
    <w:rsid w:val="00803851"/>
    <w:rsid w:val="008038E3"/>
    <w:rsid w:val="008038F6"/>
    <w:rsid w:val="008039F4"/>
    <w:rsid w:val="00803A27"/>
    <w:rsid w:val="00803DED"/>
    <w:rsid w:val="00804115"/>
    <w:rsid w:val="00804175"/>
    <w:rsid w:val="0080445D"/>
    <w:rsid w:val="00804558"/>
    <w:rsid w:val="008047AE"/>
    <w:rsid w:val="00804A80"/>
    <w:rsid w:val="00804B21"/>
    <w:rsid w:val="00804D9C"/>
    <w:rsid w:val="00804DFB"/>
    <w:rsid w:val="00805039"/>
    <w:rsid w:val="00805448"/>
    <w:rsid w:val="00805483"/>
    <w:rsid w:val="0080585D"/>
    <w:rsid w:val="008058A5"/>
    <w:rsid w:val="00805FD9"/>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8B4"/>
    <w:rsid w:val="00813BD1"/>
    <w:rsid w:val="00813EB7"/>
    <w:rsid w:val="00813EBF"/>
    <w:rsid w:val="0081450B"/>
    <w:rsid w:val="00814592"/>
    <w:rsid w:val="0081465B"/>
    <w:rsid w:val="0081467F"/>
    <w:rsid w:val="008147FA"/>
    <w:rsid w:val="0081497C"/>
    <w:rsid w:val="00814E44"/>
    <w:rsid w:val="00814E4A"/>
    <w:rsid w:val="00814FF1"/>
    <w:rsid w:val="00815339"/>
    <w:rsid w:val="008154F1"/>
    <w:rsid w:val="0081591F"/>
    <w:rsid w:val="00815A99"/>
    <w:rsid w:val="00815E5B"/>
    <w:rsid w:val="00815EE5"/>
    <w:rsid w:val="008160D1"/>
    <w:rsid w:val="008162B3"/>
    <w:rsid w:val="0081640D"/>
    <w:rsid w:val="0081687A"/>
    <w:rsid w:val="008169A1"/>
    <w:rsid w:val="00817AD3"/>
    <w:rsid w:val="00820160"/>
    <w:rsid w:val="008201A7"/>
    <w:rsid w:val="0082022B"/>
    <w:rsid w:val="008202EA"/>
    <w:rsid w:val="008208A5"/>
    <w:rsid w:val="00820993"/>
    <w:rsid w:val="00820A2E"/>
    <w:rsid w:val="00820E0E"/>
    <w:rsid w:val="00820E66"/>
    <w:rsid w:val="00821237"/>
    <w:rsid w:val="00821624"/>
    <w:rsid w:val="008216DA"/>
    <w:rsid w:val="008217C3"/>
    <w:rsid w:val="00821868"/>
    <w:rsid w:val="008219B8"/>
    <w:rsid w:val="00821ECA"/>
    <w:rsid w:val="00822007"/>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929"/>
    <w:rsid w:val="00825AB7"/>
    <w:rsid w:val="008262BC"/>
    <w:rsid w:val="008266A2"/>
    <w:rsid w:val="008267AE"/>
    <w:rsid w:val="008271FA"/>
    <w:rsid w:val="008276D0"/>
    <w:rsid w:val="00827B27"/>
    <w:rsid w:val="00827CBB"/>
    <w:rsid w:val="00830189"/>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8CB"/>
    <w:rsid w:val="00836A67"/>
    <w:rsid w:val="00836B8E"/>
    <w:rsid w:val="00836CEB"/>
    <w:rsid w:val="00837196"/>
    <w:rsid w:val="00840005"/>
    <w:rsid w:val="00840C08"/>
    <w:rsid w:val="00840DC3"/>
    <w:rsid w:val="00840EAF"/>
    <w:rsid w:val="0084122C"/>
    <w:rsid w:val="008416BF"/>
    <w:rsid w:val="008416FD"/>
    <w:rsid w:val="0084188F"/>
    <w:rsid w:val="00841951"/>
    <w:rsid w:val="00841E82"/>
    <w:rsid w:val="008420DF"/>
    <w:rsid w:val="008425F4"/>
    <w:rsid w:val="00842659"/>
    <w:rsid w:val="0084293A"/>
    <w:rsid w:val="00842E28"/>
    <w:rsid w:val="00843364"/>
    <w:rsid w:val="0084354C"/>
    <w:rsid w:val="0084364D"/>
    <w:rsid w:val="0084375D"/>
    <w:rsid w:val="0084387F"/>
    <w:rsid w:val="008438D0"/>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0C2"/>
    <w:rsid w:val="0085165B"/>
    <w:rsid w:val="0085179C"/>
    <w:rsid w:val="008518FA"/>
    <w:rsid w:val="00851903"/>
    <w:rsid w:val="00851B3F"/>
    <w:rsid w:val="00851DCB"/>
    <w:rsid w:val="00851E0C"/>
    <w:rsid w:val="00851F5F"/>
    <w:rsid w:val="00851FCD"/>
    <w:rsid w:val="00852142"/>
    <w:rsid w:val="0085222F"/>
    <w:rsid w:val="008528CF"/>
    <w:rsid w:val="00853510"/>
    <w:rsid w:val="00853BB5"/>
    <w:rsid w:val="00853E5B"/>
    <w:rsid w:val="00854123"/>
    <w:rsid w:val="008542D1"/>
    <w:rsid w:val="00854465"/>
    <w:rsid w:val="008544BD"/>
    <w:rsid w:val="008545F3"/>
    <w:rsid w:val="0085463D"/>
    <w:rsid w:val="00854946"/>
    <w:rsid w:val="00854B62"/>
    <w:rsid w:val="00854B77"/>
    <w:rsid w:val="00854E58"/>
    <w:rsid w:val="00855177"/>
    <w:rsid w:val="008554B8"/>
    <w:rsid w:val="008558ED"/>
    <w:rsid w:val="00855CFC"/>
    <w:rsid w:val="00855D73"/>
    <w:rsid w:val="00855FD5"/>
    <w:rsid w:val="00856049"/>
    <w:rsid w:val="0085632A"/>
    <w:rsid w:val="00856374"/>
    <w:rsid w:val="0085659C"/>
    <w:rsid w:val="008568BB"/>
    <w:rsid w:val="00856CFD"/>
    <w:rsid w:val="00856E96"/>
    <w:rsid w:val="00857261"/>
    <w:rsid w:val="0085750C"/>
    <w:rsid w:val="0085778C"/>
    <w:rsid w:val="00857822"/>
    <w:rsid w:val="00857C93"/>
    <w:rsid w:val="00857F57"/>
    <w:rsid w:val="00860008"/>
    <w:rsid w:val="0086080A"/>
    <w:rsid w:val="00860D51"/>
    <w:rsid w:val="008611C1"/>
    <w:rsid w:val="0086151A"/>
    <w:rsid w:val="0086173C"/>
    <w:rsid w:val="008619C1"/>
    <w:rsid w:val="00861C3C"/>
    <w:rsid w:val="00861DA4"/>
    <w:rsid w:val="00862330"/>
    <w:rsid w:val="0086261B"/>
    <w:rsid w:val="0086264B"/>
    <w:rsid w:val="008626E9"/>
    <w:rsid w:val="008626EB"/>
    <w:rsid w:val="00862EFD"/>
    <w:rsid w:val="00863558"/>
    <w:rsid w:val="008638FB"/>
    <w:rsid w:val="0086444C"/>
    <w:rsid w:val="008644B1"/>
    <w:rsid w:val="00864768"/>
    <w:rsid w:val="00864FF0"/>
    <w:rsid w:val="008652C3"/>
    <w:rsid w:val="0086540A"/>
    <w:rsid w:val="008658AB"/>
    <w:rsid w:val="008658E8"/>
    <w:rsid w:val="00865B18"/>
    <w:rsid w:val="00865C92"/>
    <w:rsid w:val="00866310"/>
    <w:rsid w:val="0086635F"/>
    <w:rsid w:val="0086672E"/>
    <w:rsid w:val="00866CF2"/>
    <w:rsid w:val="00867168"/>
    <w:rsid w:val="00867424"/>
    <w:rsid w:val="008675EC"/>
    <w:rsid w:val="00867781"/>
    <w:rsid w:val="008679CE"/>
    <w:rsid w:val="00867DA7"/>
    <w:rsid w:val="00870355"/>
    <w:rsid w:val="0087053C"/>
    <w:rsid w:val="008705A8"/>
    <w:rsid w:val="00870E23"/>
    <w:rsid w:val="008718FC"/>
    <w:rsid w:val="00871CC2"/>
    <w:rsid w:val="00871F4F"/>
    <w:rsid w:val="0087200D"/>
    <w:rsid w:val="00872131"/>
    <w:rsid w:val="008723B8"/>
    <w:rsid w:val="008725F5"/>
    <w:rsid w:val="00872DC2"/>
    <w:rsid w:val="00873147"/>
    <w:rsid w:val="008731D8"/>
    <w:rsid w:val="00873664"/>
    <w:rsid w:val="00873C1E"/>
    <w:rsid w:val="00873CD6"/>
    <w:rsid w:val="00873DE6"/>
    <w:rsid w:val="00873FBF"/>
    <w:rsid w:val="00874042"/>
    <w:rsid w:val="00874178"/>
    <w:rsid w:val="0087426F"/>
    <w:rsid w:val="00874272"/>
    <w:rsid w:val="008743DF"/>
    <w:rsid w:val="00874444"/>
    <w:rsid w:val="00874BE4"/>
    <w:rsid w:val="00874C66"/>
    <w:rsid w:val="00874D7C"/>
    <w:rsid w:val="00874F67"/>
    <w:rsid w:val="00875A41"/>
    <w:rsid w:val="00875D7C"/>
    <w:rsid w:val="00875F4F"/>
    <w:rsid w:val="008762D8"/>
    <w:rsid w:val="008764CC"/>
    <w:rsid w:val="00876A94"/>
    <w:rsid w:val="00876B45"/>
    <w:rsid w:val="00876DCE"/>
    <w:rsid w:val="008772D9"/>
    <w:rsid w:val="00877B29"/>
    <w:rsid w:val="00880306"/>
    <w:rsid w:val="008806F9"/>
    <w:rsid w:val="008808B9"/>
    <w:rsid w:val="00880B30"/>
    <w:rsid w:val="00880F1D"/>
    <w:rsid w:val="0088172A"/>
    <w:rsid w:val="00881D9B"/>
    <w:rsid w:val="00881F90"/>
    <w:rsid w:val="00882A66"/>
    <w:rsid w:val="00883072"/>
    <w:rsid w:val="00883D01"/>
    <w:rsid w:val="00883D0E"/>
    <w:rsid w:val="00884516"/>
    <w:rsid w:val="008851C4"/>
    <w:rsid w:val="00885696"/>
    <w:rsid w:val="0088570A"/>
    <w:rsid w:val="00885C6E"/>
    <w:rsid w:val="00885E9D"/>
    <w:rsid w:val="00886006"/>
    <w:rsid w:val="00886025"/>
    <w:rsid w:val="0088636E"/>
    <w:rsid w:val="008864A7"/>
    <w:rsid w:val="0088666A"/>
    <w:rsid w:val="0088688A"/>
    <w:rsid w:val="00886A9E"/>
    <w:rsid w:val="00886BA2"/>
    <w:rsid w:val="00886DC9"/>
    <w:rsid w:val="00886EC7"/>
    <w:rsid w:val="00887184"/>
    <w:rsid w:val="008879EA"/>
    <w:rsid w:val="00887FCB"/>
    <w:rsid w:val="00890139"/>
    <w:rsid w:val="008901F9"/>
    <w:rsid w:val="008904CE"/>
    <w:rsid w:val="0089067E"/>
    <w:rsid w:val="00890E59"/>
    <w:rsid w:val="00891077"/>
    <w:rsid w:val="0089160E"/>
    <w:rsid w:val="00891A8E"/>
    <w:rsid w:val="00891AFB"/>
    <w:rsid w:val="00891B68"/>
    <w:rsid w:val="008921B1"/>
    <w:rsid w:val="00892687"/>
    <w:rsid w:val="00892BE6"/>
    <w:rsid w:val="00893386"/>
    <w:rsid w:val="0089363C"/>
    <w:rsid w:val="00893657"/>
    <w:rsid w:val="00893671"/>
    <w:rsid w:val="00893FE0"/>
    <w:rsid w:val="008941FB"/>
    <w:rsid w:val="008942BF"/>
    <w:rsid w:val="00894565"/>
    <w:rsid w:val="008950AB"/>
    <w:rsid w:val="008950D6"/>
    <w:rsid w:val="00895381"/>
    <w:rsid w:val="008956EE"/>
    <w:rsid w:val="00895734"/>
    <w:rsid w:val="00895B46"/>
    <w:rsid w:val="00895B4A"/>
    <w:rsid w:val="00895E10"/>
    <w:rsid w:val="0089620B"/>
    <w:rsid w:val="00896325"/>
    <w:rsid w:val="00896474"/>
    <w:rsid w:val="00896621"/>
    <w:rsid w:val="00896DBC"/>
    <w:rsid w:val="00897117"/>
    <w:rsid w:val="00897237"/>
    <w:rsid w:val="008972C6"/>
    <w:rsid w:val="00897B59"/>
    <w:rsid w:val="00897C6C"/>
    <w:rsid w:val="00897D1A"/>
    <w:rsid w:val="008A04C8"/>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2D3"/>
    <w:rsid w:val="008A35DB"/>
    <w:rsid w:val="008A372B"/>
    <w:rsid w:val="008A379E"/>
    <w:rsid w:val="008A3AF9"/>
    <w:rsid w:val="008A3CC1"/>
    <w:rsid w:val="008A3FBE"/>
    <w:rsid w:val="008A4013"/>
    <w:rsid w:val="008A4044"/>
    <w:rsid w:val="008A4747"/>
    <w:rsid w:val="008A497D"/>
    <w:rsid w:val="008A4C9C"/>
    <w:rsid w:val="008A4E9A"/>
    <w:rsid w:val="008A58BF"/>
    <w:rsid w:val="008A6041"/>
    <w:rsid w:val="008A60F8"/>
    <w:rsid w:val="008A6448"/>
    <w:rsid w:val="008A6671"/>
    <w:rsid w:val="008A66EA"/>
    <w:rsid w:val="008A69FE"/>
    <w:rsid w:val="008A6EC7"/>
    <w:rsid w:val="008A6F36"/>
    <w:rsid w:val="008A7286"/>
    <w:rsid w:val="008A72CA"/>
    <w:rsid w:val="008A7445"/>
    <w:rsid w:val="008A748C"/>
    <w:rsid w:val="008A7B50"/>
    <w:rsid w:val="008A7C9F"/>
    <w:rsid w:val="008A7DDE"/>
    <w:rsid w:val="008B0641"/>
    <w:rsid w:val="008B0EB7"/>
    <w:rsid w:val="008B138E"/>
    <w:rsid w:val="008B1BC6"/>
    <w:rsid w:val="008B1C78"/>
    <w:rsid w:val="008B1F87"/>
    <w:rsid w:val="008B2404"/>
    <w:rsid w:val="008B2651"/>
    <w:rsid w:val="008B28BD"/>
    <w:rsid w:val="008B2997"/>
    <w:rsid w:val="008B2E96"/>
    <w:rsid w:val="008B2F53"/>
    <w:rsid w:val="008B3006"/>
    <w:rsid w:val="008B3139"/>
    <w:rsid w:val="008B31D8"/>
    <w:rsid w:val="008B337F"/>
    <w:rsid w:val="008B37B1"/>
    <w:rsid w:val="008B3B50"/>
    <w:rsid w:val="008B3D47"/>
    <w:rsid w:val="008B42A9"/>
    <w:rsid w:val="008B44CB"/>
    <w:rsid w:val="008B46D2"/>
    <w:rsid w:val="008B4ED2"/>
    <w:rsid w:val="008B5253"/>
    <w:rsid w:val="008B53D8"/>
    <w:rsid w:val="008B5603"/>
    <w:rsid w:val="008B5F85"/>
    <w:rsid w:val="008B63BE"/>
    <w:rsid w:val="008B640E"/>
    <w:rsid w:val="008B6505"/>
    <w:rsid w:val="008B65A6"/>
    <w:rsid w:val="008B688D"/>
    <w:rsid w:val="008B6E48"/>
    <w:rsid w:val="008B70EE"/>
    <w:rsid w:val="008B715C"/>
    <w:rsid w:val="008B7238"/>
    <w:rsid w:val="008B7590"/>
    <w:rsid w:val="008B75B8"/>
    <w:rsid w:val="008B7903"/>
    <w:rsid w:val="008B7BCB"/>
    <w:rsid w:val="008B7BFB"/>
    <w:rsid w:val="008B7E2B"/>
    <w:rsid w:val="008B7FBC"/>
    <w:rsid w:val="008C0EAD"/>
    <w:rsid w:val="008C1442"/>
    <w:rsid w:val="008C15C8"/>
    <w:rsid w:val="008C1693"/>
    <w:rsid w:val="008C19D9"/>
    <w:rsid w:val="008C1A5E"/>
    <w:rsid w:val="008C1A81"/>
    <w:rsid w:val="008C1B63"/>
    <w:rsid w:val="008C1E80"/>
    <w:rsid w:val="008C29FE"/>
    <w:rsid w:val="008C32CA"/>
    <w:rsid w:val="008C32F3"/>
    <w:rsid w:val="008C36D9"/>
    <w:rsid w:val="008C38A3"/>
    <w:rsid w:val="008C3967"/>
    <w:rsid w:val="008C3C3A"/>
    <w:rsid w:val="008C431E"/>
    <w:rsid w:val="008C5411"/>
    <w:rsid w:val="008C54BD"/>
    <w:rsid w:val="008C54C4"/>
    <w:rsid w:val="008C5DFE"/>
    <w:rsid w:val="008C5E15"/>
    <w:rsid w:val="008C6056"/>
    <w:rsid w:val="008C6276"/>
    <w:rsid w:val="008C6628"/>
    <w:rsid w:val="008C69A9"/>
    <w:rsid w:val="008C69C9"/>
    <w:rsid w:val="008C6E38"/>
    <w:rsid w:val="008C6ECA"/>
    <w:rsid w:val="008C6F75"/>
    <w:rsid w:val="008C7C18"/>
    <w:rsid w:val="008C7CC4"/>
    <w:rsid w:val="008C7DED"/>
    <w:rsid w:val="008D047D"/>
    <w:rsid w:val="008D0B4C"/>
    <w:rsid w:val="008D14C4"/>
    <w:rsid w:val="008D164C"/>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5FA"/>
    <w:rsid w:val="008D66B0"/>
    <w:rsid w:val="008D6A6E"/>
    <w:rsid w:val="008D74B7"/>
    <w:rsid w:val="008D781F"/>
    <w:rsid w:val="008D7DBE"/>
    <w:rsid w:val="008E014F"/>
    <w:rsid w:val="008E02B7"/>
    <w:rsid w:val="008E0626"/>
    <w:rsid w:val="008E0B9D"/>
    <w:rsid w:val="008E0E71"/>
    <w:rsid w:val="008E1064"/>
    <w:rsid w:val="008E1934"/>
    <w:rsid w:val="008E1F3E"/>
    <w:rsid w:val="008E20BE"/>
    <w:rsid w:val="008E241B"/>
    <w:rsid w:val="008E28A7"/>
    <w:rsid w:val="008E2BB5"/>
    <w:rsid w:val="008E2BC2"/>
    <w:rsid w:val="008E2F0A"/>
    <w:rsid w:val="008E3096"/>
    <w:rsid w:val="008E330C"/>
    <w:rsid w:val="008E332F"/>
    <w:rsid w:val="008E3BBA"/>
    <w:rsid w:val="008E4114"/>
    <w:rsid w:val="008E418A"/>
    <w:rsid w:val="008E44DB"/>
    <w:rsid w:val="008E45EA"/>
    <w:rsid w:val="008E4A1A"/>
    <w:rsid w:val="008E5383"/>
    <w:rsid w:val="008E539E"/>
    <w:rsid w:val="008E5E01"/>
    <w:rsid w:val="008E66FB"/>
    <w:rsid w:val="008E696A"/>
    <w:rsid w:val="008E69A3"/>
    <w:rsid w:val="008E7550"/>
    <w:rsid w:val="008E766D"/>
    <w:rsid w:val="008E766E"/>
    <w:rsid w:val="008E77B1"/>
    <w:rsid w:val="008E77C6"/>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6E8"/>
    <w:rsid w:val="008F599F"/>
    <w:rsid w:val="008F6219"/>
    <w:rsid w:val="008F63DF"/>
    <w:rsid w:val="008F64E5"/>
    <w:rsid w:val="008F666D"/>
    <w:rsid w:val="008F677E"/>
    <w:rsid w:val="008F6E72"/>
    <w:rsid w:val="008F7C28"/>
    <w:rsid w:val="008F7E8E"/>
    <w:rsid w:val="0090034D"/>
    <w:rsid w:val="009003C0"/>
    <w:rsid w:val="00900EC7"/>
    <w:rsid w:val="00900FFC"/>
    <w:rsid w:val="009011F9"/>
    <w:rsid w:val="00901244"/>
    <w:rsid w:val="00901979"/>
    <w:rsid w:val="00901A62"/>
    <w:rsid w:val="00901DEE"/>
    <w:rsid w:val="0090207D"/>
    <w:rsid w:val="00902357"/>
    <w:rsid w:val="0090242A"/>
    <w:rsid w:val="00902C85"/>
    <w:rsid w:val="009030F7"/>
    <w:rsid w:val="009034D9"/>
    <w:rsid w:val="0090352C"/>
    <w:rsid w:val="009046C9"/>
    <w:rsid w:val="009046F1"/>
    <w:rsid w:val="00904883"/>
    <w:rsid w:val="00904B0A"/>
    <w:rsid w:val="00904CB4"/>
    <w:rsid w:val="00904F84"/>
    <w:rsid w:val="009050E9"/>
    <w:rsid w:val="00905346"/>
    <w:rsid w:val="009054E8"/>
    <w:rsid w:val="009055DD"/>
    <w:rsid w:val="0090566B"/>
    <w:rsid w:val="00905B8B"/>
    <w:rsid w:val="0090616A"/>
    <w:rsid w:val="0090646F"/>
    <w:rsid w:val="00906527"/>
    <w:rsid w:val="00906820"/>
    <w:rsid w:val="00906AD8"/>
    <w:rsid w:val="00906B54"/>
    <w:rsid w:val="00906BD9"/>
    <w:rsid w:val="00906DCF"/>
    <w:rsid w:val="00906EA0"/>
    <w:rsid w:val="00907ABE"/>
    <w:rsid w:val="00907F4C"/>
    <w:rsid w:val="0091006A"/>
    <w:rsid w:val="00910682"/>
    <w:rsid w:val="00910B57"/>
    <w:rsid w:val="0091148A"/>
    <w:rsid w:val="009119D2"/>
    <w:rsid w:val="00911B9F"/>
    <w:rsid w:val="00911BD2"/>
    <w:rsid w:val="00911C3F"/>
    <w:rsid w:val="00911CD2"/>
    <w:rsid w:val="009120BD"/>
    <w:rsid w:val="00912347"/>
    <w:rsid w:val="00912400"/>
    <w:rsid w:val="00912580"/>
    <w:rsid w:val="0091268D"/>
    <w:rsid w:val="009129C1"/>
    <w:rsid w:val="00912A83"/>
    <w:rsid w:val="009137EB"/>
    <w:rsid w:val="00913B74"/>
    <w:rsid w:val="00913D83"/>
    <w:rsid w:val="00913EBB"/>
    <w:rsid w:val="00913F94"/>
    <w:rsid w:val="009141BB"/>
    <w:rsid w:val="00914700"/>
    <w:rsid w:val="00914A2F"/>
    <w:rsid w:val="00914B55"/>
    <w:rsid w:val="00914DC4"/>
    <w:rsid w:val="00915322"/>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326"/>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670"/>
    <w:rsid w:val="0092487A"/>
    <w:rsid w:val="00924963"/>
    <w:rsid w:val="009249B1"/>
    <w:rsid w:val="00924A04"/>
    <w:rsid w:val="00924A34"/>
    <w:rsid w:val="00924A6C"/>
    <w:rsid w:val="00924ED4"/>
    <w:rsid w:val="00924F63"/>
    <w:rsid w:val="009250E9"/>
    <w:rsid w:val="00925128"/>
    <w:rsid w:val="0092587B"/>
    <w:rsid w:val="00926835"/>
    <w:rsid w:val="00926957"/>
    <w:rsid w:val="00926AA4"/>
    <w:rsid w:val="00926B61"/>
    <w:rsid w:val="009271AB"/>
    <w:rsid w:val="00927281"/>
    <w:rsid w:val="009273B8"/>
    <w:rsid w:val="0092794C"/>
    <w:rsid w:val="00927A20"/>
    <w:rsid w:val="00930298"/>
    <w:rsid w:val="009302A6"/>
    <w:rsid w:val="00930C3B"/>
    <w:rsid w:val="00931325"/>
    <w:rsid w:val="009319DC"/>
    <w:rsid w:val="00931AAD"/>
    <w:rsid w:val="00931E6D"/>
    <w:rsid w:val="00932426"/>
    <w:rsid w:val="00932AEE"/>
    <w:rsid w:val="00932D04"/>
    <w:rsid w:val="00932E9E"/>
    <w:rsid w:val="009336BC"/>
    <w:rsid w:val="00933B8A"/>
    <w:rsid w:val="00934141"/>
    <w:rsid w:val="0093419F"/>
    <w:rsid w:val="009341AA"/>
    <w:rsid w:val="009341F7"/>
    <w:rsid w:val="0093429A"/>
    <w:rsid w:val="00934CCB"/>
    <w:rsid w:val="0093518D"/>
    <w:rsid w:val="009352D3"/>
    <w:rsid w:val="0093543D"/>
    <w:rsid w:val="009355BB"/>
    <w:rsid w:val="00935789"/>
    <w:rsid w:val="009359C5"/>
    <w:rsid w:val="00935CFA"/>
    <w:rsid w:val="009361E8"/>
    <w:rsid w:val="00936247"/>
    <w:rsid w:val="009363CF"/>
    <w:rsid w:val="00936501"/>
    <w:rsid w:val="009366AD"/>
    <w:rsid w:val="009377A1"/>
    <w:rsid w:val="0094000C"/>
    <w:rsid w:val="00940218"/>
    <w:rsid w:val="00940850"/>
    <w:rsid w:val="00940B1D"/>
    <w:rsid w:val="0094101C"/>
    <w:rsid w:val="00941764"/>
    <w:rsid w:val="009423DE"/>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84"/>
    <w:rsid w:val="009463FD"/>
    <w:rsid w:val="00946743"/>
    <w:rsid w:val="009467FD"/>
    <w:rsid w:val="00946CA3"/>
    <w:rsid w:val="00946D2E"/>
    <w:rsid w:val="00946E64"/>
    <w:rsid w:val="009472F6"/>
    <w:rsid w:val="0094783F"/>
    <w:rsid w:val="00947E63"/>
    <w:rsid w:val="009501B3"/>
    <w:rsid w:val="009505AA"/>
    <w:rsid w:val="009505B1"/>
    <w:rsid w:val="0095069D"/>
    <w:rsid w:val="00950A9D"/>
    <w:rsid w:val="00950B18"/>
    <w:rsid w:val="00950C02"/>
    <w:rsid w:val="00950C55"/>
    <w:rsid w:val="00950CB3"/>
    <w:rsid w:val="00950D55"/>
    <w:rsid w:val="00951B80"/>
    <w:rsid w:val="0095267E"/>
    <w:rsid w:val="00952E0E"/>
    <w:rsid w:val="00952EBB"/>
    <w:rsid w:val="00952F24"/>
    <w:rsid w:val="00953010"/>
    <w:rsid w:val="0095330D"/>
    <w:rsid w:val="0095370E"/>
    <w:rsid w:val="00953712"/>
    <w:rsid w:val="009539D9"/>
    <w:rsid w:val="00953B5D"/>
    <w:rsid w:val="00953D3D"/>
    <w:rsid w:val="00953F68"/>
    <w:rsid w:val="009543D8"/>
    <w:rsid w:val="009545D6"/>
    <w:rsid w:val="00954854"/>
    <w:rsid w:val="00954F67"/>
    <w:rsid w:val="00955AA9"/>
    <w:rsid w:val="00955AB2"/>
    <w:rsid w:val="00955E60"/>
    <w:rsid w:val="00955EC8"/>
    <w:rsid w:val="00955F61"/>
    <w:rsid w:val="00956135"/>
    <w:rsid w:val="009565BB"/>
    <w:rsid w:val="0095699A"/>
    <w:rsid w:val="00956B34"/>
    <w:rsid w:val="0095702D"/>
    <w:rsid w:val="009571A6"/>
    <w:rsid w:val="0095752A"/>
    <w:rsid w:val="009577C1"/>
    <w:rsid w:val="00957838"/>
    <w:rsid w:val="009602BA"/>
    <w:rsid w:val="00961060"/>
    <w:rsid w:val="009615D7"/>
    <w:rsid w:val="00961702"/>
    <w:rsid w:val="0096195A"/>
    <w:rsid w:val="0096202D"/>
    <w:rsid w:val="00962222"/>
    <w:rsid w:val="009629B0"/>
    <w:rsid w:val="00962D17"/>
    <w:rsid w:val="00962E00"/>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766"/>
    <w:rsid w:val="00966838"/>
    <w:rsid w:val="009669CC"/>
    <w:rsid w:val="00966DBE"/>
    <w:rsid w:val="0096737F"/>
    <w:rsid w:val="00967512"/>
    <w:rsid w:val="00967655"/>
    <w:rsid w:val="00967BDE"/>
    <w:rsid w:val="00970273"/>
    <w:rsid w:val="00970F12"/>
    <w:rsid w:val="009710BF"/>
    <w:rsid w:val="00971178"/>
    <w:rsid w:val="00971874"/>
    <w:rsid w:val="00971F83"/>
    <w:rsid w:val="00972061"/>
    <w:rsid w:val="00972269"/>
    <w:rsid w:val="0097245C"/>
    <w:rsid w:val="009725C6"/>
    <w:rsid w:val="009725FE"/>
    <w:rsid w:val="0097273C"/>
    <w:rsid w:val="0097282B"/>
    <w:rsid w:val="00972DAC"/>
    <w:rsid w:val="00973117"/>
    <w:rsid w:val="00973A35"/>
    <w:rsid w:val="00973E3E"/>
    <w:rsid w:val="00974625"/>
    <w:rsid w:val="00974A1E"/>
    <w:rsid w:val="00974BBA"/>
    <w:rsid w:val="0097559A"/>
    <w:rsid w:val="0097595A"/>
    <w:rsid w:val="009759B4"/>
    <w:rsid w:val="00975D48"/>
    <w:rsid w:val="00976546"/>
    <w:rsid w:val="0097688F"/>
    <w:rsid w:val="00976F1B"/>
    <w:rsid w:val="00976FCF"/>
    <w:rsid w:val="00977103"/>
    <w:rsid w:val="009777B2"/>
    <w:rsid w:val="009778D7"/>
    <w:rsid w:val="00977D0F"/>
    <w:rsid w:val="00977E26"/>
    <w:rsid w:val="00980A33"/>
    <w:rsid w:val="00980BAC"/>
    <w:rsid w:val="00980DF0"/>
    <w:rsid w:val="00980F3F"/>
    <w:rsid w:val="00981406"/>
    <w:rsid w:val="0098199A"/>
    <w:rsid w:val="00981D1C"/>
    <w:rsid w:val="00982214"/>
    <w:rsid w:val="009823D4"/>
    <w:rsid w:val="00982474"/>
    <w:rsid w:val="00982B13"/>
    <w:rsid w:val="00982FE4"/>
    <w:rsid w:val="00983285"/>
    <w:rsid w:val="00983843"/>
    <w:rsid w:val="009845D0"/>
    <w:rsid w:val="00984672"/>
    <w:rsid w:val="0098498C"/>
    <w:rsid w:val="009849F5"/>
    <w:rsid w:val="00984F97"/>
    <w:rsid w:val="0098521F"/>
    <w:rsid w:val="0098569D"/>
    <w:rsid w:val="0098581D"/>
    <w:rsid w:val="00985A09"/>
    <w:rsid w:val="00985EF3"/>
    <w:rsid w:val="00986078"/>
    <w:rsid w:val="00986277"/>
    <w:rsid w:val="009866A3"/>
    <w:rsid w:val="0098693D"/>
    <w:rsid w:val="0098731E"/>
    <w:rsid w:val="00987AE7"/>
    <w:rsid w:val="00987F04"/>
    <w:rsid w:val="00990343"/>
    <w:rsid w:val="009905E1"/>
    <w:rsid w:val="0099064C"/>
    <w:rsid w:val="0099078A"/>
    <w:rsid w:val="0099097F"/>
    <w:rsid w:val="00991A1E"/>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0A5"/>
    <w:rsid w:val="009944B9"/>
    <w:rsid w:val="009947D5"/>
    <w:rsid w:val="00994B69"/>
    <w:rsid w:val="00994E90"/>
    <w:rsid w:val="00995252"/>
    <w:rsid w:val="0099533A"/>
    <w:rsid w:val="0099537D"/>
    <w:rsid w:val="0099551B"/>
    <w:rsid w:val="009955E2"/>
    <w:rsid w:val="00995629"/>
    <w:rsid w:val="00995723"/>
    <w:rsid w:val="00995879"/>
    <w:rsid w:val="0099587C"/>
    <w:rsid w:val="009959A5"/>
    <w:rsid w:val="009959B6"/>
    <w:rsid w:val="00995C16"/>
    <w:rsid w:val="0099625A"/>
    <w:rsid w:val="009965BC"/>
    <w:rsid w:val="0099662E"/>
    <w:rsid w:val="00996761"/>
    <w:rsid w:val="00996B20"/>
    <w:rsid w:val="00996B84"/>
    <w:rsid w:val="00996BAE"/>
    <w:rsid w:val="00996ECD"/>
    <w:rsid w:val="00997258"/>
    <w:rsid w:val="00997C19"/>
    <w:rsid w:val="009A023E"/>
    <w:rsid w:val="009A0246"/>
    <w:rsid w:val="009A0415"/>
    <w:rsid w:val="009A04CD"/>
    <w:rsid w:val="009A0D8D"/>
    <w:rsid w:val="009A1219"/>
    <w:rsid w:val="009A16FA"/>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A49"/>
    <w:rsid w:val="009A4B47"/>
    <w:rsid w:val="009A537E"/>
    <w:rsid w:val="009A5501"/>
    <w:rsid w:val="009A57F2"/>
    <w:rsid w:val="009A5AE0"/>
    <w:rsid w:val="009A6621"/>
    <w:rsid w:val="009A6AEA"/>
    <w:rsid w:val="009A6CC5"/>
    <w:rsid w:val="009A706E"/>
    <w:rsid w:val="009A771C"/>
    <w:rsid w:val="009A7E4C"/>
    <w:rsid w:val="009B06FC"/>
    <w:rsid w:val="009B0C04"/>
    <w:rsid w:val="009B0E0C"/>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7F"/>
    <w:rsid w:val="009B679E"/>
    <w:rsid w:val="009B67C4"/>
    <w:rsid w:val="009B6A3F"/>
    <w:rsid w:val="009B6C01"/>
    <w:rsid w:val="009B6C5A"/>
    <w:rsid w:val="009B71E1"/>
    <w:rsid w:val="009B7A24"/>
    <w:rsid w:val="009B7F84"/>
    <w:rsid w:val="009C00D2"/>
    <w:rsid w:val="009C0448"/>
    <w:rsid w:val="009C056C"/>
    <w:rsid w:val="009C0615"/>
    <w:rsid w:val="009C07E1"/>
    <w:rsid w:val="009C098A"/>
    <w:rsid w:val="009C0B25"/>
    <w:rsid w:val="009C0CF8"/>
    <w:rsid w:val="009C0FDB"/>
    <w:rsid w:val="009C125A"/>
    <w:rsid w:val="009C1920"/>
    <w:rsid w:val="009C1EB2"/>
    <w:rsid w:val="009C1F64"/>
    <w:rsid w:val="009C2609"/>
    <w:rsid w:val="009C2675"/>
    <w:rsid w:val="009C2839"/>
    <w:rsid w:val="009C29CB"/>
    <w:rsid w:val="009C2B54"/>
    <w:rsid w:val="009C2B95"/>
    <w:rsid w:val="009C2DC4"/>
    <w:rsid w:val="009C2DEC"/>
    <w:rsid w:val="009C3042"/>
    <w:rsid w:val="009C37B9"/>
    <w:rsid w:val="009C386A"/>
    <w:rsid w:val="009C3E9C"/>
    <w:rsid w:val="009C42B1"/>
    <w:rsid w:val="009C4A32"/>
    <w:rsid w:val="009C4A8C"/>
    <w:rsid w:val="009C4D46"/>
    <w:rsid w:val="009C4E4C"/>
    <w:rsid w:val="009C5012"/>
    <w:rsid w:val="009C5321"/>
    <w:rsid w:val="009C58EF"/>
    <w:rsid w:val="009C5CDF"/>
    <w:rsid w:val="009C5E1B"/>
    <w:rsid w:val="009C5F62"/>
    <w:rsid w:val="009C62CA"/>
    <w:rsid w:val="009C63AB"/>
    <w:rsid w:val="009C6678"/>
    <w:rsid w:val="009C6680"/>
    <w:rsid w:val="009C67B1"/>
    <w:rsid w:val="009C69D0"/>
    <w:rsid w:val="009C69F4"/>
    <w:rsid w:val="009C6B43"/>
    <w:rsid w:val="009C70AF"/>
    <w:rsid w:val="009C70D4"/>
    <w:rsid w:val="009C7163"/>
    <w:rsid w:val="009C725B"/>
    <w:rsid w:val="009C77A3"/>
    <w:rsid w:val="009C79A4"/>
    <w:rsid w:val="009D0350"/>
    <w:rsid w:val="009D07AC"/>
    <w:rsid w:val="009D07F4"/>
    <w:rsid w:val="009D08D1"/>
    <w:rsid w:val="009D1082"/>
    <w:rsid w:val="009D1294"/>
    <w:rsid w:val="009D155F"/>
    <w:rsid w:val="009D1CDE"/>
    <w:rsid w:val="009D1D65"/>
    <w:rsid w:val="009D1E7F"/>
    <w:rsid w:val="009D20AC"/>
    <w:rsid w:val="009D20C9"/>
    <w:rsid w:val="009D21C8"/>
    <w:rsid w:val="009D2320"/>
    <w:rsid w:val="009D26D8"/>
    <w:rsid w:val="009D2B30"/>
    <w:rsid w:val="009D30F9"/>
    <w:rsid w:val="009D3192"/>
    <w:rsid w:val="009D31C0"/>
    <w:rsid w:val="009D322C"/>
    <w:rsid w:val="009D334F"/>
    <w:rsid w:val="009D372A"/>
    <w:rsid w:val="009D3972"/>
    <w:rsid w:val="009D3A26"/>
    <w:rsid w:val="009D3B0D"/>
    <w:rsid w:val="009D3BAC"/>
    <w:rsid w:val="009D3EDD"/>
    <w:rsid w:val="009D41EF"/>
    <w:rsid w:val="009D470C"/>
    <w:rsid w:val="009D4728"/>
    <w:rsid w:val="009D48BA"/>
    <w:rsid w:val="009D4B7E"/>
    <w:rsid w:val="009D4D48"/>
    <w:rsid w:val="009D4DC6"/>
    <w:rsid w:val="009D5106"/>
    <w:rsid w:val="009D5289"/>
    <w:rsid w:val="009D52A2"/>
    <w:rsid w:val="009D564A"/>
    <w:rsid w:val="009D570F"/>
    <w:rsid w:val="009D5E34"/>
    <w:rsid w:val="009D667B"/>
    <w:rsid w:val="009D66B9"/>
    <w:rsid w:val="009D6920"/>
    <w:rsid w:val="009D6B77"/>
    <w:rsid w:val="009D6CE1"/>
    <w:rsid w:val="009D6ECD"/>
    <w:rsid w:val="009D740C"/>
    <w:rsid w:val="009D7CE0"/>
    <w:rsid w:val="009E085E"/>
    <w:rsid w:val="009E0B5A"/>
    <w:rsid w:val="009E1047"/>
    <w:rsid w:val="009E128E"/>
    <w:rsid w:val="009E14B2"/>
    <w:rsid w:val="009E15FB"/>
    <w:rsid w:val="009E1D15"/>
    <w:rsid w:val="009E1DFA"/>
    <w:rsid w:val="009E2000"/>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685"/>
    <w:rsid w:val="009E6837"/>
    <w:rsid w:val="009E6D43"/>
    <w:rsid w:val="009E71F8"/>
    <w:rsid w:val="009E725F"/>
    <w:rsid w:val="009E79CF"/>
    <w:rsid w:val="009E7A04"/>
    <w:rsid w:val="009E7F2E"/>
    <w:rsid w:val="009F009C"/>
    <w:rsid w:val="009F0345"/>
    <w:rsid w:val="009F039B"/>
    <w:rsid w:val="009F04F2"/>
    <w:rsid w:val="009F09ED"/>
    <w:rsid w:val="009F0A8F"/>
    <w:rsid w:val="009F1429"/>
    <w:rsid w:val="009F231C"/>
    <w:rsid w:val="009F2512"/>
    <w:rsid w:val="009F260E"/>
    <w:rsid w:val="009F267A"/>
    <w:rsid w:val="009F2C7D"/>
    <w:rsid w:val="009F3804"/>
    <w:rsid w:val="009F3C3F"/>
    <w:rsid w:val="009F40CE"/>
    <w:rsid w:val="009F43B4"/>
    <w:rsid w:val="009F471A"/>
    <w:rsid w:val="009F4A67"/>
    <w:rsid w:val="009F4CDA"/>
    <w:rsid w:val="009F4F01"/>
    <w:rsid w:val="009F517C"/>
    <w:rsid w:val="009F59BF"/>
    <w:rsid w:val="009F5F68"/>
    <w:rsid w:val="009F63B5"/>
    <w:rsid w:val="009F776E"/>
    <w:rsid w:val="009F7BE2"/>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5DE"/>
    <w:rsid w:val="00A04AC4"/>
    <w:rsid w:val="00A04DB3"/>
    <w:rsid w:val="00A04E68"/>
    <w:rsid w:val="00A04EA6"/>
    <w:rsid w:val="00A0548E"/>
    <w:rsid w:val="00A057A0"/>
    <w:rsid w:val="00A05975"/>
    <w:rsid w:val="00A05EAA"/>
    <w:rsid w:val="00A0608D"/>
    <w:rsid w:val="00A060BE"/>
    <w:rsid w:val="00A0695E"/>
    <w:rsid w:val="00A06AC3"/>
    <w:rsid w:val="00A06B49"/>
    <w:rsid w:val="00A07203"/>
    <w:rsid w:val="00A072AB"/>
    <w:rsid w:val="00A075BF"/>
    <w:rsid w:val="00A076F3"/>
    <w:rsid w:val="00A07ACD"/>
    <w:rsid w:val="00A07D26"/>
    <w:rsid w:val="00A1036E"/>
    <w:rsid w:val="00A104A1"/>
    <w:rsid w:val="00A10D80"/>
    <w:rsid w:val="00A10FC7"/>
    <w:rsid w:val="00A11135"/>
    <w:rsid w:val="00A11671"/>
    <w:rsid w:val="00A1187C"/>
    <w:rsid w:val="00A12050"/>
    <w:rsid w:val="00A121F6"/>
    <w:rsid w:val="00A12CCC"/>
    <w:rsid w:val="00A12CCE"/>
    <w:rsid w:val="00A12D1A"/>
    <w:rsid w:val="00A12E07"/>
    <w:rsid w:val="00A12EE1"/>
    <w:rsid w:val="00A12F3D"/>
    <w:rsid w:val="00A13A4E"/>
    <w:rsid w:val="00A142C2"/>
    <w:rsid w:val="00A146F2"/>
    <w:rsid w:val="00A146F6"/>
    <w:rsid w:val="00A14E6A"/>
    <w:rsid w:val="00A14F18"/>
    <w:rsid w:val="00A14F9F"/>
    <w:rsid w:val="00A15566"/>
    <w:rsid w:val="00A159E4"/>
    <w:rsid w:val="00A15B2D"/>
    <w:rsid w:val="00A163CA"/>
    <w:rsid w:val="00A163CD"/>
    <w:rsid w:val="00A163D7"/>
    <w:rsid w:val="00A1647C"/>
    <w:rsid w:val="00A1670B"/>
    <w:rsid w:val="00A16778"/>
    <w:rsid w:val="00A167CD"/>
    <w:rsid w:val="00A16A78"/>
    <w:rsid w:val="00A16B57"/>
    <w:rsid w:val="00A17795"/>
    <w:rsid w:val="00A17812"/>
    <w:rsid w:val="00A17962"/>
    <w:rsid w:val="00A17E66"/>
    <w:rsid w:val="00A20224"/>
    <w:rsid w:val="00A20707"/>
    <w:rsid w:val="00A21424"/>
    <w:rsid w:val="00A21997"/>
    <w:rsid w:val="00A21F91"/>
    <w:rsid w:val="00A223B4"/>
    <w:rsid w:val="00A2264F"/>
    <w:rsid w:val="00A22C7E"/>
    <w:rsid w:val="00A231A2"/>
    <w:rsid w:val="00A235A8"/>
    <w:rsid w:val="00A23623"/>
    <w:rsid w:val="00A238D5"/>
    <w:rsid w:val="00A23A98"/>
    <w:rsid w:val="00A23AAC"/>
    <w:rsid w:val="00A24217"/>
    <w:rsid w:val="00A244E9"/>
    <w:rsid w:val="00A24622"/>
    <w:rsid w:val="00A246A3"/>
    <w:rsid w:val="00A259A8"/>
    <w:rsid w:val="00A25ABB"/>
    <w:rsid w:val="00A25E39"/>
    <w:rsid w:val="00A261E2"/>
    <w:rsid w:val="00A2621F"/>
    <w:rsid w:val="00A26486"/>
    <w:rsid w:val="00A267F3"/>
    <w:rsid w:val="00A26827"/>
    <w:rsid w:val="00A26B0B"/>
    <w:rsid w:val="00A26D47"/>
    <w:rsid w:val="00A26D90"/>
    <w:rsid w:val="00A26DA7"/>
    <w:rsid w:val="00A26DAD"/>
    <w:rsid w:val="00A26F41"/>
    <w:rsid w:val="00A26F88"/>
    <w:rsid w:val="00A275D1"/>
    <w:rsid w:val="00A27B57"/>
    <w:rsid w:val="00A303E3"/>
    <w:rsid w:val="00A3058A"/>
    <w:rsid w:val="00A306A7"/>
    <w:rsid w:val="00A30CEE"/>
    <w:rsid w:val="00A313B3"/>
    <w:rsid w:val="00A3174B"/>
    <w:rsid w:val="00A31D00"/>
    <w:rsid w:val="00A32051"/>
    <w:rsid w:val="00A32AE0"/>
    <w:rsid w:val="00A32B77"/>
    <w:rsid w:val="00A32BB4"/>
    <w:rsid w:val="00A3315E"/>
    <w:rsid w:val="00A33B79"/>
    <w:rsid w:val="00A33CCF"/>
    <w:rsid w:val="00A342F4"/>
    <w:rsid w:val="00A35BC9"/>
    <w:rsid w:val="00A35D65"/>
    <w:rsid w:val="00A35D8E"/>
    <w:rsid w:val="00A36172"/>
    <w:rsid w:val="00A36250"/>
    <w:rsid w:val="00A36605"/>
    <w:rsid w:val="00A367A9"/>
    <w:rsid w:val="00A36CF6"/>
    <w:rsid w:val="00A36EC5"/>
    <w:rsid w:val="00A36F59"/>
    <w:rsid w:val="00A37629"/>
    <w:rsid w:val="00A37943"/>
    <w:rsid w:val="00A37C9F"/>
    <w:rsid w:val="00A37EDA"/>
    <w:rsid w:val="00A4035D"/>
    <w:rsid w:val="00A405B0"/>
    <w:rsid w:val="00A405E4"/>
    <w:rsid w:val="00A40CDF"/>
    <w:rsid w:val="00A40FF5"/>
    <w:rsid w:val="00A410EC"/>
    <w:rsid w:val="00A413A3"/>
    <w:rsid w:val="00A41801"/>
    <w:rsid w:val="00A42824"/>
    <w:rsid w:val="00A42D0A"/>
    <w:rsid w:val="00A43270"/>
    <w:rsid w:val="00A438AE"/>
    <w:rsid w:val="00A43905"/>
    <w:rsid w:val="00A447D6"/>
    <w:rsid w:val="00A44873"/>
    <w:rsid w:val="00A449DB"/>
    <w:rsid w:val="00A44D12"/>
    <w:rsid w:val="00A4539E"/>
    <w:rsid w:val="00A45408"/>
    <w:rsid w:val="00A45DC6"/>
    <w:rsid w:val="00A46080"/>
    <w:rsid w:val="00A460ED"/>
    <w:rsid w:val="00A46113"/>
    <w:rsid w:val="00A461CB"/>
    <w:rsid w:val="00A4658C"/>
    <w:rsid w:val="00A46B12"/>
    <w:rsid w:val="00A46C6C"/>
    <w:rsid w:val="00A46E95"/>
    <w:rsid w:val="00A46EB1"/>
    <w:rsid w:val="00A470FA"/>
    <w:rsid w:val="00A4724A"/>
    <w:rsid w:val="00A476FE"/>
    <w:rsid w:val="00A47A54"/>
    <w:rsid w:val="00A47C59"/>
    <w:rsid w:val="00A50D8A"/>
    <w:rsid w:val="00A50FEC"/>
    <w:rsid w:val="00A5193C"/>
    <w:rsid w:val="00A51B7A"/>
    <w:rsid w:val="00A51FC3"/>
    <w:rsid w:val="00A52617"/>
    <w:rsid w:val="00A52659"/>
    <w:rsid w:val="00A5281A"/>
    <w:rsid w:val="00A52A4C"/>
    <w:rsid w:val="00A52E8E"/>
    <w:rsid w:val="00A532FC"/>
    <w:rsid w:val="00A53624"/>
    <w:rsid w:val="00A538C7"/>
    <w:rsid w:val="00A53BC7"/>
    <w:rsid w:val="00A54220"/>
    <w:rsid w:val="00A5432D"/>
    <w:rsid w:val="00A54A6D"/>
    <w:rsid w:val="00A54AEB"/>
    <w:rsid w:val="00A54F72"/>
    <w:rsid w:val="00A565B6"/>
    <w:rsid w:val="00A567E2"/>
    <w:rsid w:val="00A56806"/>
    <w:rsid w:val="00A56896"/>
    <w:rsid w:val="00A56D82"/>
    <w:rsid w:val="00A56E9D"/>
    <w:rsid w:val="00A5736D"/>
    <w:rsid w:val="00A5754D"/>
    <w:rsid w:val="00A578E4"/>
    <w:rsid w:val="00A57F15"/>
    <w:rsid w:val="00A60066"/>
    <w:rsid w:val="00A60179"/>
    <w:rsid w:val="00A60237"/>
    <w:rsid w:val="00A606A5"/>
    <w:rsid w:val="00A60AA3"/>
    <w:rsid w:val="00A60E60"/>
    <w:rsid w:val="00A61151"/>
    <w:rsid w:val="00A613E7"/>
    <w:rsid w:val="00A6140D"/>
    <w:rsid w:val="00A61782"/>
    <w:rsid w:val="00A61844"/>
    <w:rsid w:val="00A619E0"/>
    <w:rsid w:val="00A61B20"/>
    <w:rsid w:val="00A61BE1"/>
    <w:rsid w:val="00A61F98"/>
    <w:rsid w:val="00A61FDA"/>
    <w:rsid w:val="00A622F1"/>
    <w:rsid w:val="00A62646"/>
    <w:rsid w:val="00A62B34"/>
    <w:rsid w:val="00A63493"/>
    <w:rsid w:val="00A63850"/>
    <w:rsid w:val="00A63A7E"/>
    <w:rsid w:val="00A63C0C"/>
    <w:rsid w:val="00A6402F"/>
    <w:rsid w:val="00A64065"/>
    <w:rsid w:val="00A645C6"/>
    <w:rsid w:val="00A64787"/>
    <w:rsid w:val="00A648E9"/>
    <w:rsid w:val="00A65038"/>
    <w:rsid w:val="00A65B16"/>
    <w:rsid w:val="00A66041"/>
    <w:rsid w:val="00A6654A"/>
    <w:rsid w:val="00A66A52"/>
    <w:rsid w:val="00A66C0D"/>
    <w:rsid w:val="00A6764D"/>
    <w:rsid w:val="00A67934"/>
    <w:rsid w:val="00A67A3F"/>
    <w:rsid w:val="00A67C56"/>
    <w:rsid w:val="00A67D4A"/>
    <w:rsid w:val="00A703AE"/>
    <w:rsid w:val="00A70415"/>
    <w:rsid w:val="00A7044B"/>
    <w:rsid w:val="00A709AE"/>
    <w:rsid w:val="00A70BC7"/>
    <w:rsid w:val="00A70DCB"/>
    <w:rsid w:val="00A70E0F"/>
    <w:rsid w:val="00A70E5B"/>
    <w:rsid w:val="00A711AB"/>
    <w:rsid w:val="00A7175A"/>
    <w:rsid w:val="00A7179B"/>
    <w:rsid w:val="00A71FD1"/>
    <w:rsid w:val="00A720C2"/>
    <w:rsid w:val="00A72262"/>
    <w:rsid w:val="00A72387"/>
    <w:rsid w:val="00A7248F"/>
    <w:rsid w:val="00A726DA"/>
    <w:rsid w:val="00A72733"/>
    <w:rsid w:val="00A72BC8"/>
    <w:rsid w:val="00A72C04"/>
    <w:rsid w:val="00A72FE2"/>
    <w:rsid w:val="00A73069"/>
    <w:rsid w:val="00A7307D"/>
    <w:rsid w:val="00A73341"/>
    <w:rsid w:val="00A73A6E"/>
    <w:rsid w:val="00A73FED"/>
    <w:rsid w:val="00A748ED"/>
    <w:rsid w:val="00A74C4E"/>
    <w:rsid w:val="00A74DE4"/>
    <w:rsid w:val="00A7504C"/>
    <w:rsid w:val="00A75386"/>
    <w:rsid w:val="00A7593A"/>
    <w:rsid w:val="00A7597F"/>
    <w:rsid w:val="00A75D3F"/>
    <w:rsid w:val="00A7625A"/>
    <w:rsid w:val="00A764C0"/>
    <w:rsid w:val="00A768C8"/>
    <w:rsid w:val="00A76946"/>
    <w:rsid w:val="00A76C21"/>
    <w:rsid w:val="00A76EC3"/>
    <w:rsid w:val="00A7702A"/>
    <w:rsid w:val="00A7720E"/>
    <w:rsid w:val="00A77727"/>
    <w:rsid w:val="00A77A3E"/>
    <w:rsid w:val="00A77B84"/>
    <w:rsid w:val="00A77FA9"/>
    <w:rsid w:val="00A80840"/>
    <w:rsid w:val="00A80903"/>
    <w:rsid w:val="00A81339"/>
    <w:rsid w:val="00A813F2"/>
    <w:rsid w:val="00A814D5"/>
    <w:rsid w:val="00A82266"/>
    <w:rsid w:val="00A8226A"/>
    <w:rsid w:val="00A82316"/>
    <w:rsid w:val="00A82631"/>
    <w:rsid w:val="00A82941"/>
    <w:rsid w:val="00A834D6"/>
    <w:rsid w:val="00A83A95"/>
    <w:rsid w:val="00A83D0D"/>
    <w:rsid w:val="00A83DBC"/>
    <w:rsid w:val="00A841BD"/>
    <w:rsid w:val="00A84746"/>
    <w:rsid w:val="00A847AE"/>
    <w:rsid w:val="00A849DF"/>
    <w:rsid w:val="00A84D2C"/>
    <w:rsid w:val="00A85029"/>
    <w:rsid w:val="00A85084"/>
    <w:rsid w:val="00A855CE"/>
    <w:rsid w:val="00A855FE"/>
    <w:rsid w:val="00A85836"/>
    <w:rsid w:val="00A85A9E"/>
    <w:rsid w:val="00A85D74"/>
    <w:rsid w:val="00A85E79"/>
    <w:rsid w:val="00A85F29"/>
    <w:rsid w:val="00A8613B"/>
    <w:rsid w:val="00A86203"/>
    <w:rsid w:val="00A86D62"/>
    <w:rsid w:val="00A86D6B"/>
    <w:rsid w:val="00A86E5F"/>
    <w:rsid w:val="00A87982"/>
    <w:rsid w:val="00A87B83"/>
    <w:rsid w:val="00A87C2F"/>
    <w:rsid w:val="00A9019E"/>
    <w:rsid w:val="00A901A8"/>
    <w:rsid w:val="00A9022A"/>
    <w:rsid w:val="00A904D9"/>
    <w:rsid w:val="00A904F2"/>
    <w:rsid w:val="00A905FE"/>
    <w:rsid w:val="00A90A9D"/>
    <w:rsid w:val="00A911A0"/>
    <w:rsid w:val="00A911A9"/>
    <w:rsid w:val="00A91363"/>
    <w:rsid w:val="00A91405"/>
    <w:rsid w:val="00A91450"/>
    <w:rsid w:val="00A918BB"/>
    <w:rsid w:val="00A91B63"/>
    <w:rsid w:val="00A920B1"/>
    <w:rsid w:val="00A92564"/>
    <w:rsid w:val="00A925AB"/>
    <w:rsid w:val="00A9276C"/>
    <w:rsid w:val="00A92D3C"/>
    <w:rsid w:val="00A92DB9"/>
    <w:rsid w:val="00A9309D"/>
    <w:rsid w:val="00A93738"/>
    <w:rsid w:val="00A93BA2"/>
    <w:rsid w:val="00A93F54"/>
    <w:rsid w:val="00A94084"/>
    <w:rsid w:val="00A9446E"/>
    <w:rsid w:val="00A94769"/>
    <w:rsid w:val="00A95029"/>
    <w:rsid w:val="00A95C60"/>
    <w:rsid w:val="00A95DE7"/>
    <w:rsid w:val="00A95F70"/>
    <w:rsid w:val="00A95F8A"/>
    <w:rsid w:val="00A96852"/>
    <w:rsid w:val="00A96B89"/>
    <w:rsid w:val="00A96C21"/>
    <w:rsid w:val="00A9791D"/>
    <w:rsid w:val="00A97D4A"/>
    <w:rsid w:val="00A97DB8"/>
    <w:rsid w:val="00A97EF8"/>
    <w:rsid w:val="00AA0209"/>
    <w:rsid w:val="00AA03A6"/>
    <w:rsid w:val="00AA06D5"/>
    <w:rsid w:val="00AA0CE9"/>
    <w:rsid w:val="00AA103D"/>
    <w:rsid w:val="00AA105A"/>
    <w:rsid w:val="00AA110C"/>
    <w:rsid w:val="00AA1128"/>
    <w:rsid w:val="00AA1A7C"/>
    <w:rsid w:val="00AA1ADA"/>
    <w:rsid w:val="00AA20B3"/>
    <w:rsid w:val="00AA2424"/>
    <w:rsid w:val="00AA273B"/>
    <w:rsid w:val="00AA2802"/>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5C8F"/>
    <w:rsid w:val="00AA6045"/>
    <w:rsid w:val="00AA627D"/>
    <w:rsid w:val="00AA62CD"/>
    <w:rsid w:val="00AA633C"/>
    <w:rsid w:val="00AA65CF"/>
    <w:rsid w:val="00AA6A88"/>
    <w:rsid w:val="00AA6B02"/>
    <w:rsid w:val="00AA71C4"/>
    <w:rsid w:val="00AA7A71"/>
    <w:rsid w:val="00AB02DD"/>
    <w:rsid w:val="00AB045C"/>
    <w:rsid w:val="00AB05BB"/>
    <w:rsid w:val="00AB090C"/>
    <w:rsid w:val="00AB0F9A"/>
    <w:rsid w:val="00AB0FFC"/>
    <w:rsid w:val="00AB1160"/>
    <w:rsid w:val="00AB1411"/>
    <w:rsid w:val="00AB142E"/>
    <w:rsid w:val="00AB1A14"/>
    <w:rsid w:val="00AB1C10"/>
    <w:rsid w:val="00AB1D98"/>
    <w:rsid w:val="00AB212D"/>
    <w:rsid w:val="00AB25D0"/>
    <w:rsid w:val="00AB2A0F"/>
    <w:rsid w:val="00AB2D58"/>
    <w:rsid w:val="00AB32C1"/>
    <w:rsid w:val="00AB3431"/>
    <w:rsid w:val="00AB3552"/>
    <w:rsid w:val="00AB3C23"/>
    <w:rsid w:val="00AB3F78"/>
    <w:rsid w:val="00AB49C3"/>
    <w:rsid w:val="00AB527A"/>
    <w:rsid w:val="00AB5582"/>
    <w:rsid w:val="00AB55F8"/>
    <w:rsid w:val="00AB5752"/>
    <w:rsid w:val="00AB5972"/>
    <w:rsid w:val="00AB5DF2"/>
    <w:rsid w:val="00AB6113"/>
    <w:rsid w:val="00AB6C4D"/>
    <w:rsid w:val="00AB73C8"/>
    <w:rsid w:val="00AB7866"/>
    <w:rsid w:val="00AC0199"/>
    <w:rsid w:val="00AC0776"/>
    <w:rsid w:val="00AC1761"/>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6D79"/>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76F"/>
    <w:rsid w:val="00AD2D64"/>
    <w:rsid w:val="00AD2E7B"/>
    <w:rsid w:val="00AD2F8F"/>
    <w:rsid w:val="00AD35DF"/>
    <w:rsid w:val="00AD3685"/>
    <w:rsid w:val="00AD3F4F"/>
    <w:rsid w:val="00AD403C"/>
    <w:rsid w:val="00AD407E"/>
    <w:rsid w:val="00AD4153"/>
    <w:rsid w:val="00AD467A"/>
    <w:rsid w:val="00AD4838"/>
    <w:rsid w:val="00AD5420"/>
    <w:rsid w:val="00AD56CF"/>
    <w:rsid w:val="00AD580C"/>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043"/>
    <w:rsid w:val="00AE1AF9"/>
    <w:rsid w:val="00AE1FC7"/>
    <w:rsid w:val="00AE23C8"/>
    <w:rsid w:val="00AE265A"/>
    <w:rsid w:val="00AE27D5"/>
    <w:rsid w:val="00AE2EA0"/>
    <w:rsid w:val="00AE308D"/>
    <w:rsid w:val="00AE33FA"/>
    <w:rsid w:val="00AE36D1"/>
    <w:rsid w:val="00AE3B3A"/>
    <w:rsid w:val="00AE3DDB"/>
    <w:rsid w:val="00AE3F78"/>
    <w:rsid w:val="00AE459E"/>
    <w:rsid w:val="00AE4A64"/>
    <w:rsid w:val="00AE4ED6"/>
    <w:rsid w:val="00AE4EFF"/>
    <w:rsid w:val="00AE5771"/>
    <w:rsid w:val="00AE59FC"/>
    <w:rsid w:val="00AE6543"/>
    <w:rsid w:val="00AE656F"/>
    <w:rsid w:val="00AE6AAF"/>
    <w:rsid w:val="00AE6E97"/>
    <w:rsid w:val="00AE6F84"/>
    <w:rsid w:val="00AE7283"/>
    <w:rsid w:val="00AE758E"/>
    <w:rsid w:val="00AF059D"/>
    <w:rsid w:val="00AF077D"/>
    <w:rsid w:val="00AF096B"/>
    <w:rsid w:val="00AF0992"/>
    <w:rsid w:val="00AF0C7C"/>
    <w:rsid w:val="00AF0D62"/>
    <w:rsid w:val="00AF0EB3"/>
    <w:rsid w:val="00AF1281"/>
    <w:rsid w:val="00AF12A3"/>
    <w:rsid w:val="00AF14C8"/>
    <w:rsid w:val="00AF176E"/>
    <w:rsid w:val="00AF1F77"/>
    <w:rsid w:val="00AF23D9"/>
    <w:rsid w:val="00AF290E"/>
    <w:rsid w:val="00AF29FA"/>
    <w:rsid w:val="00AF327C"/>
    <w:rsid w:val="00AF355A"/>
    <w:rsid w:val="00AF37D5"/>
    <w:rsid w:val="00AF381B"/>
    <w:rsid w:val="00AF3F63"/>
    <w:rsid w:val="00AF4138"/>
    <w:rsid w:val="00AF4345"/>
    <w:rsid w:val="00AF434C"/>
    <w:rsid w:val="00AF4428"/>
    <w:rsid w:val="00AF463B"/>
    <w:rsid w:val="00AF467E"/>
    <w:rsid w:val="00AF4C2C"/>
    <w:rsid w:val="00AF4CC5"/>
    <w:rsid w:val="00AF5221"/>
    <w:rsid w:val="00AF52CC"/>
    <w:rsid w:val="00AF5319"/>
    <w:rsid w:val="00AF5BAF"/>
    <w:rsid w:val="00AF608B"/>
    <w:rsid w:val="00AF6A59"/>
    <w:rsid w:val="00AF7BDD"/>
    <w:rsid w:val="00AF7FA7"/>
    <w:rsid w:val="00B0055F"/>
    <w:rsid w:val="00B00642"/>
    <w:rsid w:val="00B00EEF"/>
    <w:rsid w:val="00B00F8C"/>
    <w:rsid w:val="00B00FEC"/>
    <w:rsid w:val="00B0187A"/>
    <w:rsid w:val="00B02064"/>
    <w:rsid w:val="00B020F1"/>
    <w:rsid w:val="00B02145"/>
    <w:rsid w:val="00B024C9"/>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0B"/>
    <w:rsid w:val="00B07EF0"/>
    <w:rsid w:val="00B109DF"/>
    <w:rsid w:val="00B11386"/>
    <w:rsid w:val="00B118E1"/>
    <w:rsid w:val="00B11A39"/>
    <w:rsid w:val="00B11A5F"/>
    <w:rsid w:val="00B11A9A"/>
    <w:rsid w:val="00B120CF"/>
    <w:rsid w:val="00B1210E"/>
    <w:rsid w:val="00B12399"/>
    <w:rsid w:val="00B1243E"/>
    <w:rsid w:val="00B129BD"/>
    <w:rsid w:val="00B12A2B"/>
    <w:rsid w:val="00B12BDA"/>
    <w:rsid w:val="00B12EDC"/>
    <w:rsid w:val="00B13C24"/>
    <w:rsid w:val="00B13D2B"/>
    <w:rsid w:val="00B13F2E"/>
    <w:rsid w:val="00B14011"/>
    <w:rsid w:val="00B14025"/>
    <w:rsid w:val="00B14793"/>
    <w:rsid w:val="00B149CA"/>
    <w:rsid w:val="00B14C4F"/>
    <w:rsid w:val="00B1506F"/>
    <w:rsid w:val="00B15075"/>
    <w:rsid w:val="00B156C0"/>
    <w:rsid w:val="00B15774"/>
    <w:rsid w:val="00B15865"/>
    <w:rsid w:val="00B15DB9"/>
    <w:rsid w:val="00B1780E"/>
    <w:rsid w:val="00B1799D"/>
    <w:rsid w:val="00B17C75"/>
    <w:rsid w:val="00B200D3"/>
    <w:rsid w:val="00B2041F"/>
    <w:rsid w:val="00B2060E"/>
    <w:rsid w:val="00B20B02"/>
    <w:rsid w:val="00B20C01"/>
    <w:rsid w:val="00B20DCF"/>
    <w:rsid w:val="00B20F8A"/>
    <w:rsid w:val="00B215C1"/>
    <w:rsid w:val="00B215EB"/>
    <w:rsid w:val="00B219CA"/>
    <w:rsid w:val="00B22522"/>
    <w:rsid w:val="00B22797"/>
    <w:rsid w:val="00B2288A"/>
    <w:rsid w:val="00B231AF"/>
    <w:rsid w:val="00B2322F"/>
    <w:rsid w:val="00B2412D"/>
    <w:rsid w:val="00B242A6"/>
    <w:rsid w:val="00B242A7"/>
    <w:rsid w:val="00B2441D"/>
    <w:rsid w:val="00B24D66"/>
    <w:rsid w:val="00B24D7E"/>
    <w:rsid w:val="00B2509A"/>
    <w:rsid w:val="00B25148"/>
    <w:rsid w:val="00B258AF"/>
    <w:rsid w:val="00B25A70"/>
    <w:rsid w:val="00B25AB6"/>
    <w:rsid w:val="00B261DE"/>
    <w:rsid w:val="00B264B0"/>
    <w:rsid w:val="00B26CDB"/>
    <w:rsid w:val="00B26ECF"/>
    <w:rsid w:val="00B26F53"/>
    <w:rsid w:val="00B272F8"/>
    <w:rsid w:val="00B27444"/>
    <w:rsid w:val="00B27734"/>
    <w:rsid w:val="00B27771"/>
    <w:rsid w:val="00B27787"/>
    <w:rsid w:val="00B278D7"/>
    <w:rsid w:val="00B27D97"/>
    <w:rsid w:val="00B30156"/>
    <w:rsid w:val="00B3091E"/>
    <w:rsid w:val="00B3098A"/>
    <w:rsid w:val="00B31099"/>
    <w:rsid w:val="00B31345"/>
    <w:rsid w:val="00B31602"/>
    <w:rsid w:val="00B317BF"/>
    <w:rsid w:val="00B319FE"/>
    <w:rsid w:val="00B3232C"/>
    <w:rsid w:val="00B329A1"/>
    <w:rsid w:val="00B32DE9"/>
    <w:rsid w:val="00B331B8"/>
    <w:rsid w:val="00B33378"/>
    <w:rsid w:val="00B33769"/>
    <w:rsid w:val="00B33786"/>
    <w:rsid w:val="00B337A4"/>
    <w:rsid w:val="00B33920"/>
    <w:rsid w:val="00B33A61"/>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33D"/>
    <w:rsid w:val="00B417A3"/>
    <w:rsid w:val="00B417B4"/>
    <w:rsid w:val="00B41BE7"/>
    <w:rsid w:val="00B41D56"/>
    <w:rsid w:val="00B41D8E"/>
    <w:rsid w:val="00B420C8"/>
    <w:rsid w:val="00B4221D"/>
    <w:rsid w:val="00B424F7"/>
    <w:rsid w:val="00B42568"/>
    <w:rsid w:val="00B42AF8"/>
    <w:rsid w:val="00B42CA1"/>
    <w:rsid w:val="00B4316E"/>
    <w:rsid w:val="00B4339F"/>
    <w:rsid w:val="00B4381B"/>
    <w:rsid w:val="00B4383C"/>
    <w:rsid w:val="00B43BB0"/>
    <w:rsid w:val="00B4403D"/>
    <w:rsid w:val="00B44B10"/>
    <w:rsid w:val="00B44F0F"/>
    <w:rsid w:val="00B455B1"/>
    <w:rsid w:val="00B455ED"/>
    <w:rsid w:val="00B45847"/>
    <w:rsid w:val="00B458C6"/>
    <w:rsid w:val="00B4597E"/>
    <w:rsid w:val="00B460A1"/>
    <w:rsid w:val="00B46275"/>
    <w:rsid w:val="00B464C7"/>
    <w:rsid w:val="00B4658A"/>
    <w:rsid w:val="00B46B22"/>
    <w:rsid w:val="00B46EEF"/>
    <w:rsid w:val="00B471F3"/>
    <w:rsid w:val="00B4733F"/>
    <w:rsid w:val="00B4758E"/>
    <w:rsid w:val="00B47BFE"/>
    <w:rsid w:val="00B47CBB"/>
    <w:rsid w:val="00B5015E"/>
    <w:rsid w:val="00B5020C"/>
    <w:rsid w:val="00B5083E"/>
    <w:rsid w:val="00B50ADB"/>
    <w:rsid w:val="00B515C1"/>
    <w:rsid w:val="00B51604"/>
    <w:rsid w:val="00B51F64"/>
    <w:rsid w:val="00B52CF4"/>
    <w:rsid w:val="00B53B4E"/>
    <w:rsid w:val="00B53C5F"/>
    <w:rsid w:val="00B53F78"/>
    <w:rsid w:val="00B54BD8"/>
    <w:rsid w:val="00B54E22"/>
    <w:rsid w:val="00B551D9"/>
    <w:rsid w:val="00B554CD"/>
    <w:rsid w:val="00B5596C"/>
    <w:rsid w:val="00B559C9"/>
    <w:rsid w:val="00B55E8D"/>
    <w:rsid w:val="00B565CB"/>
    <w:rsid w:val="00B5670F"/>
    <w:rsid w:val="00B569B2"/>
    <w:rsid w:val="00B56FBD"/>
    <w:rsid w:val="00B5715A"/>
    <w:rsid w:val="00B57327"/>
    <w:rsid w:val="00B574E2"/>
    <w:rsid w:val="00B57597"/>
    <w:rsid w:val="00B575FD"/>
    <w:rsid w:val="00B57BF5"/>
    <w:rsid w:val="00B6002D"/>
    <w:rsid w:val="00B6010B"/>
    <w:rsid w:val="00B610FA"/>
    <w:rsid w:val="00B61262"/>
    <w:rsid w:val="00B61AF0"/>
    <w:rsid w:val="00B61F6E"/>
    <w:rsid w:val="00B6210A"/>
    <w:rsid w:val="00B6220A"/>
    <w:rsid w:val="00B629F3"/>
    <w:rsid w:val="00B63048"/>
    <w:rsid w:val="00B6363E"/>
    <w:rsid w:val="00B637B6"/>
    <w:rsid w:val="00B63DDF"/>
    <w:rsid w:val="00B640CF"/>
    <w:rsid w:val="00B642F3"/>
    <w:rsid w:val="00B64565"/>
    <w:rsid w:val="00B64927"/>
    <w:rsid w:val="00B64AED"/>
    <w:rsid w:val="00B65415"/>
    <w:rsid w:val="00B65828"/>
    <w:rsid w:val="00B65E01"/>
    <w:rsid w:val="00B65ECB"/>
    <w:rsid w:val="00B664AA"/>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DB5"/>
    <w:rsid w:val="00B72DEE"/>
    <w:rsid w:val="00B72EE9"/>
    <w:rsid w:val="00B73637"/>
    <w:rsid w:val="00B73C6B"/>
    <w:rsid w:val="00B73D34"/>
    <w:rsid w:val="00B73FE6"/>
    <w:rsid w:val="00B742C1"/>
    <w:rsid w:val="00B74720"/>
    <w:rsid w:val="00B7497B"/>
    <w:rsid w:val="00B74AF6"/>
    <w:rsid w:val="00B74C99"/>
    <w:rsid w:val="00B74F2D"/>
    <w:rsid w:val="00B74F85"/>
    <w:rsid w:val="00B75032"/>
    <w:rsid w:val="00B750D5"/>
    <w:rsid w:val="00B7591C"/>
    <w:rsid w:val="00B75C89"/>
    <w:rsid w:val="00B75D1D"/>
    <w:rsid w:val="00B75E98"/>
    <w:rsid w:val="00B76280"/>
    <w:rsid w:val="00B766B4"/>
    <w:rsid w:val="00B76A3F"/>
    <w:rsid w:val="00B76A7D"/>
    <w:rsid w:val="00B76C04"/>
    <w:rsid w:val="00B76CE1"/>
    <w:rsid w:val="00B772D5"/>
    <w:rsid w:val="00B773FE"/>
    <w:rsid w:val="00B7743D"/>
    <w:rsid w:val="00B776D5"/>
    <w:rsid w:val="00B777F0"/>
    <w:rsid w:val="00B77895"/>
    <w:rsid w:val="00B77B7E"/>
    <w:rsid w:val="00B77FC8"/>
    <w:rsid w:val="00B80681"/>
    <w:rsid w:val="00B80744"/>
    <w:rsid w:val="00B80979"/>
    <w:rsid w:val="00B80C39"/>
    <w:rsid w:val="00B818AA"/>
    <w:rsid w:val="00B81B66"/>
    <w:rsid w:val="00B81BC2"/>
    <w:rsid w:val="00B81C75"/>
    <w:rsid w:val="00B81D8F"/>
    <w:rsid w:val="00B81EEF"/>
    <w:rsid w:val="00B81F26"/>
    <w:rsid w:val="00B83857"/>
    <w:rsid w:val="00B83B79"/>
    <w:rsid w:val="00B840BB"/>
    <w:rsid w:val="00B8447C"/>
    <w:rsid w:val="00B84C9F"/>
    <w:rsid w:val="00B84E99"/>
    <w:rsid w:val="00B8525F"/>
    <w:rsid w:val="00B856E9"/>
    <w:rsid w:val="00B85774"/>
    <w:rsid w:val="00B8592D"/>
    <w:rsid w:val="00B86405"/>
    <w:rsid w:val="00B86429"/>
    <w:rsid w:val="00B8648F"/>
    <w:rsid w:val="00B86601"/>
    <w:rsid w:val="00B866C7"/>
    <w:rsid w:val="00B86BBA"/>
    <w:rsid w:val="00B86C75"/>
    <w:rsid w:val="00B86EFB"/>
    <w:rsid w:val="00B874F9"/>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8C4"/>
    <w:rsid w:val="00B92CDE"/>
    <w:rsid w:val="00B92E67"/>
    <w:rsid w:val="00B92E6B"/>
    <w:rsid w:val="00B93043"/>
    <w:rsid w:val="00B93431"/>
    <w:rsid w:val="00B93500"/>
    <w:rsid w:val="00B9357D"/>
    <w:rsid w:val="00B93D52"/>
    <w:rsid w:val="00B93D97"/>
    <w:rsid w:val="00B93DB2"/>
    <w:rsid w:val="00B94025"/>
    <w:rsid w:val="00B94392"/>
    <w:rsid w:val="00B945B0"/>
    <w:rsid w:val="00B945B5"/>
    <w:rsid w:val="00B94B48"/>
    <w:rsid w:val="00B94CA7"/>
    <w:rsid w:val="00B95098"/>
    <w:rsid w:val="00B951AD"/>
    <w:rsid w:val="00B9535C"/>
    <w:rsid w:val="00B955F5"/>
    <w:rsid w:val="00B95663"/>
    <w:rsid w:val="00B95A36"/>
    <w:rsid w:val="00B95CCC"/>
    <w:rsid w:val="00B95CFB"/>
    <w:rsid w:val="00B95D5E"/>
    <w:rsid w:val="00B95F44"/>
    <w:rsid w:val="00B96D3C"/>
    <w:rsid w:val="00B9732B"/>
    <w:rsid w:val="00B973E5"/>
    <w:rsid w:val="00B97577"/>
    <w:rsid w:val="00B97993"/>
    <w:rsid w:val="00B97A2B"/>
    <w:rsid w:val="00B97C37"/>
    <w:rsid w:val="00BA0FE9"/>
    <w:rsid w:val="00BA139F"/>
    <w:rsid w:val="00BA13BE"/>
    <w:rsid w:val="00BA1A0B"/>
    <w:rsid w:val="00BA1C38"/>
    <w:rsid w:val="00BA1E85"/>
    <w:rsid w:val="00BA236A"/>
    <w:rsid w:val="00BA25FD"/>
    <w:rsid w:val="00BA2B65"/>
    <w:rsid w:val="00BA2BA6"/>
    <w:rsid w:val="00BA31DF"/>
    <w:rsid w:val="00BA359B"/>
    <w:rsid w:val="00BA35E1"/>
    <w:rsid w:val="00BA39AA"/>
    <w:rsid w:val="00BA3A93"/>
    <w:rsid w:val="00BA43A0"/>
    <w:rsid w:val="00BA45DD"/>
    <w:rsid w:val="00BA469C"/>
    <w:rsid w:val="00BA477D"/>
    <w:rsid w:val="00BA4BCF"/>
    <w:rsid w:val="00BA4D05"/>
    <w:rsid w:val="00BA5165"/>
    <w:rsid w:val="00BA5599"/>
    <w:rsid w:val="00BA5665"/>
    <w:rsid w:val="00BA587C"/>
    <w:rsid w:val="00BA5A31"/>
    <w:rsid w:val="00BA5A40"/>
    <w:rsid w:val="00BA5B54"/>
    <w:rsid w:val="00BA5FD5"/>
    <w:rsid w:val="00BA62AB"/>
    <w:rsid w:val="00BA7539"/>
    <w:rsid w:val="00BA7E0B"/>
    <w:rsid w:val="00BB013E"/>
    <w:rsid w:val="00BB0DD7"/>
    <w:rsid w:val="00BB0DE3"/>
    <w:rsid w:val="00BB0EA0"/>
    <w:rsid w:val="00BB0F73"/>
    <w:rsid w:val="00BB10A5"/>
    <w:rsid w:val="00BB10CD"/>
    <w:rsid w:val="00BB10F0"/>
    <w:rsid w:val="00BB122E"/>
    <w:rsid w:val="00BB15AE"/>
    <w:rsid w:val="00BB16F8"/>
    <w:rsid w:val="00BB253F"/>
    <w:rsid w:val="00BB25BB"/>
    <w:rsid w:val="00BB26A9"/>
    <w:rsid w:val="00BB4A6F"/>
    <w:rsid w:val="00BB4D98"/>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18D"/>
    <w:rsid w:val="00BC21BD"/>
    <w:rsid w:val="00BC2964"/>
    <w:rsid w:val="00BC3112"/>
    <w:rsid w:val="00BC3308"/>
    <w:rsid w:val="00BC34A7"/>
    <w:rsid w:val="00BC3771"/>
    <w:rsid w:val="00BC3776"/>
    <w:rsid w:val="00BC38DE"/>
    <w:rsid w:val="00BC3D8E"/>
    <w:rsid w:val="00BC3E7F"/>
    <w:rsid w:val="00BC41B5"/>
    <w:rsid w:val="00BC4AE5"/>
    <w:rsid w:val="00BC4C63"/>
    <w:rsid w:val="00BC5311"/>
    <w:rsid w:val="00BC548A"/>
    <w:rsid w:val="00BC54D1"/>
    <w:rsid w:val="00BC55D9"/>
    <w:rsid w:val="00BC58DE"/>
    <w:rsid w:val="00BC5B5C"/>
    <w:rsid w:val="00BC6308"/>
    <w:rsid w:val="00BC6388"/>
    <w:rsid w:val="00BC63FE"/>
    <w:rsid w:val="00BC6424"/>
    <w:rsid w:val="00BC666D"/>
    <w:rsid w:val="00BC67A4"/>
    <w:rsid w:val="00BC67BB"/>
    <w:rsid w:val="00BC6B4D"/>
    <w:rsid w:val="00BC6C4F"/>
    <w:rsid w:val="00BC6FBB"/>
    <w:rsid w:val="00BC75B6"/>
    <w:rsid w:val="00BC7627"/>
    <w:rsid w:val="00BC76AA"/>
    <w:rsid w:val="00BC7BC3"/>
    <w:rsid w:val="00BD044C"/>
    <w:rsid w:val="00BD06B8"/>
    <w:rsid w:val="00BD1290"/>
    <w:rsid w:val="00BD1CFB"/>
    <w:rsid w:val="00BD2093"/>
    <w:rsid w:val="00BD2945"/>
    <w:rsid w:val="00BD2B8F"/>
    <w:rsid w:val="00BD2BC5"/>
    <w:rsid w:val="00BD2C86"/>
    <w:rsid w:val="00BD32A0"/>
    <w:rsid w:val="00BD34BC"/>
    <w:rsid w:val="00BD35B9"/>
    <w:rsid w:val="00BD36EC"/>
    <w:rsid w:val="00BD38CD"/>
    <w:rsid w:val="00BD3AB0"/>
    <w:rsid w:val="00BD3B79"/>
    <w:rsid w:val="00BD4A52"/>
    <w:rsid w:val="00BD51CA"/>
    <w:rsid w:val="00BD5B7F"/>
    <w:rsid w:val="00BD5CD2"/>
    <w:rsid w:val="00BD68B6"/>
    <w:rsid w:val="00BD6A9C"/>
    <w:rsid w:val="00BD6E6D"/>
    <w:rsid w:val="00BD7065"/>
    <w:rsid w:val="00BD735C"/>
    <w:rsid w:val="00BD7524"/>
    <w:rsid w:val="00BD7629"/>
    <w:rsid w:val="00BD77DE"/>
    <w:rsid w:val="00BD79C2"/>
    <w:rsid w:val="00BD7F6C"/>
    <w:rsid w:val="00BE043F"/>
    <w:rsid w:val="00BE0654"/>
    <w:rsid w:val="00BE0EA2"/>
    <w:rsid w:val="00BE0EDD"/>
    <w:rsid w:val="00BE19BC"/>
    <w:rsid w:val="00BE1C82"/>
    <w:rsid w:val="00BE1F2E"/>
    <w:rsid w:val="00BE1FA7"/>
    <w:rsid w:val="00BE21D6"/>
    <w:rsid w:val="00BE22C6"/>
    <w:rsid w:val="00BE27E0"/>
    <w:rsid w:val="00BE2AD7"/>
    <w:rsid w:val="00BE2BAA"/>
    <w:rsid w:val="00BE2DE9"/>
    <w:rsid w:val="00BE3433"/>
    <w:rsid w:val="00BE3CEA"/>
    <w:rsid w:val="00BE3F37"/>
    <w:rsid w:val="00BE43D6"/>
    <w:rsid w:val="00BE4F8D"/>
    <w:rsid w:val="00BE5023"/>
    <w:rsid w:val="00BE5818"/>
    <w:rsid w:val="00BE590A"/>
    <w:rsid w:val="00BE6515"/>
    <w:rsid w:val="00BE66D4"/>
    <w:rsid w:val="00BE6BC0"/>
    <w:rsid w:val="00BE770F"/>
    <w:rsid w:val="00BE778C"/>
    <w:rsid w:val="00BE7B50"/>
    <w:rsid w:val="00BF014C"/>
    <w:rsid w:val="00BF01D4"/>
    <w:rsid w:val="00BF1124"/>
    <w:rsid w:val="00BF140A"/>
    <w:rsid w:val="00BF20FB"/>
    <w:rsid w:val="00BF27CC"/>
    <w:rsid w:val="00BF2997"/>
    <w:rsid w:val="00BF2AE2"/>
    <w:rsid w:val="00BF31C6"/>
    <w:rsid w:val="00BF3AAE"/>
    <w:rsid w:val="00BF401D"/>
    <w:rsid w:val="00BF471C"/>
    <w:rsid w:val="00BF4843"/>
    <w:rsid w:val="00BF4C22"/>
    <w:rsid w:val="00BF4C6F"/>
    <w:rsid w:val="00BF4CD1"/>
    <w:rsid w:val="00BF4DD7"/>
    <w:rsid w:val="00BF4EAB"/>
    <w:rsid w:val="00BF51E4"/>
    <w:rsid w:val="00BF53D2"/>
    <w:rsid w:val="00BF6043"/>
    <w:rsid w:val="00BF66BA"/>
    <w:rsid w:val="00BF699C"/>
    <w:rsid w:val="00BF71E0"/>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0EE8"/>
    <w:rsid w:val="00C112F7"/>
    <w:rsid w:val="00C1130F"/>
    <w:rsid w:val="00C1161D"/>
    <w:rsid w:val="00C127A6"/>
    <w:rsid w:val="00C12B5C"/>
    <w:rsid w:val="00C12CA4"/>
    <w:rsid w:val="00C12CC4"/>
    <w:rsid w:val="00C12CE6"/>
    <w:rsid w:val="00C12D9C"/>
    <w:rsid w:val="00C13208"/>
    <w:rsid w:val="00C133F5"/>
    <w:rsid w:val="00C1360E"/>
    <w:rsid w:val="00C13819"/>
    <w:rsid w:val="00C13CCA"/>
    <w:rsid w:val="00C142EA"/>
    <w:rsid w:val="00C14396"/>
    <w:rsid w:val="00C14AD2"/>
    <w:rsid w:val="00C14CA5"/>
    <w:rsid w:val="00C15B1E"/>
    <w:rsid w:val="00C15BE1"/>
    <w:rsid w:val="00C160D9"/>
    <w:rsid w:val="00C16210"/>
    <w:rsid w:val="00C1654D"/>
    <w:rsid w:val="00C16AA1"/>
    <w:rsid w:val="00C16B32"/>
    <w:rsid w:val="00C16FF1"/>
    <w:rsid w:val="00C17089"/>
    <w:rsid w:val="00C1715B"/>
    <w:rsid w:val="00C173B9"/>
    <w:rsid w:val="00C173EB"/>
    <w:rsid w:val="00C1757F"/>
    <w:rsid w:val="00C17645"/>
    <w:rsid w:val="00C17950"/>
    <w:rsid w:val="00C17B74"/>
    <w:rsid w:val="00C17BCC"/>
    <w:rsid w:val="00C20102"/>
    <w:rsid w:val="00C20358"/>
    <w:rsid w:val="00C20A09"/>
    <w:rsid w:val="00C20AEB"/>
    <w:rsid w:val="00C20C80"/>
    <w:rsid w:val="00C20F22"/>
    <w:rsid w:val="00C21CA8"/>
    <w:rsid w:val="00C21FF8"/>
    <w:rsid w:val="00C220F2"/>
    <w:rsid w:val="00C223A0"/>
    <w:rsid w:val="00C225A3"/>
    <w:rsid w:val="00C22A29"/>
    <w:rsid w:val="00C230A5"/>
    <w:rsid w:val="00C23458"/>
    <w:rsid w:val="00C2383F"/>
    <w:rsid w:val="00C23B87"/>
    <w:rsid w:val="00C23BBD"/>
    <w:rsid w:val="00C23C27"/>
    <w:rsid w:val="00C2455C"/>
    <w:rsid w:val="00C24638"/>
    <w:rsid w:val="00C24936"/>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76C"/>
    <w:rsid w:val="00C33A72"/>
    <w:rsid w:val="00C33CD5"/>
    <w:rsid w:val="00C340CF"/>
    <w:rsid w:val="00C34101"/>
    <w:rsid w:val="00C348E7"/>
    <w:rsid w:val="00C348FE"/>
    <w:rsid w:val="00C34C08"/>
    <w:rsid w:val="00C34C64"/>
    <w:rsid w:val="00C34FBC"/>
    <w:rsid w:val="00C34FD2"/>
    <w:rsid w:val="00C35087"/>
    <w:rsid w:val="00C3523B"/>
    <w:rsid w:val="00C3555C"/>
    <w:rsid w:val="00C35947"/>
    <w:rsid w:val="00C36061"/>
    <w:rsid w:val="00C36D8B"/>
    <w:rsid w:val="00C36DD9"/>
    <w:rsid w:val="00C36FFE"/>
    <w:rsid w:val="00C37189"/>
    <w:rsid w:val="00C37939"/>
    <w:rsid w:val="00C40A83"/>
    <w:rsid w:val="00C40D37"/>
    <w:rsid w:val="00C40E67"/>
    <w:rsid w:val="00C412E1"/>
    <w:rsid w:val="00C416FD"/>
    <w:rsid w:val="00C41E73"/>
    <w:rsid w:val="00C41FA0"/>
    <w:rsid w:val="00C4271F"/>
    <w:rsid w:val="00C42774"/>
    <w:rsid w:val="00C42A6C"/>
    <w:rsid w:val="00C42B60"/>
    <w:rsid w:val="00C438F0"/>
    <w:rsid w:val="00C43E4A"/>
    <w:rsid w:val="00C43EE4"/>
    <w:rsid w:val="00C43F5B"/>
    <w:rsid w:val="00C43FD4"/>
    <w:rsid w:val="00C4445E"/>
    <w:rsid w:val="00C44846"/>
    <w:rsid w:val="00C44E18"/>
    <w:rsid w:val="00C450AE"/>
    <w:rsid w:val="00C4514F"/>
    <w:rsid w:val="00C45A51"/>
    <w:rsid w:val="00C45CA9"/>
    <w:rsid w:val="00C45D6B"/>
    <w:rsid w:val="00C4642B"/>
    <w:rsid w:val="00C465B0"/>
    <w:rsid w:val="00C469E3"/>
    <w:rsid w:val="00C46CC3"/>
    <w:rsid w:val="00C47155"/>
    <w:rsid w:val="00C472F7"/>
    <w:rsid w:val="00C47740"/>
    <w:rsid w:val="00C47807"/>
    <w:rsid w:val="00C47987"/>
    <w:rsid w:val="00C47CD2"/>
    <w:rsid w:val="00C47D56"/>
    <w:rsid w:val="00C50A44"/>
    <w:rsid w:val="00C50CAB"/>
    <w:rsid w:val="00C510DE"/>
    <w:rsid w:val="00C51122"/>
    <w:rsid w:val="00C51700"/>
    <w:rsid w:val="00C517D7"/>
    <w:rsid w:val="00C52900"/>
    <w:rsid w:val="00C531BF"/>
    <w:rsid w:val="00C53450"/>
    <w:rsid w:val="00C536E4"/>
    <w:rsid w:val="00C538AE"/>
    <w:rsid w:val="00C53AF4"/>
    <w:rsid w:val="00C53C32"/>
    <w:rsid w:val="00C53E7A"/>
    <w:rsid w:val="00C541CC"/>
    <w:rsid w:val="00C54492"/>
    <w:rsid w:val="00C544B6"/>
    <w:rsid w:val="00C545A9"/>
    <w:rsid w:val="00C545B6"/>
    <w:rsid w:val="00C54601"/>
    <w:rsid w:val="00C5489C"/>
    <w:rsid w:val="00C549BD"/>
    <w:rsid w:val="00C54C25"/>
    <w:rsid w:val="00C54E26"/>
    <w:rsid w:val="00C54E63"/>
    <w:rsid w:val="00C54EA0"/>
    <w:rsid w:val="00C556A0"/>
    <w:rsid w:val="00C558B2"/>
    <w:rsid w:val="00C55A89"/>
    <w:rsid w:val="00C5676C"/>
    <w:rsid w:val="00C56A84"/>
    <w:rsid w:val="00C56CF6"/>
    <w:rsid w:val="00C56F9D"/>
    <w:rsid w:val="00C575E8"/>
    <w:rsid w:val="00C5777E"/>
    <w:rsid w:val="00C57A35"/>
    <w:rsid w:val="00C57EB0"/>
    <w:rsid w:val="00C60984"/>
    <w:rsid w:val="00C60CAF"/>
    <w:rsid w:val="00C60DD5"/>
    <w:rsid w:val="00C60E33"/>
    <w:rsid w:val="00C6111A"/>
    <w:rsid w:val="00C61801"/>
    <w:rsid w:val="00C618DF"/>
    <w:rsid w:val="00C627F1"/>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CE2"/>
    <w:rsid w:val="00C66E74"/>
    <w:rsid w:val="00C67029"/>
    <w:rsid w:val="00C67203"/>
    <w:rsid w:val="00C67809"/>
    <w:rsid w:val="00C67B8D"/>
    <w:rsid w:val="00C7056E"/>
    <w:rsid w:val="00C70B38"/>
    <w:rsid w:val="00C70B43"/>
    <w:rsid w:val="00C70F78"/>
    <w:rsid w:val="00C7118F"/>
    <w:rsid w:val="00C719BB"/>
    <w:rsid w:val="00C71A56"/>
    <w:rsid w:val="00C72312"/>
    <w:rsid w:val="00C730CC"/>
    <w:rsid w:val="00C73F97"/>
    <w:rsid w:val="00C7466E"/>
    <w:rsid w:val="00C74A30"/>
    <w:rsid w:val="00C74DBD"/>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4DB"/>
    <w:rsid w:val="00C80C97"/>
    <w:rsid w:val="00C80DC6"/>
    <w:rsid w:val="00C80F9E"/>
    <w:rsid w:val="00C815E4"/>
    <w:rsid w:val="00C81975"/>
    <w:rsid w:val="00C81D66"/>
    <w:rsid w:val="00C820EC"/>
    <w:rsid w:val="00C8290C"/>
    <w:rsid w:val="00C83271"/>
    <w:rsid w:val="00C832D7"/>
    <w:rsid w:val="00C83575"/>
    <w:rsid w:val="00C84170"/>
    <w:rsid w:val="00C8494E"/>
    <w:rsid w:val="00C84FD6"/>
    <w:rsid w:val="00C84FEC"/>
    <w:rsid w:val="00C8512B"/>
    <w:rsid w:val="00C858C8"/>
    <w:rsid w:val="00C85A79"/>
    <w:rsid w:val="00C85CE4"/>
    <w:rsid w:val="00C85E1C"/>
    <w:rsid w:val="00C86242"/>
    <w:rsid w:val="00C863EF"/>
    <w:rsid w:val="00C86856"/>
    <w:rsid w:val="00C86C31"/>
    <w:rsid w:val="00C86D64"/>
    <w:rsid w:val="00C871A4"/>
    <w:rsid w:val="00C87A42"/>
    <w:rsid w:val="00C87ACE"/>
    <w:rsid w:val="00C87CDD"/>
    <w:rsid w:val="00C909EE"/>
    <w:rsid w:val="00C90BB9"/>
    <w:rsid w:val="00C90DF6"/>
    <w:rsid w:val="00C90E27"/>
    <w:rsid w:val="00C910ED"/>
    <w:rsid w:val="00C914C9"/>
    <w:rsid w:val="00C9156F"/>
    <w:rsid w:val="00C9160D"/>
    <w:rsid w:val="00C91E57"/>
    <w:rsid w:val="00C922E8"/>
    <w:rsid w:val="00C93188"/>
    <w:rsid w:val="00C93F49"/>
    <w:rsid w:val="00C93FA4"/>
    <w:rsid w:val="00C94EF3"/>
    <w:rsid w:val="00C95191"/>
    <w:rsid w:val="00C952A9"/>
    <w:rsid w:val="00C9534F"/>
    <w:rsid w:val="00C95B4F"/>
    <w:rsid w:val="00C95E98"/>
    <w:rsid w:val="00C95F67"/>
    <w:rsid w:val="00C961C0"/>
    <w:rsid w:val="00C965E4"/>
    <w:rsid w:val="00C96B95"/>
    <w:rsid w:val="00C97229"/>
    <w:rsid w:val="00C9739A"/>
    <w:rsid w:val="00C97F19"/>
    <w:rsid w:val="00C97F40"/>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0FB"/>
    <w:rsid w:val="00CA5494"/>
    <w:rsid w:val="00CA575F"/>
    <w:rsid w:val="00CA5EBD"/>
    <w:rsid w:val="00CA5EDA"/>
    <w:rsid w:val="00CA649D"/>
    <w:rsid w:val="00CA6549"/>
    <w:rsid w:val="00CA69CB"/>
    <w:rsid w:val="00CA6DD5"/>
    <w:rsid w:val="00CA6F7C"/>
    <w:rsid w:val="00CA795A"/>
    <w:rsid w:val="00CB0652"/>
    <w:rsid w:val="00CB09A7"/>
    <w:rsid w:val="00CB0A8A"/>
    <w:rsid w:val="00CB1053"/>
    <w:rsid w:val="00CB138C"/>
    <w:rsid w:val="00CB1AE7"/>
    <w:rsid w:val="00CB1AEF"/>
    <w:rsid w:val="00CB1BD3"/>
    <w:rsid w:val="00CB21EF"/>
    <w:rsid w:val="00CB26B1"/>
    <w:rsid w:val="00CB2714"/>
    <w:rsid w:val="00CB2824"/>
    <w:rsid w:val="00CB2C75"/>
    <w:rsid w:val="00CB2F95"/>
    <w:rsid w:val="00CB3090"/>
    <w:rsid w:val="00CB30E7"/>
    <w:rsid w:val="00CB3270"/>
    <w:rsid w:val="00CB3501"/>
    <w:rsid w:val="00CB3688"/>
    <w:rsid w:val="00CB3B62"/>
    <w:rsid w:val="00CB3CC1"/>
    <w:rsid w:val="00CB3ECB"/>
    <w:rsid w:val="00CB4C9A"/>
    <w:rsid w:val="00CB4DA4"/>
    <w:rsid w:val="00CB4E2C"/>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1F59"/>
    <w:rsid w:val="00CC2AE1"/>
    <w:rsid w:val="00CC2B9C"/>
    <w:rsid w:val="00CC326E"/>
    <w:rsid w:val="00CC38EE"/>
    <w:rsid w:val="00CC3EA6"/>
    <w:rsid w:val="00CC41AF"/>
    <w:rsid w:val="00CC5019"/>
    <w:rsid w:val="00CC5288"/>
    <w:rsid w:val="00CC5549"/>
    <w:rsid w:val="00CC566D"/>
    <w:rsid w:val="00CC5872"/>
    <w:rsid w:val="00CC5CB2"/>
    <w:rsid w:val="00CC675D"/>
    <w:rsid w:val="00CC6AA6"/>
    <w:rsid w:val="00CC6ACF"/>
    <w:rsid w:val="00CC6CA6"/>
    <w:rsid w:val="00CC7049"/>
    <w:rsid w:val="00CC70DA"/>
    <w:rsid w:val="00CC722F"/>
    <w:rsid w:val="00CC726E"/>
    <w:rsid w:val="00CC7476"/>
    <w:rsid w:val="00CC75C4"/>
    <w:rsid w:val="00CC75EE"/>
    <w:rsid w:val="00CC77E9"/>
    <w:rsid w:val="00CC790E"/>
    <w:rsid w:val="00CC7A39"/>
    <w:rsid w:val="00CC7F78"/>
    <w:rsid w:val="00CD033C"/>
    <w:rsid w:val="00CD0545"/>
    <w:rsid w:val="00CD091D"/>
    <w:rsid w:val="00CD0AED"/>
    <w:rsid w:val="00CD0BAE"/>
    <w:rsid w:val="00CD1017"/>
    <w:rsid w:val="00CD126F"/>
    <w:rsid w:val="00CD129C"/>
    <w:rsid w:val="00CD12BA"/>
    <w:rsid w:val="00CD138D"/>
    <w:rsid w:val="00CD181E"/>
    <w:rsid w:val="00CD188E"/>
    <w:rsid w:val="00CD18FE"/>
    <w:rsid w:val="00CD2267"/>
    <w:rsid w:val="00CD2C45"/>
    <w:rsid w:val="00CD387C"/>
    <w:rsid w:val="00CD447C"/>
    <w:rsid w:val="00CD473D"/>
    <w:rsid w:val="00CD474C"/>
    <w:rsid w:val="00CD4905"/>
    <w:rsid w:val="00CD4BCC"/>
    <w:rsid w:val="00CD4CCB"/>
    <w:rsid w:val="00CD503F"/>
    <w:rsid w:val="00CD5589"/>
    <w:rsid w:val="00CD5CCC"/>
    <w:rsid w:val="00CD61EC"/>
    <w:rsid w:val="00CD662B"/>
    <w:rsid w:val="00CD698B"/>
    <w:rsid w:val="00CD6B16"/>
    <w:rsid w:val="00CD6B5E"/>
    <w:rsid w:val="00CD7197"/>
    <w:rsid w:val="00CD7422"/>
    <w:rsid w:val="00CD7F2B"/>
    <w:rsid w:val="00CE0265"/>
    <w:rsid w:val="00CE05BF"/>
    <w:rsid w:val="00CE05C0"/>
    <w:rsid w:val="00CE0950"/>
    <w:rsid w:val="00CE0ACD"/>
    <w:rsid w:val="00CE0FA0"/>
    <w:rsid w:val="00CE0FC5"/>
    <w:rsid w:val="00CE11B2"/>
    <w:rsid w:val="00CE11D8"/>
    <w:rsid w:val="00CE1351"/>
    <w:rsid w:val="00CE1648"/>
    <w:rsid w:val="00CE19BA"/>
    <w:rsid w:val="00CE1A90"/>
    <w:rsid w:val="00CE1C5C"/>
    <w:rsid w:val="00CE1C77"/>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19E"/>
    <w:rsid w:val="00CE5261"/>
    <w:rsid w:val="00CE5291"/>
    <w:rsid w:val="00CE54C4"/>
    <w:rsid w:val="00CE584B"/>
    <w:rsid w:val="00CE5A0A"/>
    <w:rsid w:val="00CE5C12"/>
    <w:rsid w:val="00CE6B27"/>
    <w:rsid w:val="00CE6C5C"/>
    <w:rsid w:val="00CE6D66"/>
    <w:rsid w:val="00CE72F6"/>
    <w:rsid w:val="00CE7E5F"/>
    <w:rsid w:val="00CE7FF2"/>
    <w:rsid w:val="00CF07E6"/>
    <w:rsid w:val="00CF0E8B"/>
    <w:rsid w:val="00CF1090"/>
    <w:rsid w:val="00CF11A1"/>
    <w:rsid w:val="00CF12DA"/>
    <w:rsid w:val="00CF16F2"/>
    <w:rsid w:val="00CF1AB9"/>
    <w:rsid w:val="00CF1B03"/>
    <w:rsid w:val="00CF1B1E"/>
    <w:rsid w:val="00CF1DBC"/>
    <w:rsid w:val="00CF1E1B"/>
    <w:rsid w:val="00CF1E58"/>
    <w:rsid w:val="00CF1F79"/>
    <w:rsid w:val="00CF2166"/>
    <w:rsid w:val="00CF23BF"/>
    <w:rsid w:val="00CF2822"/>
    <w:rsid w:val="00CF2B1C"/>
    <w:rsid w:val="00CF2B8E"/>
    <w:rsid w:val="00CF39B2"/>
    <w:rsid w:val="00CF3A6E"/>
    <w:rsid w:val="00CF3B32"/>
    <w:rsid w:val="00CF3E3A"/>
    <w:rsid w:val="00CF3E3D"/>
    <w:rsid w:val="00CF4060"/>
    <w:rsid w:val="00CF51AD"/>
    <w:rsid w:val="00CF52EB"/>
    <w:rsid w:val="00CF585D"/>
    <w:rsid w:val="00CF5CA8"/>
    <w:rsid w:val="00CF65DE"/>
    <w:rsid w:val="00CF69C2"/>
    <w:rsid w:val="00CF6D4F"/>
    <w:rsid w:val="00CF71F4"/>
    <w:rsid w:val="00CF7210"/>
    <w:rsid w:val="00CF72BD"/>
    <w:rsid w:val="00CF767E"/>
    <w:rsid w:val="00CF78C0"/>
    <w:rsid w:val="00CF7A67"/>
    <w:rsid w:val="00D002EA"/>
    <w:rsid w:val="00D0054C"/>
    <w:rsid w:val="00D00726"/>
    <w:rsid w:val="00D00A15"/>
    <w:rsid w:val="00D00D3D"/>
    <w:rsid w:val="00D010BC"/>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A25"/>
    <w:rsid w:val="00D05C91"/>
    <w:rsid w:val="00D05CB6"/>
    <w:rsid w:val="00D06325"/>
    <w:rsid w:val="00D06B60"/>
    <w:rsid w:val="00D07246"/>
    <w:rsid w:val="00D07664"/>
    <w:rsid w:val="00D07684"/>
    <w:rsid w:val="00D076A6"/>
    <w:rsid w:val="00D0786C"/>
    <w:rsid w:val="00D07DF1"/>
    <w:rsid w:val="00D07F59"/>
    <w:rsid w:val="00D07FEE"/>
    <w:rsid w:val="00D104B2"/>
    <w:rsid w:val="00D10986"/>
    <w:rsid w:val="00D1149D"/>
    <w:rsid w:val="00D11BB2"/>
    <w:rsid w:val="00D11DC3"/>
    <w:rsid w:val="00D12668"/>
    <w:rsid w:val="00D12F1F"/>
    <w:rsid w:val="00D130B1"/>
    <w:rsid w:val="00D13207"/>
    <w:rsid w:val="00D13358"/>
    <w:rsid w:val="00D1342C"/>
    <w:rsid w:val="00D138D7"/>
    <w:rsid w:val="00D142FA"/>
    <w:rsid w:val="00D14873"/>
    <w:rsid w:val="00D14C06"/>
    <w:rsid w:val="00D14DAF"/>
    <w:rsid w:val="00D1564A"/>
    <w:rsid w:val="00D156E5"/>
    <w:rsid w:val="00D15AF0"/>
    <w:rsid w:val="00D16450"/>
    <w:rsid w:val="00D16641"/>
    <w:rsid w:val="00D16747"/>
    <w:rsid w:val="00D17026"/>
    <w:rsid w:val="00D170C1"/>
    <w:rsid w:val="00D175C7"/>
    <w:rsid w:val="00D17E09"/>
    <w:rsid w:val="00D20017"/>
    <w:rsid w:val="00D20886"/>
    <w:rsid w:val="00D20A3E"/>
    <w:rsid w:val="00D20F38"/>
    <w:rsid w:val="00D20F6F"/>
    <w:rsid w:val="00D213E2"/>
    <w:rsid w:val="00D2154C"/>
    <w:rsid w:val="00D21EF8"/>
    <w:rsid w:val="00D22C81"/>
    <w:rsid w:val="00D22E00"/>
    <w:rsid w:val="00D23015"/>
    <w:rsid w:val="00D2361E"/>
    <w:rsid w:val="00D23FFA"/>
    <w:rsid w:val="00D2447C"/>
    <w:rsid w:val="00D251E6"/>
    <w:rsid w:val="00D252EF"/>
    <w:rsid w:val="00D259B0"/>
    <w:rsid w:val="00D26097"/>
    <w:rsid w:val="00D261C5"/>
    <w:rsid w:val="00D261DB"/>
    <w:rsid w:val="00D26391"/>
    <w:rsid w:val="00D268F9"/>
    <w:rsid w:val="00D2692D"/>
    <w:rsid w:val="00D2699D"/>
    <w:rsid w:val="00D26D58"/>
    <w:rsid w:val="00D26F13"/>
    <w:rsid w:val="00D27747"/>
    <w:rsid w:val="00D27BF7"/>
    <w:rsid w:val="00D27EF7"/>
    <w:rsid w:val="00D27F2A"/>
    <w:rsid w:val="00D303FC"/>
    <w:rsid w:val="00D30729"/>
    <w:rsid w:val="00D30EAF"/>
    <w:rsid w:val="00D30FDD"/>
    <w:rsid w:val="00D314F6"/>
    <w:rsid w:val="00D31753"/>
    <w:rsid w:val="00D31A4F"/>
    <w:rsid w:val="00D31D6C"/>
    <w:rsid w:val="00D31D99"/>
    <w:rsid w:val="00D323B0"/>
    <w:rsid w:val="00D32CDD"/>
    <w:rsid w:val="00D32E0D"/>
    <w:rsid w:val="00D3326D"/>
    <w:rsid w:val="00D33977"/>
    <w:rsid w:val="00D33E44"/>
    <w:rsid w:val="00D34097"/>
    <w:rsid w:val="00D34770"/>
    <w:rsid w:val="00D34F3A"/>
    <w:rsid w:val="00D3544C"/>
    <w:rsid w:val="00D3599C"/>
    <w:rsid w:val="00D3650B"/>
    <w:rsid w:val="00D3719F"/>
    <w:rsid w:val="00D371B0"/>
    <w:rsid w:val="00D371C8"/>
    <w:rsid w:val="00D372E8"/>
    <w:rsid w:val="00D3797F"/>
    <w:rsid w:val="00D37E44"/>
    <w:rsid w:val="00D40199"/>
    <w:rsid w:val="00D4061B"/>
    <w:rsid w:val="00D4083A"/>
    <w:rsid w:val="00D40E63"/>
    <w:rsid w:val="00D411F8"/>
    <w:rsid w:val="00D41C3E"/>
    <w:rsid w:val="00D41FB3"/>
    <w:rsid w:val="00D42DB2"/>
    <w:rsid w:val="00D42F75"/>
    <w:rsid w:val="00D431DA"/>
    <w:rsid w:val="00D43450"/>
    <w:rsid w:val="00D435B8"/>
    <w:rsid w:val="00D43764"/>
    <w:rsid w:val="00D43D75"/>
    <w:rsid w:val="00D43F48"/>
    <w:rsid w:val="00D43F90"/>
    <w:rsid w:val="00D44156"/>
    <w:rsid w:val="00D44198"/>
    <w:rsid w:val="00D441D9"/>
    <w:rsid w:val="00D445B3"/>
    <w:rsid w:val="00D453B5"/>
    <w:rsid w:val="00D454FF"/>
    <w:rsid w:val="00D45977"/>
    <w:rsid w:val="00D45B02"/>
    <w:rsid w:val="00D45EAF"/>
    <w:rsid w:val="00D46190"/>
    <w:rsid w:val="00D46DBF"/>
    <w:rsid w:val="00D46F26"/>
    <w:rsid w:val="00D47358"/>
    <w:rsid w:val="00D47489"/>
    <w:rsid w:val="00D47514"/>
    <w:rsid w:val="00D47591"/>
    <w:rsid w:val="00D502B3"/>
    <w:rsid w:val="00D50F4A"/>
    <w:rsid w:val="00D51089"/>
    <w:rsid w:val="00D51369"/>
    <w:rsid w:val="00D51AF0"/>
    <w:rsid w:val="00D5216C"/>
    <w:rsid w:val="00D5228C"/>
    <w:rsid w:val="00D5289C"/>
    <w:rsid w:val="00D52CA6"/>
    <w:rsid w:val="00D52D59"/>
    <w:rsid w:val="00D52E06"/>
    <w:rsid w:val="00D532A3"/>
    <w:rsid w:val="00D53650"/>
    <w:rsid w:val="00D536D5"/>
    <w:rsid w:val="00D53C72"/>
    <w:rsid w:val="00D54643"/>
    <w:rsid w:val="00D549EB"/>
    <w:rsid w:val="00D553C7"/>
    <w:rsid w:val="00D554F8"/>
    <w:rsid w:val="00D55D05"/>
    <w:rsid w:val="00D55FAA"/>
    <w:rsid w:val="00D55FC2"/>
    <w:rsid w:val="00D5648F"/>
    <w:rsid w:val="00D5651D"/>
    <w:rsid w:val="00D5671D"/>
    <w:rsid w:val="00D570D8"/>
    <w:rsid w:val="00D57B21"/>
    <w:rsid w:val="00D57B90"/>
    <w:rsid w:val="00D57B9A"/>
    <w:rsid w:val="00D60190"/>
    <w:rsid w:val="00D602D3"/>
    <w:rsid w:val="00D605A5"/>
    <w:rsid w:val="00D60698"/>
    <w:rsid w:val="00D606A0"/>
    <w:rsid w:val="00D60856"/>
    <w:rsid w:val="00D609EA"/>
    <w:rsid w:val="00D60A2F"/>
    <w:rsid w:val="00D60D31"/>
    <w:rsid w:val="00D60D92"/>
    <w:rsid w:val="00D60DAB"/>
    <w:rsid w:val="00D61973"/>
    <w:rsid w:val="00D61A8A"/>
    <w:rsid w:val="00D61DA7"/>
    <w:rsid w:val="00D62256"/>
    <w:rsid w:val="00D62284"/>
    <w:rsid w:val="00D62369"/>
    <w:rsid w:val="00D623AA"/>
    <w:rsid w:val="00D62617"/>
    <w:rsid w:val="00D62943"/>
    <w:rsid w:val="00D62A24"/>
    <w:rsid w:val="00D62FAC"/>
    <w:rsid w:val="00D62FBA"/>
    <w:rsid w:val="00D63304"/>
    <w:rsid w:val="00D635B0"/>
    <w:rsid w:val="00D637A9"/>
    <w:rsid w:val="00D63B05"/>
    <w:rsid w:val="00D63BE1"/>
    <w:rsid w:val="00D642E2"/>
    <w:rsid w:val="00D65280"/>
    <w:rsid w:val="00D65ECC"/>
    <w:rsid w:val="00D6616F"/>
    <w:rsid w:val="00D66746"/>
    <w:rsid w:val="00D6699B"/>
    <w:rsid w:val="00D669D8"/>
    <w:rsid w:val="00D66CDC"/>
    <w:rsid w:val="00D6704D"/>
    <w:rsid w:val="00D67F13"/>
    <w:rsid w:val="00D7009E"/>
    <w:rsid w:val="00D70777"/>
    <w:rsid w:val="00D7086C"/>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246"/>
    <w:rsid w:val="00D73582"/>
    <w:rsid w:val="00D74535"/>
    <w:rsid w:val="00D74660"/>
    <w:rsid w:val="00D74681"/>
    <w:rsid w:val="00D74797"/>
    <w:rsid w:val="00D74909"/>
    <w:rsid w:val="00D74968"/>
    <w:rsid w:val="00D749D2"/>
    <w:rsid w:val="00D74D03"/>
    <w:rsid w:val="00D74D9B"/>
    <w:rsid w:val="00D750A2"/>
    <w:rsid w:val="00D75650"/>
    <w:rsid w:val="00D756E8"/>
    <w:rsid w:val="00D758FE"/>
    <w:rsid w:val="00D75D35"/>
    <w:rsid w:val="00D76BEF"/>
    <w:rsid w:val="00D7709B"/>
    <w:rsid w:val="00D7734D"/>
    <w:rsid w:val="00D7735B"/>
    <w:rsid w:val="00D801EB"/>
    <w:rsid w:val="00D80747"/>
    <w:rsid w:val="00D8099F"/>
    <w:rsid w:val="00D809FF"/>
    <w:rsid w:val="00D80D62"/>
    <w:rsid w:val="00D80E48"/>
    <w:rsid w:val="00D810F2"/>
    <w:rsid w:val="00D81285"/>
    <w:rsid w:val="00D81366"/>
    <w:rsid w:val="00D81B8D"/>
    <w:rsid w:val="00D81B9A"/>
    <w:rsid w:val="00D81CDF"/>
    <w:rsid w:val="00D822C6"/>
    <w:rsid w:val="00D823FA"/>
    <w:rsid w:val="00D82644"/>
    <w:rsid w:val="00D82890"/>
    <w:rsid w:val="00D82F2D"/>
    <w:rsid w:val="00D838B7"/>
    <w:rsid w:val="00D843D6"/>
    <w:rsid w:val="00D84F2D"/>
    <w:rsid w:val="00D85237"/>
    <w:rsid w:val="00D85475"/>
    <w:rsid w:val="00D85703"/>
    <w:rsid w:val="00D859BF"/>
    <w:rsid w:val="00D85A2F"/>
    <w:rsid w:val="00D85E42"/>
    <w:rsid w:val="00D86026"/>
    <w:rsid w:val="00D86605"/>
    <w:rsid w:val="00D86A1F"/>
    <w:rsid w:val="00D875F5"/>
    <w:rsid w:val="00D87BDC"/>
    <w:rsid w:val="00D87F05"/>
    <w:rsid w:val="00D90823"/>
    <w:rsid w:val="00D9096B"/>
    <w:rsid w:val="00D90CEF"/>
    <w:rsid w:val="00D90D1C"/>
    <w:rsid w:val="00D90D5C"/>
    <w:rsid w:val="00D90ED4"/>
    <w:rsid w:val="00D90FF0"/>
    <w:rsid w:val="00D91838"/>
    <w:rsid w:val="00D91E41"/>
    <w:rsid w:val="00D920E8"/>
    <w:rsid w:val="00D92367"/>
    <w:rsid w:val="00D92722"/>
    <w:rsid w:val="00D92BF2"/>
    <w:rsid w:val="00D930CE"/>
    <w:rsid w:val="00D93295"/>
    <w:rsid w:val="00D9335B"/>
    <w:rsid w:val="00D93DAF"/>
    <w:rsid w:val="00D941AE"/>
    <w:rsid w:val="00D94E5E"/>
    <w:rsid w:val="00D94F2C"/>
    <w:rsid w:val="00D9535E"/>
    <w:rsid w:val="00D95CCB"/>
    <w:rsid w:val="00D95D1F"/>
    <w:rsid w:val="00D960A2"/>
    <w:rsid w:val="00D96138"/>
    <w:rsid w:val="00D9615C"/>
    <w:rsid w:val="00D963D2"/>
    <w:rsid w:val="00D965AB"/>
    <w:rsid w:val="00D96971"/>
    <w:rsid w:val="00D96B07"/>
    <w:rsid w:val="00D96BD2"/>
    <w:rsid w:val="00D96FCB"/>
    <w:rsid w:val="00D974EC"/>
    <w:rsid w:val="00D97594"/>
    <w:rsid w:val="00D976D7"/>
    <w:rsid w:val="00D9781C"/>
    <w:rsid w:val="00D97D1D"/>
    <w:rsid w:val="00D97D73"/>
    <w:rsid w:val="00DA002B"/>
    <w:rsid w:val="00DA0351"/>
    <w:rsid w:val="00DA0417"/>
    <w:rsid w:val="00DA059A"/>
    <w:rsid w:val="00DA0676"/>
    <w:rsid w:val="00DA08DC"/>
    <w:rsid w:val="00DA08F0"/>
    <w:rsid w:val="00DA0E84"/>
    <w:rsid w:val="00DA0F27"/>
    <w:rsid w:val="00DA10F0"/>
    <w:rsid w:val="00DA156A"/>
    <w:rsid w:val="00DA1687"/>
    <w:rsid w:val="00DA1DA8"/>
    <w:rsid w:val="00DA22C1"/>
    <w:rsid w:val="00DA24B0"/>
    <w:rsid w:val="00DA2582"/>
    <w:rsid w:val="00DA2694"/>
    <w:rsid w:val="00DA3263"/>
    <w:rsid w:val="00DA351D"/>
    <w:rsid w:val="00DA35BB"/>
    <w:rsid w:val="00DA3892"/>
    <w:rsid w:val="00DA3A48"/>
    <w:rsid w:val="00DA3AFF"/>
    <w:rsid w:val="00DA3B85"/>
    <w:rsid w:val="00DA3CF1"/>
    <w:rsid w:val="00DA4B0E"/>
    <w:rsid w:val="00DA4F44"/>
    <w:rsid w:val="00DA50E4"/>
    <w:rsid w:val="00DA5315"/>
    <w:rsid w:val="00DA5BEB"/>
    <w:rsid w:val="00DA5D8E"/>
    <w:rsid w:val="00DA5F30"/>
    <w:rsid w:val="00DA625E"/>
    <w:rsid w:val="00DA66F8"/>
    <w:rsid w:val="00DA67AD"/>
    <w:rsid w:val="00DA6BFD"/>
    <w:rsid w:val="00DA7645"/>
    <w:rsid w:val="00DA7A38"/>
    <w:rsid w:val="00DA7C0E"/>
    <w:rsid w:val="00DA7C27"/>
    <w:rsid w:val="00DA7E15"/>
    <w:rsid w:val="00DA7FC8"/>
    <w:rsid w:val="00DB02FF"/>
    <w:rsid w:val="00DB0BD0"/>
    <w:rsid w:val="00DB10BD"/>
    <w:rsid w:val="00DB1433"/>
    <w:rsid w:val="00DB197C"/>
    <w:rsid w:val="00DB19A7"/>
    <w:rsid w:val="00DB1AAF"/>
    <w:rsid w:val="00DB2450"/>
    <w:rsid w:val="00DB26B5"/>
    <w:rsid w:val="00DB2C1A"/>
    <w:rsid w:val="00DB2FD6"/>
    <w:rsid w:val="00DB32EE"/>
    <w:rsid w:val="00DB36CC"/>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36B"/>
    <w:rsid w:val="00DB77AC"/>
    <w:rsid w:val="00DB7BC4"/>
    <w:rsid w:val="00DB7F10"/>
    <w:rsid w:val="00DC08F3"/>
    <w:rsid w:val="00DC0993"/>
    <w:rsid w:val="00DC1524"/>
    <w:rsid w:val="00DC1889"/>
    <w:rsid w:val="00DC1CA3"/>
    <w:rsid w:val="00DC2A33"/>
    <w:rsid w:val="00DC3214"/>
    <w:rsid w:val="00DC321B"/>
    <w:rsid w:val="00DC3579"/>
    <w:rsid w:val="00DC38DE"/>
    <w:rsid w:val="00DC3E0F"/>
    <w:rsid w:val="00DC3FDE"/>
    <w:rsid w:val="00DC43AE"/>
    <w:rsid w:val="00DC466F"/>
    <w:rsid w:val="00DC4841"/>
    <w:rsid w:val="00DC4D05"/>
    <w:rsid w:val="00DC4D31"/>
    <w:rsid w:val="00DC51EE"/>
    <w:rsid w:val="00DC544E"/>
    <w:rsid w:val="00DC5533"/>
    <w:rsid w:val="00DC5770"/>
    <w:rsid w:val="00DC59D7"/>
    <w:rsid w:val="00DC606D"/>
    <w:rsid w:val="00DC64DD"/>
    <w:rsid w:val="00DC66D2"/>
    <w:rsid w:val="00DC6E13"/>
    <w:rsid w:val="00DC6E1B"/>
    <w:rsid w:val="00DC722C"/>
    <w:rsid w:val="00DC7425"/>
    <w:rsid w:val="00DC7604"/>
    <w:rsid w:val="00DC7862"/>
    <w:rsid w:val="00DC7EBE"/>
    <w:rsid w:val="00DD0873"/>
    <w:rsid w:val="00DD08AD"/>
    <w:rsid w:val="00DD0AE8"/>
    <w:rsid w:val="00DD0C1F"/>
    <w:rsid w:val="00DD0D01"/>
    <w:rsid w:val="00DD12EF"/>
    <w:rsid w:val="00DD1467"/>
    <w:rsid w:val="00DD158F"/>
    <w:rsid w:val="00DD16FB"/>
    <w:rsid w:val="00DD1CFF"/>
    <w:rsid w:val="00DD235A"/>
    <w:rsid w:val="00DD2381"/>
    <w:rsid w:val="00DD2382"/>
    <w:rsid w:val="00DD2698"/>
    <w:rsid w:val="00DD2B1D"/>
    <w:rsid w:val="00DD2F63"/>
    <w:rsid w:val="00DD3821"/>
    <w:rsid w:val="00DD391B"/>
    <w:rsid w:val="00DD3B34"/>
    <w:rsid w:val="00DD3F0D"/>
    <w:rsid w:val="00DD45D3"/>
    <w:rsid w:val="00DD48F3"/>
    <w:rsid w:val="00DD4E0C"/>
    <w:rsid w:val="00DD5A2A"/>
    <w:rsid w:val="00DD5A98"/>
    <w:rsid w:val="00DD662B"/>
    <w:rsid w:val="00DD69E0"/>
    <w:rsid w:val="00DD6A1F"/>
    <w:rsid w:val="00DD6C92"/>
    <w:rsid w:val="00DD723E"/>
    <w:rsid w:val="00DD72ED"/>
    <w:rsid w:val="00DD7715"/>
    <w:rsid w:val="00DD7924"/>
    <w:rsid w:val="00DD7BDE"/>
    <w:rsid w:val="00DD7C0A"/>
    <w:rsid w:val="00DE01AB"/>
    <w:rsid w:val="00DE0368"/>
    <w:rsid w:val="00DE07F3"/>
    <w:rsid w:val="00DE0B85"/>
    <w:rsid w:val="00DE0FC8"/>
    <w:rsid w:val="00DE12BD"/>
    <w:rsid w:val="00DE1532"/>
    <w:rsid w:val="00DE179B"/>
    <w:rsid w:val="00DE1D78"/>
    <w:rsid w:val="00DE2029"/>
    <w:rsid w:val="00DE22BA"/>
    <w:rsid w:val="00DE292D"/>
    <w:rsid w:val="00DE2AA3"/>
    <w:rsid w:val="00DE30D1"/>
    <w:rsid w:val="00DE355A"/>
    <w:rsid w:val="00DE3838"/>
    <w:rsid w:val="00DE3B74"/>
    <w:rsid w:val="00DE3E1E"/>
    <w:rsid w:val="00DE40F7"/>
    <w:rsid w:val="00DE4306"/>
    <w:rsid w:val="00DE458F"/>
    <w:rsid w:val="00DE47DF"/>
    <w:rsid w:val="00DE4A71"/>
    <w:rsid w:val="00DE4BED"/>
    <w:rsid w:val="00DE4D21"/>
    <w:rsid w:val="00DE5AC4"/>
    <w:rsid w:val="00DE5EA6"/>
    <w:rsid w:val="00DE5F41"/>
    <w:rsid w:val="00DE61FB"/>
    <w:rsid w:val="00DE61FC"/>
    <w:rsid w:val="00DE63AA"/>
    <w:rsid w:val="00DE6B6A"/>
    <w:rsid w:val="00DE710A"/>
    <w:rsid w:val="00DE730F"/>
    <w:rsid w:val="00DE731D"/>
    <w:rsid w:val="00DE739A"/>
    <w:rsid w:val="00DE7A1D"/>
    <w:rsid w:val="00DF00A5"/>
    <w:rsid w:val="00DF0A8D"/>
    <w:rsid w:val="00DF0E97"/>
    <w:rsid w:val="00DF11F0"/>
    <w:rsid w:val="00DF14BB"/>
    <w:rsid w:val="00DF1956"/>
    <w:rsid w:val="00DF195F"/>
    <w:rsid w:val="00DF1AD2"/>
    <w:rsid w:val="00DF1D62"/>
    <w:rsid w:val="00DF2170"/>
    <w:rsid w:val="00DF23EA"/>
    <w:rsid w:val="00DF2496"/>
    <w:rsid w:val="00DF2F5E"/>
    <w:rsid w:val="00DF2FC2"/>
    <w:rsid w:val="00DF32D3"/>
    <w:rsid w:val="00DF35D8"/>
    <w:rsid w:val="00DF3756"/>
    <w:rsid w:val="00DF3C12"/>
    <w:rsid w:val="00DF3D62"/>
    <w:rsid w:val="00DF572E"/>
    <w:rsid w:val="00DF596A"/>
    <w:rsid w:val="00DF5A53"/>
    <w:rsid w:val="00DF5BF2"/>
    <w:rsid w:val="00DF636E"/>
    <w:rsid w:val="00DF6DA6"/>
    <w:rsid w:val="00DF708D"/>
    <w:rsid w:val="00DF7188"/>
    <w:rsid w:val="00DF71F7"/>
    <w:rsid w:val="00DF779C"/>
    <w:rsid w:val="00DF7A48"/>
    <w:rsid w:val="00DF7E12"/>
    <w:rsid w:val="00DF7EB8"/>
    <w:rsid w:val="00E0031E"/>
    <w:rsid w:val="00E004D6"/>
    <w:rsid w:val="00E00743"/>
    <w:rsid w:val="00E00F01"/>
    <w:rsid w:val="00E00FD5"/>
    <w:rsid w:val="00E01158"/>
    <w:rsid w:val="00E01956"/>
    <w:rsid w:val="00E01AA5"/>
    <w:rsid w:val="00E01B69"/>
    <w:rsid w:val="00E02047"/>
    <w:rsid w:val="00E023E5"/>
    <w:rsid w:val="00E02837"/>
    <w:rsid w:val="00E02E43"/>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61"/>
    <w:rsid w:val="00E116E7"/>
    <w:rsid w:val="00E11C67"/>
    <w:rsid w:val="00E120F1"/>
    <w:rsid w:val="00E128F0"/>
    <w:rsid w:val="00E12AB1"/>
    <w:rsid w:val="00E12C08"/>
    <w:rsid w:val="00E12CED"/>
    <w:rsid w:val="00E13123"/>
    <w:rsid w:val="00E135E1"/>
    <w:rsid w:val="00E136C7"/>
    <w:rsid w:val="00E13B65"/>
    <w:rsid w:val="00E13D2C"/>
    <w:rsid w:val="00E13DA3"/>
    <w:rsid w:val="00E13EE3"/>
    <w:rsid w:val="00E13F9B"/>
    <w:rsid w:val="00E140C5"/>
    <w:rsid w:val="00E148CD"/>
    <w:rsid w:val="00E14D25"/>
    <w:rsid w:val="00E14E22"/>
    <w:rsid w:val="00E14FF5"/>
    <w:rsid w:val="00E15371"/>
    <w:rsid w:val="00E15713"/>
    <w:rsid w:val="00E1590A"/>
    <w:rsid w:val="00E15D70"/>
    <w:rsid w:val="00E165C0"/>
    <w:rsid w:val="00E16682"/>
    <w:rsid w:val="00E1678A"/>
    <w:rsid w:val="00E1751B"/>
    <w:rsid w:val="00E17549"/>
    <w:rsid w:val="00E17B6C"/>
    <w:rsid w:val="00E17BAE"/>
    <w:rsid w:val="00E17E85"/>
    <w:rsid w:val="00E17E99"/>
    <w:rsid w:val="00E2002A"/>
    <w:rsid w:val="00E202CF"/>
    <w:rsid w:val="00E2055A"/>
    <w:rsid w:val="00E20FF3"/>
    <w:rsid w:val="00E2107E"/>
    <w:rsid w:val="00E2150B"/>
    <w:rsid w:val="00E21B85"/>
    <w:rsid w:val="00E21C7A"/>
    <w:rsid w:val="00E21F2D"/>
    <w:rsid w:val="00E226F0"/>
    <w:rsid w:val="00E22A26"/>
    <w:rsid w:val="00E22DD9"/>
    <w:rsid w:val="00E2336E"/>
    <w:rsid w:val="00E23533"/>
    <w:rsid w:val="00E23655"/>
    <w:rsid w:val="00E23860"/>
    <w:rsid w:val="00E238D8"/>
    <w:rsid w:val="00E23AB9"/>
    <w:rsid w:val="00E23AC4"/>
    <w:rsid w:val="00E23BE2"/>
    <w:rsid w:val="00E23ED2"/>
    <w:rsid w:val="00E2479E"/>
    <w:rsid w:val="00E24F6A"/>
    <w:rsid w:val="00E256F7"/>
    <w:rsid w:val="00E25995"/>
    <w:rsid w:val="00E25B07"/>
    <w:rsid w:val="00E25D57"/>
    <w:rsid w:val="00E25F17"/>
    <w:rsid w:val="00E26257"/>
    <w:rsid w:val="00E264AD"/>
    <w:rsid w:val="00E2669F"/>
    <w:rsid w:val="00E26B1B"/>
    <w:rsid w:val="00E27074"/>
    <w:rsid w:val="00E27D30"/>
    <w:rsid w:val="00E27E1C"/>
    <w:rsid w:val="00E300F2"/>
    <w:rsid w:val="00E301F5"/>
    <w:rsid w:val="00E30492"/>
    <w:rsid w:val="00E30CDC"/>
    <w:rsid w:val="00E30E87"/>
    <w:rsid w:val="00E30FFE"/>
    <w:rsid w:val="00E314F7"/>
    <w:rsid w:val="00E31566"/>
    <w:rsid w:val="00E31966"/>
    <w:rsid w:val="00E3203D"/>
    <w:rsid w:val="00E32253"/>
    <w:rsid w:val="00E322F3"/>
    <w:rsid w:val="00E325F5"/>
    <w:rsid w:val="00E326FE"/>
    <w:rsid w:val="00E32AE4"/>
    <w:rsid w:val="00E32D6A"/>
    <w:rsid w:val="00E32EF6"/>
    <w:rsid w:val="00E33396"/>
    <w:rsid w:val="00E335C5"/>
    <w:rsid w:val="00E33D24"/>
    <w:rsid w:val="00E33E40"/>
    <w:rsid w:val="00E33E8E"/>
    <w:rsid w:val="00E3409E"/>
    <w:rsid w:val="00E34706"/>
    <w:rsid w:val="00E34ED4"/>
    <w:rsid w:val="00E35580"/>
    <w:rsid w:val="00E35BFB"/>
    <w:rsid w:val="00E36562"/>
    <w:rsid w:val="00E36DD5"/>
    <w:rsid w:val="00E3751A"/>
    <w:rsid w:val="00E377A6"/>
    <w:rsid w:val="00E37A5F"/>
    <w:rsid w:val="00E37E0A"/>
    <w:rsid w:val="00E4005E"/>
    <w:rsid w:val="00E4028B"/>
    <w:rsid w:val="00E40A1E"/>
    <w:rsid w:val="00E41209"/>
    <w:rsid w:val="00E415A0"/>
    <w:rsid w:val="00E4177B"/>
    <w:rsid w:val="00E4180D"/>
    <w:rsid w:val="00E41CF2"/>
    <w:rsid w:val="00E41D23"/>
    <w:rsid w:val="00E41F25"/>
    <w:rsid w:val="00E42852"/>
    <w:rsid w:val="00E4297F"/>
    <w:rsid w:val="00E42E73"/>
    <w:rsid w:val="00E434BD"/>
    <w:rsid w:val="00E4356C"/>
    <w:rsid w:val="00E438F7"/>
    <w:rsid w:val="00E43E29"/>
    <w:rsid w:val="00E43EE5"/>
    <w:rsid w:val="00E43FC7"/>
    <w:rsid w:val="00E4400F"/>
    <w:rsid w:val="00E4407E"/>
    <w:rsid w:val="00E44931"/>
    <w:rsid w:val="00E44A51"/>
    <w:rsid w:val="00E44ACD"/>
    <w:rsid w:val="00E44CB9"/>
    <w:rsid w:val="00E44DEE"/>
    <w:rsid w:val="00E45343"/>
    <w:rsid w:val="00E4569E"/>
    <w:rsid w:val="00E45736"/>
    <w:rsid w:val="00E45B97"/>
    <w:rsid w:val="00E4600C"/>
    <w:rsid w:val="00E462D2"/>
    <w:rsid w:val="00E4662C"/>
    <w:rsid w:val="00E466DE"/>
    <w:rsid w:val="00E46852"/>
    <w:rsid w:val="00E46AB1"/>
    <w:rsid w:val="00E46CD7"/>
    <w:rsid w:val="00E46E62"/>
    <w:rsid w:val="00E46F1F"/>
    <w:rsid w:val="00E46F75"/>
    <w:rsid w:val="00E4708B"/>
    <w:rsid w:val="00E475FB"/>
    <w:rsid w:val="00E4774D"/>
    <w:rsid w:val="00E479FF"/>
    <w:rsid w:val="00E47A32"/>
    <w:rsid w:val="00E47C69"/>
    <w:rsid w:val="00E47E8D"/>
    <w:rsid w:val="00E5037E"/>
    <w:rsid w:val="00E50555"/>
    <w:rsid w:val="00E50834"/>
    <w:rsid w:val="00E509A5"/>
    <w:rsid w:val="00E50E89"/>
    <w:rsid w:val="00E51392"/>
    <w:rsid w:val="00E515B1"/>
    <w:rsid w:val="00E51662"/>
    <w:rsid w:val="00E51C75"/>
    <w:rsid w:val="00E5242D"/>
    <w:rsid w:val="00E5269A"/>
    <w:rsid w:val="00E527F0"/>
    <w:rsid w:val="00E5315E"/>
    <w:rsid w:val="00E535D1"/>
    <w:rsid w:val="00E536FC"/>
    <w:rsid w:val="00E538FB"/>
    <w:rsid w:val="00E53AA6"/>
    <w:rsid w:val="00E53C6C"/>
    <w:rsid w:val="00E53CB2"/>
    <w:rsid w:val="00E53D6A"/>
    <w:rsid w:val="00E53E6E"/>
    <w:rsid w:val="00E546F7"/>
    <w:rsid w:val="00E54898"/>
    <w:rsid w:val="00E54C09"/>
    <w:rsid w:val="00E54FFE"/>
    <w:rsid w:val="00E5505D"/>
    <w:rsid w:val="00E55558"/>
    <w:rsid w:val="00E55749"/>
    <w:rsid w:val="00E55792"/>
    <w:rsid w:val="00E55BB8"/>
    <w:rsid w:val="00E56344"/>
    <w:rsid w:val="00E566C4"/>
    <w:rsid w:val="00E56F0C"/>
    <w:rsid w:val="00E56F9F"/>
    <w:rsid w:val="00E571D0"/>
    <w:rsid w:val="00E572A7"/>
    <w:rsid w:val="00E573B6"/>
    <w:rsid w:val="00E5799C"/>
    <w:rsid w:val="00E57E87"/>
    <w:rsid w:val="00E60191"/>
    <w:rsid w:val="00E604DF"/>
    <w:rsid w:val="00E60DE1"/>
    <w:rsid w:val="00E61076"/>
    <w:rsid w:val="00E613E4"/>
    <w:rsid w:val="00E614DF"/>
    <w:rsid w:val="00E61812"/>
    <w:rsid w:val="00E61FF2"/>
    <w:rsid w:val="00E62582"/>
    <w:rsid w:val="00E62CF0"/>
    <w:rsid w:val="00E62DE4"/>
    <w:rsid w:val="00E62E15"/>
    <w:rsid w:val="00E62E5D"/>
    <w:rsid w:val="00E63FA0"/>
    <w:rsid w:val="00E64B52"/>
    <w:rsid w:val="00E65073"/>
    <w:rsid w:val="00E6547E"/>
    <w:rsid w:val="00E65E8C"/>
    <w:rsid w:val="00E66427"/>
    <w:rsid w:val="00E66800"/>
    <w:rsid w:val="00E66949"/>
    <w:rsid w:val="00E66A4E"/>
    <w:rsid w:val="00E66B51"/>
    <w:rsid w:val="00E66D78"/>
    <w:rsid w:val="00E67075"/>
    <w:rsid w:val="00E673C1"/>
    <w:rsid w:val="00E673DF"/>
    <w:rsid w:val="00E67C5C"/>
    <w:rsid w:val="00E67E55"/>
    <w:rsid w:val="00E700CC"/>
    <w:rsid w:val="00E701F5"/>
    <w:rsid w:val="00E70504"/>
    <w:rsid w:val="00E7091A"/>
    <w:rsid w:val="00E70E01"/>
    <w:rsid w:val="00E71198"/>
    <w:rsid w:val="00E7121A"/>
    <w:rsid w:val="00E71362"/>
    <w:rsid w:val="00E716E6"/>
    <w:rsid w:val="00E71A25"/>
    <w:rsid w:val="00E71CB1"/>
    <w:rsid w:val="00E71E4F"/>
    <w:rsid w:val="00E71E9A"/>
    <w:rsid w:val="00E721E8"/>
    <w:rsid w:val="00E72486"/>
    <w:rsid w:val="00E724EF"/>
    <w:rsid w:val="00E7264E"/>
    <w:rsid w:val="00E72651"/>
    <w:rsid w:val="00E7266A"/>
    <w:rsid w:val="00E72706"/>
    <w:rsid w:val="00E728C2"/>
    <w:rsid w:val="00E72DB1"/>
    <w:rsid w:val="00E73106"/>
    <w:rsid w:val="00E73957"/>
    <w:rsid w:val="00E73C90"/>
    <w:rsid w:val="00E73D3A"/>
    <w:rsid w:val="00E7412C"/>
    <w:rsid w:val="00E743A1"/>
    <w:rsid w:val="00E745D1"/>
    <w:rsid w:val="00E74BC5"/>
    <w:rsid w:val="00E74C4B"/>
    <w:rsid w:val="00E74DAD"/>
    <w:rsid w:val="00E74F05"/>
    <w:rsid w:val="00E7518B"/>
    <w:rsid w:val="00E7593F"/>
    <w:rsid w:val="00E76497"/>
    <w:rsid w:val="00E76548"/>
    <w:rsid w:val="00E765BC"/>
    <w:rsid w:val="00E76AF7"/>
    <w:rsid w:val="00E76C33"/>
    <w:rsid w:val="00E76D59"/>
    <w:rsid w:val="00E776CC"/>
    <w:rsid w:val="00E77E0A"/>
    <w:rsid w:val="00E8011B"/>
    <w:rsid w:val="00E801FE"/>
    <w:rsid w:val="00E80768"/>
    <w:rsid w:val="00E807B8"/>
    <w:rsid w:val="00E80D18"/>
    <w:rsid w:val="00E80E1E"/>
    <w:rsid w:val="00E817D4"/>
    <w:rsid w:val="00E82135"/>
    <w:rsid w:val="00E82287"/>
    <w:rsid w:val="00E826E9"/>
    <w:rsid w:val="00E82862"/>
    <w:rsid w:val="00E82CA0"/>
    <w:rsid w:val="00E82E17"/>
    <w:rsid w:val="00E83837"/>
    <w:rsid w:val="00E83FC4"/>
    <w:rsid w:val="00E8429D"/>
    <w:rsid w:val="00E84AD4"/>
    <w:rsid w:val="00E84B53"/>
    <w:rsid w:val="00E84CC8"/>
    <w:rsid w:val="00E8534F"/>
    <w:rsid w:val="00E854EA"/>
    <w:rsid w:val="00E85510"/>
    <w:rsid w:val="00E85E3B"/>
    <w:rsid w:val="00E85EC9"/>
    <w:rsid w:val="00E85FE9"/>
    <w:rsid w:val="00E86112"/>
    <w:rsid w:val="00E862C9"/>
    <w:rsid w:val="00E8658B"/>
    <w:rsid w:val="00E86BAE"/>
    <w:rsid w:val="00E86D1D"/>
    <w:rsid w:val="00E86FE8"/>
    <w:rsid w:val="00E876A3"/>
    <w:rsid w:val="00E87DC5"/>
    <w:rsid w:val="00E9036C"/>
    <w:rsid w:val="00E903A5"/>
    <w:rsid w:val="00E90A19"/>
    <w:rsid w:val="00E91460"/>
    <w:rsid w:val="00E915F1"/>
    <w:rsid w:val="00E91677"/>
    <w:rsid w:val="00E91C42"/>
    <w:rsid w:val="00E92274"/>
    <w:rsid w:val="00E92341"/>
    <w:rsid w:val="00E92B9E"/>
    <w:rsid w:val="00E931B3"/>
    <w:rsid w:val="00E9361A"/>
    <w:rsid w:val="00E93635"/>
    <w:rsid w:val="00E93BF0"/>
    <w:rsid w:val="00E93FF2"/>
    <w:rsid w:val="00E94114"/>
    <w:rsid w:val="00E94782"/>
    <w:rsid w:val="00E94F06"/>
    <w:rsid w:val="00E95243"/>
    <w:rsid w:val="00E956CB"/>
    <w:rsid w:val="00E95B16"/>
    <w:rsid w:val="00E95C46"/>
    <w:rsid w:val="00E960B8"/>
    <w:rsid w:val="00E96AEE"/>
    <w:rsid w:val="00E96D1C"/>
    <w:rsid w:val="00E977CB"/>
    <w:rsid w:val="00E977CE"/>
    <w:rsid w:val="00E97990"/>
    <w:rsid w:val="00E97D2F"/>
    <w:rsid w:val="00E97DCE"/>
    <w:rsid w:val="00E97EA7"/>
    <w:rsid w:val="00E97FB1"/>
    <w:rsid w:val="00EA1074"/>
    <w:rsid w:val="00EA1313"/>
    <w:rsid w:val="00EA1514"/>
    <w:rsid w:val="00EA1545"/>
    <w:rsid w:val="00EA16E1"/>
    <w:rsid w:val="00EA1767"/>
    <w:rsid w:val="00EA1F8E"/>
    <w:rsid w:val="00EA2360"/>
    <w:rsid w:val="00EA272B"/>
    <w:rsid w:val="00EA29C2"/>
    <w:rsid w:val="00EA2F5D"/>
    <w:rsid w:val="00EA301E"/>
    <w:rsid w:val="00EA3035"/>
    <w:rsid w:val="00EA320F"/>
    <w:rsid w:val="00EA3AA3"/>
    <w:rsid w:val="00EA3BA1"/>
    <w:rsid w:val="00EA449C"/>
    <w:rsid w:val="00EA4614"/>
    <w:rsid w:val="00EA4A78"/>
    <w:rsid w:val="00EA4F1E"/>
    <w:rsid w:val="00EA4F7D"/>
    <w:rsid w:val="00EA54C6"/>
    <w:rsid w:val="00EA55FA"/>
    <w:rsid w:val="00EA5F9C"/>
    <w:rsid w:val="00EA633B"/>
    <w:rsid w:val="00EA659C"/>
    <w:rsid w:val="00EA6E2E"/>
    <w:rsid w:val="00EA7206"/>
    <w:rsid w:val="00EB09B9"/>
    <w:rsid w:val="00EB0A68"/>
    <w:rsid w:val="00EB0A7C"/>
    <w:rsid w:val="00EB0E6A"/>
    <w:rsid w:val="00EB0FE6"/>
    <w:rsid w:val="00EB16EB"/>
    <w:rsid w:val="00EB182C"/>
    <w:rsid w:val="00EB19D9"/>
    <w:rsid w:val="00EB1D20"/>
    <w:rsid w:val="00EB2078"/>
    <w:rsid w:val="00EB2287"/>
    <w:rsid w:val="00EB2415"/>
    <w:rsid w:val="00EB2658"/>
    <w:rsid w:val="00EB269D"/>
    <w:rsid w:val="00EB2B31"/>
    <w:rsid w:val="00EB30E8"/>
    <w:rsid w:val="00EB344E"/>
    <w:rsid w:val="00EB3A38"/>
    <w:rsid w:val="00EB4267"/>
    <w:rsid w:val="00EB45D7"/>
    <w:rsid w:val="00EB476A"/>
    <w:rsid w:val="00EB47B3"/>
    <w:rsid w:val="00EB4926"/>
    <w:rsid w:val="00EB4941"/>
    <w:rsid w:val="00EB4B58"/>
    <w:rsid w:val="00EB4E5F"/>
    <w:rsid w:val="00EB5053"/>
    <w:rsid w:val="00EB5197"/>
    <w:rsid w:val="00EB5629"/>
    <w:rsid w:val="00EB5722"/>
    <w:rsid w:val="00EB5734"/>
    <w:rsid w:val="00EB5BAF"/>
    <w:rsid w:val="00EB5FAB"/>
    <w:rsid w:val="00EB6F4C"/>
    <w:rsid w:val="00EB75EB"/>
    <w:rsid w:val="00EB7605"/>
    <w:rsid w:val="00EB76CB"/>
    <w:rsid w:val="00EC089D"/>
    <w:rsid w:val="00EC0DD3"/>
    <w:rsid w:val="00EC0F8D"/>
    <w:rsid w:val="00EC0FBF"/>
    <w:rsid w:val="00EC101A"/>
    <w:rsid w:val="00EC123A"/>
    <w:rsid w:val="00EC1394"/>
    <w:rsid w:val="00EC20D7"/>
    <w:rsid w:val="00EC226A"/>
    <w:rsid w:val="00EC229B"/>
    <w:rsid w:val="00EC237C"/>
    <w:rsid w:val="00EC2681"/>
    <w:rsid w:val="00EC28DD"/>
    <w:rsid w:val="00EC2A77"/>
    <w:rsid w:val="00EC2C83"/>
    <w:rsid w:val="00EC2EE6"/>
    <w:rsid w:val="00EC3012"/>
    <w:rsid w:val="00EC3110"/>
    <w:rsid w:val="00EC3272"/>
    <w:rsid w:val="00EC3713"/>
    <w:rsid w:val="00EC37A0"/>
    <w:rsid w:val="00EC3FA5"/>
    <w:rsid w:val="00EC4094"/>
    <w:rsid w:val="00EC4320"/>
    <w:rsid w:val="00EC44BC"/>
    <w:rsid w:val="00EC552D"/>
    <w:rsid w:val="00EC5B93"/>
    <w:rsid w:val="00EC62A4"/>
    <w:rsid w:val="00EC6AE5"/>
    <w:rsid w:val="00EC6B22"/>
    <w:rsid w:val="00EC6BB7"/>
    <w:rsid w:val="00EC6D2B"/>
    <w:rsid w:val="00EC734B"/>
    <w:rsid w:val="00EC774B"/>
    <w:rsid w:val="00EC7CA2"/>
    <w:rsid w:val="00ED017C"/>
    <w:rsid w:val="00ED13EB"/>
    <w:rsid w:val="00ED1462"/>
    <w:rsid w:val="00ED14A1"/>
    <w:rsid w:val="00ED164A"/>
    <w:rsid w:val="00ED17FA"/>
    <w:rsid w:val="00ED1856"/>
    <w:rsid w:val="00ED18EB"/>
    <w:rsid w:val="00ED1E6C"/>
    <w:rsid w:val="00ED24B6"/>
    <w:rsid w:val="00ED25D2"/>
    <w:rsid w:val="00ED2C7D"/>
    <w:rsid w:val="00ED2D6A"/>
    <w:rsid w:val="00ED3425"/>
    <w:rsid w:val="00ED3462"/>
    <w:rsid w:val="00ED35C0"/>
    <w:rsid w:val="00ED3F38"/>
    <w:rsid w:val="00ED4124"/>
    <w:rsid w:val="00ED41EA"/>
    <w:rsid w:val="00ED4473"/>
    <w:rsid w:val="00ED4A76"/>
    <w:rsid w:val="00ED4F39"/>
    <w:rsid w:val="00ED5030"/>
    <w:rsid w:val="00ED521E"/>
    <w:rsid w:val="00ED547D"/>
    <w:rsid w:val="00ED596C"/>
    <w:rsid w:val="00ED5ACF"/>
    <w:rsid w:val="00ED6536"/>
    <w:rsid w:val="00ED6C46"/>
    <w:rsid w:val="00ED6D63"/>
    <w:rsid w:val="00ED78B5"/>
    <w:rsid w:val="00ED7A33"/>
    <w:rsid w:val="00EE0174"/>
    <w:rsid w:val="00EE01D1"/>
    <w:rsid w:val="00EE07A9"/>
    <w:rsid w:val="00EE083C"/>
    <w:rsid w:val="00EE0D6A"/>
    <w:rsid w:val="00EE12E9"/>
    <w:rsid w:val="00EE13A7"/>
    <w:rsid w:val="00EE15A8"/>
    <w:rsid w:val="00EE1633"/>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6BDA"/>
    <w:rsid w:val="00EE73D0"/>
    <w:rsid w:val="00EE7503"/>
    <w:rsid w:val="00EE753D"/>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2BA"/>
    <w:rsid w:val="00EF231B"/>
    <w:rsid w:val="00EF2426"/>
    <w:rsid w:val="00EF2449"/>
    <w:rsid w:val="00EF2467"/>
    <w:rsid w:val="00EF256C"/>
    <w:rsid w:val="00EF2870"/>
    <w:rsid w:val="00EF2BCA"/>
    <w:rsid w:val="00EF2F62"/>
    <w:rsid w:val="00EF3393"/>
    <w:rsid w:val="00EF3441"/>
    <w:rsid w:val="00EF367D"/>
    <w:rsid w:val="00EF3C6A"/>
    <w:rsid w:val="00EF3F1A"/>
    <w:rsid w:val="00EF4257"/>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7653"/>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DC1"/>
    <w:rsid w:val="00F04DE4"/>
    <w:rsid w:val="00F04E02"/>
    <w:rsid w:val="00F05558"/>
    <w:rsid w:val="00F0589C"/>
    <w:rsid w:val="00F058BC"/>
    <w:rsid w:val="00F0595E"/>
    <w:rsid w:val="00F05A7B"/>
    <w:rsid w:val="00F06454"/>
    <w:rsid w:val="00F06470"/>
    <w:rsid w:val="00F06CB2"/>
    <w:rsid w:val="00F06D40"/>
    <w:rsid w:val="00F06E72"/>
    <w:rsid w:val="00F06FA6"/>
    <w:rsid w:val="00F07B25"/>
    <w:rsid w:val="00F07C8A"/>
    <w:rsid w:val="00F07D8B"/>
    <w:rsid w:val="00F1016B"/>
    <w:rsid w:val="00F10292"/>
    <w:rsid w:val="00F104D0"/>
    <w:rsid w:val="00F107E5"/>
    <w:rsid w:val="00F10840"/>
    <w:rsid w:val="00F110D6"/>
    <w:rsid w:val="00F11601"/>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B75"/>
    <w:rsid w:val="00F14D54"/>
    <w:rsid w:val="00F14D95"/>
    <w:rsid w:val="00F1555A"/>
    <w:rsid w:val="00F157E7"/>
    <w:rsid w:val="00F15D2C"/>
    <w:rsid w:val="00F15DBD"/>
    <w:rsid w:val="00F15F52"/>
    <w:rsid w:val="00F160C5"/>
    <w:rsid w:val="00F16365"/>
    <w:rsid w:val="00F16582"/>
    <w:rsid w:val="00F168DF"/>
    <w:rsid w:val="00F16B9D"/>
    <w:rsid w:val="00F16BF9"/>
    <w:rsid w:val="00F16CE1"/>
    <w:rsid w:val="00F1701D"/>
    <w:rsid w:val="00F17125"/>
    <w:rsid w:val="00F17507"/>
    <w:rsid w:val="00F179EF"/>
    <w:rsid w:val="00F17E02"/>
    <w:rsid w:val="00F17E22"/>
    <w:rsid w:val="00F20017"/>
    <w:rsid w:val="00F20776"/>
    <w:rsid w:val="00F20C53"/>
    <w:rsid w:val="00F20FFD"/>
    <w:rsid w:val="00F21051"/>
    <w:rsid w:val="00F2106E"/>
    <w:rsid w:val="00F21514"/>
    <w:rsid w:val="00F2159A"/>
    <w:rsid w:val="00F21652"/>
    <w:rsid w:val="00F21AE7"/>
    <w:rsid w:val="00F21B8E"/>
    <w:rsid w:val="00F21CAF"/>
    <w:rsid w:val="00F223BD"/>
    <w:rsid w:val="00F223EA"/>
    <w:rsid w:val="00F226D9"/>
    <w:rsid w:val="00F22B62"/>
    <w:rsid w:val="00F22C8B"/>
    <w:rsid w:val="00F22EE2"/>
    <w:rsid w:val="00F23299"/>
    <w:rsid w:val="00F232DA"/>
    <w:rsid w:val="00F232E6"/>
    <w:rsid w:val="00F23613"/>
    <w:rsid w:val="00F23812"/>
    <w:rsid w:val="00F24001"/>
    <w:rsid w:val="00F24874"/>
    <w:rsid w:val="00F24980"/>
    <w:rsid w:val="00F24A91"/>
    <w:rsid w:val="00F24B20"/>
    <w:rsid w:val="00F24D3D"/>
    <w:rsid w:val="00F24EF6"/>
    <w:rsid w:val="00F252DB"/>
    <w:rsid w:val="00F253CD"/>
    <w:rsid w:val="00F2590A"/>
    <w:rsid w:val="00F25AD0"/>
    <w:rsid w:val="00F25C36"/>
    <w:rsid w:val="00F25E20"/>
    <w:rsid w:val="00F26145"/>
    <w:rsid w:val="00F26345"/>
    <w:rsid w:val="00F2634C"/>
    <w:rsid w:val="00F264C1"/>
    <w:rsid w:val="00F26D6D"/>
    <w:rsid w:val="00F274CB"/>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CCE"/>
    <w:rsid w:val="00F34E84"/>
    <w:rsid w:val="00F34F60"/>
    <w:rsid w:val="00F34FB3"/>
    <w:rsid w:val="00F354A2"/>
    <w:rsid w:val="00F358CD"/>
    <w:rsid w:val="00F36323"/>
    <w:rsid w:val="00F368D8"/>
    <w:rsid w:val="00F36F16"/>
    <w:rsid w:val="00F3745D"/>
    <w:rsid w:val="00F37507"/>
    <w:rsid w:val="00F40042"/>
    <w:rsid w:val="00F40265"/>
    <w:rsid w:val="00F403C6"/>
    <w:rsid w:val="00F40465"/>
    <w:rsid w:val="00F406DC"/>
    <w:rsid w:val="00F415F2"/>
    <w:rsid w:val="00F41EEA"/>
    <w:rsid w:val="00F41F48"/>
    <w:rsid w:val="00F42037"/>
    <w:rsid w:val="00F423F6"/>
    <w:rsid w:val="00F42415"/>
    <w:rsid w:val="00F424D3"/>
    <w:rsid w:val="00F4284C"/>
    <w:rsid w:val="00F429E7"/>
    <w:rsid w:val="00F42A10"/>
    <w:rsid w:val="00F430B8"/>
    <w:rsid w:val="00F4337E"/>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88C"/>
    <w:rsid w:val="00F51D28"/>
    <w:rsid w:val="00F51DEB"/>
    <w:rsid w:val="00F51E29"/>
    <w:rsid w:val="00F51E4D"/>
    <w:rsid w:val="00F52B16"/>
    <w:rsid w:val="00F52E5E"/>
    <w:rsid w:val="00F52F62"/>
    <w:rsid w:val="00F533F9"/>
    <w:rsid w:val="00F539AC"/>
    <w:rsid w:val="00F53D1E"/>
    <w:rsid w:val="00F53D94"/>
    <w:rsid w:val="00F5420D"/>
    <w:rsid w:val="00F54768"/>
    <w:rsid w:val="00F5496D"/>
    <w:rsid w:val="00F54ADC"/>
    <w:rsid w:val="00F55076"/>
    <w:rsid w:val="00F551CF"/>
    <w:rsid w:val="00F5524A"/>
    <w:rsid w:val="00F553E8"/>
    <w:rsid w:val="00F55AA3"/>
    <w:rsid w:val="00F55DFC"/>
    <w:rsid w:val="00F561B3"/>
    <w:rsid w:val="00F565E4"/>
    <w:rsid w:val="00F56C88"/>
    <w:rsid w:val="00F57BDA"/>
    <w:rsid w:val="00F57F43"/>
    <w:rsid w:val="00F60058"/>
    <w:rsid w:val="00F60224"/>
    <w:rsid w:val="00F6066A"/>
    <w:rsid w:val="00F60688"/>
    <w:rsid w:val="00F60845"/>
    <w:rsid w:val="00F60D88"/>
    <w:rsid w:val="00F60D93"/>
    <w:rsid w:val="00F60DC0"/>
    <w:rsid w:val="00F61248"/>
    <w:rsid w:val="00F61281"/>
    <w:rsid w:val="00F612AB"/>
    <w:rsid w:val="00F613C3"/>
    <w:rsid w:val="00F61B05"/>
    <w:rsid w:val="00F61CC6"/>
    <w:rsid w:val="00F61E48"/>
    <w:rsid w:val="00F62098"/>
    <w:rsid w:val="00F626F5"/>
    <w:rsid w:val="00F629AB"/>
    <w:rsid w:val="00F629DE"/>
    <w:rsid w:val="00F62F97"/>
    <w:rsid w:val="00F634AA"/>
    <w:rsid w:val="00F638B4"/>
    <w:rsid w:val="00F6394E"/>
    <w:rsid w:val="00F643C2"/>
    <w:rsid w:val="00F64A0B"/>
    <w:rsid w:val="00F6557B"/>
    <w:rsid w:val="00F66682"/>
    <w:rsid w:val="00F666B5"/>
    <w:rsid w:val="00F66F99"/>
    <w:rsid w:val="00F67275"/>
    <w:rsid w:val="00F67805"/>
    <w:rsid w:val="00F67B78"/>
    <w:rsid w:val="00F67EF9"/>
    <w:rsid w:val="00F7033B"/>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3A6E"/>
    <w:rsid w:val="00F74075"/>
    <w:rsid w:val="00F741FA"/>
    <w:rsid w:val="00F7422E"/>
    <w:rsid w:val="00F7430B"/>
    <w:rsid w:val="00F744FA"/>
    <w:rsid w:val="00F745D9"/>
    <w:rsid w:val="00F74C44"/>
    <w:rsid w:val="00F74DD9"/>
    <w:rsid w:val="00F7523E"/>
    <w:rsid w:val="00F759D7"/>
    <w:rsid w:val="00F7609A"/>
    <w:rsid w:val="00F76102"/>
    <w:rsid w:val="00F76203"/>
    <w:rsid w:val="00F76924"/>
    <w:rsid w:val="00F76FD6"/>
    <w:rsid w:val="00F77293"/>
    <w:rsid w:val="00F77404"/>
    <w:rsid w:val="00F7787F"/>
    <w:rsid w:val="00F77C33"/>
    <w:rsid w:val="00F77D71"/>
    <w:rsid w:val="00F77F8A"/>
    <w:rsid w:val="00F8033F"/>
    <w:rsid w:val="00F808F0"/>
    <w:rsid w:val="00F80927"/>
    <w:rsid w:val="00F8137B"/>
    <w:rsid w:val="00F819E1"/>
    <w:rsid w:val="00F821A4"/>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5B0A"/>
    <w:rsid w:val="00F85E1C"/>
    <w:rsid w:val="00F86532"/>
    <w:rsid w:val="00F86769"/>
    <w:rsid w:val="00F8676D"/>
    <w:rsid w:val="00F86C16"/>
    <w:rsid w:val="00F86FAE"/>
    <w:rsid w:val="00F8713D"/>
    <w:rsid w:val="00F87404"/>
    <w:rsid w:val="00F87446"/>
    <w:rsid w:val="00F8798B"/>
    <w:rsid w:val="00F87DF7"/>
    <w:rsid w:val="00F9034D"/>
    <w:rsid w:val="00F90624"/>
    <w:rsid w:val="00F907AF"/>
    <w:rsid w:val="00F90E09"/>
    <w:rsid w:val="00F91889"/>
    <w:rsid w:val="00F91CBC"/>
    <w:rsid w:val="00F91E36"/>
    <w:rsid w:val="00F922ED"/>
    <w:rsid w:val="00F93653"/>
    <w:rsid w:val="00F939C2"/>
    <w:rsid w:val="00F93A0A"/>
    <w:rsid w:val="00F93EB3"/>
    <w:rsid w:val="00F946D5"/>
    <w:rsid w:val="00F94A71"/>
    <w:rsid w:val="00F94CCA"/>
    <w:rsid w:val="00F9535C"/>
    <w:rsid w:val="00F95780"/>
    <w:rsid w:val="00F957DC"/>
    <w:rsid w:val="00F95EFB"/>
    <w:rsid w:val="00F961D3"/>
    <w:rsid w:val="00F9624E"/>
    <w:rsid w:val="00F96357"/>
    <w:rsid w:val="00F96923"/>
    <w:rsid w:val="00F96E26"/>
    <w:rsid w:val="00F970DB"/>
    <w:rsid w:val="00F97124"/>
    <w:rsid w:val="00F973D6"/>
    <w:rsid w:val="00F975AA"/>
    <w:rsid w:val="00F9766C"/>
    <w:rsid w:val="00F97969"/>
    <w:rsid w:val="00FA008C"/>
    <w:rsid w:val="00FA0431"/>
    <w:rsid w:val="00FA0577"/>
    <w:rsid w:val="00FA086C"/>
    <w:rsid w:val="00FA0870"/>
    <w:rsid w:val="00FA0C74"/>
    <w:rsid w:val="00FA0CAB"/>
    <w:rsid w:val="00FA0D3E"/>
    <w:rsid w:val="00FA0FFB"/>
    <w:rsid w:val="00FA1237"/>
    <w:rsid w:val="00FA1441"/>
    <w:rsid w:val="00FA1543"/>
    <w:rsid w:val="00FA203F"/>
    <w:rsid w:val="00FA2809"/>
    <w:rsid w:val="00FA2CD8"/>
    <w:rsid w:val="00FA36B3"/>
    <w:rsid w:val="00FA38A1"/>
    <w:rsid w:val="00FA3BD6"/>
    <w:rsid w:val="00FA3C01"/>
    <w:rsid w:val="00FA3C4B"/>
    <w:rsid w:val="00FA3C6C"/>
    <w:rsid w:val="00FA3F41"/>
    <w:rsid w:val="00FA3FF7"/>
    <w:rsid w:val="00FA4378"/>
    <w:rsid w:val="00FA4699"/>
    <w:rsid w:val="00FA494A"/>
    <w:rsid w:val="00FA4A3B"/>
    <w:rsid w:val="00FA4E8B"/>
    <w:rsid w:val="00FA524A"/>
    <w:rsid w:val="00FA53B3"/>
    <w:rsid w:val="00FA5AC9"/>
    <w:rsid w:val="00FA5D33"/>
    <w:rsid w:val="00FA5DC6"/>
    <w:rsid w:val="00FA62C1"/>
    <w:rsid w:val="00FA6A0C"/>
    <w:rsid w:val="00FA6B17"/>
    <w:rsid w:val="00FA7860"/>
    <w:rsid w:val="00FA7E8A"/>
    <w:rsid w:val="00FB0060"/>
    <w:rsid w:val="00FB012F"/>
    <w:rsid w:val="00FB087A"/>
    <w:rsid w:val="00FB0A08"/>
    <w:rsid w:val="00FB0AD3"/>
    <w:rsid w:val="00FB0D58"/>
    <w:rsid w:val="00FB1677"/>
    <w:rsid w:val="00FB16FC"/>
    <w:rsid w:val="00FB185F"/>
    <w:rsid w:val="00FB18D2"/>
    <w:rsid w:val="00FB18DB"/>
    <w:rsid w:val="00FB1B6C"/>
    <w:rsid w:val="00FB1D4D"/>
    <w:rsid w:val="00FB21EE"/>
    <w:rsid w:val="00FB22FA"/>
    <w:rsid w:val="00FB2506"/>
    <w:rsid w:val="00FB2744"/>
    <w:rsid w:val="00FB293A"/>
    <w:rsid w:val="00FB306B"/>
    <w:rsid w:val="00FB3347"/>
    <w:rsid w:val="00FB3784"/>
    <w:rsid w:val="00FB3945"/>
    <w:rsid w:val="00FB3BA7"/>
    <w:rsid w:val="00FB49B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9C6"/>
    <w:rsid w:val="00FC0AE4"/>
    <w:rsid w:val="00FC0DCB"/>
    <w:rsid w:val="00FC0E21"/>
    <w:rsid w:val="00FC1694"/>
    <w:rsid w:val="00FC1A7C"/>
    <w:rsid w:val="00FC1B1D"/>
    <w:rsid w:val="00FC1CF2"/>
    <w:rsid w:val="00FC1EB4"/>
    <w:rsid w:val="00FC202F"/>
    <w:rsid w:val="00FC2124"/>
    <w:rsid w:val="00FC2576"/>
    <w:rsid w:val="00FC2A8A"/>
    <w:rsid w:val="00FC2E45"/>
    <w:rsid w:val="00FC2F97"/>
    <w:rsid w:val="00FC351E"/>
    <w:rsid w:val="00FC35DE"/>
    <w:rsid w:val="00FC3976"/>
    <w:rsid w:val="00FC398B"/>
    <w:rsid w:val="00FC3BAB"/>
    <w:rsid w:val="00FC3D65"/>
    <w:rsid w:val="00FC42EE"/>
    <w:rsid w:val="00FC4398"/>
    <w:rsid w:val="00FC4B62"/>
    <w:rsid w:val="00FC4BA2"/>
    <w:rsid w:val="00FC4C6F"/>
    <w:rsid w:val="00FC503B"/>
    <w:rsid w:val="00FC5301"/>
    <w:rsid w:val="00FC5879"/>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5AE"/>
    <w:rsid w:val="00FD0F61"/>
    <w:rsid w:val="00FD0FB2"/>
    <w:rsid w:val="00FD101F"/>
    <w:rsid w:val="00FD1280"/>
    <w:rsid w:val="00FD143C"/>
    <w:rsid w:val="00FD1490"/>
    <w:rsid w:val="00FD18F6"/>
    <w:rsid w:val="00FD1946"/>
    <w:rsid w:val="00FD20B4"/>
    <w:rsid w:val="00FD2407"/>
    <w:rsid w:val="00FD2965"/>
    <w:rsid w:val="00FD2997"/>
    <w:rsid w:val="00FD2A64"/>
    <w:rsid w:val="00FD2A74"/>
    <w:rsid w:val="00FD2CC3"/>
    <w:rsid w:val="00FD2FA4"/>
    <w:rsid w:val="00FD3273"/>
    <w:rsid w:val="00FD3D61"/>
    <w:rsid w:val="00FD436D"/>
    <w:rsid w:val="00FD48D3"/>
    <w:rsid w:val="00FD491D"/>
    <w:rsid w:val="00FD49DB"/>
    <w:rsid w:val="00FD5062"/>
    <w:rsid w:val="00FD552D"/>
    <w:rsid w:val="00FD580A"/>
    <w:rsid w:val="00FD62CC"/>
    <w:rsid w:val="00FD6743"/>
    <w:rsid w:val="00FD6CE9"/>
    <w:rsid w:val="00FD6DB9"/>
    <w:rsid w:val="00FD70B1"/>
    <w:rsid w:val="00FD764D"/>
    <w:rsid w:val="00FD7AC7"/>
    <w:rsid w:val="00FD7B35"/>
    <w:rsid w:val="00FD7B48"/>
    <w:rsid w:val="00FD7C6C"/>
    <w:rsid w:val="00FD7CAE"/>
    <w:rsid w:val="00FD7CDC"/>
    <w:rsid w:val="00FD7F20"/>
    <w:rsid w:val="00FD7F9D"/>
    <w:rsid w:val="00FE01A6"/>
    <w:rsid w:val="00FE02F8"/>
    <w:rsid w:val="00FE054D"/>
    <w:rsid w:val="00FE05A2"/>
    <w:rsid w:val="00FE0644"/>
    <w:rsid w:val="00FE095E"/>
    <w:rsid w:val="00FE0A30"/>
    <w:rsid w:val="00FE0BA6"/>
    <w:rsid w:val="00FE0BAA"/>
    <w:rsid w:val="00FE0E70"/>
    <w:rsid w:val="00FE0F55"/>
    <w:rsid w:val="00FE11F1"/>
    <w:rsid w:val="00FE1445"/>
    <w:rsid w:val="00FE153E"/>
    <w:rsid w:val="00FE18EF"/>
    <w:rsid w:val="00FE1CE2"/>
    <w:rsid w:val="00FE1D6B"/>
    <w:rsid w:val="00FE1DFC"/>
    <w:rsid w:val="00FE235B"/>
    <w:rsid w:val="00FE2788"/>
    <w:rsid w:val="00FE27FE"/>
    <w:rsid w:val="00FE2852"/>
    <w:rsid w:val="00FE29D9"/>
    <w:rsid w:val="00FE2F5F"/>
    <w:rsid w:val="00FE33BA"/>
    <w:rsid w:val="00FE393B"/>
    <w:rsid w:val="00FE44BE"/>
    <w:rsid w:val="00FE4608"/>
    <w:rsid w:val="00FE4826"/>
    <w:rsid w:val="00FE48FB"/>
    <w:rsid w:val="00FE575D"/>
    <w:rsid w:val="00FE5DD2"/>
    <w:rsid w:val="00FE62A5"/>
    <w:rsid w:val="00FE66DF"/>
    <w:rsid w:val="00FE6845"/>
    <w:rsid w:val="00FE6AD1"/>
    <w:rsid w:val="00FE6CA0"/>
    <w:rsid w:val="00FE7425"/>
    <w:rsid w:val="00FE78FD"/>
    <w:rsid w:val="00FE7BA2"/>
    <w:rsid w:val="00FE7ECF"/>
    <w:rsid w:val="00FF0586"/>
    <w:rsid w:val="00FF09BD"/>
    <w:rsid w:val="00FF0AD1"/>
    <w:rsid w:val="00FF0B0F"/>
    <w:rsid w:val="00FF0ECB"/>
    <w:rsid w:val="00FF1463"/>
    <w:rsid w:val="00FF1744"/>
    <w:rsid w:val="00FF1CF2"/>
    <w:rsid w:val="00FF2265"/>
    <w:rsid w:val="00FF24E3"/>
    <w:rsid w:val="00FF3496"/>
    <w:rsid w:val="00FF36AD"/>
    <w:rsid w:val="00FF3CA1"/>
    <w:rsid w:val="00FF4177"/>
    <w:rsid w:val="00FF4675"/>
    <w:rsid w:val="00FF4761"/>
    <w:rsid w:val="00FF48C8"/>
    <w:rsid w:val="00FF58EB"/>
    <w:rsid w:val="00FF5A9A"/>
    <w:rsid w:val="00FF5AD6"/>
    <w:rsid w:val="00FF6350"/>
    <w:rsid w:val="00FF7932"/>
    <w:rsid w:val="158FD222"/>
    <w:rsid w:val="1F3BF9F5"/>
    <w:rsid w:val="390808B0"/>
    <w:rsid w:val="50058AC6"/>
    <w:rsid w:val="50CBB8BF"/>
    <w:rsid w:val="5FC27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v:stroke on="f"/>
    </o:shapedefaults>
    <o:shapelayout v:ext="edit">
      <o:idmap v:ext="edit" data="1"/>
    </o:shapelayout>
  </w:shapeDefaults>
  <w:decimalSymbol w:val="."/>
  <w:listSeparator w:val=","/>
  <w14:docId w14:val="0F624EE6"/>
  <w15:docId w15:val="{98CABF2C-B20E-44BC-BA6B-A1DF25AE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 w:type="character" w:customStyle="1" w:styleId="cf01">
    <w:name w:val="cf01"/>
    <w:basedOn w:val="Fuentedeprrafopredeter"/>
    <w:rsid w:val="008276D0"/>
    <w:rPr>
      <w:rFonts w:ascii="Segoe UI" w:hAnsi="Segoe UI" w:cs="Segoe UI" w:hint="default"/>
      <w:color w:val="333333"/>
      <w:sz w:val="18"/>
      <w:szCs w:val="18"/>
      <w:shd w:val="clear" w:color="auto" w:fill="FFFFFF"/>
    </w:rPr>
  </w:style>
  <w:style w:type="character" w:customStyle="1" w:styleId="ui-provider">
    <w:name w:val="ui-provider"/>
    <w:basedOn w:val="Fuentedeprrafopredeter"/>
    <w:rsid w:val="00CC1F59"/>
  </w:style>
  <w:style w:type="character" w:customStyle="1" w:styleId="PiedepginaCar">
    <w:name w:val="Pie de página Car"/>
    <w:basedOn w:val="Fuentedeprrafopredeter"/>
    <w:link w:val="Piedepgina"/>
    <w:uiPriority w:val="99"/>
    <w:rsid w:val="001D124A"/>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1D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44420616">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735590">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1338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3669071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youtube.com/user/INEGIInforma" TargetMode="External"/><Relationship Id="rId26" Type="http://schemas.openxmlformats.org/officeDocument/2006/relationships/chart" Target="charts/chart4.xml"/><Relationship Id="rId39" Type="http://schemas.openxmlformats.org/officeDocument/2006/relationships/chart" Target="charts/chart16.xml"/><Relationship Id="rId21" Type="http://schemas.openxmlformats.org/officeDocument/2006/relationships/image" Target="media/image5.png"/><Relationship Id="rId34" Type="http://schemas.openxmlformats.org/officeDocument/2006/relationships/chart" Target="charts/chart11.xml"/><Relationship Id="rId42" Type="http://schemas.openxmlformats.org/officeDocument/2006/relationships/chart" Target="charts/chart19.xm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witter.com/INEGI_INFORMA" TargetMode="External"/><Relationship Id="rId29" Type="http://schemas.openxmlformats.org/officeDocument/2006/relationships/chart" Target="charts/chart7.xml"/><Relationship Id="rId11" Type="http://schemas.openxmlformats.org/officeDocument/2006/relationships/hyperlink" Target="mailto:comunicacionsocial@inegi.org.mx" TargetMode="External"/><Relationship Id="rId24" Type="http://schemas.openxmlformats.org/officeDocument/2006/relationships/chart" Target="charts/chart3.xml"/><Relationship Id="rId32" Type="http://schemas.openxmlformats.org/officeDocument/2006/relationships/hyperlink" Target="https://www.inegi.org.mx/programas/enoe/15ymas/" TargetMode="External"/><Relationship Id="rId37" Type="http://schemas.openxmlformats.org/officeDocument/2006/relationships/chart" Target="charts/chart14.xml"/><Relationship Id="rId40" Type="http://schemas.openxmlformats.org/officeDocument/2006/relationships/chart" Target="charts/chart17.xml"/><Relationship Id="rId45" Type="http://schemas.openxmlformats.org/officeDocument/2006/relationships/hyperlink" Target="https://www.inegi.org.mx/programas/enoe/15ymas/"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chart" Target="charts/chart2.xml"/><Relationship Id="rId28" Type="http://schemas.openxmlformats.org/officeDocument/2006/relationships/chart" Target="charts/chart6.xml"/><Relationship Id="rId36" Type="http://schemas.openxmlformats.org/officeDocument/2006/relationships/chart" Target="charts/chart13.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chart" Target="charts/chart9.xml"/><Relationship Id="rId44" Type="http://schemas.openxmlformats.org/officeDocument/2006/relationships/image" Target="media/image6.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inegi_informa/" TargetMode="External"/><Relationship Id="rId22" Type="http://schemas.openxmlformats.org/officeDocument/2006/relationships/chart" Target="charts/chart1.xm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2.xml"/><Relationship Id="rId43" Type="http://schemas.openxmlformats.org/officeDocument/2006/relationships/hyperlink" Target="https://www.inegi.org.mx/app/biblioteca/ficha.html?upc=702825099060"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facebook.com/INEGIInforma/" TargetMode="External"/><Relationship Id="rId17" Type="http://schemas.openxmlformats.org/officeDocument/2006/relationships/image" Target="media/image3.png"/><Relationship Id="rId25" Type="http://schemas.openxmlformats.org/officeDocument/2006/relationships/hyperlink" Target="https://www.inegi.org.mx/programas/enoe/15ymas/" TargetMode="External"/><Relationship Id="rId33" Type="http://schemas.openxmlformats.org/officeDocument/2006/relationships/chart" Target="charts/chart10.xml"/><Relationship Id="rId38" Type="http://schemas.openxmlformats.org/officeDocument/2006/relationships/chart" Target="charts/chart15.xml"/><Relationship Id="rId46" Type="http://schemas.openxmlformats.org/officeDocument/2006/relationships/header" Target="header1.xml"/><Relationship Id="rId20" Type="http://schemas.openxmlformats.org/officeDocument/2006/relationships/hyperlink" Target="http://www.inegi.org.mx/" TargetMode="External"/><Relationship Id="rId41"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oleObject" Target="file:///\\10.153.2.159\412_SUB_AES\1.-COMUNICADOS%20Y%20NOTAS\ENOE%20Mensual\4.-%20Cuadros%20y%20gr&#225;ficas\ENOE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53.2.159\412_SUB_AES\1.-COMUNICADOS%20Y%20NOTAS\ENOE%20Mensual\4.-%20Cuadros%20y%20gr&#225;ficas\ENOE%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0.153.2.159\412_SUB_AES\1.-COMUNICADOS%20Y%20NOTAS\ENOE%20Mensual\4.-%20Cuadros%20y%20gr&#225;ficas\ENOE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1.-%20Boletines%20y%20Notas\Inversi&#243;n%20Fija%20Bruta\1.-Notas\ENOE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10.153.2.159\412_SUB_AES\1.-COMUNICADOS%20Y%20NOTAS\ENOE%20Mensual\4.-%20Cuadros%20y%20gr&#225;ficas\ENOE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53.2.159\412_SUB_AES\1.-COMUNICADOS%20Y%20NOTAS\ENOE%20Mensual\4.-%20Cuadros%20y%20gr&#225;ficas\ENOE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153.2.159\412_SUB_AES\1.-COMUNICADOS%20Y%20NOTAS\ENOE%20Mensual\4.-%20Cuadros%20y%20gr&#225;ficas\ENOE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153.2.159\412_SUB_AES\1.-COMUNICADOS%20Y%20NOTAS\ENOE%20Mensual\4.-%20Cuadros%20y%20gr&#225;ficas\ENOE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0.153.2.159\412_SUB_AES\1.-COMUNICADOS%20Y%20NOTAS\ENOE%20Mensual\4.-%20Cuadros%20y%20gr&#225;ficas\ENOE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0.153.2.159\412_SUB_AES\1.-COMUNICADOS%20Y%20NOTAS\ENOE%20Mensual\4.-%20Cuadros%20y%20gr&#225;ficas\ENOE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Dic-22</c:v>
                </c:pt>
                <c:pt idx="1">
                  <c:v>Dic-23</c:v>
                </c:pt>
              </c:strCache>
            </c:strRef>
          </c:cat>
          <c:val>
            <c:numRef>
              <c:f>'PO(1)'!$B$4:$C$4</c:f>
              <c:numCache>
                <c:formatCode>0.0</c:formatCode>
                <c:ptCount val="2"/>
                <c:pt idx="0">
                  <c:v>57.949975999999999</c:v>
                </c:pt>
                <c:pt idx="1">
                  <c:v>59.146414999999998</c:v>
                </c:pt>
              </c:numCache>
            </c:numRef>
          </c:val>
          <c:extLst>
            <c:ext xmlns:c16="http://schemas.microsoft.com/office/drawing/2014/chart" uri="{C3380CC4-5D6E-409C-BE32-E72D297353CC}">
              <c16:uniqueId val="{00000000-212E-4F11-A4C4-ADFDED4B5E7E}"/>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Dic-22</c:v>
                </c:pt>
                <c:pt idx="1">
                  <c:v>Dic-23</c:v>
                </c:pt>
              </c:strCache>
            </c:strRef>
          </c:cat>
          <c:val>
            <c:numRef>
              <c:f>'PO(1)'!$B$5:$C$5</c:f>
              <c:numCache>
                <c:formatCode>0.0</c:formatCode>
                <c:ptCount val="2"/>
                <c:pt idx="0">
                  <c:v>34.306353000000001</c:v>
                </c:pt>
                <c:pt idx="1">
                  <c:v>34.874361999999998</c:v>
                </c:pt>
              </c:numCache>
            </c:numRef>
          </c:val>
          <c:extLst>
            <c:ext xmlns:c16="http://schemas.microsoft.com/office/drawing/2014/chart" uri="{C3380CC4-5D6E-409C-BE32-E72D297353CC}">
              <c16:uniqueId val="{00000001-212E-4F11-A4C4-ADFDED4B5E7E}"/>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Dic-22</c:v>
                </c:pt>
                <c:pt idx="1">
                  <c:v>Dic-23</c:v>
                </c:pt>
              </c:strCache>
            </c:strRef>
          </c:cat>
          <c:val>
            <c:numRef>
              <c:f>'PO(1)'!$B$6:$C$6</c:f>
              <c:numCache>
                <c:formatCode>0.0</c:formatCode>
                <c:ptCount val="2"/>
                <c:pt idx="0">
                  <c:v>23.643623000000002</c:v>
                </c:pt>
                <c:pt idx="1">
                  <c:v>24.272053</c:v>
                </c:pt>
              </c:numCache>
            </c:numRef>
          </c:val>
          <c:extLst>
            <c:ext xmlns:c16="http://schemas.microsoft.com/office/drawing/2014/chart" uri="{C3380CC4-5D6E-409C-BE32-E72D297353CC}">
              <c16:uniqueId val="{00000002-212E-4F11-A4C4-ADFDED4B5E7E}"/>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44"/>
              <c:delete val="1"/>
              <c:extLst>
                <c:ext xmlns:c15="http://schemas.microsoft.com/office/drawing/2012/chart" uri="{CE6537A1-D6FC-4f65-9D91-7224C49458BB}"/>
                <c:ext xmlns:c16="http://schemas.microsoft.com/office/drawing/2014/chart" uri="{C3380CC4-5D6E-409C-BE32-E72D297353CC}">
                  <c16:uniqueId val="{00000000-AC5C-44A1-9969-DB634C7B5DA4}"/>
                </c:ext>
              </c:extLst>
            </c:dLbl>
            <c:dLbl>
              <c:idx val="45"/>
              <c:delete val="1"/>
              <c:extLst>
                <c:ext xmlns:c15="http://schemas.microsoft.com/office/drawing/2012/chart" uri="{CE6537A1-D6FC-4f65-9D91-7224C49458BB}"/>
                <c:ext xmlns:c16="http://schemas.microsoft.com/office/drawing/2014/chart" uri="{C3380CC4-5D6E-409C-BE32-E72D297353CC}">
                  <c16:uniqueId val="{00000001-AC5C-44A1-9969-DB634C7B5DA4}"/>
                </c:ext>
              </c:extLst>
            </c:dLbl>
            <c:dLbl>
              <c:idx val="46"/>
              <c:layout>
                <c:manualLayout>
                  <c:x val="-3.783403997577226E-3"/>
                  <c:y val="-2.3944989537193285E-4"/>
                </c:manualLayout>
              </c:layout>
              <c:spPr>
                <a:noFill/>
                <a:ln>
                  <a:noFill/>
                </a:ln>
                <a:effectLst/>
              </c:spPr>
              <c:txPr>
                <a:bodyPr rot="-5400000" vert="horz" wrap="square" lIns="0" tIns="0" rIns="0" bIns="0" anchor="ctr">
                  <a:spAutoFit/>
                </a:bodyPr>
                <a:lstStyle/>
                <a:p>
                  <a:pPr>
                    <a:defRPr sz="600"/>
                  </a:pPr>
                  <a:endParaRPr lang="es-MX"/>
                </a:p>
              </c:txPr>
              <c:dLblPos val="outEnd"/>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2-AC5C-44A1-9969-DB634C7B5DA4}"/>
                </c:ext>
              </c:extLst>
            </c:dLbl>
            <c:dLbl>
              <c:idx val="47"/>
              <c:layout>
                <c:manualLayout>
                  <c:x val="-1.5042561269783622E-16"/>
                  <c:y val="6.6688896298766256E-3"/>
                </c:manualLayout>
              </c:layout>
              <c:spPr>
                <a:noFill/>
                <a:ln>
                  <a:noFill/>
                </a:ln>
                <a:effectLst/>
              </c:spPr>
              <c:txPr>
                <a:bodyPr rot="-5400000" vert="horz" wrap="square" lIns="0" tIns="0" rIns="0" bIns="0" anchor="ctr">
                  <a:spAutoFit/>
                </a:bodyPr>
                <a:lstStyle/>
                <a:p>
                  <a:pPr>
                    <a:defRPr sz="600"/>
                  </a:pPr>
                  <a:endParaRPr lang="es-MX"/>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AC5C-44A1-9969-DB634C7B5DA4}"/>
                </c:ext>
              </c:extLst>
            </c:dLbl>
            <c:dLbl>
              <c:idx val="49"/>
              <c:delete val="1"/>
              <c:extLst>
                <c:ext xmlns:c15="http://schemas.microsoft.com/office/drawing/2012/chart" uri="{CE6537A1-D6FC-4f65-9D91-7224C49458BB}"/>
                <c:ext xmlns:c16="http://schemas.microsoft.com/office/drawing/2014/chart" uri="{C3380CC4-5D6E-409C-BE32-E72D297353CC}">
                  <c16:uniqueId val="{00000004-AC5C-44A1-9969-DB634C7B5DA4}"/>
                </c:ext>
              </c:extLst>
            </c:dLbl>
            <c:dLbl>
              <c:idx val="50"/>
              <c:delete val="1"/>
              <c:extLst>
                <c:ext xmlns:c15="http://schemas.microsoft.com/office/drawing/2012/chart" uri="{CE6537A1-D6FC-4f65-9D91-7224C49458BB}"/>
                <c:ext xmlns:c16="http://schemas.microsoft.com/office/drawing/2014/chart" uri="{C3380CC4-5D6E-409C-BE32-E72D297353CC}">
                  <c16:uniqueId val="{00000005-AC5C-44A1-9969-DB634C7B5DA4}"/>
                </c:ext>
              </c:extLst>
            </c:dLbl>
            <c:dLbl>
              <c:idx val="51"/>
              <c:delete val="1"/>
              <c:extLst>
                <c:ext xmlns:c15="http://schemas.microsoft.com/office/drawing/2012/chart" uri="{CE6537A1-D6FC-4f65-9D91-7224C49458BB}"/>
                <c:ext xmlns:c16="http://schemas.microsoft.com/office/drawing/2014/chart" uri="{C3380CC4-5D6E-409C-BE32-E72D297353CC}">
                  <c16:uniqueId val="{00000006-AC5C-44A1-9969-DB634C7B5DA4}"/>
                </c:ext>
              </c:extLst>
            </c:dLbl>
            <c:dLbl>
              <c:idx val="52"/>
              <c:delete val="1"/>
              <c:extLst>
                <c:ext xmlns:c15="http://schemas.microsoft.com/office/drawing/2012/chart" uri="{CE6537A1-D6FC-4f65-9D91-7224C49458BB}"/>
                <c:ext xmlns:c16="http://schemas.microsoft.com/office/drawing/2014/chart" uri="{C3380CC4-5D6E-409C-BE32-E72D297353CC}">
                  <c16:uniqueId val="{00000007-AC5C-44A1-9969-DB634C7B5DA4}"/>
                </c:ext>
              </c:extLst>
            </c:dLbl>
            <c:dLbl>
              <c:idx val="53"/>
              <c:delete val="1"/>
              <c:extLst>
                <c:ext xmlns:c15="http://schemas.microsoft.com/office/drawing/2012/chart" uri="{CE6537A1-D6FC-4f65-9D91-7224C49458BB}"/>
                <c:ext xmlns:c16="http://schemas.microsoft.com/office/drawing/2014/chart" uri="{C3380CC4-5D6E-409C-BE32-E72D297353CC}">
                  <c16:uniqueId val="{00000008-AC5C-44A1-9969-DB634C7B5DA4}"/>
                </c:ext>
              </c:extLst>
            </c:dLbl>
            <c:dLbl>
              <c:idx val="54"/>
              <c:layout>
                <c:manualLayout>
                  <c:x val="-4.006458284567059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C5C-44A1-9969-DB634C7B5DA4}"/>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C5C-44A1-9969-DB634C7B5DA4}"/>
                </c:ext>
              </c:extLst>
            </c:dLbl>
            <c:spPr>
              <a:noFill/>
              <a:ln>
                <a:noFill/>
              </a:ln>
              <a:effectLst/>
            </c:spPr>
            <c:txPr>
              <a:bodyPr rot="-5400000" vert="horz" wrap="square" lIns="38100" tIns="19050" rIns="38100" bIns="19050" anchor="ctr">
                <a:spAutoFit/>
              </a:bodyPr>
              <a:lstStyle/>
              <a:p>
                <a:pPr>
                  <a:defRPr sz="600"/>
                </a:pPr>
                <a:endParaRPr lang="es-MX"/>
              </a:p>
            </c:tx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Datos!$C$186:$C$233</c:f>
              <c:numCache>
                <c:formatCode>0.0_)</c:formatCode>
                <c:ptCount val="48"/>
                <c:pt idx="0">
                  <c:v>60.383125533914999</c:v>
                </c:pt>
                <c:pt idx="1">
                  <c:v>60.562464386557998</c:v>
                </c:pt>
                <c:pt idx="2">
                  <c:v>60.169176910363802</c:v>
                </c:pt>
                <c:pt idx="3">
                  <c:v>47.197268261058397</c:v>
                </c:pt>
                <c:pt idx="4">
                  <c:v>47.284846145117697</c:v>
                </c:pt>
                <c:pt idx="5">
                  <c:v>52.997989556100599</c:v>
                </c:pt>
                <c:pt idx="6">
                  <c:v>54.715851058183297</c:v>
                </c:pt>
                <c:pt idx="7">
                  <c:v>54.868030408855397</c:v>
                </c:pt>
                <c:pt idx="8">
                  <c:v>55.747303693865298</c:v>
                </c:pt>
                <c:pt idx="9">
                  <c:v>57.2531767272949</c:v>
                </c:pt>
                <c:pt idx="10">
                  <c:v>56.483802204859501</c:v>
                </c:pt>
                <c:pt idx="11">
                  <c:v>56.7165920183011</c:v>
                </c:pt>
                <c:pt idx="12">
                  <c:v>56.764417474656597</c:v>
                </c:pt>
                <c:pt idx="13">
                  <c:v>57.140947669164198</c:v>
                </c:pt>
                <c:pt idx="14">
                  <c:v>57.626981241190499</c:v>
                </c:pt>
                <c:pt idx="15">
                  <c:v>59.001340860069803</c:v>
                </c:pt>
                <c:pt idx="16">
                  <c:v>58.555484404502003</c:v>
                </c:pt>
                <c:pt idx="17">
                  <c:v>58.399802759452598</c:v>
                </c:pt>
                <c:pt idx="18">
                  <c:v>59.590908087773798</c:v>
                </c:pt>
                <c:pt idx="19">
                  <c:v>59.145414920308397</c:v>
                </c:pt>
                <c:pt idx="20">
                  <c:v>58.424631047494003</c:v>
                </c:pt>
                <c:pt idx="21">
                  <c:v>59.150664272971703</c:v>
                </c:pt>
                <c:pt idx="22">
                  <c:v>59.0534507094156</c:v>
                </c:pt>
                <c:pt idx="23">
                  <c:v>59.757362566393702</c:v>
                </c:pt>
                <c:pt idx="24">
                  <c:v>58.908080707888402</c:v>
                </c:pt>
                <c:pt idx="25">
                  <c:v>59.114182785628003</c:v>
                </c:pt>
                <c:pt idx="26">
                  <c:v>59.157575299040097</c:v>
                </c:pt>
                <c:pt idx="27">
                  <c:v>59.984132308631402</c:v>
                </c:pt>
                <c:pt idx="28">
                  <c:v>59.532028638955801</c:v>
                </c:pt>
                <c:pt idx="29">
                  <c:v>59.7743511054314</c:v>
                </c:pt>
                <c:pt idx="30">
                  <c:v>59.612244100983297</c:v>
                </c:pt>
                <c:pt idx="31">
                  <c:v>59.763866206789203</c:v>
                </c:pt>
                <c:pt idx="32">
                  <c:v>59.720120937018599</c:v>
                </c:pt>
                <c:pt idx="33">
                  <c:v>60.354567240932496</c:v>
                </c:pt>
                <c:pt idx="34">
                  <c:v>60.240086227601502</c:v>
                </c:pt>
                <c:pt idx="35">
                  <c:v>59.966772828024602</c:v>
                </c:pt>
                <c:pt idx="36">
                  <c:v>60.8828392192843</c:v>
                </c:pt>
                <c:pt idx="37">
                  <c:v>60.605081853149898</c:v>
                </c:pt>
                <c:pt idx="38">
                  <c:v>60.772609773944197</c:v>
                </c:pt>
                <c:pt idx="39">
                  <c:v>60.2593002477346</c:v>
                </c:pt>
                <c:pt idx="40">
                  <c:v>59.968868869165497</c:v>
                </c:pt>
                <c:pt idx="41">
                  <c:v>60.110449627957003</c:v>
                </c:pt>
                <c:pt idx="42">
                  <c:v>60.432147899059302</c:v>
                </c:pt>
                <c:pt idx="43">
                  <c:v>60.3035473466878</c:v>
                </c:pt>
                <c:pt idx="44">
                  <c:v>60.456592017826999</c:v>
                </c:pt>
                <c:pt idx="45">
                  <c:v>60.093574841255503</c:v>
                </c:pt>
                <c:pt idx="46">
                  <c:v>60.421775271315802</c:v>
                </c:pt>
                <c:pt idx="47">
                  <c:v>60.161210800316702</c:v>
                </c:pt>
              </c:numCache>
            </c:numRef>
          </c:val>
          <c:extLst>
            <c:ext xmlns:c16="http://schemas.microsoft.com/office/drawing/2014/chart" uri="{C3380CC4-5D6E-409C-BE32-E72D297353CC}">
              <c16:uniqueId val="{0000000B-AC5C-44A1-9969-DB634C7B5DA4}"/>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Datos!$D$186:$D$233</c:f>
              <c:numCache>
                <c:formatCode>0.0_)</c:formatCode>
                <c:ptCount val="48"/>
                <c:pt idx="0">
                  <c:v>60.345741443829603</c:v>
                </c:pt>
                <c:pt idx="1">
                  <c:v>60.349166763128601</c:v>
                </c:pt>
                <c:pt idx="2">
                  <c:v>60.319347948041496</c:v>
                </c:pt>
                <c:pt idx="3">
                  <c:v>54.672002955504198</c:v>
                </c:pt>
                <c:pt idx="4">
                  <c:v>54.6762739931849</c:v>
                </c:pt>
                <c:pt idx="5">
                  <c:v>54.766376378266003</c:v>
                </c:pt>
                <c:pt idx="6">
                  <c:v>54.970540558133898</c:v>
                </c:pt>
                <c:pt idx="7">
                  <c:v>55.274331247538001</c:v>
                </c:pt>
                <c:pt idx="8">
                  <c:v>55.6331195593486</c:v>
                </c:pt>
                <c:pt idx="9">
                  <c:v>55.994658065860499</c:v>
                </c:pt>
                <c:pt idx="10">
                  <c:v>56.333279035211397</c:v>
                </c:pt>
                <c:pt idx="11">
                  <c:v>56.650760544408001</c:v>
                </c:pt>
                <c:pt idx="12">
                  <c:v>56.958602656620101</c:v>
                </c:pt>
                <c:pt idx="13">
                  <c:v>57.283776485957098</c:v>
                </c:pt>
                <c:pt idx="14">
                  <c:v>57.648595652560701</c:v>
                </c:pt>
                <c:pt idx="15">
                  <c:v>58.034112824784899</c:v>
                </c:pt>
                <c:pt idx="16">
                  <c:v>58.4009275614426</c:v>
                </c:pt>
                <c:pt idx="17">
                  <c:v>58.706815768219798</c:v>
                </c:pt>
                <c:pt idx="18">
                  <c:v>58.927383438760302</c:v>
                </c:pt>
                <c:pt idx="19">
                  <c:v>59.057625067526303</c:v>
                </c:pt>
                <c:pt idx="20">
                  <c:v>59.114138188255197</c:v>
                </c:pt>
                <c:pt idx="21">
                  <c:v>59.107510045314001</c:v>
                </c:pt>
                <c:pt idx="22">
                  <c:v>59.0736842246165</c:v>
                </c:pt>
                <c:pt idx="23">
                  <c:v>59.050912324976103</c:v>
                </c:pt>
                <c:pt idx="24">
                  <c:v>59.079266998100799</c:v>
                </c:pt>
                <c:pt idx="25">
                  <c:v>59.1733489454435</c:v>
                </c:pt>
                <c:pt idx="26">
                  <c:v>59.309188485751399</c:v>
                </c:pt>
                <c:pt idx="27">
                  <c:v>59.446320293228297</c:v>
                </c:pt>
                <c:pt idx="28">
                  <c:v>59.563125466034599</c:v>
                </c:pt>
                <c:pt idx="29">
                  <c:v>59.655773725696598</c:v>
                </c:pt>
                <c:pt idx="30">
                  <c:v>59.728092343282498</c:v>
                </c:pt>
                <c:pt idx="31">
                  <c:v>59.809655638935702</c:v>
                </c:pt>
                <c:pt idx="32">
                  <c:v>59.929299871923597</c:v>
                </c:pt>
                <c:pt idx="33">
                  <c:v>60.100212722354399</c:v>
                </c:pt>
                <c:pt idx="34">
                  <c:v>60.3042880900867</c:v>
                </c:pt>
                <c:pt idx="35">
                  <c:v>60.481182012561497</c:v>
                </c:pt>
                <c:pt idx="36">
                  <c:v>60.579089071768898</c:v>
                </c:pt>
                <c:pt idx="37">
                  <c:v>60.5757540783545</c:v>
                </c:pt>
                <c:pt idx="38">
                  <c:v>60.492771194101003</c:v>
                </c:pt>
                <c:pt idx="39">
                  <c:v>60.382153500474097</c:v>
                </c:pt>
                <c:pt idx="40">
                  <c:v>60.286310220734102</c:v>
                </c:pt>
                <c:pt idx="41">
                  <c:v>60.2325758202862</c:v>
                </c:pt>
                <c:pt idx="42">
                  <c:v>60.235327714068298</c:v>
                </c:pt>
                <c:pt idx="43">
                  <c:v>60.271093858688097</c:v>
                </c:pt>
                <c:pt idx="44">
                  <c:v>60.299779362618899</c:v>
                </c:pt>
                <c:pt idx="45">
                  <c:v>60.308124367162002</c:v>
                </c:pt>
                <c:pt idx="46">
                  <c:v>60.287144842852001</c:v>
                </c:pt>
                <c:pt idx="47">
                  <c:v>60.263559243034202</c:v>
                </c:pt>
              </c:numCache>
            </c:numRef>
          </c:val>
          <c:smooth val="0"/>
          <c:extLst>
            <c:ext xmlns:c16="http://schemas.microsoft.com/office/drawing/2014/chart" uri="{C3380CC4-5D6E-409C-BE32-E72D297353CC}">
              <c16:uniqueId val="{0000000C-AC5C-44A1-9969-DB634C7B5DA4}"/>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493892201665549"/>
          <c:y val="0.94804749800637944"/>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46"/>
              <c:layout>
                <c:manualLayout>
                  <c:x val="-3.7809402402232259E-3"/>
                  <c:y val="6.815920267385700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5F1-42F8-B4E3-B69765737EBB}"/>
                </c:ext>
              </c:extLst>
            </c:dLbl>
            <c:dLbl>
              <c:idx val="47"/>
              <c:layout>
                <c:manualLayout>
                  <c:x val="-1.3930497501238929E-16"/>
                  <c:y val="-1.29567179307203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5F1-42F8-B4E3-B69765737EBB}"/>
                </c:ext>
              </c:extLst>
            </c:dLbl>
            <c:dLbl>
              <c:idx val="54"/>
              <c:layout>
                <c:manualLayout>
                  <c:x val="-4.063540982410776E-3"/>
                  <c:y val="6.599068647980732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5F1-42F8-B4E3-B69765737EBB}"/>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5F1-42F8-B4E3-B69765737EBB}"/>
                </c:ext>
              </c:extLst>
            </c:dLbl>
            <c:spPr>
              <a:noFill/>
              <a:ln>
                <a:noFill/>
              </a:ln>
              <a:effectLst/>
            </c:spPr>
            <c:txPr>
              <a:bodyPr rot="-5400000" vert="horz" wrap="square" lIns="0" tIns="0" rIns="0" bIns="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a:noFill/>
                    </a:ln>
                  </c:spPr>
                </c15:leaderLines>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Datos!$E$186:$E$233</c:f>
              <c:numCache>
                <c:formatCode>0.0_)</c:formatCode>
                <c:ptCount val="48"/>
                <c:pt idx="0">
                  <c:v>61.230007687034899</c:v>
                </c:pt>
                <c:pt idx="1">
                  <c:v>61.444611493610303</c:v>
                </c:pt>
                <c:pt idx="2">
                  <c:v>60.844091031688201</c:v>
                </c:pt>
                <c:pt idx="3">
                  <c:v>45.107591450626998</c:v>
                </c:pt>
                <c:pt idx="4">
                  <c:v>45.270683800275201</c:v>
                </c:pt>
                <c:pt idx="5">
                  <c:v>49.150116666707802</c:v>
                </c:pt>
                <c:pt idx="6">
                  <c:v>53.567905927043498</c:v>
                </c:pt>
                <c:pt idx="7">
                  <c:v>54.508754362896298</c:v>
                </c:pt>
                <c:pt idx="8">
                  <c:v>55.422262680514699</c:v>
                </c:pt>
                <c:pt idx="9">
                  <c:v>57.160223767146299</c:v>
                </c:pt>
                <c:pt idx="10">
                  <c:v>56.630733206122102</c:v>
                </c:pt>
                <c:pt idx="11">
                  <c:v>56.627621444079701</c:v>
                </c:pt>
                <c:pt idx="12">
                  <c:v>55.9094638618731</c:v>
                </c:pt>
                <c:pt idx="13">
                  <c:v>57.5889765187802</c:v>
                </c:pt>
                <c:pt idx="14">
                  <c:v>57.796265519265397</c:v>
                </c:pt>
                <c:pt idx="15">
                  <c:v>58.600502576652701</c:v>
                </c:pt>
                <c:pt idx="16">
                  <c:v>58.973789573971303</c:v>
                </c:pt>
                <c:pt idx="17">
                  <c:v>58.513646841411301</c:v>
                </c:pt>
                <c:pt idx="18">
                  <c:v>60.627843804246503</c:v>
                </c:pt>
                <c:pt idx="19">
                  <c:v>60.384938553630597</c:v>
                </c:pt>
                <c:pt idx="20">
                  <c:v>59.648854129756003</c:v>
                </c:pt>
                <c:pt idx="21">
                  <c:v>60.374874989687697</c:v>
                </c:pt>
                <c:pt idx="22">
                  <c:v>59.910742209195597</c:v>
                </c:pt>
                <c:pt idx="23">
                  <c:v>60.9388552137072</c:v>
                </c:pt>
                <c:pt idx="24">
                  <c:v>59.911988288729901</c:v>
                </c:pt>
                <c:pt idx="25">
                  <c:v>60.330050949854503</c:v>
                </c:pt>
                <c:pt idx="26">
                  <c:v>60.2830509514759</c:v>
                </c:pt>
                <c:pt idx="27">
                  <c:v>61.079048681423401</c:v>
                </c:pt>
                <c:pt idx="28">
                  <c:v>60.596193986849499</c:v>
                </c:pt>
                <c:pt idx="29">
                  <c:v>60.9660230718574</c:v>
                </c:pt>
                <c:pt idx="30">
                  <c:v>60.626608915687598</c:v>
                </c:pt>
                <c:pt idx="31">
                  <c:v>60.384811176604103</c:v>
                </c:pt>
                <c:pt idx="32">
                  <c:v>60.856824524100297</c:v>
                </c:pt>
                <c:pt idx="33">
                  <c:v>61.224588858863498</c:v>
                </c:pt>
                <c:pt idx="34">
                  <c:v>60.807821094544103</c:v>
                </c:pt>
                <c:pt idx="35">
                  <c:v>61.207041765675797</c:v>
                </c:pt>
                <c:pt idx="36">
                  <c:v>61.252374675508797</c:v>
                </c:pt>
                <c:pt idx="37">
                  <c:v>61.056415133718197</c:v>
                </c:pt>
                <c:pt idx="38">
                  <c:v>61.4212134854032</c:v>
                </c:pt>
                <c:pt idx="39">
                  <c:v>60.7799479204158</c:v>
                </c:pt>
                <c:pt idx="40">
                  <c:v>61.0853612210271</c:v>
                </c:pt>
                <c:pt idx="41">
                  <c:v>60.974324000165801</c:v>
                </c:pt>
                <c:pt idx="42">
                  <c:v>61.522503641908997</c:v>
                </c:pt>
                <c:pt idx="43">
                  <c:v>61.257876072659997</c:v>
                </c:pt>
                <c:pt idx="44">
                  <c:v>61.542207044723099</c:v>
                </c:pt>
                <c:pt idx="45">
                  <c:v>60.927886360947298</c:v>
                </c:pt>
                <c:pt idx="46">
                  <c:v>61.462457672799701</c:v>
                </c:pt>
                <c:pt idx="47">
                  <c:v>60.422414958169703</c:v>
                </c:pt>
              </c:numCache>
            </c:numRef>
          </c:val>
          <c:extLst>
            <c:ext xmlns:c16="http://schemas.microsoft.com/office/drawing/2014/chart" uri="{C3380CC4-5D6E-409C-BE32-E72D297353CC}">
              <c16:uniqueId val="{00000004-25F1-42F8-B4E3-B69765737EBB}"/>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Datos!$F$186:$F$233</c:f>
              <c:numCache>
                <c:formatCode>0.0_)</c:formatCode>
                <c:ptCount val="48"/>
                <c:pt idx="0">
                  <c:v>61.229707060762898</c:v>
                </c:pt>
                <c:pt idx="1">
                  <c:v>61.1755192497099</c:v>
                </c:pt>
                <c:pt idx="2">
                  <c:v>61.106986520736903</c:v>
                </c:pt>
                <c:pt idx="3">
                  <c:v>53.8391823584127</c:v>
                </c:pt>
                <c:pt idx="4">
                  <c:v>53.872364376634799</c:v>
                </c:pt>
                <c:pt idx="5">
                  <c:v>54.031726179082</c:v>
                </c:pt>
                <c:pt idx="6">
                  <c:v>54.336483077010897</c:v>
                </c:pt>
                <c:pt idx="7">
                  <c:v>54.767224709456798</c:v>
                </c:pt>
                <c:pt idx="8">
                  <c:v>55.278897242790201</c:v>
                </c:pt>
                <c:pt idx="9">
                  <c:v>55.804123086905001</c:v>
                </c:pt>
                <c:pt idx="10">
                  <c:v>56.303261799520499</c:v>
                </c:pt>
                <c:pt idx="11">
                  <c:v>56.750666498279799</c:v>
                </c:pt>
                <c:pt idx="12">
                  <c:v>57.161857299964304</c:v>
                </c:pt>
                <c:pt idx="13">
                  <c:v>57.569609118520397</c:v>
                </c:pt>
                <c:pt idx="14">
                  <c:v>58.0193298526723</c:v>
                </c:pt>
                <c:pt idx="15">
                  <c:v>58.506165441494602</c:v>
                </c:pt>
                <c:pt idx="16">
                  <c:v>58.9926642528429</c:v>
                </c:pt>
                <c:pt idx="17">
                  <c:v>59.422879405562099</c:v>
                </c:pt>
                <c:pt idx="18">
                  <c:v>59.754862289661403</c:v>
                </c:pt>
                <c:pt idx="19">
                  <c:v>59.971300193383797</c:v>
                </c:pt>
                <c:pt idx="20">
                  <c:v>60.077867610432499</c:v>
                </c:pt>
                <c:pt idx="21">
                  <c:v>60.094955584170101</c:v>
                </c:pt>
                <c:pt idx="22">
                  <c:v>60.088192251006802</c:v>
                </c:pt>
                <c:pt idx="23">
                  <c:v>60.103037377562103</c:v>
                </c:pt>
                <c:pt idx="24">
                  <c:v>60.181225411982702</c:v>
                </c:pt>
                <c:pt idx="25">
                  <c:v>60.327026615991599</c:v>
                </c:pt>
                <c:pt idx="26">
                  <c:v>60.493306257721599</c:v>
                </c:pt>
                <c:pt idx="27">
                  <c:v>60.621409812342499</c:v>
                </c:pt>
                <c:pt idx="28">
                  <c:v>60.707400703537502</c:v>
                </c:pt>
                <c:pt idx="29">
                  <c:v>60.736156640485198</c:v>
                </c:pt>
                <c:pt idx="30">
                  <c:v>60.739576994354898</c:v>
                </c:pt>
                <c:pt idx="31">
                  <c:v>60.755472701523097</c:v>
                </c:pt>
                <c:pt idx="32">
                  <c:v>60.811851583591</c:v>
                </c:pt>
                <c:pt idx="33">
                  <c:v>60.916210043814303</c:v>
                </c:pt>
                <c:pt idx="34">
                  <c:v>61.039116575076598</c:v>
                </c:pt>
                <c:pt idx="35">
                  <c:v>61.131400871701501</c:v>
                </c:pt>
                <c:pt idx="36">
                  <c:v>61.166071310317903</c:v>
                </c:pt>
                <c:pt idx="37">
                  <c:v>61.145349147471798</c:v>
                </c:pt>
                <c:pt idx="38">
                  <c:v>61.106522958237598</c:v>
                </c:pt>
                <c:pt idx="39">
                  <c:v>61.098326794961402</c:v>
                </c:pt>
                <c:pt idx="40">
                  <c:v>61.118479912582899</c:v>
                </c:pt>
                <c:pt idx="41">
                  <c:v>61.170792428174998</c:v>
                </c:pt>
                <c:pt idx="42">
                  <c:v>61.239626261328702</c:v>
                </c:pt>
                <c:pt idx="43">
                  <c:v>61.292872482584897</c:v>
                </c:pt>
                <c:pt idx="44">
                  <c:v>61.304973939428898</c:v>
                </c:pt>
                <c:pt idx="45">
                  <c:v>61.277852538595802</c:v>
                </c:pt>
                <c:pt idx="46">
                  <c:v>61.214603262388202</c:v>
                </c:pt>
                <c:pt idx="47">
                  <c:v>61.146958874148602</c:v>
                </c:pt>
              </c:numCache>
            </c:numRef>
          </c:val>
          <c:smooth val="0"/>
          <c:extLst>
            <c:ext xmlns:c16="http://schemas.microsoft.com/office/drawing/2014/chart" uri="{C3380CC4-5D6E-409C-BE32-E72D297353CC}">
              <c16:uniqueId val="{00000005-25F1-42F8-B4E3-B69765737EBB}"/>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6"/>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9.049232353583965E-2"/>
          <c:y val="0.94804766294243636"/>
          <c:w val="0.81299588873189343"/>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46"/>
              <c:layout>
                <c:manualLayout>
                  <c:x val="-3.7811427417726632E-3"/>
                  <c:y val="5.951065053180334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FB-4E59-BF0E-5149889058F1}"/>
                </c:ext>
              </c:extLst>
            </c:dLbl>
            <c:dLbl>
              <c:idx val="47"/>
              <c:layout>
                <c:manualLayout>
                  <c:x val="-1.5042561269783622E-16"/>
                  <c:y val="2.0006668889629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FB-4E59-BF0E-5149889058F1}"/>
                </c:ext>
              </c:extLst>
            </c:dLbl>
            <c:dLbl>
              <c:idx val="54"/>
              <c:layout>
                <c:manualLayout>
                  <c:x val="-8.0099070566965816E-3"/>
                  <c:y val="-6.0304914122683071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FB-4E59-BF0E-5149889058F1}"/>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FB-4E59-BF0E-5149889058F1}"/>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FB-4E59-BF0E-5149889058F1}"/>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9FB-4E59-BF0E-5149889058F1}"/>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Datos!$K$186:$K$233</c:f>
              <c:numCache>
                <c:formatCode>_(* #,##0.0_);_(* \(#,##0.0\);_(* "-"??_);_(@_)</c:formatCode>
                <c:ptCount val="48"/>
                <c:pt idx="0">
                  <c:v>7.3861840591892101</c:v>
                </c:pt>
                <c:pt idx="1">
                  <c:v>9.0316372111898406</c:v>
                </c:pt>
                <c:pt idx="2">
                  <c:v>9.4818497966260296</c:v>
                </c:pt>
                <c:pt idx="3">
                  <c:v>24.2648139388941</c:v>
                </c:pt>
                <c:pt idx="4">
                  <c:v>29.3289616080671</c:v>
                </c:pt>
                <c:pt idx="5">
                  <c:v>20.010818401443998</c:v>
                </c:pt>
                <c:pt idx="6">
                  <c:v>17.408136589636602</c:v>
                </c:pt>
                <c:pt idx="7">
                  <c:v>16.4034575725819</c:v>
                </c:pt>
                <c:pt idx="8">
                  <c:v>15.462785290023501</c:v>
                </c:pt>
                <c:pt idx="9">
                  <c:v>15.129943858288099</c:v>
                </c:pt>
                <c:pt idx="10">
                  <c:v>15.732163604059901</c:v>
                </c:pt>
                <c:pt idx="11">
                  <c:v>14.893104895553201</c:v>
                </c:pt>
                <c:pt idx="12">
                  <c:v>14.9479843607697</c:v>
                </c:pt>
                <c:pt idx="13">
                  <c:v>14.3397722535847</c:v>
                </c:pt>
                <c:pt idx="14">
                  <c:v>13.6619384870408</c:v>
                </c:pt>
                <c:pt idx="15">
                  <c:v>13.1486521397486</c:v>
                </c:pt>
                <c:pt idx="16">
                  <c:v>12.6397965780227</c:v>
                </c:pt>
                <c:pt idx="17">
                  <c:v>12.3196264774892</c:v>
                </c:pt>
                <c:pt idx="18">
                  <c:v>12.5604341220342</c:v>
                </c:pt>
                <c:pt idx="19">
                  <c:v>12.6823633699896</c:v>
                </c:pt>
                <c:pt idx="20">
                  <c:v>12.122741067193701</c:v>
                </c:pt>
                <c:pt idx="21">
                  <c:v>11.3234259561114</c:v>
                </c:pt>
                <c:pt idx="22">
                  <c:v>10.408848656451701</c:v>
                </c:pt>
                <c:pt idx="23">
                  <c:v>10.4945654740827</c:v>
                </c:pt>
                <c:pt idx="24">
                  <c:v>9.2047962353549995</c:v>
                </c:pt>
                <c:pt idx="25">
                  <c:v>9.5095634479664302</c:v>
                </c:pt>
                <c:pt idx="26">
                  <c:v>8.8813607684759592</c:v>
                </c:pt>
                <c:pt idx="27">
                  <c:v>8.6672113573894105</c:v>
                </c:pt>
                <c:pt idx="28">
                  <c:v>8.3492753606097398</c:v>
                </c:pt>
                <c:pt idx="29">
                  <c:v>8.84727492701691</c:v>
                </c:pt>
                <c:pt idx="30">
                  <c:v>7.8789690248331903</c:v>
                </c:pt>
                <c:pt idx="31">
                  <c:v>7.7095091152299702</c:v>
                </c:pt>
                <c:pt idx="32">
                  <c:v>7.7178309570272097</c:v>
                </c:pt>
                <c:pt idx="33">
                  <c:v>7.62599347033483</c:v>
                </c:pt>
                <c:pt idx="34">
                  <c:v>7.5869805689380296</c:v>
                </c:pt>
                <c:pt idx="35">
                  <c:v>7.5711979043348201</c:v>
                </c:pt>
                <c:pt idx="36">
                  <c:v>7.8064838251617097</c:v>
                </c:pt>
                <c:pt idx="37">
                  <c:v>7.5757408575578502</c:v>
                </c:pt>
                <c:pt idx="38">
                  <c:v>7.2084635712521203</c:v>
                </c:pt>
                <c:pt idx="39">
                  <c:v>8.0861000821324591</c:v>
                </c:pt>
                <c:pt idx="40">
                  <c:v>7.98012735380272</c:v>
                </c:pt>
                <c:pt idx="41">
                  <c:v>7.8056135638280004</c:v>
                </c:pt>
                <c:pt idx="42">
                  <c:v>7.7467227385388302</c:v>
                </c:pt>
                <c:pt idx="43">
                  <c:v>7.73236430124875</c:v>
                </c:pt>
                <c:pt idx="44">
                  <c:v>7.9734750295472399</c:v>
                </c:pt>
                <c:pt idx="45">
                  <c:v>7.9980064895984997</c:v>
                </c:pt>
                <c:pt idx="46">
                  <c:v>8.1650079188013809</c:v>
                </c:pt>
                <c:pt idx="47">
                  <c:v>7.93072180017072</c:v>
                </c:pt>
              </c:numCache>
            </c:numRef>
          </c:val>
          <c:extLst>
            <c:ext xmlns:c16="http://schemas.microsoft.com/office/drawing/2014/chart" uri="{C3380CC4-5D6E-409C-BE32-E72D297353CC}">
              <c16:uniqueId val="{00000006-59FB-4E59-BF0E-5149889058F1}"/>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Datos!$L$186:$L$233</c:f>
              <c:numCache>
                <c:formatCode>_(* #,##0.0_);_(* \(#,##0.0\);_(* "-"??_);_(@_)</c:formatCode>
                <c:ptCount val="48"/>
                <c:pt idx="0">
                  <c:v>8.3719124099570408</c:v>
                </c:pt>
                <c:pt idx="1">
                  <c:v>8.4953022238245595</c:v>
                </c:pt>
                <c:pt idx="2">
                  <c:v>8.5930429556849592</c:v>
                </c:pt>
                <c:pt idx="3">
                  <c:v>17.303278267530999</c:v>
                </c:pt>
                <c:pt idx="4">
                  <c:v>17.296538745787501</c:v>
                </c:pt>
                <c:pt idx="5">
                  <c:v>17.135016332421198</c:v>
                </c:pt>
                <c:pt idx="6">
                  <c:v>16.8216782510254</c:v>
                </c:pt>
                <c:pt idx="7">
                  <c:v>16.4214710765809</c:v>
                </c:pt>
                <c:pt idx="8">
                  <c:v>16.0007910364785</c:v>
                </c:pt>
                <c:pt idx="9">
                  <c:v>15.609005871720999</c:v>
                </c:pt>
                <c:pt idx="10">
                  <c:v>15.2789218000774</c:v>
                </c:pt>
                <c:pt idx="11">
                  <c:v>14.988299016732</c:v>
                </c:pt>
                <c:pt idx="12">
                  <c:v>14.6572576885037</c:v>
                </c:pt>
                <c:pt idx="13">
                  <c:v>14.2211496993365</c:v>
                </c:pt>
                <c:pt idx="14">
                  <c:v>13.710143503255299</c:v>
                </c:pt>
                <c:pt idx="15">
                  <c:v>13.235856351295601</c:v>
                </c:pt>
                <c:pt idx="16">
                  <c:v>12.8905107641576</c:v>
                </c:pt>
                <c:pt idx="17">
                  <c:v>12.656018376489</c:v>
                </c:pt>
                <c:pt idx="18">
                  <c:v>12.4604020585575</c:v>
                </c:pt>
                <c:pt idx="19">
                  <c:v>12.221219020255599</c:v>
                </c:pt>
                <c:pt idx="20">
                  <c:v>11.8667362721646</c:v>
                </c:pt>
                <c:pt idx="21">
                  <c:v>11.3867625584362</c:v>
                </c:pt>
                <c:pt idx="22">
                  <c:v>10.825853823050901</c:v>
                </c:pt>
                <c:pt idx="23">
                  <c:v>10.255786560550799</c:v>
                </c:pt>
                <c:pt idx="24">
                  <c:v>9.7466627504451893</c:v>
                </c:pt>
                <c:pt idx="25">
                  <c:v>9.3257692916575508</c:v>
                </c:pt>
                <c:pt idx="26">
                  <c:v>8.9683369044660104</c:v>
                </c:pt>
                <c:pt idx="27">
                  <c:v>8.6463206648398199</c:v>
                </c:pt>
                <c:pt idx="28">
                  <c:v>8.3574823428913998</c:v>
                </c:pt>
                <c:pt idx="29">
                  <c:v>8.1138667745366995</c:v>
                </c:pt>
                <c:pt idx="30">
                  <c:v>7.9185715450978202</c:v>
                </c:pt>
                <c:pt idx="31">
                  <c:v>7.7694546378686198</c:v>
                </c:pt>
                <c:pt idx="32">
                  <c:v>7.67463686229127</c:v>
                </c:pt>
                <c:pt idx="33">
                  <c:v>7.6177619141332498</c:v>
                </c:pt>
                <c:pt idx="34">
                  <c:v>7.6002513321987797</c:v>
                </c:pt>
                <c:pt idx="35">
                  <c:v>7.6209177186054404</c:v>
                </c:pt>
                <c:pt idx="36">
                  <c:v>7.67483406091283</c:v>
                </c:pt>
                <c:pt idx="37">
                  <c:v>7.7463331452445399</c:v>
                </c:pt>
                <c:pt idx="38">
                  <c:v>7.8116951296890802</c:v>
                </c:pt>
                <c:pt idx="39">
                  <c:v>7.8520142648273898</c:v>
                </c:pt>
                <c:pt idx="40">
                  <c:v>7.8591921096064699</c:v>
                </c:pt>
                <c:pt idx="41">
                  <c:v>7.85231679623248</c:v>
                </c:pt>
                <c:pt idx="42">
                  <c:v>7.8564097456369204</c:v>
                </c:pt>
                <c:pt idx="43">
                  <c:v>7.8795988865440796</c:v>
                </c:pt>
                <c:pt idx="44">
                  <c:v>7.9168413745102004</c:v>
                </c:pt>
                <c:pt idx="45">
                  <c:v>7.9638734054787799</c:v>
                </c:pt>
                <c:pt idx="46">
                  <c:v>7.9901735907053197</c:v>
                </c:pt>
                <c:pt idx="47">
                  <c:v>7.9667796251651497</c:v>
                </c:pt>
              </c:numCache>
            </c:numRef>
          </c:val>
          <c:smooth val="0"/>
          <c:extLst>
            <c:ext xmlns:c16="http://schemas.microsoft.com/office/drawing/2014/chart" uri="{C3380CC4-5D6E-409C-BE32-E72D297353CC}">
              <c16:uniqueId val="{00000007-59FB-4E59-BF0E-5149889058F1}"/>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sz="550"/>
            </a:pPr>
            <a:endParaRPr lang="es-MX"/>
          </a:p>
        </c:txPr>
        <c:crossAx val="523528104"/>
        <c:crosses val="autoZero"/>
        <c:auto val="1"/>
        <c:lblAlgn val="ctr"/>
        <c:lblOffset val="0"/>
        <c:tickLblSkip val="1"/>
        <c:tickMarkSkip val="12"/>
        <c:noMultiLvlLbl val="1"/>
      </c:catAx>
      <c:valAx>
        <c:axId val="523528104"/>
        <c:scaling>
          <c:orientation val="minMax"/>
          <c:max val="32"/>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8.2475429032909345E-2"/>
          <c:y val="0.95025270890821878"/>
          <c:w val="0.84292768019382192"/>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46"/>
              <c:layout>
                <c:manualLayout>
                  <c:x val="-3.7811427417726632E-3"/>
                  <c:y val="6.310239896238256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53-4746-B2BF-7F9AB69867BF}"/>
                </c:ext>
              </c:extLst>
            </c:dLbl>
            <c:dLbl>
              <c:idx val="47"/>
              <c:layout>
                <c:manualLayout>
                  <c:x val="0"/>
                  <c:y val="6.6688896298766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D53-4746-B2BF-7F9AB69867BF}"/>
                </c:ext>
              </c:extLst>
            </c:dLbl>
            <c:dLbl>
              <c:idx val="54"/>
              <c:layout>
                <c:manualLayout>
                  <c:x val="-4.0340345459471769E-3"/>
                  <c:y val="6.0304914122743589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53-4746-B2BF-7F9AB69867BF}"/>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D53-4746-B2BF-7F9AB69867BF}"/>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D53-4746-B2BF-7F9AB69867BF}"/>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D53-4746-B2BF-7F9AB69867BF}"/>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Datos!$M$186:$M$233</c:f>
              <c:numCache>
                <c:formatCode>_(* #,##0.0_);_(* \(#,##0.0\);_(* "-"??_);_(@_)</c:formatCode>
                <c:ptCount val="48"/>
                <c:pt idx="0">
                  <c:v>6.6216855162030397</c:v>
                </c:pt>
                <c:pt idx="1">
                  <c:v>7.90223010212513</c:v>
                </c:pt>
                <c:pt idx="2">
                  <c:v>8.3645719482851195</c:v>
                </c:pt>
                <c:pt idx="3">
                  <c:v>24.837429369251499</c:v>
                </c:pt>
                <c:pt idx="4">
                  <c:v>27.438839582222801</c:v>
                </c:pt>
                <c:pt idx="5">
                  <c:v>22.742191077895001</c:v>
                </c:pt>
                <c:pt idx="6">
                  <c:v>19.303132681207099</c:v>
                </c:pt>
                <c:pt idx="7">
                  <c:v>18.434343499149701</c:v>
                </c:pt>
                <c:pt idx="8">
                  <c:v>15.218809114625699</c:v>
                </c:pt>
                <c:pt idx="9">
                  <c:v>16.693984148235302</c:v>
                </c:pt>
                <c:pt idx="10">
                  <c:v>18.174869080009699</c:v>
                </c:pt>
                <c:pt idx="11">
                  <c:v>17.6186128779844</c:v>
                </c:pt>
                <c:pt idx="12">
                  <c:v>17.738497261927201</c:v>
                </c:pt>
                <c:pt idx="13">
                  <c:v>16.1331375334073</c:v>
                </c:pt>
                <c:pt idx="14">
                  <c:v>15.1348134423041</c:v>
                </c:pt>
                <c:pt idx="15">
                  <c:v>14.1394822473719</c:v>
                </c:pt>
                <c:pt idx="16">
                  <c:v>12.838692176899199</c:v>
                </c:pt>
                <c:pt idx="17">
                  <c:v>12.654148985484801</c:v>
                </c:pt>
                <c:pt idx="18">
                  <c:v>12.6756822251836</c:v>
                </c:pt>
                <c:pt idx="19">
                  <c:v>13.624413953237401</c:v>
                </c:pt>
                <c:pt idx="20">
                  <c:v>12.432301049190899</c:v>
                </c:pt>
                <c:pt idx="21">
                  <c:v>11.454586918958301</c:v>
                </c:pt>
                <c:pt idx="22">
                  <c:v>10.8246137004798</c:v>
                </c:pt>
                <c:pt idx="23">
                  <c:v>10.425206004574701</c:v>
                </c:pt>
                <c:pt idx="24">
                  <c:v>9.7358059869587503</c:v>
                </c:pt>
                <c:pt idx="25">
                  <c:v>9.3521604295272294</c:v>
                </c:pt>
                <c:pt idx="26">
                  <c:v>8.8783261995767901</c:v>
                </c:pt>
                <c:pt idx="27">
                  <c:v>9.1598455917407708</c:v>
                </c:pt>
                <c:pt idx="28">
                  <c:v>8.9989540718254908</c:v>
                </c:pt>
                <c:pt idx="29">
                  <c:v>8.7116307947339795</c:v>
                </c:pt>
                <c:pt idx="30">
                  <c:v>8.2669870405975896</c:v>
                </c:pt>
                <c:pt idx="31">
                  <c:v>7.6976448971695399</c:v>
                </c:pt>
                <c:pt idx="32">
                  <c:v>7.4605266162803003</c:v>
                </c:pt>
                <c:pt idx="33">
                  <c:v>7.8013829939442596</c:v>
                </c:pt>
                <c:pt idx="34">
                  <c:v>6.8679905296791297</c:v>
                </c:pt>
                <c:pt idx="35">
                  <c:v>7.6802075142513901</c:v>
                </c:pt>
                <c:pt idx="36">
                  <c:v>7.1707532644374696</c:v>
                </c:pt>
                <c:pt idx="37">
                  <c:v>7.0962143075347797</c:v>
                </c:pt>
                <c:pt idx="38">
                  <c:v>6.4830910913604702</c:v>
                </c:pt>
                <c:pt idx="39">
                  <c:v>7.2917984387387902</c:v>
                </c:pt>
                <c:pt idx="40">
                  <c:v>8.0112662903780496</c:v>
                </c:pt>
                <c:pt idx="41">
                  <c:v>7.8065682608198301</c:v>
                </c:pt>
                <c:pt idx="42">
                  <c:v>7.9515717940407198</c:v>
                </c:pt>
                <c:pt idx="43">
                  <c:v>8.0955137194620193</c:v>
                </c:pt>
                <c:pt idx="44">
                  <c:v>7.7768960819411701</c:v>
                </c:pt>
                <c:pt idx="45">
                  <c:v>7.6179713926563402</c:v>
                </c:pt>
                <c:pt idx="46">
                  <c:v>8.0843286443084494</c:v>
                </c:pt>
                <c:pt idx="47">
                  <c:v>7.5145392071589496</c:v>
                </c:pt>
              </c:numCache>
            </c:numRef>
          </c:val>
          <c:extLst>
            <c:ext xmlns:c16="http://schemas.microsoft.com/office/drawing/2014/chart" uri="{C3380CC4-5D6E-409C-BE32-E72D297353CC}">
              <c16:uniqueId val="{00000006-5D53-4746-B2BF-7F9AB69867BF}"/>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Datos!$N$186:$N$233</c:f>
              <c:numCache>
                <c:formatCode>_(* #,##0.0_);_(* \(#,##0.0\);_(* "-"??_);_(@_)</c:formatCode>
                <c:ptCount val="48"/>
                <c:pt idx="0">
                  <c:v>7.2608695176080102</c:v>
                </c:pt>
                <c:pt idx="1">
                  <c:v>7.5727455530801198</c:v>
                </c:pt>
                <c:pt idx="2">
                  <c:v>7.8230138954933599</c:v>
                </c:pt>
                <c:pt idx="3">
                  <c:v>19.3563241323786</c:v>
                </c:pt>
                <c:pt idx="4">
                  <c:v>19.395846935767299</c:v>
                </c:pt>
                <c:pt idx="5">
                  <c:v>19.132158431697398</c:v>
                </c:pt>
                <c:pt idx="6">
                  <c:v>18.705172899017601</c:v>
                </c:pt>
                <c:pt idx="7">
                  <c:v>18.313109967284401</c:v>
                </c:pt>
                <c:pt idx="8">
                  <c:v>18.0458432668574</c:v>
                </c:pt>
                <c:pt idx="9">
                  <c:v>17.860595898746102</c:v>
                </c:pt>
                <c:pt idx="10">
                  <c:v>17.6887210434659</c:v>
                </c:pt>
                <c:pt idx="11">
                  <c:v>17.421869421710699</c:v>
                </c:pt>
                <c:pt idx="12">
                  <c:v>16.935203047845299</c:v>
                </c:pt>
                <c:pt idx="13">
                  <c:v>16.1815908115742</c:v>
                </c:pt>
                <c:pt idx="14">
                  <c:v>15.2117951357442</c:v>
                </c:pt>
                <c:pt idx="15">
                  <c:v>14.2264052752626</c:v>
                </c:pt>
                <c:pt idx="16">
                  <c:v>13.425155468884199</c:v>
                </c:pt>
                <c:pt idx="17">
                  <c:v>12.8947549373759</c:v>
                </c:pt>
                <c:pt idx="18">
                  <c:v>12.5568877746314</c:v>
                </c:pt>
                <c:pt idx="19">
                  <c:v>12.291913024667901</c:v>
                </c:pt>
                <c:pt idx="20">
                  <c:v>11.9681581021923</c:v>
                </c:pt>
                <c:pt idx="21">
                  <c:v>11.5205241270762</c:v>
                </c:pt>
                <c:pt idx="22">
                  <c:v>10.953753701102199</c:v>
                </c:pt>
                <c:pt idx="23">
                  <c:v>10.353817750107099</c:v>
                </c:pt>
                <c:pt idx="24">
                  <c:v>9.8340878318438705</c:v>
                </c:pt>
                <c:pt idx="25">
                  <c:v>9.4519592591198194</c:v>
                </c:pt>
                <c:pt idx="26">
                  <c:v>9.1945267359349199</c:v>
                </c:pt>
                <c:pt idx="27">
                  <c:v>8.9894037939609603</c:v>
                </c:pt>
                <c:pt idx="28">
                  <c:v>8.7789676232971701</c:v>
                </c:pt>
                <c:pt idx="29">
                  <c:v>8.5285418076977706</c:v>
                </c:pt>
                <c:pt idx="30">
                  <c:v>8.2392594402240604</c:v>
                </c:pt>
                <c:pt idx="31">
                  <c:v>7.9417420863566397</c:v>
                </c:pt>
                <c:pt idx="32">
                  <c:v>7.6799617281351198</c:v>
                </c:pt>
                <c:pt idx="33">
                  <c:v>7.4852190447250804</c:v>
                </c:pt>
                <c:pt idx="34">
                  <c:v>7.3535596176375799</c:v>
                </c:pt>
                <c:pt idx="35">
                  <c:v>7.26758806495355</c:v>
                </c:pt>
                <c:pt idx="36">
                  <c:v>7.2251907922111096</c:v>
                </c:pt>
                <c:pt idx="37">
                  <c:v>7.2342932817950203</c:v>
                </c:pt>
                <c:pt idx="38">
                  <c:v>7.3159899841796303</c:v>
                </c:pt>
                <c:pt idx="39">
                  <c:v>7.4718467769394401</c:v>
                </c:pt>
                <c:pt idx="40">
                  <c:v>7.6511398614512602</c:v>
                </c:pt>
                <c:pt idx="41">
                  <c:v>7.8065511120074298</c:v>
                </c:pt>
                <c:pt idx="42">
                  <c:v>7.9199661848192697</c:v>
                </c:pt>
                <c:pt idx="43">
                  <c:v>7.9545114506178098</c:v>
                </c:pt>
                <c:pt idx="44">
                  <c:v>7.91460721684515</c:v>
                </c:pt>
                <c:pt idx="45">
                  <c:v>7.8140654506171598</c:v>
                </c:pt>
                <c:pt idx="46">
                  <c:v>7.6720971937019096</c:v>
                </c:pt>
                <c:pt idx="47">
                  <c:v>7.5089592163498002</c:v>
                </c:pt>
              </c:numCache>
            </c:numRef>
          </c:val>
          <c:smooth val="0"/>
          <c:extLst>
            <c:ext xmlns:c16="http://schemas.microsoft.com/office/drawing/2014/chart" uri="{C3380CC4-5D6E-409C-BE32-E72D297353CC}">
              <c16:uniqueId val="{00000007-5D53-4746-B2BF-7F9AB69867BF}"/>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sz="550"/>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1057024025842924"/>
          <c:y val="0.95025270890821878"/>
          <c:w val="0.80600460327074497"/>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46"/>
              <c:layout>
                <c:manualLayout>
                  <c:x val="-3.7834528076464949E-3"/>
                  <c:y val="6.656184486373104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67-4410-821D-3AF718A717E6}"/>
                </c:ext>
              </c:extLst>
            </c:dLbl>
            <c:dLbl>
              <c:idx val="4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67-4410-821D-3AF718A717E6}"/>
                </c:ext>
              </c:extLst>
            </c:dLbl>
            <c:dLbl>
              <c:idx val="54"/>
              <c:layout>
                <c:manualLayout>
                  <c:x val="-4.0064582845670592E-3"/>
                  <c:y val="-6.04858922894974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67-4410-821D-3AF718A717E6}"/>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67-4410-821D-3AF718A717E6}"/>
                </c:ext>
              </c:extLst>
            </c:dLbl>
            <c:dLbl>
              <c:idx val="58"/>
              <c:layout>
                <c:manualLayout>
                  <c:x val="-7.5866188769414577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67-4410-821D-3AF718A717E6}"/>
                </c:ext>
              </c:extLst>
            </c:dLbl>
            <c:dLbl>
              <c:idx val="59"/>
              <c:layout>
                <c:manualLayout>
                  <c:x val="0"/>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F67-4410-821D-3AF718A717E6}"/>
                </c:ext>
              </c:extLst>
            </c:dLbl>
            <c:spPr>
              <a:noFill/>
              <a:ln>
                <a:noFill/>
              </a:ln>
              <a:effectLst/>
            </c:spPr>
            <c:txPr>
              <a:bodyPr rot="-5400000" vert="horz" wrap="square" lIns="0" tIns="0" rIns="0" bIns="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a:noFill/>
                    </a:ln>
                  </c:spPr>
                </c15:leaderLines>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Datos!$G$186:$G$233</c:f>
              <c:numCache>
                <c:formatCode>_(* #,##0.0_);_(* \(#,##0.0\);_(* "-"??_);_(@_)</c:formatCode>
                <c:ptCount val="48"/>
                <c:pt idx="0">
                  <c:v>3.6577477413313502</c:v>
                </c:pt>
                <c:pt idx="1">
                  <c:v>3.6530505992858</c:v>
                </c:pt>
                <c:pt idx="2">
                  <c:v>3.3088242864408399</c:v>
                </c:pt>
                <c:pt idx="3">
                  <c:v>4.6761135701210099</c:v>
                </c:pt>
                <c:pt idx="4">
                  <c:v>4.2629264771639503</c:v>
                </c:pt>
                <c:pt idx="5">
                  <c:v>5.4807205898036297</c:v>
                </c:pt>
                <c:pt idx="6">
                  <c:v>5.0098458067748304</c:v>
                </c:pt>
                <c:pt idx="7">
                  <c:v>4.91541462130097</c:v>
                </c:pt>
                <c:pt idx="8">
                  <c:v>4.8058932860367802</c:v>
                </c:pt>
                <c:pt idx="9">
                  <c:v>4.6030134212663896</c:v>
                </c:pt>
                <c:pt idx="10">
                  <c:v>4.5127249092260104</c:v>
                </c:pt>
                <c:pt idx="11">
                  <c:v>4.02159765200068</c:v>
                </c:pt>
                <c:pt idx="12">
                  <c:v>4.5417099383170596</c:v>
                </c:pt>
                <c:pt idx="13">
                  <c:v>4.53478950893009</c:v>
                </c:pt>
                <c:pt idx="14">
                  <c:v>4.4580528023597203</c:v>
                </c:pt>
                <c:pt idx="15">
                  <c:v>4.6643243233986498</c:v>
                </c:pt>
                <c:pt idx="16">
                  <c:v>4.05249487778726</c:v>
                </c:pt>
                <c:pt idx="17">
                  <c:v>4.0235909620068897</c:v>
                </c:pt>
                <c:pt idx="18">
                  <c:v>4.0701611252757397</c:v>
                </c:pt>
                <c:pt idx="19">
                  <c:v>4.0189631460437099</c:v>
                </c:pt>
                <c:pt idx="20">
                  <c:v>3.9351073153264902</c:v>
                </c:pt>
                <c:pt idx="21">
                  <c:v>3.8547047682129101</c:v>
                </c:pt>
                <c:pt idx="22">
                  <c:v>3.8044238088280098</c:v>
                </c:pt>
                <c:pt idx="23">
                  <c:v>3.7375555575357602</c:v>
                </c:pt>
                <c:pt idx="24">
                  <c:v>3.57823018380578</c:v>
                </c:pt>
                <c:pt idx="25">
                  <c:v>3.8528323755393701</c:v>
                </c:pt>
                <c:pt idx="26">
                  <c:v>3.4447299079480498</c:v>
                </c:pt>
                <c:pt idx="27">
                  <c:v>3.0529405243499701</c:v>
                </c:pt>
                <c:pt idx="28">
                  <c:v>3.3021180337489802</c:v>
                </c:pt>
                <c:pt idx="29">
                  <c:v>3.3676455966310201</c:v>
                </c:pt>
                <c:pt idx="30">
                  <c:v>3.1682231125824201</c:v>
                </c:pt>
                <c:pt idx="31">
                  <c:v>3.2699669308780202</c:v>
                </c:pt>
                <c:pt idx="32">
                  <c:v>3.1478201635102998</c:v>
                </c:pt>
                <c:pt idx="33">
                  <c:v>3.2155081057105099</c:v>
                </c:pt>
                <c:pt idx="34">
                  <c:v>2.9928001094730501</c:v>
                </c:pt>
                <c:pt idx="35">
                  <c:v>2.9439708423297901</c:v>
                </c:pt>
                <c:pt idx="36">
                  <c:v>2.9018415115401499</c:v>
                </c:pt>
                <c:pt idx="37">
                  <c:v>2.7988909575063299</c:v>
                </c:pt>
                <c:pt idx="38">
                  <c:v>2.7892706457640601</c:v>
                </c:pt>
                <c:pt idx="39">
                  <c:v>2.8485945564828499</c:v>
                </c:pt>
                <c:pt idx="40">
                  <c:v>2.9498288199593801</c:v>
                </c:pt>
                <c:pt idx="41">
                  <c:v>2.6709567451446601</c:v>
                </c:pt>
                <c:pt idx="42">
                  <c:v>2.8804670768470602</c:v>
                </c:pt>
                <c:pt idx="43">
                  <c:v>2.7287851336160802</c:v>
                </c:pt>
                <c:pt idx="44">
                  <c:v>2.7192252502109899</c:v>
                </c:pt>
                <c:pt idx="45">
                  <c:v>2.6736448100523198</c:v>
                </c:pt>
                <c:pt idx="46">
                  <c:v>2.7999552567765802</c:v>
                </c:pt>
                <c:pt idx="47">
                  <c:v>2.7870920212715702</c:v>
                </c:pt>
              </c:numCache>
            </c:numRef>
          </c:val>
          <c:extLst>
            <c:ext xmlns:c16="http://schemas.microsoft.com/office/drawing/2014/chart" uri="{C3380CC4-5D6E-409C-BE32-E72D297353CC}">
              <c16:uniqueId val="{00000006-6F67-4410-821D-3AF718A717E6}"/>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Datos!$H$186:$H$233</c:f>
              <c:numCache>
                <c:formatCode>_(* #,##0.0_);_(* \(#,##0.0\);_(* "-"??_);_(@_)</c:formatCode>
                <c:ptCount val="48"/>
                <c:pt idx="0">
                  <c:v>3.4968783893806399</c:v>
                </c:pt>
                <c:pt idx="1">
                  <c:v>3.4649483334941098</c:v>
                </c:pt>
                <c:pt idx="2">
                  <c:v>3.4401645434833199</c:v>
                </c:pt>
                <c:pt idx="3">
                  <c:v>5.0563669563926199</c:v>
                </c:pt>
                <c:pt idx="4">
                  <c:v>5.0453205685373499</c:v>
                </c:pt>
                <c:pt idx="5">
                  <c:v>5.0217313029761002</c:v>
                </c:pt>
                <c:pt idx="6">
                  <c:v>4.9706821644047201</c:v>
                </c:pt>
                <c:pt idx="7">
                  <c:v>4.8855496647547296</c:v>
                </c:pt>
                <c:pt idx="8">
                  <c:v>4.7751385006688896</c:v>
                </c:pt>
                <c:pt idx="9">
                  <c:v>4.6670917295467103</c:v>
                </c:pt>
                <c:pt idx="10">
                  <c:v>4.5907425654517597</c:v>
                </c:pt>
                <c:pt idx="11">
                  <c:v>4.5437272963883704</c:v>
                </c:pt>
                <c:pt idx="12">
                  <c:v>4.5068540799341399</c:v>
                </c:pt>
                <c:pt idx="13">
                  <c:v>4.4576811995742398</c:v>
                </c:pt>
                <c:pt idx="14">
                  <c:v>4.3841189226379402</c:v>
                </c:pt>
                <c:pt idx="15">
                  <c:v>4.2887467471331204</c:v>
                </c:pt>
                <c:pt idx="16">
                  <c:v>4.1858869192224297</c:v>
                </c:pt>
                <c:pt idx="17">
                  <c:v>4.0944823641733503</c:v>
                </c:pt>
                <c:pt idx="18">
                  <c:v>4.0260730421039304</c:v>
                </c:pt>
                <c:pt idx="19">
                  <c:v>3.97582764572046</c:v>
                </c:pt>
                <c:pt idx="20">
                  <c:v>3.9286997682784901</c:v>
                </c:pt>
                <c:pt idx="21">
                  <c:v>3.8700110719902101</c:v>
                </c:pt>
                <c:pt idx="22">
                  <c:v>3.7943729491110698</c:v>
                </c:pt>
                <c:pt idx="23">
                  <c:v>3.7048325494443901</c:v>
                </c:pt>
                <c:pt idx="24">
                  <c:v>3.6162183202361899</c:v>
                </c:pt>
                <c:pt idx="25">
                  <c:v>3.5320207104788599</c:v>
                </c:pt>
                <c:pt idx="26">
                  <c:v>3.45555482485784</c:v>
                </c:pt>
                <c:pt idx="27">
                  <c:v>3.3882593662940002</c:v>
                </c:pt>
                <c:pt idx="28">
                  <c:v>3.3352493015030502</c:v>
                </c:pt>
                <c:pt idx="29">
                  <c:v>3.29508964843671</c:v>
                </c:pt>
                <c:pt idx="30">
                  <c:v>3.2596819810125601</c:v>
                </c:pt>
                <c:pt idx="31">
                  <c:v>3.2214880168745599</c:v>
                </c:pt>
                <c:pt idx="32">
                  <c:v>3.17406261459552</c:v>
                </c:pt>
                <c:pt idx="33">
                  <c:v>3.1109479484582998</c:v>
                </c:pt>
                <c:pt idx="34">
                  <c:v>3.0333810108478501</c:v>
                </c:pt>
                <c:pt idx="35">
                  <c:v>2.9562834558660702</c:v>
                </c:pt>
                <c:pt idx="36">
                  <c:v>2.8917355942364402</c:v>
                </c:pt>
                <c:pt idx="37">
                  <c:v>2.8504281044266402</c:v>
                </c:pt>
                <c:pt idx="38">
                  <c:v>2.8364878279002901</c:v>
                </c:pt>
                <c:pt idx="39">
                  <c:v>2.83808642643656</c:v>
                </c:pt>
                <c:pt idx="40">
                  <c:v>2.8383160345060601</c:v>
                </c:pt>
                <c:pt idx="41">
                  <c:v>2.8241499291808698</c:v>
                </c:pt>
                <c:pt idx="42">
                  <c:v>2.7991788605239001</c:v>
                </c:pt>
                <c:pt idx="43">
                  <c:v>2.7702398730794102</c:v>
                </c:pt>
                <c:pt idx="44">
                  <c:v>2.7483751448228499</c:v>
                </c:pt>
                <c:pt idx="45">
                  <c:v>2.7427906045074399</c:v>
                </c:pt>
                <c:pt idx="46">
                  <c:v>2.7493914265267199</c:v>
                </c:pt>
                <c:pt idx="47">
                  <c:v>2.7558302172894198</c:v>
                </c:pt>
              </c:numCache>
            </c:numRef>
          </c:val>
          <c:smooth val="0"/>
          <c:extLst>
            <c:ext xmlns:c16="http://schemas.microsoft.com/office/drawing/2014/chart" uri="{C3380CC4-5D6E-409C-BE32-E72D297353CC}">
              <c16:uniqueId val="{00000007-6F67-4410-821D-3AF718A717E6}"/>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8888"/>
        <c:crosses val="autoZero"/>
        <c:auto val="1"/>
        <c:lblAlgn val="ctr"/>
        <c:lblOffset val="0"/>
        <c:tickLblSkip val="1"/>
        <c:tickMarkSkip val="12"/>
        <c:noMultiLvlLbl val="1"/>
      </c:catAx>
      <c:valAx>
        <c:axId val="523528888"/>
        <c:scaling>
          <c:orientation val="minMax"/>
          <c:max val="6"/>
          <c:min val="1"/>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493892201665549"/>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46"/>
              <c:layout>
                <c:manualLayout>
                  <c:x val="-3.7934181304260044E-3"/>
                  <c:y val="1.28972124566456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C8-4C1D-9C37-CBDEF1594A62}"/>
                </c:ext>
              </c:extLst>
            </c:dLbl>
            <c:dLbl>
              <c:idx val="47"/>
              <c:layout>
                <c:manualLayout>
                  <c:x val="-1.5042561269783622E-16"/>
                  <c:y val="2.00066688896297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C8-4C1D-9C37-CBDEF1594A62}"/>
                </c:ext>
              </c:extLst>
            </c:dLbl>
            <c:dLbl>
              <c:idx val="54"/>
              <c:layout>
                <c:manualLayout>
                  <c:x val="-4.0635409824106268E-3"/>
                  <c:y val="-6.052082745980876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C8-4C1D-9C37-CBDEF1594A62}"/>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C8-4C1D-9C37-CBDEF1594A62}"/>
                </c:ext>
              </c:extLst>
            </c:dLbl>
            <c:dLbl>
              <c:idx val="58"/>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3C8-4C1D-9C37-CBDEF1594A6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3C8-4C1D-9C37-CBDEF1594A62}"/>
                </c:ext>
              </c:extLst>
            </c:dLbl>
            <c:spPr>
              <a:noFill/>
              <a:ln>
                <a:noFill/>
              </a:ln>
              <a:effectLst/>
            </c:spPr>
            <c:txPr>
              <a:bodyPr rot="-5400000" vert="horz" wrap="square" lIns="0" tIns="0" rIns="0" bIns="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a:noFill/>
                    </a:ln>
                  </c:spPr>
                </c15:leaderLines>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Datos!$I$186:$I$233</c:f>
              <c:numCache>
                <c:formatCode>_(* #,##0.0_);_(* \(#,##0.0\);_(* "-"??_);_(@_)</c:formatCode>
                <c:ptCount val="48"/>
                <c:pt idx="0">
                  <c:v>4.2553639941529298</c:v>
                </c:pt>
                <c:pt idx="1">
                  <c:v>4.6533539194434503</c:v>
                </c:pt>
                <c:pt idx="2">
                  <c:v>4.1031466523222697</c:v>
                </c:pt>
                <c:pt idx="3">
                  <c:v>5.1342917080824799</c:v>
                </c:pt>
                <c:pt idx="4">
                  <c:v>5.3943025950463603</c:v>
                </c:pt>
                <c:pt idx="5">
                  <c:v>6.4454789016520104</c:v>
                </c:pt>
                <c:pt idx="6">
                  <c:v>6.3116153499404204</c:v>
                </c:pt>
                <c:pt idx="7">
                  <c:v>6.2054010724742703</c:v>
                </c:pt>
                <c:pt idx="8">
                  <c:v>6.1332976233421901</c:v>
                </c:pt>
                <c:pt idx="9">
                  <c:v>5.9070034584076598</c:v>
                </c:pt>
                <c:pt idx="10">
                  <c:v>5.8764406661028703</c:v>
                </c:pt>
                <c:pt idx="11">
                  <c:v>5.1888673945985504</c:v>
                </c:pt>
                <c:pt idx="12">
                  <c:v>6.3664791833516299</c:v>
                </c:pt>
                <c:pt idx="13">
                  <c:v>5.5768728896579498</c:v>
                </c:pt>
                <c:pt idx="14">
                  <c:v>5.7551886335077702</c:v>
                </c:pt>
                <c:pt idx="15">
                  <c:v>5.7621930705049902</c:v>
                </c:pt>
                <c:pt idx="16">
                  <c:v>5.2508492203453896</c:v>
                </c:pt>
                <c:pt idx="17">
                  <c:v>5.2353181663940402</c:v>
                </c:pt>
                <c:pt idx="18">
                  <c:v>5.3873640378566199</c:v>
                </c:pt>
                <c:pt idx="19">
                  <c:v>5.25340082860619</c:v>
                </c:pt>
                <c:pt idx="20">
                  <c:v>5.1988012627747597</c:v>
                </c:pt>
                <c:pt idx="21">
                  <c:v>4.9415113161086701</c:v>
                </c:pt>
                <c:pt idx="22">
                  <c:v>4.7954348565134497</c:v>
                </c:pt>
                <c:pt idx="23">
                  <c:v>4.8108936358697596</c:v>
                </c:pt>
                <c:pt idx="24">
                  <c:v>4.8246743112888302</c:v>
                </c:pt>
                <c:pt idx="25">
                  <c:v>5.3058661081168799</c:v>
                </c:pt>
                <c:pt idx="26">
                  <c:v>4.3986467315361697</c:v>
                </c:pt>
                <c:pt idx="27">
                  <c:v>3.8929103900305599</c:v>
                </c:pt>
                <c:pt idx="28">
                  <c:v>4.2155534516906501</c:v>
                </c:pt>
                <c:pt idx="29">
                  <c:v>4.3661464526976799</c:v>
                </c:pt>
                <c:pt idx="30">
                  <c:v>4.0591714174754099</c:v>
                </c:pt>
                <c:pt idx="31">
                  <c:v>4.04740274094934</c:v>
                </c:pt>
                <c:pt idx="32">
                  <c:v>3.8990543680627199</c:v>
                </c:pt>
                <c:pt idx="33">
                  <c:v>4.1355044321907304</c:v>
                </c:pt>
                <c:pt idx="34">
                  <c:v>3.7903213167916401</c:v>
                </c:pt>
                <c:pt idx="35">
                  <c:v>3.8407849139645802</c:v>
                </c:pt>
                <c:pt idx="36">
                  <c:v>3.5954748238219998</c:v>
                </c:pt>
                <c:pt idx="37">
                  <c:v>3.430097052577</c:v>
                </c:pt>
                <c:pt idx="38">
                  <c:v>3.3940782063306401</c:v>
                </c:pt>
                <c:pt idx="39">
                  <c:v>3.5623909663967601</c:v>
                </c:pt>
                <c:pt idx="40">
                  <c:v>3.4256726590231499</c:v>
                </c:pt>
                <c:pt idx="41">
                  <c:v>3.26804871476355</c:v>
                </c:pt>
                <c:pt idx="42">
                  <c:v>3.4643265922780699</c:v>
                </c:pt>
                <c:pt idx="43">
                  <c:v>3.34063904714897</c:v>
                </c:pt>
                <c:pt idx="44">
                  <c:v>3.3567065408995198</c:v>
                </c:pt>
                <c:pt idx="45">
                  <c:v>3.2695786446275901</c:v>
                </c:pt>
                <c:pt idx="46">
                  <c:v>3.3595736187277798</c:v>
                </c:pt>
                <c:pt idx="47">
                  <c:v>3.29836772244427</c:v>
                </c:pt>
              </c:numCache>
            </c:numRef>
          </c:val>
          <c:extLst>
            <c:ext xmlns:c16="http://schemas.microsoft.com/office/drawing/2014/chart" uri="{C3380CC4-5D6E-409C-BE32-E72D297353CC}">
              <c16:uniqueId val="{00000006-03C8-4C1D-9C37-CBDEF1594A62}"/>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Datos!$J$186:$J$233</c:f>
              <c:numCache>
                <c:formatCode>_(* #,##0.0_);_(* \(#,##0.0\);_(* "-"??_);_(@_)</c:formatCode>
                <c:ptCount val="48"/>
                <c:pt idx="0">
                  <c:v>4.2359130150894799</c:v>
                </c:pt>
                <c:pt idx="1">
                  <c:v>4.2010680698535801</c:v>
                </c:pt>
                <c:pt idx="2">
                  <c:v>4.1684793607845698</c:v>
                </c:pt>
                <c:pt idx="3">
                  <c:v>5.29622020698997</c:v>
                </c:pt>
                <c:pt idx="4">
                  <c:v>5.28602941434111</c:v>
                </c:pt>
                <c:pt idx="5">
                  <c:v>6.3546987112910003</c:v>
                </c:pt>
                <c:pt idx="6">
                  <c:v>6.3017427528610099</c:v>
                </c:pt>
                <c:pt idx="7">
                  <c:v>6.21857590205859</c:v>
                </c:pt>
                <c:pt idx="8">
                  <c:v>6.1030589678444001</c:v>
                </c:pt>
                <c:pt idx="9">
                  <c:v>5.9722755956522198</c:v>
                </c:pt>
                <c:pt idx="10">
                  <c:v>5.8651178228311203</c:v>
                </c:pt>
                <c:pt idx="11">
                  <c:v>5.7945915147321996</c:v>
                </c:pt>
                <c:pt idx="12">
                  <c:v>5.7395559994361296</c:v>
                </c:pt>
                <c:pt idx="13">
                  <c:v>5.6847188732931704</c:v>
                </c:pt>
                <c:pt idx="14">
                  <c:v>5.6197105843301198</c:v>
                </c:pt>
                <c:pt idx="15">
                  <c:v>5.5446233369830003</c:v>
                </c:pt>
                <c:pt idx="16">
                  <c:v>5.4638588146154898</c:v>
                </c:pt>
                <c:pt idx="17">
                  <c:v>5.3796771724124701</c:v>
                </c:pt>
                <c:pt idx="18">
                  <c:v>5.2886836426522601</c:v>
                </c:pt>
                <c:pt idx="19">
                  <c:v>5.1950079972765701</c:v>
                </c:pt>
                <c:pt idx="20">
                  <c:v>5.1050009005274202</c:v>
                </c:pt>
                <c:pt idx="21">
                  <c:v>5.0157914972344297</c:v>
                </c:pt>
                <c:pt idx="22">
                  <c:v>4.9169981837999996</c:v>
                </c:pt>
                <c:pt idx="23">
                  <c:v>4.8065931003663804</c:v>
                </c:pt>
                <c:pt idx="24">
                  <c:v>4.6998598145338297</c:v>
                </c:pt>
                <c:pt idx="25">
                  <c:v>4.5944546137502504</c:v>
                </c:pt>
                <c:pt idx="26">
                  <c:v>4.4863495752805198</c:v>
                </c:pt>
                <c:pt idx="27">
                  <c:v>4.37350314365092</c:v>
                </c:pt>
                <c:pt idx="28">
                  <c:v>4.2674798533083598</c:v>
                </c:pt>
                <c:pt idx="29">
                  <c:v>4.1794624022441598</c:v>
                </c:pt>
                <c:pt idx="30">
                  <c:v>4.1132492351905396</c:v>
                </c:pt>
                <c:pt idx="31">
                  <c:v>4.0597491499301901</c:v>
                </c:pt>
                <c:pt idx="32">
                  <c:v>4.0031232973210198</c:v>
                </c:pt>
                <c:pt idx="33">
                  <c:v>3.9301481150368298</c:v>
                </c:pt>
                <c:pt idx="34">
                  <c:v>3.8388178000797901</c:v>
                </c:pt>
                <c:pt idx="35">
                  <c:v>3.7359289787054801</c:v>
                </c:pt>
                <c:pt idx="36">
                  <c:v>3.62786471314715</c:v>
                </c:pt>
                <c:pt idx="37">
                  <c:v>3.5275080737951301</c:v>
                </c:pt>
                <c:pt idx="38">
                  <c:v>3.4525586684440901</c:v>
                </c:pt>
                <c:pt idx="39">
                  <c:v>3.40939620134932</c:v>
                </c:pt>
                <c:pt idx="40">
                  <c:v>3.39029360789851</c:v>
                </c:pt>
                <c:pt idx="41">
                  <c:v>3.37929569697235</c:v>
                </c:pt>
                <c:pt idx="42">
                  <c:v>3.3702316121420202</c:v>
                </c:pt>
                <c:pt idx="43">
                  <c:v>3.3543205481562999</c:v>
                </c:pt>
                <c:pt idx="44">
                  <c:v>3.3382945809377902</c:v>
                </c:pt>
                <c:pt idx="45">
                  <c:v>3.3299510813475601</c:v>
                </c:pt>
                <c:pt idx="46">
                  <c:v>3.32510773858403</c:v>
                </c:pt>
                <c:pt idx="47">
                  <c:v>3.3161987489254199</c:v>
                </c:pt>
              </c:numCache>
            </c:numRef>
          </c:val>
          <c:smooth val="0"/>
          <c:extLst>
            <c:ext xmlns:c16="http://schemas.microsoft.com/office/drawing/2014/chart" uri="{C3380CC4-5D6E-409C-BE32-E72D297353CC}">
              <c16:uniqueId val="{00000007-03C8-4C1D-9C37-CBDEF1594A62}"/>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831736447050939"/>
          <c:y val="0.9480478363532579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46"/>
              <c:layout>
                <c:manualLayout>
                  <c:x val="-4.2716787697565147E-3"/>
                  <c:y val="-7.514315795553898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7C-491F-9B60-A1733FC8C812}"/>
                </c:ext>
              </c:extLst>
            </c:dLbl>
            <c:dLbl>
              <c:idx val="47"/>
              <c:layout>
                <c:manualLayout>
                  <c:x val="0"/>
                  <c:y val="-3.3344448149383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7C-491F-9B60-A1733FC8C812}"/>
                </c:ext>
              </c:extLst>
            </c:dLbl>
            <c:dLbl>
              <c:idx val="54"/>
              <c:layout>
                <c:manualLayout>
                  <c:x val="-4.003708632153583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7C-491F-9B60-A1733FC8C812}"/>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7C-491F-9B60-A1733FC8C812}"/>
                </c:ext>
              </c:extLst>
            </c:dLbl>
            <c:dLbl>
              <c:idx val="58"/>
              <c:layout>
                <c:manualLayout>
                  <c:x val="-3.770804000734109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7C-491F-9B60-A1733FC8C81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7C-491F-9B60-A1733FC8C812}"/>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Datos!$O$186:$O$233</c:f>
              <c:numCache>
                <c:formatCode>_(* #,##0.0_);_(* \(#,##0.0\);_(* "-"??_);_(@_)</c:formatCode>
                <c:ptCount val="48"/>
                <c:pt idx="0">
                  <c:v>56.107051860516201</c:v>
                </c:pt>
                <c:pt idx="1">
                  <c:v>56.091664358385003</c:v>
                </c:pt>
                <c:pt idx="2">
                  <c:v>55.551292764789203</c:v>
                </c:pt>
                <c:pt idx="3">
                  <c:v>48.013671665925699</c:v>
                </c:pt>
                <c:pt idx="4">
                  <c:v>51.967691348768902</c:v>
                </c:pt>
                <c:pt idx="5">
                  <c:v>53.1719726096605</c:v>
                </c:pt>
                <c:pt idx="6">
                  <c:v>54.851374450151297</c:v>
                </c:pt>
                <c:pt idx="7">
                  <c:v>54.850878899387801</c:v>
                </c:pt>
                <c:pt idx="8">
                  <c:v>54.843926970684997</c:v>
                </c:pt>
                <c:pt idx="9">
                  <c:v>55.6661223957232</c:v>
                </c:pt>
                <c:pt idx="10">
                  <c:v>56.222750227531101</c:v>
                </c:pt>
                <c:pt idx="11">
                  <c:v>55.696486611393198</c:v>
                </c:pt>
                <c:pt idx="12">
                  <c:v>55.6683032086979</c:v>
                </c:pt>
                <c:pt idx="13">
                  <c:v>55.295299974473501</c:v>
                </c:pt>
                <c:pt idx="14">
                  <c:v>56.6781645634344</c:v>
                </c:pt>
                <c:pt idx="15">
                  <c:v>55.738487827839997</c:v>
                </c:pt>
                <c:pt idx="16">
                  <c:v>55.6284838653538</c:v>
                </c:pt>
                <c:pt idx="17">
                  <c:v>55.419014449672602</c:v>
                </c:pt>
                <c:pt idx="18">
                  <c:v>56.231957915859297</c:v>
                </c:pt>
                <c:pt idx="19">
                  <c:v>56.213225269166202</c:v>
                </c:pt>
                <c:pt idx="20">
                  <c:v>56.110411118912801</c:v>
                </c:pt>
                <c:pt idx="21">
                  <c:v>55.4041176251095</c:v>
                </c:pt>
                <c:pt idx="22">
                  <c:v>55.746712919124697</c:v>
                </c:pt>
                <c:pt idx="23">
                  <c:v>56.547529768582798</c:v>
                </c:pt>
                <c:pt idx="24">
                  <c:v>55.061617667100599</c:v>
                </c:pt>
                <c:pt idx="25">
                  <c:v>54.559702669148102</c:v>
                </c:pt>
                <c:pt idx="26">
                  <c:v>55.843258661880803</c:v>
                </c:pt>
                <c:pt idx="27">
                  <c:v>55.704180176050301</c:v>
                </c:pt>
                <c:pt idx="28">
                  <c:v>55.671373995293003</c:v>
                </c:pt>
                <c:pt idx="29">
                  <c:v>55.821640225789402</c:v>
                </c:pt>
                <c:pt idx="30">
                  <c:v>55.174230574386499</c:v>
                </c:pt>
                <c:pt idx="31">
                  <c:v>55.281927730238799</c:v>
                </c:pt>
                <c:pt idx="32">
                  <c:v>55.4942008381514</c:v>
                </c:pt>
                <c:pt idx="33">
                  <c:v>55.170630758780597</c:v>
                </c:pt>
                <c:pt idx="34">
                  <c:v>54.740582640322899</c:v>
                </c:pt>
                <c:pt idx="35">
                  <c:v>55.0259573533639</c:v>
                </c:pt>
                <c:pt idx="36">
                  <c:v>55.077270671936297</c:v>
                </c:pt>
                <c:pt idx="37">
                  <c:v>55.4399929210661</c:v>
                </c:pt>
                <c:pt idx="38">
                  <c:v>55.081496537092903</c:v>
                </c:pt>
                <c:pt idx="39">
                  <c:v>54.868131121460102</c:v>
                </c:pt>
                <c:pt idx="40">
                  <c:v>55.1900863498077</c:v>
                </c:pt>
                <c:pt idx="41">
                  <c:v>55.401749342404798</c:v>
                </c:pt>
                <c:pt idx="42">
                  <c:v>55.423441556415497</c:v>
                </c:pt>
                <c:pt idx="43">
                  <c:v>55.062398382483799</c:v>
                </c:pt>
                <c:pt idx="44">
                  <c:v>54.234733885304202</c:v>
                </c:pt>
                <c:pt idx="45">
                  <c:v>55.191435563888902</c:v>
                </c:pt>
                <c:pt idx="46">
                  <c:v>54.9089992050136</c:v>
                </c:pt>
                <c:pt idx="47">
                  <c:v>53.791030430126398</c:v>
                </c:pt>
              </c:numCache>
            </c:numRef>
          </c:val>
          <c:extLst>
            <c:ext xmlns:c16="http://schemas.microsoft.com/office/drawing/2014/chart" uri="{C3380CC4-5D6E-409C-BE32-E72D297353CC}">
              <c16:uniqueId val="{00000006-C37C-491F-9B60-A1733FC8C812}"/>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Datos!$P$186:$P$233</c:f>
              <c:numCache>
                <c:formatCode>_(* #,##0.0_);_(* \(#,##0.0\);_(* "-"??_);_(@_)</c:formatCode>
                <c:ptCount val="48"/>
                <c:pt idx="0">
                  <c:v>55.871753787425902</c:v>
                </c:pt>
                <c:pt idx="1">
                  <c:v>55.750283961074601</c:v>
                </c:pt>
                <c:pt idx="2">
                  <c:v>55.617872577536303</c:v>
                </c:pt>
                <c:pt idx="3">
                  <c:v>55.486101768683703</c:v>
                </c:pt>
                <c:pt idx="4">
                  <c:v>55.368215708191798</c:v>
                </c:pt>
                <c:pt idx="5">
                  <c:v>55.276133624199304</c:v>
                </c:pt>
                <c:pt idx="6">
                  <c:v>55.219412138293698</c:v>
                </c:pt>
                <c:pt idx="7">
                  <c:v>55.200577554913203</c:v>
                </c:pt>
                <c:pt idx="8">
                  <c:v>55.215415971972199</c:v>
                </c:pt>
                <c:pt idx="9">
                  <c:v>55.259145263873002</c:v>
                </c:pt>
                <c:pt idx="10">
                  <c:v>55.329967758862402</c:v>
                </c:pt>
                <c:pt idx="11">
                  <c:v>55.418097653224599</c:v>
                </c:pt>
                <c:pt idx="12">
                  <c:v>55.512520936777896</c:v>
                </c:pt>
                <c:pt idx="13">
                  <c:v>55.605155407753301</c:v>
                </c:pt>
                <c:pt idx="14">
                  <c:v>55.688060160296303</c:v>
                </c:pt>
                <c:pt idx="15">
                  <c:v>55.753690197534397</c:v>
                </c:pt>
                <c:pt idx="16">
                  <c:v>55.7967232626794</c:v>
                </c:pt>
                <c:pt idx="17">
                  <c:v>55.817460729330499</c:v>
                </c:pt>
                <c:pt idx="18">
                  <c:v>55.818859313009199</c:v>
                </c:pt>
                <c:pt idx="19">
                  <c:v>55.807491657009002</c:v>
                </c:pt>
                <c:pt idx="20">
                  <c:v>55.787358585551701</c:v>
                </c:pt>
                <c:pt idx="21">
                  <c:v>55.759095951331602</c:v>
                </c:pt>
                <c:pt idx="22">
                  <c:v>55.7239107774516</c:v>
                </c:pt>
                <c:pt idx="23">
                  <c:v>55.688457349855597</c:v>
                </c:pt>
                <c:pt idx="24">
                  <c:v>55.655780446722403</c:v>
                </c:pt>
                <c:pt idx="25">
                  <c:v>55.626941920302997</c:v>
                </c:pt>
                <c:pt idx="26">
                  <c:v>55.5985509378595</c:v>
                </c:pt>
                <c:pt idx="27">
                  <c:v>55.566210768722797</c:v>
                </c:pt>
                <c:pt idx="28">
                  <c:v>55.528948155337801</c:v>
                </c:pt>
                <c:pt idx="29">
                  <c:v>55.483920920703298</c:v>
                </c:pt>
                <c:pt idx="30">
                  <c:v>55.426692726683598</c:v>
                </c:pt>
                <c:pt idx="31">
                  <c:v>55.3549715922451</c:v>
                </c:pt>
                <c:pt idx="32">
                  <c:v>55.276959434349202</c:v>
                </c:pt>
                <c:pt idx="33">
                  <c:v>55.205245306499599</c:v>
                </c:pt>
                <c:pt idx="34">
                  <c:v>55.149538475034603</c:v>
                </c:pt>
                <c:pt idx="35">
                  <c:v>55.114647874191697</c:v>
                </c:pt>
                <c:pt idx="36">
                  <c:v>55.103685018954302</c:v>
                </c:pt>
                <c:pt idx="37">
                  <c:v>55.112387915377397</c:v>
                </c:pt>
                <c:pt idx="38">
                  <c:v>55.131593892682702</c:v>
                </c:pt>
                <c:pt idx="39">
                  <c:v>55.153899130289197</c:v>
                </c:pt>
                <c:pt idx="40">
                  <c:v>55.171020521071</c:v>
                </c:pt>
                <c:pt idx="41">
                  <c:v>55.175285949888902</c:v>
                </c:pt>
                <c:pt idx="42">
                  <c:v>55.162564317846901</c:v>
                </c:pt>
                <c:pt idx="43">
                  <c:v>55.132090088171502</c:v>
                </c:pt>
                <c:pt idx="44">
                  <c:v>55.082707877191197</c:v>
                </c:pt>
                <c:pt idx="45">
                  <c:v>55.017449769686898</c:v>
                </c:pt>
                <c:pt idx="46">
                  <c:v>54.941655338548898</c:v>
                </c:pt>
                <c:pt idx="47">
                  <c:v>54.858270622640099</c:v>
                </c:pt>
              </c:numCache>
            </c:numRef>
          </c:val>
          <c:smooth val="0"/>
          <c:extLst>
            <c:ext xmlns:c16="http://schemas.microsoft.com/office/drawing/2014/chart" uri="{C3380CC4-5D6E-409C-BE32-E72D297353CC}">
              <c16:uniqueId val="{00000007-C37C-491F-9B60-A1733FC8C812}"/>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9.5886743332649418E-2"/>
          <c:y val="0.94804777445500221"/>
          <c:w val="0.81736185155411767"/>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46"/>
              <c:layout>
                <c:manualLayout>
                  <c:x val="-4.2716787697566708E-3"/>
                  <c:y val="7.45655375938958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B3D-46E5-A00A-B7E4B4D604DF}"/>
                </c:ext>
              </c:extLst>
            </c:dLbl>
            <c:dLbl>
              <c:idx val="47"/>
              <c:layout>
                <c:manualLayout>
                  <c:x val="-1.380112947222486E-16"/>
                  <c:y val="-5.76567160489966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B3D-46E5-A00A-B7E4B4D604DF}"/>
                </c:ext>
              </c:extLst>
            </c:dLbl>
            <c:dLbl>
              <c:idx val="54"/>
              <c:layout>
                <c:manualLayout>
                  <c:x val="-4.0635149788521242E-3"/>
                  <c:y val="-3.02085574008840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B3D-46E5-A00A-B7E4B4D604DF}"/>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B3D-46E5-A00A-B7E4B4D604DF}"/>
                </c:ext>
              </c:extLst>
            </c:dLbl>
            <c:dLbl>
              <c:idx val="58"/>
              <c:layout>
                <c:manualLayout>
                  <c:x val="-3.76521986363988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B3D-46E5-A00A-B7E4B4D604DF}"/>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B3D-46E5-A00A-B7E4B4D604DF}"/>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Datos!$Q$186:$Q$233</c:f>
              <c:numCache>
                <c:formatCode>_(* #,##0.0_);_(* \(#,##0.0\);_(* "-"??_);_(@_)</c:formatCode>
                <c:ptCount val="48"/>
                <c:pt idx="0">
                  <c:v>45.706701301558397</c:v>
                </c:pt>
                <c:pt idx="1">
                  <c:v>45.449949842388399</c:v>
                </c:pt>
                <c:pt idx="2">
                  <c:v>44.805268589585502</c:v>
                </c:pt>
                <c:pt idx="3">
                  <c:v>37.034100928482303</c:v>
                </c:pt>
                <c:pt idx="4">
                  <c:v>38.469739816597297</c:v>
                </c:pt>
                <c:pt idx="5">
                  <c:v>38.349893099728</c:v>
                </c:pt>
                <c:pt idx="6">
                  <c:v>43.126839922289903</c:v>
                </c:pt>
                <c:pt idx="7">
                  <c:v>43.415746920091202</c:v>
                </c:pt>
                <c:pt idx="8">
                  <c:v>43.440364939652497</c:v>
                </c:pt>
                <c:pt idx="9">
                  <c:v>44.624471074880702</c:v>
                </c:pt>
                <c:pt idx="10">
                  <c:v>45.319760211239199</c:v>
                </c:pt>
                <c:pt idx="11">
                  <c:v>45.188420605992</c:v>
                </c:pt>
                <c:pt idx="12">
                  <c:v>44.962594974471102</c:v>
                </c:pt>
                <c:pt idx="13">
                  <c:v>44.350033970953</c:v>
                </c:pt>
                <c:pt idx="14">
                  <c:v>45.751652568101598</c:v>
                </c:pt>
                <c:pt idx="15">
                  <c:v>45.6252878918934</c:v>
                </c:pt>
                <c:pt idx="16">
                  <c:v>45.423662362199501</c:v>
                </c:pt>
                <c:pt idx="17">
                  <c:v>45.438576555966101</c:v>
                </c:pt>
                <c:pt idx="18">
                  <c:v>45.804838643519503</c:v>
                </c:pt>
                <c:pt idx="19">
                  <c:v>45.923089068066801</c:v>
                </c:pt>
                <c:pt idx="20">
                  <c:v>46.327985129127804</c:v>
                </c:pt>
                <c:pt idx="21">
                  <c:v>44.993503939423199</c:v>
                </c:pt>
                <c:pt idx="22">
                  <c:v>45.314688317529097</c:v>
                </c:pt>
                <c:pt idx="23">
                  <c:v>45.8481512121256</c:v>
                </c:pt>
                <c:pt idx="24">
                  <c:v>43.409261319286202</c:v>
                </c:pt>
                <c:pt idx="25">
                  <c:v>44.290465380462599</c:v>
                </c:pt>
                <c:pt idx="26">
                  <c:v>44.420015578980802</c:v>
                </c:pt>
                <c:pt idx="27">
                  <c:v>45.185087179426702</c:v>
                </c:pt>
                <c:pt idx="28">
                  <c:v>45.1781860242981</c:v>
                </c:pt>
                <c:pt idx="29">
                  <c:v>44.822655984924303</c:v>
                </c:pt>
                <c:pt idx="30">
                  <c:v>44.596668910829599</c:v>
                </c:pt>
                <c:pt idx="31">
                  <c:v>45.046588708140497</c:v>
                </c:pt>
                <c:pt idx="32">
                  <c:v>44.4950735346427</c:v>
                </c:pt>
                <c:pt idx="33">
                  <c:v>44.387953180026599</c:v>
                </c:pt>
                <c:pt idx="34">
                  <c:v>44.278603261528602</c:v>
                </c:pt>
                <c:pt idx="35">
                  <c:v>44.178855222226098</c:v>
                </c:pt>
                <c:pt idx="36">
                  <c:v>44.358152621692199</c:v>
                </c:pt>
                <c:pt idx="37">
                  <c:v>45.111050857682002</c:v>
                </c:pt>
                <c:pt idx="38">
                  <c:v>44.8454942530146</c:v>
                </c:pt>
                <c:pt idx="39">
                  <c:v>43.205850198643198</c:v>
                </c:pt>
                <c:pt idx="40">
                  <c:v>44.974796803160899</c:v>
                </c:pt>
                <c:pt idx="41">
                  <c:v>45.158286569441998</c:v>
                </c:pt>
                <c:pt idx="42">
                  <c:v>45.215020269404498</c:v>
                </c:pt>
                <c:pt idx="43">
                  <c:v>44.432487250462998</c:v>
                </c:pt>
                <c:pt idx="44">
                  <c:v>44.378765133991401</c:v>
                </c:pt>
                <c:pt idx="45">
                  <c:v>44.610871195490603</c:v>
                </c:pt>
                <c:pt idx="46">
                  <c:v>44.370730299797003</c:v>
                </c:pt>
                <c:pt idx="47">
                  <c:v>42.584371207293799</c:v>
                </c:pt>
              </c:numCache>
            </c:numRef>
          </c:val>
          <c:extLst>
            <c:ext xmlns:c16="http://schemas.microsoft.com/office/drawing/2014/chart" uri="{C3380CC4-5D6E-409C-BE32-E72D297353CC}">
              <c16:uniqueId val="{00000006-FB3D-46E5-A00A-B7E4B4D604DF}"/>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Datos!$R$186:$R$233</c:f>
              <c:numCache>
                <c:formatCode>_(* #,##0.0_);_(* \(#,##0.0\);_(* "-"??_);_(@_)</c:formatCode>
                <c:ptCount val="48"/>
                <c:pt idx="0">
                  <c:v>45.311159494923103</c:v>
                </c:pt>
                <c:pt idx="1">
                  <c:v>45.063688431116098</c:v>
                </c:pt>
                <c:pt idx="2">
                  <c:v>44.798631307039599</c:v>
                </c:pt>
                <c:pt idx="3">
                  <c:v>44.542000169757898</c:v>
                </c:pt>
                <c:pt idx="4">
                  <c:v>44.323524754717198</c:v>
                </c:pt>
                <c:pt idx="5">
                  <c:v>44.166336517405703</c:v>
                </c:pt>
                <c:pt idx="6">
                  <c:v>44.088359368049296</c:v>
                </c:pt>
                <c:pt idx="7">
                  <c:v>44.099029213821197</c:v>
                </c:pt>
                <c:pt idx="8">
                  <c:v>44.192487209786798</c:v>
                </c:pt>
                <c:pt idx="9">
                  <c:v>44.353459384828298</c:v>
                </c:pt>
                <c:pt idx="10">
                  <c:v>44.5663438550284</c:v>
                </c:pt>
                <c:pt idx="11">
                  <c:v>44.807492522736801</c:v>
                </c:pt>
                <c:pt idx="12">
                  <c:v>45.049125239587099</c:v>
                </c:pt>
                <c:pt idx="13">
                  <c:v>45.266852128766502</c:v>
                </c:pt>
                <c:pt idx="14">
                  <c:v>45.446592878792899</c:v>
                </c:pt>
                <c:pt idx="15">
                  <c:v>45.579296461259403</c:v>
                </c:pt>
                <c:pt idx="16">
                  <c:v>45.656275381263299</c:v>
                </c:pt>
                <c:pt idx="17">
                  <c:v>45.676382810398401</c:v>
                </c:pt>
                <c:pt idx="18">
                  <c:v>45.647121492205898</c:v>
                </c:pt>
                <c:pt idx="19">
                  <c:v>45.580547947286398</c:v>
                </c:pt>
                <c:pt idx="20">
                  <c:v>45.485152473541902</c:v>
                </c:pt>
                <c:pt idx="21">
                  <c:v>45.370081051362803</c:v>
                </c:pt>
                <c:pt idx="22">
                  <c:v>45.245271992964199</c:v>
                </c:pt>
                <c:pt idx="23">
                  <c:v>45.123868645170198</c:v>
                </c:pt>
                <c:pt idx="24">
                  <c:v>45.017898476970302</c:v>
                </c:pt>
                <c:pt idx="25">
                  <c:v>44.933015372623501</c:v>
                </c:pt>
                <c:pt idx="26">
                  <c:v>44.864404960822498</c:v>
                </c:pt>
                <c:pt idx="27">
                  <c:v>44.806646994793702</c:v>
                </c:pt>
                <c:pt idx="28">
                  <c:v>44.7576350197265</c:v>
                </c:pt>
                <c:pt idx="29">
                  <c:v>44.713617334451598</c:v>
                </c:pt>
                <c:pt idx="30">
                  <c:v>44.6695638490703</c:v>
                </c:pt>
                <c:pt idx="31">
                  <c:v>44.623090888980002</c:v>
                </c:pt>
                <c:pt idx="32">
                  <c:v>44.581477060235997</c:v>
                </c:pt>
                <c:pt idx="33">
                  <c:v>44.555546053976101</c:v>
                </c:pt>
                <c:pt idx="34">
                  <c:v>44.553085916248101</c:v>
                </c:pt>
                <c:pt idx="35">
                  <c:v>44.575224037036698</c:v>
                </c:pt>
                <c:pt idx="36">
                  <c:v>44.6230680111453</c:v>
                </c:pt>
                <c:pt idx="37">
                  <c:v>44.692155970519103</c:v>
                </c:pt>
                <c:pt idx="38">
                  <c:v>44.770218098981701</c:v>
                </c:pt>
                <c:pt idx="39">
                  <c:v>44.838476819697398</c:v>
                </c:pt>
                <c:pt idx="40">
                  <c:v>44.878513694373403</c:v>
                </c:pt>
                <c:pt idx="41">
                  <c:v>44.878044987401402</c:v>
                </c:pt>
                <c:pt idx="42">
                  <c:v>44.829883522388101</c:v>
                </c:pt>
                <c:pt idx="43">
                  <c:v>44.732125111460199</c:v>
                </c:pt>
                <c:pt idx="44">
                  <c:v>44.588918197005498</c:v>
                </c:pt>
                <c:pt idx="45">
                  <c:v>44.4133804726957</c:v>
                </c:pt>
                <c:pt idx="46">
                  <c:v>44.221075294732501</c:v>
                </c:pt>
                <c:pt idx="47">
                  <c:v>44.0288593209116</c:v>
                </c:pt>
              </c:numCache>
            </c:numRef>
          </c:val>
          <c:smooth val="0"/>
          <c:extLst>
            <c:ext xmlns:c16="http://schemas.microsoft.com/office/drawing/2014/chart" uri="{C3380CC4-5D6E-409C-BE32-E72D297353CC}">
              <c16:uniqueId val="{00000007-FB3D-46E5-A00A-B7E4B4D604DF}"/>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9.5494556132213498E-2"/>
          <c:y val="0.94804777445500221"/>
          <c:w val="0.8130901727843609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46"/>
              <c:layout>
                <c:manualLayout>
                  <c:x val="-3.7325054573218927E-3"/>
                  <c:y val="6.42523885914727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D3E-471F-AC9B-94E9A92706C4}"/>
                </c:ext>
              </c:extLst>
            </c:dLbl>
            <c:dLbl>
              <c:idx val="4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D3E-471F-AC9B-94E9A92706C4}"/>
                </c:ext>
              </c:extLst>
            </c:dLbl>
            <c:dLbl>
              <c:idx val="54"/>
              <c:layout>
                <c:manualLayout>
                  <c:x val="-4.026724769874264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D3E-471F-AC9B-94E9A92706C4}"/>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D3E-471F-AC9B-94E9A92706C4}"/>
                </c:ext>
              </c:extLst>
            </c:dLbl>
            <c:dLbl>
              <c:idx val="58"/>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D3E-471F-AC9B-94E9A92706C4}"/>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D3E-471F-AC9B-94E9A92706C4}"/>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Datos!$S$186:$S$233</c:f>
              <c:numCache>
                <c:formatCode>_(* #,##0.0_);_(* \(#,##0.0\);_(* "-"??_);_(@_)</c:formatCode>
                <c:ptCount val="48"/>
                <c:pt idx="0">
                  <c:v>27.664677092088301</c:v>
                </c:pt>
                <c:pt idx="1">
                  <c:v>27.232951689074401</c:v>
                </c:pt>
                <c:pt idx="2">
                  <c:v>26.901433123173</c:v>
                </c:pt>
                <c:pt idx="3">
                  <c:v>20.537538534120301</c:v>
                </c:pt>
                <c:pt idx="4">
                  <c:v>23.621591893928802</c:v>
                </c:pt>
                <c:pt idx="5">
                  <c:v>24.8078766629732</c:v>
                </c:pt>
                <c:pt idx="6">
                  <c:v>27.657176920193798</c:v>
                </c:pt>
                <c:pt idx="7">
                  <c:v>27.151223472592999</c:v>
                </c:pt>
                <c:pt idx="8">
                  <c:v>27.418098390373601</c:v>
                </c:pt>
                <c:pt idx="9">
                  <c:v>28.063326034585501</c:v>
                </c:pt>
                <c:pt idx="10">
                  <c:v>28.060452545072401</c:v>
                </c:pt>
                <c:pt idx="11">
                  <c:v>27.777152486966699</c:v>
                </c:pt>
                <c:pt idx="12">
                  <c:v>28.308408409938</c:v>
                </c:pt>
                <c:pt idx="13">
                  <c:v>28.263470371099199</c:v>
                </c:pt>
                <c:pt idx="14">
                  <c:v>28.639026284248001</c:v>
                </c:pt>
                <c:pt idx="15">
                  <c:v>27.7460373787628</c:v>
                </c:pt>
                <c:pt idx="16">
                  <c:v>28.641641948069999</c:v>
                </c:pt>
                <c:pt idx="17">
                  <c:v>27.5801748673791</c:v>
                </c:pt>
                <c:pt idx="18">
                  <c:v>28.883691166136799</c:v>
                </c:pt>
                <c:pt idx="19">
                  <c:v>28.979644455575599</c:v>
                </c:pt>
                <c:pt idx="20">
                  <c:v>28.2127186812933</c:v>
                </c:pt>
                <c:pt idx="21">
                  <c:v>28.258677144871299</c:v>
                </c:pt>
                <c:pt idx="22">
                  <c:v>28.7964283369854</c:v>
                </c:pt>
                <c:pt idx="23">
                  <c:v>29.730206974973299</c:v>
                </c:pt>
                <c:pt idx="24">
                  <c:v>27.665572060569001</c:v>
                </c:pt>
                <c:pt idx="25">
                  <c:v>28.235854598678699</c:v>
                </c:pt>
                <c:pt idx="26">
                  <c:v>28.357548978666099</c:v>
                </c:pt>
                <c:pt idx="27">
                  <c:v>28.613127043834901</c:v>
                </c:pt>
                <c:pt idx="28">
                  <c:v>28.580138172595401</c:v>
                </c:pt>
                <c:pt idx="29">
                  <c:v>28.456174224464199</c:v>
                </c:pt>
                <c:pt idx="30">
                  <c:v>27.922533842770701</c:v>
                </c:pt>
                <c:pt idx="31">
                  <c:v>28.110252226069001</c:v>
                </c:pt>
                <c:pt idx="32">
                  <c:v>28.524037131081101</c:v>
                </c:pt>
                <c:pt idx="33">
                  <c:v>27.890430482565002</c:v>
                </c:pt>
                <c:pt idx="34">
                  <c:v>27.9730815611011</c:v>
                </c:pt>
                <c:pt idx="35">
                  <c:v>28.633317224879001</c:v>
                </c:pt>
                <c:pt idx="36">
                  <c:v>27.737175798674699</c:v>
                </c:pt>
                <c:pt idx="37">
                  <c:v>28.654799733574301</c:v>
                </c:pt>
                <c:pt idx="38">
                  <c:v>28.205851861956202</c:v>
                </c:pt>
                <c:pt idx="39">
                  <c:v>27.428332188790701</c:v>
                </c:pt>
                <c:pt idx="40">
                  <c:v>28.089849946991599</c:v>
                </c:pt>
                <c:pt idx="41">
                  <c:v>28.812102464220199</c:v>
                </c:pt>
                <c:pt idx="42">
                  <c:v>28.259599463877599</c:v>
                </c:pt>
                <c:pt idx="43">
                  <c:v>28.256240378547702</c:v>
                </c:pt>
                <c:pt idx="44">
                  <c:v>28.147855699904898</c:v>
                </c:pt>
                <c:pt idx="45">
                  <c:v>28.4110260039559</c:v>
                </c:pt>
                <c:pt idx="46">
                  <c:v>28.226840843217701</c:v>
                </c:pt>
                <c:pt idx="47">
                  <c:v>27.824443818156901</c:v>
                </c:pt>
              </c:numCache>
            </c:numRef>
          </c:val>
          <c:extLst>
            <c:ext xmlns:c16="http://schemas.microsoft.com/office/drawing/2014/chart" uri="{C3380CC4-5D6E-409C-BE32-E72D297353CC}">
              <c16:uniqueId val="{00000006-ED3E-471F-AC9B-94E9A92706C4}"/>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Datos!$T$186:$T$233</c:f>
              <c:numCache>
                <c:formatCode>_(* #,##0.0_);_(* \(#,##0.0\);_(* "-"??_);_(@_)</c:formatCode>
                <c:ptCount val="48"/>
                <c:pt idx="0">
                  <c:v>27.334676051584299</c:v>
                </c:pt>
                <c:pt idx="1">
                  <c:v>27.302030506824199</c:v>
                </c:pt>
                <c:pt idx="2">
                  <c:v>27.280638457403001</c:v>
                </c:pt>
                <c:pt idx="3">
                  <c:v>27.275483976922899</c:v>
                </c:pt>
                <c:pt idx="4">
                  <c:v>27.295534571909499</c:v>
                </c:pt>
                <c:pt idx="5">
                  <c:v>27.344470607421801</c:v>
                </c:pt>
                <c:pt idx="6">
                  <c:v>27.421032331762699</c:v>
                </c:pt>
                <c:pt idx="7">
                  <c:v>27.519521727322299</c:v>
                </c:pt>
                <c:pt idx="8">
                  <c:v>27.631792118084899</c:v>
                </c:pt>
                <c:pt idx="9">
                  <c:v>27.754830173849101</c:v>
                </c:pt>
                <c:pt idx="10">
                  <c:v>27.886510353515799</c:v>
                </c:pt>
                <c:pt idx="11">
                  <c:v>28.019659644617199</c:v>
                </c:pt>
                <c:pt idx="12">
                  <c:v>28.145359812540601</c:v>
                </c:pt>
                <c:pt idx="13">
                  <c:v>28.258704451083901</c:v>
                </c:pt>
                <c:pt idx="14">
                  <c:v>28.3586999608819</c:v>
                </c:pt>
                <c:pt idx="15">
                  <c:v>28.442280165644</c:v>
                </c:pt>
                <c:pt idx="16">
                  <c:v>28.504685193040899</c:v>
                </c:pt>
                <c:pt idx="17">
                  <c:v>28.545841459378501</c:v>
                </c:pt>
                <c:pt idx="18">
                  <c:v>28.5673921533106</c:v>
                </c:pt>
                <c:pt idx="19">
                  <c:v>28.574865210549799</c:v>
                </c:pt>
                <c:pt idx="20">
                  <c:v>28.573883597010699</c:v>
                </c:pt>
                <c:pt idx="21">
                  <c:v>28.5631653897346</c:v>
                </c:pt>
                <c:pt idx="22">
                  <c:v>28.5445899258639</c:v>
                </c:pt>
                <c:pt idx="23">
                  <c:v>28.522201075289601</c:v>
                </c:pt>
                <c:pt idx="24">
                  <c:v>28.494981584723199</c:v>
                </c:pt>
                <c:pt idx="25">
                  <c:v>28.463894472459302</c:v>
                </c:pt>
                <c:pt idx="26">
                  <c:v>28.4286711245907</c:v>
                </c:pt>
                <c:pt idx="27">
                  <c:v>28.390447948064502</c:v>
                </c:pt>
                <c:pt idx="28">
                  <c:v>28.352044214118202</c:v>
                </c:pt>
                <c:pt idx="29">
                  <c:v>28.312976182370399</c:v>
                </c:pt>
                <c:pt idx="30">
                  <c:v>28.2737724852695</c:v>
                </c:pt>
                <c:pt idx="31">
                  <c:v>28.2358976073618</c:v>
                </c:pt>
                <c:pt idx="32">
                  <c:v>28.204660440128698</c:v>
                </c:pt>
                <c:pt idx="33">
                  <c:v>28.1854426355474</c:v>
                </c:pt>
                <c:pt idx="34">
                  <c:v>28.176744008362199</c:v>
                </c:pt>
                <c:pt idx="35">
                  <c:v>28.177015584530601</c:v>
                </c:pt>
                <c:pt idx="36">
                  <c:v>28.188353379746701</c:v>
                </c:pt>
                <c:pt idx="37">
                  <c:v>28.208715504337199</c:v>
                </c:pt>
                <c:pt idx="38">
                  <c:v>28.233859945619699</c:v>
                </c:pt>
                <c:pt idx="39">
                  <c:v>28.257111377343499</c:v>
                </c:pt>
                <c:pt idx="40">
                  <c:v>28.272559598790998</c:v>
                </c:pt>
                <c:pt idx="41">
                  <c:v>28.277046692542498</c:v>
                </c:pt>
                <c:pt idx="42">
                  <c:v>28.269209270576901</c:v>
                </c:pt>
                <c:pt idx="43">
                  <c:v>28.248496899864701</c:v>
                </c:pt>
                <c:pt idx="44">
                  <c:v>28.213715351516299</c:v>
                </c:pt>
                <c:pt idx="45">
                  <c:v>28.1668605236523</c:v>
                </c:pt>
                <c:pt idx="46">
                  <c:v>28.113440280724699</c:v>
                </c:pt>
                <c:pt idx="47">
                  <c:v>28.0567647087023</c:v>
                </c:pt>
              </c:numCache>
            </c:numRef>
          </c:val>
          <c:smooth val="0"/>
          <c:extLst>
            <c:ext xmlns:c16="http://schemas.microsoft.com/office/drawing/2014/chart" uri="{C3380CC4-5D6E-409C-BE32-E72D297353CC}">
              <c16:uniqueId val="{00000007-ED3E-471F-AC9B-94E9A92706C4}"/>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9.5526509634821913E-2"/>
          <c:y val="0.94804769027817248"/>
          <c:w val="0.83017688786338706"/>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46"/>
              <c:layout>
                <c:manualLayout>
                  <c:x val="-4.2716787697565147E-3"/>
                  <c:y val="-1.27690857582449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F6-4F44-B221-B8A605C6B770}"/>
                </c:ext>
              </c:extLst>
            </c:dLbl>
            <c:dLbl>
              <c:idx val="47"/>
              <c:layout>
                <c:manualLayout>
                  <c:x val="0"/>
                  <c:y val="-6.58766995669774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F6-4F44-B221-B8A605C6B770}"/>
                </c:ext>
              </c:extLst>
            </c:dLbl>
            <c:dLbl>
              <c:idx val="54"/>
              <c:layout>
                <c:manualLayout>
                  <c:x val="-4.07596311478040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F6-4F44-B221-B8A605C6B770}"/>
                </c:ext>
              </c:extLst>
            </c:dLbl>
            <c:dLbl>
              <c:idx val="5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F6-4F44-B221-B8A605C6B770}"/>
                </c:ext>
              </c:extLst>
            </c:dLbl>
            <c:dLbl>
              <c:idx val="58"/>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F6-4F44-B221-B8A605C6B770}"/>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2F6-4F44-B221-B8A605C6B770}"/>
                </c:ext>
              </c:extLst>
            </c:dLbl>
            <c:spPr>
              <a:noFill/>
              <a:ln>
                <a:noFill/>
              </a:ln>
              <a:effectLst/>
            </c:spPr>
            <c:txPr>
              <a:bodyPr rot="-5400000" vert="horz" wrap="square" lIns="0" tIns="0" rIns="0" bIns="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0"/>
              </c:ext>
            </c:extLst>
          </c:dLbls>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Datos!$U$186:$U$233</c:f>
              <c:numCache>
                <c:formatCode>_(* #,##0.0_);_(* \(#,##0.0\);_(* "-"??_);_(@_)</c:formatCode>
                <c:ptCount val="48"/>
                <c:pt idx="0">
                  <c:v>26.532743064024601</c:v>
                </c:pt>
                <c:pt idx="1">
                  <c:v>26.6209770607907</c:v>
                </c:pt>
                <c:pt idx="2">
                  <c:v>25.063443167892999</c:v>
                </c:pt>
                <c:pt idx="3">
                  <c:v>20.090697039692099</c:v>
                </c:pt>
                <c:pt idx="4">
                  <c:v>21.680061146043499</c:v>
                </c:pt>
                <c:pt idx="5">
                  <c:v>22.348394827820499</c:v>
                </c:pt>
                <c:pt idx="6">
                  <c:v>26.339881593008698</c:v>
                </c:pt>
                <c:pt idx="7">
                  <c:v>26.38668783828</c:v>
                </c:pt>
                <c:pt idx="8">
                  <c:v>26.091994694824798</c:v>
                </c:pt>
                <c:pt idx="9">
                  <c:v>27.072767639878698</c:v>
                </c:pt>
                <c:pt idx="10">
                  <c:v>27.134069900220499</c:v>
                </c:pt>
                <c:pt idx="11">
                  <c:v>27.319458899612499</c:v>
                </c:pt>
                <c:pt idx="12">
                  <c:v>27.6318934209453</c:v>
                </c:pt>
                <c:pt idx="13">
                  <c:v>27.381706368954401</c:v>
                </c:pt>
                <c:pt idx="14">
                  <c:v>28.561610863881899</c:v>
                </c:pt>
                <c:pt idx="15">
                  <c:v>27.290157225253999</c:v>
                </c:pt>
                <c:pt idx="16">
                  <c:v>27.626572683081701</c:v>
                </c:pt>
                <c:pt idx="17">
                  <c:v>27.788289140988802</c:v>
                </c:pt>
                <c:pt idx="18">
                  <c:v>28.076557255415</c:v>
                </c:pt>
                <c:pt idx="19">
                  <c:v>28.144027412072699</c:v>
                </c:pt>
                <c:pt idx="20">
                  <c:v>27.747601265241201</c:v>
                </c:pt>
                <c:pt idx="21">
                  <c:v>27.1055186130456</c:v>
                </c:pt>
                <c:pt idx="22">
                  <c:v>27.542292095923699</c:v>
                </c:pt>
                <c:pt idx="23">
                  <c:v>27.341251045999599</c:v>
                </c:pt>
                <c:pt idx="24">
                  <c:v>26.498477602903201</c:v>
                </c:pt>
                <c:pt idx="25">
                  <c:v>26.881893406260001</c:v>
                </c:pt>
                <c:pt idx="26">
                  <c:v>26.249237523870899</c:v>
                </c:pt>
                <c:pt idx="27">
                  <c:v>27.655214447543401</c:v>
                </c:pt>
                <c:pt idx="28">
                  <c:v>27.7014972224129</c:v>
                </c:pt>
                <c:pt idx="29">
                  <c:v>26.893476312994199</c:v>
                </c:pt>
                <c:pt idx="30">
                  <c:v>26.858585238790099</c:v>
                </c:pt>
                <c:pt idx="31">
                  <c:v>26.666246447207399</c:v>
                </c:pt>
                <c:pt idx="32">
                  <c:v>26.924591213252501</c:v>
                </c:pt>
                <c:pt idx="33">
                  <c:v>26.361556878767999</c:v>
                </c:pt>
                <c:pt idx="34">
                  <c:v>26.4100162685735</c:v>
                </c:pt>
                <c:pt idx="35">
                  <c:v>26.867058156514499</c:v>
                </c:pt>
                <c:pt idx="36">
                  <c:v>26.290656366246299</c:v>
                </c:pt>
                <c:pt idx="37">
                  <c:v>26.9416465808116</c:v>
                </c:pt>
                <c:pt idx="38">
                  <c:v>26.695225385360001</c:v>
                </c:pt>
                <c:pt idx="39">
                  <c:v>25.670219329686599</c:v>
                </c:pt>
                <c:pt idx="40">
                  <c:v>26.505091868078399</c:v>
                </c:pt>
                <c:pt idx="41">
                  <c:v>27.0272727206996</c:v>
                </c:pt>
                <c:pt idx="42">
                  <c:v>26.793530602874199</c:v>
                </c:pt>
                <c:pt idx="43">
                  <c:v>26.152799849230298</c:v>
                </c:pt>
                <c:pt idx="44">
                  <c:v>26.272579783002001</c:v>
                </c:pt>
                <c:pt idx="45">
                  <c:v>26.623243390048</c:v>
                </c:pt>
                <c:pt idx="46">
                  <c:v>26.3316786166966</c:v>
                </c:pt>
                <c:pt idx="47">
                  <c:v>24.738886577088099</c:v>
                </c:pt>
              </c:numCache>
            </c:numRef>
          </c:val>
          <c:extLst>
            <c:ext xmlns:c16="http://schemas.microsoft.com/office/drawing/2014/chart" uri="{C3380CC4-5D6E-409C-BE32-E72D297353CC}">
              <c16:uniqueId val="{00000006-22F6-4F44-B221-B8A605C6B770}"/>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Datos!$A$186:$B$233</c:f>
              <c:multiLvlStrCache>
                <c:ptCount val="48"/>
                <c:lvl>
                  <c:pt idx="0">
                    <c:v>E</c:v>
                  </c:pt>
                  <c:pt idx="2">
                    <c:v>M</c:v>
                  </c:pt>
                  <c:pt idx="4">
                    <c:v>M</c:v>
                  </c:pt>
                  <c:pt idx="6">
                    <c:v>J</c:v>
                  </c:pt>
                  <c:pt idx="8">
                    <c:v>S</c:v>
                  </c:pt>
                  <c:pt idx="10">
                    <c:v>N</c:v>
                  </c:pt>
                  <c:pt idx="12">
                    <c:v>E</c:v>
                  </c:pt>
                  <c:pt idx="14">
                    <c:v>M</c:v>
                  </c:pt>
                  <c:pt idx="16">
                    <c:v>M</c:v>
                  </c:pt>
                  <c:pt idx="18">
                    <c:v>J</c:v>
                  </c:pt>
                  <c:pt idx="20">
                    <c:v>S</c:v>
                  </c:pt>
                  <c:pt idx="22">
                    <c:v>N</c:v>
                  </c:pt>
                  <c:pt idx="24">
                    <c:v>E</c:v>
                  </c:pt>
                  <c:pt idx="26">
                    <c:v>M</c:v>
                  </c:pt>
                  <c:pt idx="28">
                    <c:v>M</c:v>
                  </c:pt>
                  <c:pt idx="30">
                    <c:v>J</c:v>
                  </c:pt>
                  <c:pt idx="32">
                    <c:v>S</c:v>
                  </c:pt>
                  <c:pt idx="34">
                    <c:v>N</c:v>
                  </c:pt>
                  <c:pt idx="36">
                    <c:v>E</c:v>
                  </c:pt>
                  <c:pt idx="38">
                    <c:v>M</c:v>
                  </c:pt>
                  <c:pt idx="40">
                    <c:v>M</c:v>
                  </c:pt>
                  <c:pt idx="42">
                    <c:v>J</c:v>
                  </c:pt>
                  <c:pt idx="44">
                    <c:v>S</c:v>
                  </c:pt>
                  <c:pt idx="46">
                    <c:v>N</c:v>
                  </c:pt>
                  <c:pt idx="47">
                    <c:v>D</c:v>
                  </c:pt>
                </c:lvl>
                <c:lvl>
                  <c:pt idx="0">
                    <c:v>2020</c:v>
                  </c:pt>
                  <c:pt idx="12">
                    <c:v>2021</c:v>
                  </c:pt>
                  <c:pt idx="24">
                    <c:v>2022</c:v>
                  </c:pt>
                  <c:pt idx="36">
                    <c:v>2023</c:v>
                  </c:pt>
                </c:lvl>
              </c:multiLvlStrCache>
            </c:multiLvlStrRef>
          </c:cat>
          <c:val>
            <c:numRef>
              <c:f>Datos!$V$186:$V$233</c:f>
              <c:numCache>
                <c:formatCode>_(* #,##0.0_);_(* \(#,##0.0\);_(* "-"??_);_(@_)</c:formatCode>
                <c:ptCount val="48"/>
                <c:pt idx="0">
                  <c:v>26.337510903328901</c:v>
                </c:pt>
                <c:pt idx="1">
                  <c:v>26.316860648502299</c:v>
                </c:pt>
                <c:pt idx="2">
                  <c:v>26.3194666190719</c:v>
                </c:pt>
                <c:pt idx="3">
                  <c:v>26.316663830742598</c:v>
                </c:pt>
                <c:pt idx="4">
                  <c:v>26.287914825039302</c:v>
                </c:pt>
                <c:pt idx="5">
                  <c:v>26.2575576220325</c:v>
                </c:pt>
                <c:pt idx="6">
                  <c:v>26.282309140129399</c:v>
                </c:pt>
                <c:pt idx="7">
                  <c:v>26.396930224073401</c:v>
                </c:pt>
                <c:pt idx="8">
                  <c:v>26.580133411527999</c:v>
                </c:pt>
                <c:pt idx="9">
                  <c:v>26.818789489355702</c:v>
                </c:pt>
                <c:pt idx="10">
                  <c:v>27.077156915023</c:v>
                </c:pt>
                <c:pt idx="11">
                  <c:v>27.2999325692581</c:v>
                </c:pt>
                <c:pt idx="12">
                  <c:v>27.4432759611371</c:v>
                </c:pt>
                <c:pt idx="13">
                  <c:v>27.511906646548699</c:v>
                </c:pt>
                <c:pt idx="14">
                  <c:v>27.5509432278444</c:v>
                </c:pt>
                <c:pt idx="15">
                  <c:v>27.6212623175476</c:v>
                </c:pt>
                <c:pt idx="16">
                  <c:v>27.7259045319588</c:v>
                </c:pt>
                <c:pt idx="17">
                  <c:v>27.8182780085993</c:v>
                </c:pt>
                <c:pt idx="18">
                  <c:v>27.873765566059799</c:v>
                </c:pt>
                <c:pt idx="19">
                  <c:v>27.855225587235399</c:v>
                </c:pt>
                <c:pt idx="20">
                  <c:v>27.740189304757202</c:v>
                </c:pt>
                <c:pt idx="21">
                  <c:v>27.542989916942599</c:v>
                </c:pt>
                <c:pt idx="22">
                  <c:v>27.311775256693</c:v>
                </c:pt>
                <c:pt idx="23">
                  <c:v>27.134997817162599</c:v>
                </c:pt>
                <c:pt idx="24">
                  <c:v>27.051069405906802</c:v>
                </c:pt>
                <c:pt idx="25">
                  <c:v>27.053618324942299</c:v>
                </c:pt>
                <c:pt idx="26">
                  <c:v>27.088751745722099</c:v>
                </c:pt>
                <c:pt idx="27">
                  <c:v>27.118402024970401</c:v>
                </c:pt>
                <c:pt idx="28">
                  <c:v>27.116394042198198</c:v>
                </c:pt>
                <c:pt idx="29">
                  <c:v>27.053234066181901</c:v>
                </c:pt>
                <c:pt idx="30">
                  <c:v>26.928974636599399</c:v>
                </c:pt>
                <c:pt idx="31">
                  <c:v>26.774217706707599</c:v>
                </c:pt>
                <c:pt idx="32">
                  <c:v>26.6467347370745</c:v>
                </c:pt>
                <c:pt idx="33">
                  <c:v>26.577350171756699</c:v>
                </c:pt>
                <c:pt idx="34">
                  <c:v>26.567699338642502</c:v>
                </c:pt>
                <c:pt idx="35">
                  <c:v>26.581280213823899</c:v>
                </c:pt>
                <c:pt idx="36">
                  <c:v>26.603861315660598</c:v>
                </c:pt>
                <c:pt idx="37">
                  <c:v>26.649149074895799</c:v>
                </c:pt>
                <c:pt idx="38">
                  <c:v>26.700275275568899</c:v>
                </c:pt>
                <c:pt idx="39">
                  <c:v>26.723389525057701</c:v>
                </c:pt>
                <c:pt idx="40">
                  <c:v>26.704338422862001</c:v>
                </c:pt>
                <c:pt idx="41">
                  <c:v>26.664324062837501</c:v>
                </c:pt>
                <c:pt idx="42">
                  <c:v>26.603493413035501</c:v>
                </c:pt>
                <c:pt idx="43">
                  <c:v>26.528963866957302</c:v>
                </c:pt>
                <c:pt idx="44">
                  <c:v>26.455760014878699</c:v>
                </c:pt>
                <c:pt idx="45">
                  <c:v>26.3635559544127</c:v>
                </c:pt>
                <c:pt idx="46">
                  <c:v>26.2502487855302</c:v>
                </c:pt>
                <c:pt idx="47">
                  <c:v>26.1122449701964</c:v>
                </c:pt>
              </c:numCache>
            </c:numRef>
          </c:val>
          <c:smooth val="0"/>
          <c:extLst>
            <c:ext xmlns:c16="http://schemas.microsoft.com/office/drawing/2014/chart" uri="{C3380CC4-5D6E-409C-BE32-E72D297353CC}">
              <c16:uniqueId val="{00000007-22F6-4F44-B221-B8A605C6B770}"/>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8.2479053638158537E-2"/>
          <c:y val="0.94804777445500221"/>
          <c:w val="0.83017688786338706"/>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Dic-22</c:v>
                </c:pt>
                <c:pt idx="1">
                  <c:v>Dic-23</c:v>
                </c:pt>
              </c:strCache>
            </c:strRef>
          </c:cat>
          <c:val>
            <c:numRef>
              <c:f>'PO(1)'!$B$8:$C$8</c:f>
              <c:numCache>
                <c:formatCode>0.0</c:formatCode>
                <c:ptCount val="2"/>
                <c:pt idx="0">
                  <c:v>97.236649066965725</c:v>
                </c:pt>
                <c:pt idx="1">
                  <c:v>97.386240214106621</c:v>
                </c:pt>
              </c:numCache>
            </c:numRef>
          </c:val>
          <c:extLst>
            <c:ext xmlns:c16="http://schemas.microsoft.com/office/drawing/2014/chart" uri="{C3380CC4-5D6E-409C-BE32-E72D297353CC}">
              <c16:uniqueId val="{00000000-8E2A-4506-A645-E52E4E05E02C}"/>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Dic-22</c:v>
                </c:pt>
                <c:pt idx="1">
                  <c:v>Dic-23</c:v>
                </c:pt>
              </c:strCache>
            </c:strRef>
          </c:cat>
          <c:val>
            <c:numRef>
              <c:f>'PO(1)'!$B$9:$C$9</c:f>
              <c:numCache>
                <c:formatCode>0.0</c:formatCode>
                <c:ptCount val="2"/>
                <c:pt idx="0">
                  <c:v>97.058736906676017</c:v>
                </c:pt>
                <c:pt idx="1">
                  <c:v>97.371586375914859</c:v>
                </c:pt>
              </c:numCache>
            </c:numRef>
          </c:val>
          <c:extLst>
            <c:ext xmlns:c16="http://schemas.microsoft.com/office/drawing/2014/chart" uri="{C3380CC4-5D6E-409C-BE32-E72D297353CC}">
              <c16:uniqueId val="{00000001-8E2A-4506-A645-E52E4E05E02C}"/>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Dic-22</c:v>
                </c:pt>
                <c:pt idx="1">
                  <c:v>Dic-23</c:v>
                </c:pt>
              </c:strCache>
            </c:strRef>
          </c:cat>
          <c:val>
            <c:numRef>
              <c:f>'PO(1)'!$B$10:$C$10</c:f>
              <c:numCache>
                <c:formatCode>0.0</c:formatCode>
                <c:ptCount val="2"/>
                <c:pt idx="0">
                  <c:v>97.495958393253858</c:v>
                </c:pt>
                <c:pt idx="1">
                  <c:v>97.407302738603221</c:v>
                </c:pt>
              </c:numCache>
            </c:numRef>
          </c:val>
          <c:extLst>
            <c:ext xmlns:c16="http://schemas.microsoft.com/office/drawing/2014/chart" uri="{C3380CC4-5D6E-409C-BE32-E72D297353CC}">
              <c16:uniqueId val="{00000002-8E2A-4506-A645-E52E4E05E02C}"/>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388691883372739E-2"/>
          <c:y val="0.12417879378773723"/>
          <c:w val="0.91960342789598104"/>
          <c:h val="0.7700885943407465"/>
        </c:manualLayout>
      </c:layout>
      <c:bar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c:spPr>
          <c:invertIfNegative val="0"/>
          <c:dLbls>
            <c:dLbl>
              <c:idx val="0"/>
              <c:layout>
                <c:manualLayout>
                  <c:x val="-3.2694617181588345E-3"/>
                  <c:y val="-1.51189304307663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56-4734-AD96-1EDC8512C229}"/>
                </c:ext>
              </c:extLst>
            </c:dLbl>
            <c:dLbl>
              <c:idx val="1"/>
              <c:layout>
                <c:manualLayout>
                  <c:x val="-3.7080906787747177E-3"/>
                  <c:y val="-6.52471508319174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56-4734-AD96-1EDC8512C22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Dic-22</c:v>
                </c:pt>
                <c:pt idx="1">
                  <c:v>Dic-23</c:v>
                </c:pt>
              </c:strCache>
            </c:strRef>
          </c:cat>
          <c:val>
            <c:numRef>
              <c:f>'PO posición(1)'!$B$4:$C$4</c:f>
              <c:numCache>
                <c:formatCode>0.0</c:formatCode>
                <c:ptCount val="2"/>
                <c:pt idx="0">
                  <c:v>67.809401681201734</c:v>
                </c:pt>
                <c:pt idx="1">
                  <c:v>69.982221238599166</c:v>
                </c:pt>
              </c:numCache>
            </c:numRef>
          </c:val>
          <c:extLst>
            <c:ext xmlns:c16="http://schemas.microsoft.com/office/drawing/2014/chart" uri="{C3380CC4-5D6E-409C-BE32-E72D297353CC}">
              <c16:uniqueId val="{00000002-A256-4734-AD96-1EDC8512C229}"/>
            </c:ext>
          </c:extLst>
        </c:ser>
        <c:ser>
          <c:idx val="1"/>
          <c:order val="1"/>
          <c:tx>
            <c:strRef>
              <c:f>'PO posición(1)'!$A$5</c:f>
              <c:strCache>
                <c:ptCount val="1"/>
                <c:pt idx="0">
                  <c:v>Trabajadores por cuenta propia</c:v>
                </c:pt>
              </c:strCache>
            </c:strRef>
          </c:tx>
          <c:spPr>
            <a:solidFill>
              <a:schemeClr val="accent1">
                <a:lumMod val="75000"/>
              </a:schemeClr>
            </a:solidFill>
            <a:ln>
              <a:noFill/>
            </a:ln>
            <a:effectLst/>
          </c:spPr>
          <c:invertIfNegative val="0"/>
          <c:dLbls>
            <c:dLbl>
              <c:idx val="0"/>
              <c:layout>
                <c:manualLayout>
                  <c:x val="-6.5784062119567002E-4"/>
                  <c:y val="5.03978280906130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56-4734-AD96-1EDC8512C229}"/>
                </c:ext>
              </c:extLst>
            </c:dLbl>
            <c:dLbl>
              <c:idx val="1"/>
              <c:layout>
                <c:manualLayout>
                  <c:x val="-3.5984848484848487E-3"/>
                  <c:y val="1.00795656181226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256-4734-AD96-1EDC8512C22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Dic-22</c:v>
                </c:pt>
                <c:pt idx="1">
                  <c:v>Dic-23</c:v>
                </c:pt>
              </c:strCache>
            </c:strRef>
          </c:cat>
          <c:val>
            <c:numRef>
              <c:f>'PO posición(1)'!$B$5:$C$5</c:f>
              <c:numCache>
                <c:formatCode>0.0</c:formatCode>
                <c:ptCount val="2"/>
                <c:pt idx="0">
                  <c:v>22.863246742328243</c:v>
                </c:pt>
                <c:pt idx="1">
                  <c:v>21.727179914454663</c:v>
                </c:pt>
              </c:numCache>
            </c:numRef>
          </c:val>
          <c:extLst>
            <c:ext xmlns:c16="http://schemas.microsoft.com/office/drawing/2014/chart" uri="{C3380CC4-5D6E-409C-BE32-E72D297353CC}">
              <c16:uniqueId val="{00000005-A256-4734-AD96-1EDC8512C229}"/>
            </c:ext>
          </c:extLst>
        </c:ser>
        <c:ser>
          <c:idx val="2"/>
          <c:order val="2"/>
          <c:tx>
            <c:strRef>
              <c:f>'PO posición(1)'!$A$6</c:f>
              <c:strCache>
                <c:ptCount val="1"/>
                <c:pt idx="0">
                  <c:v>Empleadores</c:v>
                </c:pt>
              </c:strCache>
            </c:strRef>
          </c:tx>
          <c:spPr>
            <a:solidFill>
              <a:schemeClr val="tx2">
                <a:lumMod val="60000"/>
                <a:lumOff val="40000"/>
              </a:schemeClr>
            </a:solidFill>
            <a:ln>
              <a:noFill/>
            </a:ln>
            <a:effectLst/>
          </c:spPr>
          <c:invertIfNegative val="0"/>
          <c:dLbls>
            <c:dLbl>
              <c:idx val="0"/>
              <c:layout>
                <c:manualLayout>
                  <c:x val="4.67500740302043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256-4734-AD96-1EDC8512C229}"/>
                </c:ext>
              </c:extLst>
            </c:dLbl>
            <c:dLbl>
              <c:idx val="1"/>
              <c:layout>
                <c:manualLayout>
                  <c:x val="1.7343631757312538E-3"/>
                  <c:y val="-1.216529687432047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256-4734-AD96-1EDC8512C22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Dic-22</c:v>
                </c:pt>
                <c:pt idx="1">
                  <c:v>Dic-23</c:v>
                </c:pt>
              </c:strCache>
            </c:strRef>
          </c:cat>
          <c:val>
            <c:numRef>
              <c:f>'PO posición(1)'!$B$6:$C$6</c:f>
              <c:numCache>
                <c:formatCode>0.0</c:formatCode>
                <c:ptCount val="2"/>
                <c:pt idx="0">
                  <c:v>5.0060365857614846</c:v>
                </c:pt>
                <c:pt idx="1">
                  <c:v>4.7678477216243786</c:v>
                </c:pt>
              </c:numCache>
            </c:numRef>
          </c:val>
          <c:extLst>
            <c:ext xmlns:c16="http://schemas.microsoft.com/office/drawing/2014/chart" uri="{C3380CC4-5D6E-409C-BE32-E72D297353CC}">
              <c16:uniqueId val="{00000008-A256-4734-AD96-1EDC8512C229}"/>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c:spPr>
          <c:invertIfNegative val="0"/>
          <c:dLbls>
            <c:dLbl>
              <c:idx val="0"/>
              <c:layout>
                <c:manualLayout>
                  <c:x val="4.7846665028472525E-3"/>
                  <c:y val="-3.8029432308864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256-4734-AD96-1EDC8512C229}"/>
                </c:ext>
              </c:extLst>
            </c:dLbl>
            <c:dLbl>
              <c:idx val="1"/>
              <c:layout>
                <c:manualLayout>
                  <c:x val="1.9459609611213796E-3"/>
                  <c:y val="-3.4700438150876305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A256-4734-AD96-1EDC8512C22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4.3213149907085384</c:v>
                </c:pt>
                <c:pt idx="1">
                  <c:v>3.5227511253217969</c:v>
                </c:pt>
              </c:numCache>
            </c:numRef>
          </c:val>
          <c:extLst>
            <c:ext xmlns:c16="http://schemas.microsoft.com/office/drawing/2014/chart" uri="{C3380CC4-5D6E-409C-BE32-E72D297353CC}">
              <c16:uniqueId val="{0000000B-A256-4734-AD96-1EDC8512C229}"/>
            </c:ext>
          </c:extLst>
        </c:ser>
        <c:dLbls>
          <c:showLegendKey val="0"/>
          <c:showVal val="0"/>
          <c:showCatName val="0"/>
          <c:showSerName val="0"/>
          <c:showPercent val="0"/>
          <c:showBubbleSize val="0"/>
        </c:dLbls>
        <c:gapWidth val="100"/>
        <c:overlap val="100"/>
        <c:axId val="423293736"/>
        <c:axId val="423288248"/>
      </c:bar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Dic-22</c:v>
                </c:pt>
                <c:pt idx="1">
                  <c:v>Dic-23</c:v>
                </c:pt>
              </c:strCache>
            </c:strRef>
          </c:cat>
          <c:val>
            <c:numRef>
              <c:f>'PS(1)'!$B$4:$C$4</c:f>
              <c:numCache>
                <c:formatCode>0.0</c:formatCode>
                <c:ptCount val="2"/>
                <c:pt idx="0">
                  <c:v>4.2054640000000001</c:v>
                </c:pt>
                <c:pt idx="1">
                  <c:v>4.5141179999999999</c:v>
                </c:pt>
              </c:numCache>
            </c:numRef>
          </c:val>
          <c:extLst>
            <c:ext xmlns:c16="http://schemas.microsoft.com/office/drawing/2014/chart" uri="{C3380CC4-5D6E-409C-BE32-E72D297353CC}">
              <c16:uniqueId val="{00000000-5FD8-4CA0-86B1-8BE69FBF48C9}"/>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Dic-22</c:v>
                </c:pt>
                <c:pt idx="1">
                  <c:v>Dic-23</c:v>
                </c:pt>
              </c:strCache>
            </c:strRef>
          </c:cat>
          <c:val>
            <c:numRef>
              <c:f>'PS(1)'!$B$5:$C$5</c:f>
              <c:numCache>
                <c:formatCode>0.0</c:formatCode>
                <c:ptCount val="2"/>
                <c:pt idx="0">
                  <c:v>2.5938189999999999</c:v>
                </c:pt>
                <c:pt idx="1">
                  <c:v>2.8273009999999998</c:v>
                </c:pt>
              </c:numCache>
            </c:numRef>
          </c:val>
          <c:extLst>
            <c:ext xmlns:c16="http://schemas.microsoft.com/office/drawing/2014/chart" uri="{C3380CC4-5D6E-409C-BE32-E72D297353CC}">
              <c16:uniqueId val="{00000001-5FD8-4CA0-86B1-8BE69FBF48C9}"/>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Dic-22</c:v>
                </c:pt>
                <c:pt idx="1">
                  <c:v>Dic-23</c:v>
                </c:pt>
              </c:strCache>
            </c:strRef>
          </c:cat>
          <c:val>
            <c:numRef>
              <c:f>'PS(1)'!$B$6:$C$6</c:f>
              <c:numCache>
                <c:formatCode>0.0</c:formatCode>
                <c:ptCount val="2"/>
                <c:pt idx="0">
                  <c:v>1.611645</c:v>
                </c:pt>
                <c:pt idx="1">
                  <c:v>1.686817</c:v>
                </c:pt>
              </c:numCache>
            </c:numRef>
          </c:val>
          <c:extLst>
            <c:ext xmlns:c16="http://schemas.microsoft.com/office/drawing/2014/chart" uri="{C3380CC4-5D6E-409C-BE32-E72D297353CC}">
              <c16:uniqueId val="{00000002-5FD8-4CA0-86B1-8BE69FBF48C9}"/>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Dic-22</c:v>
                </c:pt>
                <c:pt idx="1">
                  <c:v>Dic-23</c:v>
                </c:pt>
              </c:strCache>
            </c:strRef>
          </c:cat>
          <c:val>
            <c:numRef>
              <c:f>'PS(1)'!$B$8:$C$8</c:f>
              <c:numCache>
                <c:formatCode>0.0</c:formatCode>
                <c:ptCount val="2"/>
                <c:pt idx="0">
                  <c:v>7.257059088341987</c:v>
                </c:pt>
                <c:pt idx="1">
                  <c:v>7.6321075419363966</c:v>
                </c:pt>
              </c:numCache>
            </c:numRef>
          </c:val>
          <c:extLst>
            <c:ext xmlns:c16="http://schemas.microsoft.com/office/drawing/2014/chart" uri="{C3380CC4-5D6E-409C-BE32-E72D297353CC}">
              <c16:uniqueId val="{00000000-4B33-4DD1-AA06-0D5490B75E08}"/>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Dic-22</c:v>
                </c:pt>
                <c:pt idx="1">
                  <c:v>Dic-23</c:v>
                </c:pt>
              </c:strCache>
            </c:strRef>
          </c:cat>
          <c:val>
            <c:numRef>
              <c:f>'PS(1)'!$B$9:$C$9</c:f>
              <c:numCache>
                <c:formatCode>0.0</c:formatCode>
                <c:ptCount val="2"/>
                <c:pt idx="0">
                  <c:v>7.5607541262109663</c:v>
                </c:pt>
                <c:pt idx="1">
                  <c:v>8.1071045830171737</c:v>
                </c:pt>
              </c:numCache>
            </c:numRef>
          </c:val>
          <c:extLst>
            <c:ext xmlns:c16="http://schemas.microsoft.com/office/drawing/2014/chart" uri="{C3380CC4-5D6E-409C-BE32-E72D297353CC}">
              <c16:uniqueId val="{00000001-4B33-4DD1-AA06-0D5490B75E08}"/>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Dic-22</c:v>
                </c:pt>
                <c:pt idx="1">
                  <c:v>Dic-23</c:v>
                </c:pt>
              </c:strCache>
            </c:strRef>
          </c:cat>
          <c:val>
            <c:numRef>
              <c:f>'PS(1)'!$B$10:$C$10</c:f>
              <c:numCache>
                <c:formatCode>0.0</c:formatCode>
                <c:ptCount val="2"/>
                <c:pt idx="0">
                  <c:v>6.8164045755593383</c:v>
                </c:pt>
                <c:pt idx="1">
                  <c:v>6.9496263871869424</c:v>
                </c:pt>
              </c:numCache>
            </c:numRef>
          </c:val>
          <c:extLst>
            <c:ext xmlns:c16="http://schemas.microsoft.com/office/drawing/2014/chart" uri="{C3380CC4-5D6E-409C-BE32-E72D297353CC}">
              <c16:uniqueId val="{00000002-4B33-4DD1-AA06-0D5490B75E08}"/>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9"/>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Dic-22</c:v>
                </c:pt>
                <c:pt idx="1">
                  <c:v>Dic-23</c:v>
                </c:pt>
              </c:strCache>
            </c:strRef>
          </c:cat>
          <c:val>
            <c:numRef>
              <c:f>'TIL(1)'!$B$8:$C$8</c:f>
              <c:numCache>
                <c:formatCode>0.0</c:formatCode>
                <c:ptCount val="2"/>
                <c:pt idx="0">
                  <c:v>54.90276130571651</c:v>
                </c:pt>
                <c:pt idx="1">
                  <c:v>53.626856336094086</c:v>
                </c:pt>
              </c:numCache>
            </c:numRef>
          </c:val>
          <c:extLst>
            <c:ext xmlns:c16="http://schemas.microsoft.com/office/drawing/2014/chart" uri="{C3380CC4-5D6E-409C-BE32-E72D297353CC}">
              <c16:uniqueId val="{00000000-2BCB-4DD0-96AD-ACA4BD8EEBB3}"/>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Dic-22</c:v>
                </c:pt>
                <c:pt idx="1">
                  <c:v>Dic-23</c:v>
                </c:pt>
              </c:strCache>
            </c:strRef>
          </c:cat>
          <c:val>
            <c:numRef>
              <c:f>'TIL(1)'!$B$9:$C$9</c:f>
              <c:numCache>
                <c:formatCode>0.0</c:formatCode>
                <c:ptCount val="2"/>
                <c:pt idx="0">
                  <c:v>54.118125001512105</c:v>
                </c:pt>
                <c:pt idx="1">
                  <c:v>52.937931882452794</c:v>
                </c:pt>
              </c:numCache>
            </c:numRef>
          </c:val>
          <c:extLst>
            <c:ext xmlns:c16="http://schemas.microsoft.com/office/drawing/2014/chart" uri="{C3380CC4-5D6E-409C-BE32-E72D297353CC}">
              <c16:uniqueId val="{00000001-2BCB-4DD0-96AD-ACA4BD8EEBB3}"/>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Dic-22</c:v>
                </c:pt>
                <c:pt idx="1">
                  <c:v>Dic-23</c:v>
                </c:pt>
              </c:strCache>
            </c:strRef>
          </c:cat>
          <c:val>
            <c:numRef>
              <c:f>'TIL(1)'!$B$10:$C$10</c:f>
              <c:numCache>
                <c:formatCode>0.0</c:formatCode>
                <c:ptCount val="2"/>
                <c:pt idx="0">
                  <c:v>56.041250530851386</c:v>
                </c:pt>
                <c:pt idx="1">
                  <c:v>54.616710832000905</c:v>
                </c:pt>
              </c:numCache>
            </c:numRef>
          </c:val>
          <c:extLst>
            <c:ext xmlns:c16="http://schemas.microsoft.com/office/drawing/2014/chart" uri="{C3380CC4-5D6E-409C-BE32-E72D297353CC}">
              <c16:uniqueId val="{00000002-2BCB-4DD0-96AD-ACA4BD8EEBB3}"/>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6.5"/>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Dic-22</c:v>
                </c:pt>
                <c:pt idx="1">
                  <c:v>Dic-23</c:v>
                </c:pt>
              </c:strCache>
            </c:strRef>
          </c:cat>
          <c:val>
            <c:numRef>
              <c:f>'TOSI1(1)'!$B$8:$C$8</c:f>
              <c:numCache>
                <c:formatCode>0.0</c:formatCode>
                <c:ptCount val="2"/>
                <c:pt idx="0">
                  <c:v>28.638999999999999</c:v>
                </c:pt>
                <c:pt idx="1">
                  <c:v>27.870096606869581</c:v>
                </c:pt>
              </c:numCache>
            </c:numRef>
          </c:val>
          <c:extLst>
            <c:ext xmlns:c16="http://schemas.microsoft.com/office/drawing/2014/chart" uri="{C3380CC4-5D6E-409C-BE32-E72D297353CC}">
              <c16:uniqueId val="{00000000-878E-4C86-9989-E91CD097D9F1}"/>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Dic-22</c:v>
                </c:pt>
                <c:pt idx="1">
                  <c:v>Dic-23</c:v>
                </c:pt>
              </c:strCache>
            </c:strRef>
          </c:cat>
          <c:val>
            <c:numRef>
              <c:f>'TOSI1(1)'!$B$9:$C$9</c:f>
              <c:numCache>
                <c:formatCode>0.0</c:formatCode>
                <c:ptCount val="2"/>
                <c:pt idx="0">
                  <c:v>27.8263</c:v>
                </c:pt>
                <c:pt idx="1">
                  <c:v>27.450245541409473</c:v>
                </c:pt>
              </c:numCache>
            </c:numRef>
          </c:val>
          <c:extLst>
            <c:ext xmlns:c16="http://schemas.microsoft.com/office/drawing/2014/chart" uri="{C3380CC4-5D6E-409C-BE32-E72D297353CC}">
              <c16:uniqueId val="{00000001-878E-4C86-9989-E91CD097D9F1}"/>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Dic-22</c:v>
                </c:pt>
                <c:pt idx="1">
                  <c:v>Dic-23</c:v>
                </c:pt>
              </c:strCache>
            </c:strRef>
          </c:cat>
          <c:val>
            <c:numRef>
              <c:f>'TOSI1(1)'!$B$10:$C$10</c:f>
              <c:numCache>
                <c:formatCode>0.0</c:formatCode>
                <c:ptCount val="2"/>
                <c:pt idx="0">
                  <c:v>29.818200000000001</c:v>
                </c:pt>
                <c:pt idx="1">
                  <c:v>28.473343396209621</c:v>
                </c:pt>
              </c:numCache>
            </c:numRef>
          </c:val>
          <c:extLst>
            <c:ext xmlns:c16="http://schemas.microsoft.com/office/drawing/2014/chart" uri="{C3380CC4-5D6E-409C-BE32-E72D297353CC}">
              <c16:uniqueId val="{00000002-878E-4C86-9989-E91CD097D9F1}"/>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0"/>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Dic-22</c:v>
                </c:pt>
                <c:pt idx="1">
                  <c:v>Dic-23</c:v>
                </c:pt>
              </c:strCache>
            </c:strRef>
          </c:cat>
          <c:val>
            <c:numRef>
              <c:f>'PD(1)'!$B$4:$C$4</c:f>
              <c:numCache>
                <c:formatCode>0.0</c:formatCode>
                <c:ptCount val="2"/>
                <c:pt idx="0">
                  <c:v>1.6468700000000001</c:v>
                </c:pt>
                <c:pt idx="1">
                  <c:v>1.587437</c:v>
                </c:pt>
              </c:numCache>
            </c:numRef>
          </c:val>
          <c:extLst>
            <c:ext xmlns:c16="http://schemas.microsoft.com/office/drawing/2014/chart" uri="{C3380CC4-5D6E-409C-BE32-E72D297353CC}">
              <c16:uniqueId val="{00000000-0136-4DAB-8EAE-BFD94237EB69}"/>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Dic-22</c:v>
                </c:pt>
                <c:pt idx="1">
                  <c:v>Dic-23</c:v>
                </c:pt>
              </c:strCache>
            </c:strRef>
          </c:cat>
          <c:val>
            <c:numRef>
              <c:f>'PD(1)'!$B$5:$C$5</c:f>
              <c:numCache>
                <c:formatCode>0.0</c:formatCode>
                <c:ptCount val="2"/>
                <c:pt idx="0">
                  <c:v>1.0396179999999999</c:v>
                </c:pt>
                <c:pt idx="1">
                  <c:v>0.94138599999999995</c:v>
                </c:pt>
              </c:numCache>
            </c:numRef>
          </c:val>
          <c:extLst>
            <c:ext xmlns:c16="http://schemas.microsoft.com/office/drawing/2014/chart" uri="{C3380CC4-5D6E-409C-BE32-E72D297353CC}">
              <c16:uniqueId val="{00000001-0136-4DAB-8EAE-BFD94237EB69}"/>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Dic-22</c:v>
                </c:pt>
                <c:pt idx="1">
                  <c:v>Dic-23</c:v>
                </c:pt>
              </c:strCache>
            </c:strRef>
          </c:cat>
          <c:val>
            <c:numRef>
              <c:f>'PD(1)'!$B$6:$C$6</c:f>
              <c:numCache>
                <c:formatCode>0.0</c:formatCode>
                <c:ptCount val="2"/>
                <c:pt idx="0">
                  <c:v>0.60725200000000001</c:v>
                </c:pt>
                <c:pt idx="1">
                  <c:v>0.64605100000000004</c:v>
                </c:pt>
              </c:numCache>
            </c:numRef>
          </c:val>
          <c:extLst>
            <c:ext xmlns:c16="http://schemas.microsoft.com/office/drawing/2014/chart" uri="{C3380CC4-5D6E-409C-BE32-E72D297353CC}">
              <c16:uniqueId val="{00000002-0136-4DAB-8EAE-BFD94237EB69}"/>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Dic-22</c:v>
                </c:pt>
                <c:pt idx="1">
                  <c:v>Dic-23</c:v>
                </c:pt>
              </c:strCache>
            </c:strRef>
          </c:cat>
          <c:val>
            <c:numRef>
              <c:f>'PD(1)'!$B$8:$C$8</c:f>
              <c:numCache>
                <c:formatCode>0.0</c:formatCode>
                <c:ptCount val="2"/>
                <c:pt idx="0">
                  <c:v>2.7633509330342751</c:v>
                </c:pt>
                <c:pt idx="1">
                  <c:v>2.6137597858933761</c:v>
                </c:pt>
              </c:numCache>
            </c:numRef>
          </c:val>
          <c:extLst>
            <c:ext xmlns:c16="http://schemas.microsoft.com/office/drawing/2014/chart" uri="{C3380CC4-5D6E-409C-BE32-E72D297353CC}">
              <c16:uniqueId val="{00000000-5705-4317-AAD4-F39ABB6D9721}"/>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Dic-22</c:v>
                </c:pt>
                <c:pt idx="1">
                  <c:v>Dic-23</c:v>
                </c:pt>
              </c:strCache>
            </c:strRef>
          </c:cat>
          <c:val>
            <c:numRef>
              <c:f>'PD(1)'!$B$9:$C$9</c:f>
              <c:numCache>
                <c:formatCode>0.0</c:formatCode>
                <c:ptCount val="2"/>
                <c:pt idx="0">
                  <c:v>2.9412630933239887</c:v>
                </c:pt>
                <c:pt idx="1">
                  <c:v>2.628413624085137</c:v>
                </c:pt>
              </c:numCache>
            </c:numRef>
          </c:val>
          <c:extLst>
            <c:ext xmlns:c16="http://schemas.microsoft.com/office/drawing/2014/chart" uri="{C3380CC4-5D6E-409C-BE32-E72D297353CC}">
              <c16:uniqueId val="{00000001-5705-4317-AAD4-F39ABB6D9721}"/>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Dic-22</c:v>
                </c:pt>
                <c:pt idx="1">
                  <c:v>Dic-23</c:v>
                </c:pt>
              </c:strCache>
            </c:strRef>
          </c:cat>
          <c:val>
            <c:numRef>
              <c:f>'PD(1)'!$B$10:$C$10</c:f>
              <c:numCache>
                <c:formatCode>0.0</c:formatCode>
                <c:ptCount val="2"/>
                <c:pt idx="0">
                  <c:v>2.5040416067461484</c:v>
                </c:pt>
                <c:pt idx="1">
                  <c:v>2.5926972613967738</c:v>
                </c:pt>
              </c:numCache>
            </c:numRef>
          </c:val>
          <c:extLst>
            <c:ext xmlns:c16="http://schemas.microsoft.com/office/drawing/2014/chart" uri="{C3380CC4-5D6E-409C-BE32-E72D297353CC}">
              <c16:uniqueId val="{00000002-5705-4317-AAD4-F39ABB6D9721}"/>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3.5"/>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0.34408</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061166" y="594977"/>
          <a:ext cx="830934" cy="262273"/>
        </a:xfrm>
        <a:prstGeom xmlns:a="http://schemas.openxmlformats.org/drawingml/2006/main" prst="rect">
          <a:avLst/>
        </a:prstGeom>
      </cdr:spPr>
      <cdr:txBody>
        <a:bodyPr xmlns:a="http://schemas.openxmlformats.org/drawingml/2006/main" vertOverflow="clip" wrap="square" lIns="0" tIns="0" rIns="0" bIns="0" rtlCol="0">
          <a:no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0.69581</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047687" y="1333858"/>
          <a:ext cx="830887" cy="399691"/>
        </a:xfrm>
        <a:prstGeom xmlns:a="http://schemas.openxmlformats.org/drawingml/2006/main" prst="rect">
          <a:avLst/>
        </a:prstGeom>
      </cdr:spPr>
      <cdr:txBody>
        <a:bodyPr xmlns:a="http://schemas.openxmlformats.org/drawingml/2006/main" vertOverflow="clip" wrap="square" lIns="0" tIns="0" rIns="0" bIns="0" rtlCol="0">
          <a:no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0.14528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061166" y="95172"/>
          <a:ext cx="830934" cy="266778"/>
        </a:xfrm>
        <a:prstGeom xmlns:a="http://schemas.openxmlformats.org/drawingml/2006/main" prst="rect">
          <a:avLst/>
        </a:prstGeom>
      </cdr:spPr>
      <cdr:txBody>
        <a:bodyPr xmlns:a="http://schemas.openxmlformats.org/drawingml/2006/main" vertOverflow="clip" wrap="square" lIns="0" tIns="0" rIns="0" bIns="0" rtlCol="0">
          <a:no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FFF36E69C3249968D779353D3735D" ma:contentTypeVersion="5" ma:contentTypeDescription="Create a new document." ma:contentTypeScope="" ma:versionID="5e145fd5d5b3da8cd46318bdf79d7cfe">
  <xsd:schema xmlns:xsd="http://www.w3.org/2001/XMLSchema" xmlns:xs="http://www.w3.org/2001/XMLSchema" xmlns:p="http://schemas.microsoft.com/office/2006/metadata/properties" xmlns:ns2="a86ee325-94b0-4f30-847e-6646843bcaf7" xmlns:ns3="1ba99075-95a4-4d57-a0ef-fc2aa316c235" targetNamespace="http://schemas.microsoft.com/office/2006/metadata/properties" ma:root="true" ma:fieldsID="640ea30ca7e4f9e69571ed3600e5caf4" ns2:_="" ns3:_="">
    <xsd:import namespace="a86ee325-94b0-4f30-847e-6646843bcaf7"/>
    <xsd:import namespace="1ba99075-95a4-4d57-a0ef-fc2aa316c2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ee325-94b0-4f30-847e-6646843bc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a99075-95a4-4d57-a0ef-fc2aa316c23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220F-D8B5-4A6F-88EC-6E1FD695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ee325-94b0-4f30-847e-6646843bcaf7"/>
    <ds:schemaRef ds:uri="1ba99075-95a4-4d57-a0ef-fc2aa316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7F67F1-8E32-45CA-852B-421F3F627E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314F3DD-A12E-4556-8AFE-D24CED99873E}">
  <ds:schemaRefs>
    <ds:schemaRef ds:uri="http://schemas.microsoft.com/sharepoint/v3/contenttype/forms"/>
  </ds:schemaRefs>
</ds:datastoreItem>
</file>

<file path=customXml/itemProps4.xml><?xml version="1.0" encoding="utf-8"?>
<ds:datastoreItem xmlns:ds="http://schemas.openxmlformats.org/officeDocument/2006/customXml" ds:itemID="{047AD851-6781-4403-83DF-4A640DFBD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5372</Words>
  <Characters>29552</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Indicadores de Ocupación y Empleo</vt:lpstr>
    </vt:vector>
  </TitlesOfParts>
  <Manager>INEGI</Manager>
  <Company>INEGI</Company>
  <LinksUpToDate>false</LinksUpToDate>
  <CharactersWithSpaces>34855</CharactersWithSpaces>
  <SharedDoc>false</SharedDoc>
  <HLinks>
    <vt:vector size="24" baseType="variant">
      <vt:variant>
        <vt:i4>3539063</vt:i4>
      </vt:variant>
      <vt:variant>
        <vt:i4>9</vt:i4>
      </vt:variant>
      <vt:variant>
        <vt:i4>0</vt:i4>
      </vt:variant>
      <vt:variant>
        <vt:i4>5</vt:i4>
      </vt:variant>
      <vt:variant>
        <vt:lpwstr>https://www.inegi.org.mx/programas/enoe/15ymas/</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2883689</vt:i4>
      </vt:variant>
      <vt:variant>
        <vt:i4>3</vt:i4>
      </vt:variant>
      <vt:variant>
        <vt:i4>0</vt:i4>
      </vt:variant>
      <vt:variant>
        <vt:i4>5</vt:i4>
      </vt:variant>
      <vt:variant>
        <vt:lpwstr>https://www.inegi.org.mx/programas/enoe/15ymas/</vt:lpwstr>
      </vt:variant>
      <vt:variant>
        <vt:lpwstr>Tabulados</vt:lpwstr>
      </vt:variant>
      <vt:variant>
        <vt:i4>2883689</vt:i4>
      </vt:variant>
      <vt:variant>
        <vt:i4>0</vt:i4>
      </vt:variant>
      <vt:variant>
        <vt:i4>0</vt:i4>
      </vt:variant>
      <vt:variant>
        <vt:i4>5</vt:i4>
      </vt:variant>
      <vt:variant>
        <vt:lpwstr>https://www.inegi.org.mx/programas/enoe/15ymas/</vt:lpwstr>
      </vt:variant>
      <vt:variant>
        <vt:lpwstr>Tabulados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Indicadores de Ocupación y Empleo</dc:title>
  <dc:subject>Indicadores de Ocupación y Empleo</dc:subject>
  <dc:creator>INEGI</dc:creator>
  <cp:keywords>PEA Ocupación Desocupación Subocupación</cp:keywords>
  <cp:lastModifiedBy>GUILLEN MEDINA MOISES</cp:lastModifiedBy>
  <cp:revision>17</cp:revision>
  <cp:lastPrinted>2024-01-24T18:51:00Z</cp:lastPrinted>
  <dcterms:created xsi:type="dcterms:W3CDTF">2024-01-23T22:36:00Z</dcterms:created>
  <dcterms:modified xsi:type="dcterms:W3CDTF">2024-01-24T19:54:00Z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0x0101008E8FFF36E69C3249968D779353D3735D</vt:lpwstr>
  </property>
  <property fmtid="{D5CDD505-2E9C-101B-9397-08002B2CF9AE}" pid="3" name="GrammarlyDocumentId">
    <vt:lpwstr>d3c47142d5a4a9708428dc91795b5e5a001a238e1ce92da3caa6a3a4f665625a</vt:lpwstr>
  </property>
</Properties>
</file>