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71B78E7C" w:rsidR="00BB20DC" w:rsidRDefault="00BB20DC" w:rsidP="006A5FA6">
      <w:pPr>
        <w:spacing w:before="300" w:after="300"/>
        <w:jc w:val="right"/>
        <w:rPr>
          <w:b/>
          <w:bCs/>
          <w:color w:val="07BFBA"/>
        </w:rPr>
      </w:pPr>
      <w:bookmarkStart w:id="0" w:name="_Hlk33002076"/>
      <w:r w:rsidRPr="00487038">
        <w:rPr>
          <w:b/>
          <w:bCs/>
          <w:color w:val="07BFBA"/>
        </w:rPr>
        <w:t xml:space="preserve">Próxima publicación: </w:t>
      </w:r>
      <w:r w:rsidR="00B50A1F">
        <w:rPr>
          <w:b/>
          <w:bCs/>
          <w:color w:val="07BFBA"/>
        </w:rPr>
        <w:t>2</w:t>
      </w:r>
      <w:r w:rsidR="00FC25AC">
        <w:rPr>
          <w:b/>
          <w:bCs/>
          <w:color w:val="07BFBA"/>
        </w:rPr>
        <w:t>8</w:t>
      </w:r>
      <w:r w:rsidR="007325AE">
        <w:rPr>
          <w:b/>
          <w:bCs/>
          <w:color w:val="07BFBA"/>
        </w:rPr>
        <w:t xml:space="preserve"> de </w:t>
      </w:r>
      <w:r w:rsidR="0084387E">
        <w:rPr>
          <w:b/>
          <w:bCs/>
          <w:color w:val="07BFBA"/>
        </w:rPr>
        <w:t>enero</w:t>
      </w:r>
      <w:r w:rsidR="005D4AF4">
        <w:rPr>
          <w:b/>
          <w:bCs/>
          <w:color w:val="07BFBA"/>
        </w:rPr>
        <w:t xml:space="preserve"> </w:t>
      </w:r>
      <w:r w:rsidR="00C56C5B">
        <w:rPr>
          <w:b/>
          <w:bCs/>
          <w:color w:val="07BFBA"/>
        </w:rPr>
        <w:t>de 202</w:t>
      </w:r>
      <w:r w:rsidR="0084387E">
        <w:rPr>
          <w:b/>
          <w:bCs/>
          <w:color w:val="07BFBA"/>
        </w:rPr>
        <w:t>7</w:t>
      </w:r>
    </w:p>
    <w:tbl>
      <w:tblPr>
        <w:tblpPr w:leftFromText="141" w:rightFromText="141" w:vertAnchor="text" w:horzAnchor="margin" w:tblpXSpec="center" w:tblpY="-29"/>
        <w:tblW w:w="3819" w:type="pct"/>
        <w:tblCellMar>
          <w:left w:w="0" w:type="dxa"/>
          <w:right w:w="0" w:type="dxa"/>
        </w:tblCellMar>
        <w:tblLook w:val="0420" w:firstRow="1" w:lastRow="0" w:firstColumn="0" w:lastColumn="0" w:noHBand="0" w:noVBand="1"/>
      </w:tblPr>
      <w:tblGrid>
        <w:gridCol w:w="1750"/>
        <w:gridCol w:w="278"/>
        <w:gridCol w:w="1702"/>
        <w:gridCol w:w="278"/>
        <w:gridCol w:w="1654"/>
        <w:gridCol w:w="277"/>
        <w:gridCol w:w="1664"/>
      </w:tblGrid>
      <w:tr w:rsidR="00E33B08" w:rsidRPr="009B2FB6" w14:paraId="79E000F0" w14:textId="77777777" w:rsidTr="00180475">
        <w:trPr>
          <w:trHeight w:val="20"/>
        </w:trPr>
        <w:tc>
          <w:tcPr>
            <w:tcW w:w="5000" w:type="pct"/>
            <w:gridSpan w:val="7"/>
            <w:tcBorders>
              <w:left w:val="single" w:sz="8" w:space="0" w:color="FFFFFF" w:themeColor="background1"/>
              <w:bottom w:val="single" w:sz="8" w:space="0" w:color="FFFFFF" w:themeColor="background1"/>
              <w:right w:val="single" w:sz="8" w:space="0" w:color="FFFFFF" w:themeColor="background1"/>
            </w:tcBorders>
            <w:shd w:val="clear" w:color="auto" w:fill="C0C0C0"/>
            <w:tcMar>
              <w:top w:w="72" w:type="dxa"/>
              <w:left w:w="57" w:type="dxa"/>
              <w:bottom w:w="72" w:type="dxa"/>
              <w:right w:w="57" w:type="dxa"/>
            </w:tcMar>
            <w:vAlign w:val="center"/>
          </w:tcPr>
          <w:p w14:paraId="007093BA" w14:textId="43F5A48E" w:rsidR="00E33B08" w:rsidRDefault="00780E9F" w:rsidP="00E33B08">
            <w:pPr>
              <w:shd w:val="clear" w:color="auto" w:fill="C0C0C0"/>
              <w:ind w:left="17" w:hanging="17"/>
              <w:jc w:val="center"/>
              <w:rPr>
                <w:b/>
                <w:bCs/>
                <w:kern w:val="24"/>
                <w:sz w:val="20"/>
                <w:szCs w:val="20"/>
                <w:lang w:val="es-ES" w:eastAsia="es-MX"/>
              </w:rPr>
            </w:pPr>
            <w:r>
              <w:rPr>
                <w:b/>
                <w:bCs/>
                <w:kern w:val="24"/>
                <w:sz w:val="20"/>
                <w:szCs w:val="20"/>
                <w:lang w:val="es-ES" w:eastAsia="es-MX"/>
              </w:rPr>
              <w:t>Baja California Sur</w:t>
            </w:r>
          </w:p>
        </w:tc>
      </w:tr>
      <w:tr w:rsidR="00E33B08" w:rsidRPr="009B2FB6" w14:paraId="207A818A" w14:textId="77777777" w:rsidTr="00DE401B">
        <w:trPr>
          <w:trHeight w:val="384"/>
        </w:trPr>
        <w:tc>
          <w:tcPr>
            <w:tcW w:w="1151" w:type="pct"/>
            <w:tcBorders>
              <w:top w:val="single" w:sz="8" w:space="0" w:color="FFFFFF" w:themeColor="background1"/>
              <w:left w:val="single" w:sz="4" w:space="0" w:color="C0C0C0"/>
              <w:bottom w:val="single" w:sz="4" w:space="0" w:color="C0C0C0"/>
              <w:right w:val="single" w:sz="4" w:space="0" w:color="C0C0C0"/>
            </w:tcBorders>
            <w:shd w:val="clear" w:color="auto" w:fill="C0C0C0"/>
            <w:tcMar>
              <w:top w:w="72" w:type="dxa"/>
              <w:left w:w="57" w:type="dxa"/>
              <w:bottom w:w="72" w:type="dxa"/>
              <w:right w:w="57" w:type="dxa"/>
            </w:tcMar>
            <w:vAlign w:val="center"/>
            <w:hideMark/>
          </w:tcPr>
          <w:p w14:paraId="79AAD47C" w14:textId="6C775CD2" w:rsidR="00E33B08" w:rsidRPr="0072484E" w:rsidRDefault="00E33B08" w:rsidP="008710E2">
            <w:pPr>
              <w:ind w:left="17" w:hanging="17"/>
              <w:jc w:val="center"/>
              <w:rPr>
                <w:b/>
                <w:bCs/>
                <w:kern w:val="24"/>
                <w:sz w:val="20"/>
                <w:szCs w:val="20"/>
                <w:lang w:val="es-ES" w:eastAsia="es-MX"/>
              </w:rPr>
            </w:pPr>
            <w:r>
              <w:rPr>
                <w:b/>
                <w:bCs/>
                <w:kern w:val="24"/>
                <w:sz w:val="20"/>
                <w:szCs w:val="20"/>
                <w:lang w:val="es-ES" w:eastAsia="es-MX"/>
              </w:rPr>
              <w:t xml:space="preserve">Actividad </w:t>
            </w:r>
            <w:r w:rsidR="00AF603D">
              <w:rPr>
                <w:b/>
                <w:bCs/>
                <w:kern w:val="24"/>
                <w:sz w:val="20"/>
                <w:szCs w:val="20"/>
                <w:lang w:val="es-ES" w:eastAsia="es-MX"/>
              </w:rPr>
              <w:t>económica</w:t>
            </w:r>
          </w:p>
        </w:tc>
        <w:tc>
          <w:tcPr>
            <w:tcW w:w="183" w:type="pct"/>
            <w:tcBorders>
              <w:top w:val="single" w:sz="8" w:space="0" w:color="FFFFFF" w:themeColor="background1"/>
              <w:left w:val="single" w:sz="4" w:space="0" w:color="C0C0C0"/>
              <w:right w:val="single" w:sz="4" w:space="0" w:color="C0C0C0"/>
            </w:tcBorders>
          </w:tcPr>
          <w:p w14:paraId="29A68D90" w14:textId="77777777" w:rsidR="00E33B08" w:rsidRPr="009B2FB6" w:rsidRDefault="00E33B08">
            <w:pPr>
              <w:spacing w:before="120" w:after="120"/>
              <w:ind w:left="16" w:hanging="16"/>
              <w:jc w:val="center"/>
              <w:rPr>
                <w:b/>
                <w:bCs/>
                <w:kern w:val="24"/>
                <w:sz w:val="20"/>
                <w:szCs w:val="20"/>
                <w:lang w:val="es-ES" w:eastAsia="es-MX"/>
              </w:rPr>
            </w:pPr>
          </w:p>
        </w:tc>
        <w:tc>
          <w:tcPr>
            <w:tcW w:w="1119" w:type="pct"/>
            <w:tcBorders>
              <w:top w:val="single" w:sz="8" w:space="0" w:color="FFFFFF" w:themeColor="background1"/>
              <w:left w:val="single" w:sz="4" w:space="0" w:color="C0C0C0"/>
              <w:bottom w:val="single" w:sz="4" w:space="0" w:color="C0C0C0"/>
              <w:right w:val="single" w:sz="4" w:space="0" w:color="C0C0C0"/>
            </w:tcBorders>
            <w:shd w:val="clear" w:color="auto" w:fill="C0C0C0"/>
            <w:tcMar>
              <w:top w:w="72" w:type="dxa"/>
              <w:left w:w="57" w:type="dxa"/>
              <w:bottom w:w="72" w:type="dxa"/>
              <w:right w:w="57" w:type="dxa"/>
            </w:tcMar>
            <w:vAlign w:val="center"/>
            <w:hideMark/>
          </w:tcPr>
          <w:p w14:paraId="6CA1790C" w14:textId="77777777" w:rsidR="00E33B08" w:rsidRPr="0072484E" w:rsidRDefault="00E33B08">
            <w:pPr>
              <w:ind w:left="17" w:hanging="17"/>
              <w:jc w:val="center"/>
              <w:rPr>
                <w:b/>
                <w:bCs/>
                <w:kern w:val="24"/>
                <w:sz w:val="20"/>
                <w:szCs w:val="20"/>
                <w:lang w:val="es-ES" w:eastAsia="es-MX"/>
              </w:rPr>
            </w:pPr>
            <w:r>
              <w:rPr>
                <w:b/>
                <w:bCs/>
                <w:kern w:val="24"/>
                <w:sz w:val="20"/>
                <w:szCs w:val="20"/>
                <w:lang w:val="es-ES" w:eastAsia="es-MX"/>
              </w:rPr>
              <w:t>Actividades primarias</w:t>
            </w:r>
          </w:p>
        </w:tc>
        <w:tc>
          <w:tcPr>
            <w:tcW w:w="183" w:type="pct"/>
            <w:vMerge w:val="restart"/>
            <w:tcBorders>
              <w:top w:val="single" w:sz="8" w:space="0" w:color="FFFFFF" w:themeColor="background1"/>
              <w:left w:val="single" w:sz="4" w:space="0" w:color="C0C0C0"/>
              <w:right w:val="single" w:sz="4" w:space="0" w:color="C0C0C0"/>
            </w:tcBorders>
          </w:tcPr>
          <w:p w14:paraId="09ADC443" w14:textId="77777777" w:rsidR="00E33B08" w:rsidRPr="009B2FB6" w:rsidRDefault="00E33B08">
            <w:pPr>
              <w:spacing w:before="120" w:after="120"/>
              <w:ind w:left="16" w:hanging="16"/>
              <w:jc w:val="center"/>
              <w:rPr>
                <w:b/>
                <w:bCs/>
                <w:kern w:val="24"/>
                <w:sz w:val="20"/>
                <w:szCs w:val="20"/>
                <w:lang w:val="es-ES" w:eastAsia="es-MX"/>
              </w:rPr>
            </w:pPr>
          </w:p>
        </w:tc>
        <w:tc>
          <w:tcPr>
            <w:tcW w:w="1088" w:type="pct"/>
            <w:tcBorders>
              <w:top w:val="single" w:sz="8" w:space="0" w:color="FFFFFF" w:themeColor="background1"/>
              <w:left w:val="single" w:sz="4" w:space="0" w:color="C0C0C0"/>
              <w:bottom w:val="single" w:sz="4" w:space="0" w:color="C0C0C0"/>
              <w:right w:val="single" w:sz="4" w:space="0" w:color="C0C0C0"/>
            </w:tcBorders>
            <w:shd w:val="clear" w:color="auto" w:fill="C0C0C0"/>
            <w:vAlign w:val="center"/>
          </w:tcPr>
          <w:p w14:paraId="73829ADE" w14:textId="77777777" w:rsidR="00E33B08" w:rsidRPr="0072484E" w:rsidRDefault="00E33B08">
            <w:pPr>
              <w:ind w:left="17" w:hanging="17"/>
              <w:jc w:val="center"/>
              <w:rPr>
                <w:b/>
                <w:bCs/>
                <w:kern w:val="24"/>
                <w:sz w:val="20"/>
                <w:szCs w:val="20"/>
                <w:lang w:val="es-ES" w:eastAsia="es-MX"/>
              </w:rPr>
            </w:pPr>
            <w:r w:rsidRPr="00764246">
              <w:rPr>
                <w:b/>
                <w:bCs/>
                <w:kern w:val="24"/>
                <w:sz w:val="20"/>
                <w:szCs w:val="20"/>
                <w:lang w:val="es-ES" w:eastAsia="es-MX"/>
              </w:rPr>
              <w:t>Actividades secundarias</w:t>
            </w:r>
          </w:p>
        </w:tc>
        <w:tc>
          <w:tcPr>
            <w:tcW w:w="182" w:type="pct"/>
            <w:tcBorders>
              <w:top w:val="single" w:sz="8" w:space="0" w:color="FFFFFF" w:themeColor="background1"/>
              <w:left w:val="single" w:sz="4" w:space="0" w:color="C0C0C0"/>
              <w:bottom w:val="single" w:sz="4" w:space="0" w:color="FFFFFF" w:themeColor="background1"/>
              <w:right w:val="single" w:sz="4" w:space="0" w:color="C0C0C0"/>
            </w:tcBorders>
          </w:tcPr>
          <w:p w14:paraId="747C349A" w14:textId="77777777" w:rsidR="00E33B08" w:rsidRPr="009B2FB6" w:rsidRDefault="00E33B08">
            <w:pPr>
              <w:ind w:left="17" w:hanging="17"/>
              <w:jc w:val="center"/>
              <w:rPr>
                <w:b/>
                <w:bCs/>
                <w:kern w:val="24"/>
                <w:sz w:val="20"/>
                <w:szCs w:val="20"/>
                <w:lang w:val="es-ES" w:eastAsia="es-MX"/>
              </w:rPr>
            </w:pPr>
          </w:p>
        </w:tc>
        <w:tc>
          <w:tcPr>
            <w:tcW w:w="1094" w:type="pct"/>
            <w:tcBorders>
              <w:left w:val="single" w:sz="4" w:space="0" w:color="C0C0C0"/>
              <w:bottom w:val="single" w:sz="8" w:space="0" w:color="FFFFFF" w:themeColor="background1"/>
              <w:right w:val="single" w:sz="4" w:space="0" w:color="C0C0C0"/>
            </w:tcBorders>
            <w:shd w:val="clear" w:color="auto" w:fill="C0C0C0"/>
          </w:tcPr>
          <w:p w14:paraId="42430744" w14:textId="0555F80F" w:rsidR="00E33B08" w:rsidRPr="0072484E" w:rsidRDefault="00E33B08" w:rsidP="00E33B08">
            <w:pPr>
              <w:ind w:left="17" w:hanging="17"/>
              <w:jc w:val="center"/>
              <w:rPr>
                <w:b/>
                <w:bCs/>
                <w:kern w:val="24"/>
                <w:sz w:val="20"/>
                <w:szCs w:val="20"/>
                <w:lang w:val="es-ES" w:eastAsia="es-MX"/>
              </w:rPr>
            </w:pPr>
            <w:r w:rsidRPr="00E33B08">
              <w:rPr>
                <w:b/>
                <w:bCs/>
                <w:kern w:val="24"/>
                <w:sz w:val="20"/>
                <w:szCs w:val="20"/>
                <w:lang w:val="es-ES" w:eastAsia="es-MX"/>
              </w:rPr>
              <w:t>Actividades terciarias</w:t>
            </w:r>
          </w:p>
        </w:tc>
      </w:tr>
      <w:tr w:rsidR="00E33B08" w:rsidRPr="009B2FB6" w14:paraId="74BE9E9C" w14:textId="77777777" w:rsidTr="00DE401B">
        <w:trPr>
          <w:trHeight w:val="396"/>
        </w:trPr>
        <w:tc>
          <w:tcPr>
            <w:tcW w:w="1151" w:type="pct"/>
            <w:tcBorders>
              <w:top w:val="single" w:sz="8" w:space="0" w:color="FFFFFF" w:themeColor="background1"/>
              <w:left w:val="single" w:sz="4" w:space="0" w:color="C0C0C0"/>
              <w:bottom w:val="single" w:sz="4" w:space="0" w:color="C0C0C0"/>
              <w:right w:val="single" w:sz="4" w:space="0" w:color="C0C0C0"/>
            </w:tcBorders>
            <w:shd w:val="clear" w:color="auto" w:fill="F2F2F2"/>
            <w:tcMar>
              <w:top w:w="72" w:type="dxa"/>
              <w:left w:w="57" w:type="dxa"/>
              <w:bottom w:w="72" w:type="dxa"/>
              <w:right w:w="57" w:type="dxa"/>
            </w:tcMar>
            <w:vAlign w:val="center"/>
          </w:tcPr>
          <w:p w14:paraId="16C849B3" w14:textId="64A58D75" w:rsidR="00E33B08" w:rsidRDefault="00090CF7">
            <w:pPr>
              <w:ind w:left="17" w:hanging="17"/>
              <w:jc w:val="center"/>
              <w:rPr>
                <w:b/>
                <w:bCs/>
                <w:kern w:val="24"/>
                <w:sz w:val="20"/>
                <w:szCs w:val="20"/>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c>
          <w:tcPr>
            <w:tcW w:w="183" w:type="pct"/>
            <w:tcBorders>
              <w:top w:val="single" w:sz="8" w:space="0" w:color="FFFFFF" w:themeColor="background1"/>
              <w:left w:val="single" w:sz="4" w:space="0" w:color="C0C0C0"/>
              <w:bottom w:val="single" w:sz="4" w:space="0" w:color="FFFFFF" w:themeColor="background1"/>
              <w:right w:val="single" w:sz="4" w:space="0" w:color="C0C0C0"/>
            </w:tcBorders>
          </w:tcPr>
          <w:p w14:paraId="1CC02535" w14:textId="77777777" w:rsidR="00E33B08" w:rsidRPr="009B2FB6" w:rsidRDefault="00E33B08">
            <w:pPr>
              <w:spacing w:before="120" w:after="120"/>
              <w:ind w:left="16" w:hanging="16"/>
              <w:jc w:val="center"/>
              <w:rPr>
                <w:b/>
                <w:bCs/>
                <w:kern w:val="24"/>
                <w:sz w:val="20"/>
                <w:szCs w:val="20"/>
                <w:lang w:val="es-ES" w:eastAsia="es-MX"/>
              </w:rPr>
            </w:pPr>
          </w:p>
        </w:tc>
        <w:tc>
          <w:tcPr>
            <w:tcW w:w="1119" w:type="pct"/>
            <w:tcBorders>
              <w:top w:val="single" w:sz="8" w:space="0" w:color="FFFFFF" w:themeColor="background1"/>
              <w:left w:val="single" w:sz="4" w:space="0" w:color="C0C0C0"/>
              <w:bottom w:val="single" w:sz="4" w:space="0" w:color="C0C0C0"/>
              <w:right w:val="single" w:sz="4" w:space="0" w:color="C0C0C0"/>
            </w:tcBorders>
            <w:shd w:val="clear" w:color="auto" w:fill="F2F2F2"/>
            <w:tcMar>
              <w:top w:w="72" w:type="dxa"/>
              <w:left w:w="57" w:type="dxa"/>
              <w:bottom w:w="72" w:type="dxa"/>
              <w:right w:w="57" w:type="dxa"/>
            </w:tcMar>
            <w:vAlign w:val="center"/>
          </w:tcPr>
          <w:p w14:paraId="1260192E" w14:textId="24B88652" w:rsidR="00E33B08" w:rsidRDefault="00090CF7">
            <w:pPr>
              <w:ind w:left="17" w:hanging="17"/>
              <w:jc w:val="center"/>
              <w:rPr>
                <w:b/>
                <w:bCs/>
                <w:kern w:val="24"/>
                <w:sz w:val="20"/>
                <w:szCs w:val="20"/>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c>
          <w:tcPr>
            <w:tcW w:w="183" w:type="pct"/>
            <w:vMerge/>
            <w:tcBorders>
              <w:top w:val="single" w:sz="8" w:space="0" w:color="FFFFFF" w:themeColor="background1"/>
              <w:left w:val="single" w:sz="4" w:space="0" w:color="C0C0C0"/>
              <w:right w:val="single" w:sz="4" w:space="0" w:color="C0C0C0"/>
            </w:tcBorders>
          </w:tcPr>
          <w:p w14:paraId="0BB2B2A9" w14:textId="77777777" w:rsidR="00E33B08" w:rsidRPr="009B2FB6" w:rsidRDefault="00E33B08">
            <w:pPr>
              <w:spacing w:before="120" w:after="120"/>
              <w:ind w:left="16" w:hanging="16"/>
              <w:jc w:val="center"/>
              <w:rPr>
                <w:b/>
                <w:bCs/>
                <w:kern w:val="24"/>
                <w:sz w:val="20"/>
                <w:szCs w:val="20"/>
                <w:lang w:val="es-ES" w:eastAsia="es-MX"/>
              </w:rPr>
            </w:pPr>
          </w:p>
        </w:tc>
        <w:tc>
          <w:tcPr>
            <w:tcW w:w="1088" w:type="pct"/>
            <w:tcBorders>
              <w:top w:val="single" w:sz="8" w:space="0" w:color="FFFFFF" w:themeColor="background1"/>
              <w:left w:val="single" w:sz="4" w:space="0" w:color="C0C0C0"/>
              <w:bottom w:val="single" w:sz="4" w:space="0" w:color="C0C0C0"/>
              <w:right w:val="single" w:sz="4" w:space="0" w:color="C0C0C0"/>
            </w:tcBorders>
            <w:shd w:val="clear" w:color="auto" w:fill="F2F2F2"/>
            <w:vAlign w:val="center"/>
          </w:tcPr>
          <w:p w14:paraId="617CB2AB" w14:textId="17C7510C" w:rsidR="00E33B08" w:rsidRDefault="00090CF7">
            <w:pPr>
              <w:ind w:left="17" w:hanging="17"/>
              <w:jc w:val="center"/>
              <w:rPr>
                <w:b/>
                <w:bCs/>
                <w:kern w:val="24"/>
                <w:sz w:val="20"/>
                <w:szCs w:val="20"/>
                <w:lang w:val="es-ES" w:eastAsia="es-MX"/>
              </w:rPr>
            </w:pPr>
            <w:r>
              <w:rPr>
                <w:b/>
                <w:bCs/>
                <w:kern w:val="24"/>
                <w:sz w:val="18"/>
                <w:szCs w:val="18"/>
                <w:lang w:val="es-ES" w:eastAsia="es-MX"/>
              </w:rPr>
              <w:t>va</w:t>
            </w:r>
            <w:r w:rsidR="00E33B08" w:rsidRPr="002D7599">
              <w:rPr>
                <w:b/>
                <w:bCs/>
                <w:kern w:val="24"/>
                <w:sz w:val="18"/>
                <w:szCs w:val="18"/>
                <w:lang w:val="es-ES" w:eastAsia="es-MX"/>
              </w:rPr>
              <w:t>riación anual</w:t>
            </w:r>
          </w:p>
        </w:tc>
        <w:tc>
          <w:tcPr>
            <w:tcW w:w="182" w:type="pct"/>
            <w:tcBorders>
              <w:top w:val="single" w:sz="8" w:space="0" w:color="FFFFFF" w:themeColor="background1"/>
              <w:left w:val="single" w:sz="4" w:space="0" w:color="C0C0C0"/>
              <w:right w:val="single" w:sz="4" w:space="0" w:color="C0C0C0"/>
            </w:tcBorders>
          </w:tcPr>
          <w:p w14:paraId="07DF2995" w14:textId="77777777" w:rsidR="00E33B08" w:rsidRPr="009B2FB6" w:rsidRDefault="00E33B08">
            <w:pPr>
              <w:ind w:left="17" w:hanging="17"/>
              <w:jc w:val="center"/>
              <w:rPr>
                <w:b/>
                <w:bCs/>
                <w:kern w:val="24"/>
                <w:sz w:val="20"/>
                <w:szCs w:val="20"/>
                <w:lang w:val="es-ES" w:eastAsia="es-MX"/>
              </w:rPr>
            </w:pPr>
          </w:p>
        </w:tc>
        <w:tc>
          <w:tcPr>
            <w:tcW w:w="1094" w:type="pct"/>
            <w:tcBorders>
              <w:top w:val="single" w:sz="8" w:space="0" w:color="FFFFFF" w:themeColor="background1"/>
              <w:left w:val="single" w:sz="4" w:space="0" w:color="C0C0C0"/>
              <w:bottom w:val="single" w:sz="4" w:space="0" w:color="C0C0C0"/>
              <w:right w:val="single" w:sz="4" w:space="0" w:color="C0C0C0"/>
            </w:tcBorders>
            <w:shd w:val="clear" w:color="auto" w:fill="F2F2F2"/>
            <w:vAlign w:val="center"/>
          </w:tcPr>
          <w:p w14:paraId="32BF6CD3" w14:textId="109CE602" w:rsidR="00E33B08" w:rsidRPr="0072484E" w:rsidRDefault="00090CF7" w:rsidP="00834CF6">
            <w:pPr>
              <w:ind w:left="17" w:hanging="17"/>
              <w:jc w:val="center"/>
              <w:rPr>
                <w:b/>
                <w:bCs/>
                <w:kern w:val="24"/>
                <w:sz w:val="18"/>
                <w:szCs w:val="18"/>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r>
      <w:tr w:rsidR="00346E63" w:rsidRPr="009B2FB6" w14:paraId="7045FB02" w14:textId="77777777" w:rsidTr="00DE401B">
        <w:trPr>
          <w:trHeight w:val="20"/>
        </w:trPr>
        <w:tc>
          <w:tcPr>
            <w:tcW w:w="1151" w:type="pct"/>
            <w:tcBorders>
              <w:top w:val="single" w:sz="4" w:space="0" w:color="C0C0C0"/>
              <w:left w:val="single" w:sz="4" w:space="0" w:color="C0C0C0"/>
              <w:bottom w:val="single" w:sz="4" w:space="0" w:color="C0C0C0"/>
              <w:right w:val="single" w:sz="4" w:space="0" w:color="C0C0C0"/>
            </w:tcBorders>
            <w:tcMar>
              <w:top w:w="72" w:type="dxa"/>
              <w:left w:w="57" w:type="dxa"/>
              <w:bottom w:w="72" w:type="dxa"/>
              <w:right w:w="57" w:type="dxa"/>
            </w:tcMar>
            <w:hideMark/>
          </w:tcPr>
          <w:p w14:paraId="4FD7BD35" w14:textId="22676B65" w:rsidR="00346E63" w:rsidRPr="00346E63" w:rsidRDefault="00346E63" w:rsidP="00346E63">
            <w:pPr>
              <w:ind w:left="797" w:hanging="797"/>
              <w:jc w:val="center"/>
              <w:rPr>
                <w:sz w:val="26"/>
                <w:szCs w:val="26"/>
                <w:lang w:val="es-MX" w:eastAsia="es-MX"/>
              </w:rPr>
            </w:pPr>
            <w:r w:rsidRPr="00164760">
              <w:rPr>
                <w:color w:val="808080"/>
                <w:sz w:val="26"/>
                <w:szCs w:val="26"/>
              </w:rPr>
              <w:t>▲</w:t>
            </w:r>
            <w:r w:rsidRPr="00346E63">
              <w:rPr>
                <w:sz w:val="26"/>
                <w:szCs w:val="26"/>
              </w:rPr>
              <w:t xml:space="preserve"> 2.8 % </w:t>
            </w:r>
          </w:p>
        </w:tc>
        <w:tc>
          <w:tcPr>
            <w:tcW w:w="183" w:type="pct"/>
            <w:tcBorders>
              <w:top w:val="single" w:sz="4" w:space="0" w:color="FFFFFF" w:themeColor="background1"/>
              <w:left w:val="single" w:sz="4" w:space="0" w:color="C0C0C0"/>
              <w:right w:val="single" w:sz="4" w:space="0" w:color="C0C0C0"/>
            </w:tcBorders>
          </w:tcPr>
          <w:p w14:paraId="228281E2" w14:textId="77777777" w:rsidR="00346E63" w:rsidRPr="00346E63" w:rsidRDefault="00346E63" w:rsidP="00346E63">
            <w:pPr>
              <w:ind w:left="797" w:hanging="797"/>
              <w:jc w:val="center"/>
              <w:rPr>
                <w:kern w:val="24"/>
                <w:sz w:val="26"/>
                <w:szCs w:val="26"/>
                <w:lang w:val="es-ES" w:eastAsia="es-MX"/>
              </w:rPr>
            </w:pPr>
          </w:p>
        </w:tc>
        <w:tc>
          <w:tcPr>
            <w:tcW w:w="1119" w:type="pct"/>
            <w:tcBorders>
              <w:top w:val="single" w:sz="4" w:space="0" w:color="C0C0C0"/>
              <w:left w:val="single" w:sz="4" w:space="0" w:color="C0C0C0"/>
              <w:bottom w:val="single" w:sz="4" w:space="0" w:color="C0C0C0"/>
              <w:right w:val="single" w:sz="4" w:space="0" w:color="C0C0C0"/>
            </w:tcBorders>
            <w:tcMar>
              <w:top w:w="72" w:type="dxa"/>
              <w:left w:w="57" w:type="dxa"/>
              <w:bottom w:w="72" w:type="dxa"/>
              <w:right w:w="57" w:type="dxa"/>
            </w:tcMar>
            <w:hideMark/>
          </w:tcPr>
          <w:p w14:paraId="03BD7699" w14:textId="4C5ED3AA" w:rsidR="00346E63" w:rsidRPr="00346E63" w:rsidRDefault="00346E63" w:rsidP="00346E63">
            <w:pPr>
              <w:ind w:left="797" w:hanging="797"/>
              <w:jc w:val="center"/>
              <w:rPr>
                <w:sz w:val="26"/>
                <w:szCs w:val="26"/>
                <w:lang w:val="es-MX" w:eastAsia="es-MX"/>
              </w:rPr>
            </w:pPr>
            <w:r w:rsidRPr="00164760">
              <w:rPr>
                <w:color w:val="808080"/>
                <w:sz w:val="26"/>
                <w:szCs w:val="26"/>
              </w:rPr>
              <w:t>▲</w:t>
            </w:r>
            <w:r w:rsidRPr="00346E63">
              <w:rPr>
                <w:sz w:val="26"/>
                <w:szCs w:val="26"/>
              </w:rPr>
              <w:t xml:space="preserve"> 86.9 % </w:t>
            </w:r>
          </w:p>
        </w:tc>
        <w:tc>
          <w:tcPr>
            <w:tcW w:w="183" w:type="pct"/>
            <w:vMerge/>
            <w:tcBorders>
              <w:left w:val="single" w:sz="4" w:space="0" w:color="C0C0C0"/>
              <w:bottom w:val="single" w:sz="4" w:space="0" w:color="FFFFFF" w:themeColor="background1"/>
              <w:right w:val="single" w:sz="4" w:space="0" w:color="C0C0C0"/>
            </w:tcBorders>
          </w:tcPr>
          <w:p w14:paraId="167B879A" w14:textId="77777777" w:rsidR="00346E63" w:rsidRPr="00346E63" w:rsidRDefault="00346E63" w:rsidP="00346E63">
            <w:pPr>
              <w:spacing w:before="120" w:after="120"/>
              <w:ind w:left="16" w:hanging="16"/>
              <w:jc w:val="center"/>
              <w:rPr>
                <w:b/>
                <w:bCs/>
                <w:kern w:val="24"/>
                <w:sz w:val="26"/>
                <w:szCs w:val="26"/>
                <w:lang w:val="es-ES" w:eastAsia="es-MX"/>
              </w:rPr>
            </w:pPr>
          </w:p>
        </w:tc>
        <w:tc>
          <w:tcPr>
            <w:tcW w:w="1088" w:type="pct"/>
            <w:tcBorders>
              <w:top w:val="single" w:sz="4" w:space="0" w:color="C0C0C0"/>
              <w:left w:val="single" w:sz="4" w:space="0" w:color="C0C0C0"/>
              <w:bottom w:val="single" w:sz="4" w:space="0" w:color="C0C0C0"/>
              <w:right w:val="single" w:sz="4" w:space="0" w:color="C0C0C0"/>
            </w:tcBorders>
          </w:tcPr>
          <w:p w14:paraId="1C0DE561" w14:textId="1111E96D" w:rsidR="00346E63" w:rsidRPr="00346E63" w:rsidRDefault="00346E63" w:rsidP="00346E63">
            <w:pPr>
              <w:jc w:val="center"/>
              <w:rPr>
                <w:kern w:val="24"/>
                <w:sz w:val="26"/>
                <w:szCs w:val="26"/>
                <w:lang w:val="es-ES" w:eastAsia="es-MX"/>
              </w:rPr>
            </w:pPr>
            <w:r w:rsidRPr="00164760">
              <w:rPr>
                <w:color w:val="808080"/>
                <w:sz w:val="26"/>
                <w:szCs w:val="26"/>
              </w:rPr>
              <w:t>▼</w:t>
            </w:r>
            <w:r w:rsidRPr="00346E63">
              <w:rPr>
                <w:sz w:val="26"/>
                <w:szCs w:val="26"/>
              </w:rPr>
              <w:t xml:space="preserve"> -9.3 % </w:t>
            </w:r>
          </w:p>
        </w:tc>
        <w:tc>
          <w:tcPr>
            <w:tcW w:w="182" w:type="pct"/>
            <w:tcBorders>
              <w:left w:val="single" w:sz="4" w:space="0" w:color="C0C0C0"/>
              <w:right w:val="single" w:sz="4" w:space="0" w:color="C0C0C0"/>
            </w:tcBorders>
          </w:tcPr>
          <w:p w14:paraId="5C258A2F" w14:textId="77777777" w:rsidR="00346E63" w:rsidRPr="00346E63" w:rsidRDefault="00346E63" w:rsidP="00346E63">
            <w:pPr>
              <w:jc w:val="center"/>
              <w:rPr>
                <w:kern w:val="24"/>
                <w:sz w:val="26"/>
                <w:szCs w:val="26"/>
                <w:lang w:val="es-ES" w:eastAsia="es-MX"/>
              </w:rPr>
            </w:pPr>
          </w:p>
        </w:tc>
        <w:tc>
          <w:tcPr>
            <w:tcW w:w="1094" w:type="pct"/>
            <w:tcBorders>
              <w:top w:val="single" w:sz="4" w:space="0" w:color="C0C0C0"/>
              <w:left w:val="single" w:sz="4" w:space="0" w:color="C0C0C0"/>
              <w:bottom w:val="single" w:sz="4" w:space="0" w:color="C0C0C0"/>
              <w:right w:val="single" w:sz="4" w:space="0" w:color="C0C0C0"/>
            </w:tcBorders>
          </w:tcPr>
          <w:p w14:paraId="27332603" w14:textId="3A7CE6C8" w:rsidR="00346E63" w:rsidRPr="00346E63" w:rsidRDefault="00346E63" w:rsidP="00346E63">
            <w:pPr>
              <w:jc w:val="center"/>
              <w:rPr>
                <w:kern w:val="24"/>
                <w:sz w:val="26"/>
                <w:szCs w:val="26"/>
                <w:lang w:val="es-ES" w:eastAsia="es-MX"/>
              </w:rPr>
            </w:pPr>
            <w:r w:rsidRPr="00164760">
              <w:rPr>
                <w:color w:val="808080"/>
                <w:sz w:val="26"/>
                <w:szCs w:val="26"/>
              </w:rPr>
              <w:t>▲</w:t>
            </w:r>
            <w:r w:rsidRPr="00346E63">
              <w:rPr>
                <w:sz w:val="26"/>
                <w:szCs w:val="26"/>
              </w:rPr>
              <w:t xml:space="preserve"> 2.9 % </w:t>
            </w:r>
          </w:p>
        </w:tc>
      </w:tr>
    </w:tbl>
    <w:p w14:paraId="47BB653A" w14:textId="77777777" w:rsidR="00E33B08" w:rsidRDefault="00E33B08" w:rsidP="00E33B08">
      <w:pPr>
        <w:pStyle w:val="Prrafodelista"/>
        <w:ind w:left="0"/>
        <w:jc w:val="center"/>
        <w:rPr>
          <w:b/>
          <w:bCs/>
          <w:szCs w:val="28"/>
        </w:rPr>
      </w:pPr>
    </w:p>
    <w:p w14:paraId="7B273251" w14:textId="77777777" w:rsidR="00E33B08" w:rsidRDefault="00E33B08" w:rsidP="00E33B08">
      <w:pPr>
        <w:pStyle w:val="Prrafodelista"/>
        <w:ind w:left="0"/>
        <w:jc w:val="center"/>
        <w:rPr>
          <w:b/>
          <w:bCs/>
          <w:szCs w:val="28"/>
        </w:rPr>
      </w:pPr>
    </w:p>
    <w:p w14:paraId="29C23BDF" w14:textId="77777777" w:rsidR="00E33B08" w:rsidRDefault="00E33B08" w:rsidP="00E33B08">
      <w:pPr>
        <w:pStyle w:val="Prrafodelista"/>
        <w:ind w:left="0"/>
        <w:jc w:val="center"/>
        <w:rPr>
          <w:b/>
          <w:bCs/>
          <w:szCs w:val="28"/>
        </w:rPr>
      </w:pPr>
    </w:p>
    <w:p w14:paraId="1B7FA9F6" w14:textId="77777777" w:rsidR="00E33B08" w:rsidRDefault="00E33B08" w:rsidP="00E33B08">
      <w:pPr>
        <w:pStyle w:val="Prrafodelista"/>
        <w:ind w:left="0"/>
        <w:jc w:val="center"/>
        <w:rPr>
          <w:b/>
          <w:bCs/>
          <w:szCs w:val="28"/>
        </w:rPr>
      </w:pPr>
    </w:p>
    <w:p w14:paraId="0BA814F1" w14:textId="77777777" w:rsidR="00E33B08" w:rsidRDefault="00E33B08" w:rsidP="00E33B08">
      <w:pPr>
        <w:pStyle w:val="Prrafodelista"/>
        <w:ind w:left="0"/>
        <w:jc w:val="center"/>
        <w:rPr>
          <w:b/>
          <w:bCs/>
          <w:szCs w:val="28"/>
        </w:rPr>
      </w:pPr>
    </w:p>
    <w:p w14:paraId="4A381B78" w14:textId="77777777" w:rsidR="00E33B08" w:rsidRDefault="00E33B08" w:rsidP="00E33B08">
      <w:pPr>
        <w:pStyle w:val="Prrafodelista"/>
        <w:ind w:left="0"/>
        <w:jc w:val="center"/>
        <w:rPr>
          <w:b/>
          <w:bCs/>
          <w:szCs w:val="28"/>
        </w:rPr>
      </w:pPr>
    </w:p>
    <w:p w14:paraId="6582B417" w14:textId="77777777" w:rsidR="00E33B08" w:rsidRDefault="00E33B08" w:rsidP="00E33B08">
      <w:pPr>
        <w:pStyle w:val="Prrafodelista"/>
        <w:ind w:left="0"/>
        <w:jc w:val="center"/>
        <w:rPr>
          <w:b/>
          <w:bCs/>
          <w:szCs w:val="28"/>
        </w:rPr>
      </w:pPr>
    </w:p>
    <w:p w14:paraId="6243CCF7" w14:textId="77777777" w:rsidR="00E33B08" w:rsidRDefault="00E33B08" w:rsidP="00E33B08">
      <w:pPr>
        <w:pStyle w:val="Prrafodelista"/>
        <w:ind w:left="0"/>
        <w:jc w:val="center"/>
        <w:rPr>
          <w:b/>
          <w:bCs/>
          <w:szCs w:val="28"/>
        </w:rPr>
      </w:pPr>
    </w:p>
    <w:p w14:paraId="0BA0F574" w14:textId="77777777" w:rsidR="00834CF6" w:rsidRDefault="00834CF6" w:rsidP="00C06D95">
      <w:pPr>
        <w:pStyle w:val="Prrafodelista"/>
        <w:ind w:left="0"/>
        <w:jc w:val="center"/>
        <w:rPr>
          <w:b/>
          <w:bCs/>
          <w:szCs w:val="28"/>
        </w:rPr>
      </w:pPr>
    </w:p>
    <w:p w14:paraId="60424200" w14:textId="228BE534" w:rsidR="0072484E" w:rsidRDefault="004E7E27" w:rsidP="00C06D95">
      <w:pPr>
        <w:pStyle w:val="Prrafodelista"/>
        <w:ind w:left="0"/>
        <w:jc w:val="center"/>
        <w:rPr>
          <w:b/>
          <w:bCs/>
          <w:szCs w:val="28"/>
        </w:rPr>
      </w:pPr>
      <w:r w:rsidRPr="004E7E27">
        <w:rPr>
          <w:b/>
          <w:bCs/>
          <w:szCs w:val="28"/>
        </w:rPr>
        <w:t>Aumentó 2.8</w:t>
      </w:r>
      <w:r w:rsidR="0011474B">
        <w:rPr>
          <w:b/>
          <w:bCs/>
          <w:szCs w:val="28"/>
        </w:rPr>
        <w:t> %</w:t>
      </w:r>
      <w:r w:rsidRPr="004E7E27">
        <w:rPr>
          <w:b/>
          <w:bCs/>
          <w:szCs w:val="28"/>
        </w:rPr>
        <w:t xml:space="preserve"> la actividad económica de Baja California Sur</w:t>
      </w:r>
    </w:p>
    <w:p w14:paraId="14F5C569" w14:textId="3CB66B06" w:rsidR="00E05EAA" w:rsidRPr="00353138" w:rsidRDefault="00E46EA0" w:rsidP="00C06D95">
      <w:pPr>
        <w:pStyle w:val="Prrafodelista"/>
        <w:ind w:left="0"/>
        <w:jc w:val="center"/>
        <w:rPr>
          <w:b/>
          <w:bCs/>
          <w:szCs w:val="28"/>
        </w:rPr>
      </w:pPr>
      <w:r>
        <w:rPr>
          <w:b/>
          <w:bCs/>
          <w:szCs w:val="28"/>
        </w:rPr>
        <w:t xml:space="preserve">en el </w:t>
      </w:r>
      <w:r w:rsidR="0084387E">
        <w:rPr>
          <w:b/>
          <w:bCs/>
          <w:szCs w:val="28"/>
        </w:rPr>
        <w:t>segundo</w:t>
      </w:r>
      <w:r w:rsidR="00833C67">
        <w:rPr>
          <w:b/>
          <w:bCs/>
          <w:szCs w:val="28"/>
        </w:rPr>
        <w:t xml:space="preserve"> trimestre</w:t>
      </w:r>
      <w:r>
        <w:rPr>
          <w:b/>
          <w:bCs/>
          <w:szCs w:val="28"/>
        </w:rPr>
        <w:t xml:space="preserve"> de</w:t>
      </w:r>
      <w:r w:rsidRPr="00353138">
        <w:rPr>
          <w:b/>
          <w:bCs/>
          <w:szCs w:val="28"/>
        </w:rPr>
        <w:t xml:space="preserve"> 202</w:t>
      </w:r>
      <w:r w:rsidR="00D6520D">
        <w:rPr>
          <w:b/>
          <w:bCs/>
          <w:szCs w:val="28"/>
        </w:rPr>
        <w:t>6</w:t>
      </w:r>
      <w:r w:rsidR="0072484E">
        <w:rPr>
          <w:b/>
          <w:bCs/>
          <w:szCs w:val="28"/>
        </w:rPr>
        <w:t>, a tasa anual</w:t>
      </w:r>
    </w:p>
    <w:p w14:paraId="34B1607B" w14:textId="3B6CBFA8" w:rsidR="00F54014" w:rsidRDefault="00E05EAA" w:rsidP="00633216">
      <w:pPr>
        <w:pStyle w:val="Prrafodelista"/>
        <w:spacing w:before="220"/>
        <w:ind w:left="0"/>
      </w:pPr>
      <w:r w:rsidRPr="12B4AF78">
        <w:rPr>
          <w:lang w:val="es-ES"/>
        </w:rPr>
        <w:t>E</w:t>
      </w:r>
      <w:r w:rsidR="00F75050" w:rsidRPr="12B4AF78">
        <w:rPr>
          <w:lang w:val="es-ES"/>
        </w:rPr>
        <w:t xml:space="preserve">l </w:t>
      </w:r>
      <w:r w:rsidR="002D2065" w:rsidRPr="12B4AF78">
        <w:rPr>
          <w:lang w:val="es-ES"/>
        </w:rPr>
        <w:t xml:space="preserve">Indicador Trimestral de la Actividad Económica Estatal </w:t>
      </w:r>
      <w:r w:rsidR="002D2065" w:rsidRPr="12B4AF78">
        <w:rPr>
          <w:smallCaps/>
          <w:lang w:val="es-ES"/>
        </w:rPr>
        <w:t xml:space="preserve">(itaee) </w:t>
      </w:r>
      <w:r w:rsidR="00B50A1F" w:rsidRPr="12B4AF78">
        <w:rPr>
          <w:lang w:val="es-ES"/>
        </w:rPr>
        <w:t xml:space="preserve">ofrece </w:t>
      </w:r>
      <w:r w:rsidR="00DF27A8" w:rsidRPr="12B4AF78">
        <w:rPr>
          <w:lang w:val="es-ES"/>
        </w:rPr>
        <w:t>el</w:t>
      </w:r>
      <w:r w:rsidR="00B50A1F" w:rsidRPr="12B4AF78">
        <w:rPr>
          <w:lang w:val="es-ES"/>
        </w:rPr>
        <w:t xml:space="preserve"> panorama sobre la evolución económica de las entidades federativas del </w:t>
      </w:r>
      <w:r w:rsidR="003F14F2" w:rsidRPr="12B4AF78">
        <w:rPr>
          <w:lang w:val="es-ES"/>
        </w:rPr>
        <w:t xml:space="preserve">país. El dato anual del </w:t>
      </w:r>
      <w:r w:rsidR="007C5A4C" w:rsidRPr="12B4AF78">
        <w:rPr>
          <w:smallCaps/>
          <w:lang w:val="es-ES"/>
        </w:rPr>
        <w:t>itaee</w:t>
      </w:r>
      <w:r w:rsidR="003F14F2" w:rsidRPr="12B4AF78">
        <w:rPr>
          <w:lang w:val="es-ES"/>
        </w:rPr>
        <w:t xml:space="preserve"> es un resultado preliminar de la tendencia del Producto Interno Bruto por Entidad Federativa (</w:t>
      </w:r>
      <w:r w:rsidR="007C5A4C" w:rsidRPr="12B4AF78">
        <w:rPr>
          <w:smallCaps/>
          <w:lang w:val="es-ES"/>
        </w:rPr>
        <w:t>pibe</w:t>
      </w:r>
      <w:r w:rsidR="003F14F2" w:rsidRPr="12B4AF78">
        <w:rPr>
          <w:lang w:val="es-ES"/>
        </w:rPr>
        <w:t>)</w:t>
      </w:r>
      <w:r w:rsidR="00536ED4" w:rsidRPr="12B4AF78">
        <w:rPr>
          <w:lang w:val="es-ES"/>
        </w:rPr>
        <w:t>.</w:t>
      </w:r>
    </w:p>
    <w:p w14:paraId="6E2CBFEA" w14:textId="748F7C08" w:rsidR="00B52868" w:rsidRDefault="00B52868" w:rsidP="00B52868">
      <w:pPr>
        <w:pStyle w:val="Ttulo4"/>
        <w:keepNext w:val="0"/>
        <w:keepLines w:val="0"/>
        <w:spacing w:before="240"/>
        <w:jc w:val="center"/>
        <w:rPr>
          <w:rFonts w:ascii="Arial" w:hAnsi="Arial" w:cs="Arial"/>
          <w:b/>
          <w:bCs/>
          <w:i w:val="0"/>
          <w:smallCaps/>
          <w:color w:val="auto"/>
          <w:sz w:val="26"/>
          <w:szCs w:val="26"/>
        </w:rPr>
      </w:pPr>
      <w:bookmarkStart w:id="1" w:name="_Hlk180673103"/>
      <w:bookmarkStart w:id="2" w:name="_Hlk123837737"/>
      <w:r w:rsidRPr="00B52868">
        <w:rPr>
          <w:rFonts w:ascii="Arial" w:hAnsi="Arial" w:cs="Arial"/>
          <w:b/>
          <w:bCs/>
          <w:i w:val="0"/>
          <w:smallCaps/>
          <w:color w:val="auto"/>
          <w:sz w:val="26"/>
          <w:szCs w:val="26"/>
        </w:rPr>
        <w:t xml:space="preserve">i. principales resultados para </w:t>
      </w:r>
      <w:r w:rsidR="00941178">
        <w:rPr>
          <w:rFonts w:ascii="Arial" w:hAnsi="Arial" w:cs="Arial"/>
          <w:b/>
          <w:bCs/>
          <w:i w:val="0"/>
          <w:smallCaps/>
          <w:color w:val="auto"/>
          <w:sz w:val="26"/>
          <w:szCs w:val="26"/>
        </w:rPr>
        <w:t>b</w:t>
      </w:r>
      <w:r w:rsidR="00780E9F">
        <w:rPr>
          <w:rFonts w:ascii="Arial" w:hAnsi="Arial" w:cs="Arial"/>
          <w:b/>
          <w:bCs/>
          <w:i w:val="0"/>
          <w:smallCaps/>
          <w:color w:val="auto"/>
          <w:sz w:val="26"/>
          <w:szCs w:val="26"/>
        </w:rPr>
        <w:t xml:space="preserve">aja </w:t>
      </w:r>
      <w:r w:rsidR="00941178">
        <w:rPr>
          <w:rFonts w:ascii="Arial" w:hAnsi="Arial" w:cs="Arial"/>
          <w:b/>
          <w:bCs/>
          <w:i w:val="0"/>
          <w:smallCaps/>
          <w:color w:val="auto"/>
          <w:sz w:val="26"/>
          <w:szCs w:val="26"/>
        </w:rPr>
        <w:t>c</w:t>
      </w:r>
      <w:r w:rsidR="00780E9F">
        <w:rPr>
          <w:rFonts w:ascii="Arial" w:hAnsi="Arial" w:cs="Arial"/>
          <w:b/>
          <w:bCs/>
          <w:i w:val="0"/>
          <w:smallCaps/>
          <w:color w:val="auto"/>
          <w:sz w:val="26"/>
          <w:szCs w:val="26"/>
        </w:rPr>
        <w:t xml:space="preserve">alifornia </w:t>
      </w:r>
      <w:r w:rsidR="00941178">
        <w:rPr>
          <w:rFonts w:ascii="Arial" w:hAnsi="Arial" w:cs="Arial"/>
          <w:b/>
          <w:bCs/>
          <w:i w:val="0"/>
          <w:smallCaps/>
          <w:color w:val="auto"/>
          <w:sz w:val="26"/>
          <w:szCs w:val="26"/>
        </w:rPr>
        <w:t>s</w:t>
      </w:r>
      <w:r w:rsidR="00780E9F">
        <w:rPr>
          <w:rFonts w:ascii="Arial" w:hAnsi="Arial" w:cs="Arial"/>
          <w:b/>
          <w:bCs/>
          <w:i w:val="0"/>
          <w:smallCaps/>
          <w:color w:val="auto"/>
          <w:sz w:val="26"/>
          <w:szCs w:val="26"/>
        </w:rPr>
        <w:t>ur</w:t>
      </w:r>
      <w:bookmarkEnd w:id="1"/>
    </w:p>
    <w:p w14:paraId="628EE07B" w14:textId="77777777" w:rsidR="00B52868" w:rsidRPr="00B52868" w:rsidRDefault="00B52868" w:rsidP="00B52868"/>
    <w:p w14:paraId="385F478F" w14:textId="41946A18" w:rsidR="00CE5820" w:rsidRDefault="004E7E27" w:rsidP="00B52868">
      <w:pPr>
        <w:ind w:right="21"/>
        <w:rPr>
          <w:lang w:eastAsia="es-MX"/>
        </w:rPr>
      </w:pPr>
      <w:r w:rsidRPr="004E7E27">
        <w:rPr>
          <w:lang w:eastAsia="es-MX"/>
        </w:rPr>
        <w:t xml:space="preserve">En el segundo trimestre de 2026, la </w:t>
      </w:r>
      <w:r w:rsidRPr="00255BE1">
        <w:rPr>
          <w:i/>
          <w:iCs/>
          <w:lang w:eastAsia="es-MX"/>
        </w:rPr>
        <w:t>actividad económica total</w:t>
      </w:r>
      <w:r w:rsidRPr="004E7E27">
        <w:rPr>
          <w:lang w:eastAsia="es-MX"/>
        </w:rPr>
        <w:t xml:space="preserve"> de </w:t>
      </w:r>
      <w:r w:rsidRPr="00C071B2">
        <w:rPr>
          <w:lang w:eastAsia="es-MX"/>
        </w:rPr>
        <w:t>Baja California Sur</w:t>
      </w:r>
      <w:r w:rsidRPr="004E7E27">
        <w:rPr>
          <w:lang w:eastAsia="es-MX"/>
        </w:rPr>
        <w:t xml:space="preserve"> mostró un crecimiento anual de 2.8 por ciento. Este resultado se explica por el avance de las </w:t>
      </w:r>
      <w:r w:rsidRPr="00255BE1">
        <w:rPr>
          <w:i/>
          <w:iCs/>
          <w:lang w:eastAsia="es-MX"/>
        </w:rPr>
        <w:t>actividades</w:t>
      </w:r>
      <w:r w:rsidRPr="004E7E27">
        <w:rPr>
          <w:lang w:eastAsia="es-MX"/>
        </w:rPr>
        <w:t xml:space="preserve"> </w:t>
      </w:r>
      <w:r w:rsidRPr="00255BE1">
        <w:rPr>
          <w:i/>
          <w:iCs/>
          <w:lang w:eastAsia="es-MX"/>
        </w:rPr>
        <w:t>primarias</w:t>
      </w:r>
      <w:r w:rsidRPr="004E7E27">
        <w:rPr>
          <w:lang w:eastAsia="es-MX"/>
        </w:rPr>
        <w:t xml:space="preserve"> y </w:t>
      </w:r>
      <w:r w:rsidRPr="00255BE1">
        <w:rPr>
          <w:i/>
          <w:iCs/>
          <w:lang w:eastAsia="es-MX"/>
        </w:rPr>
        <w:t>terciarias</w:t>
      </w:r>
      <w:r w:rsidRPr="004E7E27">
        <w:rPr>
          <w:lang w:eastAsia="es-MX"/>
        </w:rPr>
        <w:t xml:space="preserve"> de 86.9 y 2.9</w:t>
      </w:r>
      <w:r w:rsidR="0011474B">
        <w:rPr>
          <w:lang w:eastAsia="es-MX"/>
        </w:rPr>
        <w:t> %</w:t>
      </w:r>
      <w:r w:rsidRPr="004E7E27">
        <w:rPr>
          <w:lang w:eastAsia="es-MX"/>
        </w:rPr>
        <w:t xml:space="preserve">, respectivamente. A su vez, las </w:t>
      </w:r>
      <w:r w:rsidRPr="00255BE1">
        <w:rPr>
          <w:i/>
          <w:iCs/>
          <w:lang w:eastAsia="es-MX"/>
        </w:rPr>
        <w:t>secundarias</w:t>
      </w:r>
      <w:r w:rsidRPr="004E7E27">
        <w:rPr>
          <w:lang w:eastAsia="es-MX"/>
        </w:rPr>
        <w:t xml:space="preserve"> retrocedieron 9.3</w:t>
      </w:r>
      <w:r w:rsidR="0011474B">
        <w:rPr>
          <w:lang w:eastAsia="es-MX"/>
        </w:rPr>
        <w:t> %</w:t>
      </w:r>
      <w:r w:rsidRPr="004E7E27">
        <w:rPr>
          <w:lang w:eastAsia="es-MX"/>
        </w:rPr>
        <w:t xml:space="preserve"> (ver gráfica 1).</w:t>
      </w:r>
    </w:p>
    <w:p w14:paraId="1F5BC123" w14:textId="77777777" w:rsidR="004E7E27" w:rsidRDefault="004E7E27" w:rsidP="00B52868">
      <w:pPr>
        <w:ind w:right="21"/>
        <w:rPr>
          <w:lang w:eastAsia="es-MX"/>
        </w:rPr>
      </w:pPr>
    </w:p>
    <w:p w14:paraId="48033637" w14:textId="77777777" w:rsidR="0028435E" w:rsidRPr="002E59FB" w:rsidRDefault="0028435E" w:rsidP="0028435E">
      <w:pPr>
        <w:ind w:left="-251" w:right="-246"/>
        <w:jc w:val="center"/>
        <w:rPr>
          <w:bCs/>
          <w:color w:val="003057"/>
          <w:sz w:val="20"/>
          <w:szCs w:val="20"/>
        </w:rPr>
      </w:pPr>
      <w:r w:rsidRPr="002E59FB">
        <w:rPr>
          <w:bCs/>
          <w:color w:val="003057"/>
          <w:sz w:val="20"/>
          <w:szCs w:val="20"/>
        </w:rPr>
        <w:t>Gráfica 1</w:t>
      </w:r>
    </w:p>
    <w:p w14:paraId="36D4A406" w14:textId="10D150A1" w:rsidR="00960701" w:rsidRPr="00960701" w:rsidRDefault="002A1FBF" w:rsidP="0005322C">
      <w:pPr>
        <w:ind w:left="-251" w:right="-246"/>
        <w:jc w:val="center"/>
        <w:rPr>
          <w:b/>
          <w:color w:val="003057"/>
          <w:sz w:val="22"/>
          <w:szCs w:val="22"/>
        </w:rPr>
      </w:pPr>
      <w:r>
        <w:rPr>
          <w:b/>
          <w:color w:val="003057"/>
          <w:sz w:val="22"/>
          <w:szCs w:val="22"/>
        </w:rPr>
        <w:t xml:space="preserve">Variación </w:t>
      </w:r>
      <w:r w:rsidR="001A0C8F">
        <w:rPr>
          <w:b/>
          <w:color w:val="003057"/>
          <w:sz w:val="22"/>
          <w:szCs w:val="22"/>
        </w:rPr>
        <w:t xml:space="preserve">anual </w:t>
      </w:r>
      <w:r>
        <w:rPr>
          <w:b/>
          <w:color w:val="003057"/>
          <w:sz w:val="22"/>
          <w:szCs w:val="22"/>
        </w:rPr>
        <w:t xml:space="preserve">del </w:t>
      </w:r>
      <w:r w:rsidR="00960701" w:rsidRPr="00960701">
        <w:rPr>
          <w:b/>
          <w:color w:val="003057"/>
          <w:sz w:val="22"/>
          <w:szCs w:val="22"/>
        </w:rPr>
        <w:t>Indicador Trimestral de la Actividad Económica</w:t>
      </w:r>
      <w:r w:rsidR="000A4A28">
        <w:rPr>
          <w:b/>
          <w:color w:val="003057"/>
          <w:sz w:val="22"/>
          <w:szCs w:val="22"/>
        </w:rPr>
        <w:t xml:space="preserve"> Estatal</w:t>
      </w:r>
      <w:r w:rsidR="007A0B42">
        <w:rPr>
          <w:b/>
          <w:color w:val="003057"/>
          <w:sz w:val="22"/>
          <w:szCs w:val="22"/>
        </w:rPr>
        <w:t>,</w:t>
      </w:r>
    </w:p>
    <w:p w14:paraId="3E43C6D4" w14:textId="12986D6C" w:rsidR="0028435E" w:rsidRPr="00ED6FBD" w:rsidRDefault="00960701" w:rsidP="00960701">
      <w:pPr>
        <w:ind w:left="-251" w:right="-246"/>
        <w:jc w:val="center"/>
        <w:rPr>
          <w:b/>
          <w:smallCaps/>
          <w:color w:val="003057"/>
          <w:sz w:val="22"/>
          <w:szCs w:val="22"/>
        </w:rPr>
      </w:pPr>
      <w:r w:rsidRPr="00960701">
        <w:rPr>
          <w:b/>
          <w:color w:val="003057"/>
          <w:sz w:val="22"/>
          <w:szCs w:val="22"/>
        </w:rPr>
        <w:t>según actividad económica de</w:t>
      </w:r>
      <w:r>
        <w:rPr>
          <w:b/>
          <w:color w:val="003057"/>
          <w:sz w:val="22"/>
          <w:szCs w:val="22"/>
        </w:rPr>
        <w:t xml:space="preserve"> </w:t>
      </w:r>
      <w:r w:rsidR="00780E9F">
        <w:rPr>
          <w:b/>
          <w:color w:val="003057"/>
          <w:sz w:val="22"/>
          <w:szCs w:val="22"/>
        </w:rPr>
        <w:t>Baja California Sur</w:t>
      </w:r>
    </w:p>
    <w:p w14:paraId="492F8D9B" w14:textId="2C2C09BE" w:rsidR="0028435E" w:rsidRDefault="00FE1493" w:rsidP="0028435E">
      <w:pPr>
        <w:ind w:left="-109" w:right="-104"/>
        <w:jc w:val="center"/>
        <w:rPr>
          <w:bCs/>
          <w:color w:val="27251F"/>
          <w:sz w:val="18"/>
          <w:szCs w:val="18"/>
          <w:lang w:eastAsia="es-MX"/>
        </w:rPr>
      </w:pPr>
      <w:r>
        <w:rPr>
          <w:bCs/>
          <w:color w:val="27251F"/>
          <w:sz w:val="20"/>
          <w:lang w:eastAsia="es-MX"/>
        </w:rPr>
        <w:t>segundo</w:t>
      </w:r>
      <w:r w:rsidR="00833C67">
        <w:rPr>
          <w:bCs/>
          <w:color w:val="27251F"/>
          <w:sz w:val="20"/>
          <w:lang w:eastAsia="es-MX"/>
        </w:rPr>
        <w:t xml:space="preserve"> </w:t>
      </w:r>
      <w:r w:rsidR="003805E1">
        <w:rPr>
          <w:bCs/>
          <w:color w:val="27251F"/>
          <w:sz w:val="20"/>
          <w:lang w:eastAsia="es-MX"/>
        </w:rPr>
        <w:t>trimestre de 202</w:t>
      </w:r>
      <w:r w:rsidR="00D6520D">
        <w:rPr>
          <w:bCs/>
          <w:color w:val="27251F"/>
          <w:sz w:val="20"/>
          <w:lang w:eastAsia="es-MX"/>
        </w:rPr>
        <w:t>6</w:t>
      </w:r>
      <w:r w:rsidR="0028435E" w:rsidRPr="004C6EEB">
        <w:rPr>
          <w:color w:val="000000"/>
          <w:sz w:val="20"/>
          <w:szCs w:val="20"/>
          <w:vertAlign w:val="superscript"/>
          <w:lang w:val="es-MX" w:eastAsia="es-MX"/>
        </w:rPr>
        <w:t>1/</w:t>
      </w:r>
    </w:p>
    <w:p w14:paraId="5FEC5B6B" w14:textId="4883683B" w:rsidR="0028435E" w:rsidRDefault="0028435E" w:rsidP="00EF63BF">
      <w:pPr>
        <w:ind w:right="21"/>
        <w:jc w:val="center"/>
        <w:rPr>
          <w:bCs/>
          <w:color w:val="27251F"/>
          <w:sz w:val="18"/>
          <w:szCs w:val="18"/>
          <w:lang w:eastAsia="es-MX"/>
        </w:rPr>
      </w:pPr>
      <w:r w:rsidRPr="00ED6FBD">
        <w:rPr>
          <w:bCs/>
          <w:color w:val="27251F"/>
          <w:sz w:val="18"/>
          <w:szCs w:val="18"/>
          <w:lang w:eastAsia="es-MX"/>
        </w:rPr>
        <w:t>(</w:t>
      </w:r>
      <w:r w:rsidR="001A0C8F">
        <w:rPr>
          <w:bCs/>
          <w:color w:val="27251F"/>
          <w:sz w:val="18"/>
          <w:szCs w:val="18"/>
          <w:lang w:eastAsia="es-MX"/>
        </w:rPr>
        <w:t>porcentaje</w:t>
      </w:r>
      <w:r w:rsidRPr="00ED6FBD">
        <w:rPr>
          <w:bCs/>
          <w:color w:val="27251F"/>
          <w:sz w:val="18"/>
          <w:szCs w:val="18"/>
          <w:lang w:eastAsia="es-MX"/>
        </w:rPr>
        <w:t>)</w:t>
      </w:r>
    </w:p>
    <w:p w14:paraId="65CEE2E3" w14:textId="79628D9C" w:rsidR="00A40C00" w:rsidRPr="00180475" w:rsidRDefault="0058568B" w:rsidP="00786DAA">
      <w:pPr>
        <w:pStyle w:val="Prrafodelista"/>
        <w:ind w:left="680" w:hanging="680"/>
        <w:jc w:val="center"/>
        <w:rPr>
          <w:bCs/>
          <w:color w:val="FFFFFF" w:themeColor="background1"/>
          <w14:textFill>
            <w14:noFill/>
          </w14:textFill>
        </w:rPr>
      </w:pPr>
      <w:r>
        <w:rPr>
          <w:noProof/>
        </w:rPr>
        <w:drawing>
          <wp:inline distT="0" distB="0" distL="0" distR="0" wp14:anchorId="54DF9C6C" wp14:editId="2180B3BA">
            <wp:extent cx="3090804" cy="2016866"/>
            <wp:effectExtent l="0" t="0" r="0" b="2540"/>
            <wp:docPr id="1305702663" name="Gráfico 1">
              <a:extLst xmlns:a="http://schemas.openxmlformats.org/drawingml/2006/main">
                <a:ext uri="{FF2B5EF4-FFF2-40B4-BE49-F238E27FC236}">
                  <a16:creationId xmlns:a16="http://schemas.microsoft.com/office/drawing/2014/main" id="{00000000-0008-0000-0D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bookmarkEnd w:id="2"/>
    <w:p w14:paraId="06BBAC28" w14:textId="0BF9EA46" w:rsidR="006D1D33" w:rsidRDefault="006D1D33" w:rsidP="006D1D33">
      <w:pPr>
        <w:ind w:left="3119" w:right="2603"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r w:rsidR="00DA738C">
        <w:rPr>
          <w:color w:val="4D565E"/>
          <w:sz w:val="16"/>
          <w:szCs w:val="16"/>
          <w:lang w:eastAsia="es-MX"/>
        </w:rPr>
        <w:t>.</w:t>
      </w:r>
    </w:p>
    <w:p w14:paraId="3DC26B2C" w14:textId="4C576DCA" w:rsidR="004E44CE" w:rsidRDefault="0034064A" w:rsidP="00180475">
      <w:pPr>
        <w:ind w:left="3119" w:right="2603" w:hanging="567"/>
        <w:rPr>
          <w:lang w:val="es-ES"/>
        </w:rPr>
      </w:pPr>
      <w:r w:rsidRPr="00A330B4">
        <w:rPr>
          <w:color w:val="4D565E"/>
          <w:sz w:val="16"/>
          <w:szCs w:val="16"/>
          <w:lang w:eastAsia="es-MX"/>
        </w:rPr>
        <w:t>Fuente:</w:t>
      </w:r>
      <w:r w:rsidR="009A32BE">
        <w:rPr>
          <w:color w:val="4D565E"/>
          <w:sz w:val="16"/>
          <w:szCs w:val="16"/>
          <w:lang w:eastAsia="es-MX"/>
        </w:rPr>
        <w:tab/>
      </w:r>
      <w:r w:rsidRPr="00A330B4">
        <w:rPr>
          <w:smallCaps/>
          <w:color w:val="4D565E"/>
          <w:sz w:val="16"/>
          <w:szCs w:val="16"/>
          <w:lang w:eastAsia="es-MX"/>
        </w:rPr>
        <w:t xml:space="preserve">inegi. </w:t>
      </w:r>
      <w:r>
        <w:rPr>
          <w:color w:val="4D565E"/>
          <w:sz w:val="16"/>
          <w:szCs w:val="16"/>
          <w:lang w:eastAsia="es-MX"/>
        </w:rPr>
        <w:t>Indicador Trimestral de la Actividad Económica Estatal</w:t>
      </w:r>
      <w:r w:rsidR="006D55C1">
        <w:rPr>
          <w:color w:val="4D565E"/>
          <w:sz w:val="16"/>
          <w:szCs w:val="16"/>
          <w:lang w:eastAsia="es-MX"/>
        </w:rPr>
        <w:t xml:space="preserve"> </w:t>
      </w:r>
      <w:r w:rsidRPr="00A330B4">
        <w:rPr>
          <w:smallCaps/>
          <w:color w:val="4D565E"/>
          <w:sz w:val="16"/>
          <w:szCs w:val="16"/>
          <w:lang w:eastAsia="es-MX"/>
        </w:rPr>
        <w:t>(itaee)</w:t>
      </w:r>
      <w:r w:rsidRPr="00A330B4">
        <w:rPr>
          <w:color w:val="4D565E"/>
          <w:sz w:val="16"/>
          <w:szCs w:val="16"/>
          <w:lang w:eastAsia="es-MX"/>
        </w:rPr>
        <w:t xml:space="preserve">, </w:t>
      </w:r>
      <w:r w:rsidR="00FE1493">
        <w:rPr>
          <w:color w:val="4D565E"/>
          <w:sz w:val="16"/>
          <w:szCs w:val="16"/>
          <w:lang w:eastAsia="es-MX"/>
        </w:rPr>
        <w:t>segundo</w:t>
      </w:r>
      <w:r w:rsidR="00833C67">
        <w:rPr>
          <w:color w:val="4D565E"/>
          <w:sz w:val="16"/>
          <w:szCs w:val="16"/>
          <w:lang w:eastAsia="es-MX"/>
        </w:rPr>
        <w:t xml:space="preserve"> trimestre</w:t>
      </w:r>
      <w:r w:rsidRPr="00A330B4">
        <w:rPr>
          <w:color w:val="4D565E"/>
          <w:sz w:val="16"/>
          <w:szCs w:val="16"/>
          <w:lang w:eastAsia="es-MX"/>
        </w:rPr>
        <w:t xml:space="preserve"> de 202</w:t>
      </w:r>
      <w:r w:rsidR="00D6520D">
        <w:rPr>
          <w:color w:val="4D565E"/>
          <w:sz w:val="16"/>
          <w:szCs w:val="16"/>
          <w:lang w:eastAsia="es-MX"/>
        </w:rPr>
        <w:t>6</w:t>
      </w:r>
      <w:r w:rsidRPr="00A330B4">
        <w:rPr>
          <w:color w:val="4D565E"/>
          <w:sz w:val="16"/>
          <w:szCs w:val="16"/>
          <w:lang w:eastAsia="es-MX"/>
        </w:rPr>
        <w:t>.</w:t>
      </w:r>
      <w:r w:rsidR="004E44CE">
        <w:rPr>
          <w:lang w:val="es-ES"/>
        </w:rPr>
        <w:br w:type="page"/>
      </w:r>
    </w:p>
    <w:p w14:paraId="23B0CB07" w14:textId="77777777" w:rsidR="000C66A1" w:rsidRDefault="000C66A1" w:rsidP="00DC6861">
      <w:pPr>
        <w:tabs>
          <w:tab w:val="left" w:pos="5400"/>
        </w:tabs>
        <w:rPr>
          <w:lang w:val="es-ES"/>
        </w:rPr>
      </w:pPr>
    </w:p>
    <w:p w14:paraId="23FD324B" w14:textId="5EB217E7" w:rsidR="004D7AB4" w:rsidRDefault="004E7E27" w:rsidP="00DC6861">
      <w:pPr>
        <w:tabs>
          <w:tab w:val="left" w:pos="5400"/>
        </w:tabs>
        <w:rPr>
          <w:lang w:val="es-ES"/>
        </w:rPr>
      </w:pPr>
      <w:r w:rsidRPr="004E7E27">
        <w:rPr>
          <w:lang w:val="es-ES"/>
        </w:rPr>
        <w:t>Durante el periodo enero a junio de 2026, el acumulado de la actividad económica estatal creció 2.7</w:t>
      </w:r>
      <w:r w:rsidR="0011474B">
        <w:rPr>
          <w:lang w:val="es-ES"/>
        </w:rPr>
        <w:t> %</w:t>
      </w:r>
      <w:r w:rsidRPr="004E7E27">
        <w:rPr>
          <w:lang w:val="es-ES"/>
        </w:rPr>
        <w:t xml:space="preserve">, por el incremento en las </w:t>
      </w:r>
      <w:r w:rsidRPr="00255BE1">
        <w:rPr>
          <w:i/>
          <w:iCs/>
          <w:lang w:val="es-ES"/>
        </w:rPr>
        <w:t>actividades primarias</w:t>
      </w:r>
      <w:r w:rsidRPr="004E7E27">
        <w:rPr>
          <w:lang w:val="es-ES"/>
        </w:rPr>
        <w:t xml:space="preserve"> y </w:t>
      </w:r>
      <w:r w:rsidRPr="00255BE1">
        <w:rPr>
          <w:i/>
          <w:iCs/>
          <w:lang w:val="es-ES"/>
        </w:rPr>
        <w:t>terciarias</w:t>
      </w:r>
      <w:r w:rsidRPr="004E7E27">
        <w:rPr>
          <w:lang w:val="es-ES"/>
        </w:rPr>
        <w:t xml:space="preserve"> de 57.4 y 2.7</w:t>
      </w:r>
      <w:r w:rsidR="0011474B">
        <w:rPr>
          <w:lang w:val="es-ES"/>
        </w:rPr>
        <w:t> %</w:t>
      </w:r>
      <w:r w:rsidRPr="004E7E27">
        <w:rPr>
          <w:lang w:val="es-ES"/>
        </w:rPr>
        <w:t xml:space="preserve">, respectivamente; por su parte, las </w:t>
      </w:r>
      <w:r w:rsidR="003C622E" w:rsidRPr="003C622E">
        <w:rPr>
          <w:i/>
          <w:iCs/>
          <w:lang w:val="es-ES"/>
        </w:rPr>
        <w:t>secundarias</w:t>
      </w:r>
      <w:r w:rsidR="003C622E">
        <w:rPr>
          <w:lang w:val="es-ES"/>
        </w:rPr>
        <w:t xml:space="preserve"> </w:t>
      </w:r>
      <w:r w:rsidRPr="004E7E27">
        <w:rPr>
          <w:lang w:val="es-ES"/>
        </w:rPr>
        <w:t>se redujeron 6.6</w:t>
      </w:r>
      <w:r w:rsidR="0011474B">
        <w:rPr>
          <w:lang w:val="es-ES"/>
        </w:rPr>
        <w:t> %</w:t>
      </w:r>
      <w:r w:rsidRPr="004E7E27">
        <w:rPr>
          <w:lang w:val="es-ES"/>
        </w:rPr>
        <w:t xml:space="preserve"> (ver cuadro 1).</w:t>
      </w:r>
    </w:p>
    <w:p w14:paraId="52F9AD65" w14:textId="77777777" w:rsidR="000C66A1" w:rsidRDefault="000C66A1" w:rsidP="00DC6861">
      <w:pPr>
        <w:tabs>
          <w:tab w:val="left" w:pos="5400"/>
        </w:tabs>
        <w:rPr>
          <w:lang w:val="es-ES"/>
        </w:rPr>
      </w:pPr>
    </w:p>
    <w:p w14:paraId="4DDB36C7" w14:textId="77777777" w:rsidR="00DC6861" w:rsidRPr="006E2963" w:rsidRDefault="00DC6861" w:rsidP="00DC6861">
      <w:pPr>
        <w:tabs>
          <w:tab w:val="left" w:pos="5400"/>
        </w:tabs>
        <w:jc w:val="center"/>
        <w:rPr>
          <w:bCs/>
          <w:color w:val="003057"/>
          <w:sz w:val="20"/>
          <w:szCs w:val="20"/>
        </w:rPr>
      </w:pPr>
      <w:r w:rsidRPr="006E2963">
        <w:rPr>
          <w:bCs/>
          <w:color w:val="003057"/>
          <w:sz w:val="20"/>
          <w:szCs w:val="20"/>
        </w:rPr>
        <w:t>Cuadro 1</w:t>
      </w:r>
    </w:p>
    <w:p w14:paraId="0F1507B7" w14:textId="77777777" w:rsidR="003818D1" w:rsidRDefault="008E0338" w:rsidP="00DC6861">
      <w:pPr>
        <w:ind w:right="51"/>
        <w:jc w:val="center"/>
        <w:rPr>
          <w:b/>
          <w:color w:val="003057"/>
          <w:sz w:val="22"/>
          <w:szCs w:val="22"/>
        </w:rPr>
      </w:pPr>
      <w:r>
        <w:rPr>
          <w:b/>
          <w:color w:val="003057"/>
          <w:sz w:val="22"/>
          <w:szCs w:val="22"/>
        </w:rPr>
        <w:t>Variación</w:t>
      </w:r>
      <w:r w:rsidR="006E2963">
        <w:rPr>
          <w:b/>
          <w:color w:val="003057"/>
          <w:sz w:val="22"/>
          <w:szCs w:val="22"/>
        </w:rPr>
        <w:t xml:space="preserve"> anual</w:t>
      </w:r>
      <w:r>
        <w:rPr>
          <w:b/>
          <w:color w:val="003057"/>
          <w:sz w:val="22"/>
          <w:szCs w:val="22"/>
        </w:rPr>
        <w:t xml:space="preserve"> del </w:t>
      </w:r>
      <w:r w:rsidR="00576035" w:rsidRPr="00576035">
        <w:rPr>
          <w:b/>
          <w:color w:val="003057"/>
          <w:sz w:val="22"/>
          <w:szCs w:val="22"/>
        </w:rPr>
        <w:t xml:space="preserve">Indicador Trimestral de la Actividad Económica Estatal </w:t>
      </w:r>
    </w:p>
    <w:p w14:paraId="6DD14D6D" w14:textId="29DFF05E" w:rsidR="00DC6861" w:rsidRPr="00103B2F" w:rsidRDefault="00576035" w:rsidP="00DC6861">
      <w:pPr>
        <w:ind w:right="51"/>
        <w:jc w:val="center"/>
        <w:rPr>
          <w:b/>
          <w:color w:val="003057"/>
          <w:sz w:val="22"/>
          <w:szCs w:val="22"/>
        </w:rPr>
      </w:pPr>
      <w:r w:rsidRPr="00576035">
        <w:rPr>
          <w:b/>
          <w:color w:val="003057"/>
          <w:sz w:val="22"/>
          <w:szCs w:val="22"/>
        </w:rPr>
        <w:t xml:space="preserve">de </w:t>
      </w:r>
      <w:r w:rsidR="00780E9F">
        <w:rPr>
          <w:b/>
          <w:color w:val="003057"/>
          <w:sz w:val="22"/>
          <w:szCs w:val="22"/>
        </w:rPr>
        <w:t>Baja California Sur</w:t>
      </w:r>
    </w:p>
    <w:p w14:paraId="0FE4C144" w14:textId="0466767C" w:rsidR="00C37295" w:rsidRPr="00103B2F" w:rsidRDefault="00C37295" w:rsidP="00C37295">
      <w:pPr>
        <w:jc w:val="center"/>
        <w:rPr>
          <w:bCs/>
          <w:color w:val="27251F"/>
          <w:sz w:val="20"/>
          <w:lang w:eastAsia="es-MX"/>
        </w:rPr>
      </w:pPr>
      <w:r w:rsidRPr="00103B2F">
        <w:rPr>
          <w:bCs/>
          <w:color w:val="27251F"/>
          <w:sz w:val="20"/>
          <w:lang w:eastAsia="es-MX"/>
        </w:rPr>
        <w:t>202</w:t>
      </w:r>
      <w:r w:rsidR="00B85CD6">
        <w:rPr>
          <w:bCs/>
          <w:color w:val="27251F"/>
          <w:sz w:val="20"/>
          <w:lang w:eastAsia="es-MX"/>
        </w:rPr>
        <w:t>5</w:t>
      </w:r>
      <w:r w:rsidRPr="00103B2F">
        <w:rPr>
          <w:bCs/>
          <w:color w:val="27251F"/>
          <w:sz w:val="20"/>
          <w:lang w:eastAsia="es-MX"/>
        </w:rPr>
        <w:t xml:space="preserve"> y 202</w:t>
      </w:r>
      <w:r w:rsidR="00B85CD6">
        <w:rPr>
          <w:bCs/>
          <w:color w:val="27251F"/>
          <w:sz w:val="20"/>
          <w:lang w:eastAsia="es-MX"/>
        </w:rPr>
        <w:t>6</w:t>
      </w:r>
    </w:p>
    <w:p w14:paraId="55D71376" w14:textId="77777777" w:rsidR="00C37295" w:rsidRPr="00103B2F" w:rsidRDefault="00C37295" w:rsidP="00C37295">
      <w:pPr>
        <w:jc w:val="center"/>
        <w:rPr>
          <w:bCs/>
          <w:color w:val="27251F"/>
          <w:sz w:val="18"/>
          <w:szCs w:val="18"/>
          <w:lang w:eastAsia="es-MX"/>
        </w:rPr>
      </w:pPr>
      <w:r w:rsidRPr="00103B2F">
        <w:rPr>
          <w:bCs/>
          <w:color w:val="27251F"/>
          <w:sz w:val="18"/>
          <w:szCs w:val="18"/>
          <w:lang w:eastAsia="es-MX"/>
        </w:rPr>
        <w:t>(</w:t>
      </w:r>
      <w:r>
        <w:rPr>
          <w:bCs/>
          <w:color w:val="27251F"/>
          <w:sz w:val="18"/>
          <w:szCs w:val="18"/>
          <w:lang w:eastAsia="es-MX"/>
        </w:rPr>
        <w:t>porcentaje</w:t>
      </w:r>
      <w:r w:rsidRPr="00103B2F">
        <w:rPr>
          <w:bCs/>
          <w:color w:val="27251F"/>
          <w:sz w:val="18"/>
          <w:szCs w:val="18"/>
          <w:lang w:eastAsia="es-MX"/>
        </w:rPr>
        <w:t>)</w:t>
      </w:r>
    </w:p>
    <w:tbl>
      <w:tblPr>
        <w:tblW w:w="8520" w:type="dxa"/>
        <w:jc w:val="center"/>
        <w:tblLayout w:type="fixed"/>
        <w:tblCellMar>
          <w:left w:w="70" w:type="dxa"/>
          <w:right w:w="70" w:type="dxa"/>
        </w:tblCellMar>
        <w:tblLook w:val="04A0" w:firstRow="1" w:lastRow="0" w:firstColumn="1" w:lastColumn="0" w:noHBand="0" w:noVBand="1"/>
      </w:tblPr>
      <w:tblGrid>
        <w:gridCol w:w="1760"/>
        <w:gridCol w:w="799"/>
        <w:gridCol w:w="799"/>
        <w:gridCol w:w="799"/>
        <w:gridCol w:w="800"/>
        <w:gridCol w:w="1003"/>
        <w:gridCol w:w="774"/>
        <w:gridCol w:w="774"/>
        <w:gridCol w:w="1012"/>
      </w:tblGrid>
      <w:tr w:rsidR="00D24F1A" w:rsidRPr="00D24F1A" w14:paraId="625F3CD3" w14:textId="77777777" w:rsidTr="00D24F1A">
        <w:trPr>
          <w:trHeight w:val="270"/>
          <w:jc w:val="center"/>
        </w:trPr>
        <w:tc>
          <w:tcPr>
            <w:tcW w:w="1760" w:type="dxa"/>
            <w:vMerge w:val="restart"/>
            <w:tcBorders>
              <w:top w:val="single" w:sz="4" w:space="0" w:color="FFFFFF"/>
              <w:left w:val="single" w:sz="4" w:space="0" w:color="FFFFFF"/>
              <w:bottom w:val="single" w:sz="4" w:space="0" w:color="FFFFFF"/>
              <w:right w:val="single" w:sz="4" w:space="0" w:color="FFFFFF"/>
            </w:tcBorders>
            <w:shd w:val="clear" w:color="000000" w:fill="80DDD7"/>
            <w:vAlign w:val="center"/>
            <w:hideMark/>
          </w:tcPr>
          <w:p w14:paraId="00622FC5"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Actividades</w:t>
            </w:r>
          </w:p>
        </w:tc>
        <w:tc>
          <w:tcPr>
            <w:tcW w:w="4200" w:type="dxa"/>
            <w:gridSpan w:val="5"/>
            <w:tcBorders>
              <w:top w:val="single" w:sz="4" w:space="0" w:color="FFFFFF"/>
              <w:left w:val="nil"/>
              <w:bottom w:val="single" w:sz="4" w:space="0" w:color="FFFFFF"/>
              <w:right w:val="single" w:sz="4" w:space="0" w:color="FFFFFF"/>
            </w:tcBorders>
            <w:shd w:val="clear" w:color="000000" w:fill="80DDD7"/>
            <w:noWrap/>
            <w:vAlign w:val="center"/>
            <w:hideMark/>
          </w:tcPr>
          <w:p w14:paraId="51CF570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2025</w:t>
            </w:r>
            <w:r w:rsidRPr="00D24F1A">
              <w:rPr>
                <w:b/>
                <w:bCs/>
                <w:color w:val="000000"/>
                <w:sz w:val="18"/>
                <w:szCs w:val="18"/>
                <w:vertAlign w:val="superscript"/>
                <w:lang w:val="es-MX" w:eastAsia="es-MX"/>
              </w:rPr>
              <w:t>1/</w:t>
            </w:r>
          </w:p>
        </w:tc>
        <w:tc>
          <w:tcPr>
            <w:tcW w:w="2560" w:type="dxa"/>
            <w:gridSpan w:val="3"/>
            <w:tcBorders>
              <w:top w:val="single" w:sz="4" w:space="0" w:color="FFFFFF"/>
              <w:left w:val="nil"/>
              <w:bottom w:val="single" w:sz="4" w:space="0" w:color="FFFFFF"/>
              <w:right w:val="single" w:sz="4" w:space="0" w:color="FFFFFF"/>
            </w:tcBorders>
            <w:shd w:val="clear" w:color="000000" w:fill="80DDD7"/>
            <w:noWrap/>
            <w:vAlign w:val="center"/>
            <w:hideMark/>
          </w:tcPr>
          <w:p w14:paraId="1A4BA0A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2026</w:t>
            </w:r>
          </w:p>
        </w:tc>
      </w:tr>
      <w:tr w:rsidR="00D24F1A" w:rsidRPr="00D24F1A" w14:paraId="61E691AF" w14:textId="77777777" w:rsidTr="00D24F1A">
        <w:trPr>
          <w:trHeight w:val="255"/>
          <w:jc w:val="center"/>
        </w:trPr>
        <w:tc>
          <w:tcPr>
            <w:tcW w:w="1760" w:type="dxa"/>
            <w:vMerge/>
            <w:tcBorders>
              <w:top w:val="single" w:sz="4" w:space="0" w:color="FFFFFF"/>
              <w:left w:val="single" w:sz="4" w:space="0" w:color="FFFFFF"/>
              <w:bottom w:val="single" w:sz="4" w:space="0" w:color="FFFFFF"/>
              <w:right w:val="single" w:sz="4" w:space="0" w:color="FFFFFF"/>
            </w:tcBorders>
            <w:vAlign w:val="center"/>
            <w:hideMark/>
          </w:tcPr>
          <w:p w14:paraId="7AAD44CA" w14:textId="77777777" w:rsidR="00D24F1A" w:rsidRPr="00D24F1A" w:rsidRDefault="00D24F1A" w:rsidP="00D24F1A">
            <w:pPr>
              <w:jc w:val="left"/>
              <w:rPr>
                <w:b/>
                <w:bCs/>
                <w:color w:val="000000"/>
                <w:sz w:val="18"/>
                <w:szCs w:val="18"/>
                <w:lang w:val="es-MX" w:eastAsia="es-MX"/>
              </w:rPr>
            </w:pPr>
          </w:p>
        </w:tc>
        <w:tc>
          <w:tcPr>
            <w:tcW w:w="3197" w:type="dxa"/>
            <w:gridSpan w:val="4"/>
            <w:tcBorders>
              <w:top w:val="single" w:sz="4" w:space="0" w:color="FFFFFF"/>
              <w:left w:val="nil"/>
              <w:bottom w:val="single" w:sz="4" w:space="0" w:color="FFFFFF"/>
              <w:right w:val="single" w:sz="4" w:space="0" w:color="FFFFFF"/>
            </w:tcBorders>
            <w:shd w:val="clear" w:color="000000" w:fill="BDEDEA"/>
            <w:noWrap/>
            <w:vAlign w:val="center"/>
            <w:hideMark/>
          </w:tcPr>
          <w:p w14:paraId="6434E6ED"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03"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5C8C0184"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Anual</w:t>
            </w:r>
          </w:p>
        </w:tc>
        <w:tc>
          <w:tcPr>
            <w:tcW w:w="1548" w:type="dxa"/>
            <w:gridSpan w:val="2"/>
            <w:tcBorders>
              <w:top w:val="single" w:sz="4" w:space="0" w:color="FFFFFF"/>
              <w:left w:val="nil"/>
              <w:bottom w:val="single" w:sz="4" w:space="0" w:color="FFFFFF"/>
              <w:right w:val="single" w:sz="4" w:space="0" w:color="FFFFFF"/>
            </w:tcBorders>
            <w:shd w:val="clear" w:color="000000" w:fill="BDEDEA"/>
            <w:noWrap/>
            <w:vAlign w:val="center"/>
            <w:hideMark/>
          </w:tcPr>
          <w:p w14:paraId="0223029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12"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14281CD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6 meses</w:t>
            </w:r>
          </w:p>
        </w:tc>
      </w:tr>
      <w:tr w:rsidR="00D24F1A" w:rsidRPr="00D24F1A" w14:paraId="0F784813" w14:textId="77777777" w:rsidTr="00D24F1A">
        <w:trPr>
          <w:trHeight w:val="270"/>
          <w:jc w:val="center"/>
        </w:trPr>
        <w:tc>
          <w:tcPr>
            <w:tcW w:w="1760" w:type="dxa"/>
            <w:vMerge/>
            <w:tcBorders>
              <w:top w:val="single" w:sz="4" w:space="0" w:color="FFFFFF"/>
              <w:left w:val="single" w:sz="4" w:space="0" w:color="FFFFFF"/>
              <w:bottom w:val="single" w:sz="4" w:space="0" w:color="FFFFFF"/>
              <w:right w:val="single" w:sz="4" w:space="0" w:color="FFFFFF"/>
            </w:tcBorders>
            <w:vAlign w:val="center"/>
            <w:hideMark/>
          </w:tcPr>
          <w:p w14:paraId="656FDEE8" w14:textId="77777777" w:rsidR="00D24F1A" w:rsidRPr="00D24F1A" w:rsidRDefault="00D24F1A" w:rsidP="00D24F1A">
            <w:pPr>
              <w:jc w:val="left"/>
              <w:rPr>
                <w:b/>
                <w:bCs/>
                <w:color w:val="000000"/>
                <w:sz w:val="18"/>
                <w:szCs w:val="18"/>
                <w:lang w:val="es-MX" w:eastAsia="es-MX"/>
              </w:rPr>
            </w:pPr>
          </w:p>
        </w:tc>
        <w:tc>
          <w:tcPr>
            <w:tcW w:w="799" w:type="dxa"/>
            <w:tcBorders>
              <w:top w:val="nil"/>
              <w:left w:val="nil"/>
              <w:bottom w:val="single" w:sz="4" w:space="0" w:color="FFFFFF"/>
              <w:right w:val="single" w:sz="4" w:space="0" w:color="FFFFFF"/>
            </w:tcBorders>
            <w:shd w:val="clear" w:color="000000" w:fill="BDEDEA"/>
            <w:noWrap/>
            <w:vAlign w:val="center"/>
            <w:hideMark/>
          </w:tcPr>
          <w:p w14:paraId="0FC75F8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p>
        </w:tc>
        <w:tc>
          <w:tcPr>
            <w:tcW w:w="799" w:type="dxa"/>
            <w:tcBorders>
              <w:top w:val="nil"/>
              <w:left w:val="nil"/>
              <w:bottom w:val="single" w:sz="4" w:space="0" w:color="FFFFFF"/>
              <w:right w:val="single" w:sz="4" w:space="0" w:color="FFFFFF"/>
            </w:tcBorders>
            <w:shd w:val="clear" w:color="000000" w:fill="BDEDEA"/>
            <w:noWrap/>
            <w:vAlign w:val="center"/>
            <w:hideMark/>
          </w:tcPr>
          <w:p w14:paraId="6EA93B9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p>
        </w:tc>
        <w:tc>
          <w:tcPr>
            <w:tcW w:w="799" w:type="dxa"/>
            <w:tcBorders>
              <w:top w:val="nil"/>
              <w:left w:val="nil"/>
              <w:bottom w:val="single" w:sz="4" w:space="0" w:color="FFFFFF"/>
              <w:right w:val="single" w:sz="4" w:space="0" w:color="FFFFFF"/>
            </w:tcBorders>
            <w:shd w:val="clear" w:color="000000" w:fill="BDEDEA"/>
            <w:noWrap/>
            <w:vAlign w:val="center"/>
            <w:hideMark/>
          </w:tcPr>
          <w:p w14:paraId="6D605032"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III</w:t>
            </w:r>
          </w:p>
        </w:tc>
        <w:tc>
          <w:tcPr>
            <w:tcW w:w="800" w:type="dxa"/>
            <w:tcBorders>
              <w:top w:val="nil"/>
              <w:left w:val="nil"/>
              <w:bottom w:val="single" w:sz="4" w:space="0" w:color="FFFFFF"/>
              <w:right w:val="single" w:sz="4" w:space="0" w:color="FFFFFF"/>
            </w:tcBorders>
            <w:shd w:val="clear" w:color="000000" w:fill="BDEDEA"/>
            <w:noWrap/>
            <w:vAlign w:val="center"/>
            <w:hideMark/>
          </w:tcPr>
          <w:p w14:paraId="22F1727F"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IV</w:t>
            </w:r>
          </w:p>
        </w:tc>
        <w:tc>
          <w:tcPr>
            <w:tcW w:w="1003" w:type="dxa"/>
            <w:vMerge/>
            <w:tcBorders>
              <w:top w:val="nil"/>
              <w:left w:val="single" w:sz="4" w:space="0" w:color="FFFFFF"/>
              <w:bottom w:val="single" w:sz="4" w:space="0" w:color="FFFFFF"/>
              <w:right w:val="single" w:sz="4" w:space="0" w:color="FFFFFF"/>
            </w:tcBorders>
            <w:vAlign w:val="center"/>
            <w:hideMark/>
          </w:tcPr>
          <w:p w14:paraId="23C22E02" w14:textId="77777777" w:rsidR="00D24F1A" w:rsidRPr="00D24F1A" w:rsidRDefault="00D24F1A" w:rsidP="00D24F1A">
            <w:pPr>
              <w:jc w:val="left"/>
              <w:rPr>
                <w:b/>
                <w:bCs/>
                <w:color w:val="000000"/>
                <w:sz w:val="18"/>
                <w:szCs w:val="18"/>
                <w:lang w:val="es-MX" w:eastAsia="es-MX"/>
              </w:rPr>
            </w:pPr>
          </w:p>
        </w:tc>
        <w:tc>
          <w:tcPr>
            <w:tcW w:w="774" w:type="dxa"/>
            <w:tcBorders>
              <w:top w:val="nil"/>
              <w:left w:val="nil"/>
              <w:bottom w:val="single" w:sz="4" w:space="0" w:color="FFFFFF"/>
              <w:right w:val="single" w:sz="4" w:space="0" w:color="FFFFFF"/>
            </w:tcBorders>
            <w:shd w:val="clear" w:color="000000" w:fill="BDEDEA"/>
            <w:noWrap/>
            <w:vAlign w:val="center"/>
            <w:hideMark/>
          </w:tcPr>
          <w:p w14:paraId="6B6BBB38"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r w:rsidRPr="00D24F1A">
              <w:rPr>
                <w:b/>
                <w:bCs/>
                <w:color w:val="000000"/>
                <w:sz w:val="18"/>
                <w:szCs w:val="18"/>
                <w:vertAlign w:val="superscript"/>
                <w:lang w:val="es-MX" w:eastAsia="es-MX"/>
              </w:rPr>
              <w:t>2/</w:t>
            </w:r>
          </w:p>
        </w:tc>
        <w:tc>
          <w:tcPr>
            <w:tcW w:w="774" w:type="dxa"/>
            <w:tcBorders>
              <w:top w:val="nil"/>
              <w:left w:val="nil"/>
              <w:bottom w:val="single" w:sz="4" w:space="0" w:color="FFFFFF"/>
              <w:right w:val="single" w:sz="4" w:space="0" w:color="FFFFFF"/>
            </w:tcBorders>
            <w:shd w:val="clear" w:color="000000" w:fill="BDEDEA"/>
            <w:noWrap/>
            <w:vAlign w:val="center"/>
            <w:hideMark/>
          </w:tcPr>
          <w:p w14:paraId="1EFA51E6"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r w:rsidRPr="00D24F1A">
              <w:rPr>
                <w:b/>
                <w:bCs/>
                <w:color w:val="000000"/>
                <w:sz w:val="18"/>
                <w:szCs w:val="18"/>
                <w:vertAlign w:val="superscript"/>
                <w:lang w:val="es-MX" w:eastAsia="es-MX"/>
              </w:rPr>
              <w:t>1/</w:t>
            </w:r>
          </w:p>
        </w:tc>
        <w:tc>
          <w:tcPr>
            <w:tcW w:w="1012" w:type="dxa"/>
            <w:vMerge/>
            <w:tcBorders>
              <w:top w:val="nil"/>
              <w:left w:val="single" w:sz="4" w:space="0" w:color="FFFFFF"/>
              <w:bottom w:val="single" w:sz="4" w:space="0" w:color="FFFFFF"/>
              <w:right w:val="single" w:sz="4" w:space="0" w:color="FFFFFF"/>
            </w:tcBorders>
            <w:vAlign w:val="center"/>
            <w:hideMark/>
          </w:tcPr>
          <w:p w14:paraId="0424B675" w14:textId="77777777" w:rsidR="00D24F1A" w:rsidRPr="00D24F1A" w:rsidRDefault="00D24F1A" w:rsidP="00D24F1A">
            <w:pPr>
              <w:jc w:val="left"/>
              <w:rPr>
                <w:b/>
                <w:bCs/>
                <w:color w:val="000000"/>
                <w:sz w:val="18"/>
                <w:szCs w:val="18"/>
                <w:lang w:val="es-MX" w:eastAsia="es-MX"/>
              </w:rPr>
            </w:pPr>
          </w:p>
        </w:tc>
      </w:tr>
      <w:tr w:rsidR="00A66FCB" w:rsidRPr="00D24F1A" w14:paraId="2E961B79" w14:textId="77777777" w:rsidTr="003979E8">
        <w:trPr>
          <w:trHeight w:val="360"/>
          <w:jc w:val="center"/>
        </w:trPr>
        <w:tc>
          <w:tcPr>
            <w:tcW w:w="1760" w:type="dxa"/>
            <w:tcBorders>
              <w:top w:val="nil"/>
              <w:left w:val="single" w:sz="4" w:space="0" w:color="FFFFFF"/>
              <w:bottom w:val="single" w:sz="4" w:space="0" w:color="FFFFFF"/>
              <w:right w:val="single" w:sz="4" w:space="0" w:color="FFFFFF"/>
            </w:tcBorders>
            <w:shd w:val="clear" w:color="000000" w:fill="C0C0C0"/>
            <w:noWrap/>
            <w:vAlign w:val="center"/>
            <w:hideMark/>
          </w:tcPr>
          <w:p w14:paraId="1471C2C4" w14:textId="77777777" w:rsidR="00A66FCB" w:rsidRPr="00D24F1A" w:rsidRDefault="00A66FCB" w:rsidP="00A66FCB">
            <w:pPr>
              <w:jc w:val="center"/>
              <w:rPr>
                <w:b/>
                <w:bCs/>
                <w:color w:val="000000"/>
                <w:sz w:val="18"/>
                <w:szCs w:val="18"/>
                <w:lang w:val="es-MX" w:eastAsia="es-MX"/>
              </w:rPr>
            </w:pPr>
            <w:r w:rsidRPr="00D24F1A">
              <w:rPr>
                <w:b/>
                <w:bCs/>
                <w:color w:val="000000"/>
                <w:sz w:val="18"/>
                <w:szCs w:val="18"/>
                <w:lang w:val="es-MX" w:eastAsia="es-MX"/>
              </w:rPr>
              <w:t>Total</w:t>
            </w:r>
          </w:p>
        </w:tc>
        <w:tc>
          <w:tcPr>
            <w:tcW w:w="799" w:type="dxa"/>
            <w:tcBorders>
              <w:top w:val="single" w:sz="4" w:space="0" w:color="FFFFFF"/>
              <w:left w:val="single" w:sz="4" w:space="0" w:color="FFFFFF"/>
              <w:bottom w:val="single" w:sz="4" w:space="0" w:color="FFFFFF"/>
              <w:right w:val="single" w:sz="4" w:space="0" w:color="FFFFFF"/>
            </w:tcBorders>
            <w:shd w:val="clear" w:color="000000" w:fill="C0C0C0"/>
            <w:noWrap/>
            <w:vAlign w:val="center"/>
            <w:hideMark/>
          </w:tcPr>
          <w:p w14:paraId="6B49A614" w14:textId="0CA466A0" w:rsidR="00A66FCB" w:rsidRPr="00D24F1A" w:rsidRDefault="00A66FCB" w:rsidP="00A66FCB">
            <w:pPr>
              <w:jc w:val="right"/>
              <w:rPr>
                <w:b/>
                <w:bCs/>
                <w:color w:val="000000"/>
                <w:sz w:val="18"/>
                <w:szCs w:val="18"/>
                <w:lang w:val="es-MX" w:eastAsia="es-MX"/>
              </w:rPr>
            </w:pPr>
            <w:r>
              <w:rPr>
                <w:b/>
                <w:bCs/>
                <w:color w:val="000000"/>
                <w:sz w:val="18"/>
                <w:szCs w:val="18"/>
              </w:rPr>
              <w:t>2.1</w:t>
            </w:r>
          </w:p>
        </w:tc>
        <w:tc>
          <w:tcPr>
            <w:tcW w:w="799" w:type="dxa"/>
            <w:tcBorders>
              <w:top w:val="single" w:sz="4" w:space="0" w:color="FFFFFF"/>
              <w:left w:val="nil"/>
              <w:bottom w:val="single" w:sz="4" w:space="0" w:color="FFFFFF"/>
              <w:right w:val="single" w:sz="4" w:space="0" w:color="FFFFFF"/>
            </w:tcBorders>
            <w:shd w:val="clear" w:color="000000" w:fill="C0C0C0"/>
            <w:noWrap/>
            <w:vAlign w:val="center"/>
            <w:hideMark/>
          </w:tcPr>
          <w:p w14:paraId="0375350C" w14:textId="52EAED8F" w:rsidR="00A66FCB" w:rsidRPr="00D24F1A" w:rsidRDefault="00A66FCB" w:rsidP="00A66FCB">
            <w:pPr>
              <w:jc w:val="right"/>
              <w:rPr>
                <w:b/>
                <w:bCs/>
                <w:color w:val="000000"/>
                <w:sz w:val="18"/>
                <w:szCs w:val="18"/>
                <w:lang w:val="es-MX" w:eastAsia="es-MX"/>
              </w:rPr>
            </w:pPr>
            <w:r>
              <w:rPr>
                <w:b/>
                <w:bCs/>
                <w:color w:val="000000"/>
                <w:sz w:val="18"/>
                <w:szCs w:val="18"/>
              </w:rPr>
              <w:t>3.1</w:t>
            </w:r>
          </w:p>
        </w:tc>
        <w:tc>
          <w:tcPr>
            <w:tcW w:w="799" w:type="dxa"/>
            <w:tcBorders>
              <w:top w:val="single" w:sz="4" w:space="0" w:color="FFFFFF"/>
              <w:left w:val="nil"/>
              <w:bottom w:val="single" w:sz="4" w:space="0" w:color="FFFFFF"/>
              <w:right w:val="single" w:sz="4" w:space="0" w:color="FFFFFF"/>
            </w:tcBorders>
            <w:shd w:val="clear" w:color="000000" w:fill="C0C0C0"/>
            <w:noWrap/>
            <w:vAlign w:val="center"/>
            <w:hideMark/>
          </w:tcPr>
          <w:p w14:paraId="4280B080" w14:textId="6EBAD2D7" w:rsidR="00A66FCB" w:rsidRPr="00D24F1A" w:rsidRDefault="00A66FCB" w:rsidP="00A66FCB">
            <w:pPr>
              <w:jc w:val="right"/>
              <w:rPr>
                <w:b/>
                <w:bCs/>
                <w:color w:val="000000"/>
                <w:sz w:val="18"/>
                <w:szCs w:val="18"/>
                <w:lang w:val="es-MX" w:eastAsia="es-MX"/>
              </w:rPr>
            </w:pPr>
            <w:r>
              <w:rPr>
                <w:b/>
                <w:bCs/>
                <w:color w:val="000000"/>
                <w:sz w:val="18"/>
                <w:szCs w:val="18"/>
              </w:rPr>
              <w:t>3.3</w:t>
            </w:r>
          </w:p>
        </w:tc>
        <w:tc>
          <w:tcPr>
            <w:tcW w:w="800" w:type="dxa"/>
            <w:tcBorders>
              <w:top w:val="single" w:sz="4" w:space="0" w:color="FFFFFF"/>
              <w:left w:val="nil"/>
              <w:bottom w:val="single" w:sz="4" w:space="0" w:color="FFFFFF"/>
              <w:right w:val="single" w:sz="4" w:space="0" w:color="FFFFFF"/>
            </w:tcBorders>
            <w:shd w:val="clear" w:color="000000" w:fill="C0C0C0"/>
            <w:noWrap/>
            <w:vAlign w:val="center"/>
            <w:hideMark/>
          </w:tcPr>
          <w:p w14:paraId="5DFFFF9B" w14:textId="3C0AA865" w:rsidR="00A66FCB" w:rsidRPr="00D24F1A" w:rsidRDefault="00A66FCB" w:rsidP="00A66FCB">
            <w:pPr>
              <w:jc w:val="right"/>
              <w:rPr>
                <w:b/>
                <w:bCs/>
                <w:color w:val="000000"/>
                <w:sz w:val="18"/>
                <w:szCs w:val="18"/>
                <w:lang w:val="es-MX" w:eastAsia="es-MX"/>
              </w:rPr>
            </w:pPr>
            <w:r>
              <w:rPr>
                <w:b/>
                <w:bCs/>
                <w:color w:val="000000"/>
                <w:sz w:val="18"/>
                <w:szCs w:val="18"/>
              </w:rPr>
              <w:t>-0.2</w:t>
            </w:r>
          </w:p>
        </w:tc>
        <w:tc>
          <w:tcPr>
            <w:tcW w:w="1003" w:type="dxa"/>
            <w:tcBorders>
              <w:top w:val="single" w:sz="4" w:space="0" w:color="FFFFFF"/>
              <w:left w:val="nil"/>
              <w:bottom w:val="single" w:sz="4" w:space="0" w:color="FFFFFF"/>
              <w:right w:val="single" w:sz="4" w:space="0" w:color="FFFFFF"/>
            </w:tcBorders>
            <w:shd w:val="clear" w:color="000000" w:fill="C0C0C0"/>
            <w:noWrap/>
            <w:vAlign w:val="center"/>
            <w:hideMark/>
          </w:tcPr>
          <w:p w14:paraId="40FDC6BC" w14:textId="76BD7FB4" w:rsidR="00A66FCB" w:rsidRPr="00D24F1A" w:rsidRDefault="00A66FCB" w:rsidP="00A66FCB">
            <w:pPr>
              <w:jc w:val="right"/>
              <w:rPr>
                <w:b/>
                <w:bCs/>
                <w:color w:val="000000"/>
                <w:sz w:val="18"/>
                <w:szCs w:val="18"/>
                <w:lang w:val="es-MX" w:eastAsia="es-MX"/>
              </w:rPr>
            </w:pPr>
            <w:r>
              <w:rPr>
                <w:b/>
                <w:bCs/>
                <w:color w:val="000000"/>
                <w:sz w:val="18"/>
                <w:szCs w:val="18"/>
              </w:rPr>
              <w:t>2.1</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62BDE393" w14:textId="49674DC2" w:rsidR="00A66FCB" w:rsidRPr="00D24F1A" w:rsidRDefault="00A66FCB" w:rsidP="00A66FCB">
            <w:pPr>
              <w:jc w:val="right"/>
              <w:rPr>
                <w:b/>
                <w:bCs/>
                <w:color w:val="000000"/>
                <w:sz w:val="18"/>
                <w:szCs w:val="18"/>
                <w:lang w:val="es-MX" w:eastAsia="es-MX"/>
              </w:rPr>
            </w:pPr>
            <w:r>
              <w:rPr>
                <w:b/>
                <w:bCs/>
                <w:color w:val="000000"/>
                <w:sz w:val="18"/>
                <w:szCs w:val="18"/>
              </w:rPr>
              <w:t>2.5</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29D070F8" w14:textId="0E0AA6AD" w:rsidR="00A66FCB" w:rsidRPr="00D24F1A" w:rsidRDefault="00A66FCB" w:rsidP="00A66FCB">
            <w:pPr>
              <w:jc w:val="right"/>
              <w:rPr>
                <w:b/>
                <w:bCs/>
                <w:color w:val="000000"/>
                <w:sz w:val="18"/>
                <w:szCs w:val="18"/>
                <w:lang w:val="es-MX" w:eastAsia="es-MX"/>
              </w:rPr>
            </w:pPr>
            <w:r>
              <w:rPr>
                <w:b/>
                <w:bCs/>
                <w:color w:val="000000"/>
                <w:sz w:val="18"/>
                <w:szCs w:val="18"/>
              </w:rPr>
              <w:t>2.8</w:t>
            </w:r>
          </w:p>
        </w:tc>
        <w:tc>
          <w:tcPr>
            <w:tcW w:w="1012" w:type="dxa"/>
            <w:tcBorders>
              <w:top w:val="single" w:sz="4" w:space="0" w:color="FFFFFF"/>
              <w:left w:val="nil"/>
              <w:bottom w:val="single" w:sz="4" w:space="0" w:color="FFFFFF"/>
              <w:right w:val="single" w:sz="4" w:space="0" w:color="FFFFFF"/>
            </w:tcBorders>
            <w:shd w:val="clear" w:color="000000" w:fill="C0C0C0"/>
            <w:noWrap/>
            <w:vAlign w:val="center"/>
            <w:hideMark/>
          </w:tcPr>
          <w:p w14:paraId="3C8AA985" w14:textId="70221F74" w:rsidR="00A66FCB" w:rsidRPr="00D24F1A" w:rsidRDefault="00A66FCB" w:rsidP="00A66FCB">
            <w:pPr>
              <w:jc w:val="right"/>
              <w:rPr>
                <w:b/>
                <w:bCs/>
                <w:color w:val="000000"/>
                <w:sz w:val="18"/>
                <w:szCs w:val="18"/>
                <w:lang w:val="es-MX" w:eastAsia="es-MX"/>
              </w:rPr>
            </w:pPr>
            <w:r>
              <w:rPr>
                <w:b/>
                <w:bCs/>
                <w:color w:val="000000"/>
                <w:sz w:val="18"/>
                <w:szCs w:val="18"/>
              </w:rPr>
              <w:t>2.7</w:t>
            </w:r>
          </w:p>
        </w:tc>
      </w:tr>
      <w:tr w:rsidR="00A66FCB" w:rsidRPr="00D24F1A" w14:paraId="56C46988" w14:textId="77777777" w:rsidTr="003979E8">
        <w:trPr>
          <w:trHeight w:val="360"/>
          <w:jc w:val="center"/>
        </w:trPr>
        <w:tc>
          <w:tcPr>
            <w:tcW w:w="1760" w:type="dxa"/>
            <w:tcBorders>
              <w:top w:val="nil"/>
              <w:left w:val="single" w:sz="4" w:space="0" w:color="FFFFFF"/>
              <w:bottom w:val="single" w:sz="4" w:space="0" w:color="FFFFFF"/>
              <w:right w:val="single" w:sz="4" w:space="0" w:color="FFFFFF"/>
            </w:tcBorders>
            <w:noWrap/>
            <w:vAlign w:val="center"/>
            <w:hideMark/>
          </w:tcPr>
          <w:p w14:paraId="4FA8C7B9"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Primarias</w:t>
            </w:r>
          </w:p>
        </w:tc>
        <w:tc>
          <w:tcPr>
            <w:tcW w:w="799" w:type="dxa"/>
            <w:tcBorders>
              <w:top w:val="nil"/>
              <w:left w:val="single" w:sz="4" w:space="0" w:color="FFFFFF"/>
              <w:bottom w:val="single" w:sz="4" w:space="0" w:color="FFFFFF"/>
              <w:right w:val="single" w:sz="4" w:space="0" w:color="FFFFFF"/>
            </w:tcBorders>
            <w:noWrap/>
            <w:vAlign w:val="center"/>
            <w:hideMark/>
          </w:tcPr>
          <w:p w14:paraId="1902EB16" w14:textId="507D3F68" w:rsidR="00A66FCB" w:rsidRPr="00D24F1A" w:rsidRDefault="00A66FCB" w:rsidP="00A66FCB">
            <w:pPr>
              <w:jc w:val="right"/>
              <w:rPr>
                <w:color w:val="000000"/>
                <w:sz w:val="18"/>
                <w:szCs w:val="18"/>
                <w:lang w:val="es-MX" w:eastAsia="es-MX"/>
              </w:rPr>
            </w:pPr>
            <w:r>
              <w:rPr>
                <w:color w:val="000000"/>
                <w:sz w:val="18"/>
                <w:szCs w:val="18"/>
              </w:rPr>
              <w:t>7.2</w:t>
            </w:r>
          </w:p>
        </w:tc>
        <w:tc>
          <w:tcPr>
            <w:tcW w:w="799" w:type="dxa"/>
            <w:tcBorders>
              <w:top w:val="nil"/>
              <w:left w:val="nil"/>
              <w:bottom w:val="single" w:sz="4" w:space="0" w:color="FFFFFF"/>
              <w:right w:val="single" w:sz="4" w:space="0" w:color="FFFFFF"/>
            </w:tcBorders>
            <w:noWrap/>
            <w:vAlign w:val="center"/>
            <w:hideMark/>
          </w:tcPr>
          <w:p w14:paraId="20016D88" w14:textId="5A2AF425" w:rsidR="00A66FCB" w:rsidRPr="00D24F1A" w:rsidRDefault="00A66FCB" w:rsidP="00A66FCB">
            <w:pPr>
              <w:jc w:val="right"/>
              <w:rPr>
                <w:color w:val="000000"/>
                <w:sz w:val="18"/>
                <w:szCs w:val="18"/>
                <w:lang w:val="es-MX" w:eastAsia="es-MX"/>
              </w:rPr>
            </w:pPr>
            <w:r>
              <w:rPr>
                <w:color w:val="000000"/>
                <w:sz w:val="18"/>
                <w:szCs w:val="18"/>
              </w:rPr>
              <w:t>-27.3</w:t>
            </w:r>
          </w:p>
        </w:tc>
        <w:tc>
          <w:tcPr>
            <w:tcW w:w="799" w:type="dxa"/>
            <w:tcBorders>
              <w:top w:val="nil"/>
              <w:left w:val="nil"/>
              <w:bottom w:val="single" w:sz="4" w:space="0" w:color="FFFFFF"/>
              <w:right w:val="single" w:sz="4" w:space="0" w:color="FFFFFF"/>
            </w:tcBorders>
            <w:noWrap/>
            <w:vAlign w:val="center"/>
            <w:hideMark/>
          </w:tcPr>
          <w:p w14:paraId="71D3B945" w14:textId="3B7F0B5C" w:rsidR="00A66FCB" w:rsidRPr="00D24F1A" w:rsidRDefault="00A66FCB" w:rsidP="00A66FCB">
            <w:pPr>
              <w:jc w:val="right"/>
              <w:rPr>
                <w:color w:val="000000"/>
                <w:sz w:val="18"/>
                <w:szCs w:val="18"/>
                <w:lang w:val="es-MX" w:eastAsia="es-MX"/>
              </w:rPr>
            </w:pPr>
            <w:r>
              <w:rPr>
                <w:color w:val="000000"/>
                <w:sz w:val="18"/>
                <w:szCs w:val="18"/>
              </w:rPr>
              <w:t>12.3</w:t>
            </w:r>
          </w:p>
        </w:tc>
        <w:tc>
          <w:tcPr>
            <w:tcW w:w="800" w:type="dxa"/>
            <w:tcBorders>
              <w:top w:val="nil"/>
              <w:left w:val="nil"/>
              <w:bottom w:val="single" w:sz="4" w:space="0" w:color="FFFFFF"/>
              <w:right w:val="single" w:sz="4" w:space="0" w:color="FFFFFF"/>
            </w:tcBorders>
            <w:noWrap/>
            <w:vAlign w:val="center"/>
            <w:hideMark/>
          </w:tcPr>
          <w:p w14:paraId="6277751D" w14:textId="1FBAABAB" w:rsidR="00A66FCB" w:rsidRPr="00D24F1A" w:rsidRDefault="00A66FCB" w:rsidP="00A66FCB">
            <w:pPr>
              <w:jc w:val="right"/>
              <w:rPr>
                <w:color w:val="000000"/>
                <w:sz w:val="18"/>
                <w:szCs w:val="18"/>
                <w:lang w:val="es-MX" w:eastAsia="es-MX"/>
              </w:rPr>
            </w:pPr>
            <w:r>
              <w:rPr>
                <w:color w:val="000000"/>
                <w:sz w:val="18"/>
                <w:szCs w:val="18"/>
              </w:rPr>
              <w:t>-9.1</w:t>
            </w:r>
          </w:p>
        </w:tc>
        <w:tc>
          <w:tcPr>
            <w:tcW w:w="1003" w:type="dxa"/>
            <w:tcBorders>
              <w:top w:val="nil"/>
              <w:left w:val="nil"/>
              <w:bottom w:val="single" w:sz="4" w:space="0" w:color="FFFFFF"/>
              <w:right w:val="single" w:sz="4" w:space="0" w:color="FFFFFF"/>
            </w:tcBorders>
            <w:noWrap/>
            <w:vAlign w:val="center"/>
            <w:hideMark/>
          </w:tcPr>
          <w:p w14:paraId="1BD4CCDA" w14:textId="7975CF20" w:rsidR="00A66FCB" w:rsidRPr="00D24F1A" w:rsidRDefault="00A66FCB" w:rsidP="00A66FCB">
            <w:pPr>
              <w:jc w:val="right"/>
              <w:rPr>
                <w:color w:val="000000"/>
                <w:sz w:val="18"/>
                <w:szCs w:val="18"/>
                <w:lang w:val="es-MX" w:eastAsia="es-MX"/>
              </w:rPr>
            </w:pPr>
            <w:r>
              <w:rPr>
                <w:color w:val="000000"/>
                <w:sz w:val="18"/>
                <w:szCs w:val="18"/>
              </w:rPr>
              <w:t>-4.1</w:t>
            </w:r>
          </w:p>
        </w:tc>
        <w:tc>
          <w:tcPr>
            <w:tcW w:w="774" w:type="dxa"/>
            <w:tcBorders>
              <w:top w:val="nil"/>
              <w:left w:val="nil"/>
              <w:bottom w:val="single" w:sz="4" w:space="0" w:color="FFFFFF"/>
              <w:right w:val="single" w:sz="4" w:space="0" w:color="FFFFFF"/>
            </w:tcBorders>
            <w:noWrap/>
            <w:vAlign w:val="center"/>
            <w:hideMark/>
          </w:tcPr>
          <w:p w14:paraId="4DC38F93" w14:textId="5EC1499F" w:rsidR="00A66FCB" w:rsidRPr="00D24F1A" w:rsidRDefault="00A66FCB" w:rsidP="00A66FCB">
            <w:pPr>
              <w:jc w:val="right"/>
              <w:rPr>
                <w:color w:val="000000"/>
                <w:sz w:val="18"/>
                <w:szCs w:val="18"/>
                <w:lang w:val="es-MX" w:eastAsia="es-MX"/>
              </w:rPr>
            </w:pPr>
            <w:r>
              <w:rPr>
                <w:color w:val="000000"/>
                <w:sz w:val="18"/>
                <w:szCs w:val="18"/>
              </w:rPr>
              <w:t>33.1</w:t>
            </w:r>
          </w:p>
        </w:tc>
        <w:tc>
          <w:tcPr>
            <w:tcW w:w="774" w:type="dxa"/>
            <w:tcBorders>
              <w:top w:val="nil"/>
              <w:left w:val="nil"/>
              <w:bottom w:val="single" w:sz="4" w:space="0" w:color="FFFFFF"/>
              <w:right w:val="single" w:sz="4" w:space="0" w:color="FFFFFF"/>
            </w:tcBorders>
            <w:noWrap/>
            <w:vAlign w:val="center"/>
            <w:hideMark/>
          </w:tcPr>
          <w:p w14:paraId="6267E613" w14:textId="7A5B9DA3" w:rsidR="00A66FCB" w:rsidRPr="00D24F1A" w:rsidRDefault="00A66FCB" w:rsidP="00A66FCB">
            <w:pPr>
              <w:jc w:val="right"/>
              <w:rPr>
                <w:color w:val="000000"/>
                <w:sz w:val="18"/>
                <w:szCs w:val="18"/>
                <w:lang w:val="es-MX" w:eastAsia="es-MX"/>
              </w:rPr>
            </w:pPr>
            <w:r>
              <w:rPr>
                <w:color w:val="000000"/>
                <w:sz w:val="18"/>
                <w:szCs w:val="18"/>
              </w:rPr>
              <w:t>86.9</w:t>
            </w:r>
          </w:p>
        </w:tc>
        <w:tc>
          <w:tcPr>
            <w:tcW w:w="1012" w:type="dxa"/>
            <w:tcBorders>
              <w:top w:val="nil"/>
              <w:left w:val="nil"/>
              <w:bottom w:val="single" w:sz="4" w:space="0" w:color="FFFFFF"/>
              <w:right w:val="single" w:sz="4" w:space="0" w:color="FFFFFF"/>
            </w:tcBorders>
            <w:noWrap/>
            <w:vAlign w:val="center"/>
            <w:hideMark/>
          </w:tcPr>
          <w:p w14:paraId="46F2416A" w14:textId="5E0E14CA" w:rsidR="00A66FCB" w:rsidRPr="00D24F1A" w:rsidRDefault="00A66FCB" w:rsidP="00A66FCB">
            <w:pPr>
              <w:jc w:val="right"/>
              <w:rPr>
                <w:color w:val="000000"/>
                <w:sz w:val="18"/>
                <w:szCs w:val="18"/>
                <w:lang w:val="es-MX" w:eastAsia="es-MX"/>
              </w:rPr>
            </w:pPr>
            <w:r>
              <w:rPr>
                <w:color w:val="000000"/>
                <w:sz w:val="18"/>
                <w:szCs w:val="18"/>
              </w:rPr>
              <w:t>57.4</w:t>
            </w:r>
          </w:p>
        </w:tc>
      </w:tr>
      <w:tr w:rsidR="00A66FCB" w:rsidRPr="00D24F1A" w14:paraId="132684AC" w14:textId="77777777" w:rsidTr="003979E8">
        <w:trPr>
          <w:trHeight w:val="360"/>
          <w:jc w:val="center"/>
        </w:trPr>
        <w:tc>
          <w:tcPr>
            <w:tcW w:w="1760" w:type="dxa"/>
            <w:tcBorders>
              <w:top w:val="nil"/>
              <w:left w:val="single" w:sz="4" w:space="0" w:color="FFFFFF"/>
              <w:bottom w:val="single" w:sz="4" w:space="0" w:color="FFFFFF"/>
              <w:right w:val="single" w:sz="4" w:space="0" w:color="FFFFFF"/>
            </w:tcBorders>
            <w:shd w:val="clear" w:color="000000" w:fill="F2F2F2"/>
            <w:noWrap/>
            <w:vAlign w:val="center"/>
            <w:hideMark/>
          </w:tcPr>
          <w:p w14:paraId="48116112"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Secundarias</w:t>
            </w:r>
          </w:p>
        </w:tc>
        <w:tc>
          <w:tcPr>
            <w:tcW w:w="799" w:type="dxa"/>
            <w:tcBorders>
              <w:top w:val="nil"/>
              <w:left w:val="single" w:sz="4" w:space="0" w:color="FFFFFF"/>
              <w:bottom w:val="single" w:sz="4" w:space="0" w:color="FFFFFF"/>
              <w:right w:val="single" w:sz="4" w:space="0" w:color="FFFFFF"/>
            </w:tcBorders>
            <w:shd w:val="clear" w:color="000000" w:fill="F2F2F2"/>
            <w:noWrap/>
            <w:vAlign w:val="center"/>
            <w:hideMark/>
          </w:tcPr>
          <w:p w14:paraId="5DC5C122" w14:textId="0F303993" w:rsidR="00A66FCB" w:rsidRPr="00D24F1A" w:rsidRDefault="00A66FCB" w:rsidP="00A66FCB">
            <w:pPr>
              <w:jc w:val="right"/>
              <w:rPr>
                <w:color w:val="000000"/>
                <w:sz w:val="18"/>
                <w:szCs w:val="18"/>
                <w:lang w:val="es-MX" w:eastAsia="es-MX"/>
              </w:rPr>
            </w:pPr>
            <w:r>
              <w:rPr>
                <w:color w:val="000000"/>
                <w:sz w:val="18"/>
                <w:szCs w:val="18"/>
              </w:rPr>
              <w:t>6.6</w:t>
            </w:r>
          </w:p>
        </w:tc>
        <w:tc>
          <w:tcPr>
            <w:tcW w:w="799" w:type="dxa"/>
            <w:tcBorders>
              <w:top w:val="nil"/>
              <w:left w:val="nil"/>
              <w:bottom w:val="single" w:sz="4" w:space="0" w:color="FFFFFF"/>
              <w:right w:val="single" w:sz="4" w:space="0" w:color="FFFFFF"/>
            </w:tcBorders>
            <w:shd w:val="clear" w:color="000000" w:fill="F2F2F2"/>
            <w:noWrap/>
            <w:vAlign w:val="center"/>
            <w:hideMark/>
          </w:tcPr>
          <w:p w14:paraId="068F2E24" w14:textId="2C2EBE5A" w:rsidR="00A66FCB" w:rsidRPr="00D24F1A" w:rsidRDefault="00A66FCB" w:rsidP="00A66FCB">
            <w:pPr>
              <w:jc w:val="right"/>
              <w:rPr>
                <w:color w:val="000000"/>
                <w:sz w:val="18"/>
                <w:szCs w:val="18"/>
                <w:lang w:val="es-MX" w:eastAsia="es-MX"/>
              </w:rPr>
            </w:pPr>
            <w:r>
              <w:rPr>
                <w:color w:val="000000"/>
                <w:sz w:val="18"/>
                <w:szCs w:val="18"/>
              </w:rPr>
              <w:t>15.2</w:t>
            </w:r>
          </w:p>
        </w:tc>
        <w:tc>
          <w:tcPr>
            <w:tcW w:w="799" w:type="dxa"/>
            <w:tcBorders>
              <w:top w:val="nil"/>
              <w:left w:val="nil"/>
              <w:bottom w:val="single" w:sz="4" w:space="0" w:color="FFFFFF"/>
              <w:right w:val="single" w:sz="4" w:space="0" w:color="FFFFFF"/>
            </w:tcBorders>
            <w:shd w:val="clear" w:color="000000" w:fill="F2F2F2"/>
            <w:noWrap/>
            <w:vAlign w:val="center"/>
            <w:hideMark/>
          </w:tcPr>
          <w:p w14:paraId="3DE9C710" w14:textId="4F227FF4" w:rsidR="00A66FCB" w:rsidRPr="00D24F1A" w:rsidRDefault="00A66FCB" w:rsidP="00A66FCB">
            <w:pPr>
              <w:jc w:val="right"/>
              <w:rPr>
                <w:color w:val="000000"/>
                <w:sz w:val="18"/>
                <w:szCs w:val="18"/>
                <w:lang w:val="es-MX" w:eastAsia="es-MX"/>
              </w:rPr>
            </w:pPr>
            <w:r>
              <w:rPr>
                <w:color w:val="000000"/>
                <w:sz w:val="18"/>
                <w:szCs w:val="18"/>
              </w:rPr>
              <w:t>14.5</w:t>
            </w:r>
          </w:p>
        </w:tc>
        <w:tc>
          <w:tcPr>
            <w:tcW w:w="800" w:type="dxa"/>
            <w:tcBorders>
              <w:top w:val="nil"/>
              <w:left w:val="nil"/>
              <w:bottom w:val="single" w:sz="4" w:space="0" w:color="FFFFFF"/>
              <w:right w:val="single" w:sz="4" w:space="0" w:color="FFFFFF"/>
            </w:tcBorders>
            <w:shd w:val="clear" w:color="000000" w:fill="F2F2F2"/>
            <w:noWrap/>
            <w:vAlign w:val="center"/>
            <w:hideMark/>
          </w:tcPr>
          <w:p w14:paraId="4C867C31" w14:textId="2CB5D8B6" w:rsidR="00A66FCB" w:rsidRPr="00D24F1A" w:rsidRDefault="00A66FCB" w:rsidP="00A66FCB">
            <w:pPr>
              <w:jc w:val="right"/>
              <w:rPr>
                <w:color w:val="000000"/>
                <w:sz w:val="18"/>
                <w:szCs w:val="18"/>
                <w:lang w:val="es-MX" w:eastAsia="es-MX"/>
              </w:rPr>
            </w:pPr>
            <w:r>
              <w:rPr>
                <w:color w:val="000000"/>
                <w:sz w:val="18"/>
                <w:szCs w:val="18"/>
              </w:rPr>
              <w:t>8.7</w:t>
            </w:r>
          </w:p>
        </w:tc>
        <w:tc>
          <w:tcPr>
            <w:tcW w:w="1003" w:type="dxa"/>
            <w:tcBorders>
              <w:top w:val="nil"/>
              <w:left w:val="nil"/>
              <w:bottom w:val="single" w:sz="4" w:space="0" w:color="FFFFFF"/>
              <w:right w:val="single" w:sz="4" w:space="0" w:color="FFFFFF"/>
            </w:tcBorders>
            <w:shd w:val="clear" w:color="000000" w:fill="F2F2F2"/>
            <w:noWrap/>
            <w:vAlign w:val="center"/>
            <w:hideMark/>
          </w:tcPr>
          <w:p w14:paraId="5E57334C" w14:textId="6D7887E2" w:rsidR="00A66FCB" w:rsidRPr="00D24F1A" w:rsidRDefault="00A66FCB" w:rsidP="00A66FCB">
            <w:pPr>
              <w:jc w:val="right"/>
              <w:rPr>
                <w:color w:val="000000"/>
                <w:sz w:val="18"/>
                <w:szCs w:val="18"/>
                <w:lang w:val="es-MX" w:eastAsia="es-MX"/>
              </w:rPr>
            </w:pPr>
            <w:r>
              <w:rPr>
                <w:color w:val="000000"/>
                <w:sz w:val="18"/>
                <w:szCs w:val="18"/>
              </w:rPr>
              <w:t>11.4</w:t>
            </w:r>
          </w:p>
        </w:tc>
        <w:tc>
          <w:tcPr>
            <w:tcW w:w="774" w:type="dxa"/>
            <w:tcBorders>
              <w:top w:val="nil"/>
              <w:left w:val="nil"/>
              <w:bottom w:val="single" w:sz="4" w:space="0" w:color="FFFFFF"/>
              <w:right w:val="single" w:sz="4" w:space="0" w:color="FFFFFF"/>
            </w:tcBorders>
            <w:shd w:val="clear" w:color="000000" w:fill="F2F2F2"/>
            <w:noWrap/>
            <w:vAlign w:val="center"/>
            <w:hideMark/>
          </w:tcPr>
          <w:p w14:paraId="5257E019" w14:textId="18C1E2B0" w:rsidR="00A66FCB" w:rsidRPr="00D24F1A" w:rsidRDefault="00A66FCB" w:rsidP="00A66FCB">
            <w:pPr>
              <w:jc w:val="right"/>
              <w:rPr>
                <w:color w:val="000000"/>
                <w:sz w:val="18"/>
                <w:szCs w:val="18"/>
                <w:lang w:val="es-MX" w:eastAsia="es-MX"/>
              </w:rPr>
            </w:pPr>
            <w:r>
              <w:rPr>
                <w:color w:val="000000"/>
                <w:sz w:val="18"/>
                <w:szCs w:val="18"/>
              </w:rPr>
              <w:t>-3.6</w:t>
            </w:r>
          </w:p>
        </w:tc>
        <w:tc>
          <w:tcPr>
            <w:tcW w:w="774" w:type="dxa"/>
            <w:tcBorders>
              <w:top w:val="nil"/>
              <w:left w:val="nil"/>
              <w:bottom w:val="single" w:sz="4" w:space="0" w:color="FFFFFF"/>
              <w:right w:val="single" w:sz="4" w:space="0" w:color="FFFFFF"/>
            </w:tcBorders>
            <w:shd w:val="clear" w:color="000000" w:fill="F2F2F2"/>
            <w:noWrap/>
            <w:vAlign w:val="center"/>
            <w:hideMark/>
          </w:tcPr>
          <w:p w14:paraId="103CF1BB" w14:textId="7A2ECAE8" w:rsidR="00A66FCB" w:rsidRPr="00D24F1A" w:rsidRDefault="00A66FCB" w:rsidP="00A66FCB">
            <w:pPr>
              <w:jc w:val="right"/>
              <w:rPr>
                <w:color w:val="000000"/>
                <w:sz w:val="18"/>
                <w:szCs w:val="18"/>
                <w:lang w:val="es-MX" w:eastAsia="es-MX"/>
              </w:rPr>
            </w:pPr>
            <w:r>
              <w:rPr>
                <w:color w:val="000000"/>
                <w:sz w:val="18"/>
                <w:szCs w:val="18"/>
              </w:rPr>
              <w:t>-9.3</w:t>
            </w:r>
          </w:p>
        </w:tc>
        <w:tc>
          <w:tcPr>
            <w:tcW w:w="1012" w:type="dxa"/>
            <w:tcBorders>
              <w:top w:val="nil"/>
              <w:left w:val="nil"/>
              <w:bottom w:val="single" w:sz="4" w:space="0" w:color="FFFFFF"/>
              <w:right w:val="single" w:sz="4" w:space="0" w:color="FFFFFF"/>
            </w:tcBorders>
            <w:shd w:val="clear" w:color="000000" w:fill="F2F2F2"/>
            <w:noWrap/>
            <w:vAlign w:val="center"/>
            <w:hideMark/>
          </w:tcPr>
          <w:p w14:paraId="0D1253D3" w14:textId="3FAFF48E" w:rsidR="00A66FCB" w:rsidRPr="00D24F1A" w:rsidRDefault="00A66FCB" w:rsidP="00A66FCB">
            <w:pPr>
              <w:jc w:val="right"/>
              <w:rPr>
                <w:color w:val="000000"/>
                <w:sz w:val="18"/>
                <w:szCs w:val="18"/>
                <w:lang w:val="es-MX" w:eastAsia="es-MX"/>
              </w:rPr>
            </w:pPr>
            <w:r>
              <w:rPr>
                <w:color w:val="000000"/>
                <w:sz w:val="18"/>
                <w:szCs w:val="18"/>
              </w:rPr>
              <w:t>-6.6</w:t>
            </w:r>
          </w:p>
        </w:tc>
      </w:tr>
      <w:tr w:rsidR="00A66FCB" w:rsidRPr="00D24F1A" w14:paraId="53E0D751" w14:textId="77777777" w:rsidTr="003979E8">
        <w:trPr>
          <w:trHeight w:val="360"/>
          <w:jc w:val="center"/>
        </w:trPr>
        <w:tc>
          <w:tcPr>
            <w:tcW w:w="1760" w:type="dxa"/>
            <w:tcBorders>
              <w:top w:val="nil"/>
              <w:left w:val="nil"/>
              <w:bottom w:val="single" w:sz="8" w:space="0" w:color="C0C0C0"/>
              <w:right w:val="single" w:sz="4" w:space="0" w:color="FFFFFF"/>
            </w:tcBorders>
            <w:noWrap/>
            <w:vAlign w:val="center"/>
            <w:hideMark/>
          </w:tcPr>
          <w:p w14:paraId="47BC64BE"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Terciarias</w:t>
            </w:r>
          </w:p>
        </w:tc>
        <w:tc>
          <w:tcPr>
            <w:tcW w:w="799" w:type="dxa"/>
            <w:tcBorders>
              <w:top w:val="nil"/>
              <w:left w:val="single" w:sz="4" w:space="0" w:color="FFFFFF"/>
              <w:bottom w:val="single" w:sz="8" w:space="0" w:color="C0C0C0"/>
              <w:right w:val="single" w:sz="4" w:space="0" w:color="FFFFFF"/>
            </w:tcBorders>
            <w:noWrap/>
            <w:vAlign w:val="center"/>
            <w:hideMark/>
          </w:tcPr>
          <w:p w14:paraId="2171B7F3" w14:textId="79D0CDFE" w:rsidR="00A66FCB" w:rsidRPr="00D24F1A" w:rsidRDefault="00A66FCB" w:rsidP="00A66FCB">
            <w:pPr>
              <w:jc w:val="right"/>
              <w:rPr>
                <w:color w:val="000000"/>
                <w:sz w:val="18"/>
                <w:szCs w:val="18"/>
                <w:lang w:val="es-MX" w:eastAsia="es-MX"/>
              </w:rPr>
            </w:pPr>
            <w:r>
              <w:rPr>
                <w:color w:val="000000"/>
                <w:sz w:val="18"/>
                <w:szCs w:val="18"/>
              </w:rPr>
              <w:t>1.0</w:t>
            </w:r>
          </w:p>
        </w:tc>
        <w:tc>
          <w:tcPr>
            <w:tcW w:w="799" w:type="dxa"/>
            <w:tcBorders>
              <w:top w:val="nil"/>
              <w:left w:val="nil"/>
              <w:bottom w:val="single" w:sz="8" w:space="0" w:color="C0C0C0"/>
              <w:right w:val="single" w:sz="4" w:space="0" w:color="FFFFFF"/>
            </w:tcBorders>
            <w:noWrap/>
            <w:vAlign w:val="center"/>
            <w:hideMark/>
          </w:tcPr>
          <w:p w14:paraId="22AAA079" w14:textId="50899CBD" w:rsidR="00A66FCB" w:rsidRPr="00D24F1A" w:rsidRDefault="00A66FCB" w:rsidP="00A66FCB">
            <w:pPr>
              <w:jc w:val="right"/>
              <w:rPr>
                <w:color w:val="000000"/>
                <w:sz w:val="18"/>
                <w:szCs w:val="18"/>
                <w:lang w:val="es-MX" w:eastAsia="es-MX"/>
              </w:rPr>
            </w:pPr>
            <w:r>
              <w:rPr>
                <w:color w:val="000000"/>
                <w:sz w:val="18"/>
                <w:szCs w:val="18"/>
              </w:rPr>
              <w:t>2.0</w:t>
            </w:r>
          </w:p>
        </w:tc>
        <w:tc>
          <w:tcPr>
            <w:tcW w:w="799" w:type="dxa"/>
            <w:tcBorders>
              <w:top w:val="nil"/>
              <w:left w:val="nil"/>
              <w:bottom w:val="single" w:sz="8" w:space="0" w:color="C0C0C0"/>
              <w:right w:val="single" w:sz="4" w:space="0" w:color="FFFFFF"/>
            </w:tcBorders>
            <w:noWrap/>
            <w:vAlign w:val="center"/>
            <w:hideMark/>
          </w:tcPr>
          <w:p w14:paraId="06DB0878" w14:textId="4F304886" w:rsidR="00A66FCB" w:rsidRPr="00D24F1A" w:rsidRDefault="00A66FCB" w:rsidP="00A66FCB">
            <w:pPr>
              <w:jc w:val="right"/>
              <w:rPr>
                <w:color w:val="000000"/>
                <w:sz w:val="18"/>
                <w:szCs w:val="18"/>
                <w:lang w:val="es-MX" w:eastAsia="es-MX"/>
              </w:rPr>
            </w:pPr>
            <w:r>
              <w:rPr>
                <w:color w:val="000000"/>
                <w:sz w:val="18"/>
                <w:szCs w:val="18"/>
              </w:rPr>
              <w:t>0.3</w:t>
            </w:r>
          </w:p>
        </w:tc>
        <w:tc>
          <w:tcPr>
            <w:tcW w:w="800" w:type="dxa"/>
            <w:tcBorders>
              <w:top w:val="nil"/>
              <w:left w:val="nil"/>
              <w:bottom w:val="single" w:sz="8" w:space="0" w:color="C0C0C0"/>
              <w:right w:val="single" w:sz="4" w:space="0" w:color="FFFFFF"/>
            </w:tcBorders>
            <w:noWrap/>
            <w:vAlign w:val="center"/>
            <w:hideMark/>
          </w:tcPr>
          <w:p w14:paraId="1BE09426" w14:textId="636D5EA2" w:rsidR="00A66FCB" w:rsidRPr="00D24F1A" w:rsidRDefault="00A66FCB" w:rsidP="00A66FCB">
            <w:pPr>
              <w:jc w:val="right"/>
              <w:rPr>
                <w:color w:val="000000"/>
                <w:sz w:val="18"/>
                <w:szCs w:val="18"/>
                <w:lang w:val="es-MX" w:eastAsia="es-MX"/>
              </w:rPr>
            </w:pPr>
            <w:r>
              <w:rPr>
                <w:color w:val="000000"/>
                <w:sz w:val="18"/>
                <w:szCs w:val="18"/>
              </w:rPr>
              <w:t>-1.3</w:t>
            </w:r>
          </w:p>
        </w:tc>
        <w:tc>
          <w:tcPr>
            <w:tcW w:w="1003" w:type="dxa"/>
            <w:tcBorders>
              <w:top w:val="nil"/>
              <w:left w:val="nil"/>
              <w:bottom w:val="single" w:sz="8" w:space="0" w:color="C0C0C0"/>
              <w:right w:val="single" w:sz="4" w:space="0" w:color="FFFFFF"/>
            </w:tcBorders>
            <w:noWrap/>
            <w:vAlign w:val="center"/>
            <w:hideMark/>
          </w:tcPr>
          <w:p w14:paraId="11A04442" w14:textId="6EAE032E" w:rsidR="00A66FCB" w:rsidRPr="00D24F1A" w:rsidRDefault="00A66FCB" w:rsidP="00A66FCB">
            <w:pPr>
              <w:jc w:val="right"/>
              <w:rPr>
                <w:color w:val="000000"/>
                <w:sz w:val="18"/>
                <w:szCs w:val="18"/>
                <w:lang w:val="es-MX" w:eastAsia="es-MX"/>
              </w:rPr>
            </w:pPr>
            <w:r>
              <w:rPr>
                <w:color w:val="000000"/>
                <w:sz w:val="18"/>
                <w:szCs w:val="18"/>
              </w:rPr>
              <w:t>0.5</w:t>
            </w:r>
          </w:p>
        </w:tc>
        <w:tc>
          <w:tcPr>
            <w:tcW w:w="774" w:type="dxa"/>
            <w:tcBorders>
              <w:top w:val="nil"/>
              <w:left w:val="nil"/>
              <w:bottom w:val="single" w:sz="8" w:space="0" w:color="C0C0C0"/>
              <w:right w:val="single" w:sz="4" w:space="0" w:color="FFFFFF"/>
            </w:tcBorders>
            <w:noWrap/>
            <w:vAlign w:val="center"/>
            <w:hideMark/>
          </w:tcPr>
          <w:p w14:paraId="4C675245" w14:textId="01A30B8D" w:rsidR="00A66FCB" w:rsidRPr="00D24F1A" w:rsidRDefault="00A66FCB" w:rsidP="00A66FCB">
            <w:pPr>
              <w:jc w:val="right"/>
              <w:rPr>
                <w:color w:val="000000"/>
                <w:sz w:val="18"/>
                <w:szCs w:val="18"/>
                <w:lang w:val="es-MX" w:eastAsia="es-MX"/>
              </w:rPr>
            </w:pPr>
            <w:r>
              <w:rPr>
                <w:color w:val="000000"/>
                <w:sz w:val="18"/>
                <w:szCs w:val="18"/>
              </w:rPr>
              <w:t>2.5</w:t>
            </w:r>
          </w:p>
        </w:tc>
        <w:tc>
          <w:tcPr>
            <w:tcW w:w="774" w:type="dxa"/>
            <w:tcBorders>
              <w:top w:val="nil"/>
              <w:left w:val="nil"/>
              <w:bottom w:val="single" w:sz="8" w:space="0" w:color="C0C0C0"/>
              <w:right w:val="single" w:sz="4" w:space="0" w:color="FFFFFF"/>
            </w:tcBorders>
            <w:noWrap/>
            <w:vAlign w:val="center"/>
            <w:hideMark/>
          </w:tcPr>
          <w:p w14:paraId="32CC070C" w14:textId="59206ACB" w:rsidR="00A66FCB" w:rsidRPr="00D24F1A" w:rsidRDefault="00A66FCB" w:rsidP="00A66FCB">
            <w:pPr>
              <w:jc w:val="right"/>
              <w:rPr>
                <w:color w:val="000000"/>
                <w:sz w:val="18"/>
                <w:szCs w:val="18"/>
                <w:lang w:val="es-MX" w:eastAsia="es-MX"/>
              </w:rPr>
            </w:pPr>
            <w:r>
              <w:rPr>
                <w:color w:val="000000"/>
                <w:sz w:val="18"/>
                <w:szCs w:val="18"/>
              </w:rPr>
              <w:t>2.9</w:t>
            </w:r>
          </w:p>
        </w:tc>
        <w:tc>
          <w:tcPr>
            <w:tcW w:w="1012" w:type="dxa"/>
            <w:tcBorders>
              <w:top w:val="nil"/>
              <w:left w:val="nil"/>
              <w:bottom w:val="single" w:sz="8" w:space="0" w:color="C0C0C0"/>
              <w:right w:val="single" w:sz="4" w:space="0" w:color="FFFFFF"/>
            </w:tcBorders>
            <w:noWrap/>
            <w:vAlign w:val="center"/>
            <w:hideMark/>
          </w:tcPr>
          <w:p w14:paraId="58371300" w14:textId="67E233BA" w:rsidR="00A66FCB" w:rsidRPr="00D24F1A" w:rsidRDefault="00A66FCB" w:rsidP="00A66FCB">
            <w:pPr>
              <w:jc w:val="right"/>
              <w:rPr>
                <w:color w:val="000000"/>
                <w:sz w:val="18"/>
                <w:szCs w:val="18"/>
                <w:lang w:val="es-MX" w:eastAsia="es-MX"/>
              </w:rPr>
            </w:pPr>
            <w:r>
              <w:rPr>
                <w:color w:val="000000"/>
                <w:sz w:val="18"/>
                <w:szCs w:val="18"/>
              </w:rPr>
              <w:t>2.7</w:t>
            </w:r>
          </w:p>
        </w:tc>
      </w:tr>
    </w:tbl>
    <w:p w14:paraId="455E37E1" w14:textId="77777777" w:rsidR="009E19AB" w:rsidRDefault="009E19AB" w:rsidP="009E19AB">
      <w:pPr>
        <w:ind w:left="709"/>
        <w:rPr>
          <w:color w:val="4D565E"/>
          <w:sz w:val="16"/>
          <w:szCs w:val="16"/>
          <w:lang w:val="es-ES" w:eastAsia="es-MX"/>
        </w:rPr>
      </w:pPr>
      <w:r w:rsidRPr="009E19AB">
        <w:rPr>
          <w:color w:val="4D565E"/>
          <w:sz w:val="16"/>
          <w:szCs w:val="16"/>
          <w:vertAlign w:val="superscript"/>
          <w:lang w:val="es-ES" w:eastAsia="es-MX"/>
        </w:rPr>
        <w:t>1/</w:t>
      </w:r>
      <w:r>
        <w:rPr>
          <w:color w:val="4D565E"/>
          <w:sz w:val="16"/>
          <w:szCs w:val="16"/>
          <w:lang w:val="es-ES" w:eastAsia="es-MX"/>
        </w:rPr>
        <w:t xml:space="preserve"> </w:t>
      </w:r>
      <w:r>
        <w:rPr>
          <w:color w:val="4D565E"/>
          <w:sz w:val="16"/>
          <w:szCs w:val="16"/>
          <w:lang w:val="es-ES" w:eastAsia="es-MX"/>
        </w:rPr>
        <w:tab/>
        <w:t xml:space="preserve"> Cifras preliminares.</w:t>
      </w:r>
    </w:p>
    <w:p w14:paraId="4A9293EC" w14:textId="77777777" w:rsidR="009E19AB" w:rsidRPr="0065528B" w:rsidRDefault="009E19AB" w:rsidP="009E19AB">
      <w:pPr>
        <w:ind w:left="709"/>
        <w:rPr>
          <w:color w:val="4D565E"/>
          <w:sz w:val="16"/>
          <w:szCs w:val="16"/>
          <w:lang w:val="es-ES" w:eastAsia="es-MX"/>
        </w:rPr>
      </w:pPr>
      <w:r w:rsidRPr="009E19AB">
        <w:rPr>
          <w:color w:val="4D565E"/>
          <w:sz w:val="16"/>
          <w:szCs w:val="16"/>
          <w:vertAlign w:val="superscript"/>
          <w:lang w:val="es-ES" w:eastAsia="es-MX"/>
        </w:rPr>
        <w:t>2/</w:t>
      </w:r>
      <w:r>
        <w:rPr>
          <w:color w:val="4D565E"/>
          <w:sz w:val="16"/>
          <w:szCs w:val="16"/>
          <w:lang w:val="es-ES" w:eastAsia="es-MX"/>
        </w:rPr>
        <w:t xml:space="preserve"> </w:t>
      </w:r>
      <w:r>
        <w:rPr>
          <w:color w:val="4D565E"/>
          <w:sz w:val="16"/>
          <w:szCs w:val="16"/>
          <w:lang w:val="es-ES" w:eastAsia="es-MX"/>
        </w:rPr>
        <w:tab/>
        <w:t xml:space="preserve"> Cifras revisadas.</w:t>
      </w:r>
    </w:p>
    <w:p w14:paraId="2518AC27" w14:textId="77777777" w:rsidR="009E19AB" w:rsidRDefault="009E19AB" w:rsidP="009E19AB">
      <w:pPr>
        <w:ind w:left="709"/>
        <w:rPr>
          <w:color w:val="4D565E"/>
          <w:sz w:val="16"/>
          <w:szCs w:val="16"/>
          <w:lang w:val="es-ES" w:eastAsia="es-MX"/>
        </w:rPr>
      </w:pPr>
      <w:r w:rsidRPr="0065528B">
        <w:rPr>
          <w:color w:val="4D565E"/>
          <w:sz w:val="16"/>
          <w:szCs w:val="16"/>
          <w:lang w:val="es-ES" w:eastAsia="es-MX"/>
        </w:rPr>
        <w:t>Fuente:</w:t>
      </w:r>
      <w:r w:rsidRPr="0065528B">
        <w:rPr>
          <w:sz w:val="16"/>
          <w:szCs w:val="16"/>
        </w:rPr>
        <w:tab/>
      </w:r>
      <w:r>
        <w:rPr>
          <w:sz w:val="16"/>
          <w:szCs w:val="16"/>
        </w:rPr>
        <w:t xml:space="preserve"> </w:t>
      </w:r>
      <w:r w:rsidRPr="0065528B">
        <w:rPr>
          <w:smallCaps/>
          <w:color w:val="4D565E"/>
          <w:sz w:val="16"/>
          <w:szCs w:val="16"/>
          <w:lang w:val="es-ES" w:eastAsia="es-MX"/>
        </w:rPr>
        <w:t xml:space="preserve">inegi. </w:t>
      </w:r>
      <w:r w:rsidRPr="0065528B">
        <w:rPr>
          <w:color w:val="4D565E"/>
          <w:sz w:val="16"/>
          <w:szCs w:val="16"/>
          <w:lang w:val="es-ES" w:eastAsia="es-MX"/>
        </w:rPr>
        <w:t>Indicador Trimestral de la Actividad Económica Estatal</w:t>
      </w:r>
      <w:r w:rsidRPr="0065528B">
        <w:rPr>
          <w:smallCaps/>
          <w:color w:val="4D565E"/>
          <w:sz w:val="16"/>
          <w:szCs w:val="16"/>
          <w:lang w:val="es-ES" w:eastAsia="es-MX"/>
        </w:rPr>
        <w:t xml:space="preserve"> (itaee)</w:t>
      </w:r>
      <w:r w:rsidRPr="0065528B">
        <w:rPr>
          <w:color w:val="4D565E"/>
          <w:sz w:val="16"/>
          <w:szCs w:val="16"/>
          <w:lang w:val="es-ES" w:eastAsia="es-MX"/>
        </w:rPr>
        <w:t>, 2025 y 2026.</w:t>
      </w:r>
    </w:p>
    <w:p w14:paraId="4EA294FD" w14:textId="77777777" w:rsidR="00DC6861" w:rsidRPr="009E19AB" w:rsidRDefault="00DC6861" w:rsidP="00DC6861">
      <w:pPr>
        <w:rPr>
          <w:lang w:val="es-ES" w:eastAsia="es-MX"/>
        </w:rPr>
      </w:pPr>
    </w:p>
    <w:p w14:paraId="38D24744" w14:textId="1DC2AA83" w:rsidR="00DC6861" w:rsidRDefault="004E7E27" w:rsidP="00DC6861">
      <w:pPr>
        <w:rPr>
          <w:lang w:eastAsia="es-MX"/>
        </w:rPr>
      </w:pPr>
      <w:r w:rsidRPr="004E7E27">
        <w:rPr>
          <w:lang w:eastAsia="es-MX"/>
        </w:rPr>
        <w:t xml:space="preserve">En el trimestre de estudio, las </w:t>
      </w:r>
      <w:r w:rsidRPr="00255BE1">
        <w:rPr>
          <w:i/>
          <w:iCs/>
          <w:lang w:eastAsia="es-MX"/>
        </w:rPr>
        <w:t>actividades primarias</w:t>
      </w:r>
      <w:r w:rsidRPr="004E7E27">
        <w:rPr>
          <w:lang w:eastAsia="es-MX"/>
        </w:rPr>
        <w:t xml:space="preserve"> contribuyeron con </w:t>
      </w:r>
      <w:r w:rsidR="0058568B">
        <w:rPr>
          <w:lang w:eastAsia="es-MX"/>
        </w:rPr>
        <w:br/>
      </w:r>
      <w:r w:rsidRPr="004E7E27">
        <w:rPr>
          <w:lang w:eastAsia="es-MX"/>
        </w:rPr>
        <w:t xml:space="preserve">2.31 puntos porcentuales a la variación total de la entidad. Por su parte, en los primeros seis meses del año, las </w:t>
      </w:r>
      <w:r w:rsidRPr="00255BE1">
        <w:rPr>
          <w:i/>
          <w:iCs/>
          <w:lang w:eastAsia="es-MX"/>
        </w:rPr>
        <w:t>actividades terciarias</w:t>
      </w:r>
      <w:r w:rsidRPr="004E7E27">
        <w:rPr>
          <w:lang w:eastAsia="es-MX"/>
        </w:rPr>
        <w:t xml:space="preserve"> fueron las que más aumentaron la variación </w:t>
      </w:r>
      <w:r w:rsidR="0058568B">
        <w:rPr>
          <w:lang w:eastAsia="es-MX"/>
        </w:rPr>
        <w:br/>
      </w:r>
      <w:r w:rsidRPr="004E7E27">
        <w:rPr>
          <w:lang w:eastAsia="es-MX"/>
        </w:rPr>
        <w:t>(ver cuadro 2).</w:t>
      </w:r>
    </w:p>
    <w:p w14:paraId="14C4B653" w14:textId="77777777" w:rsidR="004E7E27" w:rsidRPr="00C62C6E" w:rsidRDefault="004E7E27" w:rsidP="00DC6861">
      <w:pPr>
        <w:rPr>
          <w:lang w:eastAsia="es-MX"/>
        </w:rPr>
      </w:pPr>
    </w:p>
    <w:p w14:paraId="7604BFA9" w14:textId="77777777" w:rsidR="00DC6861" w:rsidRPr="00AE55C8" w:rsidRDefault="00DC6861" w:rsidP="00DC6861">
      <w:pPr>
        <w:jc w:val="center"/>
        <w:rPr>
          <w:bCs/>
          <w:color w:val="003057"/>
          <w:sz w:val="20"/>
          <w:szCs w:val="20"/>
        </w:rPr>
      </w:pPr>
      <w:r w:rsidRPr="00AE55C8">
        <w:rPr>
          <w:bCs/>
          <w:color w:val="003057"/>
          <w:sz w:val="20"/>
          <w:szCs w:val="20"/>
        </w:rPr>
        <w:t>Cuadro 2</w:t>
      </w:r>
    </w:p>
    <w:p w14:paraId="2F39ACEF" w14:textId="131F0B3A" w:rsidR="00DC6861" w:rsidRPr="00103B2F" w:rsidRDefault="0075651D" w:rsidP="00DC6861">
      <w:pPr>
        <w:ind w:right="51"/>
        <w:jc w:val="center"/>
        <w:rPr>
          <w:b/>
          <w:color w:val="003057"/>
          <w:sz w:val="22"/>
          <w:szCs w:val="22"/>
        </w:rPr>
      </w:pPr>
      <w:r>
        <w:rPr>
          <w:b/>
          <w:color w:val="003057"/>
          <w:sz w:val="22"/>
          <w:szCs w:val="22"/>
        </w:rPr>
        <w:t xml:space="preserve">Contribución del </w:t>
      </w:r>
      <w:r w:rsidR="00576035" w:rsidRPr="00576035">
        <w:rPr>
          <w:b/>
          <w:color w:val="003057"/>
          <w:sz w:val="22"/>
          <w:szCs w:val="22"/>
        </w:rPr>
        <w:t xml:space="preserve">Indicador Trimestral de la Actividad Económica Estatal de </w:t>
      </w:r>
      <w:r w:rsidR="00780E9F">
        <w:rPr>
          <w:b/>
          <w:color w:val="003057"/>
          <w:sz w:val="22"/>
          <w:szCs w:val="22"/>
        </w:rPr>
        <w:t>Baja California Sur</w:t>
      </w:r>
    </w:p>
    <w:p w14:paraId="1AE0905B" w14:textId="62460BC3" w:rsidR="00C37295" w:rsidRPr="00103B2F" w:rsidRDefault="00C37295" w:rsidP="00C37295">
      <w:pPr>
        <w:jc w:val="center"/>
        <w:rPr>
          <w:bCs/>
          <w:color w:val="27251F"/>
          <w:sz w:val="20"/>
          <w:lang w:eastAsia="es-MX"/>
        </w:rPr>
      </w:pPr>
      <w:r w:rsidRPr="00103B2F">
        <w:rPr>
          <w:bCs/>
          <w:color w:val="27251F"/>
          <w:sz w:val="20"/>
          <w:lang w:eastAsia="es-MX"/>
        </w:rPr>
        <w:t>202</w:t>
      </w:r>
      <w:r w:rsidR="00067976">
        <w:rPr>
          <w:bCs/>
          <w:color w:val="27251F"/>
          <w:sz w:val="20"/>
          <w:lang w:eastAsia="es-MX"/>
        </w:rPr>
        <w:t>5</w:t>
      </w:r>
      <w:r w:rsidR="004D2B3F">
        <w:rPr>
          <w:bCs/>
          <w:color w:val="27251F"/>
          <w:sz w:val="20"/>
          <w:lang w:eastAsia="es-MX"/>
        </w:rPr>
        <w:t xml:space="preserve"> y </w:t>
      </w:r>
      <w:r w:rsidRPr="00103B2F">
        <w:rPr>
          <w:bCs/>
          <w:color w:val="27251F"/>
          <w:sz w:val="20"/>
          <w:lang w:eastAsia="es-MX"/>
        </w:rPr>
        <w:t>202</w:t>
      </w:r>
      <w:r w:rsidR="00067976">
        <w:rPr>
          <w:bCs/>
          <w:color w:val="27251F"/>
          <w:sz w:val="20"/>
          <w:lang w:eastAsia="es-MX"/>
        </w:rPr>
        <w:t>6</w:t>
      </w:r>
    </w:p>
    <w:p w14:paraId="340EB825" w14:textId="777E3625" w:rsidR="00C37295" w:rsidRPr="00103B2F" w:rsidRDefault="00C37295" w:rsidP="00C37295">
      <w:pPr>
        <w:jc w:val="center"/>
        <w:rPr>
          <w:bCs/>
          <w:color w:val="27251F"/>
          <w:sz w:val="18"/>
          <w:szCs w:val="18"/>
          <w:lang w:eastAsia="es-MX"/>
        </w:rPr>
      </w:pPr>
      <w:r w:rsidRPr="00103B2F">
        <w:rPr>
          <w:bCs/>
          <w:color w:val="27251F"/>
          <w:sz w:val="18"/>
          <w:szCs w:val="18"/>
          <w:lang w:eastAsia="es-MX"/>
        </w:rPr>
        <w:t>(</w:t>
      </w:r>
      <w:r w:rsidR="00A131EC">
        <w:rPr>
          <w:bCs/>
          <w:color w:val="27251F"/>
          <w:sz w:val="18"/>
          <w:szCs w:val="18"/>
          <w:lang w:eastAsia="es-MX"/>
        </w:rPr>
        <w:t>puntos porcentuales</w:t>
      </w:r>
      <w:r w:rsidRPr="00103B2F">
        <w:rPr>
          <w:bCs/>
          <w:color w:val="27251F"/>
          <w:sz w:val="18"/>
          <w:szCs w:val="18"/>
          <w:lang w:eastAsia="es-MX"/>
        </w:rPr>
        <w:t>)</w:t>
      </w:r>
    </w:p>
    <w:tbl>
      <w:tblPr>
        <w:tblW w:w="8520" w:type="dxa"/>
        <w:jc w:val="center"/>
        <w:tblLayout w:type="fixed"/>
        <w:tblCellMar>
          <w:left w:w="70" w:type="dxa"/>
          <w:right w:w="70" w:type="dxa"/>
        </w:tblCellMar>
        <w:tblLook w:val="04A0" w:firstRow="1" w:lastRow="0" w:firstColumn="1" w:lastColumn="0" w:noHBand="0" w:noVBand="1"/>
      </w:tblPr>
      <w:tblGrid>
        <w:gridCol w:w="1757"/>
        <w:gridCol w:w="806"/>
        <w:gridCol w:w="806"/>
        <w:gridCol w:w="806"/>
        <w:gridCol w:w="806"/>
        <w:gridCol w:w="978"/>
        <w:gridCol w:w="774"/>
        <w:gridCol w:w="775"/>
        <w:gridCol w:w="1012"/>
      </w:tblGrid>
      <w:tr w:rsidR="00D24F1A" w:rsidRPr="00D24F1A" w14:paraId="05BD8F34" w14:textId="77777777" w:rsidTr="009E19AB">
        <w:trPr>
          <w:trHeight w:val="270"/>
          <w:jc w:val="center"/>
        </w:trPr>
        <w:tc>
          <w:tcPr>
            <w:tcW w:w="1757" w:type="dxa"/>
            <w:vMerge w:val="restart"/>
            <w:tcBorders>
              <w:top w:val="single" w:sz="4" w:space="0" w:color="FFFFFF"/>
              <w:left w:val="single" w:sz="4" w:space="0" w:color="FFFFFF"/>
              <w:bottom w:val="single" w:sz="4" w:space="0" w:color="FFFFFF"/>
              <w:right w:val="single" w:sz="4" w:space="0" w:color="FFFFFF"/>
            </w:tcBorders>
            <w:shd w:val="clear" w:color="000000" w:fill="80DDD7"/>
            <w:vAlign w:val="center"/>
            <w:hideMark/>
          </w:tcPr>
          <w:p w14:paraId="6DFE98A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Actividades</w:t>
            </w:r>
          </w:p>
        </w:tc>
        <w:tc>
          <w:tcPr>
            <w:tcW w:w="4202" w:type="dxa"/>
            <w:gridSpan w:val="5"/>
            <w:tcBorders>
              <w:top w:val="single" w:sz="4" w:space="0" w:color="FFFFFF"/>
              <w:left w:val="nil"/>
              <w:bottom w:val="single" w:sz="4" w:space="0" w:color="FFFFFF"/>
              <w:right w:val="single" w:sz="4" w:space="0" w:color="FFFFFF"/>
            </w:tcBorders>
            <w:shd w:val="clear" w:color="000000" w:fill="80DDD7"/>
            <w:noWrap/>
            <w:vAlign w:val="center"/>
            <w:hideMark/>
          </w:tcPr>
          <w:p w14:paraId="5B33E476"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2025</w:t>
            </w:r>
            <w:r w:rsidRPr="00D24F1A">
              <w:rPr>
                <w:b/>
                <w:bCs/>
                <w:color w:val="000000"/>
                <w:sz w:val="18"/>
                <w:szCs w:val="18"/>
                <w:vertAlign w:val="superscript"/>
                <w:lang w:val="es-MX" w:eastAsia="es-MX"/>
              </w:rPr>
              <w:t>1/</w:t>
            </w:r>
          </w:p>
        </w:tc>
        <w:tc>
          <w:tcPr>
            <w:tcW w:w="2561" w:type="dxa"/>
            <w:gridSpan w:val="3"/>
            <w:tcBorders>
              <w:top w:val="single" w:sz="4" w:space="0" w:color="FFFFFF"/>
              <w:left w:val="nil"/>
              <w:bottom w:val="single" w:sz="4" w:space="0" w:color="FFFFFF"/>
              <w:right w:val="single" w:sz="4" w:space="0" w:color="FFFFFF"/>
            </w:tcBorders>
            <w:shd w:val="clear" w:color="000000" w:fill="80DDD7"/>
            <w:noWrap/>
            <w:vAlign w:val="center"/>
            <w:hideMark/>
          </w:tcPr>
          <w:p w14:paraId="70D064F2"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2026</w:t>
            </w:r>
          </w:p>
        </w:tc>
      </w:tr>
      <w:tr w:rsidR="00D24F1A" w:rsidRPr="00D24F1A" w14:paraId="7FDFF0CB" w14:textId="77777777" w:rsidTr="009E19AB">
        <w:trPr>
          <w:trHeight w:val="255"/>
          <w:jc w:val="center"/>
        </w:trPr>
        <w:tc>
          <w:tcPr>
            <w:tcW w:w="1757" w:type="dxa"/>
            <w:vMerge/>
            <w:tcBorders>
              <w:top w:val="single" w:sz="4" w:space="0" w:color="FFFFFF"/>
              <w:left w:val="single" w:sz="4" w:space="0" w:color="FFFFFF"/>
              <w:bottom w:val="single" w:sz="4" w:space="0" w:color="FFFFFF"/>
              <w:right w:val="single" w:sz="4" w:space="0" w:color="FFFFFF"/>
            </w:tcBorders>
            <w:vAlign w:val="center"/>
            <w:hideMark/>
          </w:tcPr>
          <w:p w14:paraId="542B77F6" w14:textId="77777777" w:rsidR="00D24F1A" w:rsidRPr="00D24F1A" w:rsidRDefault="00D24F1A" w:rsidP="00D24F1A">
            <w:pPr>
              <w:jc w:val="left"/>
              <w:rPr>
                <w:b/>
                <w:bCs/>
                <w:color w:val="000000"/>
                <w:sz w:val="18"/>
                <w:szCs w:val="18"/>
                <w:lang w:val="es-MX" w:eastAsia="es-MX"/>
              </w:rPr>
            </w:pPr>
          </w:p>
        </w:tc>
        <w:tc>
          <w:tcPr>
            <w:tcW w:w="3224" w:type="dxa"/>
            <w:gridSpan w:val="4"/>
            <w:tcBorders>
              <w:top w:val="single" w:sz="4" w:space="0" w:color="FFFFFF"/>
              <w:left w:val="nil"/>
              <w:bottom w:val="single" w:sz="4" w:space="0" w:color="FFFFFF"/>
              <w:right w:val="single" w:sz="4" w:space="0" w:color="FFFFFF"/>
            </w:tcBorders>
            <w:shd w:val="clear" w:color="000000" w:fill="BDEDEA"/>
            <w:noWrap/>
            <w:vAlign w:val="center"/>
            <w:hideMark/>
          </w:tcPr>
          <w:p w14:paraId="22A5E971"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978"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51F95C0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Anual</w:t>
            </w:r>
          </w:p>
        </w:tc>
        <w:tc>
          <w:tcPr>
            <w:tcW w:w="1549" w:type="dxa"/>
            <w:gridSpan w:val="2"/>
            <w:tcBorders>
              <w:top w:val="single" w:sz="4" w:space="0" w:color="FFFFFF"/>
              <w:left w:val="nil"/>
              <w:bottom w:val="single" w:sz="4" w:space="0" w:color="FFFFFF"/>
              <w:right w:val="single" w:sz="4" w:space="0" w:color="FFFFFF"/>
            </w:tcBorders>
            <w:shd w:val="clear" w:color="000000" w:fill="BDEDEA"/>
            <w:noWrap/>
            <w:vAlign w:val="center"/>
            <w:hideMark/>
          </w:tcPr>
          <w:p w14:paraId="664D7447"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12"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4472B6E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6 meses</w:t>
            </w:r>
          </w:p>
        </w:tc>
      </w:tr>
      <w:tr w:rsidR="00D24F1A" w:rsidRPr="00D24F1A" w14:paraId="48BF31AB" w14:textId="77777777" w:rsidTr="009E19AB">
        <w:trPr>
          <w:trHeight w:val="270"/>
          <w:jc w:val="center"/>
        </w:trPr>
        <w:tc>
          <w:tcPr>
            <w:tcW w:w="1757" w:type="dxa"/>
            <w:vMerge/>
            <w:tcBorders>
              <w:top w:val="single" w:sz="4" w:space="0" w:color="FFFFFF"/>
              <w:left w:val="single" w:sz="4" w:space="0" w:color="FFFFFF"/>
              <w:bottom w:val="single" w:sz="4" w:space="0" w:color="FFFFFF"/>
              <w:right w:val="single" w:sz="4" w:space="0" w:color="FFFFFF"/>
            </w:tcBorders>
            <w:vAlign w:val="center"/>
            <w:hideMark/>
          </w:tcPr>
          <w:p w14:paraId="4D258804" w14:textId="77777777" w:rsidR="00D24F1A" w:rsidRPr="00D24F1A" w:rsidRDefault="00D24F1A" w:rsidP="00D24F1A">
            <w:pPr>
              <w:jc w:val="left"/>
              <w:rPr>
                <w:b/>
                <w:bCs/>
                <w:color w:val="000000"/>
                <w:sz w:val="18"/>
                <w:szCs w:val="18"/>
                <w:lang w:val="es-MX" w:eastAsia="es-MX"/>
              </w:rPr>
            </w:pPr>
          </w:p>
        </w:tc>
        <w:tc>
          <w:tcPr>
            <w:tcW w:w="806" w:type="dxa"/>
            <w:tcBorders>
              <w:top w:val="nil"/>
              <w:left w:val="nil"/>
              <w:bottom w:val="single" w:sz="4" w:space="0" w:color="FFFFFF"/>
              <w:right w:val="single" w:sz="4" w:space="0" w:color="FFFFFF"/>
            </w:tcBorders>
            <w:shd w:val="clear" w:color="000000" w:fill="BDEDEA"/>
            <w:noWrap/>
            <w:vAlign w:val="center"/>
            <w:hideMark/>
          </w:tcPr>
          <w:p w14:paraId="33DFED6D"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p>
        </w:tc>
        <w:tc>
          <w:tcPr>
            <w:tcW w:w="806" w:type="dxa"/>
            <w:tcBorders>
              <w:top w:val="nil"/>
              <w:left w:val="nil"/>
              <w:bottom w:val="single" w:sz="4" w:space="0" w:color="FFFFFF"/>
              <w:right w:val="single" w:sz="4" w:space="0" w:color="FFFFFF"/>
            </w:tcBorders>
            <w:shd w:val="clear" w:color="000000" w:fill="BDEDEA"/>
            <w:noWrap/>
            <w:vAlign w:val="center"/>
            <w:hideMark/>
          </w:tcPr>
          <w:p w14:paraId="30A43E9F"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p>
        </w:tc>
        <w:tc>
          <w:tcPr>
            <w:tcW w:w="806" w:type="dxa"/>
            <w:tcBorders>
              <w:top w:val="nil"/>
              <w:left w:val="nil"/>
              <w:bottom w:val="single" w:sz="4" w:space="0" w:color="FFFFFF"/>
              <w:right w:val="single" w:sz="4" w:space="0" w:color="FFFFFF"/>
            </w:tcBorders>
            <w:shd w:val="clear" w:color="000000" w:fill="BDEDEA"/>
            <w:noWrap/>
            <w:vAlign w:val="center"/>
            <w:hideMark/>
          </w:tcPr>
          <w:p w14:paraId="2803334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III</w:t>
            </w:r>
          </w:p>
        </w:tc>
        <w:tc>
          <w:tcPr>
            <w:tcW w:w="806" w:type="dxa"/>
            <w:tcBorders>
              <w:top w:val="nil"/>
              <w:left w:val="nil"/>
              <w:bottom w:val="single" w:sz="4" w:space="0" w:color="FFFFFF"/>
              <w:right w:val="single" w:sz="4" w:space="0" w:color="FFFFFF"/>
            </w:tcBorders>
            <w:shd w:val="clear" w:color="000000" w:fill="BDEDEA"/>
            <w:noWrap/>
            <w:vAlign w:val="center"/>
            <w:hideMark/>
          </w:tcPr>
          <w:p w14:paraId="1DD3ED2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IV</w:t>
            </w:r>
          </w:p>
        </w:tc>
        <w:tc>
          <w:tcPr>
            <w:tcW w:w="978" w:type="dxa"/>
            <w:vMerge/>
            <w:tcBorders>
              <w:top w:val="nil"/>
              <w:left w:val="single" w:sz="4" w:space="0" w:color="FFFFFF"/>
              <w:bottom w:val="single" w:sz="4" w:space="0" w:color="FFFFFF"/>
              <w:right w:val="single" w:sz="4" w:space="0" w:color="FFFFFF"/>
            </w:tcBorders>
            <w:vAlign w:val="center"/>
            <w:hideMark/>
          </w:tcPr>
          <w:p w14:paraId="663D1B39" w14:textId="77777777" w:rsidR="00D24F1A" w:rsidRPr="00D24F1A" w:rsidRDefault="00D24F1A" w:rsidP="00D24F1A">
            <w:pPr>
              <w:jc w:val="left"/>
              <w:rPr>
                <w:b/>
                <w:bCs/>
                <w:color w:val="000000"/>
                <w:sz w:val="18"/>
                <w:szCs w:val="18"/>
                <w:lang w:val="es-MX" w:eastAsia="es-MX"/>
              </w:rPr>
            </w:pPr>
          </w:p>
        </w:tc>
        <w:tc>
          <w:tcPr>
            <w:tcW w:w="774" w:type="dxa"/>
            <w:tcBorders>
              <w:top w:val="nil"/>
              <w:left w:val="nil"/>
              <w:bottom w:val="single" w:sz="4" w:space="0" w:color="FFFFFF"/>
              <w:right w:val="single" w:sz="4" w:space="0" w:color="FFFFFF"/>
            </w:tcBorders>
            <w:shd w:val="clear" w:color="000000" w:fill="BDEDEA"/>
            <w:noWrap/>
            <w:vAlign w:val="center"/>
            <w:hideMark/>
          </w:tcPr>
          <w:p w14:paraId="514A4CC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r w:rsidRPr="00D24F1A">
              <w:rPr>
                <w:b/>
                <w:bCs/>
                <w:color w:val="000000"/>
                <w:sz w:val="18"/>
                <w:szCs w:val="18"/>
                <w:vertAlign w:val="superscript"/>
                <w:lang w:val="es-MX" w:eastAsia="es-MX"/>
              </w:rPr>
              <w:t>2/</w:t>
            </w:r>
          </w:p>
        </w:tc>
        <w:tc>
          <w:tcPr>
            <w:tcW w:w="775" w:type="dxa"/>
            <w:tcBorders>
              <w:top w:val="nil"/>
              <w:left w:val="nil"/>
              <w:bottom w:val="single" w:sz="4" w:space="0" w:color="FFFFFF"/>
              <w:right w:val="single" w:sz="4" w:space="0" w:color="FFFFFF"/>
            </w:tcBorders>
            <w:shd w:val="clear" w:color="000000" w:fill="BDEDEA"/>
            <w:noWrap/>
            <w:vAlign w:val="center"/>
            <w:hideMark/>
          </w:tcPr>
          <w:p w14:paraId="2A7107F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r w:rsidRPr="00D24F1A">
              <w:rPr>
                <w:b/>
                <w:bCs/>
                <w:color w:val="000000"/>
                <w:sz w:val="18"/>
                <w:szCs w:val="18"/>
                <w:vertAlign w:val="superscript"/>
                <w:lang w:val="es-MX" w:eastAsia="es-MX"/>
              </w:rPr>
              <w:t>1/</w:t>
            </w:r>
          </w:p>
        </w:tc>
        <w:tc>
          <w:tcPr>
            <w:tcW w:w="1012" w:type="dxa"/>
            <w:vMerge/>
            <w:tcBorders>
              <w:top w:val="nil"/>
              <w:left w:val="single" w:sz="4" w:space="0" w:color="FFFFFF"/>
              <w:bottom w:val="single" w:sz="4" w:space="0" w:color="FFFFFF"/>
              <w:right w:val="single" w:sz="4" w:space="0" w:color="FFFFFF"/>
            </w:tcBorders>
            <w:vAlign w:val="center"/>
            <w:hideMark/>
          </w:tcPr>
          <w:p w14:paraId="4D4AC6F3" w14:textId="77777777" w:rsidR="00D24F1A" w:rsidRPr="00D24F1A" w:rsidRDefault="00D24F1A" w:rsidP="00D24F1A">
            <w:pPr>
              <w:jc w:val="left"/>
              <w:rPr>
                <w:b/>
                <w:bCs/>
                <w:color w:val="000000"/>
                <w:sz w:val="18"/>
                <w:szCs w:val="18"/>
                <w:lang w:val="es-MX" w:eastAsia="es-MX"/>
              </w:rPr>
            </w:pPr>
          </w:p>
        </w:tc>
      </w:tr>
      <w:tr w:rsidR="00A66FCB" w:rsidRPr="00D24F1A" w14:paraId="43FC1129" w14:textId="77777777" w:rsidTr="003979E8">
        <w:trPr>
          <w:trHeight w:val="360"/>
          <w:jc w:val="center"/>
        </w:trPr>
        <w:tc>
          <w:tcPr>
            <w:tcW w:w="1757" w:type="dxa"/>
            <w:tcBorders>
              <w:top w:val="nil"/>
              <w:left w:val="single" w:sz="4" w:space="0" w:color="FFFFFF"/>
              <w:bottom w:val="single" w:sz="4" w:space="0" w:color="FFFFFF"/>
              <w:right w:val="single" w:sz="4" w:space="0" w:color="FFFFFF"/>
            </w:tcBorders>
            <w:shd w:val="clear" w:color="000000" w:fill="C0C0C0"/>
            <w:noWrap/>
            <w:vAlign w:val="center"/>
            <w:hideMark/>
          </w:tcPr>
          <w:p w14:paraId="69E13B58" w14:textId="77777777" w:rsidR="00A66FCB" w:rsidRPr="00D24F1A" w:rsidRDefault="00A66FCB" w:rsidP="00A66FCB">
            <w:pPr>
              <w:jc w:val="center"/>
              <w:rPr>
                <w:b/>
                <w:bCs/>
                <w:color w:val="000000"/>
                <w:sz w:val="18"/>
                <w:szCs w:val="18"/>
                <w:lang w:val="es-MX" w:eastAsia="es-MX"/>
              </w:rPr>
            </w:pPr>
            <w:r w:rsidRPr="00D24F1A">
              <w:rPr>
                <w:b/>
                <w:bCs/>
                <w:color w:val="000000"/>
                <w:sz w:val="18"/>
                <w:szCs w:val="18"/>
                <w:lang w:val="es-MX" w:eastAsia="es-MX"/>
              </w:rPr>
              <w:t>Total</w:t>
            </w:r>
          </w:p>
        </w:tc>
        <w:tc>
          <w:tcPr>
            <w:tcW w:w="806" w:type="dxa"/>
            <w:tcBorders>
              <w:top w:val="single" w:sz="4" w:space="0" w:color="FFFFFF"/>
              <w:left w:val="single" w:sz="4" w:space="0" w:color="FFFFFF"/>
              <w:bottom w:val="single" w:sz="4" w:space="0" w:color="FFFFFF"/>
              <w:right w:val="single" w:sz="4" w:space="0" w:color="FFFFFF"/>
            </w:tcBorders>
            <w:shd w:val="clear" w:color="000000" w:fill="C0C0C0"/>
            <w:noWrap/>
            <w:vAlign w:val="center"/>
            <w:hideMark/>
          </w:tcPr>
          <w:p w14:paraId="00AE9117" w14:textId="05B89A53" w:rsidR="00A66FCB" w:rsidRPr="00D24F1A" w:rsidRDefault="00A66FCB" w:rsidP="00A66FCB">
            <w:pPr>
              <w:jc w:val="right"/>
              <w:rPr>
                <w:b/>
                <w:bCs/>
                <w:color w:val="000000"/>
                <w:sz w:val="18"/>
                <w:szCs w:val="18"/>
                <w:lang w:val="es-MX" w:eastAsia="es-MX"/>
              </w:rPr>
            </w:pPr>
            <w:r>
              <w:rPr>
                <w:b/>
                <w:bCs/>
                <w:color w:val="000000"/>
                <w:sz w:val="18"/>
                <w:szCs w:val="18"/>
              </w:rPr>
              <w:t>2.1</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4400C4F8" w14:textId="5D1B67A6" w:rsidR="00A66FCB" w:rsidRPr="00D24F1A" w:rsidRDefault="00A66FCB" w:rsidP="00A66FCB">
            <w:pPr>
              <w:jc w:val="right"/>
              <w:rPr>
                <w:b/>
                <w:bCs/>
                <w:color w:val="000000"/>
                <w:sz w:val="18"/>
                <w:szCs w:val="18"/>
                <w:lang w:val="es-MX" w:eastAsia="es-MX"/>
              </w:rPr>
            </w:pPr>
            <w:r>
              <w:rPr>
                <w:b/>
                <w:bCs/>
                <w:color w:val="000000"/>
                <w:sz w:val="18"/>
                <w:szCs w:val="18"/>
              </w:rPr>
              <w:t>3.1</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6C913EFA" w14:textId="426751CB" w:rsidR="00A66FCB" w:rsidRPr="00D24F1A" w:rsidRDefault="00A66FCB" w:rsidP="00A66FCB">
            <w:pPr>
              <w:jc w:val="right"/>
              <w:rPr>
                <w:b/>
                <w:bCs/>
                <w:color w:val="000000"/>
                <w:sz w:val="18"/>
                <w:szCs w:val="18"/>
                <w:lang w:val="es-MX" w:eastAsia="es-MX"/>
              </w:rPr>
            </w:pPr>
            <w:r>
              <w:rPr>
                <w:b/>
                <w:bCs/>
                <w:color w:val="000000"/>
                <w:sz w:val="18"/>
                <w:szCs w:val="18"/>
              </w:rPr>
              <w:t>3.3</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1B29DCCE" w14:textId="3BF1599A" w:rsidR="00A66FCB" w:rsidRPr="00D24F1A" w:rsidRDefault="00A66FCB" w:rsidP="00A66FCB">
            <w:pPr>
              <w:jc w:val="right"/>
              <w:rPr>
                <w:b/>
                <w:bCs/>
                <w:color w:val="000000"/>
                <w:sz w:val="18"/>
                <w:szCs w:val="18"/>
                <w:lang w:val="es-MX" w:eastAsia="es-MX"/>
              </w:rPr>
            </w:pPr>
            <w:r>
              <w:rPr>
                <w:b/>
                <w:bCs/>
                <w:color w:val="000000"/>
                <w:sz w:val="18"/>
                <w:szCs w:val="18"/>
              </w:rPr>
              <w:t>-0.2</w:t>
            </w:r>
          </w:p>
        </w:tc>
        <w:tc>
          <w:tcPr>
            <w:tcW w:w="978" w:type="dxa"/>
            <w:tcBorders>
              <w:top w:val="single" w:sz="4" w:space="0" w:color="FFFFFF"/>
              <w:left w:val="nil"/>
              <w:bottom w:val="single" w:sz="4" w:space="0" w:color="FFFFFF"/>
              <w:right w:val="single" w:sz="4" w:space="0" w:color="FFFFFF"/>
            </w:tcBorders>
            <w:shd w:val="clear" w:color="000000" w:fill="C0C0C0"/>
            <w:noWrap/>
            <w:vAlign w:val="center"/>
            <w:hideMark/>
          </w:tcPr>
          <w:p w14:paraId="3008988A" w14:textId="6F4710F8" w:rsidR="00A66FCB" w:rsidRPr="00D24F1A" w:rsidRDefault="00A66FCB" w:rsidP="00A66FCB">
            <w:pPr>
              <w:jc w:val="right"/>
              <w:rPr>
                <w:b/>
                <w:bCs/>
                <w:color w:val="000000"/>
                <w:sz w:val="18"/>
                <w:szCs w:val="18"/>
                <w:lang w:val="es-MX" w:eastAsia="es-MX"/>
              </w:rPr>
            </w:pPr>
            <w:r>
              <w:rPr>
                <w:b/>
                <w:bCs/>
                <w:color w:val="000000"/>
                <w:sz w:val="18"/>
                <w:szCs w:val="18"/>
              </w:rPr>
              <w:t>2.1</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54D0A778" w14:textId="32ECD595" w:rsidR="00A66FCB" w:rsidRPr="00D24F1A" w:rsidRDefault="00A66FCB" w:rsidP="00A66FCB">
            <w:pPr>
              <w:jc w:val="right"/>
              <w:rPr>
                <w:b/>
                <w:bCs/>
                <w:color w:val="000000"/>
                <w:sz w:val="18"/>
                <w:szCs w:val="18"/>
                <w:lang w:val="es-MX" w:eastAsia="es-MX"/>
              </w:rPr>
            </w:pPr>
            <w:r>
              <w:rPr>
                <w:b/>
                <w:bCs/>
                <w:color w:val="000000"/>
                <w:sz w:val="18"/>
                <w:szCs w:val="18"/>
              </w:rPr>
              <w:t>2.5</w:t>
            </w:r>
          </w:p>
        </w:tc>
        <w:tc>
          <w:tcPr>
            <w:tcW w:w="775" w:type="dxa"/>
            <w:tcBorders>
              <w:top w:val="single" w:sz="4" w:space="0" w:color="FFFFFF"/>
              <w:left w:val="nil"/>
              <w:bottom w:val="single" w:sz="4" w:space="0" w:color="FFFFFF"/>
              <w:right w:val="single" w:sz="4" w:space="0" w:color="FFFFFF"/>
            </w:tcBorders>
            <w:shd w:val="clear" w:color="000000" w:fill="C0C0C0"/>
            <w:noWrap/>
            <w:vAlign w:val="center"/>
            <w:hideMark/>
          </w:tcPr>
          <w:p w14:paraId="63B58F6B" w14:textId="6FC772AB" w:rsidR="00A66FCB" w:rsidRPr="00D24F1A" w:rsidRDefault="00A66FCB" w:rsidP="00A66FCB">
            <w:pPr>
              <w:jc w:val="right"/>
              <w:rPr>
                <w:b/>
                <w:bCs/>
                <w:color w:val="000000"/>
                <w:sz w:val="18"/>
                <w:szCs w:val="18"/>
                <w:lang w:val="es-MX" w:eastAsia="es-MX"/>
              </w:rPr>
            </w:pPr>
            <w:r>
              <w:rPr>
                <w:b/>
                <w:bCs/>
                <w:color w:val="000000"/>
                <w:sz w:val="18"/>
                <w:szCs w:val="18"/>
              </w:rPr>
              <w:t>2.8</w:t>
            </w:r>
          </w:p>
        </w:tc>
        <w:tc>
          <w:tcPr>
            <w:tcW w:w="1012" w:type="dxa"/>
            <w:tcBorders>
              <w:top w:val="single" w:sz="4" w:space="0" w:color="FFFFFF"/>
              <w:left w:val="nil"/>
              <w:bottom w:val="single" w:sz="4" w:space="0" w:color="FFFFFF"/>
              <w:right w:val="single" w:sz="4" w:space="0" w:color="FFFFFF"/>
            </w:tcBorders>
            <w:shd w:val="clear" w:color="000000" w:fill="C0C0C0"/>
            <w:noWrap/>
            <w:vAlign w:val="center"/>
            <w:hideMark/>
          </w:tcPr>
          <w:p w14:paraId="474BDA21" w14:textId="4325952D" w:rsidR="00A66FCB" w:rsidRPr="00D24F1A" w:rsidRDefault="00A66FCB" w:rsidP="00A66FCB">
            <w:pPr>
              <w:jc w:val="right"/>
              <w:rPr>
                <w:b/>
                <w:bCs/>
                <w:color w:val="000000"/>
                <w:sz w:val="18"/>
                <w:szCs w:val="18"/>
                <w:lang w:val="es-MX" w:eastAsia="es-MX"/>
              </w:rPr>
            </w:pPr>
            <w:r>
              <w:rPr>
                <w:b/>
                <w:bCs/>
                <w:color w:val="000000"/>
                <w:sz w:val="18"/>
                <w:szCs w:val="18"/>
              </w:rPr>
              <w:t>2.7</w:t>
            </w:r>
          </w:p>
        </w:tc>
      </w:tr>
      <w:tr w:rsidR="00A66FCB" w:rsidRPr="00D24F1A" w14:paraId="2AAF0DD5" w14:textId="77777777" w:rsidTr="003979E8">
        <w:trPr>
          <w:trHeight w:val="360"/>
          <w:jc w:val="center"/>
        </w:trPr>
        <w:tc>
          <w:tcPr>
            <w:tcW w:w="1757" w:type="dxa"/>
            <w:tcBorders>
              <w:top w:val="nil"/>
              <w:left w:val="single" w:sz="4" w:space="0" w:color="FFFFFF"/>
              <w:bottom w:val="single" w:sz="4" w:space="0" w:color="FFFFFF"/>
              <w:right w:val="single" w:sz="4" w:space="0" w:color="FFFFFF"/>
            </w:tcBorders>
            <w:noWrap/>
            <w:vAlign w:val="center"/>
            <w:hideMark/>
          </w:tcPr>
          <w:p w14:paraId="382B1E52"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Primarias</w:t>
            </w:r>
          </w:p>
        </w:tc>
        <w:tc>
          <w:tcPr>
            <w:tcW w:w="806" w:type="dxa"/>
            <w:tcBorders>
              <w:top w:val="nil"/>
              <w:left w:val="single" w:sz="4" w:space="0" w:color="FFFFFF"/>
              <w:bottom w:val="single" w:sz="4" w:space="0" w:color="FFFFFF"/>
              <w:right w:val="single" w:sz="4" w:space="0" w:color="FFFFFF"/>
            </w:tcBorders>
            <w:noWrap/>
            <w:vAlign w:val="center"/>
            <w:hideMark/>
          </w:tcPr>
          <w:p w14:paraId="6937141E" w14:textId="7A317008" w:rsidR="00A66FCB" w:rsidRPr="00D24F1A" w:rsidRDefault="00A66FCB" w:rsidP="00A66FCB">
            <w:pPr>
              <w:jc w:val="right"/>
              <w:rPr>
                <w:color w:val="000000"/>
                <w:sz w:val="18"/>
                <w:szCs w:val="18"/>
                <w:lang w:val="es-MX" w:eastAsia="es-MX"/>
              </w:rPr>
            </w:pPr>
            <w:r>
              <w:rPr>
                <w:color w:val="000000"/>
                <w:sz w:val="18"/>
                <w:szCs w:val="18"/>
              </w:rPr>
              <w:t>0.23</w:t>
            </w:r>
          </w:p>
        </w:tc>
        <w:tc>
          <w:tcPr>
            <w:tcW w:w="806" w:type="dxa"/>
            <w:tcBorders>
              <w:top w:val="nil"/>
              <w:left w:val="nil"/>
              <w:bottom w:val="single" w:sz="4" w:space="0" w:color="FFFFFF"/>
              <w:right w:val="single" w:sz="4" w:space="0" w:color="FFFFFF"/>
            </w:tcBorders>
            <w:noWrap/>
            <w:vAlign w:val="center"/>
            <w:hideMark/>
          </w:tcPr>
          <w:p w14:paraId="010BA50F" w14:textId="0A806408" w:rsidR="00A66FCB" w:rsidRPr="00D24F1A" w:rsidRDefault="00A66FCB" w:rsidP="00A66FCB">
            <w:pPr>
              <w:jc w:val="right"/>
              <w:rPr>
                <w:color w:val="000000"/>
                <w:sz w:val="18"/>
                <w:szCs w:val="18"/>
                <w:lang w:val="es-MX" w:eastAsia="es-MX"/>
              </w:rPr>
            </w:pPr>
            <w:r>
              <w:rPr>
                <w:color w:val="000000"/>
                <w:sz w:val="18"/>
                <w:szCs w:val="18"/>
              </w:rPr>
              <w:t>-1.03</w:t>
            </w:r>
          </w:p>
        </w:tc>
        <w:tc>
          <w:tcPr>
            <w:tcW w:w="806" w:type="dxa"/>
            <w:tcBorders>
              <w:top w:val="nil"/>
              <w:left w:val="nil"/>
              <w:bottom w:val="single" w:sz="4" w:space="0" w:color="FFFFFF"/>
              <w:right w:val="single" w:sz="4" w:space="0" w:color="FFFFFF"/>
            </w:tcBorders>
            <w:noWrap/>
            <w:vAlign w:val="center"/>
            <w:hideMark/>
          </w:tcPr>
          <w:p w14:paraId="36C7E1FA" w14:textId="21B84CC1" w:rsidR="00A66FCB" w:rsidRPr="00D24F1A" w:rsidRDefault="00A66FCB" w:rsidP="00A66FCB">
            <w:pPr>
              <w:jc w:val="right"/>
              <w:rPr>
                <w:color w:val="000000"/>
                <w:sz w:val="18"/>
                <w:szCs w:val="18"/>
                <w:lang w:val="es-MX" w:eastAsia="es-MX"/>
              </w:rPr>
            </w:pPr>
            <w:r>
              <w:rPr>
                <w:color w:val="000000"/>
                <w:sz w:val="18"/>
                <w:szCs w:val="18"/>
              </w:rPr>
              <w:t>0.58</w:t>
            </w:r>
          </w:p>
        </w:tc>
        <w:tc>
          <w:tcPr>
            <w:tcW w:w="806" w:type="dxa"/>
            <w:tcBorders>
              <w:top w:val="nil"/>
              <w:left w:val="nil"/>
              <w:bottom w:val="single" w:sz="4" w:space="0" w:color="FFFFFF"/>
              <w:right w:val="single" w:sz="4" w:space="0" w:color="FFFFFF"/>
            </w:tcBorders>
            <w:noWrap/>
            <w:vAlign w:val="center"/>
            <w:hideMark/>
          </w:tcPr>
          <w:p w14:paraId="2D351022" w14:textId="658C1770" w:rsidR="00A66FCB" w:rsidRPr="00D24F1A" w:rsidRDefault="00A66FCB" w:rsidP="00A66FCB">
            <w:pPr>
              <w:jc w:val="right"/>
              <w:rPr>
                <w:color w:val="000000"/>
                <w:sz w:val="18"/>
                <w:szCs w:val="18"/>
                <w:lang w:val="es-MX" w:eastAsia="es-MX"/>
              </w:rPr>
            </w:pPr>
            <w:r>
              <w:rPr>
                <w:color w:val="000000"/>
                <w:sz w:val="18"/>
                <w:szCs w:val="18"/>
              </w:rPr>
              <w:t>-0.45</w:t>
            </w:r>
          </w:p>
        </w:tc>
        <w:tc>
          <w:tcPr>
            <w:tcW w:w="978" w:type="dxa"/>
            <w:tcBorders>
              <w:top w:val="nil"/>
              <w:left w:val="nil"/>
              <w:bottom w:val="single" w:sz="4" w:space="0" w:color="FFFFFF"/>
              <w:right w:val="single" w:sz="4" w:space="0" w:color="FFFFFF"/>
            </w:tcBorders>
            <w:noWrap/>
            <w:vAlign w:val="center"/>
            <w:hideMark/>
          </w:tcPr>
          <w:p w14:paraId="67B8C543" w14:textId="2F6ACD5E" w:rsidR="00A66FCB" w:rsidRPr="00D24F1A" w:rsidRDefault="00A66FCB" w:rsidP="00A66FCB">
            <w:pPr>
              <w:jc w:val="right"/>
              <w:rPr>
                <w:color w:val="000000"/>
                <w:sz w:val="18"/>
                <w:szCs w:val="18"/>
                <w:lang w:val="es-MX" w:eastAsia="es-MX"/>
              </w:rPr>
            </w:pPr>
            <w:r>
              <w:rPr>
                <w:color w:val="000000"/>
                <w:sz w:val="18"/>
                <w:szCs w:val="18"/>
              </w:rPr>
              <w:t>-0.17</w:t>
            </w:r>
          </w:p>
        </w:tc>
        <w:tc>
          <w:tcPr>
            <w:tcW w:w="774" w:type="dxa"/>
            <w:tcBorders>
              <w:top w:val="nil"/>
              <w:left w:val="nil"/>
              <w:bottom w:val="single" w:sz="4" w:space="0" w:color="FFFFFF"/>
              <w:right w:val="single" w:sz="4" w:space="0" w:color="FFFFFF"/>
            </w:tcBorders>
            <w:noWrap/>
            <w:vAlign w:val="center"/>
            <w:hideMark/>
          </w:tcPr>
          <w:p w14:paraId="36747E2C" w14:textId="77A1667F" w:rsidR="00A66FCB" w:rsidRPr="00D24F1A" w:rsidRDefault="00A66FCB" w:rsidP="00A66FCB">
            <w:pPr>
              <w:jc w:val="right"/>
              <w:rPr>
                <w:color w:val="000000"/>
                <w:sz w:val="18"/>
                <w:szCs w:val="18"/>
                <w:lang w:val="es-MX" w:eastAsia="es-MX"/>
              </w:rPr>
            </w:pPr>
            <w:r>
              <w:rPr>
                <w:color w:val="000000"/>
                <w:sz w:val="18"/>
                <w:szCs w:val="18"/>
              </w:rPr>
              <w:t>1.11</w:t>
            </w:r>
          </w:p>
        </w:tc>
        <w:tc>
          <w:tcPr>
            <w:tcW w:w="775" w:type="dxa"/>
            <w:tcBorders>
              <w:top w:val="nil"/>
              <w:left w:val="nil"/>
              <w:bottom w:val="single" w:sz="4" w:space="0" w:color="FFFFFF"/>
              <w:right w:val="single" w:sz="4" w:space="0" w:color="FFFFFF"/>
            </w:tcBorders>
            <w:noWrap/>
            <w:vAlign w:val="center"/>
            <w:hideMark/>
          </w:tcPr>
          <w:p w14:paraId="2E1927DD" w14:textId="66E859DE" w:rsidR="00A66FCB" w:rsidRPr="00D24F1A" w:rsidRDefault="00A66FCB" w:rsidP="00A66FCB">
            <w:pPr>
              <w:jc w:val="right"/>
              <w:rPr>
                <w:color w:val="000000"/>
                <w:sz w:val="18"/>
                <w:szCs w:val="18"/>
                <w:lang w:val="es-MX" w:eastAsia="es-MX"/>
              </w:rPr>
            </w:pPr>
            <w:r>
              <w:rPr>
                <w:color w:val="000000"/>
                <w:sz w:val="18"/>
                <w:szCs w:val="18"/>
              </w:rPr>
              <w:t>2.31</w:t>
            </w:r>
          </w:p>
        </w:tc>
        <w:tc>
          <w:tcPr>
            <w:tcW w:w="1012" w:type="dxa"/>
            <w:tcBorders>
              <w:top w:val="nil"/>
              <w:left w:val="nil"/>
              <w:bottom w:val="single" w:sz="4" w:space="0" w:color="FFFFFF"/>
              <w:right w:val="single" w:sz="4" w:space="0" w:color="FFFFFF"/>
            </w:tcBorders>
            <w:noWrap/>
            <w:vAlign w:val="center"/>
            <w:hideMark/>
          </w:tcPr>
          <w:p w14:paraId="161B26E0" w14:textId="13E9CC62" w:rsidR="00A66FCB" w:rsidRPr="00D24F1A" w:rsidRDefault="00A66FCB" w:rsidP="00A66FCB">
            <w:pPr>
              <w:jc w:val="right"/>
              <w:rPr>
                <w:color w:val="000000"/>
                <w:sz w:val="18"/>
                <w:szCs w:val="18"/>
                <w:lang w:val="es-MX" w:eastAsia="es-MX"/>
              </w:rPr>
            </w:pPr>
            <w:r>
              <w:rPr>
                <w:color w:val="000000"/>
                <w:sz w:val="18"/>
                <w:szCs w:val="18"/>
              </w:rPr>
              <w:t>1.72</w:t>
            </w:r>
          </w:p>
        </w:tc>
      </w:tr>
      <w:tr w:rsidR="00A66FCB" w:rsidRPr="00D24F1A" w14:paraId="5256A8D7" w14:textId="77777777" w:rsidTr="003979E8">
        <w:trPr>
          <w:trHeight w:val="360"/>
          <w:jc w:val="center"/>
        </w:trPr>
        <w:tc>
          <w:tcPr>
            <w:tcW w:w="1757" w:type="dxa"/>
            <w:tcBorders>
              <w:top w:val="nil"/>
              <w:left w:val="single" w:sz="4" w:space="0" w:color="FFFFFF"/>
              <w:bottom w:val="single" w:sz="4" w:space="0" w:color="FFFFFF"/>
              <w:right w:val="single" w:sz="4" w:space="0" w:color="FFFFFF"/>
            </w:tcBorders>
            <w:shd w:val="clear" w:color="000000" w:fill="F2F2F2"/>
            <w:noWrap/>
            <w:vAlign w:val="center"/>
            <w:hideMark/>
          </w:tcPr>
          <w:p w14:paraId="18B26F89"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Secundarias</w:t>
            </w:r>
          </w:p>
        </w:tc>
        <w:tc>
          <w:tcPr>
            <w:tcW w:w="806" w:type="dxa"/>
            <w:tcBorders>
              <w:top w:val="nil"/>
              <w:left w:val="single" w:sz="4" w:space="0" w:color="FFFFFF"/>
              <w:bottom w:val="single" w:sz="4" w:space="0" w:color="FFFFFF"/>
              <w:right w:val="single" w:sz="4" w:space="0" w:color="FFFFFF"/>
            </w:tcBorders>
            <w:shd w:val="clear" w:color="000000" w:fill="F2F2F2"/>
            <w:noWrap/>
            <w:vAlign w:val="center"/>
            <w:hideMark/>
          </w:tcPr>
          <w:p w14:paraId="106D955E" w14:textId="76F33329" w:rsidR="00A66FCB" w:rsidRPr="00D24F1A" w:rsidRDefault="00A66FCB" w:rsidP="00A66FCB">
            <w:pPr>
              <w:jc w:val="right"/>
              <w:rPr>
                <w:color w:val="000000"/>
                <w:sz w:val="18"/>
                <w:szCs w:val="18"/>
                <w:lang w:val="es-MX" w:eastAsia="es-MX"/>
              </w:rPr>
            </w:pPr>
            <w:r>
              <w:rPr>
                <w:color w:val="000000"/>
                <w:sz w:val="18"/>
                <w:szCs w:val="18"/>
              </w:rPr>
              <w:t>1.07</w:t>
            </w:r>
          </w:p>
        </w:tc>
        <w:tc>
          <w:tcPr>
            <w:tcW w:w="806" w:type="dxa"/>
            <w:tcBorders>
              <w:top w:val="nil"/>
              <w:left w:val="nil"/>
              <w:bottom w:val="single" w:sz="4" w:space="0" w:color="FFFFFF"/>
              <w:right w:val="single" w:sz="4" w:space="0" w:color="FFFFFF"/>
            </w:tcBorders>
            <w:shd w:val="clear" w:color="000000" w:fill="F2F2F2"/>
            <w:noWrap/>
            <w:vAlign w:val="center"/>
            <w:hideMark/>
          </w:tcPr>
          <w:p w14:paraId="5707EC46" w14:textId="43573848" w:rsidR="00A66FCB" w:rsidRPr="00D24F1A" w:rsidRDefault="00A66FCB" w:rsidP="00A66FCB">
            <w:pPr>
              <w:jc w:val="right"/>
              <w:rPr>
                <w:color w:val="000000"/>
                <w:sz w:val="18"/>
                <w:szCs w:val="18"/>
                <w:lang w:val="es-MX" w:eastAsia="es-MX"/>
              </w:rPr>
            </w:pPr>
            <w:r>
              <w:rPr>
                <w:color w:val="000000"/>
                <w:sz w:val="18"/>
                <w:szCs w:val="18"/>
              </w:rPr>
              <w:t>2.53</w:t>
            </w:r>
          </w:p>
        </w:tc>
        <w:tc>
          <w:tcPr>
            <w:tcW w:w="806" w:type="dxa"/>
            <w:tcBorders>
              <w:top w:val="nil"/>
              <w:left w:val="nil"/>
              <w:bottom w:val="single" w:sz="4" w:space="0" w:color="FFFFFF"/>
              <w:right w:val="single" w:sz="4" w:space="0" w:color="FFFFFF"/>
            </w:tcBorders>
            <w:shd w:val="clear" w:color="000000" w:fill="F2F2F2"/>
            <w:noWrap/>
            <w:vAlign w:val="center"/>
            <w:hideMark/>
          </w:tcPr>
          <w:p w14:paraId="66000AF3" w14:textId="025525B9" w:rsidR="00A66FCB" w:rsidRPr="00D24F1A" w:rsidRDefault="00A66FCB" w:rsidP="00A66FCB">
            <w:pPr>
              <w:jc w:val="right"/>
              <w:rPr>
                <w:color w:val="000000"/>
                <w:sz w:val="18"/>
                <w:szCs w:val="18"/>
                <w:lang w:val="es-MX" w:eastAsia="es-MX"/>
              </w:rPr>
            </w:pPr>
            <w:r>
              <w:rPr>
                <w:color w:val="000000"/>
                <w:sz w:val="18"/>
                <w:szCs w:val="18"/>
              </w:rPr>
              <w:t>2.52</w:t>
            </w:r>
          </w:p>
        </w:tc>
        <w:tc>
          <w:tcPr>
            <w:tcW w:w="806" w:type="dxa"/>
            <w:tcBorders>
              <w:top w:val="nil"/>
              <w:left w:val="nil"/>
              <w:bottom w:val="single" w:sz="4" w:space="0" w:color="FFFFFF"/>
              <w:right w:val="single" w:sz="4" w:space="0" w:color="FFFFFF"/>
            </w:tcBorders>
            <w:shd w:val="clear" w:color="000000" w:fill="F2F2F2"/>
            <w:noWrap/>
            <w:vAlign w:val="center"/>
            <w:hideMark/>
          </w:tcPr>
          <w:p w14:paraId="2AB0FE18" w14:textId="4736FB29" w:rsidR="00A66FCB" w:rsidRPr="00D24F1A" w:rsidRDefault="00A66FCB" w:rsidP="00A66FCB">
            <w:pPr>
              <w:jc w:val="right"/>
              <w:rPr>
                <w:color w:val="000000"/>
                <w:sz w:val="18"/>
                <w:szCs w:val="18"/>
                <w:lang w:val="es-MX" w:eastAsia="es-MX"/>
              </w:rPr>
            </w:pPr>
            <w:r>
              <w:rPr>
                <w:color w:val="000000"/>
                <w:sz w:val="18"/>
                <w:szCs w:val="18"/>
              </w:rPr>
              <w:t>1.29</w:t>
            </w:r>
          </w:p>
        </w:tc>
        <w:tc>
          <w:tcPr>
            <w:tcW w:w="978" w:type="dxa"/>
            <w:tcBorders>
              <w:top w:val="nil"/>
              <w:left w:val="nil"/>
              <w:bottom w:val="single" w:sz="4" w:space="0" w:color="FFFFFF"/>
              <w:right w:val="single" w:sz="4" w:space="0" w:color="FFFFFF"/>
            </w:tcBorders>
            <w:shd w:val="clear" w:color="000000" w:fill="F2F2F2"/>
            <w:noWrap/>
            <w:vAlign w:val="center"/>
            <w:hideMark/>
          </w:tcPr>
          <w:p w14:paraId="6310B52F" w14:textId="07CA87A8" w:rsidR="00A66FCB" w:rsidRPr="00D24F1A" w:rsidRDefault="00A66FCB" w:rsidP="00A66FCB">
            <w:pPr>
              <w:jc w:val="right"/>
              <w:rPr>
                <w:color w:val="000000"/>
                <w:sz w:val="18"/>
                <w:szCs w:val="18"/>
                <w:lang w:val="es-MX" w:eastAsia="es-MX"/>
              </w:rPr>
            </w:pPr>
            <w:r>
              <w:rPr>
                <w:color w:val="000000"/>
                <w:sz w:val="18"/>
                <w:szCs w:val="18"/>
              </w:rPr>
              <w:t>1.85</w:t>
            </w:r>
          </w:p>
        </w:tc>
        <w:tc>
          <w:tcPr>
            <w:tcW w:w="774" w:type="dxa"/>
            <w:tcBorders>
              <w:top w:val="nil"/>
              <w:left w:val="nil"/>
              <w:bottom w:val="single" w:sz="4" w:space="0" w:color="FFFFFF"/>
              <w:right w:val="single" w:sz="4" w:space="0" w:color="FFFFFF"/>
            </w:tcBorders>
            <w:shd w:val="clear" w:color="000000" w:fill="F2F2F2"/>
            <w:noWrap/>
            <w:vAlign w:val="center"/>
            <w:hideMark/>
          </w:tcPr>
          <w:p w14:paraId="1303BD72" w14:textId="72EE961D" w:rsidR="00A66FCB" w:rsidRPr="00D24F1A" w:rsidRDefault="00A66FCB" w:rsidP="00A66FCB">
            <w:pPr>
              <w:jc w:val="right"/>
              <w:rPr>
                <w:color w:val="000000"/>
                <w:sz w:val="18"/>
                <w:szCs w:val="18"/>
                <w:lang w:val="es-MX" w:eastAsia="es-MX"/>
              </w:rPr>
            </w:pPr>
            <w:r>
              <w:rPr>
                <w:color w:val="000000"/>
                <w:sz w:val="18"/>
                <w:szCs w:val="18"/>
              </w:rPr>
              <w:t>-0.61</w:t>
            </w:r>
          </w:p>
        </w:tc>
        <w:tc>
          <w:tcPr>
            <w:tcW w:w="775" w:type="dxa"/>
            <w:tcBorders>
              <w:top w:val="nil"/>
              <w:left w:val="nil"/>
              <w:bottom w:val="single" w:sz="4" w:space="0" w:color="FFFFFF"/>
              <w:right w:val="single" w:sz="4" w:space="0" w:color="FFFFFF"/>
            </w:tcBorders>
            <w:shd w:val="clear" w:color="000000" w:fill="F2F2F2"/>
            <w:noWrap/>
            <w:vAlign w:val="center"/>
            <w:hideMark/>
          </w:tcPr>
          <w:p w14:paraId="11876B13" w14:textId="4C958511" w:rsidR="00A66FCB" w:rsidRPr="00D24F1A" w:rsidRDefault="00A66FCB" w:rsidP="00A66FCB">
            <w:pPr>
              <w:jc w:val="right"/>
              <w:rPr>
                <w:color w:val="000000"/>
                <w:sz w:val="18"/>
                <w:szCs w:val="18"/>
                <w:lang w:val="es-MX" w:eastAsia="es-MX"/>
              </w:rPr>
            </w:pPr>
            <w:r>
              <w:rPr>
                <w:color w:val="000000"/>
                <w:sz w:val="18"/>
                <w:szCs w:val="18"/>
              </w:rPr>
              <w:t>-1.73</w:t>
            </w:r>
          </w:p>
        </w:tc>
        <w:tc>
          <w:tcPr>
            <w:tcW w:w="1012" w:type="dxa"/>
            <w:tcBorders>
              <w:top w:val="nil"/>
              <w:left w:val="nil"/>
              <w:bottom w:val="single" w:sz="4" w:space="0" w:color="FFFFFF"/>
              <w:right w:val="single" w:sz="4" w:space="0" w:color="FFFFFF"/>
            </w:tcBorders>
            <w:shd w:val="clear" w:color="000000" w:fill="F2F2F2"/>
            <w:noWrap/>
            <w:vAlign w:val="center"/>
            <w:hideMark/>
          </w:tcPr>
          <w:p w14:paraId="13237546" w14:textId="782388D6" w:rsidR="00A66FCB" w:rsidRPr="00D24F1A" w:rsidRDefault="00A66FCB" w:rsidP="00A66FCB">
            <w:pPr>
              <w:jc w:val="right"/>
              <w:rPr>
                <w:color w:val="000000"/>
                <w:sz w:val="18"/>
                <w:szCs w:val="18"/>
                <w:lang w:val="es-MX" w:eastAsia="es-MX"/>
              </w:rPr>
            </w:pPr>
            <w:r>
              <w:rPr>
                <w:color w:val="000000"/>
                <w:sz w:val="18"/>
                <w:szCs w:val="18"/>
              </w:rPr>
              <w:t>-1.18</w:t>
            </w:r>
          </w:p>
        </w:tc>
      </w:tr>
      <w:tr w:rsidR="00A66FCB" w:rsidRPr="00D24F1A" w14:paraId="5F9228FD" w14:textId="77777777" w:rsidTr="003979E8">
        <w:trPr>
          <w:trHeight w:val="360"/>
          <w:jc w:val="center"/>
        </w:trPr>
        <w:tc>
          <w:tcPr>
            <w:tcW w:w="1757" w:type="dxa"/>
            <w:tcBorders>
              <w:top w:val="nil"/>
              <w:left w:val="nil"/>
              <w:bottom w:val="single" w:sz="8" w:space="0" w:color="C0C0C0"/>
              <w:right w:val="single" w:sz="4" w:space="0" w:color="FFFFFF"/>
            </w:tcBorders>
            <w:noWrap/>
            <w:vAlign w:val="center"/>
            <w:hideMark/>
          </w:tcPr>
          <w:p w14:paraId="6198129A" w14:textId="77777777" w:rsidR="00A66FCB" w:rsidRPr="00D24F1A" w:rsidRDefault="00A66FCB" w:rsidP="00A66FCB">
            <w:pPr>
              <w:jc w:val="left"/>
              <w:rPr>
                <w:color w:val="000000"/>
                <w:sz w:val="18"/>
                <w:szCs w:val="18"/>
                <w:lang w:val="es-MX" w:eastAsia="es-MX"/>
              </w:rPr>
            </w:pPr>
            <w:r w:rsidRPr="00D24F1A">
              <w:rPr>
                <w:color w:val="000000"/>
                <w:sz w:val="18"/>
                <w:szCs w:val="18"/>
                <w:lang w:val="es-MX" w:eastAsia="es-MX"/>
              </w:rPr>
              <w:t>Terciarias</w:t>
            </w:r>
          </w:p>
        </w:tc>
        <w:tc>
          <w:tcPr>
            <w:tcW w:w="806" w:type="dxa"/>
            <w:tcBorders>
              <w:top w:val="nil"/>
              <w:left w:val="single" w:sz="4" w:space="0" w:color="FFFFFF"/>
              <w:bottom w:val="single" w:sz="8" w:space="0" w:color="C0C0C0"/>
              <w:right w:val="single" w:sz="4" w:space="0" w:color="FFFFFF"/>
            </w:tcBorders>
            <w:noWrap/>
            <w:vAlign w:val="center"/>
            <w:hideMark/>
          </w:tcPr>
          <w:p w14:paraId="220E7743" w14:textId="33CB5A6C" w:rsidR="00A66FCB" w:rsidRPr="00D24F1A" w:rsidRDefault="00A66FCB" w:rsidP="00A66FCB">
            <w:pPr>
              <w:jc w:val="right"/>
              <w:rPr>
                <w:color w:val="000000"/>
                <w:sz w:val="18"/>
                <w:szCs w:val="18"/>
                <w:lang w:val="es-MX" w:eastAsia="es-MX"/>
              </w:rPr>
            </w:pPr>
            <w:r>
              <w:rPr>
                <w:color w:val="000000"/>
                <w:sz w:val="18"/>
                <w:szCs w:val="18"/>
              </w:rPr>
              <w:t>0.82</w:t>
            </w:r>
          </w:p>
        </w:tc>
        <w:tc>
          <w:tcPr>
            <w:tcW w:w="806" w:type="dxa"/>
            <w:tcBorders>
              <w:top w:val="nil"/>
              <w:left w:val="nil"/>
              <w:bottom w:val="single" w:sz="8" w:space="0" w:color="C0C0C0"/>
              <w:right w:val="single" w:sz="4" w:space="0" w:color="FFFFFF"/>
            </w:tcBorders>
            <w:noWrap/>
            <w:vAlign w:val="center"/>
            <w:hideMark/>
          </w:tcPr>
          <w:p w14:paraId="20020C99" w14:textId="3386D6AC" w:rsidR="00A66FCB" w:rsidRPr="00D24F1A" w:rsidRDefault="00A66FCB" w:rsidP="00A66FCB">
            <w:pPr>
              <w:jc w:val="right"/>
              <w:rPr>
                <w:color w:val="000000"/>
                <w:sz w:val="18"/>
                <w:szCs w:val="18"/>
                <w:lang w:val="es-MX" w:eastAsia="es-MX"/>
              </w:rPr>
            </w:pPr>
            <w:r>
              <w:rPr>
                <w:color w:val="000000"/>
                <w:sz w:val="18"/>
                <w:szCs w:val="18"/>
              </w:rPr>
              <w:t>1.60</w:t>
            </w:r>
          </w:p>
        </w:tc>
        <w:tc>
          <w:tcPr>
            <w:tcW w:w="806" w:type="dxa"/>
            <w:tcBorders>
              <w:top w:val="nil"/>
              <w:left w:val="nil"/>
              <w:bottom w:val="single" w:sz="8" w:space="0" w:color="C0C0C0"/>
              <w:right w:val="single" w:sz="4" w:space="0" w:color="FFFFFF"/>
            </w:tcBorders>
            <w:noWrap/>
            <w:vAlign w:val="center"/>
            <w:hideMark/>
          </w:tcPr>
          <w:p w14:paraId="09AA1976" w14:textId="5FA63D59" w:rsidR="00A66FCB" w:rsidRPr="00D24F1A" w:rsidRDefault="00A66FCB" w:rsidP="00A66FCB">
            <w:pPr>
              <w:jc w:val="right"/>
              <w:rPr>
                <w:color w:val="000000"/>
                <w:sz w:val="18"/>
                <w:szCs w:val="18"/>
                <w:lang w:val="es-MX" w:eastAsia="es-MX"/>
              </w:rPr>
            </w:pPr>
            <w:r>
              <w:rPr>
                <w:color w:val="000000"/>
                <w:sz w:val="18"/>
                <w:szCs w:val="18"/>
              </w:rPr>
              <w:t>0.22</w:t>
            </w:r>
          </w:p>
        </w:tc>
        <w:tc>
          <w:tcPr>
            <w:tcW w:w="806" w:type="dxa"/>
            <w:tcBorders>
              <w:top w:val="nil"/>
              <w:left w:val="nil"/>
              <w:bottom w:val="single" w:sz="8" w:space="0" w:color="C0C0C0"/>
              <w:right w:val="single" w:sz="4" w:space="0" w:color="FFFFFF"/>
            </w:tcBorders>
            <w:noWrap/>
            <w:vAlign w:val="center"/>
            <w:hideMark/>
          </w:tcPr>
          <w:p w14:paraId="5D9F691B" w14:textId="2FEC4BA6" w:rsidR="00A66FCB" w:rsidRPr="00D24F1A" w:rsidRDefault="00A66FCB" w:rsidP="00A66FCB">
            <w:pPr>
              <w:jc w:val="right"/>
              <w:rPr>
                <w:color w:val="000000"/>
                <w:sz w:val="18"/>
                <w:szCs w:val="18"/>
                <w:lang w:val="es-MX" w:eastAsia="es-MX"/>
              </w:rPr>
            </w:pPr>
            <w:r>
              <w:rPr>
                <w:color w:val="000000"/>
                <w:sz w:val="18"/>
                <w:szCs w:val="18"/>
              </w:rPr>
              <w:t>-1.02</w:t>
            </w:r>
          </w:p>
        </w:tc>
        <w:tc>
          <w:tcPr>
            <w:tcW w:w="978" w:type="dxa"/>
            <w:tcBorders>
              <w:top w:val="nil"/>
              <w:left w:val="nil"/>
              <w:bottom w:val="single" w:sz="8" w:space="0" w:color="C0C0C0"/>
              <w:right w:val="single" w:sz="4" w:space="0" w:color="FFFFFF"/>
            </w:tcBorders>
            <w:noWrap/>
            <w:vAlign w:val="center"/>
            <w:hideMark/>
          </w:tcPr>
          <w:p w14:paraId="47901536" w14:textId="15AB6745" w:rsidR="00A66FCB" w:rsidRPr="00D24F1A" w:rsidRDefault="00A66FCB" w:rsidP="00A66FCB">
            <w:pPr>
              <w:jc w:val="right"/>
              <w:rPr>
                <w:color w:val="000000"/>
                <w:sz w:val="18"/>
                <w:szCs w:val="18"/>
                <w:lang w:val="es-MX" w:eastAsia="es-MX"/>
              </w:rPr>
            </w:pPr>
            <w:r>
              <w:rPr>
                <w:color w:val="000000"/>
                <w:sz w:val="18"/>
                <w:szCs w:val="18"/>
              </w:rPr>
              <w:t>0.37</w:t>
            </w:r>
          </w:p>
        </w:tc>
        <w:tc>
          <w:tcPr>
            <w:tcW w:w="774" w:type="dxa"/>
            <w:tcBorders>
              <w:top w:val="nil"/>
              <w:left w:val="nil"/>
              <w:bottom w:val="single" w:sz="8" w:space="0" w:color="C0C0C0"/>
              <w:right w:val="single" w:sz="4" w:space="0" w:color="FFFFFF"/>
            </w:tcBorders>
            <w:noWrap/>
            <w:vAlign w:val="center"/>
            <w:hideMark/>
          </w:tcPr>
          <w:p w14:paraId="7D8AA1BD" w14:textId="46673DFC" w:rsidR="00A66FCB" w:rsidRPr="00D24F1A" w:rsidRDefault="00A66FCB" w:rsidP="00A66FCB">
            <w:pPr>
              <w:jc w:val="right"/>
              <w:rPr>
                <w:color w:val="000000"/>
                <w:sz w:val="18"/>
                <w:szCs w:val="18"/>
                <w:lang w:val="es-MX" w:eastAsia="es-MX"/>
              </w:rPr>
            </w:pPr>
            <w:r>
              <w:rPr>
                <w:color w:val="000000"/>
                <w:sz w:val="18"/>
                <w:szCs w:val="18"/>
              </w:rPr>
              <w:t>1.96</w:t>
            </w:r>
          </w:p>
        </w:tc>
        <w:tc>
          <w:tcPr>
            <w:tcW w:w="775" w:type="dxa"/>
            <w:tcBorders>
              <w:top w:val="nil"/>
              <w:left w:val="nil"/>
              <w:bottom w:val="single" w:sz="8" w:space="0" w:color="C0C0C0"/>
              <w:right w:val="single" w:sz="4" w:space="0" w:color="FFFFFF"/>
            </w:tcBorders>
            <w:noWrap/>
            <w:vAlign w:val="center"/>
            <w:hideMark/>
          </w:tcPr>
          <w:p w14:paraId="4A6BC9CB" w14:textId="03FB3D96" w:rsidR="00A66FCB" w:rsidRPr="00D24F1A" w:rsidRDefault="00A66FCB" w:rsidP="00A66FCB">
            <w:pPr>
              <w:jc w:val="right"/>
              <w:rPr>
                <w:color w:val="000000"/>
                <w:sz w:val="18"/>
                <w:szCs w:val="18"/>
                <w:lang w:val="es-MX" w:eastAsia="es-MX"/>
              </w:rPr>
            </w:pPr>
            <w:r>
              <w:rPr>
                <w:color w:val="000000"/>
                <w:sz w:val="18"/>
                <w:szCs w:val="18"/>
              </w:rPr>
              <w:t>2.26</w:t>
            </w:r>
          </w:p>
        </w:tc>
        <w:tc>
          <w:tcPr>
            <w:tcW w:w="1012" w:type="dxa"/>
            <w:tcBorders>
              <w:top w:val="nil"/>
              <w:left w:val="nil"/>
              <w:bottom w:val="single" w:sz="8" w:space="0" w:color="C0C0C0"/>
              <w:right w:val="single" w:sz="4" w:space="0" w:color="FFFFFF"/>
            </w:tcBorders>
            <w:noWrap/>
            <w:vAlign w:val="center"/>
            <w:hideMark/>
          </w:tcPr>
          <w:p w14:paraId="24294D96" w14:textId="4EFED03E" w:rsidR="00A66FCB" w:rsidRPr="00D24F1A" w:rsidRDefault="00A66FCB" w:rsidP="00A66FCB">
            <w:pPr>
              <w:jc w:val="right"/>
              <w:rPr>
                <w:color w:val="000000"/>
                <w:sz w:val="18"/>
                <w:szCs w:val="18"/>
                <w:lang w:val="es-MX" w:eastAsia="es-MX"/>
              </w:rPr>
            </w:pPr>
            <w:r>
              <w:rPr>
                <w:color w:val="000000"/>
                <w:sz w:val="18"/>
                <w:szCs w:val="18"/>
              </w:rPr>
              <w:t>2.11</w:t>
            </w:r>
          </w:p>
        </w:tc>
      </w:tr>
    </w:tbl>
    <w:p w14:paraId="4C048D94" w14:textId="2F617D10" w:rsidR="0016723A" w:rsidRPr="0016723A" w:rsidRDefault="0016723A" w:rsidP="009E19AB">
      <w:pPr>
        <w:ind w:left="709"/>
        <w:rPr>
          <w:color w:val="4D565E"/>
          <w:sz w:val="16"/>
          <w:szCs w:val="16"/>
          <w:lang w:val="es-ES" w:eastAsia="es-MX"/>
        </w:rPr>
      </w:pPr>
      <w:r w:rsidRPr="0065528B">
        <w:rPr>
          <w:color w:val="4D565E"/>
          <w:sz w:val="16"/>
          <w:szCs w:val="16"/>
          <w:lang w:val="es-ES" w:eastAsia="es-MX"/>
        </w:rPr>
        <w:t>Nota:</w:t>
      </w:r>
      <w:r w:rsidRPr="0016723A">
        <w:rPr>
          <w:color w:val="4D565E"/>
          <w:sz w:val="16"/>
          <w:szCs w:val="16"/>
          <w:lang w:val="es-ES" w:eastAsia="es-MX"/>
        </w:rPr>
        <w:tab/>
      </w:r>
      <w:r>
        <w:rPr>
          <w:color w:val="4D565E"/>
          <w:sz w:val="16"/>
          <w:szCs w:val="16"/>
          <w:lang w:val="es-ES" w:eastAsia="es-MX"/>
        </w:rPr>
        <w:t xml:space="preserve"> </w:t>
      </w:r>
      <w:r w:rsidRPr="0065528B">
        <w:rPr>
          <w:color w:val="4D565E"/>
          <w:sz w:val="16"/>
          <w:szCs w:val="16"/>
          <w:lang w:val="es-ES" w:eastAsia="es-MX"/>
        </w:rPr>
        <w:t>La suma de los parciales puede no coincidir con el total debido al redondeo.</w:t>
      </w:r>
    </w:p>
    <w:p w14:paraId="6FF52B54" w14:textId="6F2DD300" w:rsidR="009E19AB" w:rsidRDefault="009E19AB" w:rsidP="009E19AB">
      <w:pPr>
        <w:ind w:left="709"/>
        <w:rPr>
          <w:color w:val="4D565E"/>
          <w:sz w:val="16"/>
          <w:szCs w:val="16"/>
          <w:lang w:val="es-ES" w:eastAsia="es-MX"/>
        </w:rPr>
      </w:pPr>
      <w:r w:rsidRPr="009E19AB">
        <w:rPr>
          <w:color w:val="4D565E"/>
          <w:sz w:val="16"/>
          <w:szCs w:val="16"/>
          <w:vertAlign w:val="superscript"/>
          <w:lang w:val="es-ES" w:eastAsia="es-MX"/>
        </w:rPr>
        <w:t>1/</w:t>
      </w:r>
      <w:r>
        <w:rPr>
          <w:color w:val="4D565E"/>
          <w:sz w:val="16"/>
          <w:szCs w:val="16"/>
          <w:lang w:val="es-ES" w:eastAsia="es-MX"/>
        </w:rPr>
        <w:t xml:space="preserve"> </w:t>
      </w:r>
      <w:r>
        <w:rPr>
          <w:color w:val="4D565E"/>
          <w:sz w:val="16"/>
          <w:szCs w:val="16"/>
          <w:lang w:val="es-ES" w:eastAsia="es-MX"/>
        </w:rPr>
        <w:tab/>
        <w:t xml:space="preserve"> Cifras preliminares.</w:t>
      </w:r>
    </w:p>
    <w:p w14:paraId="2B8C327F" w14:textId="77777777" w:rsidR="009E19AB" w:rsidRPr="0065528B" w:rsidRDefault="009E19AB" w:rsidP="009E19AB">
      <w:pPr>
        <w:ind w:left="709"/>
        <w:rPr>
          <w:color w:val="4D565E"/>
          <w:sz w:val="16"/>
          <w:szCs w:val="16"/>
          <w:lang w:val="es-ES" w:eastAsia="es-MX"/>
        </w:rPr>
      </w:pPr>
      <w:r w:rsidRPr="009E19AB">
        <w:rPr>
          <w:color w:val="4D565E"/>
          <w:sz w:val="16"/>
          <w:szCs w:val="16"/>
          <w:vertAlign w:val="superscript"/>
          <w:lang w:val="es-ES" w:eastAsia="es-MX"/>
        </w:rPr>
        <w:t>2/</w:t>
      </w:r>
      <w:r>
        <w:rPr>
          <w:color w:val="4D565E"/>
          <w:sz w:val="16"/>
          <w:szCs w:val="16"/>
          <w:lang w:val="es-ES" w:eastAsia="es-MX"/>
        </w:rPr>
        <w:t xml:space="preserve"> </w:t>
      </w:r>
      <w:r>
        <w:rPr>
          <w:color w:val="4D565E"/>
          <w:sz w:val="16"/>
          <w:szCs w:val="16"/>
          <w:lang w:val="es-ES" w:eastAsia="es-MX"/>
        </w:rPr>
        <w:tab/>
        <w:t xml:space="preserve"> Cifras revisadas.</w:t>
      </w:r>
    </w:p>
    <w:p w14:paraId="3C7A0B14" w14:textId="77777777" w:rsidR="009E19AB" w:rsidRDefault="009E19AB" w:rsidP="009E19AB">
      <w:pPr>
        <w:ind w:left="709"/>
        <w:rPr>
          <w:color w:val="4D565E"/>
          <w:sz w:val="16"/>
          <w:szCs w:val="16"/>
          <w:lang w:val="es-ES" w:eastAsia="es-MX"/>
        </w:rPr>
      </w:pPr>
      <w:r w:rsidRPr="0065528B">
        <w:rPr>
          <w:color w:val="4D565E"/>
          <w:sz w:val="16"/>
          <w:szCs w:val="16"/>
          <w:lang w:val="es-ES" w:eastAsia="es-MX"/>
        </w:rPr>
        <w:t>Fuente:</w:t>
      </w:r>
      <w:r w:rsidRPr="0065528B">
        <w:rPr>
          <w:sz w:val="16"/>
          <w:szCs w:val="16"/>
        </w:rPr>
        <w:tab/>
      </w:r>
      <w:r>
        <w:rPr>
          <w:sz w:val="16"/>
          <w:szCs w:val="16"/>
        </w:rPr>
        <w:t xml:space="preserve"> </w:t>
      </w:r>
      <w:r w:rsidRPr="0065528B">
        <w:rPr>
          <w:smallCaps/>
          <w:color w:val="4D565E"/>
          <w:sz w:val="16"/>
          <w:szCs w:val="16"/>
          <w:lang w:val="es-ES" w:eastAsia="es-MX"/>
        </w:rPr>
        <w:t xml:space="preserve">inegi. </w:t>
      </w:r>
      <w:r w:rsidRPr="0065528B">
        <w:rPr>
          <w:color w:val="4D565E"/>
          <w:sz w:val="16"/>
          <w:szCs w:val="16"/>
          <w:lang w:val="es-ES" w:eastAsia="es-MX"/>
        </w:rPr>
        <w:t>Indicador Trimestral de la Actividad Económica Estatal</w:t>
      </w:r>
      <w:r w:rsidRPr="0065528B">
        <w:rPr>
          <w:smallCaps/>
          <w:color w:val="4D565E"/>
          <w:sz w:val="16"/>
          <w:szCs w:val="16"/>
          <w:lang w:val="es-ES" w:eastAsia="es-MX"/>
        </w:rPr>
        <w:t xml:space="preserve"> (itaee)</w:t>
      </w:r>
      <w:r w:rsidRPr="0065528B">
        <w:rPr>
          <w:color w:val="4D565E"/>
          <w:sz w:val="16"/>
          <w:szCs w:val="16"/>
          <w:lang w:val="es-ES" w:eastAsia="es-MX"/>
        </w:rPr>
        <w:t>, 2025 y 2026.</w:t>
      </w:r>
    </w:p>
    <w:p w14:paraId="4DE58979" w14:textId="77777777" w:rsidR="008766DD" w:rsidRPr="00000D42" w:rsidRDefault="00DC6861" w:rsidP="007A26B6">
      <w:pPr>
        <w:ind w:left="1276" w:hanging="709"/>
        <w:rPr>
          <w:lang w:eastAsia="es-MX"/>
        </w:rPr>
      </w:pPr>
      <w:r w:rsidRPr="00C62C6E">
        <w:rPr>
          <w:b/>
          <w:smallCaps/>
        </w:rPr>
        <w:br w:type="page"/>
      </w:r>
    </w:p>
    <w:p w14:paraId="2C6EA4CE" w14:textId="20FDD5EA" w:rsidR="008766DD" w:rsidRPr="00021E62" w:rsidRDefault="00900054" w:rsidP="00B86741">
      <w:pPr>
        <w:ind w:left="567"/>
        <w:rPr>
          <w:rFonts w:ascii="Arial Negrita" w:hAnsi="Arial Negrita"/>
          <w:b/>
        </w:rPr>
      </w:pPr>
      <w:r w:rsidRPr="00021E62">
        <w:rPr>
          <w:rFonts w:ascii="Arial Negrita" w:hAnsi="Arial Negrita"/>
          <w:b/>
        </w:rPr>
        <w:lastRenderedPageBreak/>
        <w:t>A</w:t>
      </w:r>
      <w:r w:rsidR="008766DD" w:rsidRPr="00021E62">
        <w:rPr>
          <w:rFonts w:ascii="Arial Negrita" w:hAnsi="Arial Negrita"/>
          <w:b/>
        </w:rPr>
        <w:t>ctividades primarias</w:t>
      </w:r>
    </w:p>
    <w:p w14:paraId="2BB541E3" w14:textId="77777777" w:rsidR="008766DD" w:rsidRPr="00C62C6E" w:rsidRDefault="008766DD" w:rsidP="008766DD">
      <w:pPr>
        <w:rPr>
          <w:lang w:eastAsia="es-MX"/>
        </w:rPr>
      </w:pPr>
    </w:p>
    <w:p w14:paraId="0F40E974" w14:textId="3C1A8491" w:rsidR="008766DD" w:rsidRDefault="00BF3159" w:rsidP="008766DD">
      <w:pPr>
        <w:rPr>
          <w:lang w:val="es-MX" w:eastAsia="es-MX"/>
        </w:rPr>
      </w:pPr>
      <w:r w:rsidRPr="00BF3159">
        <w:rPr>
          <w:lang w:val="es-MX" w:eastAsia="es-MX"/>
        </w:rPr>
        <w:t xml:space="preserve">Las actividades primarias, vinculadas con el aprovechamiento directo de los recursos naturales, comprenden la </w:t>
      </w:r>
      <w:r w:rsidR="00EF2F48">
        <w:rPr>
          <w:lang w:val="es-MX" w:eastAsia="es-MX"/>
        </w:rPr>
        <w:t>A</w:t>
      </w:r>
      <w:r w:rsidRPr="00BF3159">
        <w:rPr>
          <w:lang w:val="es-MX" w:eastAsia="es-MX"/>
        </w:rPr>
        <w:t xml:space="preserve">gricultura, la cría y explotación de animales, el aprovechamiento forestal, la pesca y la caza. Durante el segundo trimestre de 2026, este sector registró </w:t>
      </w:r>
      <w:r w:rsidR="004E7E27" w:rsidRPr="004E7E27">
        <w:rPr>
          <w:lang w:val="es-MX" w:eastAsia="es-MX"/>
        </w:rPr>
        <w:t xml:space="preserve">un crecimiento anual de 86.9 por ciento. Con ello, </w:t>
      </w:r>
      <w:r w:rsidR="004E7E27" w:rsidRPr="00255BE1">
        <w:rPr>
          <w:i/>
          <w:iCs/>
          <w:lang w:val="es-MX" w:eastAsia="es-MX"/>
        </w:rPr>
        <w:t>Baja California Sur</w:t>
      </w:r>
      <w:r w:rsidR="004E7E27" w:rsidRPr="004E7E27">
        <w:rPr>
          <w:lang w:val="es-MX" w:eastAsia="es-MX"/>
        </w:rPr>
        <w:t xml:space="preserve"> se ubicó en el primer lugar a nivel nacional (ver gráfica 2).</w:t>
      </w:r>
    </w:p>
    <w:p w14:paraId="59CBFEFA" w14:textId="77777777" w:rsidR="004E7E27" w:rsidRDefault="004E7E27" w:rsidP="008766DD">
      <w:pPr>
        <w:rPr>
          <w:lang w:eastAsia="es-MX"/>
        </w:rPr>
      </w:pPr>
    </w:p>
    <w:p w14:paraId="02E183C7" w14:textId="77777777" w:rsidR="0028435E" w:rsidRPr="00021E62" w:rsidRDefault="0028435E" w:rsidP="0028435E">
      <w:pPr>
        <w:ind w:left="458" w:right="459"/>
        <w:jc w:val="center"/>
        <w:rPr>
          <w:bCs/>
          <w:color w:val="003057"/>
          <w:sz w:val="20"/>
          <w:szCs w:val="20"/>
        </w:rPr>
      </w:pPr>
      <w:r w:rsidRPr="00021E62">
        <w:rPr>
          <w:bCs/>
          <w:color w:val="003057"/>
          <w:sz w:val="20"/>
          <w:szCs w:val="20"/>
        </w:rPr>
        <w:t>Gráfica 2</w:t>
      </w:r>
    </w:p>
    <w:p w14:paraId="14848671" w14:textId="05C7D578" w:rsidR="00576035" w:rsidRDefault="00780CC2" w:rsidP="0028435E">
      <w:pPr>
        <w:ind w:left="458" w:right="459"/>
        <w:jc w:val="center"/>
        <w:rPr>
          <w:b/>
          <w:color w:val="003057"/>
          <w:sz w:val="22"/>
          <w:szCs w:val="22"/>
        </w:rPr>
      </w:pPr>
      <w:r>
        <w:rPr>
          <w:b/>
          <w:color w:val="003057"/>
          <w:sz w:val="22"/>
          <w:szCs w:val="22"/>
        </w:rPr>
        <w:t>Comparativo de la v</w:t>
      </w:r>
      <w:r w:rsidR="00C1538B">
        <w:rPr>
          <w:b/>
          <w:color w:val="003057"/>
          <w:sz w:val="22"/>
          <w:szCs w:val="22"/>
        </w:rPr>
        <w:t>ariación</w:t>
      </w:r>
      <w:r w:rsidR="00021E62">
        <w:rPr>
          <w:b/>
          <w:color w:val="003057"/>
          <w:sz w:val="22"/>
          <w:szCs w:val="22"/>
        </w:rPr>
        <w:t xml:space="preserve"> anual</w:t>
      </w:r>
      <w:r w:rsidR="00C1538B">
        <w:rPr>
          <w:b/>
          <w:color w:val="003057"/>
          <w:sz w:val="22"/>
          <w:szCs w:val="22"/>
        </w:rPr>
        <w:t xml:space="preserve"> del </w:t>
      </w:r>
      <w:r w:rsidR="00576035" w:rsidRPr="00576035">
        <w:rPr>
          <w:b/>
          <w:color w:val="003057"/>
          <w:sz w:val="22"/>
          <w:szCs w:val="22"/>
        </w:rPr>
        <w:t xml:space="preserve">Indicador Trimestral de la Actividad Económica Estatal de </w:t>
      </w:r>
      <w:r w:rsidR="00780E9F">
        <w:rPr>
          <w:b/>
          <w:color w:val="003057"/>
          <w:sz w:val="22"/>
          <w:szCs w:val="22"/>
        </w:rPr>
        <w:t>Baja California Sur</w:t>
      </w:r>
      <w:r w:rsidR="007507D9">
        <w:rPr>
          <w:b/>
          <w:color w:val="003057"/>
          <w:sz w:val="22"/>
          <w:szCs w:val="22"/>
        </w:rPr>
        <w:t xml:space="preserve"> con otras entidades federativas, </w:t>
      </w:r>
      <w:r w:rsidR="00576035" w:rsidRPr="00576035">
        <w:rPr>
          <w:b/>
          <w:color w:val="003057"/>
          <w:sz w:val="22"/>
          <w:szCs w:val="22"/>
        </w:rPr>
        <w:t>actividades primarias</w:t>
      </w:r>
    </w:p>
    <w:p w14:paraId="4846B60D" w14:textId="184DCE69" w:rsidR="0028435E" w:rsidRPr="00103B2F" w:rsidRDefault="00C03384" w:rsidP="0028435E">
      <w:pPr>
        <w:ind w:left="458" w:right="459"/>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1569B1">
        <w:rPr>
          <w:bCs/>
          <w:color w:val="27251F"/>
          <w:sz w:val="20"/>
          <w:lang w:eastAsia="es-MX"/>
        </w:rPr>
        <w:t>6</w:t>
      </w:r>
      <w:r w:rsidR="00892A00" w:rsidRPr="004C6EEB">
        <w:rPr>
          <w:color w:val="000000"/>
          <w:sz w:val="20"/>
          <w:szCs w:val="20"/>
          <w:vertAlign w:val="superscript"/>
          <w:lang w:val="es-MX" w:eastAsia="es-MX"/>
        </w:rPr>
        <w:t>1</w:t>
      </w:r>
      <w:r w:rsidR="00892A00">
        <w:rPr>
          <w:color w:val="000000"/>
          <w:sz w:val="20"/>
          <w:szCs w:val="20"/>
          <w:vertAlign w:val="superscript"/>
          <w:lang w:val="es-MX" w:eastAsia="es-MX"/>
        </w:rPr>
        <w:t>/</w:t>
      </w:r>
    </w:p>
    <w:p w14:paraId="28CD8067" w14:textId="05885D5E" w:rsidR="0028435E" w:rsidRDefault="0028435E" w:rsidP="00180475">
      <w:pPr>
        <w:jc w:val="center"/>
        <w:rPr>
          <w:lang w:eastAsia="es-MX"/>
        </w:rPr>
      </w:pPr>
      <w:r w:rsidRPr="00103B2F">
        <w:rPr>
          <w:bCs/>
          <w:color w:val="27251F"/>
          <w:sz w:val="18"/>
          <w:szCs w:val="18"/>
          <w:lang w:eastAsia="es-MX"/>
        </w:rPr>
        <w:t>(</w:t>
      </w:r>
      <w:r w:rsidR="00F36D3F">
        <w:rPr>
          <w:bCs/>
          <w:color w:val="27251F"/>
          <w:sz w:val="18"/>
          <w:szCs w:val="18"/>
          <w:lang w:eastAsia="es-MX"/>
        </w:rPr>
        <w:t>porcentaje</w:t>
      </w:r>
      <w:r w:rsidRPr="00103B2F">
        <w:rPr>
          <w:bCs/>
          <w:color w:val="27251F"/>
          <w:sz w:val="18"/>
          <w:szCs w:val="18"/>
          <w:lang w:eastAsia="es-MX"/>
        </w:rPr>
        <w:t>)</w:t>
      </w:r>
    </w:p>
    <w:p w14:paraId="4AA5B256" w14:textId="5E2E8919" w:rsidR="008766DD" w:rsidRPr="00C62C6E" w:rsidRDefault="0058568B" w:rsidP="00B64780">
      <w:pPr>
        <w:jc w:val="center"/>
        <w:rPr>
          <w:b/>
          <w:sz w:val="16"/>
          <w:szCs w:val="16"/>
          <w:lang w:eastAsia="es-MX"/>
        </w:rPr>
      </w:pPr>
      <w:r>
        <w:rPr>
          <w:noProof/>
        </w:rPr>
        <w:drawing>
          <wp:inline distT="0" distB="0" distL="0" distR="0" wp14:anchorId="3A4E6AF6" wp14:editId="6D6A21E7">
            <wp:extent cx="4138343" cy="5436030"/>
            <wp:effectExtent l="0" t="0" r="0" b="0"/>
            <wp:docPr id="999005995" name="Gráfico 1">
              <a:extLst xmlns:a="http://schemas.openxmlformats.org/drawingml/2006/main">
                <a:ext uri="{FF2B5EF4-FFF2-40B4-BE49-F238E27FC236}">
                  <a16:creationId xmlns:a16="http://schemas.microsoft.com/office/drawing/2014/main" id="{E5720C3E-6A1F-9639-3CBB-A0542F1498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A55385" w14:textId="77777777" w:rsidR="00583D9F" w:rsidRDefault="00583D9F" w:rsidP="00583D9F">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5A9A7872" w14:textId="513AC10C" w:rsidR="00FE32FF" w:rsidRDefault="00583D9F" w:rsidP="00CC186A">
      <w:pPr>
        <w:tabs>
          <w:tab w:val="left" w:pos="7655"/>
        </w:tabs>
        <w:ind w:left="2268" w:right="1752" w:hanging="567"/>
        <w:rPr>
          <w:lang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554E6A">
        <w:rPr>
          <w:color w:val="4D565E"/>
          <w:sz w:val="16"/>
          <w:szCs w:val="16"/>
          <w:lang w:val="es-ES" w:eastAsia="es-MX"/>
        </w:rPr>
        <w:t>segundo</w:t>
      </w:r>
      <w:r w:rsidR="004D2B3F" w:rsidRPr="12B4AF78">
        <w:rPr>
          <w:color w:val="4D565E"/>
          <w:sz w:val="16"/>
          <w:szCs w:val="16"/>
          <w:lang w:val="es-ES" w:eastAsia="es-MX"/>
        </w:rPr>
        <w:t xml:space="preserve"> </w:t>
      </w:r>
      <w:r w:rsidRPr="12B4AF78">
        <w:rPr>
          <w:color w:val="4D565E"/>
          <w:sz w:val="16"/>
          <w:szCs w:val="16"/>
          <w:lang w:val="es-ES" w:eastAsia="es-MX"/>
        </w:rPr>
        <w:t>trimestre</w:t>
      </w:r>
      <w:r w:rsidRPr="00D76A1D">
        <w:rPr>
          <w:color w:val="4D565E"/>
          <w:sz w:val="16"/>
          <w:szCs w:val="16"/>
          <w:lang w:val="es-ES" w:eastAsia="es-MX"/>
        </w:rPr>
        <w:t xml:space="preserve"> de </w:t>
      </w:r>
      <w:r w:rsidRPr="12B4AF78">
        <w:rPr>
          <w:color w:val="4D565E"/>
          <w:sz w:val="16"/>
          <w:szCs w:val="16"/>
          <w:lang w:val="es-ES" w:eastAsia="es-MX"/>
        </w:rPr>
        <w:t>202</w:t>
      </w:r>
      <w:r w:rsidR="003A7E2C">
        <w:rPr>
          <w:color w:val="4D565E"/>
          <w:sz w:val="16"/>
          <w:szCs w:val="16"/>
          <w:lang w:val="es-ES" w:eastAsia="es-MX"/>
        </w:rPr>
        <w:t>6</w:t>
      </w:r>
      <w:r w:rsidR="004A4133">
        <w:rPr>
          <w:color w:val="4D565E"/>
          <w:sz w:val="16"/>
          <w:szCs w:val="16"/>
          <w:lang w:val="es-ES" w:eastAsia="es-MX"/>
        </w:rPr>
        <w:t>.</w:t>
      </w:r>
      <w:r w:rsidR="00FE32FF">
        <w:rPr>
          <w:lang w:eastAsia="es-MX"/>
        </w:rPr>
        <w:br w:type="page"/>
      </w:r>
    </w:p>
    <w:p w14:paraId="64109524" w14:textId="2CFE3150" w:rsidR="008766DD" w:rsidRPr="00021E62" w:rsidRDefault="00900054" w:rsidP="00B86741">
      <w:pPr>
        <w:ind w:left="567"/>
        <w:rPr>
          <w:rFonts w:ascii="Arial Negrita" w:hAnsi="Arial Negrita"/>
          <w:b/>
        </w:rPr>
      </w:pPr>
      <w:r w:rsidRPr="00021E62">
        <w:rPr>
          <w:rFonts w:ascii="Arial Negrita" w:hAnsi="Arial Negrita"/>
          <w:b/>
        </w:rPr>
        <w:lastRenderedPageBreak/>
        <w:t>A</w:t>
      </w:r>
      <w:r w:rsidR="008766DD" w:rsidRPr="00021E62">
        <w:rPr>
          <w:rFonts w:ascii="Arial Negrita" w:hAnsi="Arial Negrita"/>
          <w:b/>
        </w:rPr>
        <w:t>ctividades secundarias</w:t>
      </w:r>
    </w:p>
    <w:p w14:paraId="6B367951" w14:textId="77777777" w:rsidR="008766DD" w:rsidRPr="00C62C6E" w:rsidRDefault="008766DD" w:rsidP="008766DD">
      <w:pPr>
        <w:rPr>
          <w:lang w:eastAsia="es-MX"/>
        </w:rPr>
      </w:pPr>
    </w:p>
    <w:p w14:paraId="2D698AB6" w14:textId="33828EA4" w:rsidR="004E7E27" w:rsidRPr="00C62C6E" w:rsidRDefault="00BF3159" w:rsidP="008766DD">
      <w:pPr>
        <w:autoSpaceDE w:val="0"/>
        <w:autoSpaceDN w:val="0"/>
        <w:adjustRightInd w:val="0"/>
        <w:rPr>
          <w:lang w:eastAsia="es-MX"/>
        </w:rPr>
      </w:pPr>
      <w:r w:rsidRPr="00BF3159">
        <w:rPr>
          <w:lang w:eastAsia="es-MX"/>
        </w:rPr>
        <w:t>Las actividades secundarias incluyen la transformación de bienes y productos en otros nuevos o diferentes. Comprenden los sectores Minería; Generación, transmisión, distribución y comercialización de energía eléctrica, suministro de agua y de gas natural por ductos al consumidor final; Construcción e Industrias manufactureras</w:t>
      </w:r>
      <w:r w:rsidR="00B12D62" w:rsidRPr="00B76340">
        <w:rPr>
          <w:lang w:eastAsia="es-MX"/>
        </w:rPr>
        <w:t>.</w:t>
      </w:r>
      <w:r w:rsidR="002266A8">
        <w:rPr>
          <w:lang w:eastAsia="es-MX"/>
        </w:rPr>
        <w:t xml:space="preserve"> </w:t>
      </w:r>
      <w:r w:rsidR="004E7E27" w:rsidRPr="004E7E27">
        <w:rPr>
          <w:lang w:eastAsia="es-MX"/>
        </w:rPr>
        <w:t>El decremento de 9.3</w:t>
      </w:r>
      <w:r w:rsidR="0011474B">
        <w:rPr>
          <w:lang w:eastAsia="es-MX"/>
        </w:rPr>
        <w:t> %</w:t>
      </w:r>
      <w:r w:rsidR="004E7E27" w:rsidRPr="004E7E27">
        <w:rPr>
          <w:lang w:eastAsia="es-MX"/>
        </w:rPr>
        <w:t xml:space="preserve"> en estas actividades ubicó a </w:t>
      </w:r>
      <w:r w:rsidR="004E7E27" w:rsidRPr="00255BE1">
        <w:rPr>
          <w:i/>
          <w:iCs/>
          <w:lang w:eastAsia="es-MX"/>
        </w:rPr>
        <w:t>Baja California Sur</w:t>
      </w:r>
      <w:r w:rsidR="004E7E27" w:rsidRPr="004E7E27">
        <w:rPr>
          <w:lang w:eastAsia="es-MX"/>
        </w:rPr>
        <w:t xml:space="preserve"> en el lugar 30 entre las 32 entidades federativas </w:t>
      </w:r>
      <w:r w:rsidR="0058568B">
        <w:rPr>
          <w:lang w:eastAsia="es-MX"/>
        </w:rPr>
        <w:br/>
      </w:r>
      <w:r w:rsidR="004E7E27" w:rsidRPr="004E7E27">
        <w:rPr>
          <w:lang w:eastAsia="es-MX"/>
        </w:rPr>
        <w:t>(ver gráfica 3).</w:t>
      </w:r>
    </w:p>
    <w:p w14:paraId="326F0670" w14:textId="77777777" w:rsidR="0028435E" w:rsidRPr="00021E62" w:rsidRDefault="0028435E" w:rsidP="0028435E">
      <w:pPr>
        <w:ind w:left="600" w:right="455"/>
        <w:jc w:val="center"/>
        <w:rPr>
          <w:bCs/>
          <w:color w:val="003057"/>
          <w:sz w:val="20"/>
          <w:szCs w:val="20"/>
        </w:rPr>
      </w:pPr>
      <w:r w:rsidRPr="00021E62">
        <w:rPr>
          <w:bCs/>
          <w:color w:val="003057"/>
          <w:sz w:val="20"/>
          <w:szCs w:val="20"/>
        </w:rPr>
        <w:t>Gráfica 3</w:t>
      </w:r>
    </w:p>
    <w:p w14:paraId="77588742" w14:textId="4DCFEDBD" w:rsidR="009B6237" w:rsidRDefault="009B6237" w:rsidP="0058568B">
      <w:pPr>
        <w:tabs>
          <w:tab w:val="left" w:pos="9498"/>
        </w:tabs>
        <w:ind w:left="284" w:right="459"/>
        <w:jc w:val="center"/>
        <w:rPr>
          <w:b/>
          <w:color w:val="003057"/>
          <w:sz w:val="22"/>
          <w:szCs w:val="22"/>
        </w:rPr>
      </w:pPr>
      <w:r>
        <w:rPr>
          <w:b/>
          <w:color w:val="003057"/>
          <w:sz w:val="22"/>
          <w:szCs w:val="22"/>
        </w:rPr>
        <w:t xml:space="preserve">Comparativo de la variación anual del </w:t>
      </w:r>
      <w:r w:rsidRPr="00576035">
        <w:rPr>
          <w:b/>
          <w:color w:val="003057"/>
          <w:sz w:val="22"/>
          <w:szCs w:val="22"/>
        </w:rPr>
        <w:t xml:space="preserve">Indicador Trimestral de la Actividad Económica Estatal de </w:t>
      </w:r>
      <w:r w:rsidR="00780E9F">
        <w:rPr>
          <w:b/>
          <w:color w:val="003057"/>
          <w:sz w:val="22"/>
          <w:szCs w:val="22"/>
        </w:rPr>
        <w:t>Baja California Sur</w:t>
      </w:r>
      <w:r>
        <w:rPr>
          <w:b/>
          <w:color w:val="003057"/>
          <w:sz w:val="22"/>
          <w:szCs w:val="22"/>
        </w:rPr>
        <w:t xml:space="preserve"> con otras entidades federativas, </w:t>
      </w:r>
      <w:r w:rsidRPr="00576035">
        <w:rPr>
          <w:b/>
          <w:color w:val="003057"/>
          <w:sz w:val="22"/>
          <w:szCs w:val="22"/>
        </w:rPr>
        <w:t xml:space="preserve">actividades </w:t>
      </w:r>
      <w:r>
        <w:rPr>
          <w:b/>
          <w:color w:val="003057"/>
          <w:sz w:val="22"/>
          <w:szCs w:val="22"/>
        </w:rPr>
        <w:t>secundarias</w:t>
      </w:r>
    </w:p>
    <w:p w14:paraId="611B2FCC" w14:textId="105AAF0E" w:rsidR="0028435E" w:rsidRPr="00103B2F" w:rsidRDefault="00C03384" w:rsidP="00576035">
      <w:pPr>
        <w:ind w:left="600" w:right="596"/>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C37B45">
        <w:rPr>
          <w:bCs/>
          <w:color w:val="27251F"/>
          <w:sz w:val="20"/>
          <w:lang w:eastAsia="es-MX"/>
        </w:rPr>
        <w:t>6</w:t>
      </w:r>
      <w:r w:rsidR="00892A00" w:rsidRPr="004C6EEB">
        <w:rPr>
          <w:color w:val="000000"/>
          <w:sz w:val="20"/>
          <w:szCs w:val="20"/>
          <w:vertAlign w:val="superscript"/>
          <w:lang w:val="es-MX" w:eastAsia="es-MX"/>
        </w:rPr>
        <w:t>1</w:t>
      </w:r>
      <w:r w:rsidR="00892A00">
        <w:rPr>
          <w:color w:val="000000"/>
          <w:sz w:val="20"/>
          <w:szCs w:val="20"/>
          <w:vertAlign w:val="superscript"/>
          <w:lang w:val="es-MX" w:eastAsia="es-MX"/>
        </w:rPr>
        <w:t>/</w:t>
      </w:r>
    </w:p>
    <w:p w14:paraId="49F1C9BD" w14:textId="283BDA25" w:rsidR="0028435E" w:rsidRPr="00C62C6E" w:rsidRDefault="0028435E" w:rsidP="00021E62">
      <w:pPr>
        <w:ind w:left="680" w:hanging="680"/>
        <w:jc w:val="center"/>
        <w:rPr>
          <w:lang w:eastAsia="es-MX"/>
        </w:rPr>
      </w:pPr>
      <w:r w:rsidRPr="00103B2F">
        <w:rPr>
          <w:bCs/>
          <w:color w:val="27251F"/>
          <w:sz w:val="18"/>
          <w:szCs w:val="18"/>
          <w:lang w:eastAsia="es-MX"/>
        </w:rPr>
        <w:t>(</w:t>
      </w:r>
      <w:r w:rsidR="00C87F44">
        <w:rPr>
          <w:bCs/>
          <w:color w:val="27251F"/>
          <w:sz w:val="18"/>
          <w:szCs w:val="18"/>
          <w:lang w:eastAsia="es-MX"/>
        </w:rPr>
        <w:t>porcent</w:t>
      </w:r>
      <w:r w:rsidR="00A5125F">
        <w:rPr>
          <w:bCs/>
          <w:color w:val="27251F"/>
          <w:sz w:val="18"/>
          <w:szCs w:val="18"/>
          <w:lang w:eastAsia="es-MX"/>
        </w:rPr>
        <w:t>aje</w:t>
      </w:r>
      <w:r w:rsidRPr="00103B2F">
        <w:rPr>
          <w:bCs/>
          <w:color w:val="27251F"/>
          <w:sz w:val="18"/>
          <w:szCs w:val="18"/>
          <w:lang w:eastAsia="es-MX"/>
        </w:rPr>
        <w:t>)</w:t>
      </w:r>
    </w:p>
    <w:p w14:paraId="47F76CD6" w14:textId="369F2DCE" w:rsidR="008766DD" w:rsidRPr="00C62C6E" w:rsidRDefault="0058568B" w:rsidP="008766DD">
      <w:pPr>
        <w:jc w:val="center"/>
        <w:rPr>
          <w:b/>
          <w:sz w:val="16"/>
          <w:szCs w:val="16"/>
          <w:lang w:eastAsia="es-MX"/>
        </w:rPr>
      </w:pPr>
      <w:r>
        <w:rPr>
          <w:noProof/>
        </w:rPr>
        <w:drawing>
          <wp:inline distT="0" distB="0" distL="0" distR="0" wp14:anchorId="13AD14FA" wp14:editId="720A65D4">
            <wp:extent cx="4140000" cy="5436030"/>
            <wp:effectExtent l="0" t="0" r="0" b="0"/>
            <wp:docPr id="1261543348" name="Gráfico 1">
              <a:extLst xmlns:a="http://schemas.openxmlformats.org/drawingml/2006/main">
                <a:ext uri="{FF2B5EF4-FFF2-40B4-BE49-F238E27FC236}">
                  <a16:creationId xmlns:a16="http://schemas.microsoft.com/office/drawing/2014/main" id="{FB5C5805-4139-BF60-9373-CBFA524ED6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1827AB" w14:textId="77777777" w:rsidR="00CC186A" w:rsidRDefault="00CC186A" w:rsidP="00CC186A">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41497F4F" w14:textId="7290E962" w:rsidR="00CC186A" w:rsidRDefault="00CC186A" w:rsidP="00CC186A">
      <w:pPr>
        <w:tabs>
          <w:tab w:val="left" w:pos="7655"/>
        </w:tabs>
        <w:ind w:left="2268" w:right="1752"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Pr>
          <w:color w:val="4D565E"/>
          <w:sz w:val="16"/>
          <w:szCs w:val="16"/>
          <w:lang w:val="es-ES" w:eastAsia="es-MX"/>
        </w:rPr>
        <w:br w:type="page"/>
      </w:r>
    </w:p>
    <w:p w14:paraId="1E3CC257" w14:textId="730BA64A" w:rsidR="00B7203E" w:rsidRPr="009E6C75" w:rsidRDefault="00900054" w:rsidP="00262720">
      <w:pPr>
        <w:tabs>
          <w:tab w:val="left" w:pos="7655"/>
        </w:tabs>
        <w:ind w:left="567" w:right="1610"/>
        <w:rPr>
          <w:rFonts w:ascii="Arial Negrita" w:hAnsi="Arial Negrita"/>
          <w:b/>
        </w:rPr>
      </w:pPr>
      <w:r w:rsidRPr="009E6C75">
        <w:rPr>
          <w:rFonts w:ascii="Arial Negrita" w:hAnsi="Arial Negrita"/>
          <w:b/>
        </w:rPr>
        <w:lastRenderedPageBreak/>
        <w:t>A</w:t>
      </w:r>
      <w:r w:rsidR="00B7203E" w:rsidRPr="009E6C75">
        <w:rPr>
          <w:rFonts w:ascii="Arial Negrita" w:hAnsi="Arial Negrita"/>
          <w:b/>
        </w:rPr>
        <w:t>ctividades terciarias</w:t>
      </w:r>
    </w:p>
    <w:p w14:paraId="1BF83BBB" w14:textId="77777777" w:rsidR="00B7203E" w:rsidRPr="00F73A21" w:rsidRDefault="00B7203E" w:rsidP="009311F5">
      <w:pPr>
        <w:contextualSpacing/>
        <w:rPr>
          <w:smallCaps/>
        </w:rPr>
      </w:pPr>
    </w:p>
    <w:p w14:paraId="431AF295" w14:textId="4AD0C1D6" w:rsidR="00B7203E" w:rsidRPr="0058568B" w:rsidRDefault="00A158B3" w:rsidP="00262720">
      <w:pPr>
        <w:rPr>
          <w:lang w:eastAsia="es-MX"/>
        </w:rPr>
      </w:pPr>
      <w:r w:rsidRPr="00A158B3">
        <w:rPr>
          <w:lang w:eastAsia="es-MX"/>
        </w:rPr>
        <w:t xml:space="preserve">Las actividades terciarias corresponden al comercio y a la prestación de servicios que apoyan la actividad económica y satisfacen necesidades de la población. Incluyen, además, los servicios de educación, salud, administración pública y defensa proporcionados por el </w:t>
      </w:r>
      <w:r>
        <w:rPr>
          <w:lang w:eastAsia="es-MX"/>
        </w:rPr>
        <w:t>g</w:t>
      </w:r>
      <w:r w:rsidRPr="00A158B3">
        <w:rPr>
          <w:lang w:eastAsia="es-MX"/>
        </w:rPr>
        <w:t>obierno</w:t>
      </w:r>
      <w:r>
        <w:rPr>
          <w:lang w:eastAsia="es-MX"/>
        </w:rPr>
        <w:t>. E</w:t>
      </w:r>
      <w:r w:rsidR="000A1655" w:rsidRPr="000A1655">
        <w:rPr>
          <w:lang w:eastAsia="es-MX"/>
        </w:rPr>
        <w:t xml:space="preserve">n el </w:t>
      </w:r>
      <w:r w:rsidR="00554E6A">
        <w:rPr>
          <w:lang w:eastAsia="es-MX"/>
        </w:rPr>
        <w:t>segundo</w:t>
      </w:r>
      <w:r w:rsidR="000A1655" w:rsidRPr="000A1655">
        <w:rPr>
          <w:lang w:eastAsia="es-MX"/>
        </w:rPr>
        <w:t xml:space="preserve"> trimestre de 2026, </w:t>
      </w:r>
      <w:r w:rsidR="004E7E27" w:rsidRPr="004E7E27">
        <w:rPr>
          <w:i/>
          <w:iCs/>
          <w:lang w:eastAsia="es-MX"/>
        </w:rPr>
        <w:t>Baja California</w:t>
      </w:r>
      <w:r w:rsidR="004E7E27" w:rsidRPr="0058568B">
        <w:rPr>
          <w:lang w:eastAsia="es-MX"/>
        </w:rPr>
        <w:t xml:space="preserve"> Sur registró una variación anual de 2.9</w:t>
      </w:r>
      <w:r w:rsidR="0011474B">
        <w:rPr>
          <w:lang w:eastAsia="es-MX"/>
        </w:rPr>
        <w:t> %</w:t>
      </w:r>
      <w:r w:rsidR="004E7E27" w:rsidRPr="0058568B">
        <w:rPr>
          <w:lang w:eastAsia="es-MX"/>
        </w:rPr>
        <w:t xml:space="preserve"> en dichas actividades. De esta manera, se ubicó en el lugar 14 a nivel nacional </w:t>
      </w:r>
      <w:r w:rsidR="0058568B">
        <w:rPr>
          <w:lang w:eastAsia="es-MX"/>
        </w:rPr>
        <w:br/>
      </w:r>
      <w:r w:rsidR="004E7E27" w:rsidRPr="0058568B">
        <w:rPr>
          <w:lang w:eastAsia="es-MX"/>
        </w:rPr>
        <w:t>(ver gráfica 4).</w:t>
      </w:r>
    </w:p>
    <w:p w14:paraId="5C4990B6" w14:textId="77777777" w:rsidR="0028435E" w:rsidRPr="009E6C75" w:rsidRDefault="0028435E" w:rsidP="00262720">
      <w:pPr>
        <w:ind w:left="600" w:right="51"/>
        <w:jc w:val="center"/>
        <w:rPr>
          <w:bCs/>
          <w:color w:val="003057"/>
          <w:sz w:val="20"/>
          <w:szCs w:val="20"/>
        </w:rPr>
      </w:pPr>
      <w:r w:rsidRPr="009E6C75">
        <w:rPr>
          <w:bCs/>
          <w:color w:val="003057"/>
          <w:sz w:val="20"/>
          <w:szCs w:val="20"/>
        </w:rPr>
        <w:t>Gráfica 4</w:t>
      </w:r>
    </w:p>
    <w:p w14:paraId="59218B6D" w14:textId="11C06758" w:rsidR="009B6237" w:rsidRDefault="009B6237" w:rsidP="009B6237">
      <w:pPr>
        <w:ind w:left="458" w:right="459"/>
        <w:jc w:val="center"/>
        <w:rPr>
          <w:b/>
          <w:color w:val="003057"/>
          <w:sz w:val="22"/>
          <w:szCs w:val="22"/>
        </w:rPr>
      </w:pPr>
      <w:r>
        <w:rPr>
          <w:b/>
          <w:color w:val="003057"/>
          <w:sz w:val="22"/>
          <w:szCs w:val="22"/>
        </w:rPr>
        <w:t xml:space="preserve">Comparativo de la variación anual del </w:t>
      </w:r>
      <w:r w:rsidRPr="00576035">
        <w:rPr>
          <w:b/>
          <w:color w:val="003057"/>
          <w:sz w:val="22"/>
          <w:szCs w:val="22"/>
        </w:rPr>
        <w:t xml:space="preserve">Indicador Trimestral de la Actividad Económica Estatal de </w:t>
      </w:r>
      <w:r w:rsidR="00780E9F">
        <w:rPr>
          <w:b/>
          <w:color w:val="003057"/>
          <w:sz w:val="22"/>
          <w:szCs w:val="22"/>
        </w:rPr>
        <w:t>Baja California Sur</w:t>
      </w:r>
      <w:r>
        <w:rPr>
          <w:b/>
          <w:color w:val="003057"/>
          <w:sz w:val="22"/>
          <w:szCs w:val="22"/>
        </w:rPr>
        <w:t xml:space="preserve"> con otras entidades federativas, </w:t>
      </w:r>
      <w:r w:rsidRPr="00576035">
        <w:rPr>
          <w:b/>
          <w:color w:val="003057"/>
          <w:sz w:val="22"/>
          <w:szCs w:val="22"/>
        </w:rPr>
        <w:t xml:space="preserve">actividades </w:t>
      </w:r>
      <w:r>
        <w:rPr>
          <w:b/>
          <w:color w:val="003057"/>
          <w:sz w:val="22"/>
          <w:szCs w:val="22"/>
        </w:rPr>
        <w:t>terciarias</w:t>
      </w:r>
    </w:p>
    <w:p w14:paraId="21C46370" w14:textId="10DF41EE" w:rsidR="0028435E" w:rsidRPr="00103B2F" w:rsidRDefault="009F52CE" w:rsidP="0028435E">
      <w:pPr>
        <w:ind w:left="600" w:right="600"/>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3A7E2C">
        <w:rPr>
          <w:bCs/>
          <w:color w:val="27251F"/>
          <w:sz w:val="20"/>
          <w:lang w:eastAsia="es-MX"/>
        </w:rPr>
        <w:t>6</w:t>
      </w:r>
      <w:r w:rsidR="00812EBA" w:rsidRPr="004C6EEB">
        <w:rPr>
          <w:color w:val="000000"/>
          <w:sz w:val="20"/>
          <w:szCs w:val="20"/>
          <w:vertAlign w:val="superscript"/>
          <w:lang w:val="es-MX" w:eastAsia="es-MX"/>
        </w:rPr>
        <w:t>1</w:t>
      </w:r>
      <w:r w:rsidR="00812EBA">
        <w:rPr>
          <w:color w:val="000000"/>
          <w:sz w:val="20"/>
          <w:szCs w:val="20"/>
          <w:vertAlign w:val="superscript"/>
          <w:lang w:val="es-MX" w:eastAsia="es-MX"/>
        </w:rPr>
        <w:t>/</w:t>
      </w:r>
    </w:p>
    <w:p w14:paraId="73DAD76E" w14:textId="0A59D937" w:rsidR="0028435E" w:rsidRDefault="0028435E" w:rsidP="00180475">
      <w:pPr>
        <w:jc w:val="center"/>
        <w:rPr>
          <w:lang w:eastAsia="es-MX"/>
        </w:rPr>
      </w:pPr>
      <w:r w:rsidRPr="00103B2F">
        <w:rPr>
          <w:bCs/>
          <w:color w:val="27251F"/>
          <w:sz w:val="18"/>
          <w:szCs w:val="18"/>
          <w:lang w:eastAsia="es-MX"/>
        </w:rPr>
        <w:t>(</w:t>
      </w:r>
      <w:r w:rsidR="00C87F44">
        <w:rPr>
          <w:bCs/>
          <w:color w:val="27251F"/>
          <w:sz w:val="18"/>
          <w:szCs w:val="18"/>
          <w:lang w:eastAsia="es-MX"/>
        </w:rPr>
        <w:t>porcent</w:t>
      </w:r>
      <w:r w:rsidR="007B29F7">
        <w:rPr>
          <w:bCs/>
          <w:color w:val="27251F"/>
          <w:sz w:val="18"/>
          <w:szCs w:val="18"/>
          <w:lang w:eastAsia="es-MX"/>
        </w:rPr>
        <w:t>aje</w:t>
      </w:r>
      <w:r w:rsidRPr="00103B2F">
        <w:rPr>
          <w:bCs/>
          <w:color w:val="27251F"/>
          <w:sz w:val="18"/>
          <w:szCs w:val="18"/>
          <w:lang w:eastAsia="es-MX"/>
        </w:rPr>
        <w:t>)</w:t>
      </w:r>
    </w:p>
    <w:p w14:paraId="0D042A42" w14:textId="6F2EA21A" w:rsidR="00EC3926" w:rsidRPr="00C62C6E" w:rsidRDefault="0058568B" w:rsidP="00246724">
      <w:pPr>
        <w:ind w:left="2268" w:right="2177" w:hanging="850"/>
        <w:jc w:val="left"/>
        <w:rPr>
          <w:b/>
          <w:sz w:val="16"/>
          <w:szCs w:val="16"/>
          <w:lang w:eastAsia="es-MX"/>
        </w:rPr>
      </w:pPr>
      <w:r>
        <w:rPr>
          <w:noProof/>
        </w:rPr>
        <w:drawing>
          <wp:inline distT="0" distB="0" distL="0" distR="0" wp14:anchorId="6B0DA4F9" wp14:editId="057EC318">
            <wp:extent cx="4138343" cy="5436030"/>
            <wp:effectExtent l="0" t="0" r="0" b="0"/>
            <wp:docPr id="130618337" name="Gráfico 1">
              <a:extLst xmlns:a="http://schemas.openxmlformats.org/drawingml/2006/main">
                <a:ext uri="{FF2B5EF4-FFF2-40B4-BE49-F238E27FC236}">
                  <a16:creationId xmlns:a16="http://schemas.microsoft.com/office/drawing/2014/main" id="{11B33846-BCE0-6FF9-0CAC-28CA9BBA3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8AFC8A" w14:textId="77777777" w:rsidR="00CC186A" w:rsidRDefault="00CC186A" w:rsidP="00CC186A">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65665C1A" w14:textId="3E695D4E" w:rsidR="003823B4" w:rsidRDefault="00CC186A" w:rsidP="00CC186A">
      <w:pPr>
        <w:tabs>
          <w:tab w:val="left" w:pos="7655"/>
        </w:tabs>
        <w:ind w:left="2268" w:right="1752"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003823B4" w:rsidRPr="12B4AF78">
        <w:rPr>
          <w:color w:val="4D565E"/>
          <w:sz w:val="16"/>
          <w:szCs w:val="16"/>
          <w:lang w:val="es-ES" w:eastAsia="es-MX"/>
        </w:rPr>
        <w:br w:type="page"/>
      </w:r>
    </w:p>
    <w:p w14:paraId="43E1F260" w14:textId="77777777" w:rsidR="003823B4" w:rsidRPr="003823B4" w:rsidRDefault="003823B4" w:rsidP="003823B4"/>
    <w:p w14:paraId="0A9D72FD" w14:textId="6EFBA99C" w:rsidR="00DF1A5F" w:rsidRDefault="004E7E27" w:rsidP="00B7203E">
      <w:r w:rsidRPr="004E7E27">
        <w:t>Finalmente, en el segundo trimestre de 2026, debido al aumento de 2.8</w:t>
      </w:r>
      <w:r w:rsidR="0011474B">
        <w:t> %</w:t>
      </w:r>
      <w:r w:rsidRPr="004E7E27">
        <w:t xml:space="preserve"> en el total de la actividad económica, </w:t>
      </w:r>
      <w:r w:rsidRPr="00255BE1">
        <w:rPr>
          <w:i/>
          <w:iCs/>
        </w:rPr>
        <w:t>Baja California Sur</w:t>
      </w:r>
      <w:r w:rsidRPr="004E7E27">
        <w:t xml:space="preserve"> se situó en el lugar 11 y contribuyó con </w:t>
      </w:r>
      <w:r w:rsidR="00AB6243">
        <w:br/>
      </w:r>
      <w:r w:rsidRPr="004E7E27">
        <w:t>0.02 puntos porcentuales a la variación nacional (ver gráfica 5).</w:t>
      </w:r>
    </w:p>
    <w:p w14:paraId="384DE8A4" w14:textId="77777777" w:rsidR="004E7E27" w:rsidRDefault="004E7E27" w:rsidP="00B7203E"/>
    <w:p w14:paraId="5267F80F" w14:textId="6018360F" w:rsidR="00252770" w:rsidRPr="00612140" w:rsidRDefault="00DF1A5F" w:rsidP="00DF1A5F">
      <w:pPr>
        <w:ind w:right="23"/>
        <w:jc w:val="center"/>
        <w:rPr>
          <w:bCs/>
          <w:color w:val="003057"/>
          <w:sz w:val="20"/>
          <w:szCs w:val="20"/>
        </w:rPr>
      </w:pPr>
      <w:r w:rsidRPr="00612140">
        <w:rPr>
          <w:bCs/>
          <w:color w:val="003057"/>
          <w:sz w:val="20"/>
          <w:szCs w:val="20"/>
        </w:rPr>
        <w:t>Gráfica 5</w:t>
      </w:r>
    </w:p>
    <w:p w14:paraId="270F4D31" w14:textId="6C84C7AD" w:rsidR="009E4A16" w:rsidRDefault="00BA3E3F" w:rsidP="00DF1A5F">
      <w:pPr>
        <w:ind w:right="23"/>
        <w:jc w:val="center"/>
        <w:rPr>
          <w:b/>
          <w:color w:val="003057"/>
          <w:sz w:val="22"/>
          <w:szCs w:val="22"/>
        </w:rPr>
      </w:pPr>
      <w:r>
        <w:rPr>
          <w:b/>
          <w:color w:val="003057"/>
          <w:sz w:val="22"/>
          <w:szCs w:val="22"/>
        </w:rPr>
        <w:t>Comparativo del</w:t>
      </w:r>
      <w:r w:rsidR="006918A2">
        <w:rPr>
          <w:b/>
          <w:color w:val="003057"/>
          <w:sz w:val="22"/>
          <w:szCs w:val="22"/>
        </w:rPr>
        <w:t xml:space="preserve"> </w:t>
      </w:r>
      <w:r w:rsidR="00252770" w:rsidRPr="003B47B7">
        <w:rPr>
          <w:b/>
          <w:color w:val="003057"/>
          <w:sz w:val="22"/>
          <w:szCs w:val="22"/>
        </w:rPr>
        <w:t>I</w:t>
      </w:r>
      <w:r w:rsidR="00252770">
        <w:rPr>
          <w:b/>
          <w:color w:val="003057"/>
          <w:sz w:val="22"/>
          <w:szCs w:val="22"/>
        </w:rPr>
        <w:t>ndicador</w:t>
      </w:r>
      <w:r w:rsidR="00A540F1">
        <w:rPr>
          <w:b/>
          <w:color w:val="003057"/>
          <w:sz w:val="22"/>
          <w:szCs w:val="22"/>
        </w:rPr>
        <w:t xml:space="preserve"> </w:t>
      </w:r>
      <w:r w:rsidR="00252770">
        <w:rPr>
          <w:b/>
          <w:color w:val="003057"/>
          <w:sz w:val="22"/>
          <w:szCs w:val="22"/>
        </w:rPr>
        <w:t>Trimestral de la Actividad Económica Estatal</w:t>
      </w:r>
      <w:r w:rsidR="009E4A16">
        <w:rPr>
          <w:b/>
          <w:color w:val="003057"/>
          <w:sz w:val="22"/>
          <w:szCs w:val="22"/>
        </w:rPr>
        <w:t xml:space="preserve"> de </w:t>
      </w:r>
      <w:r w:rsidR="00780E9F">
        <w:rPr>
          <w:b/>
          <w:color w:val="003057"/>
          <w:sz w:val="22"/>
          <w:szCs w:val="22"/>
        </w:rPr>
        <w:t>Baja California Sur</w:t>
      </w:r>
    </w:p>
    <w:p w14:paraId="2A48B3BF" w14:textId="5C6EC6A2" w:rsidR="00003D9B" w:rsidRPr="00DF1A5F" w:rsidRDefault="009E4A16" w:rsidP="00DF1A5F">
      <w:pPr>
        <w:ind w:right="23"/>
        <w:jc w:val="center"/>
        <w:rPr>
          <w:b/>
          <w:color w:val="003057"/>
          <w:sz w:val="22"/>
          <w:szCs w:val="22"/>
        </w:rPr>
      </w:pPr>
      <w:r>
        <w:rPr>
          <w:b/>
          <w:color w:val="003057"/>
          <w:sz w:val="22"/>
          <w:szCs w:val="22"/>
        </w:rPr>
        <w:t>con otras entidades federativas</w:t>
      </w:r>
    </w:p>
    <w:p w14:paraId="1BD574D9" w14:textId="03530D71" w:rsidR="00003D9B" w:rsidRDefault="0036097F" w:rsidP="00003D9B">
      <w:pPr>
        <w:jc w:val="center"/>
        <w:rPr>
          <w:color w:val="000000"/>
          <w:sz w:val="20"/>
          <w:szCs w:val="20"/>
          <w:vertAlign w:val="superscript"/>
          <w:lang w:val="es-MX" w:eastAsia="es-MX"/>
        </w:rPr>
      </w:pPr>
      <w:r>
        <w:rPr>
          <w:bCs/>
          <w:color w:val="27251F"/>
          <w:sz w:val="20"/>
          <w:lang w:eastAsia="es-MX"/>
        </w:rPr>
        <w:t>segundo</w:t>
      </w:r>
      <w:r w:rsidR="00833C67">
        <w:rPr>
          <w:bCs/>
          <w:color w:val="27251F"/>
          <w:sz w:val="20"/>
          <w:lang w:eastAsia="es-MX"/>
        </w:rPr>
        <w:t xml:space="preserve"> </w:t>
      </w:r>
      <w:r w:rsidR="003805E1">
        <w:rPr>
          <w:bCs/>
          <w:color w:val="27251F"/>
          <w:sz w:val="20"/>
          <w:lang w:eastAsia="es-MX"/>
        </w:rPr>
        <w:t>trimestre de 202</w:t>
      </w:r>
      <w:r w:rsidR="00321017">
        <w:rPr>
          <w:bCs/>
          <w:color w:val="27251F"/>
          <w:sz w:val="20"/>
          <w:lang w:eastAsia="es-MX"/>
        </w:rPr>
        <w:t>6</w:t>
      </w:r>
      <w:r w:rsidR="00812EBA" w:rsidRPr="004C6EEB">
        <w:rPr>
          <w:color w:val="000000"/>
          <w:sz w:val="20"/>
          <w:szCs w:val="20"/>
          <w:vertAlign w:val="superscript"/>
          <w:lang w:val="es-MX" w:eastAsia="es-MX"/>
        </w:rPr>
        <w:t>1</w:t>
      </w:r>
      <w:r w:rsidR="00812EBA">
        <w:rPr>
          <w:color w:val="000000"/>
          <w:sz w:val="20"/>
          <w:szCs w:val="20"/>
          <w:vertAlign w:val="superscript"/>
          <w:lang w:val="es-MX" w:eastAsia="es-MX"/>
        </w:rPr>
        <w:t>/</w:t>
      </w:r>
    </w:p>
    <w:tbl>
      <w:tblPr>
        <w:tblW w:w="9781" w:type="dxa"/>
        <w:jc w:val="center"/>
        <w:tblLook w:val="04A0" w:firstRow="1" w:lastRow="0" w:firstColumn="1" w:lastColumn="0" w:noHBand="0" w:noVBand="1"/>
      </w:tblPr>
      <w:tblGrid>
        <w:gridCol w:w="4962"/>
        <w:gridCol w:w="4819"/>
      </w:tblGrid>
      <w:tr w:rsidR="007F4B8D" w:rsidRPr="00C62C6E" w14:paraId="4D1F1F6D" w14:textId="77777777" w:rsidTr="00EE5266">
        <w:trPr>
          <w:jc w:val="center"/>
        </w:trPr>
        <w:tc>
          <w:tcPr>
            <w:tcW w:w="4962" w:type="dxa"/>
          </w:tcPr>
          <w:p w14:paraId="5C3C9672" w14:textId="2A0D5402" w:rsidR="00B7203E" w:rsidRPr="003A1177" w:rsidRDefault="00B7203E" w:rsidP="00201467">
            <w:pPr>
              <w:ind w:left="-504"/>
              <w:jc w:val="center"/>
              <w:rPr>
                <w:bCs/>
                <w:color w:val="27251F"/>
                <w:sz w:val="20"/>
                <w:lang w:eastAsia="es-MX"/>
              </w:rPr>
            </w:pPr>
            <w:r w:rsidRPr="003A1177">
              <w:rPr>
                <w:bCs/>
                <w:color w:val="27251F"/>
                <w:sz w:val="18"/>
                <w:szCs w:val="18"/>
                <w:lang w:eastAsia="es-MX"/>
              </w:rPr>
              <w:t xml:space="preserve">(variación porcentual </w:t>
            </w:r>
            <w:r w:rsidR="00612140">
              <w:rPr>
                <w:bCs/>
                <w:color w:val="27251F"/>
                <w:sz w:val="18"/>
                <w:szCs w:val="18"/>
                <w:lang w:eastAsia="es-MX"/>
              </w:rPr>
              <w:t>anual</w:t>
            </w:r>
            <w:r w:rsidRPr="003A1177">
              <w:rPr>
                <w:bCs/>
                <w:color w:val="27251F"/>
                <w:sz w:val="18"/>
                <w:szCs w:val="18"/>
                <w:lang w:eastAsia="es-MX"/>
              </w:rPr>
              <w:t>)</w:t>
            </w:r>
          </w:p>
        </w:tc>
        <w:tc>
          <w:tcPr>
            <w:tcW w:w="4819" w:type="dxa"/>
            <w:vAlign w:val="center"/>
          </w:tcPr>
          <w:p w14:paraId="2AC47090" w14:textId="05C386E0" w:rsidR="00B7203E" w:rsidRPr="00C62C6E" w:rsidRDefault="00B7203E" w:rsidP="00E22B5D">
            <w:pPr>
              <w:ind w:left="-504" w:right="-247"/>
              <w:jc w:val="center"/>
              <w:rPr>
                <w:sz w:val="18"/>
                <w:szCs w:val="18"/>
                <w:lang w:eastAsia="es-MX"/>
              </w:rPr>
            </w:pPr>
            <w:r w:rsidRPr="003A1177">
              <w:rPr>
                <w:bCs/>
                <w:color w:val="27251F"/>
                <w:sz w:val="18"/>
                <w:szCs w:val="18"/>
                <w:lang w:eastAsia="es-MX"/>
              </w:rPr>
              <w:t xml:space="preserve">(contribución porcentual a la variación </w:t>
            </w:r>
            <w:r w:rsidR="00003D9B" w:rsidRPr="00003D9B">
              <w:rPr>
                <w:bCs/>
                <w:color w:val="27251F"/>
                <w:sz w:val="18"/>
                <w:szCs w:val="18"/>
                <w:lang w:eastAsia="es-MX"/>
              </w:rPr>
              <w:t>nacional</w:t>
            </w:r>
            <w:r w:rsidR="00612140">
              <w:rPr>
                <w:bCs/>
                <w:color w:val="27251F"/>
                <w:sz w:val="18"/>
                <w:szCs w:val="18"/>
                <w:lang w:eastAsia="es-MX"/>
              </w:rPr>
              <w:t xml:space="preserve"> anual</w:t>
            </w:r>
            <w:r w:rsidRPr="003A1177">
              <w:rPr>
                <w:bCs/>
                <w:color w:val="27251F"/>
                <w:sz w:val="18"/>
                <w:szCs w:val="18"/>
                <w:lang w:eastAsia="es-MX"/>
              </w:rPr>
              <w:t>)</w:t>
            </w:r>
          </w:p>
        </w:tc>
      </w:tr>
    </w:tbl>
    <w:tbl>
      <w:tblPr>
        <w:tblStyle w:val="Tablaconcuadrcula"/>
        <w:tblW w:w="978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876"/>
        <w:gridCol w:w="4910"/>
      </w:tblGrid>
      <w:tr w:rsidR="008235E9" w14:paraId="28550591" w14:textId="77777777" w:rsidTr="0058568B">
        <w:trPr>
          <w:trHeight w:val="8563"/>
        </w:trPr>
        <w:tc>
          <w:tcPr>
            <w:tcW w:w="4876" w:type="dxa"/>
          </w:tcPr>
          <w:p w14:paraId="484B0D40" w14:textId="00A57106" w:rsidR="00447E54" w:rsidRDefault="0058568B" w:rsidP="00B7203E">
            <w:pPr>
              <w:jc w:val="center"/>
            </w:pPr>
            <w:r>
              <w:rPr>
                <w:noProof/>
              </w:rPr>
              <w:drawing>
                <wp:inline distT="0" distB="0" distL="0" distR="0" wp14:anchorId="65ED92A6" wp14:editId="661FCF3B">
                  <wp:extent cx="2880000" cy="5400000"/>
                  <wp:effectExtent l="0" t="0" r="0" b="0"/>
                  <wp:docPr id="1540376219" name="Gráfico 1">
                    <a:extLst xmlns:a="http://schemas.openxmlformats.org/drawingml/2006/main">
                      <a:ext uri="{FF2B5EF4-FFF2-40B4-BE49-F238E27FC236}">
                        <a16:creationId xmlns:a16="http://schemas.microsoft.com/office/drawing/2014/main" id="{00000000-0008-0000-0C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910" w:type="dxa"/>
          </w:tcPr>
          <w:p w14:paraId="02483CE6" w14:textId="5575DCBA" w:rsidR="00447E54" w:rsidRDefault="0058568B" w:rsidP="00900054">
            <w:pPr>
              <w:ind w:right="210"/>
              <w:jc w:val="center"/>
            </w:pPr>
            <w:r>
              <w:rPr>
                <w:noProof/>
              </w:rPr>
              <w:drawing>
                <wp:inline distT="0" distB="0" distL="0" distR="0" wp14:anchorId="25A1BE10" wp14:editId="49053445">
                  <wp:extent cx="2880000" cy="5400000"/>
                  <wp:effectExtent l="0" t="0" r="0" b="0"/>
                  <wp:docPr id="795443495" name="Gráfico 1">
                    <a:extLst xmlns:a="http://schemas.openxmlformats.org/drawingml/2006/main">
                      <a:ext uri="{FF2B5EF4-FFF2-40B4-BE49-F238E27FC236}">
                        <a16:creationId xmlns:a16="http://schemas.microsoft.com/office/drawing/2014/main" id="{00000000-0008-0000-0C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779A7F9A" w14:textId="3702E979" w:rsidR="000C38E4" w:rsidRPr="00C52B13" w:rsidRDefault="000C38E4" w:rsidP="00612140">
      <w:pPr>
        <w:ind w:left="851" w:hanging="567"/>
        <w:rPr>
          <w:color w:val="4D565E"/>
          <w:sz w:val="16"/>
          <w:szCs w:val="16"/>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0C9AAB16" w14:textId="7CD0F6D7" w:rsidR="00812EBA" w:rsidRDefault="00B7203E" w:rsidP="00612140">
      <w:pPr>
        <w:ind w:left="851" w:hanging="567"/>
        <w:rPr>
          <w:color w:val="4D565E"/>
          <w:sz w:val="16"/>
          <w:szCs w:val="16"/>
          <w:lang w:eastAsia="es-MX"/>
        </w:rPr>
      </w:pPr>
      <w:r w:rsidRPr="009F6FCF">
        <w:rPr>
          <w:color w:val="4D565E"/>
          <w:sz w:val="16"/>
          <w:szCs w:val="16"/>
          <w:vertAlign w:val="superscript"/>
          <w:lang w:eastAsia="es-MX"/>
        </w:rPr>
        <w:t>1/</w:t>
      </w:r>
      <w:r w:rsidR="001360FB">
        <w:rPr>
          <w:color w:val="4D565E"/>
          <w:sz w:val="16"/>
          <w:szCs w:val="16"/>
          <w:lang w:eastAsia="es-MX"/>
        </w:rPr>
        <w:tab/>
      </w:r>
      <w:r w:rsidR="00812EBA" w:rsidRPr="00103B2F">
        <w:rPr>
          <w:color w:val="4D565E"/>
          <w:sz w:val="16"/>
          <w:szCs w:val="16"/>
          <w:lang w:eastAsia="es-MX"/>
        </w:rPr>
        <w:t xml:space="preserve">Cifras </w:t>
      </w:r>
      <w:r w:rsidR="00812EBA">
        <w:rPr>
          <w:color w:val="4D565E"/>
          <w:sz w:val="16"/>
          <w:szCs w:val="16"/>
          <w:lang w:eastAsia="es-MX"/>
        </w:rPr>
        <w:t>preliminares.</w:t>
      </w:r>
    </w:p>
    <w:p w14:paraId="0D8D9DD0" w14:textId="61D22DED" w:rsidR="00D91018" w:rsidRDefault="00B7203E" w:rsidP="12B4AF78">
      <w:pPr>
        <w:ind w:left="851"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004D2B3F" w:rsidRPr="12B4AF78">
        <w:rPr>
          <w:color w:val="4D565E"/>
          <w:sz w:val="16"/>
          <w:szCs w:val="16"/>
          <w:lang w:val="es-ES" w:eastAsia="es-MX"/>
        </w:rPr>
        <w:t xml:space="preserve"> </w:t>
      </w:r>
      <w:r w:rsidR="00833C67" w:rsidRPr="12B4AF78">
        <w:rPr>
          <w:color w:val="4D565E"/>
          <w:sz w:val="16"/>
          <w:szCs w:val="16"/>
          <w:lang w:val="es-ES" w:eastAsia="es-MX"/>
        </w:rPr>
        <w:t>trimestre</w:t>
      </w:r>
      <w:r w:rsidRPr="12B4AF78">
        <w:rPr>
          <w:color w:val="4D565E"/>
          <w:sz w:val="16"/>
          <w:szCs w:val="16"/>
          <w:lang w:val="es-ES" w:eastAsia="es-MX"/>
        </w:rPr>
        <w:t xml:space="preserve"> de 202</w:t>
      </w:r>
      <w:r w:rsidR="00D253DF">
        <w:rPr>
          <w:color w:val="4D565E"/>
          <w:sz w:val="16"/>
          <w:szCs w:val="16"/>
          <w:lang w:val="es-ES" w:eastAsia="es-MX"/>
        </w:rPr>
        <w:t>6</w:t>
      </w:r>
      <w:r w:rsidRPr="12B4AF78">
        <w:rPr>
          <w:color w:val="4D565E"/>
          <w:sz w:val="16"/>
          <w:szCs w:val="16"/>
          <w:lang w:val="es-ES" w:eastAsia="es-MX"/>
        </w:rPr>
        <w:t>.</w:t>
      </w:r>
      <w:bookmarkEnd w:id="0"/>
    </w:p>
    <w:p w14:paraId="5738CD0A" w14:textId="77777777" w:rsidR="00D91018" w:rsidRDefault="00D91018">
      <w:pPr>
        <w:jc w:val="left"/>
        <w:rPr>
          <w:color w:val="4D565E"/>
          <w:sz w:val="16"/>
          <w:szCs w:val="16"/>
          <w:lang w:val="es-ES" w:eastAsia="es-MX"/>
        </w:rPr>
      </w:pPr>
      <w:r>
        <w:rPr>
          <w:color w:val="4D565E"/>
          <w:sz w:val="16"/>
          <w:szCs w:val="16"/>
          <w:lang w:val="es-ES" w:eastAsia="es-MX"/>
        </w:rPr>
        <w:br w:type="page"/>
      </w:r>
    </w:p>
    <w:p w14:paraId="7B6C4558" w14:textId="77777777" w:rsidR="00D91018" w:rsidRPr="00A330B4" w:rsidRDefault="00D91018" w:rsidP="002B5D7E">
      <w:pPr>
        <w:pStyle w:val="Prrafodelista"/>
        <w:tabs>
          <w:tab w:val="left" w:pos="7939"/>
        </w:tabs>
        <w:ind w:left="0" w:right="51"/>
        <w:jc w:val="center"/>
        <w:rPr>
          <w:rFonts w:ascii="Arial Negrita" w:hAnsi="Arial Negrita"/>
          <w:b/>
          <w:bCs/>
          <w:smallCaps/>
          <w:sz w:val="26"/>
          <w:szCs w:val="26"/>
          <w:lang w:val="es-ES"/>
        </w:rPr>
      </w:pPr>
      <w:r w:rsidRPr="12B4AF78">
        <w:rPr>
          <w:rFonts w:ascii="Arial Negrita" w:hAnsi="Arial Negrita"/>
          <w:b/>
          <w:bCs/>
          <w:smallCaps/>
          <w:sz w:val="26"/>
          <w:szCs w:val="26"/>
          <w:lang w:val="es-ES"/>
        </w:rPr>
        <w:lastRenderedPageBreak/>
        <w:t xml:space="preserve">ii. </w:t>
      </w:r>
      <w:r>
        <w:rPr>
          <w:rFonts w:ascii="Arial Negrita" w:hAnsi="Arial Negrita"/>
          <w:b/>
          <w:bCs/>
          <w:smallCaps/>
          <w:sz w:val="26"/>
          <w:szCs w:val="26"/>
          <w:lang w:val="es-ES"/>
        </w:rPr>
        <w:t>actividad económica</w:t>
      </w:r>
      <w:r w:rsidRPr="12B4AF78">
        <w:rPr>
          <w:rFonts w:ascii="Arial Negrita" w:hAnsi="Arial Negrita"/>
          <w:b/>
          <w:bCs/>
          <w:smallCaps/>
          <w:sz w:val="26"/>
          <w:szCs w:val="26"/>
          <w:lang w:val="es-ES"/>
        </w:rPr>
        <w:t xml:space="preserve"> regional (</w:t>
      </w:r>
      <w:r>
        <w:rPr>
          <w:rFonts w:ascii="Arial Negrita" w:hAnsi="Arial Negrita"/>
          <w:b/>
          <w:bCs/>
          <w:smallCaps/>
          <w:sz w:val="26"/>
          <w:szCs w:val="26"/>
          <w:lang w:val="es-ES"/>
        </w:rPr>
        <w:t>norte</w:t>
      </w:r>
      <w:r w:rsidRPr="12B4AF78">
        <w:rPr>
          <w:rFonts w:ascii="Arial Negrita" w:hAnsi="Arial Negrita"/>
          <w:b/>
          <w:bCs/>
          <w:smallCaps/>
          <w:sz w:val="26"/>
          <w:szCs w:val="26"/>
          <w:lang w:val="es-ES"/>
        </w:rPr>
        <w:t>)</w:t>
      </w:r>
      <w:r w:rsidRPr="12B4AF78">
        <w:rPr>
          <w:rFonts w:ascii="Arial Negrita" w:hAnsi="Arial Negrita"/>
          <w:b/>
          <w:bCs/>
          <w:smallCaps/>
          <w:color w:val="000000"/>
          <w:sz w:val="26"/>
          <w:szCs w:val="26"/>
          <w:vertAlign w:val="superscript"/>
          <w:lang w:val="es-ES"/>
        </w:rPr>
        <w:footnoteReference w:id="2"/>
      </w:r>
    </w:p>
    <w:p w14:paraId="03AD2F7E" w14:textId="77777777" w:rsidR="00D91018" w:rsidRPr="00A330B4" w:rsidRDefault="00D91018" w:rsidP="00FF0EDD">
      <w:pPr>
        <w:tabs>
          <w:tab w:val="num" w:pos="1843"/>
          <w:tab w:val="left" w:pos="7939"/>
        </w:tabs>
        <w:ind w:right="51"/>
      </w:pPr>
    </w:p>
    <w:p w14:paraId="2603A541" w14:textId="7F734F55" w:rsidR="00D91018" w:rsidRDefault="00D91018" w:rsidP="00D91018">
      <w:pPr>
        <w:rPr>
          <w:lang w:val="es-ES"/>
        </w:rPr>
      </w:pPr>
      <w:r w:rsidRPr="008532F1">
        <w:rPr>
          <w:lang w:val="es-ES"/>
        </w:rPr>
        <w:t xml:space="preserve">Baja California, Baja California Sur, Coahuila, Chihuahua, Nuevo León, Sinaloa, Sonora y Tamaulipas </w:t>
      </w:r>
      <w:r w:rsidRPr="00DB755B">
        <w:rPr>
          <w:lang w:val="es-ES"/>
        </w:rPr>
        <w:t xml:space="preserve">conforman la </w:t>
      </w:r>
      <w:r w:rsidRPr="00A46EBA">
        <w:rPr>
          <w:i/>
          <w:iCs/>
          <w:lang w:val="es-ES"/>
        </w:rPr>
        <w:t>región</w:t>
      </w:r>
      <w:r w:rsidR="00A94B4A">
        <w:rPr>
          <w:i/>
          <w:iCs/>
          <w:lang w:val="es-ES"/>
        </w:rPr>
        <w:t xml:space="preserve"> norte</w:t>
      </w:r>
      <w:r w:rsidRPr="00DB755B">
        <w:rPr>
          <w:lang w:val="es-ES"/>
        </w:rPr>
        <w:t xml:space="preserve"> del país.</w:t>
      </w:r>
      <w:r>
        <w:rPr>
          <w:lang w:val="es-ES"/>
        </w:rPr>
        <w:t xml:space="preserve"> En el segundo trimestre de 2026, la actividad económica en esta región representó 28.1</w:t>
      </w:r>
      <w:r w:rsidR="0011474B">
        <w:rPr>
          <w:lang w:val="es-MX"/>
        </w:rPr>
        <w:t> %</w:t>
      </w:r>
      <w:r>
        <w:rPr>
          <w:lang w:val="es-ES"/>
        </w:rPr>
        <w:t xml:space="preserve"> del total del país y sumó 0.48 puntos porcentuales a la variación nacional (ver cuadro 3).</w:t>
      </w:r>
    </w:p>
    <w:p w14:paraId="74E77618" w14:textId="77777777" w:rsidR="00D91018" w:rsidRDefault="00D91018" w:rsidP="00D91018">
      <w:pPr>
        <w:rPr>
          <w:lang w:val="es-ES"/>
        </w:rPr>
      </w:pPr>
    </w:p>
    <w:p w14:paraId="6EAA5B7F" w14:textId="77777777" w:rsidR="00D91018" w:rsidRPr="00612140" w:rsidRDefault="00D91018" w:rsidP="00D91018">
      <w:pPr>
        <w:jc w:val="center"/>
        <w:rPr>
          <w:color w:val="003057"/>
          <w:sz w:val="20"/>
          <w:szCs w:val="20"/>
          <w:lang w:eastAsia="es-MX"/>
        </w:rPr>
      </w:pPr>
      <w:r w:rsidRPr="00612140">
        <w:rPr>
          <w:color w:val="003057"/>
          <w:sz w:val="20"/>
          <w:szCs w:val="20"/>
          <w:lang w:eastAsia="es-MX"/>
        </w:rPr>
        <w:t>Cuadro 3</w:t>
      </w:r>
    </w:p>
    <w:p w14:paraId="1884FCD1" w14:textId="77777777" w:rsidR="00D91018" w:rsidRPr="00A330B4" w:rsidRDefault="00D91018" w:rsidP="00D91018">
      <w:pPr>
        <w:jc w:val="center"/>
        <w:rPr>
          <w:b/>
          <w:bCs/>
          <w:color w:val="003057"/>
          <w:sz w:val="22"/>
          <w:szCs w:val="22"/>
          <w:lang w:eastAsia="es-MX"/>
        </w:rPr>
      </w:pPr>
      <w:r>
        <w:rPr>
          <w:b/>
          <w:bCs/>
          <w:color w:val="003057"/>
          <w:sz w:val="22"/>
          <w:szCs w:val="22"/>
          <w:lang w:eastAsia="es-MX"/>
        </w:rPr>
        <w:t>Participación y contribución a la actividad económica del país, según r</w:t>
      </w:r>
      <w:r w:rsidRPr="00A330B4">
        <w:rPr>
          <w:b/>
          <w:bCs/>
          <w:color w:val="003057"/>
          <w:sz w:val="22"/>
          <w:szCs w:val="22"/>
          <w:lang w:eastAsia="es-MX"/>
        </w:rPr>
        <w:t>egi</w:t>
      </w:r>
      <w:r>
        <w:rPr>
          <w:b/>
          <w:bCs/>
          <w:color w:val="003057"/>
          <w:sz w:val="22"/>
          <w:szCs w:val="22"/>
          <w:lang w:eastAsia="es-MX"/>
        </w:rPr>
        <w:t>ón</w:t>
      </w:r>
    </w:p>
    <w:p w14:paraId="40E3A422" w14:textId="77777777" w:rsidR="00D91018" w:rsidRPr="00A330B4" w:rsidRDefault="00D91018" w:rsidP="00D91018">
      <w:pPr>
        <w:jc w:val="center"/>
        <w:rPr>
          <w:bCs/>
          <w:color w:val="27251F"/>
          <w:sz w:val="20"/>
          <w:lang w:eastAsia="es-MX"/>
        </w:rPr>
      </w:pPr>
      <w:r>
        <w:rPr>
          <w:bCs/>
          <w:color w:val="27251F"/>
          <w:sz w:val="20"/>
          <w:lang w:eastAsia="es-MX"/>
        </w:rPr>
        <w:t>segundo trimestre de</w:t>
      </w:r>
      <w:r w:rsidRPr="00A330B4">
        <w:rPr>
          <w:bCs/>
          <w:color w:val="27251F"/>
          <w:sz w:val="20"/>
          <w:lang w:eastAsia="es-MX"/>
        </w:rPr>
        <w:t xml:space="preserve"> 202</w:t>
      </w:r>
      <w:r>
        <w:rPr>
          <w:bCs/>
          <w:color w:val="27251F"/>
          <w:sz w:val="20"/>
          <w:lang w:eastAsia="es-MX"/>
        </w:rPr>
        <w:t>6</w:t>
      </w:r>
      <w:r w:rsidRPr="004C6EEB">
        <w:rPr>
          <w:color w:val="000000"/>
          <w:sz w:val="20"/>
          <w:szCs w:val="20"/>
          <w:vertAlign w:val="superscript"/>
          <w:lang w:val="es-MX" w:eastAsia="es-MX"/>
        </w:rPr>
        <w:t>1</w:t>
      </w:r>
      <w:r>
        <w:rPr>
          <w:color w:val="000000"/>
          <w:sz w:val="20"/>
          <w:szCs w:val="20"/>
          <w:vertAlign w:val="superscript"/>
          <w:lang w:val="es-MX" w:eastAsia="es-MX"/>
        </w:rPr>
        <w:t>/</w:t>
      </w:r>
    </w:p>
    <w:p w14:paraId="781C8DC1" w14:textId="77777777" w:rsidR="00D91018" w:rsidRPr="00A330B4" w:rsidRDefault="00D91018" w:rsidP="00D91018">
      <w:pPr>
        <w:jc w:val="center"/>
        <w:rPr>
          <w:bCs/>
          <w:color w:val="27251F"/>
          <w:sz w:val="18"/>
          <w:szCs w:val="18"/>
          <w:lang w:eastAsia="es-MX"/>
        </w:rPr>
      </w:pPr>
      <w:r w:rsidRPr="00A330B4">
        <w:rPr>
          <w:bCs/>
          <w:color w:val="27251F"/>
          <w:sz w:val="18"/>
          <w:szCs w:val="18"/>
          <w:lang w:eastAsia="es-MX"/>
        </w:rPr>
        <w:t>(</w:t>
      </w:r>
      <w:r>
        <w:rPr>
          <w:bCs/>
          <w:color w:val="27251F"/>
          <w:sz w:val="18"/>
          <w:szCs w:val="18"/>
          <w:lang w:eastAsia="es-MX"/>
        </w:rPr>
        <w:t>porcentaje</w:t>
      </w:r>
      <w:r w:rsidRPr="00A330B4">
        <w:rPr>
          <w:bCs/>
          <w:color w:val="27251F"/>
          <w:sz w:val="18"/>
          <w:szCs w:val="18"/>
          <w:lang w:eastAsia="es-MX"/>
        </w:rPr>
        <w:t>)</w:t>
      </w:r>
    </w:p>
    <w:tbl>
      <w:tblPr>
        <w:tblW w:w="8212" w:type="dxa"/>
        <w:jc w:val="center"/>
        <w:tblLayout w:type="fixed"/>
        <w:tblCellMar>
          <w:left w:w="70" w:type="dxa"/>
          <w:right w:w="70" w:type="dxa"/>
        </w:tblCellMar>
        <w:tblLook w:val="04A0" w:firstRow="1" w:lastRow="0" w:firstColumn="1" w:lastColumn="0" w:noHBand="0" w:noVBand="1"/>
      </w:tblPr>
      <w:tblGrid>
        <w:gridCol w:w="3534"/>
        <w:gridCol w:w="2215"/>
        <w:gridCol w:w="2463"/>
      </w:tblGrid>
      <w:tr w:rsidR="00D91018" w:rsidRPr="00480757" w14:paraId="2BF9D5BC" w14:textId="77777777" w:rsidTr="003979E8">
        <w:trPr>
          <w:trHeight w:val="435"/>
          <w:jc w:val="center"/>
        </w:trPr>
        <w:tc>
          <w:tcPr>
            <w:tcW w:w="3534"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7A772A68" w14:textId="77777777" w:rsidR="00D91018" w:rsidRPr="00A46EBA" w:rsidRDefault="00D91018" w:rsidP="003979E8">
            <w:pPr>
              <w:jc w:val="center"/>
              <w:rPr>
                <w:b/>
                <w:bCs/>
                <w:color w:val="000000"/>
                <w:sz w:val="18"/>
                <w:szCs w:val="18"/>
                <w:lang w:val="es-MX" w:eastAsia="es-MX"/>
              </w:rPr>
            </w:pPr>
            <w:r w:rsidRPr="00A46EBA">
              <w:rPr>
                <w:b/>
                <w:bCs/>
                <w:color w:val="000000"/>
                <w:sz w:val="18"/>
                <w:szCs w:val="18"/>
              </w:rPr>
              <w:t>Región</w:t>
            </w:r>
          </w:p>
        </w:tc>
        <w:tc>
          <w:tcPr>
            <w:tcW w:w="2215"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8A2DD61" w14:textId="77777777" w:rsidR="00D91018" w:rsidRPr="00480757" w:rsidRDefault="00D91018" w:rsidP="003979E8">
            <w:pPr>
              <w:jc w:val="center"/>
              <w:rPr>
                <w:b/>
                <w:bCs/>
                <w:color w:val="000000"/>
                <w:sz w:val="20"/>
                <w:szCs w:val="20"/>
                <w:lang w:val="es-MX" w:eastAsia="es-MX"/>
              </w:rPr>
            </w:pPr>
            <w:r>
              <w:rPr>
                <w:b/>
                <w:bCs/>
                <w:color w:val="000000"/>
                <w:sz w:val="18"/>
                <w:szCs w:val="18"/>
              </w:rPr>
              <w:t>Participación 2026-II</w:t>
            </w:r>
          </w:p>
        </w:tc>
        <w:tc>
          <w:tcPr>
            <w:tcW w:w="2463" w:type="dxa"/>
            <w:tcBorders>
              <w:top w:val="single" w:sz="8" w:space="0" w:color="FFFFFF"/>
              <w:left w:val="nil"/>
              <w:bottom w:val="single" w:sz="8" w:space="0" w:color="FFFFFF"/>
              <w:right w:val="single" w:sz="8" w:space="0" w:color="FFFFFF"/>
            </w:tcBorders>
            <w:shd w:val="clear" w:color="000000" w:fill="80DDD7"/>
            <w:noWrap/>
            <w:vAlign w:val="center"/>
            <w:hideMark/>
          </w:tcPr>
          <w:p w14:paraId="2B13A6FC" w14:textId="77777777" w:rsidR="00D91018" w:rsidRPr="00480757" w:rsidRDefault="00D91018" w:rsidP="003979E8">
            <w:pPr>
              <w:jc w:val="center"/>
              <w:rPr>
                <w:b/>
                <w:bCs/>
                <w:color w:val="000000"/>
                <w:sz w:val="20"/>
                <w:szCs w:val="20"/>
                <w:lang w:val="es-MX" w:eastAsia="es-MX"/>
              </w:rPr>
            </w:pPr>
            <w:r>
              <w:rPr>
                <w:b/>
                <w:bCs/>
                <w:color w:val="000000"/>
                <w:sz w:val="18"/>
                <w:szCs w:val="18"/>
              </w:rPr>
              <w:t>Contribución 2026-II</w:t>
            </w:r>
          </w:p>
        </w:tc>
      </w:tr>
      <w:tr w:rsidR="00D91018" w:rsidRPr="00480757" w14:paraId="7F5F2DF4" w14:textId="77777777" w:rsidTr="003979E8">
        <w:trPr>
          <w:trHeight w:val="315"/>
          <w:jc w:val="center"/>
        </w:trPr>
        <w:tc>
          <w:tcPr>
            <w:tcW w:w="3534" w:type="dxa"/>
            <w:tcBorders>
              <w:top w:val="nil"/>
              <w:left w:val="single" w:sz="8" w:space="0" w:color="FFFFFF"/>
              <w:bottom w:val="single" w:sz="8" w:space="0" w:color="FFFFFF"/>
              <w:right w:val="single" w:sz="8" w:space="0" w:color="FFFFFF"/>
            </w:tcBorders>
            <w:shd w:val="clear" w:color="000000" w:fill="C0C0C0"/>
            <w:noWrap/>
            <w:vAlign w:val="center"/>
            <w:hideMark/>
          </w:tcPr>
          <w:p w14:paraId="2A894C03" w14:textId="77777777" w:rsidR="00D91018" w:rsidRPr="00A46EBA" w:rsidRDefault="00D91018" w:rsidP="003979E8">
            <w:pPr>
              <w:jc w:val="center"/>
              <w:rPr>
                <w:b/>
                <w:bCs/>
                <w:color w:val="000000"/>
                <w:sz w:val="18"/>
                <w:szCs w:val="18"/>
                <w:lang w:val="es-MX" w:eastAsia="es-MX"/>
              </w:rPr>
            </w:pPr>
            <w:r w:rsidRPr="00A46EBA">
              <w:rPr>
                <w:b/>
                <w:bCs/>
                <w:color w:val="000000"/>
                <w:sz w:val="18"/>
                <w:szCs w:val="18"/>
              </w:rPr>
              <w:t>Estados Unidos Mexicanos</w:t>
            </w:r>
          </w:p>
        </w:tc>
        <w:tc>
          <w:tcPr>
            <w:tcW w:w="2215" w:type="dxa"/>
            <w:tcBorders>
              <w:top w:val="single" w:sz="8" w:space="0" w:color="FFFFFF"/>
              <w:left w:val="single" w:sz="8" w:space="0" w:color="FFFFFF"/>
              <w:bottom w:val="single" w:sz="8" w:space="0" w:color="FFFFFF"/>
              <w:right w:val="single" w:sz="8" w:space="0" w:color="FFFFFF"/>
            </w:tcBorders>
            <w:shd w:val="clear" w:color="000000" w:fill="C0C0C0"/>
            <w:vAlign w:val="center"/>
            <w:hideMark/>
          </w:tcPr>
          <w:p w14:paraId="7035EA33" w14:textId="77777777" w:rsidR="00D91018" w:rsidRPr="00480757" w:rsidRDefault="00D91018" w:rsidP="003979E8">
            <w:pPr>
              <w:jc w:val="center"/>
              <w:rPr>
                <w:b/>
                <w:bCs/>
                <w:color w:val="000000"/>
                <w:sz w:val="20"/>
                <w:szCs w:val="20"/>
                <w:lang w:val="es-MX" w:eastAsia="es-MX"/>
              </w:rPr>
            </w:pPr>
            <w:r>
              <w:rPr>
                <w:b/>
                <w:bCs/>
                <w:color w:val="000000"/>
                <w:sz w:val="18"/>
                <w:szCs w:val="18"/>
              </w:rPr>
              <w:t>100.0</w:t>
            </w:r>
          </w:p>
        </w:tc>
        <w:tc>
          <w:tcPr>
            <w:tcW w:w="2463" w:type="dxa"/>
            <w:tcBorders>
              <w:top w:val="single" w:sz="8" w:space="0" w:color="FFFFFF"/>
              <w:left w:val="nil"/>
              <w:bottom w:val="single" w:sz="8" w:space="0" w:color="FFFFFF"/>
              <w:right w:val="single" w:sz="8" w:space="0" w:color="FFFFFF"/>
            </w:tcBorders>
            <w:shd w:val="clear" w:color="000000" w:fill="C0C0C0"/>
            <w:vAlign w:val="center"/>
            <w:hideMark/>
          </w:tcPr>
          <w:p w14:paraId="5F66A1EF" w14:textId="77777777" w:rsidR="00D91018" w:rsidRPr="00480757" w:rsidRDefault="00D91018" w:rsidP="003979E8">
            <w:pPr>
              <w:ind w:right="88"/>
              <w:jc w:val="center"/>
              <w:rPr>
                <w:b/>
                <w:bCs/>
                <w:color w:val="000000"/>
                <w:sz w:val="20"/>
                <w:szCs w:val="20"/>
                <w:lang w:val="es-MX" w:eastAsia="es-MX"/>
              </w:rPr>
            </w:pPr>
            <w:r>
              <w:rPr>
                <w:b/>
                <w:bCs/>
                <w:color w:val="000000"/>
                <w:sz w:val="18"/>
                <w:szCs w:val="18"/>
              </w:rPr>
              <w:t>2.0</w:t>
            </w:r>
          </w:p>
        </w:tc>
      </w:tr>
      <w:tr w:rsidR="00D91018" w:rsidRPr="00480757" w14:paraId="298CA0C4" w14:textId="77777777" w:rsidTr="003979E8">
        <w:trPr>
          <w:trHeight w:val="315"/>
          <w:jc w:val="center"/>
        </w:trPr>
        <w:tc>
          <w:tcPr>
            <w:tcW w:w="3534" w:type="dxa"/>
            <w:tcBorders>
              <w:top w:val="nil"/>
              <w:left w:val="single" w:sz="8" w:space="0" w:color="FFFFFF"/>
              <w:bottom w:val="single" w:sz="8" w:space="0" w:color="FFFFFF"/>
              <w:right w:val="single" w:sz="8" w:space="0" w:color="FFFFFF"/>
            </w:tcBorders>
            <w:noWrap/>
            <w:vAlign w:val="center"/>
            <w:hideMark/>
          </w:tcPr>
          <w:p w14:paraId="0172EB92" w14:textId="77777777" w:rsidR="00D91018" w:rsidRPr="00BD657E" w:rsidRDefault="00D91018" w:rsidP="003979E8">
            <w:pPr>
              <w:jc w:val="left"/>
              <w:rPr>
                <w:color w:val="000000"/>
                <w:sz w:val="18"/>
                <w:szCs w:val="18"/>
                <w:lang w:val="es-MX" w:eastAsia="es-MX"/>
              </w:rPr>
            </w:pPr>
            <w:r>
              <w:rPr>
                <w:color w:val="000000"/>
                <w:sz w:val="18"/>
                <w:szCs w:val="18"/>
              </w:rPr>
              <w:t>N</w:t>
            </w:r>
            <w:r w:rsidRPr="00BD657E">
              <w:rPr>
                <w:color w:val="000000"/>
                <w:sz w:val="18"/>
                <w:szCs w:val="18"/>
              </w:rPr>
              <w:t>orte</w:t>
            </w:r>
          </w:p>
        </w:tc>
        <w:tc>
          <w:tcPr>
            <w:tcW w:w="2215" w:type="dxa"/>
            <w:tcBorders>
              <w:top w:val="nil"/>
              <w:left w:val="single" w:sz="8" w:space="0" w:color="FFFFFF"/>
              <w:bottom w:val="single" w:sz="8" w:space="0" w:color="FFFFFF"/>
              <w:right w:val="single" w:sz="8" w:space="0" w:color="FFFFFF"/>
            </w:tcBorders>
            <w:vAlign w:val="center"/>
            <w:hideMark/>
          </w:tcPr>
          <w:p w14:paraId="30C3F251" w14:textId="77777777" w:rsidR="00D91018" w:rsidRPr="00BD657E" w:rsidRDefault="00D91018" w:rsidP="003979E8">
            <w:pPr>
              <w:jc w:val="center"/>
              <w:rPr>
                <w:color w:val="000000"/>
                <w:sz w:val="18"/>
                <w:szCs w:val="18"/>
                <w:lang w:val="es-MX" w:eastAsia="es-MX"/>
              </w:rPr>
            </w:pPr>
            <w:r>
              <w:rPr>
                <w:color w:val="000000"/>
                <w:sz w:val="18"/>
                <w:szCs w:val="18"/>
              </w:rPr>
              <w:t>28.1</w:t>
            </w:r>
          </w:p>
        </w:tc>
        <w:tc>
          <w:tcPr>
            <w:tcW w:w="2463" w:type="dxa"/>
            <w:tcBorders>
              <w:top w:val="nil"/>
              <w:left w:val="nil"/>
              <w:bottom w:val="single" w:sz="8" w:space="0" w:color="FFFFFF"/>
              <w:right w:val="single" w:sz="8" w:space="0" w:color="FFFFFF"/>
            </w:tcBorders>
            <w:noWrap/>
            <w:vAlign w:val="center"/>
            <w:hideMark/>
          </w:tcPr>
          <w:p w14:paraId="6833E2B1" w14:textId="77777777" w:rsidR="00D91018" w:rsidRPr="00BD657E" w:rsidRDefault="00D91018" w:rsidP="003979E8">
            <w:pPr>
              <w:jc w:val="center"/>
              <w:rPr>
                <w:color w:val="000000"/>
                <w:sz w:val="18"/>
                <w:szCs w:val="18"/>
                <w:lang w:val="es-MX" w:eastAsia="es-MX"/>
              </w:rPr>
            </w:pPr>
            <w:r>
              <w:rPr>
                <w:color w:val="000000"/>
                <w:sz w:val="18"/>
                <w:szCs w:val="18"/>
              </w:rPr>
              <w:t>0.48</w:t>
            </w:r>
          </w:p>
        </w:tc>
      </w:tr>
      <w:tr w:rsidR="00D91018" w:rsidRPr="00480757" w14:paraId="623058E8" w14:textId="77777777" w:rsidTr="003979E8">
        <w:trPr>
          <w:trHeight w:val="315"/>
          <w:jc w:val="center"/>
        </w:trPr>
        <w:tc>
          <w:tcPr>
            <w:tcW w:w="3534" w:type="dxa"/>
            <w:tcBorders>
              <w:top w:val="nil"/>
              <w:left w:val="single" w:sz="8" w:space="0" w:color="FFFFFF"/>
              <w:bottom w:val="single" w:sz="8" w:space="0" w:color="FFFFFF"/>
              <w:right w:val="single" w:sz="8" w:space="0" w:color="FFFFFF"/>
            </w:tcBorders>
            <w:shd w:val="clear" w:color="000000" w:fill="F2F2F2"/>
            <w:noWrap/>
            <w:vAlign w:val="center"/>
            <w:hideMark/>
          </w:tcPr>
          <w:p w14:paraId="1300561F" w14:textId="77777777" w:rsidR="00D91018" w:rsidRPr="00BD657E" w:rsidRDefault="00D91018" w:rsidP="003979E8">
            <w:pPr>
              <w:jc w:val="left"/>
              <w:rPr>
                <w:color w:val="000000"/>
                <w:sz w:val="18"/>
                <w:szCs w:val="18"/>
                <w:lang w:val="es-MX" w:eastAsia="es-MX"/>
              </w:rPr>
            </w:pPr>
            <w:r>
              <w:rPr>
                <w:color w:val="000000"/>
                <w:sz w:val="18"/>
                <w:szCs w:val="18"/>
              </w:rPr>
              <w:t>C</w:t>
            </w:r>
            <w:r w:rsidRPr="00BD657E">
              <w:rPr>
                <w:color w:val="000000"/>
                <w:sz w:val="18"/>
                <w:szCs w:val="18"/>
              </w:rPr>
              <w:t>entro-</w:t>
            </w:r>
            <w:r>
              <w:rPr>
                <w:color w:val="000000"/>
                <w:sz w:val="18"/>
                <w:szCs w:val="18"/>
              </w:rPr>
              <w:t>n</w:t>
            </w:r>
            <w:r w:rsidRPr="00BD657E">
              <w:rPr>
                <w:color w:val="000000"/>
                <w:sz w:val="18"/>
                <w:szCs w:val="18"/>
              </w:rPr>
              <w:t>orte</w:t>
            </w:r>
          </w:p>
        </w:tc>
        <w:tc>
          <w:tcPr>
            <w:tcW w:w="2215" w:type="dxa"/>
            <w:tcBorders>
              <w:top w:val="nil"/>
              <w:left w:val="single" w:sz="8" w:space="0" w:color="FFFFFF"/>
              <w:bottom w:val="single" w:sz="8" w:space="0" w:color="FFFFFF"/>
              <w:right w:val="single" w:sz="8" w:space="0" w:color="FFFFFF"/>
            </w:tcBorders>
            <w:shd w:val="clear" w:color="000000" w:fill="F2F2F2"/>
            <w:vAlign w:val="center"/>
            <w:hideMark/>
          </w:tcPr>
          <w:p w14:paraId="0EF4B1B7" w14:textId="77777777" w:rsidR="00D91018" w:rsidRPr="00BD657E" w:rsidRDefault="00D91018" w:rsidP="003979E8">
            <w:pPr>
              <w:jc w:val="center"/>
              <w:rPr>
                <w:color w:val="000000"/>
                <w:sz w:val="18"/>
                <w:szCs w:val="18"/>
                <w:lang w:val="es-MX" w:eastAsia="es-MX"/>
              </w:rPr>
            </w:pPr>
            <w:r>
              <w:rPr>
                <w:color w:val="000000"/>
                <w:sz w:val="18"/>
                <w:szCs w:val="18"/>
              </w:rPr>
              <w:t>19.0</w:t>
            </w:r>
          </w:p>
        </w:tc>
        <w:tc>
          <w:tcPr>
            <w:tcW w:w="2463" w:type="dxa"/>
            <w:tcBorders>
              <w:top w:val="nil"/>
              <w:left w:val="nil"/>
              <w:bottom w:val="single" w:sz="8" w:space="0" w:color="FFFFFF"/>
              <w:right w:val="single" w:sz="8" w:space="0" w:color="FFFFFF"/>
            </w:tcBorders>
            <w:shd w:val="clear" w:color="000000" w:fill="F2F2F2"/>
            <w:noWrap/>
            <w:vAlign w:val="center"/>
            <w:hideMark/>
          </w:tcPr>
          <w:p w14:paraId="5C5273C6" w14:textId="77777777" w:rsidR="00D91018" w:rsidRPr="00BD657E" w:rsidRDefault="00D91018" w:rsidP="003979E8">
            <w:pPr>
              <w:jc w:val="center"/>
              <w:rPr>
                <w:color w:val="000000"/>
                <w:sz w:val="18"/>
                <w:szCs w:val="18"/>
                <w:lang w:val="es-MX" w:eastAsia="es-MX"/>
              </w:rPr>
            </w:pPr>
            <w:r>
              <w:rPr>
                <w:color w:val="000000"/>
                <w:sz w:val="18"/>
                <w:szCs w:val="18"/>
              </w:rPr>
              <w:t>0.29</w:t>
            </w:r>
          </w:p>
        </w:tc>
      </w:tr>
      <w:tr w:rsidR="00D91018" w:rsidRPr="00480757" w14:paraId="5D916840" w14:textId="77777777" w:rsidTr="003979E8">
        <w:trPr>
          <w:trHeight w:val="315"/>
          <w:jc w:val="center"/>
        </w:trPr>
        <w:tc>
          <w:tcPr>
            <w:tcW w:w="3534" w:type="dxa"/>
            <w:tcBorders>
              <w:top w:val="nil"/>
              <w:left w:val="single" w:sz="8" w:space="0" w:color="FFFFFF"/>
              <w:bottom w:val="single" w:sz="8" w:space="0" w:color="FFFFFF"/>
              <w:right w:val="single" w:sz="8" w:space="0" w:color="FFFFFF"/>
            </w:tcBorders>
            <w:noWrap/>
            <w:vAlign w:val="center"/>
            <w:hideMark/>
          </w:tcPr>
          <w:p w14:paraId="73CF9E49" w14:textId="77777777" w:rsidR="00D91018" w:rsidRPr="00BD657E" w:rsidRDefault="00D91018" w:rsidP="003979E8">
            <w:pPr>
              <w:jc w:val="left"/>
              <w:rPr>
                <w:color w:val="000000"/>
                <w:sz w:val="18"/>
                <w:szCs w:val="18"/>
                <w:lang w:val="es-MX" w:eastAsia="es-MX"/>
              </w:rPr>
            </w:pPr>
            <w:r>
              <w:rPr>
                <w:color w:val="000000"/>
                <w:sz w:val="18"/>
                <w:szCs w:val="18"/>
              </w:rPr>
              <w:t>C</w:t>
            </w:r>
            <w:r w:rsidRPr="00BD657E">
              <w:rPr>
                <w:color w:val="000000"/>
                <w:sz w:val="18"/>
                <w:szCs w:val="18"/>
              </w:rPr>
              <w:t>entro</w:t>
            </w:r>
          </w:p>
        </w:tc>
        <w:tc>
          <w:tcPr>
            <w:tcW w:w="2215" w:type="dxa"/>
            <w:tcBorders>
              <w:top w:val="nil"/>
              <w:left w:val="single" w:sz="8" w:space="0" w:color="FFFFFF"/>
              <w:bottom w:val="single" w:sz="8" w:space="0" w:color="FFFFFF"/>
              <w:right w:val="single" w:sz="8" w:space="0" w:color="FFFFFF"/>
            </w:tcBorders>
            <w:vAlign w:val="center"/>
            <w:hideMark/>
          </w:tcPr>
          <w:p w14:paraId="7EF846D5" w14:textId="77777777" w:rsidR="00D91018" w:rsidRPr="00BD657E" w:rsidRDefault="00D91018" w:rsidP="003979E8">
            <w:pPr>
              <w:jc w:val="center"/>
              <w:rPr>
                <w:color w:val="000000"/>
                <w:sz w:val="18"/>
                <w:szCs w:val="18"/>
                <w:lang w:val="es-MX" w:eastAsia="es-MX"/>
              </w:rPr>
            </w:pPr>
            <w:r>
              <w:rPr>
                <w:color w:val="000000"/>
                <w:sz w:val="18"/>
                <w:szCs w:val="18"/>
              </w:rPr>
              <w:t>24.9</w:t>
            </w:r>
          </w:p>
        </w:tc>
        <w:tc>
          <w:tcPr>
            <w:tcW w:w="2463" w:type="dxa"/>
            <w:tcBorders>
              <w:top w:val="nil"/>
              <w:left w:val="nil"/>
              <w:bottom w:val="single" w:sz="8" w:space="0" w:color="FFFFFF"/>
              <w:right w:val="single" w:sz="8" w:space="0" w:color="FFFFFF"/>
            </w:tcBorders>
            <w:noWrap/>
            <w:vAlign w:val="center"/>
            <w:hideMark/>
          </w:tcPr>
          <w:p w14:paraId="15C26460" w14:textId="77777777" w:rsidR="00D91018" w:rsidRPr="00BD657E" w:rsidRDefault="00D91018" w:rsidP="003979E8">
            <w:pPr>
              <w:jc w:val="center"/>
              <w:rPr>
                <w:color w:val="000000"/>
                <w:sz w:val="18"/>
                <w:szCs w:val="18"/>
                <w:lang w:val="es-MX" w:eastAsia="es-MX"/>
              </w:rPr>
            </w:pPr>
            <w:r>
              <w:rPr>
                <w:color w:val="000000"/>
                <w:sz w:val="18"/>
                <w:szCs w:val="18"/>
              </w:rPr>
              <w:t>0.71</w:t>
            </w:r>
          </w:p>
        </w:tc>
      </w:tr>
      <w:tr w:rsidR="00D91018" w:rsidRPr="00480757" w14:paraId="347EC9D8" w14:textId="77777777" w:rsidTr="003979E8">
        <w:trPr>
          <w:trHeight w:val="315"/>
          <w:jc w:val="center"/>
        </w:trPr>
        <w:tc>
          <w:tcPr>
            <w:tcW w:w="3534" w:type="dxa"/>
            <w:tcBorders>
              <w:top w:val="nil"/>
              <w:left w:val="single" w:sz="8" w:space="0" w:color="FFFFFF"/>
              <w:bottom w:val="nil"/>
              <w:right w:val="single" w:sz="8" w:space="0" w:color="FFFFFF"/>
            </w:tcBorders>
            <w:shd w:val="clear" w:color="000000" w:fill="F2F2F2"/>
            <w:noWrap/>
            <w:vAlign w:val="center"/>
            <w:hideMark/>
          </w:tcPr>
          <w:p w14:paraId="2E5953FD" w14:textId="77777777" w:rsidR="00D91018" w:rsidRPr="00BD657E" w:rsidRDefault="00D91018" w:rsidP="003979E8">
            <w:pPr>
              <w:jc w:val="left"/>
              <w:rPr>
                <w:color w:val="000000"/>
                <w:sz w:val="18"/>
                <w:szCs w:val="18"/>
                <w:lang w:val="es-MX" w:eastAsia="es-MX"/>
              </w:rPr>
            </w:pPr>
            <w:r>
              <w:rPr>
                <w:color w:val="000000"/>
                <w:sz w:val="18"/>
                <w:szCs w:val="18"/>
              </w:rPr>
              <w:t>C</w:t>
            </w:r>
            <w:r w:rsidRPr="00BD657E">
              <w:rPr>
                <w:color w:val="000000"/>
                <w:sz w:val="18"/>
                <w:szCs w:val="18"/>
              </w:rPr>
              <w:t>entro-</w:t>
            </w:r>
            <w:r>
              <w:rPr>
                <w:color w:val="000000"/>
                <w:sz w:val="18"/>
                <w:szCs w:val="18"/>
              </w:rPr>
              <w:t>s</w:t>
            </w:r>
            <w:r w:rsidRPr="00BD657E">
              <w:rPr>
                <w:color w:val="000000"/>
                <w:sz w:val="18"/>
                <w:szCs w:val="18"/>
              </w:rPr>
              <w:t>ur</w:t>
            </w:r>
          </w:p>
        </w:tc>
        <w:tc>
          <w:tcPr>
            <w:tcW w:w="2215" w:type="dxa"/>
            <w:tcBorders>
              <w:top w:val="nil"/>
              <w:left w:val="single" w:sz="8" w:space="0" w:color="FFFFFF"/>
              <w:bottom w:val="nil"/>
              <w:right w:val="single" w:sz="8" w:space="0" w:color="FFFFFF"/>
            </w:tcBorders>
            <w:shd w:val="clear" w:color="000000" w:fill="F2F2F2"/>
            <w:vAlign w:val="center"/>
            <w:hideMark/>
          </w:tcPr>
          <w:p w14:paraId="33F7EA9A" w14:textId="77777777" w:rsidR="00D91018" w:rsidRPr="00BD657E" w:rsidRDefault="00D91018" w:rsidP="003979E8">
            <w:pPr>
              <w:jc w:val="center"/>
              <w:rPr>
                <w:color w:val="000000"/>
                <w:sz w:val="18"/>
                <w:szCs w:val="18"/>
                <w:lang w:val="es-MX" w:eastAsia="es-MX"/>
              </w:rPr>
            </w:pPr>
            <w:r>
              <w:rPr>
                <w:color w:val="000000"/>
                <w:sz w:val="18"/>
                <w:szCs w:val="18"/>
              </w:rPr>
              <w:t>13.4</w:t>
            </w:r>
          </w:p>
        </w:tc>
        <w:tc>
          <w:tcPr>
            <w:tcW w:w="2463" w:type="dxa"/>
            <w:tcBorders>
              <w:top w:val="nil"/>
              <w:left w:val="nil"/>
              <w:bottom w:val="nil"/>
              <w:right w:val="single" w:sz="8" w:space="0" w:color="FFFFFF"/>
            </w:tcBorders>
            <w:shd w:val="clear" w:color="000000" w:fill="F2F2F2"/>
            <w:noWrap/>
            <w:vAlign w:val="center"/>
            <w:hideMark/>
          </w:tcPr>
          <w:p w14:paraId="48EFD9AE" w14:textId="77777777" w:rsidR="00D91018" w:rsidRPr="00BD657E" w:rsidRDefault="00D91018" w:rsidP="003979E8">
            <w:pPr>
              <w:jc w:val="center"/>
              <w:rPr>
                <w:color w:val="000000"/>
                <w:sz w:val="18"/>
                <w:szCs w:val="18"/>
                <w:lang w:val="es-MX" w:eastAsia="es-MX"/>
              </w:rPr>
            </w:pPr>
            <w:r>
              <w:rPr>
                <w:color w:val="000000"/>
                <w:sz w:val="18"/>
                <w:szCs w:val="18"/>
              </w:rPr>
              <w:t>0.17</w:t>
            </w:r>
          </w:p>
        </w:tc>
      </w:tr>
      <w:tr w:rsidR="00D91018" w:rsidRPr="00480757" w14:paraId="2D5E54A2" w14:textId="77777777" w:rsidTr="003979E8">
        <w:trPr>
          <w:trHeight w:val="315"/>
          <w:jc w:val="center"/>
        </w:trPr>
        <w:tc>
          <w:tcPr>
            <w:tcW w:w="3534" w:type="dxa"/>
            <w:tcBorders>
              <w:top w:val="single" w:sz="4" w:space="0" w:color="FFFFFF"/>
              <w:left w:val="nil"/>
              <w:bottom w:val="single" w:sz="8" w:space="0" w:color="C0C0C0"/>
              <w:right w:val="single" w:sz="4" w:space="0" w:color="FFFFFF"/>
            </w:tcBorders>
            <w:noWrap/>
            <w:vAlign w:val="center"/>
            <w:hideMark/>
          </w:tcPr>
          <w:p w14:paraId="7F1230F1" w14:textId="77777777" w:rsidR="00D91018" w:rsidRPr="00BD657E" w:rsidRDefault="00D91018" w:rsidP="003979E8">
            <w:pPr>
              <w:jc w:val="left"/>
              <w:rPr>
                <w:color w:val="000000"/>
                <w:sz w:val="18"/>
                <w:szCs w:val="18"/>
                <w:lang w:val="es-MX" w:eastAsia="es-MX"/>
              </w:rPr>
            </w:pPr>
            <w:r>
              <w:rPr>
                <w:color w:val="000000"/>
                <w:sz w:val="18"/>
                <w:szCs w:val="18"/>
              </w:rPr>
              <w:t>S</w:t>
            </w:r>
            <w:r w:rsidRPr="00BD657E">
              <w:rPr>
                <w:color w:val="000000"/>
                <w:sz w:val="18"/>
                <w:szCs w:val="18"/>
              </w:rPr>
              <w:t>ur-</w:t>
            </w:r>
            <w:r>
              <w:rPr>
                <w:color w:val="000000"/>
                <w:sz w:val="18"/>
                <w:szCs w:val="18"/>
              </w:rPr>
              <w:t>s</w:t>
            </w:r>
            <w:r w:rsidRPr="00BD657E">
              <w:rPr>
                <w:color w:val="000000"/>
                <w:sz w:val="18"/>
                <w:szCs w:val="18"/>
              </w:rPr>
              <w:t>ureste</w:t>
            </w:r>
          </w:p>
        </w:tc>
        <w:tc>
          <w:tcPr>
            <w:tcW w:w="2215" w:type="dxa"/>
            <w:tcBorders>
              <w:top w:val="single" w:sz="4" w:space="0" w:color="FFFFFF"/>
              <w:left w:val="single" w:sz="4" w:space="0" w:color="FFFFFF"/>
              <w:bottom w:val="single" w:sz="8" w:space="0" w:color="C0C0C0"/>
              <w:right w:val="single" w:sz="4" w:space="0" w:color="FFFFFF"/>
            </w:tcBorders>
            <w:vAlign w:val="center"/>
            <w:hideMark/>
          </w:tcPr>
          <w:p w14:paraId="77EC86B5" w14:textId="77777777" w:rsidR="00D91018" w:rsidRPr="00BD657E" w:rsidRDefault="00D91018" w:rsidP="003979E8">
            <w:pPr>
              <w:jc w:val="center"/>
              <w:rPr>
                <w:color w:val="000000"/>
                <w:sz w:val="18"/>
                <w:szCs w:val="18"/>
                <w:lang w:val="es-MX" w:eastAsia="es-MX"/>
              </w:rPr>
            </w:pPr>
            <w:r>
              <w:rPr>
                <w:color w:val="000000"/>
                <w:sz w:val="18"/>
                <w:szCs w:val="18"/>
              </w:rPr>
              <w:t>14.6</w:t>
            </w:r>
          </w:p>
        </w:tc>
        <w:tc>
          <w:tcPr>
            <w:tcW w:w="2463" w:type="dxa"/>
            <w:tcBorders>
              <w:top w:val="single" w:sz="4" w:space="0" w:color="FFFFFF"/>
              <w:left w:val="nil"/>
              <w:bottom w:val="single" w:sz="8" w:space="0" w:color="C0C0C0"/>
              <w:right w:val="single" w:sz="4" w:space="0" w:color="FFFFFF"/>
            </w:tcBorders>
            <w:noWrap/>
            <w:vAlign w:val="center"/>
            <w:hideMark/>
          </w:tcPr>
          <w:p w14:paraId="47F8C304" w14:textId="77777777" w:rsidR="00D91018" w:rsidRPr="00BD657E" w:rsidRDefault="00D91018" w:rsidP="003979E8">
            <w:pPr>
              <w:jc w:val="center"/>
              <w:rPr>
                <w:color w:val="000000"/>
                <w:sz w:val="18"/>
                <w:szCs w:val="18"/>
                <w:lang w:val="es-MX" w:eastAsia="es-MX"/>
              </w:rPr>
            </w:pPr>
            <w:r>
              <w:rPr>
                <w:color w:val="000000"/>
                <w:sz w:val="18"/>
                <w:szCs w:val="18"/>
              </w:rPr>
              <w:t>0.39</w:t>
            </w:r>
          </w:p>
        </w:tc>
      </w:tr>
    </w:tbl>
    <w:p w14:paraId="16E19F13" w14:textId="77777777" w:rsidR="00D91018" w:rsidRDefault="00D91018" w:rsidP="00D91018">
      <w:pPr>
        <w:ind w:left="1418" w:right="902" w:hanging="567"/>
        <w:rPr>
          <w:color w:val="4D565E"/>
          <w:sz w:val="16"/>
          <w:szCs w:val="16"/>
          <w:vertAlign w:val="superscript"/>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68A055AB" w14:textId="77777777" w:rsidR="00D91018" w:rsidRDefault="00D91018" w:rsidP="00D91018">
      <w:pPr>
        <w:ind w:left="1418" w:right="902" w:hanging="567"/>
        <w:rPr>
          <w:color w:val="4D565E"/>
          <w:sz w:val="16"/>
          <w:szCs w:val="16"/>
          <w:lang w:eastAsia="es-MX"/>
        </w:rPr>
      </w:pPr>
      <w:r w:rsidRPr="009F6FCF">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6A03830B" w14:textId="77777777" w:rsidR="00D91018" w:rsidRPr="005E581C" w:rsidRDefault="00D91018" w:rsidP="00D91018">
      <w:pPr>
        <w:ind w:left="1418" w:right="902" w:hanging="567"/>
        <w:rPr>
          <w:color w:val="4D565E"/>
          <w:sz w:val="16"/>
          <w:szCs w:val="16"/>
          <w:lang w:val="es-ES"/>
        </w:rPr>
      </w:pPr>
      <w:r w:rsidRPr="12B4AF78">
        <w:rPr>
          <w:color w:val="4D565E"/>
          <w:sz w:val="16"/>
          <w:szCs w:val="16"/>
          <w:lang w:val="es-ES"/>
        </w:rPr>
        <w:t>Fuente:</w:t>
      </w:r>
      <w:r>
        <w:tab/>
      </w:r>
      <w:r w:rsidRPr="12B4AF78">
        <w:rPr>
          <w:smallCaps/>
          <w:color w:val="4D565E"/>
          <w:sz w:val="16"/>
          <w:szCs w:val="16"/>
          <w:lang w:val="es-ES" w:eastAsia="es-MX"/>
        </w:rPr>
        <w:t>inegi</w:t>
      </w:r>
      <w:r w:rsidRPr="12B4AF78">
        <w:rPr>
          <w:color w:val="4D565E"/>
          <w:sz w:val="16"/>
          <w:szCs w:val="16"/>
          <w:lang w:val="es-ES"/>
        </w:rPr>
        <w:t>. Indicador Trimestral de la Actividad Económica Estatal (</w:t>
      </w:r>
      <w:r w:rsidRPr="12B4AF78">
        <w:rPr>
          <w:smallCaps/>
          <w:color w:val="4D565E"/>
          <w:sz w:val="16"/>
          <w:szCs w:val="16"/>
          <w:lang w:val="es-ES" w:eastAsia="es-MX"/>
        </w:rPr>
        <w:t>itaee</w:t>
      </w:r>
      <w:r w:rsidRPr="12B4AF78">
        <w:rPr>
          <w:color w:val="4D565E"/>
          <w:sz w:val="16"/>
          <w:szCs w:val="16"/>
          <w:lang w:val="es-ES"/>
        </w:rPr>
        <w:t xml:space="preserve">), </w:t>
      </w:r>
      <w:r>
        <w:rPr>
          <w:color w:val="4D565E"/>
          <w:sz w:val="16"/>
          <w:szCs w:val="16"/>
          <w:lang w:val="es-ES"/>
        </w:rPr>
        <w:t>segundo</w:t>
      </w:r>
      <w:r w:rsidRPr="12B4AF78">
        <w:rPr>
          <w:color w:val="4D565E"/>
          <w:sz w:val="16"/>
          <w:szCs w:val="16"/>
          <w:lang w:val="es-ES"/>
        </w:rPr>
        <w:t xml:space="preserve"> trimestre de 202</w:t>
      </w:r>
      <w:r>
        <w:rPr>
          <w:color w:val="4D565E"/>
          <w:sz w:val="16"/>
          <w:szCs w:val="16"/>
          <w:lang w:val="es-ES"/>
        </w:rPr>
        <w:t>6</w:t>
      </w:r>
      <w:r w:rsidRPr="12B4AF78">
        <w:rPr>
          <w:color w:val="4D565E"/>
          <w:sz w:val="16"/>
          <w:szCs w:val="16"/>
          <w:lang w:val="es-ES"/>
        </w:rPr>
        <w:t>.</w:t>
      </w:r>
    </w:p>
    <w:p w14:paraId="23C73BDA" w14:textId="77777777" w:rsidR="00D91018" w:rsidRPr="008440B0" w:rsidRDefault="00D91018" w:rsidP="00D91018">
      <w:pPr>
        <w:rPr>
          <w:sz w:val="16"/>
          <w:szCs w:val="16"/>
          <w:lang w:val="es-ES"/>
        </w:rPr>
      </w:pPr>
    </w:p>
    <w:p w14:paraId="2D4FE187" w14:textId="77777777" w:rsidR="00D91018" w:rsidRDefault="00D91018" w:rsidP="00D91018">
      <w:r w:rsidRPr="00D02E1E">
        <w:t>A continuación, se presentan</w:t>
      </w:r>
      <w:r>
        <w:t xml:space="preserve"> gráficas con resultados más detallados de la </w:t>
      </w:r>
      <w:r w:rsidRPr="00FD6888">
        <w:t>región norte</w:t>
      </w:r>
      <w:r>
        <w:t>:</w:t>
      </w:r>
    </w:p>
    <w:p w14:paraId="6C8BCEE2" w14:textId="77777777" w:rsidR="00D91018" w:rsidRPr="008440B0" w:rsidRDefault="00D91018" w:rsidP="00D91018">
      <w:pPr>
        <w:jc w:val="left"/>
        <w:rPr>
          <w:bCs/>
          <w:sz w:val="16"/>
          <w:szCs w:val="16"/>
          <w:lang w:val="es-ES" w:eastAsia="es-MX"/>
        </w:rPr>
      </w:pPr>
    </w:p>
    <w:p w14:paraId="4A8CA1F2" w14:textId="77777777" w:rsidR="00D91018" w:rsidRPr="00612140" w:rsidRDefault="00D91018" w:rsidP="00D91018">
      <w:pPr>
        <w:jc w:val="center"/>
        <w:rPr>
          <w:bCs/>
          <w:color w:val="003057"/>
          <w:sz w:val="20"/>
          <w:szCs w:val="20"/>
          <w:lang w:val="es-ES" w:eastAsia="es-MX"/>
        </w:rPr>
      </w:pPr>
      <w:r w:rsidRPr="00612140">
        <w:rPr>
          <w:bCs/>
          <w:color w:val="003057"/>
          <w:sz w:val="20"/>
          <w:szCs w:val="20"/>
          <w:lang w:val="es-ES" w:eastAsia="es-MX"/>
        </w:rPr>
        <w:t>Gráfica 6</w:t>
      </w:r>
    </w:p>
    <w:p w14:paraId="102DA5D9" w14:textId="77777777" w:rsidR="00D91018" w:rsidRPr="00A330B4" w:rsidRDefault="00D91018" w:rsidP="00D91018">
      <w:pPr>
        <w:ind w:right="51"/>
        <w:jc w:val="center"/>
        <w:rPr>
          <w:b/>
          <w:color w:val="003057"/>
          <w:sz w:val="22"/>
          <w:szCs w:val="22"/>
          <w:lang w:val="es-ES" w:eastAsia="es-MX"/>
        </w:rPr>
      </w:pPr>
      <w:r>
        <w:rPr>
          <w:b/>
          <w:color w:val="003057"/>
          <w:sz w:val="22"/>
          <w:szCs w:val="22"/>
          <w:lang w:val="es-ES" w:eastAsia="es-MX"/>
        </w:rPr>
        <w:t>Variación anual de la a</w:t>
      </w:r>
      <w:r w:rsidRPr="00A330B4">
        <w:rPr>
          <w:b/>
          <w:color w:val="003057"/>
          <w:sz w:val="22"/>
          <w:szCs w:val="22"/>
          <w:lang w:val="es-ES" w:eastAsia="es-MX"/>
        </w:rPr>
        <w:t>ctividad económica de la región</w:t>
      </w:r>
      <w:r>
        <w:rPr>
          <w:b/>
          <w:color w:val="003057"/>
          <w:sz w:val="22"/>
          <w:szCs w:val="22"/>
          <w:lang w:val="es-ES" w:eastAsia="es-MX"/>
        </w:rPr>
        <w:t xml:space="preserve"> norte</w:t>
      </w:r>
    </w:p>
    <w:p w14:paraId="42401CA5" w14:textId="77777777" w:rsidR="00D91018" w:rsidRPr="00A330B4" w:rsidRDefault="00D91018" w:rsidP="00D91018">
      <w:pPr>
        <w:jc w:val="center"/>
        <w:rPr>
          <w:bCs/>
          <w:color w:val="27251F"/>
          <w:sz w:val="20"/>
          <w:lang w:eastAsia="es-MX"/>
        </w:rPr>
      </w:pPr>
      <w:r>
        <w:rPr>
          <w:bCs/>
          <w:color w:val="27251F"/>
          <w:sz w:val="20"/>
          <w:lang w:eastAsia="es-MX"/>
        </w:rPr>
        <w:t>segundo trimestre de</w:t>
      </w:r>
      <w:r w:rsidRPr="00A330B4">
        <w:rPr>
          <w:bCs/>
          <w:color w:val="27251F"/>
          <w:sz w:val="20"/>
          <w:lang w:eastAsia="es-MX"/>
        </w:rPr>
        <w:t xml:space="preserve"> 202</w:t>
      </w:r>
      <w:r>
        <w:rPr>
          <w:bCs/>
          <w:color w:val="27251F"/>
          <w:sz w:val="20"/>
          <w:lang w:eastAsia="es-MX"/>
        </w:rPr>
        <w:t>6</w:t>
      </w:r>
      <w:r w:rsidRPr="004C6EEB">
        <w:rPr>
          <w:color w:val="000000"/>
          <w:sz w:val="20"/>
          <w:szCs w:val="20"/>
          <w:vertAlign w:val="superscript"/>
          <w:lang w:val="es-MX" w:eastAsia="es-MX"/>
        </w:rPr>
        <w:t>1</w:t>
      </w:r>
      <w:r>
        <w:rPr>
          <w:color w:val="000000"/>
          <w:sz w:val="20"/>
          <w:szCs w:val="20"/>
          <w:vertAlign w:val="superscript"/>
          <w:lang w:val="es-MX" w:eastAsia="es-MX"/>
        </w:rPr>
        <w:t>/</w:t>
      </w:r>
    </w:p>
    <w:p w14:paraId="3097C33A" w14:textId="77777777" w:rsidR="00D91018" w:rsidRPr="00A330B4" w:rsidRDefault="00D91018" w:rsidP="00D91018">
      <w:pPr>
        <w:jc w:val="center"/>
        <w:rPr>
          <w:bCs/>
          <w:color w:val="27251F"/>
          <w:sz w:val="18"/>
          <w:szCs w:val="18"/>
          <w:lang w:eastAsia="es-MX"/>
        </w:rPr>
      </w:pPr>
      <w:r w:rsidRPr="00A330B4">
        <w:rPr>
          <w:bCs/>
          <w:color w:val="27251F"/>
          <w:sz w:val="18"/>
          <w:szCs w:val="18"/>
          <w:lang w:eastAsia="es-MX"/>
        </w:rPr>
        <w:t>(porcent</w:t>
      </w:r>
      <w:r>
        <w:rPr>
          <w:bCs/>
          <w:color w:val="27251F"/>
          <w:sz w:val="18"/>
          <w:szCs w:val="18"/>
          <w:lang w:eastAsia="es-MX"/>
        </w:rPr>
        <w:t>aje</w:t>
      </w:r>
      <w:r w:rsidRPr="00A330B4">
        <w:rPr>
          <w:bCs/>
          <w:color w:val="27251F"/>
          <w:sz w:val="18"/>
          <w:szCs w:val="18"/>
          <w:lang w:eastAsia="es-MX"/>
        </w:rPr>
        <w:t>)</w:t>
      </w:r>
    </w:p>
    <w:p w14:paraId="49296761" w14:textId="77777777" w:rsidR="00D91018" w:rsidRDefault="00D91018" w:rsidP="00D91018">
      <w:pPr>
        <w:jc w:val="center"/>
        <w:rPr>
          <w:sz w:val="16"/>
          <w:szCs w:val="16"/>
          <w:lang w:val="es-ES" w:eastAsia="es-MX"/>
        </w:rPr>
      </w:pPr>
      <w:r>
        <w:rPr>
          <w:noProof/>
        </w:rPr>
        <w:drawing>
          <wp:inline distT="0" distB="0" distL="0" distR="0" wp14:anchorId="674DFFD0" wp14:editId="365BCE77">
            <wp:extent cx="3104912" cy="2016000"/>
            <wp:effectExtent l="0" t="0" r="635" b="3810"/>
            <wp:docPr id="1887519608" name="Gráfico 1">
              <a:extLst xmlns:a="http://schemas.openxmlformats.org/drawingml/2006/main">
                <a:ext uri="{FF2B5EF4-FFF2-40B4-BE49-F238E27FC236}">
                  <a16:creationId xmlns:a16="http://schemas.microsoft.com/office/drawing/2014/main" id="{D3424C41-EAF3-4A81-BCC6-A244390DA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6FCFE0" w14:textId="77777777" w:rsidR="00D91018" w:rsidRDefault="00D91018" w:rsidP="00D91018">
      <w:pPr>
        <w:ind w:left="3119" w:right="2603" w:hanging="567"/>
        <w:rPr>
          <w:color w:val="4D565E"/>
          <w:sz w:val="16"/>
          <w:szCs w:val="16"/>
          <w:lang w:eastAsia="es-MX"/>
        </w:rPr>
      </w:pPr>
      <w:r w:rsidRPr="009F6FCF">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6086A3D5" w14:textId="77777777" w:rsidR="00D91018" w:rsidRDefault="00D91018" w:rsidP="00D91018">
      <w:pPr>
        <w:ind w:left="3119" w:right="2603" w:hanging="567"/>
        <w:rPr>
          <w:bCs/>
          <w:color w:val="003057"/>
          <w:sz w:val="20"/>
          <w:szCs w:val="20"/>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r>
        <w:rPr>
          <w:bCs/>
          <w:color w:val="003057"/>
          <w:sz w:val="20"/>
          <w:szCs w:val="20"/>
          <w:lang w:val="es-ES" w:eastAsia="es-MX"/>
        </w:rPr>
        <w:br w:type="page"/>
      </w:r>
    </w:p>
    <w:p w14:paraId="28480BF4" w14:textId="77777777" w:rsidR="00D91018" w:rsidRPr="00EC6B90" w:rsidRDefault="00D91018" w:rsidP="00D91018">
      <w:pPr>
        <w:jc w:val="center"/>
        <w:rPr>
          <w:bCs/>
          <w:color w:val="003057"/>
          <w:sz w:val="20"/>
          <w:szCs w:val="20"/>
          <w:lang w:val="es-ES" w:eastAsia="es-MX"/>
        </w:rPr>
      </w:pPr>
      <w:r w:rsidRPr="00EC6B90">
        <w:rPr>
          <w:bCs/>
          <w:color w:val="003057"/>
          <w:sz w:val="20"/>
          <w:szCs w:val="20"/>
          <w:lang w:val="es-ES" w:eastAsia="es-MX"/>
        </w:rPr>
        <w:lastRenderedPageBreak/>
        <w:t>Gráfica 7</w:t>
      </w:r>
    </w:p>
    <w:p w14:paraId="6EFF66DB" w14:textId="77777777" w:rsidR="00D91018" w:rsidRDefault="00D91018" w:rsidP="00D91018">
      <w:pPr>
        <w:ind w:left="680" w:right="51" w:hanging="680"/>
        <w:jc w:val="center"/>
        <w:rPr>
          <w:b/>
          <w:color w:val="003057"/>
          <w:sz w:val="22"/>
          <w:szCs w:val="22"/>
          <w:lang w:val="es-ES" w:eastAsia="es-MX"/>
        </w:rPr>
      </w:pPr>
      <w:r>
        <w:rPr>
          <w:b/>
          <w:color w:val="003057"/>
          <w:sz w:val="22"/>
          <w:szCs w:val="22"/>
          <w:lang w:val="es-ES" w:eastAsia="es-MX"/>
        </w:rPr>
        <w:t>Contribución de Baja California Sur a la variación anual de la a</w:t>
      </w:r>
      <w:r w:rsidRPr="00C37C59">
        <w:rPr>
          <w:b/>
          <w:color w:val="003057"/>
          <w:sz w:val="22"/>
          <w:szCs w:val="22"/>
          <w:lang w:val="es-ES" w:eastAsia="es-MX"/>
        </w:rPr>
        <w:t>ctividad económica</w:t>
      </w:r>
    </w:p>
    <w:p w14:paraId="5719C9E1" w14:textId="77777777" w:rsidR="00D91018" w:rsidRDefault="00D91018" w:rsidP="00D91018">
      <w:pPr>
        <w:ind w:left="680" w:right="51" w:hanging="680"/>
        <w:jc w:val="center"/>
        <w:rPr>
          <w:b/>
          <w:smallCaps/>
          <w:color w:val="003057"/>
          <w:sz w:val="22"/>
          <w:szCs w:val="22"/>
          <w:lang w:val="es-ES" w:eastAsia="es-MX"/>
        </w:rPr>
      </w:pPr>
      <w:r w:rsidRPr="00C37C59">
        <w:rPr>
          <w:b/>
          <w:color w:val="003057"/>
          <w:sz w:val="22"/>
          <w:szCs w:val="22"/>
          <w:lang w:val="es-ES" w:eastAsia="es-MX"/>
        </w:rPr>
        <w:t xml:space="preserve">de la región </w:t>
      </w:r>
      <w:r>
        <w:rPr>
          <w:b/>
          <w:color w:val="003057"/>
          <w:sz w:val="22"/>
          <w:szCs w:val="22"/>
          <w:lang w:val="es-ES" w:eastAsia="es-MX"/>
        </w:rPr>
        <w:t>norte</w:t>
      </w:r>
    </w:p>
    <w:p w14:paraId="1362B35A" w14:textId="77777777" w:rsidR="00D91018" w:rsidRPr="00C37C59" w:rsidRDefault="00D91018" w:rsidP="00D91018">
      <w:pPr>
        <w:ind w:right="51"/>
        <w:jc w:val="center"/>
        <w:rPr>
          <w:bCs/>
          <w:color w:val="27251F"/>
          <w:sz w:val="20"/>
          <w:lang w:eastAsia="es-MX"/>
        </w:rPr>
      </w:pPr>
      <w:r>
        <w:rPr>
          <w:bCs/>
          <w:color w:val="27251F"/>
          <w:sz w:val="20"/>
          <w:lang w:eastAsia="es-MX"/>
        </w:rPr>
        <w:t>segundo trimestre</w:t>
      </w:r>
      <w:r w:rsidRPr="00C37C59">
        <w:rPr>
          <w:bCs/>
          <w:color w:val="27251F"/>
          <w:sz w:val="20"/>
          <w:lang w:eastAsia="es-MX"/>
        </w:rPr>
        <w:t xml:space="preserve"> </w:t>
      </w:r>
      <w:r>
        <w:rPr>
          <w:bCs/>
          <w:color w:val="27251F"/>
          <w:sz w:val="20"/>
          <w:lang w:eastAsia="es-MX"/>
        </w:rPr>
        <w:t xml:space="preserve">de </w:t>
      </w:r>
      <w:r w:rsidRPr="00A330B4">
        <w:rPr>
          <w:bCs/>
          <w:color w:val="27251F"/>
          <w:sz w:val="20"/>
          <w:lang w:eastAsia="es-MX"/>
        </w:rPr>
        <w:t>202</w:t>
      </w:r>
      <w:r>
        <w:rPr>
          <w:bCs/>
          <w:color w:val="27251F"/>
          <w:sz w:val="20"/>
          <w:lang w:eastAsia="es-MX"/>
        </w:rPr>
        <w:t>6</w:t>
      </w:r>
      <w:r>
        <w:rPr>
          <w:color w:val="000000"/>
          <w:sz w:val="20"/>
          <w:szCs w:val="20"/>
          <w:vertAlign w:val="superscript"/>
          <w:lang w:val="es-MX" w:eastAsia="es-MX"/>
        </w:rPr>
        <w:t>1/</w:t>
      </w:r>
    </w:p>
    <w:p w14:paraId="4C874BC7" w14:textId="77777777" w:rsidR="00D91018" w:rsidRDefault="00D91018" w:rsidP="00D91018">
      <w:pPr>
        <w:jc w:val="center"/>
        <w:rPr>
          <w:bCs/>
          <w:color w:val="27251F"/>
          <w:sz w:val="18"/>
          <w:szCs w:val="18"/>
          <w:lang w:eastAsia="es-MX"/>
        </w:rPr>
      </w:pPr>
      <w:r w:rsidRPr="00C37C59">
        <w:rPr>
          <w:bCs/>
          <w:color w:val="27251F"/>
          <w:sz w:val="18"/>
          <w:szCs w:val="18"/>
          <w:lang w:eastAsia="es-MX"/>
        </w:rPr>
        <w:t>(</w:t>
      </w:r>
      <w:r>
        <w:rPr>
          <w:bCs/>
          <w:color w:val="27251F"/>
          <w:sz w:val="18"/>
          <w:szCs w:val="18"/>
          <w:lang w:eastAsia="es-MX"/>
        </w:rPr>
        <w:t>puntos porcentuales</w:t>
      </w:r>
      <w:r w:rsidRPr="00C37C59">
        <w:rPr>
          <w:bCs/>
          <w:color w:val="27251F"/>
          <w:sz w:val="18"/>
          <w:szCs w:val="18"/>
          <w:lang w:eastAsia="es-MX"/>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5036"/>
      </w:tblGrid>
      <w:tr w:rsidR="00D91018" w14:paraId="0C29D739" w14:textId="77777777" w:rsidTr="003979E8">
        <w:tc>
          <w:tcPr>
            <w:tcW w:w="4938" w:type="dxa"/>
          </w:tcPr>
          <w:p w14:paraId="7D72E117" w14:textId="77777777" w:rsidR="00D91018" w:rsidRPr="00375E4D" w:rsidRDefault="00D91018" w:rsidP="003979E8">
            <w:pPr>
              <w:jc w:val="center"/>
              <w:rPr>
                <w:bCs/>
                <w:color w:val="27251F"/>
                <w:sz w:val="20"/>
                <w:szCs w:val="20"/>
                <w:lang w:eastAsia="es-MX"/>
              </w:rPr>
            </w:pPr>
            <w:r w:rsidRPr="00375E4D">
              <w:rPr>
                <w:bCs/>
                <w:color w:val="4D565E"/>
                <w:sz w:val="20"/>
                <w:szCs w:val="20"/>
                <w:lang w:val="es-ES" w:eastAsia="es-MX"/>
              </w:rPr>
              <w:t>Total</w:t>
            </w:r>
          </w:p>
        </w:tc>
        <w:tc>
          <w:tcPr>
            <w:tcW w:w="5036" w:type="dxa"/>
          </w:tcPr>
          <w:p w14:paraId="3B321A5B" w14:textId="77777777" w:rsidR="00D91018" w:rsidRPr="00375E4D" w:rsidRDefault="00D91018" w:rsidP="003979E8">
            <w:pPr>
              <w:jc w:val="center"/>
              <w:rPr>
                <w:bCs/>
                <w:color w:val="27251F"/>
                <w:sz w:val="20"/>
                <w:szCs w:val="20"/>
                <w:lang w:eastAsia="es-MX"/>
              </w:rPr>
            </w:pPr>
            <w:r w:rsidRPr="00FB226A">
              <w:rPr>
                <w:bCs/>
                <w:color w:val="4D565E"/>
                <w:sz w:val="20"/>
                <w:szCs w:val="20"/>
                <w:lang w:val="es-ES" w:eastAsia="es-MX"/>
              </w:rPr>
              <w:t>Actividades primarias</w:t>
            </w:r>
          </w:p>
        </w:tc>
      </w:tr>
      <w:tr w:rsidR="00D91018" w14:paraId="73019604" w14:textId="77777777" w:rsidTr="003979E8">
        <w:tblPrEx>
          <w:tblCellMar>
            <w:left w:w="70" w:type="dxa"/>
            <w:right w:w="70" w:type="dxa"/>
          </w:tblCellMar>
        </w:tblPrEx>
        <w:tc>
          <w:tcPr>
            <w:tcW w:w="4938" w:type="dxa"/>
          </w:tcPr>
          <w:p w14:paraId="3C326818" w14:textId="77777777" w:rsidR="00D91018" w:rsidRDefault="00D91018" w:rsidP="003979E8">
            <w:pPr>
              <w:jc w:val="center"/>
              <w:rPr>
                <w:bCs/>
                <w:color w:val="27251F"/>
                <w:sz w:val="18"/>
                <w:szCs w:val="18"/>
                <w:lang w:eastAsia="es-MX"/>
              </w:rPr>
            </w:pPr>
            <w:r>
              <w:rPr>
                <w:noProof/>
              </w:rPr>
              <w:drawing>
                <wp:inline distT="0" distB="0" distL="0" distR="0" wp14:anchorId="7B0C8764" wp14:editId="2AB2F134">
                  <wp:extent cx="3038070" cy="2052000"/>
                  <wp:effectExtent l="0" t="0" r="0" b="5715"/>
                  <wp:docPr id="1323147920" name="Gráfico 1">
                    <a:extLst xmlns:a="http://schemas.openxmlformats.org/drawingml/2006/main">
                      <a:ext uri="{FF2B5EF4-FFF2-40B4-BE49-F238E27FC236}">
                        <a16:creationId xmlns:a16="http://schemas.microsoft.com/office/drawing/2014/main" id="{01BD9992-CCF1-4563-A1A3-E7BFB4BB38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5036" w:type="dxa"/>
          </w:tcPr>
          <w:p w14:paraId="74D03802" w14:textId="77777777" w:rsidR="00D91018" w:rsidRPr="00110F21" w:rsidRDefault="00D91018" w:rsidP="003979E8">
            <w:pPr>
              <w:jc w:val="center"/>
              <w:rPr>
                <w:bCs/>
                <w:color w:val="4D565E"/>
                <w:sz w:val="18"/>
                <w:szCs w:val="18"/>
                <w:lang w:eastAsia="es-MX"/>
              </w:rPr>
            </w:pPr>
            <w:r>
              <w:rPr>
                <w:noProof/>
              </w:rPr>
              <w:drawing>
                <wp:inline distT="0" distB="0" distL="0" distR="0" wp14:anchorId="2DDC24B2" wp14:editId="71787B1B">
                  <wp:extent cx="3109146" cy="2052000"/>
                  <wp:effectExtent l="0" t="0" r="0" b="5715"/>
                  <wp:docPr id="1693285624" name="Gráfico 1">
                    <a:extLst xmlns:a="http://schemas.openxmlformats.org/drawingml/2006/main">
                      <a:ext uri="{FF2B5EF4-FFF2-40B4-BE49-F238E27FC236}">
                        <a16:creationId xmlns:a16="http://schemas.microsoft.com/office/drawing/2014/main" id="{6FEDB63C-3A9B-43A4-88E4-14791B6475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D91018" w14:paraId="65E9EBC4" w14:textId="77777777" w:rsidTr="003979E8">
        <w:tc>
          <w:tcPr>
            <w:tcW w:w="4938" w:type="dxa"/>
          </w:tcPr>
          <w:p w14:paraId="1EE509DF" w14:textId="77777777" w:rsidR="00D91018" w:rsidRPr="00375E4D" w:rsidRDefault="00D91018" w:rsidP="003979E8">
            <w:pPr>
              <w:jc w:val="center"/>
              <w:rPr>
                <w:bCs/>
                <w:color w:val="27251F"/>
                <w:sz w:val="20"/>
                <w:szCs w:val="20"/>
                <w:lang w:eastAsia="es-MX"/>
              </w:rPr>
            </w:pPr>
            <w:r w:rsidRPr="00375E4D">
              <w:rPr>
                <w:bCs/>
                <w:color w:val="4D565E"/>
                <w:sz w:val="20"/>
                <w:szCs w:val="20"/>
                <w:lang w:val="es-ES" w:eastAsia="es-MX"/>
              </w:rPr>
              <w:t>Actividades secundarias</w:t>
            </w:r>
          </w:p>
        </w:tc>
        <w:tc>
          <w:tcPr>
            <w:tcW w:w="5036" w:type="dxa"/>
          </w:tcPr>
          <w:p w14:paraId="53B87193" w14:textId="77777777" w:rsidR="00D91018" w:rsidRPr="00375E4D" w:rsidRDefault="00D91018" w:rsidP="003979E8">
            <w:pPr>
              <w:jc w:val="center"/>
              <w:rPr>
                <w:bCs/>
                <w:color w:val="27251F"/>
                <w:sz w:val="20"/>
                <w:szCs w:val="20"/>
                <w:lang w:eastAsia="es-MX"/>
              </w:rPr>
            </w:pPr>
            <w:r w:rsidRPr="00375E4D">
              <w:rPr>
                <w:bCs/>
                <w:color w:val="4D565E"/>
                <w:sz w:val="20"/>
                <w:szCs w:val="20"/>
                <w:lang w:val="es-ES" w:eastAsia="es-MX"/>
              </w:rPr>
              <w:t>Actividades terciarias</w:t>
            </w:r>
          </w:p>
        </w:tc>
      </w:tr>
      <w:tr w:rsidR="00D91018" w14:paraId="6E22FC1E" w14:textId="77777777" w:rsidTr="003979E8">
        <w:tblPrEx>
          <w:tblCellMar>
            <w:left w:w="70" w:type="dxa"/>
            <w:right w:w="70" w:type="dxa"/>
          </w:tblCellMar>
        </w:tblPrEx>
        <w:tc>
          <w:tcPr>
            <w:tcW w:w="4938" w:type="dxa"/>
          </w:tcPr>
          <w:p w14:paraId="5A06B676" w14:textId="77777777" w:rsidR="00D91018" w:rsidRPr="00FB22E6" w:rsidRDefault="00D91018" w:rsidP="003979E8">
            <w:pPr>
              <w:jc w:val="center"/>
              <w:rPr>
                <w:bCs/>
                <w:color w:val="27251F"/>
                <w:sz w:val="18"/>
                <w:szCs w:val="18"/>
                <w:lang w:eastAsia="es-MX"/>
              </w:rPr>
            </w:pPr>
            <w:r>
              <w:rPr>
                <w:noProof/>
              </w:rPr>
              <w:drawing>
                <wp:inline distT="0" distB="0" distL="0" distR="0" wp14:anchorId="3617AEB9" wp14:editId="4596C90C">
                  <wp:extent cx="3038070" cy="2052000"/>
                  <wp:effectExtent l="0" t="0" r="0" b="5715"/>
                  <wp:docPr id="1579598086" name="Gráfico 1">
                    <a:extLst xmlns:a="http://schemas.openxmlformats.org/drawingml/2006/main">
                      <a:ext uri="{FF2B5EF4-FFF2-40B4-BE49-F238E27FC236}">
                        <a16:creationId xmlns:a16="http://schemas.microsoft.com/office/drawing/2014/main" id="{8AF35DF5-2354-42C1-AF7E-713B287F34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5036" w:type="dxa"/>
          </w:tcPr>
          <w:p w14:paraId="4E92BB29" w14:textId="77777777" w:rsidR="00D91018" w:rsidRDefault="00D91018" w:rsidP="003979E8">
            <w:pPr>
              <w:jc w:val="center"/>
              <w:rPr>
                <w:bCs/>
                <w:color w:val="27251F"/>
                <w:sz w:val="18"/>
                <w:szCs w:val="18"/>
                <w:lang w:eastAsia="es-MX"/>
              </w:rPr>
            </w:pPr>
            <w:r>
              <w:rPr>
                <w:noProof/>
              </w:rPr>
              <w:drawing>
                <wp:inline distT="0" distB="0" distL="0" distR="0" wp14:anchorId="44ABA308" wp14:editId="079A434D">
                  <wp:extent cx="3107141" cy="2052000"/>
                  <wp:effectExtent l="0" t="0" r="0" b="5715"/>
                  <wp:docPr id="262803398" name="Gráfico 1">
                    <a:extLst xmlns:a="http://schemas.openxmlformats.org/drawingml/2006/main">
                      <a:ext uri="{FF2B5EF4-FFF2-40B4-BE49-F238E27FC236}">
                        <a16:creationId xmlns:a16="http://schemas.microsoft.com/office/drawing/2014/main" id="{5929FF92-C8FE-4357-966B-F068F5DC1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4F2EFE23" w14:textId="77777777" w:rsidR="00D91018" w:rsidRDefault="00D91018" w:rsidP="00D91018">
      <w:pPr>
        <w:ind w:left="709" w:right="1327" w:hanging="567"/>
        <w:rPr>
          <w:color w:val="4D565E"/>
          <w:sz w:val="16"/>
          <w:szCs w:val="16"/>
          <w:vertAlign w:val="superscript"/>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58D86CA4" w14:textId="77777777" w:rsidR="00D91018" w:rsidRPr="0028104F" w:rsidRDefault="00D91018" w:rsidP="00D91018">
      <w:pPr>
        <w:ind w:left="709" w:right="1327" w:hanging="567"/>
        <w:rPr>
          <w:color w:val="4D565E"/>
          <w:sz w:val="16"/>
          <w:szCs w:val="16"/>
          <w:lang w:eastAsia="es-MX"/>
        </w:rPr>
      </w:pPr>
      <w:r>
        <w:rPr>
          <w:color w:val="4D565E"/>
          <w:sz w:val="16"/>
          <w:szCs w:val="16"/>
          <w:vertAlign w:val="superscript"/>
          <w:lang w:eastAsia="es-MX"/>
        </w:rPr>
        <w:t>1</w:t>
      </w:r>
      <w:r w:rsidRPr="0028104F">
        <w:rPr>
          <w:color w:val="4D565E"/>
          <w:sz w:val="16"/>
          <w:szCs w:val="16"/>
          <w:vertAlign w:val="superscript"/>
          <w:lang w:eastAsia="es-MX"/>
        </w:rPr>
        <w:t>/</w:t>
      </w:r>
      <w:r w:rsidRPr="0028104F">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01CCA6F3" w14:textId="77777777" w:rsidR="00D91018" w:rsidRDefault="00D91018" w:rsidP="00D91018">
      <w:pPr>
        <w:ind w:left="709" w:right="1327"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232D63D0" w14:textId="77777777" w:rsidR="00D91018" w:rsidRDefault="00D91018" w:rsidP="00D91018">
      <w:pPr>
        <w:jc w:val="left"/>
        <w:rPr>
          <w:color w:val="4D565E"/>
          <w:sz w:val="16"/>
          <w:szCs w:val="16"/>
          <w:lang w:val="es-ES" w:eastAsia="es-MX"/>
        </w:rPr>
      </w:pPr>
      <w:r>
        <w:rPr>
          <w:color w:val="4D565E"/>
          <w:sz w:val="16"/>
          <w:szCs w:val="16"/>
          <w:lang w:val="es-ES" w:eastAsia="es-MX"/>
        </w:rPr>
        <w:br w:type="page"/>
      </w:r>
    </w:p>
    <w:p w14:paraId="1F5AEA80" w14:textId="77777777" w:rsidR="00D91018" w:rsidRPr="00023A39" w:rsidRDefault="00D91018" w:rsidP="00D91018">
      <w:pPr>
        <w:jc w:val="center"/>
        <w:rPr>
          <w:rFonts w:ascii="Arial Negrita" w:hAnsi="Arial Negrita"/>
          <w:b/>
          <w:bCs/>
          <w:smallCaps/>
          <w:sz w:val="26"/>
          <w:szCs w:val="26"/>
          <w:lang w:val="es-ES"/>
        </w:rPr>
      </w:pPr>
      <w:bookmarkStart w:id="3" w:name="_Hlk211427969"/>
      <w:r w:rsidRPr="57E1C837">
        <w:rPr>
          <w:rFonts w:ascii="Arial Negrita" w:hAnsi="Arial Negrita"/>
          <w:b/>
          <w:bCs/>
          <w:smallCaps/>
          <w:sz w:val="26"/>
          <w:szCs w:val="26"/>
          <w:lang w:val="es-ES"/>
        </w:rPr>
        <w:lastRenderedPageBreak/>
        <w:t xml:space="preserve">iii. </w:t>
      </w:r>
      <w:r>
        <w:rPr>
          <w:rFonts w:ascii="Arial Negrita" w:hAnsi="Arial Negrita"/>
          <w:b/>
          <w:bCs/>
          <w:smallCaps/>
          <w:sz w:val="26"/>
          <w:szCs w:val="26"/>
          <w:lang w:val="es-ES"/>
        </w:rPr>
        <w:t xml:space="preserve">actividad </w:t>
      </w:r>
      <w:r w:rsidRPr="57E1C837">
        <w:rPr>
          <w:rFonts w:ascii="Arial Negrita" w:hAnsi="Arial Negrita"/>
          <w:b/>
          <w:bCs/>
          <w:smallCaps/>
          <w:sz w:val="26"/>
          <w:szCs w:val="26"/>
          <w:lang w:val="es-ES"/>
        </w:rPr>
        <w:t>económic</w:t>
      </w:r>
      <w:r>
        <w:rPr>
          <w:rFonts w:ascii="Arial Negrita" w:hAnsi="Arial Negrita"/>
          <w:b/>
          <w:bCs/>
          <w:smallCaps/>
          <w:sz w:val="26"/>
          <w:szCs w:val="26"/>
          <w:lang w:val="es-ES"/>
        </w:rPr>
        <w:t>a</w:t>
      </w:r>
      <w:r w:rsidRPr="57E1C837">
        <w:rPr>
          <w:rFonts w:ascii="Arial Negrita" w:hAnsi="Arial Negrita"/>
          <w:b/>
          <w:bCs/>
          <w:smallCaps/>
          <w:sz w:val="26"/>
          <w:szCs w:val="26"/>
          <w:lang w:val="es-ES"/>
        </w:rPr>
        <w:t xml:space="preserve"> sin minería petrolera</w:t>
      </w:r>
    </w:p>
    <w:p w14:paraId="7DE2E300" w14:textId="77777777" w:rsidR="00D91018" w:rsidRPr="0030295A" w:rsidRDefault="00D91018" w:rsidP="00D91018">
      <w:pPr>
        <w:ind w:firstLine="1"/>
      </w:pPr>
    </w:p>
    <w:p w14:paraId="042B612D" w14:textId="77777777" w:rsidR="00D91018" w:rsidRDefault="00D91018" w:rsidP="00D91018">
      <w:pPr>
        <w:ind w:firstLine="1"/>
      </w:pPr>
      <w:r>
        <w:t xml:space="preserve">Para tener información en el corto plazo del total de la economía y de las actividades secundarias, sin incluir la minería petrolera </w:t>
      </w:r>
      <w:r w:rsidRPr="00622C8A">
        <w:t>—</w:t>
      </w:r>
      <w:r>
        <w:t>es decir, la extracción y perforación de pozos de petróleo y de gas natural</w:t>
      </w:r>
      <w:r w:rsidRPr="00622C8A">
        <w:t>—</w:t>
      </w:r>
      <w:r>
        <w:t>, se presentan los siguientes datos.</w:t>
      </w:r>
    </w:p>
    <w:p w14:paraId="0F3BBDAA" w14:textId="77777777" w:rsidR="00D91018" w:rsidRDefault="00D91018" w:rsidP="00D91018">
      <w:pPr>
        <w:ind w:firstLine="1"/>
      </w:pPr>
    </w:p>
    <w:p w14:paraId="01E7CCB9" w14:textId="605C8D29" w:rsidR="00D91018" w:rsidRDefault="00D91018" w:rsidP="00D91018">
      <w:pPr>
        <w:ind w:firstLine="1"/>
      </w:pPr>
      <w:bookmarkStart w:id="4" w:name="_Hlk203693829"/>
      <w:r>
        <w:t xml:space="preserve">En el segundo trimestre de 2026, a tasa anual, la variación de la actividad económica nacional, sin considerar la minería petrolera, fue de 1.9 por ciento. </w:t>
      </w:r>
      <w:r w:rsidRPr="00D16F50">
        <w:rPr>
          <w:lang w:val="es-MX"/>
        </w:rPr>
        <w:t xml:space="preserve">En </w:t>
      </w:r>
      <w:r>
        <w:rPr>
          <w:lang w:val="es-MX"/>
        </w:rPr>
        <w:t>24</w:t>
      </w:r>
      <w:r w:rsidRPr="00D16F50">
        <w:rPr>
          <w:lang w:val="es-MX"/>
        </w:rPr>
        <w:t xml:space="preserve"> entidades federativas se </w:t>
      </w:r>
      <w:r w:rsidRPr="00617EEA">
        <w:rPr>
          <w:lang w:val="es-MX"/>
        </w:rPr>
        <w:t>report</w:t>
      </w:r>
      <w:r>
        <w:rPr>
          <w:lang w:val="es-MX"/>
        </w:rPr>
        <w:t>aron</w:t>
      </w:r>
      <w:r w:rsidRPr="00D16F50">
        <w:rPr>
          <w:lang w:val="es-MX"/>
        </w:rPr>
        <w:t xml:space="preserve"> </w:t>
      </w:r>
      <w:r>
        <w:rPr>
          <w:lang w:val="es-MX"/>
        </w:rPr>
        <w:t>crecimientos.</w:t>
      </w:r>
      <w:r w:rsidRPr="00D16F50">
        <w:rPr>
          <w:lang w:val="es-MX"/>
        </w:rPr>
        <w:t xml:space="preserve"> </w:t>
      </w:r>
      <w:r w:rsidRPr="00A46EBA">
        <w:rPr>
          <w:i/>
          <w:iCs/>
        </w:rPr>
        <w:t xml:space="preserve">Hidalgo </w:t>
      </w:r>
      <w:r>
        <w:t xml:space="preserve">fue la entidad con el ascenso más pronunciado. Por su parte, </w:t>
      </w:r>
      <w:r w:rsidRPr="00EC7100">
        <w:rPr>
          <w:i/>
          <w:iCs/>
        </w:rPr>
        <w:t>Ciudad de México</w:t>
      </w:r>
      <w:r>
        <w:t xml:space="preserve"> y el estado de </w:t>
      </w:r>
      <w:r w:rsidRPr="00A46EBA">
        <w:rPr>
          <w:i/>
          <w:iCs/>
        </w:rPr>
        <w:t>México</w:t>
      </w:r>
      <w:r>
        <w:t xml:space="preserve"> fueron las entidades que más contribuyeron al avance de la economía (ver gráfica 8).</w:t>
      </w:r>
    </w:p>
    <w:p w14:paraId="34A57DE5" w14:textId="77777777" w:rsidR="00D91018" w:rsidRPr="00FD26E2" w:rsidRDefault="00D91018" w:rsidP="00D91018">
      <w:pPr>
        <w:ind w:firstLine="1"/>
        <w:rPr>
          <w:sz w:val="18"/>
          <w:szCs w:val="18"/>
        </w:rPr>
      </w:pPr>
    </w:p>
    <w:bookmarkEnd w:id="4"/>
    <w:p w14:paraId="4BDB85DF" w14:textId="77777777" w:rsidR="00D91018" w:rsidRPr="00F51799" w:rsidRDefault="00D91018" w:rsidP="00D91018">
      <w:pPr>
        <w:jc w:val="center"/>
        <w:rPr>
          <w:bCs/>
          <w:color w:val="003057"/>
          <w:sz w:val="20"/>
          <w:szCs w:val="20"/>
          <w:lang w:val="es-ES" w:eastAsia="es-MX"/>
        </w:rPr>
      </w:pPr>
      <w:r w:rsidRPr="00F51799">
        <w:rPr>
          <w:bCs/>
          <w:color w:val="003057"/>
          <w:sz w:val="20"/>
          <w:szCs w:val="20"/>
          <w:lang w:val="es-ES" w:eastAsia="es-MX"/>
        </w:rPr>
        <w:t>Gráfica 8</w:t>
      </w:r>
    </w:p>
    <w:p w14:paraId="3FAB9806" w14:textId="77777777" w:rsidR="00D91018" w:rsidRPr="00C25957" w:rsidRDefault="00D91018" w:rsidP="00D91018">
      <w:pPr>
        <w:ind w:right="-91"/>
        <w:jc w:val="center"/>
        <w:rPr>
          <w:b/>
          <w:color w:val="003057"/>
          <w:sz w:val="22"/>
          <w:szCs w:val="22"/>
          <w:lang w:val="es-ES" w:eastAsia="es-MX"/>
        </w:rPr>
      </w:pPr>
      <w:r w:rsidRPr="00C25957">
        <w:rPr>
          <w:b/>
          <w:color w:val="003057"/>
          <w:sz w:val="22"/>
          <w:szCs w:val="22"/>
          <w:lang w:val="es-ES" w:eastAsia="es-MX"/>
        </w:rPr>
        <w:t>Comparación entre entidades federativas</w:t>
      </w:r>
      <w:r>
        <w:rPr>
          <w:b/>
          <w:color w:val="003057"/>
          <w:sz w:val="22"/>
          <w:szCs w:val="22"/>
          <w:lang w:val="es-ES" w:eastAsia="es-MX"/>
        </w:rPr>
        <w:t xml:space="preserve">, según </w:t>
      </w:r>
      <w:r w:rsidRPr="00C25957">
        <w:rPr>
          <w:b/>
          <w:color w:val="003057"/>
          <w:sz w:val="22"/>
          <w:szCs w:val="22"/>
          <w:lang w:val="es-ES" w:eastAsia="es-MX"/>
        </w:rPr>
        <w:t>actividad económica total</w:t>
      </w:r>
      <w:r>
        <w:rPr>
          <w:b/>
          <w:color w:val="003057"/>
          <w:sz w:val="22"/>
          <w:szCs w:val="22"/>
          <w:lang w:val="es-ES" w:eastAsia="es-MX"/>
        </w:rPr>
        <w:t xml:space="preserve"> </w:t>
      </w:r>
      <w:r w:rsidRPr="00C25957">
        <w:rPr>
          <w:b/>
          <w:color w:val="003057"/>
          <w:sz w:val="22"/>
          <w:szCs w:val="22"/>
          <w:lang w:val="es-ES" w:eastAsia="es-MX"/>
        </w:rPr>
        <w:t xml:space="preserve">sin </w:t>
      </w:r>
      <w:r>
        <w:rPr>
          <w:b/>
          <w:color w:val="003057"/>
          <w:sz w:val="22"/>
          <w:szCs w:val="22"/>
          <w:lang w:val="es-ES" w:eastAsia="es-MX"/>
        </w:rPr>
        <w:t>m</w:t>
      </w:r>
      <w:r w:rsidRPr="00C25957">
        <w:rPr>
          <w:b/>
          <w:color w:val="003057"/>
          <w:sz w:val="22"/>
          <w:szCs w:val="22"/>
          <w:lang w:val="es-ES" w:eastAsia="es-MX"/>
        </w:rPr>
        <w:t>inería petrolera</w:t>
      </w:r>
    </w:p>
    <w:p w14:paraId="34F3FA1E" w14:textId="77777777" w:rsidR="00D91018" w:rsidRDefault="00D91018" w:rsidP="00D91018">
      <w:pPr>
        <w:jc w:val="center"/>
        <w:rPr>
          <w:bCs/>
          <w:color w:val="27251F"/>
          <w:sz w:val="20"/>
          <w:lang w:eastAsia="es-MX"/>
        </w:rPr>
      </w:pPr>
      <w:r>
        <w:rPr>
          <w:bCs/>
          <w:color w:val="27251F"/>
          <w:sz w:val="20"/>
          <w:lang w:eastAsia="es-MX"/>
        </w:rPr>
        <w:t>segundo trimestre</w:t>
      </w:r>
      <w:r w:rsidRPr="00C25957">
        <w:rPr>
          <w:bCs/>
          <w:color w:val="27251F"/>
          <w:sz w:val="20"/>
          <w:lang w:eastAsia="es-MX"/>
        </w:rPr>
        <w:t xml:space="preserve"> </w:t>
      </w:r>
      <w:r>
        <w:rPr>
          <w:bCs/>
          <w:color w:val="27251F"/>
          <w:sz w:val="20"/>
          <w:lang w:eastAsia="es-MX"/>
        </w:rPr>
        <w:t xml:space="preserve">de </w:t>
      </w:r>
      <w:r w:rsidRPr="00C25957">
        <w:rPr>
          <w:bCs/>
          <w:color w:val="27251F"/>
          <w:sz w:val="20"/>
          <w:lang w:eastAsia="es-MX"/>
        </w:rPr>
        <w:t>202</w:t>
      </w:r>
      <w:r>
        <w:rPr>
          <w:bCs/>
          <w:color w:val="27251F"/>
          <w:sz w:val="20"/>
          <w:lang w:eastAsia="es-MX"/>
        </w:rPr>
        <w:t>6</w:t>
      </w:r>
      <w:r w:rsidRPr="0094053C">
        <w:rPr>
          <w:bCs/>
          <w:color w:val="27251F"/>
          <w:sz w:val="20"/>
          <w:vertAlign w:val="superscript"/>
          <w:lang w:eastAsia="es-MX"/>
        </w:rPr>
        <w:t>1/</w:t>
      </w:r>
    </w:p>
    <w:tbl>
      <w:tblPr>
        <w:tblStyle w:val="Tablaconcuadrcula"/>
        <w:tblW w:w="103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9"/>
        <w:gridCol w:w="184"/>
        <w:gridCol w:w="4993"/>
        <w:gridCol w:w="30"/>
      </w:tblGrid>
      <w:tr w:rsidR="00D91018" w14:paraId="7D2CC15F" w14:textId="77777777" w:rsidTr="003979E8">
        <w:trPr>
          <w:jc w:val="center"/>
        </w:trPr>
        <w:tc>
          <w:tcPr>
            <w:tcW w:w="5313" w:type="dxa"/>
            <w:gridSpan w:val="2"/>
            <w:vAlign w:val="center"/>
          </w:tcPr>
          <w:p w14:paraId="0ECF25DF" w14:textId="77777777" w:rsidR="00D91018" w:rsidRDefault="00D91018" w:rsidP="003979E8">
            <w:pPr>
              <w:jc w:val="center"/>
              <w:rPr>
                <w:bCs/>
                <w:color w:val="27251F"/>
                <w:sz w:val="20"/>
                <w:lang w:eastAsia="es-MX"/>
              </w:rPr>
            </w:pPr>
            <w:r w:rsidRPr="00C25957">
              <w:rPr>
                <w:bCs/>
                <w:color w:val="27251F"/>
                <w:sz w:val="18"/>
                <w:szCs w:val="18"/>
                <w:lang w:eastAsia="es-MX"/>
              </w:rPr>
              <w:t xml:space="preserve">(variación porcentual </w:t>
            </w:r>
            <w:r>
              <w:rPr>
                <w:bCs/>
                <w:color w:val="27251F"/>
                <w:sz w:val="18"/>
                <w:szCs w:val="18"/>
                <w:lang w:eastAsia="es-MX"/>
              </w:rPr>
              <w:t>anual</w:t>
            </w:r>
            <w:r w:rsidRPr="00C25957">
              <w:rPr>
                <w:bCs/>
                <w:color w:val="27251F"/>
                <w:sz w:val="18"/>
                <w:szCs w:val="18"/>
                <w:lang w:eastAsia="es-MX"/>
              </w:rPr>
              <w:t>)</w:t>
            </w:r>
          </w:p>
        </w:tc>
        <w:tc>
          <w:tcPr>
            <w:tcW w:w="5023" w:type="dxa"/>
            <w:gridSpan w:val="2"/>
            <w:vAlign w:val="center"/>
          </w:tcPr>
          <w:p w14:paraId="3BEC8EBD" w14:textId="77777777" w:rsidR="00D91018" w:rsidRDefault="00D91018" w:rsidP="003979E8">
            <w:pPr>
              <w:ind w:left="-369"/>
              <w:jc w:val="center"/>
              <w:rPr>
                <w:bCs/>
                <w:color w:val="27251F"/>
                <w:sz w:val="20"/>
                <w:lang w:eastAsia="es-MX"/>
              </w:rPr>
            </w:pPr>
            <w:r w:rsidRPr="00EE23C3">
              <w:rPr>
                <w:bCs/>
                <w:color w:val="27251F"/>
                <w:sz w:val="18"/>
                <w:szCs w:val="18"/>
                <w:lang w:eastAsia="es-MX"/>
              </w:rPr>
              <w:t>(contribución porcentual a la variación nacional</w:t>
            </w:r>
            <w:r>
              <w:rPr>
                <w:bCs/>
                <w:color w:val="27251F"/>
                <w:sz w:val="18"/>
                <w:szCs w:val="18"/>
                <w:lang w:eastAsia="es-MX"/>
              </w:rPr>
              <w:t xml:space="preserve"> anual</w:t>
            </w:r>
            <w:r w:rsidRPr="00EE23C3">
              <w:rPr>
                <w:bCs/>
                <w:color w:val="27251F"/>
                <w:sz w:val="18"/>
                <w:szCs w:val="18"/>
                <w:lang w:eastAsia="es-MX"/>
              </w:rPr>
              <w:t>)</w:t>
            </w:r>
          </w:p>
        </w:tc>
      </w:tr>
      <w:tr w:rsidR="00D91018" w14:paraId="5E0B34EE" w14:textId="77777777" w:rsidTr="003979E8">
        <w:tblPrEx>
          <w:tblCellMar>
            <w:left w:w="70" w:type="dxa"/>
            <w:right w:w="70" w:type="dxa"/>
          </w:tblCellMar>
        </w:tblPrEx>
        <w:trPr>
          <w:gridAfter w:val="1"/>
          <w:wAfter w:w="30" w:type="dxa"/>
          <w:trHeight w:val="6026"/>
          <w:jc w:val="center"/>
        </w:trPr>
        <w:tc>
          <w:tcPr>
            <w:tcW w:w="5129" w:type="dxa"/>
          </w:tcPr>
          <w:p w14:paraId="39035C1D" w14:textId="77777777" w:rsidR="00D91018" w:rsidRPr="006F2F7B" w:rsidRDefault="00D91018" w:rsidP="003979E8">
            <w:pPr>
              <w:ind w:right="-91"/>
              <w:jc w:val="left"/>
              <w:rPr>
                <w:color w:val="4D565E"/>
                <w:sz w:val="16"/>
                <w:szCs w:val="16"/>
              </w:rPr>
            </w:pPr>
            <w:r>
              <w:rPr>
                <w:noProof/>
              </w:rPr>
              <w:drawing>
                <wp:inline distT="0" distB="0" distL="0" distR="0" wp14:anchorId="441488D6" wp14:editId="62D2457E">
                  <wp:extent cx="3168000" cy="4968000"/>
                  <wp:effectExtent l="0" t="0" r="0" b="4445"/>
                  <wp:docPr id="1248140205" name="Gráfico 1">
                    <a:extLst xmlns:a="http://schemas.openxmlformats.org/drawingml/2006/main">
                      <a:ext uri="{FF2B5EF4-FFF2-40B4-BE49-F238E27FC236}">
                        <a16:creationId xmlns:a16="http://schemas.microsoft.com/office/drawing/2014/main" id="{94FB8731-B0E7-4E22-8305-C55C08A145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5177" w:type="dxa"/>
            <w:gridSpan w:val="2"/>
          </w:tcPr>
          <w:p w14:paraId="50F18F17" w14:textId="77777777" w:rsidR="00D91018" w:rsidRDefault="00D91018" w:rsidP="003979E8">
            <w:pPr>
              <w:ind w:right="-91"/>
              <w:jc w:val="left"/>
              <w:rPr>
                <w:sz w:val="16"/>
                <w:szCs w:val="16"/>
              </w:rPr>
            </w:pPr>
            <w:r>
              <w:rPr>
                <w:noProof/>
              </w:rPr>
              <w:drawing>
                <wp:inline distT="0" distB="0" distL="0" distR="0" wp14:anchorId="37C0E51D" wp14:editId="7E226A6A">
                  <wp:extent cx="3168000" cy="4968000"/>
                  <wp:effectExtent l="0" t="0" r="0" b="4445"/>
                  <wp:docPr id="128973317" name="Gráfico 1">
                    <a:extLst xmlns:a="http://schemas.openxmlformats.org/drawingml/2006/main">
                      <a:ext uri="{FF2B5EF4-FFF2-40B4-BE49-F238E27FC236}">
                        <a16:creationId xmlns:a16="http://schemas.microsoft.com/office/drawing/2014/main" id="{53E04CF3-E8E8-400F-8317-7CFB3D9695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6EFA648D" w14:textId="77777777" w:rsidR="00D91018" w:rsidRDefault="00D91018" w:rsidP="00D91018">
      <w:pPr>
        <w:ind w:left="426" w:right="1185" w:hanging="568"/>
        <w:rPr>
          <w:color w:val="4D565E"/>
          <w:sz w:val="16"/>
          <w:szCs w:val="16"/>
          <w:vertAlign w:val="superscript"/>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16F06A1D" w14:textId="77777777" w:rsidR="00D91018" w:rsidRPr="001B4A6C" w:rsidRDefault="00D91018" w:rsidP="00D91018">
      <w:pPr>
        <w:ind w:left="426" w:right="1185" w:hanging="568"/>
        <w:rPr>
          <w:color w:val="4D565E"/>
          <w:sz w:val="16"/>
          <w:szCs w:val="16"/>
        </w:rPr>
      </w:pPr>
      <w:r>
        <w:rPr>
          <w:color w:val="4D565E"/>
          <w:sz w:val="16"/>
          <w:szCs w:val="16"/>
          <w:vertAlign w:val="superscript"/>
        </w:rPr>
        <w:t>1/</w:t>
      </w:r>
      <w:r>
        <w:rPr>
          <w:color w:val="4D565E"/>
          <w:sz w:val="16"/>
          <w:szCs w:val="16"/>
          <w:vertAlign w:val="superscript"/>
        </w:rPr>
        <w:tab/>
      </w:r>
      <w:r w:rsidRPr="001B4A6C">
        <w:rPr>
          <w:color w:val="4D565E"/>
          <w:sz w:val="16"/>
          <w:szCs w:val="16"/>
        </w:rPr>
        <w:t>Cifras preliminares.</w:t>
      </w:r>
    </w:p>
    <w:p w14:paraId="20239BCD" w14:textId="77777777" w:rsidR="00D91018" w:rsidRPr="009A32BE" w:rsidRDefault="00D91018" w:rsidP="00D91018">
      <w:pPr>
        <w:ind w:left="426" w:right="1185" w:hanging="568"/>
        <w:rPr>
          <w:smallCaps/>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111CC2F8" w14:textId="77777777" w:rsidR="00D91018" w:rsidRDefault="00D91018" w:rsidP="00D91018"/>
    <w:p w14:paraId="1770601D" w14:textId="4DC41850" w:rsidR="00D91018" w:rsidRDefault="00D91018" w:rsidP="00D91018">
      <w:r>
        <w:t>En el segundo trimestre de 2026, las actividades secundarias, sin incluir la minería petrolera, mostraron un a</w:t>
      </w:r>
      <w:r w:rsidRPr="00290DCB">
        <w:t xml:space="preserve">scenso </w:t>
      </w:r>
      <w:r>
        <w:t>a tasa anual de 0.7</w:t>
      </w:r>
      <w:r>
        <w:rPr>
          <w:lang w:val="es-MX"/>
        </w:rPr>
        <w:t xml:space="preserve"> por ciento</w:t>
      </w:r>
      <w:r>
        <w:t xml:space="preserve">. En 21 entidades federativas hubo incrementos y en las 11 restantes se registraron retrocesos. Los avances más relevantes se dieron en </w:t>
      </w:r>
      <w:r>
        <w:rPr>
          <w:i/>
          <w:iCs/>
        </w:rPr>
        <w:t>Hidalgo</w:t>
      </w:r>
      <w:r>
        <w:t xml:space="preserve"> y </w:t>
      </w:r>
      <w:r w:rsidRPr="00BB4E26">
        <w:rPr>
          <w:i/>
          <w:iCs/>
        </w:rPr>
        <w:t>C</w:t>
      </w:r>
      <w:r>
        <w:rPr>
          <w:i/>
          <w:iCs/>
        </w:rPr>
        <w:t>olima</w:t>
      </w:r>
      <w:r>
        <w:t>, con 19.1 y 10.7</w:t>
      </w:r>
      <w:r w:rsidR="0011474B">
        <w:t> %</w:t>
      </w:r>
      <w:r>
        <w:t xml:space="preserve">, respectivamente. En cambio, las caídas más significativas se reportaron en </w:t>
      </w:r>
      <w:r>
        <w:rPr>
          <w:i/>
          <w:iCs/>
        </w:rPr>
        <w:t>Quintana Roo</w:t>
      </w:r>
      <w:r>
        <w:t xml:space="preserve"> y </w:t>
      </w:r>
      <w:r>
        <w:rPr>
          <w:i/>
          <w:iCs/>
        </w:rPr>
        <w:t>Morelos</w:t>
      </w:r>
      <w:r>
        <w:t>, con 20.6 y 19.8</w:t>
      </w:r>
      <w:r w:rsidR="0011474B">
        <w:rPr>
          <w:lang w:val="es-MX"/>
        </w:rPr>
        <w:t> %</w:t>
      </w:r>
      <w:r>
        <w:rPr>
          <w:lang w:val="es-MX"/>
        </w:rPr>
        <w:t xml:space="preserve">, cada una. </w:t>
      </w:r>
      <w:r>
        <w:rPr>
          <w:lang w:val="es-MX"/>
        </w:rPr>
        <w:br/>
      </w:r>
      <w:r>
        <w:t xml:space="preserve">Las entidades que sumaron, en mayor medida, a la variación nacional fueron </w:t>
      </w:r>
      <w:r>
        <w:br/>
        <w:t xml:space="preserve">el estado de </w:t>
      </w:r>
      <w:r>
        <w:rPr>
          <w:i/>
          <w:iCs/>
        </w:rPr>
        <w:t>México</w:t>
      </w:r>
      <w:r>
        <w:t xml:space="preserve"> e </w:t>
      </w:r>
      <w:r>
        <w:rPr>
          <w:i/>
          <w:iCs/>
        </w:rPr>
        <w:t>Hidalgo</w:t>
      </w:r>
      <w:r>
        <w:t xml:space="preserve"> </w:t>
      </w:r>
      <w:r w:rsidRPr="00220846">
        <w:t>(ver gráfica 9).</w:t>
      </w:r>
    </w:p>
    <w:p w14:paraId="4D23FEF8" w14:textId="77777777" w:rsidR="00D91018" w:rsidRPr="00C91D94" w:rsidRDefault="00D91018" w:rsidP="00D91018">
      <w:pPr>
        <w:ind w:firstLine="1"/>
      </w:pPr>
    </w:p>
    <w:p w14:paraId="78F9400A" w14:textId="77777777" w:rsidR="00D91018" w:rsidRPr="006F3FDE" w:rsidRDefault="00D91018" w:rsidP="00D91018">
      <w:pPr>
        <w:jc w:val="center"/>
        <w:rPr>
          <w:bCs/>
          <w:color w:val="003057"/>
          <w:sz w:val="20"/>
          <w:szCs w:val="20"/>
          <w:lang w:val="es-ES" w:eastAsia="es-MX"/>
        </w:rPr>
      </w:pPr>
      <w:r w:rsidRPr="006F3FDE">
        <w:rPr>
          <w:bCs/>
          <w:color w:val="003057"/>
          <w:sz w:val="20"/>
          <w:szCs w:val="20"/>
          <w:lang w:val="es-ES" w:eastAsia="es-MX"/>
        </w:rPr>
        <w:t>Gráfica 9</w:t>
      </w:r>
    </w:p>
    <w:p w14:paraId="0D1AB892" w14:textId="77777777" w:rsidR="00D91018" w:rsidRDefault="00D91018" w:rsidP="00D91018">
      <w:pPr>
        <w:ind w:right="335"/>
        <w:jc w:val="center"/>
        <w:rPr>
          <w:b/>
          <w:color w:val="003057"/>
          <w:sz w:val="22"/>
          <w:szCs w:val="22"/>
          <w:lang w:val="es-ES" w:eastAsia="es-MX"/>
        </w:rPr>
      </w:pPr>
      <w:r w:rsidRPr="00EE23C3">
        <w:rPr>
          <w:b/>
          <w:color w:val="003057"/>
          <w:sz w:val="22"/>
          <w:szCs w:val="22"/>
          <w:lang w:val="es-ES" w:eastAsia="es-MX"/>
        </w:rPr>
        <w:t>Comparación entre entidades federativas</w:t>
      </w:r>
      <w:r>
        <w:rPr>
          <w:b/>
          <w:color w:val="003057"/>
          <w:sz w:val="22"/>
          <w:szCs w:val="22"/>
          <w:lang w:val="es-ES" w:eastAsia="es-MX"/>
        </w:rPr>
        <w:t xml:space="preserve">, según </w:t>
      </w:r>
      <w:r w:rsidRPr="00EE23C3">
        <w:rPr>
          <w:b/>
          <w:color w:val="003057"/>
          <w:sz w:val="22"/>
          <w:szCs w:val="22"/>
          <w:lang w:val="es-ES" w:eastAsia="es-MX"/>
        </w:rPr>
        <w:t>actividades secundarias</w:t>
      </w:r>
      <w:r>
        <w:rPr>
          <w:b/>
          <w:color w:val="003057"/>
          <w:sz w:val="22"/>
          <w:szCs w:val="22"/>
          <w:lang w:val="es-ES" w:eastAsia="es-MX"/>
        </w:rPr>
        <w:t xml:space="preserve"> </w:t>
      </w:r>
    </w:p>
    <w:p w14:paraId="5527731C" w14:textId="77777777" w:rsidR="00D91018" w:rsidRPr="00EE23C3" w:rsidRDefault="00D91018" w:rsidP="00D91018">
      <w:pPr>
        <w:ind w:right="335"/>
        <w:jc w:val="center"/>
        <w:rPr>
          <w:b/>
          <w:color w:val="003057"/>
          <w:sz w:val="22"/>
          <w:szCs w:val="22"/>
          <w:lang w:val="es-ES" w:eastAsia="es-MX"/>
        </w:rPr>
      </w:pPr>
      <w:r>
        <w:rPr>
          <w:b/>
          <w:color w:val="003057"/>
          <w:sz w:val="22"/>
          <w:szCs w:val="22"/>
          <w:lang w:val="es-ES" w:eastAsia="es-MX"/>
        </w:rPr>
        <w:t xml:space="preserve"> </w:t>
      </w:r>
      <w:r w:rsidRPr="00EE23C3">
        <w:rPr>
          <w:b/>
          <w:color w:val="003057"/>
          <w:sz w:val="22"/>
          <w:szCs w:val="22"/>
          <w:lang w:val="es-ES" w:eastAsia="es-MX"/>
        </w:rPr>
        <w:t>sin minería petrolera</w:t>
      </w:r>
    </w:p>
    <w:p w14:paraId="6577CA3E" w14:textId="77777777" w:rsidR="00D91018" w:rsidRDefault="00D91018" w:rsidP="00D91018">
      <w:pPr>
        <w:jc w:val="center"/>
        <w:rPr>
          <w:bCs/>
          <w:color w:val="27251F"/>
          <w:sz w:val="20"/>
          <w:lang w:eastAsia="es-MX"/>
        </w:rPr>
      </w:pPr>
      <w:r>
        <w:rPr>
          <w:bCs/>
          <w:color w:val="27251F"/>
          <w:sz w:val="20"/>
          <w:lang w:eastAsia="es-MX"/>
        </w:rPr>
        <w:t>segundo trimestre</w:t>
      </w:r>
      <w:r w:rsidRPr="00EE23C3">
        <w:rPr>
          <w:bCs/>
          <w:color w:val="27251F"/>
          <w:sz w:val="20"/>
          <w:lang w:eastAsia="es-MX"/>
        </w:rPr>
        <w:t xml:space="preserve"> </w:t>
      </w:r>
      <w:r>
        <w:rPr>
          <w:bCs/>
          <w:color w:val="27251F"/>
          <w:sz w:val="20"/>
          <w:lang w:eastAsia="es-MX"/>
        </w:rPr>
        <w:t xml:space="preserve">de </w:t>
      </w:r>
      <w:r w:rsidRPr="00EE23C3">
        <w:rPr>
          <w:bCs/>
          <w:color w:val="27251F"/>
          <w:sz w:val="20"/>
          <w:lang w:eastAsia="es-MX"/>
        </w:rPr>
        <w:t>202</w:t>
      </w:r>
      <w:r>
        <w:rPr>
          <w:bCs/>
          <w:color w:val="27251F"/>
          <w:sz w:val="20"/>
          <w:lang w:eastAsia="es-MX"/>
        </w:rPr>
        <w:t>6</w:t>
      </w:r>
      <w:r w:rsidRPr="0094053C">
        <w:rPr>
          <w:bCs/>
          <w:color w:val="27251F"/>
          <w:sz w:val="20"/>
          <w:vertAlign w:val="superscript"/>
          <w:lang w:eastAsia="es-MX"/>
        </w:rPr>
        <w:t>1/</w:t>
      </w:r>
    </w:p>
    <w:tbl>
      <w:tblPr>
        <w:tblStyle w:val="Tablaconcuadrcula"/>
        <w:tblW w:w="103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61"/>
      </w:tblGrid>
      <w:tr w:rsidR="00D91018" w14:paraId="7BF70AEF" w14:textId="77777777" w:rsidTr="003979E8">
        <w:trPr>
          <w:jc w:val="center"/>
        </w:trPr>
        <w:tc>
          <w:tcPr>
            <w:tcW w:w="5139" w:type="dxa"/>
            <w:vAlign w:val="center"/>
          </w:tcPr>
          <w:p w14:paraId="3F969AE5" w14:textId="77777777" w:rsidR="00D91018" w:rsidRDefault="00D91018" w:rsidP="003979E8">
            <w:pPr>
              <w:jc w:val="center"/>
              <w:rPr>
                <w:bCs/>
                <w:color w:val="27251F"/>
                <w:sz w:val="20"/>
                <w:lang w:eastAsia="es-MX"/>
              </w:rPr>
            </w:pPr>
            <w:r w:rsidRPr="00C25957">
              <w:rPr>
                <w:bCs/>
                <w:color w:val="27251F"/>
                <w:sz w:val="18"/>
                <w:szCs w:val="18"/>
                <w:lang w:eastAsia="es-MX"/>
              </w:rPr>
              <w:t xml:space="preserve">(variación porcentual </w:t>
            </w:r>
            <w:r>
              <w:rPr>
                <w:bCs/>
                <w:color w:val="27251F"/>
                <w:sz w:val="18"/>
                <w:szCs w:val="18"/>
                <w:lang w:eastAsia="es-MX"/>
              </w:rPr>
              <w:t>anual</w:t>
            </w:r>
            <w:r w:rsidRPr="00C25957">
              <w:rPr>
                <w:bCs/>
                <w:color w:val="27251F"/>
                <w:sz w:val="18"/>
                <w:szCs w:val="18"/>
                <w:lang w:eastAsia="es-MX"/>
              </w:rPr>
              <w:t>)</w:t>
            </w:r>
          </w:p>
        </w:tc>
        <w:tc>
          <w:tcPr>
            <w:tcW w:w="5161" w:type="dxa"/>
            <w:vAlign w:val="center"/>
          </w:tcPr>
          <w:p w14:paraId="0FC10C06" w14:textId="77777777" w:rsidR="00D91018" w:rsidRDefault="00D91018" w:rsidP="003979E8">
            <w:pPr>
              <w:jc w:val="center"/>
              <w:rPr>
                <w:bCs/>
                <w:color w:val="27251F"/>
                <w:sz w:val="20"/>
                <w:lang w:eastAsia="es-MX"/>
              </w:rPr>
            </w:pPr>
            <w:r w:rsidRPr="00EE23C3">
              <w:rPr>
                <w:bCs/>
                <w:color w:val="27251F"/>
                <w:sz w:val="18"/>
                <w:szCs w:val="18"/>
                <w:lang w:eastAsia="es-MX"/>
              </w:rPr>
              <w:t>(contribución porcentual a la variación nacional</w:t>
            </w:r>
            <w:r>
              <w:rPr>
                <w:bCs/>
                <w:color w:val="27251F"/>
                <w:sz w:val="18"/>
                <w:szCs w:val="18"/>
                <w:lang w:eastAsia="es-MX"/>
              </w:rPr>
              <w:t xml:space="preserve"> anual</w:t>
            </w:r>
            <w:r w:rsidRPr="00EE23C3">
              <w:rPr>
                <w:bCs/>
                <w:color w:val="27251F"/>
                <w:sz w:val="18"/>
                <w:szCs w:val="18"/>
                <w:lang w:eastAsia="es-MX"/>
              </w:rPr>
              <w:t>)</w:t>
            </w:r>
          </w:p>
        </w:tc>
      </w:tr>
      <w:tr w:rsidR="00D91018" w14:paraId="34120136" w14:textId="77777777" w:rsidTr="003979E8">
        <w:tblPrEx>
          <w:tblCellMar>
            <w:left w:w="70" w:type="dxa"/>
            <w:right w:w="70" w:type="dxa"/>
          </w:tblCellMar>
        </w:tblPrEx>
        <w:trPr>
          <w:jc w:val="center"/>
        </w:trPr>
        <w:tc>
          <w:tcPr>
            <w:tcW w:w="5139" w:type="dxa"/>
          </w:tcPr>
          <w:p w14:paraId="4F6B5AF9" w14:textId="77777777" w:rsidR="00D91018" w:rsidRDefault="00D91018" w:rsidP="003979E8">
            <w:pPr>
              <w:ind w:right="-91"/>
              <w:jc w:val="left"/>
              <w:rPr>
                <w:sz w:val="16"/>
                <w:szCs w:val="16"/>
              </w:rPr>
            </w:pPr>
            <w:r>
              <w:rPr>
                <w:noProof/>
              </w:rPr>
              <w:drawing>
                <wp:inline distT="0" distB="0" distL="0" distR="0" wp14:anchorId="09595F65" wp14:editId="44AD54F9">
                  <wp:extent cx="3168000" cy="4968000"/>
                  <wp:effectExtent l="0" t="0" r="0" b="4445"/>
                  <wp:docPr id="1044783377" name="Gráfico 1">
                    <a:extLst xmlns:a="http://schemas.openxmlformats.org/drawingml/2006/main">
                      <a:ext uri="{FF2B5EF4-FFF2-40B4-BE49-F238E27FC236}">
                        <a16:creationId xmlns:a16="http://schemas.microsoft.com/office/drawing/2014/main" id="{11D22C1E-7706-4181-894C-7FE13EAB04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5161" w:type="dxa"/>
          </w:tcPr>
          <w:p w14:paraId="648DEEE0" w14:textId="77777777" w:rsidR="00D91018" w:rsidRDefault="00D91018" w:rsidP="003979E8">
            <w:pPr>
              <w:ind w:right="-91"/>
              <w:jc w:val="left"/>
              <w:rPr>
                <w:sz w:val="16"/>
                <w:szCs w:val="16"/>
              </w:rPr>
            </w:pPr>
            <w:r>
              <w:rPr>
                <w:noProof/>
              </w:rPr>
              <w:drawing>
                <wp:inline distT="0" distB="0" distL="0" distR="0" wp14:anchorId="48A19F89" wp14:editId="7B7224C1">
                  <wp:extent cx="3168000" cy="4968000"/>
                  <wp:effectExtent l="0" t="0" r="0" b="4445"/>
                  <wp:docPr id="776105286" name="Gráfico 1">
                    <a:extLst xmlns:a="http://schemas.openxmlformats.org/drawingml/2006/main">
                      <a:ext uri="{FF2B5EF4-FFF2-40B4-BE49-F238E27FC236}">
                        <a16:creationId xmlns:a16="http://schemas.microsoft.com/office/drawing/2014/main" id="{4BE9DA4A-E234-434D-A5A1-1B4669DBA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31C5356E" w14:textId="77777777" w:rsidR="00D91018" w:rsidRDefault="00D91018" w:rsidP="00D91018">
      <w:pPr>
        <w:ind w:left="426" w:right="1185" w:hanging="568"/>
        <w:rPr>
          <w:color w:val="4D565E"/>
          <w:sz w:val="16"/>
          <w:szCs w:val="16"/>
          <w:vertAlign w:val="superscript"/>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759F9B5E" w14:textId="77777777" w:rsidR="00D91018" w:rsidRPr="001B4A6C" w:rsidRDefault="00D91018" w:rsidP="00D91018">
      <w:pPr>
        <w:ind w:left="426" w:right="1185" w:hanging="568"/>
        <w:rPr>
          <w:color w:val="4D565E"/>
          <w:sz w:val="16"/>
          <w:szCs w:val="16"/>
        </w:rPr>
      </w:pPr>
      <w:r>
        <w:rPr>
          <w:color w:val="4D565E"/>
          <w:sz w:val="16"/>
          <w:szCs w:val="16"/>
          <w:vertAlign w:val="superscript"/>
        </w:rPr>
        <w:t>1/</w:t>
      </w:r>
      <w:r>
        <w:rPr>
          <w:color w:val="4D565E"/>
          <w:sz w:val="16"/>
          <w:szCs w:val="16"/>
          <w:vertAlign w:val="superscript"/>
        </w:rPr>
        <w:tab/>
      </w:r>
      <w:r w:rsidRPr="001B4A6C">
        <w:rPr>
          <w:color w:val="4D565E"/>
          <w:sz w:val="16"/>
          <w:szCs w:val="16"/>
        </w:rPr>
        <w:t>Cifras preliminares.</w:t>
      </w:r>
    </w:p>
    <w:p w14:paraId="07186042" w14:textId="77777777" w:rsidR="00D91018" w:rsidRPr="009A32BE" w:rsidRDefault="00D91018" w:rsidP="00D91018">
      <w:pPr>
        <w:ind w:left="426" w:right="1185" w:hanging="568"/>
        <w:rPr>
          <w:smallCaps/>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4D31883C" w14:textId="77777777" w:rsidR="00D91018" w:rsidRPr="00A53062" w:rsidRDefault="00D91018" w:rsidP="00D91018">
      <w:pPr>
        <w:spacing w:after="120"/>
        <w:jc w:val="center"/>
        <w:rPr>
          <w:b/>
          <w:bCs/>
          <w:smallCaps/>
          <w:sz w:val="26"/>
          <w:szCs w:val="26"/>
        </w:rPr>
      </w:pPr>
      <w:r>
        <w:rPr>
          <w:sz w:val="16"/>
          <w:szCs w:val="16"/>
          <w:lang w:val="es-ES" w:eastAsia="es-MX"/>
        </w:rPr>
        <w:br w:type="page"/>
      </w:r>
      <w:r>
        <w:rPr>
          <w:b/>
          <w:bCs/>
          <w:smallCaps/>
          <w:sz w:val="26"/>
          <w:szCs w:val="26"/>
        </w:rPr>
        <w:lastRenderedPageBreak/>
        <w:t xml:space="preserve">iv. </w:t>
      </w:r>
      <w:r w:rsidRPr="00A53062">
        <w:rPr>
          <w:b/>
          <w:bCs/>
          <w:smallCaps/>
          <w:sz w:val="26"/>
          <w:szCs w:val="26"/>
        </w:rPr>
        <w:t>ficha metodológica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1931"/>
        <w:gridCol w:w="8033"/>
      </w:tblGrid>
      <w:tr w:rsidR="00D91018" w:rsidRPr="0013279C" w14:paraId="62030171" w14:textId="77777777" w:rsidTr="003979E8">
        <w:trPr>
          <w:jc w:val="center"/>
        </w:trPr>
        <w:tc>
          <w:tcPr>
            <w:tcW w:w="969" w:type="pct"/>
            <w:vAlign w:val="center"/>
          </w:tcPr>
          <w:p w14:paraId="004451D9"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Antecedentes</w:t>
            </w:r>
          </w:p>
        </w:tc>
        <w:tc>
          <w:tcPr>
            <w:tcW w:w="4031" w:type="pct"/>
            <w:vAlign w:val="center"/>
          </w:tcPr>
          <w:p w14:paraId="5804A276" w14:textId="77777777" w:rsidR="00D91018" w:rsidRPr="00E91E62" w:rsidRDefault="00D91018" w:rsidP="003979E8">
            <w:pPr>
              <w:pStyle w:val="Prrafodelista"/>
              <w:widowControl w:val="0"/>
              <w:autoSpaceDE w:val="0"/>
              <w:autoSpaceDN w:val="0"/>
              <w:adjustRightInd w:val="0"/>
              <w:ind w:left="0"/>
              <w:rPr>
                <w:sz w:val="17"/>
                <w:szCs w:val="17"/>
                <w:lang w:val="es-MX"/>
              </w:rPr>
            </w:pPr>
            <w:r w:rsidRPr="00E91E62">
              <w:rPr>
                <w:bCs/>
                <w:sz w:val="17"/>
                <w:szCs w:val="17"/>
              </w:rPr>
              <w:t xml:space="preserve">El </w:t>
            </w:r>
            <w:r>
              <w:rPr>
                <w:bCs/>
                <w:sz w:val="17"/>
                <w:szCs w:val="17"/>
              </w:rPr>
              <w:t>Indicador Trimestral de la Actividad Económica Estatal (</w:t>
            </w:r>
            <w:r w:rsidRPr="00E91E62">
              <w:rPr>
                <w:smallCaps/>
                <w:sz w:val="17"/>
                <w:szCs w:val="17"/>
              </w:rPr>
              <w:t>itaee</w:t>
            </w:r>
            <w:r>
              <w:rPr>
                <w:smallCaps/>
                <w:sz w:val="17"/>
                <w:szCs w:val="17"/>
              </w:rPr>
              <w:t>)</w:t>
            </w:r>
            <w:r w:rsidRPr="00E91E62">
              <w:rPr>
                <w:smallCaps/>
                <w:sz w:val="17"/>
                <w:szCs w:val="17"/>
              </w:rPr>
              <w:t xml:space="preserve"> </w:t>
            </w:r>
            <w:r w:rsidRPr="00E91E62">
              <w:rPr>
                <w:sz w:val="17"/>
                <w:szCs w:val="17"/>
              </w:rPr>
              <w:t xml:space="preserve">ofrece un panorama sobre la evolución económica de las entidades federativas del país. </w:t>
            </w:r>
            <w:r w:rsidRPr="00E91E62">
              <w:rPr>
                <w:sz w:val="17"/>
                <w:szCs w:val="17"/>
                <w:lang w:val="es-MX"/>
              </w:rPr>
              <w:t>Su difusión periódica inició en 2009</w:t>
            </w:r>
            <w:r>
              <w:rPr>
                <w:sz w:val="17"/>
                <w:szCs w:val="17"/>
                <w:lang w:val="es-MX"/>
              </w:rPr>
              <w:t>,</w:t>
            </w:r>
            <w:r w:rsidRPr="00E91E62">
              <w:rPr>
                <w:sz w:val="17"/>
                <w:szCs w:val="17"/>
                <w:lang w:val="es-MX"/>
              </w:rPr>
              <w:t xml:space="preserve"> </w:t>
            </w:r>
            <w:r>
              <w:rPr>
                <w:sz w:val="17"/>
                <w:szCs w:val="17"/>
                <w:lang w:val="es-MX"/>
              </w:rPr>
              <w:t>según</w:t>
            </w:r>
            <w:r w:rsidRPr="00E91E62">
              <w:rPr>
                <w:sz w:val="17"/>
                <w:szCs w:val="17"/>
                <w:lang w:val="es-MX"/>
              </w:rPr>
              <w:t xml:space="preserve"> los criterios metodológicos del año base 2003 del Sistema de Cuentas Nacionales de México </w:t>
            </w:r>
            <w:r w:rsidRPr="00E91E62">
              <w:rPr>
                <w:smallCaps/>
                <w:sz w:val="17"/>
                <w:szCs w:val="17"/>
                <w:lang w:val="es-MX"/>
              </w:rPr>
              <w:t>(scnm).</w:t>
            </w:r>
            <w:r w:rsidRPr="00E91E62">
              <w:rPr>
                <w:sz w:val="17"/>
                <w:szCs w:val="17"/>
                <w:lang w:val="es-MX"/>
              </w:rPr>
              <w:t xml:space="preserve"> </w:t>
            </w:r>
            <w:r w:rsidRPr="00D92089">
              <w:rPr>
                <w:sz w:val="17"/>
                <w:szCs w:val="17"/>
                <w:lang w:val="es-MX"/>
              </w:rPr>
              <w:t>Además,</w:t>
            </w:r>
            <w:r w:rsidRPr="00E91E62">
              <w:rPr>
                <w:sz w:val="17"/>
                <w:szCs w:val="17"/>
                <w:lang w:val="es-MX"/>
              </w:rPr>
              <w:t xml:space="preserve"> incorpora el Sistema de Clasificación Industrial de América del Norte (</w:t>
            </w:r>
            <w:r w:rsidRPr="00E91E62">
              <w:rPr>
                <w:smallCaps/>
                <w:sz w:val="17"/>
                <w:szCs w:val="17"/>
                <w:lang w:val="es-MX"/>
              </w:rPr>
              <w:t>scian</w:t>
            </w:r>
            <w:r w:rsidRPr="00E91E62">
              <w:rPr>
                <w:sz w:val="17"/>
                <w:szCs w:val="17"/>
                <w:lang w:val="es-MX"/>
              </w:rPr>
              <w:t>) 2002.</w:t>
            </w:r>
          </w:p>
          <w:p w14:paraId="44D95E49" w14:textId="77777777" w:rsidR="00D91018" w:rsidRPr="00E91E62" w:rsidRDefault="00D91018" w:rsidP="003979E8">
            <w:pPr>
              <w:pStyle w:val="Prrafodelista"/>
              <w:widowControl w:val="0"/>
              <w:autoSpaceDE w:val="0"/>
              <w:autoSpaceDN w:val="0"/>
              <w:adjustRightInd w:val="0"/>
              <w:ind w:left="0"/>
              <w:rPr>
                <w:sz w:val="17"/>
                <w:szCs w:val="17"/>
                <w:lang w:val="es-MX"/>
              </w:rPr>
            </w:pPr>
            <w:r w:rsidRPr="00E91E62">
              <w:rPr>
                <w:sz w:val="17"/>
                <w:szCs w:val="17"/>
                <w:lang w:val="es-MX"/>
              </w:rPr>
              <w:t xml:space="preserve">Actualmente, con el cambio de año base a 2018, se actualizaron las estructuras económicas productivas regionales. </w:t>
            </w:r>
            <w:r>
              <w:rPr>
                <w:sz w:val="17"/>
                <w:szCs w:val="17"/>
                <w:lang w:val="es-MX"/>
              </w:rPr>
              <w:t xml:space="preserve">De esta manera, el </w:t>
            </w:r>
            <w:r w:rsidRPr="00C606C5">
              <w:rPr>
                <w:smallCaps/>
                <w:sz w:val="17"/>
                <w:szCs w:val="17"/>
                <w:lang w:val="es-MX"/>
              </w:rPr>
              <w:t>scian</w:t>
            </w:r>
            <w:r w:rsidRPr="00E91E62">
              <w:rPr>
                <w:sz w:val="17"/>
                <w:szCs w:val="17"/>
                <w:lang w:val="es-MX"/>
              </w:rPr>
              <w:t xml:space="preserve"> </w:t>
            </w:r>
            <w:r w:rsidRPr="00C606C5">
              <w:rPr>
                <w:sz w:val="14"/>
                <w:szCs w:val="14"/>
                <w:lang w:val="es-MX"/>
              </w:rPr>
              <w:t>2018</w:t>
            </w:r>
            <w:r w:rsidRPr="00E91E62">
              <w:rPr>
                <w:sz w:val="17"/>
                <w:szCs w:val="17"/>
                <w:lang w:val="es-MX"/>
              </w:rPr>
              <w:t xml:space="preserve"> es el clasificador de las actividades económicas.</w:t>
            </w:r>
          </w:p>
        </w:tc>
      </w:tr>
      <w:tr w:rsidR="00D91018" w:rsidRPr="0013279C" w14:paraId="67CF3BA0" w14:textId="77777777" w:rsidTr="003979E8">
        <w:trPr>
          <w:jc w:val="center"/>
        </w:trPr>
        <w:tc>
          <w:tcPr>
            <w:tcW w:w="969" w:type="pct"/>
            <w:vAlign w:val="center"/>
          </w:tcPr>
          <w:p w14:paraId="285B2D9C"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 xml:space="preserve">Año base </w:t>
            </w:r>
          </w:p>
        </w:tc>
        <w:tc>
          <w:tcPr>
            <w:tcW w:w="4031" w:type="pct"/>
            <w:vAlign w:val="center"/>
          </w:tcPr>
          <w:p w14:paraId="4CF1802E" w14:textId="77777777" w:rsidR="00D91018" w:rsidRPr="00E91E62" w:rsidRDefault="00D91018" w:rsidP="003979E8">
            <w:pPr>
              <w:pStyle w:val="Texto"/>
              <w:widowControl w:val="0"/>
              <w:autoSpaceDE w:val="0"/>
              <w:autoSpaceDN w:val="0"/>
              <w:adjustRightInd w:val="0"/>
              <w:spacing w:after="0" w:line="240" w:lineRule="auto"/>
              <w:ind w:firstLine="0"/>
              <w:rPr>
                <w:color w:val="000000" w:themeColor="text1"/>
                <w:sz w:val="17"/>
                <w:szCs w:val="17"/>
                <w:lang w:val="es-ES_tradnl"/>
              </w:rPr>
            </w:pPr>
            <w:r w:rsidRPr="00E91E62">
              <w:rPr>
                <w:sz w:val="17"/>
                <w:szCs w:val="17"/>
              </w:rPr>
              <w:t xml:space="preserve">Los datos detallados del </w:t>
            </w:r>
            <w:r w:rsidRPr="00E91E62">
              <w:rPr>
                <w:smallCaps/>
                <w:sz w:val="17"/>
                <w:szCs w:val="17"/>
              </w:rPr>
              <w:t>itaee</w:t>
            </w:r>
            <w:r w:rsidRPr="00E91E62">
              <w:rPr>
                <w:sz w:val="17"/>
                <w:szCs w:val="17"/>
              </w:rPr>
              <w:t xml:space="preserve"> están disponibles </w:t>
            </w:r>
            <w:r>
              <w:rPr>
                <w:sz w:val="17"/>
                <w:szCs w:val="17"/>
              </w:rPr>
              <w:t>desde</w:t>
            </w:r>
            <w:r w:rsidRPr="00E91E62">
              <w:rPr>
                <w:sz w:val="17"/>
                <w:szCs w:val="17"/>
              </w:rPr>
              <w:t xml:space="preserve"> 2003</w:t>
            </w:r>
            <w:r>
              <w:rPr>
                <w:sz w:val="17"/>
                <w:szCs w:val="17"/>
              </w:rPr>
              <w:t>;</w:t>
            </w:r>
            <w:r w:rsidRPr="00E91E62">
              <w:rPr>
                <w:sz w:val="17"/>
                <w:szCs w:val="17"/>
              </w:rPr>
              <w:t xml:space="preserve"> </w:t>
            </w:r>
            <w:r>
              <w:rPr>
                <w:sz w:val="17"/>
                <w:szCs w:val="17"/>
              </w:rPr>
              <w:t xml:space="preserve">mientras que para el periodo 1980-2002 existe </w:t>
            </w:r>
            <w:r w:rsidRPr="00E91E62">
              <w:rPr>
                <w:sz w:val="17"/>
                <w:szCs w:val="17"/>
              </w:rPr>
              <w:t>una serie retropolada</w:t>
            </w:r>
            <w:r>
              <w:rPr>
                <w:sz w:val="17"/>
                <w:szCs w:val="17"/>
              </w:rPr>
              <w:t>.</w:t>
            </w:r>
            <w:r w:rsidRPr="00E91E62">
              <w:rPr>
                <w:sz w:val="17"/>
                <w:szCs w:val="17"/>
              </w:rPr>
              <w:t xml:space="preserve"> Lo anterior se expresa en índices de volumen físico con base fija en el </w:t>
            </w:r>
            <w:r>
              <w:rPr>
                <w:sz w:val="17"/>
                <w:szCs w:val="17"/>
              </w:rPr>
              <w:br/>
            </w:r>
            <w:r w:rsidRPr="00E91E62">
              <w:rPr>
                <w:sz w:val="17"/>
                <w:szCs w:val="17"/>
              </w:rPr>
              <w:t>año 2018.</w:t>
            </w:r>
          </w:p>
        </w:tc>
      </w:tr>
      <w:tr w:rsidR="00D91018" w:rsidRPr="00CD347F" w14:paraId="6FAE6472" w14:textId="77777777" w:rsidTr="003979E8">
        <w:trPr>
          <w:jc w:val="center"/>
        </w:trPr>
        <w:tc>
          <w:tcPr>
            <w:tcW w:w="969" w:type="pct"/>
            <w:vAlign w:val="center"/>
          </w:tcPr>
          <w:p w14:paraId="142F5DF1"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Fuentes</w:t>
            </w:r>
          </w:p>
        </w:tc>
        <w:tc>
          <w:tcPr>
            <w:tcW w:w="4031" w:type="pct"/>
            <w:vAlign w:val="center"/>
          </w:tcPr>
          <w:p w14:paraId="7833A0D8" w14:textId="77777777" w:rsidR="00D91018" w:rsidRPr="00E91E62" w:rsidRDefault="00D91018" w:rsidP="003979E8">
            <w:pPr>
              <w:pStyle w:val="Texto"/>
              <w:widowControl w:val="0"/>
              <w:autoSpaceDE w:val="0"/>
              <w:autoSpaceDN w:val="0"/>
              <w:adjustRightInd w:val="0"/>
              <w:spacing w:after="0" w:line="240" w:lineRule="auto"/>
              <w:ind w:firstLine="0"/>
              <w:rPr>
                <w:sz w:val="17"/>
                <w:szCs w:val="17"/>
              </w:rPr>
            </w:pPr>
            <w:r w:rsidRPr="00E91E62">
              <w:rPr>
                <w:sz w:val="17"/>
                <w:szCs w:val="17"/>
              </w:rPr>
              <w:t>Las principales fuentes de información son las encuestas mensuales en establecimientos y en hogares —Encuesta Mensual de la Industria Manufacturera (</w:t>
            </w:r>
            <w:r w:rsidRPr="00E91E62">
              <w:rPr>
                <w:smallCaps/>
                <w:sz w:val="17"/>
                <w:szCs w:val="17"/>
              </w:rPr>
              <w:t>emim</w:t>
            </w:r>
            <w:r w:rsidRPr="00E91E62">
              <w:rPr>
                <w:sz w:val="17"/>
                <w:szCs w:val="17"/>
              </w:rPr>
              <w:t>), Encuesta Nacional de Empresas Constructoras (</w:t>
            </w:r>
            <w:r w:rsidRPr="00E91E62">
              <w:rPr>
                <w:smallCaps/>
                <w:sz w:val="17"/>
                <w:szCs w:val="17"/>
              </w:rPr>
              <w:t>enec</w:t>
            </w:r>
            <w:r w:rsidRPr="00E91E62">
              <w:rPr>
                <w:sz w:val="17"/>
                <w:szCs w:val="17"/>
              </w:rPr>
              <w:t>), Encuesta Mensual sobre Empresas Comerciales (</w:t>
            </w:r>
            <w:r w:rsidRPr="00E91E62">
              <w:rPr>
                <w:smallCaps/>
                <w:sz w:val="17"/>
                <w:szCs w:val="17"/>
              </w:rPr>
              <w:t>emec</w:t>
            </w:r>
            <w:r w:rsidRPr="00E91E62">
              <w:rPr>
                <w:sz w:val="17"/>
                <w:szCs w:val="17"/>
              </w:rPr>
              <w:t>), Encuesta Mensual de Servicios (</w:t>
            </w:r>
            <w:r w:rsidRPr="00E91E62">
              <w:rPr>
                <w:smallCaps/>
                <w:sz w:val="17"/>
                <w:szCs w:val="17"/>
              </w:rPr>
              <w:t>ems</w:t>
            </w:r>
            <w:r w:rsidRPr="00E91E62">
              <w:rPr>
                <w:sz w:val="17"/>
                <w:szCs w:val="17"/>
              </w:rPr>
              <w:t>) y Encuesta Nacional de Ocupación y Empleo (</w:t>
            </w:r>
            <w:r w:rsidRPr="00E91E62">
              <w:rPr>
                <w:smallCaps/>
                <w:sz w:val="17"/>
                <w:szCs w:val="17"/>
              </w:rPr>
              <w:t>enoe</w:t>
            </w:r>
            <w:r w:rsidRPr="00E91E62">
              <w:rPr>
                <w:sz w:val="17"/>
                <w:szCs w:val="17"/>
              </w:rPr>
              <w:t>)—, los índices nacionales de precios, los registros administrativos y los datos primarios,</w:t>
            </w:r>
            <w:r w:rsidRPr="00E91E62">
              <w:rPr>
                <w:sz w:val="17"/>
                <w:szCs w:val="17"/>
                <w:lang w:val="es-MX"/>
              </w:rPr>
              <w:t xml:space="preserve"> así como las estadísticas económicas y sociales compiladas por el Instituto. </w:t>
            </w:r>
            <w:r w:rsidRPr="00E91E62">
              <w:rPr>
                <w:sz w:val="17"/>
                <w:szCs w:val="17"/>
              </w:rPr>
              <w:t xml:space="preserve">Para las actividades agropecuarias, de energía, gas, agua, servicios financieros </w:t>
            </w:r>
            <w:r w:rsidRPr="00183E55">
              <w:rPr>
                <w:sz w:val="17"/>
                <w:szCs w:val="17"/>
              </w:rPr>
              <w:t>y del gobierno,</w:t>
            </w:r>
            <w:r w:rsidRPr="00E91E62">
              <w:rPr>
                <w:sz w:val="17"/>
                <w:szCs w:val="17"/>
              </w:rPr>
              <w:t xml:space="preserve"> se incluyeron los registros administrativos que provienen de las empresas y Unidades del Estado.</w:t>
            </w:r>
          </w:p>
        </w:tc>
      </w:tr>
      <w:tr w:rsidR="00D91018" w:rsidRPr="0013279C" w14:paraId="3B43B7C1" w14:textId="77777777" w:rsidTr="003979E8">
        <w:trPr>
          <w:jc w:val="center"/>
        </w:trPr>
        <w:tc>
          <w:tcPr>
            <w:tcW w:w="969" w:type="pct"/>
            <w:vAlign w:val="center"/>
          </w:tcPr>
          <w:p w14:paraId="10504B80"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Cobertura geográfica</w:t>
            </w:r>
          </w:p>
        </w:tc>
        <w:tc>
          <w:tcPr>
            <w:tcW w:w="4031" w:type="pct"/>
            <w:vAlign w:val="center"/>
          </w:tcPr>
          <w:p w14:paraId="736D1822" w14:textId="77777777" w:rsidR="00D91018" w:rsidRPr="00E91E62" w:rsidRDefault="00D91018" w:rsidP="003979E8">
            <w:pPr>
              <w:pStyle w:val="Texto"/>
              <w:keepNext/>
              <w:keepLines/>
              <w:widowControl w:val="0"/>
              <w:autoSpaceDE w:val="0"/>
              <w:autoSpaceDN w:val="0"/>
              <w:adjustRightInd w:val="0"/>
              <w:spacing w:after="0" w:line="240" w:lineRule="auto"/>
              <w:ind w:firstLine="0"/>
              <w:rPr>
                <w:sz w:val="17"/>
                <w:szCs w:val="17"/>
              </w:rPr>
            </w:pPr>
            <w:r w:rsidRPr="00E91E62">
              <w:rPr>
                <w:sz w:val="17"/>
                <w:szCs w:val="17"/>
              </w:rPr>
              <w:t>Nacional y por entidad federativa</w:t>
            </w:r>
          </w:p>
        </w:tc>
      </w:tr>
      <w:tr w:rsidR="00D91018" w:rsidRPr="0013279C" w14:paraId="42CD8B42" w14:textId="77777777" w:rsidTr="003979E8">
        <w:trPr>
          <w:trHeight w:val="222"/>
          <w:jc w:val="center"/>
        </w:trPr>
        <w:tc>
          <w:tcPr>
            <w:tcW w:w="969" w:type="pct"/>
            <w:vAlign w:val="center"/>
          </w:tcPr>
          <w:p w14:paraId="2FED3411"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Periodicidad</w:t>
            </w:r>
          </w:p>
        </w:tc>
        <w:tc>
          <w:tcPr>
            <w:tcW w:w="4031" w:type="pct"/>
            <w:vAlign w:val="center"/>
          </w:tcPr>
          <w:p w14:paraId="39F3388F" w14:textId="77777777" w:rsidR="00D91018" w:rsidRPr="00E91E62" w:rsidRDefault="00D91018" w:rsidP="003979E8">
            <w:pPr>
              <w:pStyle w:val="Texto"/>
              <w:keepNext/>
              <w:keepLines/>
              <w:widowControl w:val="0"/>
              <w:autoSpaceDE w:val="0"/>
              <w:autoSpaceDN w:val="0"/>
              <w:adjustRightInd w:val="0"/>
              <w:spacing w:after="0" w:line="240" w:lineRule="auto"/>
              <w:ind w:firstLine="0"/>
              <w:rPr>
                <w:sz w:val="17"/>
                <w:szCs w:val="17"/>
                <w:lang w:val="es-ES_tradnl"/>
              </w:rPr>
            </w:pPr>
            <w:r w:rsidRPr="00E91E62">
              <w:rPr>
                <w:sz w:val="17"/>
                <w:szCs w:val="17"/>
              </w:rPr>
              <w:t>Trimestral</w:t>
            </w:r>
          </w:p>
        </w:tc>
      </w:tr>
      <w:tr w:rsidR="00D91018" w:rsidRPr="0013279C" w14:paraId="1EE99EBA" w14:textId="77777777" w:rsidTr="003979E8">
        <w:trPr>
          <w:jc w:val="center"/>
        </w:trPr>
        <w:tc>
          <w:tcPr>
            <w:tcW w:w="969" w:type="pct"/>
            <w:vAlign w:val="center"/>
          </w:tcPr>
          <w:p w14:paraId="62643D7D" w14:textId="77777777" w:rsidR="00D91018" w:rsidRPr="00E91E62" w:rsidRDefault="00D91018" w:rsidP="003979E8">
            <w:pPr>
              <w:pStyle w:val="Textoindependiente"/>
              <w:kinsoku w:val="0"/>
              <w:overflowPunct w:val="0"/>
              <w:spacing w:before="0"/>
              <w:jc w:val="right"/>
              <w:rPr>
                <w:b/>
                <w:bCs/>
                <w:color w:val="auto"/>
                <w:sz w:val="17"/>
                <w:szCs w:val="17"/>
                <w:lang w:val="es-ES"/>
              </w:rPr>
            </w:pPr>
            <w:r w:rsidRPr="12B4AF78">
              <w:rPr>
                <w:b/>
                <w:bCs/>
                <w:color w:val="auto"/>
                <w:sz w:val="17"/>
                <w:szCs w:val="17"/>
                <w:lang w:val="es-ES"/>
              </w:rPr>
              <w:t xml:space="preserve">Cálculo del </w:t>
            </w:r>
            <w:r w:rsidRPr="12B4AF78">
              <w:rPr>
                <w:rFonts w:ascii="Arial Negrita" w:hAnsi="Arial Negrita"/>
                <w:b/>
                <w:bCs/>
                <w:smallCaps/>
                <w:color w:val="auto"/>
                <w:sz w:val="17"/>
                <w:szCs w:val="17"/>
                <w:lang w:val="es-ES"/>
              </w:rPr>
              <w:t>itaee</w:t>
            </w:r>
          </w:p>
        </w:tc>
        <w:tc>
          <w:tcPr>
            <w:tcW w:w="4031" w:type="pct"/>
            <w:vAlign w:val="center"/>
          </w:tcPr>
          <w:p w14:paraId="3A97CE6F" w14:textId="77777777" w:rsidR="00D91018" w:rsidRPr="00E91E62" w:rsidRDefault="00D91018" w:rsidP="003979E8">
            <w:pPr>
              <w:rPr>
                <w:sz w:val="17"/>
                <w:szCs w:val="17"/>
                <w:lang w:val="es-ES"/>
              </w:rPr>
            </w:pPr>
            <w:r w:rsidRPr="12B4AF78">
              <w:rPr>
                <w:sz w:val="17"/>
                <w:szCs w:val="17"/>
                <w:lang w:val="es-ES"/>
              </w:rPr>
              <w:t xml:space="preserve">Para el cálculo del </w:t>
            </w:r>
            <w:r w:rsidRPr="12B4AF78">
              <w:rPr>
                <w:smallCaps/>
                <w:sz w:val="17"/>
                <w:szCs w:val="17"/>
                <w:lang w:val="es-ES"/>
              </w:rPr>
              <w:t>itaee</w:t>
            </w:r>
            <w:r w:rsidRPr="12B4AF78">
              <w:rPr>
                <w:sz w:val="17"/>
                <w:szCs w:val="17"/>
                <w:lang w:val="es-ES"/>
              </w:rPr>
              <w:t xml:space="preserve"> se siguen los conceptos, criterios metodológicos, clasificadores y datos fuente que se emplean en los cálculos del Producto Interno Bruto (</w:t>
            </w:r>
            <w:r w:rsidRPr="12B4AF78">
              <w:rPr>
                <w:smallCaps/>
                <w:sz w:val="17"/>
                <w:szCs w:val="17"/>
                <w:lang w:val="es-ES"/>
              </w:rPr>
              <w:t>pib</w:t>
            </w:r>
            <w:r w:rsidRPr="12B4AF78">
              <w:rPr>
                <w:sz w:val="17"/>
                <w:szCs w:val="17"/>
                <w:lang w:val="es-ES"/>
              </w:rPr>
              <w:t>) trimestral y del Producto Interno Bruto por Entidad Federativa (</w:t>
            </w:r>
            <w:r w:rsidRPr="12B4AF78">
              <w:rPr>
                <w:smallCaps/>
                <w:sz w:val="17"/>
                <w:szCs w:val="17"/>
                <w:lang w:val="es-ES"/>
              </w:rPr>
              <w:t>pibe)</w:t>
            </w:r>
            <w:r w:rsidRPr="12B4AF78">
              <w:rPr>
                <w:sz w:val="17"/>
                <w:szCs w:val="17"/>
                <w:lang w:val="es-ES"/>
              </w:rPr>
              <w:t xml:space="preserve">, en la medida en que la información estadística disponible lo </w:t>
            </w:r>
            <w:r w:rsidRPr="00183E55">
              <w:rPr>
                <w:sz w:val="17"/>
                <w:szCs w:val="17"/>
                <w:lang w:val="es-ES"/>
              </w:rPr>
              <w:t>permite.</w:t>
            </w:r>
            <w:r w:rsidRPr="12B4AF78">
              <w:rPr>
                <w:sz w:val="17"/>
                <w:szCs w:val="17"/>
                <w:lang w:val="es-ES"/>
              </w:rPr>
              <w:t xml:space="preserve"> Además, se consideran los lineamientos internacionales sobre contabilidad nacional establecidos en el Sistema de Cuentas Nacionales (</w:t>
            </w:r>
            <w:r w:rsidRPr="12B4AF78">
              <w:rPr>
                <w:smallCaps/>
                <w:sz w:val="17"/>
                <w:szCs w:val="17"/>
                <w:lang w:val="es-ES"/>
              </w:rPr>
              <w:t xml:space="preserve">scn) </w:t>
            </w:r>
            <w:r w:rsidRPr="12B4AF78">
              <w:rPr>
                <w:sz w:val="17"/>
                <w:szCs w:val="17"/>
                <w:lang w:val="es-ES"/>
              </w:rPr>
              <w:t xml:space="preserve">2008, </w:t>
            </w:r>
            <w:r w:rsidRPr="001A1B39">
              <w:rPr>
                <w:sz w:val="17"/>
                <w:szCs w:val="17"/>
                <w:lang w:val="es-ES"/>
              </w:rPr>
              <w:t xml:space="preserve">en el </w:t>
            </w:r>
            <w:r w:rsidRPr="001A1B39">
              <w:rPr>
                <w:i/>
                <w:iCs/>
                <w:sz w:val="17"/>
                <w:szCs w:val="17"/>
                <w:lang w:val="es-ES"/>
              </w:rPr>
              <w:t>Manual de cuentas nacionales trimestrales</w:t>
            </w:r>
            <w:r w:rsidRPr="001A1B39">
              <w:rPr>
                <w:sz w:val="17"/>
                <w:szCs w:val="17"/>
                <w:lang w:val="es-ES"/>
              </w:rPr>
              <w:t xml:space="preserve"> y en</w:t>
            </w:r>
            <w:r>
              <w:rPr>
                <w:sz w:val="17"/>
                <w:szCs w:val="17"/>
                <w:lang w:val="es-ES"/>
              </w:rPr>
              <w:t xml:space="preserve"> los</w:t>
            </w:r>
            <w:r w:rsidRPr="001A1B39">
              <w:rPr>
                <w:sz w:val="17"/>
                <w:szCs w:val="17"/>
                <w:lang w:val="es-ES"/>
              </w:rPr>
              <w:t xml:space="preserve"> </w:t>
            </w:r>
            <w:r w:rsidRPr="001A1B39">
              <w:rPr>
                <w:i/>
                <w:iCs/>
                <w:sz w:val="17"/>
                <w:szCs w:val="17"/>
                <w:lang w:val="es-ES"/>
              </w:rPr>
              <w:t>Métodos de contabilidad regional.</w:t>
            </w:r>
          </w:p>
          <w:p w14:paraId="6CD752FC" w14:textId="77777777" w:rsidR="00D91018" w:rsidRPr="00E91E62" w:rsidRDefault="00D91018" w:rsidP="003979E8">
            <w:pPr>
              <w:rPr>
                <w:sz w:val="17"/>
                <w:szCs w:val="17"/>
                <w:lang w:val="es-ES"/>
              </w:rPr>
            </w:pPr>
            <w:r w:rsidRPr="12B4AF78">
              <w:rPr>
                <w:sz w:val="17"/>
                <w:szCs w:val="17"/>
                <w:lang w:val="es-ES"/>
              </w:rPr>
              <w:t xml:space="preserve">Los cálculos del </w:t>
            </w:r>
            <w:r w:rsidRPr="12B4AF78">
              <w:rPr>
                <w:smallCaps/>
                <w:sz w:val="17"/>
                <w:szCs w:val="17"/>
                <w:lang w:val="es-ES"/>
              </w:rPr>
              <w:t>itaee</w:t>
            </w:r>
            <w:r w:rsidRPr="12B4AF78">
              <w:rPr>
                <w:sz w:val="17"/>
                <w:szCs w:val="17"/>
                <w:lang w:val="es-ES"/>
              </w:rPr>
              <w:t xml:space="preserve"> se efectúan por clase de actividad económica del </w:t>
            </w:r>
            <w:r w:rsidRPr="12B4AF78">
              <w:rPr>
                <w:smallCaps/>
                <w:sz w:val="17"/>
                <w:szCs w:val="17"/>
                <w:lang w:val="es-ES"/>
              </w:rPr>
              <w:t>scian</w:t>
            </w:r>
            <w:r w:rsidRPr="12B4AF78">
              <w:rPr>
                <w:sz w:val="17"/>
                <w:szCs w:val="17"/>
                <w:lang w:val="es-ES"/>
              </w:rPr>
              <w:t xml:space="preserve"> </w:t>
            </w:r>
            <w:r w:rsidRPr="12B4AF78">
              <w:rPr>
                <w:sz w:val="14"/>
                <w:szCs w:val="14"/>
                <w:lang w:val="es-ES"/>
              </w:rPr>
              <w:t>2018</w:t>
            </w:r>
            <w:r w:rsidRPr="12B4AF78">
              <w:rPr>
                <w:sz w:val="17"/>
                <w:szCs w:val="17"/>
                <w:lang w:val="es-ES"/>
              </w:rPr>
              <w:t xml:space="preserve">. Al interior de las clases se realizan mediciones específicas para las actividades formal e informal, artesanado formal e informal y bienes para procesamiento. Dichos cálculos inician con la elaboración de índices del volumen físico de la producción por clase de actividad económica. Los índices se emplean para extrapolar el valor agregado bruto </w:t>
            </w:r>
            <w:r>
              <w:rPr>
                <w:sz w:val="17"/>
                <w:szCs w:val="17"/>
                <w:lang w:val="es-ES"/>
              </w:rPr>
              <w:t>(</w:t>
            </w:r>
            <w:r w:rsidRPr="005E4D1E">
              <w:rPr>
                <w:smallCaps/>
                <w:sz w:val="17"/>
                <w:szCs w:val="17"/>
                <w:lang w:val="es-ES"/>
              </w:rPr>
              <w:t>vab</w:t>
            </w:r>
            <w:r>
              <w:rPr>
                <w:sz w:val="17"/>
                <w:szCs w:val="17"/>
                <w:lang w:val="es-ES"/>
              </w:rPr>
              <w:t xml:space="preserve">) </w:t>
            </w:r>
            <w:r w:rsidRPr="12B4AF78">
              <w:rPr>
                <w:sz w:val="17"/>
                <w:szCs w:val="17"/>
                <w:lang w:val="es-ES"/>
              </w:rPr>
              <w:t xml:space="preserve">registrado por cada clase de actividad en el año base 2018. Además, </w:t>
            </w:r>
            <w:r w:rsidRPr="00A64023">
              <w:rPr>
                <w:sz w:val="17"/>
                <w:szCs w:val="17"/>
                <w:lang w:val="es-ES"/>
              </w:rPr>
              <w:t>se alinean a</w:t>
            </w:r>
            <w:r w:rsidRPr="12B4AF78">
              <w:rPr>
                <w:sz w:val="17"/>
                <w:szCs w:val="17"/>
                <w:lang w:val="es-ES"/>
              </w:rPr>
              <w:t xml:space="preserve"> los valores nacionales trimestrales y anuales por entidad federativa con la técnica proporcional Denton Bivariada, lo que preserva al máximo las variaciones de los datos de corto plazo.</w:t>
            </w:r>
          </w:p>
          <w:p w14:paraId="1B978582" w14:textId="77777777" w:rsidR="00D91018" w:rsidRPr="00E91E62" w:rsidRDefault="00D91018" w:rsidP="003979E8">
            <w:pPr>
              <w:rPr>
                <w:sz w:val="17"/>
                <w:szCs w:val="17"/>
              </w:rPr>
            </w:pPr>
            <w:r>
              <w:rPr>
                <w:sz w:val="17"/>
                <w:szCs w:val="17"/>
              </w:rPr>
              <w:t>Lo</w:t>
            </w:r>
            <w:r w:rsidRPr="00E91E62">
              <w:rPr>
                <w:sz w:val="17"/>
                <w:szCs w:val="17"/>
              </w:rPr>
              <w:t>s sectores, las actividades económicas y el total del indicador se obtienen</w:t>
            </w:r>
            <w:r>
              <w:rPr>
                <w:sz w:val="17"/>
                <w:szCs w:val="17"/>
              </w:rPr>
              <w:t xml:space="preserve"> a partir de la</w:t>
            </w:r>
            <w:r w:rsidRPr="00E91E62">
              <w:rPr>
                <w:sz w:val="17"/>
                <w:szCs w:val="17"/>
              </w:rPr>
              <w:t xml:space="preserve"> agregación de las actividades económicas. Para garantizar la comparabilidad regional y nacional, estos resultados se homologan con los del </w:t>
            </w:r>
            <w:r w:rsidRPr="00E91E62">
              <w:rPr>
                <w:smallCaps/>
                <w:sz w:val="17"/>
                <w:szCs w:val="17"/>
                <w:lang w:val="es-ES"/>
              </w:rPr>
              <w:t>pib</w:t>
            </w:r>
            <w:r w:rsidRPr="00E91E62">
              <w:rPr>
                <w:sz w:val="17"/>
                <w:szCs w:val="17"/>
                <w:lang w:val="es-ES"/>
              </w:rPr>
              <w:t xml:space="preserve"> </w:t>
            </w:r>
            <w:r>
              <w:rPr>
                <w:sz w:val="17"/>
                <w:szCs w:val="17"/>
              </w:rPr>
              <w:t>t</w:t>
            </w:r>
            <w:r w:rsidRPr="00E91E62">
              <w:rPr>
                <w:sz w:val="17"/>
                <w:szCs w:val="17"/>
              </w:rPr>
              <w:t xml:space="preserve">rimestral y con los del </w:t>
            </w:r>
            <w:r w:rsidRPr="00E91E62">
              <w:rPr>
                <w:smallCaps/>
                <w:sz w:val="17"/>
                <w:szCs w:val="17"/>
                <w:lang w:val="es-ES"/>
              </w:rPr>
              <w:t>pibe.</w:t>
            </w:r>
            <w:r w:rsidRPr="00E91E62">
              <w:rPr>
                <w:sz w:val="17"/>
                <w:szCs w:val="17"/>
                <w:lang w:val="es-ES"/>
              </w:rPr>
              <w:t xml:space="preserve"> </w:t>
            </w:r>
          </w:p>
        </w:tc>
      </w:tr>
      <w:tr w:rsidR="00D91018" w:rsidRPr="0013279C" w14:paraId="63470E0F" w14:textId="77777777" w:rsidTr="003979E8">
        <w:trPr>
          <w:trHeight w:val="227"/>
          <w:jc w:val="center"/>
        </w:trPr>
        <w:tc>
          <w:tcPr>
            <w:tcW w:w="969" w:type="pct"/>
            <w:vAlign w:val="center"/>
          </w:tcPr>
          <w:p w14:paraId="037AF887"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Publicación de resultados</w:t>
            </w:r>
          </w:p>
        </w:tc>
        <w:tc>
          <w:tcPr>
            <w:tcW w:w="4031" w:type="pct"/>
            <w:vAlign w:val="center"/>
          </w:tcPr>
          <w:p w14:paraId="1F9CF3F0" w14:textId="77777777" w:rsidR="00D91018" w:rsidRPr="00E91E62" w:rsidRDefault="00D91018" w:rsidP="003979E8">
            <w:pPr>
              <w:pStyle w:val="Texto"/>
              <w:keepNext/>
              <w:keepLines/>
              <w:autoSpaceDE w:val="0"/>
              <w:autoSpaceDN w:val="0"/>
              <w:adjustRightInd w:val="0"/>
              <w:spacing w:after="0" w:line="240" w:lineRule="auto"/>
              <w:ind w:firstLine="0"/>
              <w:rPr>
                <w:sz w:val="17"/>
                <w:szCs w:val="17"/>
              </w:rPr>
            </w:pPr>
            <w:r w:rsidRPr="00E91E62">
              <w:rPr>
                <w:sz w:val="17"/>
                <w:szCs w:val="17"/>
              </w:rPr>
              <w:t xml:space="preserve">El </w:t>
            </w:r>
            <w:r w:rsidRPr="00E91E62">
              <w:rPr>
                <w:smallCaps/>
                <w:sz w:val="17"/>
                <w:szCs w:val="17"/>
              </w:rPr>
              <w:t>itaee</w:t>
            </w:r>
            <w:r w:rsidRPr="00E91E62">
              <w:rPr>
                <w:sz w:val="17"/>
                <w:szCs w:val="17"/>
              </w:rPr>
              <w:t xml:space="preserve"> se publica, en promedio, 120 días después del trimestre de referencia conforme al Calendario de Difusión de Información Estadística y Geográfica y de Interés Nacional. </w:t>
            </w:r>
          </w:p>
        </w:tc>
      </w:tr>
      <w:tr w:rsidR="00D91018" w:rsidRPr="0013279C" w14:paraId="128A8F4A" w14:textId="77777777" w:rsidTr="003979E8">
        <w:trPr>
          <w:trHeight w:val="227"/>
          <w:jc w:val="center"/>
        </w:trPr>
        <w:tc>
          <w:tcPr>
            <w:tcW w:w="969" w:type="pct"/>
            <w:vAlign w:val="center"/>
          </w:tcPr>
          <w:p w14:paraId="37F3476A" w14:textId="77777777" w:rsidR="00D91018" w:rsidRPr="00E91E62" w:rsidRDefault="00D91018" w:rsidP="003979E8">
            <w:pPr>
              <w:pStyle w:val="Textoindependiente"/>
              <w:kinsoku w:val="0"/>
              <w:overflowPunct w:val="0"/>
              <w:spacing w:before="0"/>
              <w:jc w:val="right"/>
              <w:rPr>
                <w:b/>
                <w:bCs/>
                <w:color w:val="auto"/>
                <w:sz w:val="17"/>
                <w:szCs w:val="17"/>
              </w:rPr>
            </w:pPr>
            <w:r w:rsidRPr="00E91E62">
              <w:rPr>
                <w:b/>
                <w:bCs/>
                <w:color w:val="auto"/>
                <w:sz w:val="17"/>
                <w:szCs w:val="17"/>
              </w:rPr>
              <w:t xml:space="preserve">Nota al </w:t>
            </w:r>
            <w:r>
              <w:rPr>
                <w:b/>
                <w:bCs/>
                <w:color w:val="auto"/>
                <w:sz w:val="17"/>
                <w:szCs w:val="17"/>
              </w:rPr>
              <w:t>público usuario</w:t>
            </w:r>
          </w:p>
        </w:tc>
        <w:tc>
          <w:tcPr>
            <w:tcW w:w="4031" w:type="pct"/>
            <w:vAlign w:val="center"/>
          </w:tcPr>
          <w:p w14:paraId="0B0791EA" w14:textId="77777777" w:rsidR="00D91018" w:rsidRDefault="00D91018" w:rsidP="003979E8">
            <w:pPr>
              <w:pStyle w:val="Texto"/>
              <w:autoSpaceDE w:val="0"/>
              <w:autoSpaceDN w:val="0"/>
              <w:adjustRightInd w:val="0"/>
              <w:spacing w:after="0" w:line="240" w:lineRule="auto"/>
              <w:ind w:firstLine="0"/>
              <w:rPr>
                <w:sz w:val="17"/>
                <w:szCs w:val="17"/>
              </w:rPr>
            </w:pPr>
            <w:bookmarkStart w:id="5" w:name="_Hlk187782664"/>
            <w:r w:rsidRPr="0071747B">
              <w:rPr>
                <w:sz w:val="17"/>
                <w:szCs w:val="17"/>
              </w:rPr>
              <w:t>Este indicador se actualiza una vez que se dispone de la información estadística más reciente de las encuestas, los registros administrativos y los datos primarios</w:t>
            </w:r>
            <w:r>
              <w:rPr>
                <w:sz w:val="17"/>
                <w:szCs w:val="17"/>
              </w:rPr>
              <w:t>.</w:t>
            </w:r>
            <w:r w:rsidRPr="00AB515A">
              <w:rPr>
                <w:sz w:val="17"/>
                <w:szCs w:val="17"/>
              </w:rPr>
              <w:t xml:space="preserve"> Como resultado de incorporar esta información, se identifican diferencias en los niveles de los índices y variaciones que se publicaron oportunamente</w:t>
            </w:r>
            <w:r w:rsidRPr="00CD7976">
              <w:t>.</w:t>
            </w:r>
            <w:r w:rsidRPr="00EC464E">
              <w:rPr>
                <w:sz w:val="17"/>
                <w:szCs w:val="17"/>
                <w:lang w:val="es-ES_tradnl"/>
              </w:rPr>
              <w:t xml:space="preserve"> La actualización se hace con base en los</w:t>
            </w:r>
            <w:r w:rsidRPr="00FE4BD3">
              <w:rPr>
                <w:i/>
                <w:iCs/>
                <w:sz w:val="17"/>
                <w:szCs w:val="17"/>
                <w:lang w:val="es-ES_tradnl"/>
              </w:rPr>
              <w:t xml:space="preserve"> Lineamientos de cambios a la información divulgada en las publicaciones estadísticas y geográficas del Instituto Nacional de Estadística y Geografía</w:t>
            </w:r>
            <w:r>
              <w:rPr>
                <w:i/>
                <w:iCs/>
                <w:sz w:val="17"/>
                <w:szCs w:val="17"/>
                <w:lang w:val="es-ES_tradnl"/>
              </w:rPr>
              <w:t>,</w:t>
            </w:r>
            <w:r w:rsidRPr="00FE4BD3">
              <w:rPr>
                <w:i/>
                <w:iCs/>
                <w:sz w:val="17"/>
                <w:szCs w:val="17"/>
                <w:lang w:val="es-ES_tradnl"/>
              </w:rPr>
              <w:t xml:space="preserve"> </w:t>
            </w:r>
            <w:r w:rsidRPr="00EC464E">
              <w:rPr>
                <w:sz w:val="17"/>
                <w:szCs w:val="17"/>
                <w:lang w:val="es-ES_tradnl"/>
              </w:rPr>
              <w:t>que se complementan con las Normas Especiales para la Divulgación de Datos del Fondo Monetario Internacional</w:t>
            </w:r>
            <w:r>
              <w:rPr>
                <w:sz w:val="17"/>
                <w:szCs w:val="17"/>
                <w:lang w:val="es-ES_tradnl"/>
              </w:rPr>
              <w:t>.</w:t>
            </w:r>
          </w:p>
          <w:p w14:paraId="3C7580C5" w14:textId="77777777" w:rsidR="00D91018" w:rsidRPr="00E91E62" w:rsidRDefault="00D91018" w:rsidP="003979E8">
            <w:pPr>
              <w:pStyle w:val="Texto"/>
              <w:autoSpaceDE w:val="0"/>
              <w:autoSpaceDN w:val="0"/>
              <w:adjustRightInd w:val="0"/>
              <w:spacing w:after="0" w:line="240" w:lineRule="auto"/>
              <w:ind w:firstLine="0"/>
              <w:rPr>
                <w:sz w:val="17"/>
                <w:szCs w:val="17"/>
              </w:rPr>
            </w:pPr>
            <w:r w:rsidRPr="00A47C9B">
              <w:rPr>
                <w:sz w:val="17"/>
                <w:szCs w:val="17"/>
              </w:rPr>
              <w:t xml:space="preserve">En la integración del </w:t>
            </w:r>
            <w:r w:rsidRPr="00A610A5">
              <w:rPr>
                <w:smallCaps/>
                <w:sz w:val="17"/>
                <w:szCs w:val="17"/>
              </w:rPr>
              <w:t>itaee</w:t>
            </w:r>
            <w:r w:rsidRPr="00A47C9B">
              <w:rPr>
                <w:sz w:val="17"/>
                <w:szCs w:val="17"/>
              </w:rPr>
              <w:t xml:space="preserve"> </w:t>
            </w:r>
            <w:r>
              <w:rPr>
                <w:sz w:val="17"/>
                <w:szCs w:val="17"/>
              </w:rPr>
              <w:t>de</w:t>
            </w:r>
            <w:r w:rsidRPr="00A47C9B">
              <w:rPr>
                <w:sz w:val="17"/>
                <w:szCs w:val="17"/>
              </w:rPr>
              <w:t xml:space="preserve">l </w:t>
            </w:r>
            <w:r>
              <w:rPr>
                <w:sz w:val="17"/>
                <w:szCs w:val="17"/>
              </w:rPr>
              <w:t>segundo trimestre</w:t>
            </w:r>
            <w:r w:rsidRPr="00A47C9B">
              <w:rPr>
                <w:sz w:val="17"/>
                <w:szCs w:val="17"/>
              </w:rPr>
              <w:t xml:space="preserve"> de 202</w:t>
            </w:r>
            <w:r>
              <w:rPr>
                <w:sz w:val="17"/>
                <w:szCs w:val="17"/>
              </w:rPr>
              <w:t>6</w:t>
            </w:r>
            <w:r w:rsidRPr="00A47C9B">
              <w:rPr>
                <w:sz w:val="17"/>
                <w:szCs w:val="17"/>
              </w:rPr>
              <w:t xml:space="preserve"> se consideró la información estadística más reciente de las encuestas económicas, de la Estadística de la Industria Minerometalúrgica (</w:t>
            </w:r>
            <w:r w:rsidRPr="00A610A5">
              <w:rPr>
                <w:smallCaps/>
                <w:sz w:val="17"/>
                <w:szCs w:val="17"/>
              </w:rPr>
              <w:t>eimm</w:t>
            </w:r>
            <w:r w:rsidRPr="00A47C9B">
              <w:rPr>
                <w:sz w:val="17"/>
                <w:szCs w:val="17"/>
              </w:rPr>
              <w:t xml:space="preserve">), de la </w:t>
            </w:r>
            <w:r w:rsidRPr="00A610A5">
              <w:rPr>
                <w:smallCaps/>
                <w:sz w:val="17"/>
                <w:szCs w:val="17"/>
              </w:rPr>
              <w:t>enoe,</w:t>
            </w:r>
            <w:r w:rsidRPr="00A47C9B">
              <w:rPr>
                <w:sz w:val="17"/>
                <w:szCs w:val="17"/>
              </w:rPr>
              <w:t xml:space="preserve"> de los registros administrativos </w:t>
            </w:r>
            <w:r w:rsidRPr="001A1B39">
              <w:rPr>
                <w:sz w:val="17"/>
                <w:szCs w:val="17"/>
              </w:rPr>
              <w:t>y los datos</w:t>
            </w:r>
            <w:r w:rsidRPr="00A47C9B">
              <w:rPr>
                <w:sz w:val="17"/>
                <w:szCs w:val="17"/>
              </w:rPr>
              <w:t xml:space="preserve"> primarios que divulga el Instituto. Para las actividades agropecuarias, petroleras, de energía, gas y agua, de servicios financieros y del gobierno se incluyeron los registros administrativos provenientes de las empresas y Unidades del Estado que se recibieron oportunamente vía correo electrónico y por internet, lo que permitió la generación de </w:t>
            </w:r>
            <w:r>
              <w:rPr>
                <w:sz w:val="17"/>
                <w:szCs w:val="17"/>
              </w:rPr>
              <w:t>resultados</w:t>
            </w:r>
            <w:r w:rsidRPr="00A47C9B">
              <w:rPr>
                <w:sz w:val="17"/>
                <w:szCs w:val="17"/>
              </w:rPr>
              <w:t xml:space="preserve"> con niveles altos de cobertura.</w:t>
            </w:r>
          </w:p>
          <w:bookmarkEnd w:id="5"/>
          <w:p w14:paraId="02D9D957" w14:textId="77777777" w:rsidR="00D91018" w:rsidRPr="00E91E62" w:rsidRDefault="00D91018" w:rsidP="003979E8">
            <w:pPr>
              <w:pStyle w:val="Texto"/>
              <w:autoSpaceDE w:val="0"/>
              <w:autoSpaceDN w:val="0"/>
              <w:adjustRightInd w:val="0"/>
              <w:spacing w:after="0" w:line="240" w:lineRule="auto"/>
              <w:ind w:firstLine="0"/>
              <w:rPr>
                <w:sz w:val="17"/>
                <w:szCs w:val="17"/>
              </w:rPr>
            </w:pPr>
            <w:r w:rsidRPr="00E91E62">
              <w:rPr>
                <w:sz w:val="17"/>
                <w:szCs w:val="17"/>
              </w:rPr>
              <w:t xml:space="preserve">El </w:t>
            </w:r>
            <w:r w:rsidRPr="00E91E62">
              <w:rPr>
                <w:smallCaps/>
                <w:sz w:val="17"/>
                <w:szCs w:val="17"/>
              </w:rPr>
              <w:t xml:space="preserve">inegi </w:t>
            </w:r>
            <w:r w:rsidRPr="00E91E62">
              <w:rPr>
                <w:sz w:val="17"/>
                <w:szCs w:val="17"/>
              </w:rPr>
              <w:t>invita</w:t>
            </w:r>
            <w:r>
              <w:rPr>
                <w:sz w:val="17"/>
                <w:szCs w:val="17"/>
              </w:rPr>
              <w:t xml:space="preserve"> a</w:t>
            </w:r>
            <w:r w:rsidRPr="00E91E62">
              <w:rPr>
                <w:sz w:val="17"/>
                <w:szCs w:val="17"/>
              </w:rPr>
              <w:t xml:space="preserve"> conocer con mayor detalle la metodología del </w:t>
            </w:r>
            <w:r w:rsidRPr="00E91E62">
              <w:rPr>
                <w:smallCaps/>
                <w:sz w:val="17"/>
                <w:szCs w:val="17"/>
                <w:shd w:val="clear" w:color="auto" w:fill="FFFFFF"/>
              </w:rPr>
              <w:t>itaee</w:t>
            </w:r>
            <w:r w:rsidRPr="00E91E62">
              <w:rPr>
                <w:smallCaps/>
                <w:sz w:val="17"/>
                <w:szCs w:val="17"/>
              </w:rPr>
              <w:t xml:space="preserve"> </w:t>
            </w:r>
            <w:r w:rsidRPr="00E91E62">
              <w:rPr>
                <w:sz w:val="17"/>
                <w:szCs w:val="17"/>
              </w:rPr>
              <w:t>en la siguiente liga:</w:t>
            </w:r>
          </w:p>
          <w:p w14:paraId="7A7394ED" w14:textId="77777777" w:rsidR="00D91018" w:rsidRPr="00E91E62" w:rsidRDefault="00D91018" w:rsidP="003979E8">
            <w:pPr>
              <w:rPr>
                <w:rStyle w:val="Hipervnculo"/>
                <w:sz w:val="17"/>
                <w:szCs w:val="17"/>
              </w:rPr>
            </w:pPr>
            <w:hyperlink r:id="rId26" w:history="1">
              <w:r w:rsidRPr="00E91E62">
                <w:rPr>
                  <w:rStyle w:val="Hipervnculo"/>
                  <w:sz w:val="17"/>
                  <w:szCs w:val="17"/>
                </w:rPr>
                <w:t>https://www.inegi.org.mx/programas/itaee/2018/</w:t>
              </w:r>
            </w:hyperlink>
          </w:p>
          <w:p w14:paraId="3F253C64" w14:textId="77777777" w:rsidR="00D91018" w:rsidRPr="00E91E62" w:rsidRDefault="00D91018" w:rsidP="003979E8">
            <w:pPr>
              <w:rPr>
                <w:color w:val="0000FF"/>
                <w:sz w:val="17"/>
                <w:szCs w:val="17"/>
                <w:u w:val="single"/>
              </w:rPr>
            </w:pPr>
          </w:p>
        </w:tc>
      </w:tr>
    </w:tbl>
    <w:p w14:paraId="68A7BDE2" w14:textId="77777777" w:rsidR="00D91018" w:rsidRPr="00AA037A" w:rsidRDefault="00D91018" w:rsidP="00D91018">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La información estadística y geográfica que genera el</w:t>
      </w:r>
      <w:r w:rsidRPr="00A53062">
        <w:rPr>
          <w:rFonts w:ascii="Arial" w:hAnsi="Arial" w:cs="Arial"/>
          <w:i/>
          <w:iCs/>
          <w:smallCaps/>
          <w:color w:val="404040" w:themeColor="text1" w:themeTint="BF"/>
          <w:sz w:val="20"/>
          <w:szCs w:val="20"/>
          <w:lang w:val="es-ES_tradnl"/>
        </w:rPr>
        <w:t xml:space="preserve"> inegi</w:t>
      </w:r>
      <w:r w:rsidRPr="00AA037A">
        <w:rPr>
          <w:rFonts w:ascii="Arial" w:hAnsi="Arial" w:cs="Arial"/>
          <w:i/>
          <w:iCs/>
          <w:color w:val="404040" w:themeColor="text1" w:themeTint="BF"/>
          <w:sz w:val="20"/>
          <w:szCs w:val="20"/>
          <w:lang w:val="es-ES_tradnl"/>
        </w:rPr>
        <w:t xml:space="preserve"> es un bien público y nos permite </w:t>
      </w:r>
    </w:p>
    <w:p w14:paraId="062C6331" w14:textId="77777777" w:rsidR="00D91018" w:rsidRPr="00AA037A" w:rsidRDefault="00D91018" w:rsidP="00D91018">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a todas y a todos tomar mejores decisiones. ¡Conócela, úsala y compártela!</w:t>
      </w:r>
    </w:p>
    <w:p w14:paraId="6FE60B57" w14:textId="77777777" w:rsidR="00D91018" w:rsidRPr="00F03105" w:rsidRDefault="00D91018" w:rsidP="00D91018">
      <w:pPr>
        <w:contextualSpacing/>
        <w:jc w:val="center"/>
        <w:rPr>
          <w:sz w:val="16"/>
          <w:szCs w:val="16"/>
          <w:lang w:val="es-ES" w:eastAsia="es-MX"/>
        </w:rPr>
      </w:pPr>
      <w:r w:rsidRPr="00642716">
        <w:rPr>
          <w:noProof/>
        </w:rPr>
        <w:drawing>
          <wp:inline distT="0" distB="0" distL="0" distR="0" wp14:anchorId="64F90615" wp14:editId="406B4B24">
            <wp:extent cx="229711" cy="222140"/>
            <wp:effectExtent l="0" t="0" r="0" b="6985"/>
            <wp:docPr id="21" name="Imagen 21" descr="Icon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6F2E730D" wp14:editId="6400A4CB">
            <wp:extent cx="234725" cy="234725"/>
            <wp:effectExtent l="0" t="0" r="0" b="0"/>
            <wp:docPr id="2097748279" name="Imagen 2097748279" descr="Icono&#10;&#10;Descripción generada automáticamen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07BEEF51" wp14:editId="42EFBBA9">
            <wp:extent cx="237490" cy="237490"/>
            <wp:effectExtent l="0" t="0" r="0" b="0"/>
            <wp:docPr id="384343980" name="Imagen 384343980" descr="Imagen que contiene objeto, reloj&#10;&#10;Descripción generada automáticament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01FF15F2" wp14:editId="31F98655">
            <wp:extent cx="233654" cy="233654"/>
            <wp:effectExtent l="0" t="0" r="0" b="0"/>
            <wp:docPr id="22" name="Imagen 22" descr="Logotipo&#10;&#10;Descripción generada automáticamen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642716">
        <w:rPr>
          <w:noProof/>
        </w:rPr>
        <w:t xml:space="preserve"> </w:t>
      </w:r>
      <w:r>
        <w:rPr>
          <w:noProof/>
        </w:rPr>
        <w:t xml:space="preserve">   </w:t>
      </w:r>
      <w:r w:rsidRPr="00642716">
        <w:rPr>
          <w:noProof/>
        </w:rPr>
        <w:t xml:space="preserve"> </w:t>
      </w:r>
      <w:r w:rsidRPr="00642716">
        <w:rPr>
          <w:noProof/>
        </w:rPr>
        <w:drawing>
          <wp:inline distT="0" distB="0" distL="0" distR="0" wp14:anchorId="4CA3452B" wp14:editId="59A0399B">
            <wp:extent cx="1436914" cy="152592"/>
            <wp:effectExtent l="0" t="0" r="0" b="0"/>
            <wp:docPr id="1297389716" name="Imagen 1297389716" descr="Icono&#10;&#10;Descripción generada automáticamen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bookmarkEnd w:id="3"/>
    </w:p>
    <w:sectPr w:rsidR="00D91018" w:rsidRPr="00F03105" w:rsidSect="00E84787">
      <w:headerReference w:type="default" r:id="rId37"/>
      <w:pgSz w:w="12242" w:h="15842" w:code="1"/>
      <w:pgMar w:top="2268" w:right="1134" w:bottom="993" w:left="1134" w:header="284" w:footer="0" w:gutter="0"/>
      <w:paperSrc w:first="15" w:other="15"/>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7FC14" w14:textId="77777777" w:rsidR="005F2A93" w:rsidRDefault="005F2A93">
      <w:r>
        <w:separator/>
      </w:r>
    </w:p>
  </w:endnote>
  <w:endnote w:type="continuationSeparator" w:id="0">
    <w:p w14:paraId="14A6323C" w14:textId="77777777" w:rsidR="005F2A93" w:rsidRDefault="005F2A93">
      <w:r>
        <w:continuationSeparator/>
      </w:r>
    </w:p>
  </w:endnote>
  <w:endnote w:type="continuationNotice" w:id="1">
    <w:p w14:paraId="623E373F" w14:textId="77777777" w:rsidR="005F2A93" w:rsidRDefault="005F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6739C" w14:textId="77777777" w:rsidR="005F2A93" w:rsidRDefault="005F2A93">
      <w:r>
        <w:separator/>
      </w:r>
    </w:p>
  </w:footnote>
  <w:footnote w:type="continuationSeparator" w:id="0">
    <w:p w14:paraId="6375A188" w14:textId="77777777" w:rsidR="005F2A93" w:rsidRDefault="005F2A93">
      <w:r>
        <w:continuationSeparator/>
      </w:r>
    </w:p>
  </w:footnote>
  <w:footnote w:type="continuationNotice" w:id="1">
    <w:p w14:paraId="78673DE7" w14:textId="77777777" w:rsidR="005F2A93" w:rsidRDefault="005F2A93"/>
  </w:footnote>
  <w:footnote w:id="2">
    <w:p w14:paraId="02224CFD" w14:textId="57C0022F" w:rsidR="00D91018" w:rsidRDefault="00D91018" w:rsidP="00D91018">
      <w:pPr>
        <w:pStyle w:val="Textonotapie"/>
        <w:ind w:left="142" w:right="21" w:hanging="142"/>
        <w:rPr>
          <w:sz w:val="16"/>
          <w:szCs w:val="16"/>
          <w:lang w:val="es-MX"/>
        </w:rPr>
      </w:pPr>
      <w:r w:rsidRPr="004C59F9">
        <w:rPr>
          <w:rStyle w:val="Refdenotaalpie"/>
          <w:sz w:val="16"/>
          <w:szCs w:val="16"/>
        </w:rPr>
        <w:footnoteRef/>
      </w:r>
      <w:r w:rsidRPr="00BD657E">
        <w:rPr>
          <w:sz w:val="10"/>
          <w:szCs w:val="10"/>
        </w:rPr>
        <w:t xml:space="preserve">  </w:t>
      </w:r>
      <w:r w:rsidR="008D695D">
        <w:rPr>
          <w:sz w:val="10"/>
          <w:szCs w:val="10"/>
        </w:rPr>
        <w:t xml:space="preserve"> </w:t>
      </w:r>
      <w:r>
        <w:rPr>
          <w:sz w:val="16"/>
          <w:szCs w:val="16"/>
        </w:rPr>
        <w:t xml:space="preserve">Para este análisis, el país se divide en cinco regiones: </w:t>
      </w:r>
      <w:r w:rsidRPr="009B6C71">
        <w:rPr>
          <w:sz w:val="16"/>
          <w:szCs w:val="16"/>
        </w:rPr>
        <w:t>norte (Baja California, Baja California Sur, Coahuila, Chihuahua, Nuevo León, Sinaloa, Sonora y Tamaulipas), centro-norte (</w:t>
      </w:r>
      <w:r w:rsidRPr="00F277C6">
        <w:rPr>
          <w:sz w:val="16"/>
          <w:szCs w:val="16"/>
        </w:rPr>
        <w:t>Aguascalientes, Colima, Durango, Guanajuato, Jalisco, Nayarit, San Luis Potosí y Zacatecas</w:t>
      </w:r>
      <w:r w:rsidRPr="009B6C71">
        <w:rPr>
          <w:sz w:val="16"/>
          <w:szCs w:val="16"/>
        </w:rPr>
        <w:t>), centro (Ciudad de México y el estado de México), centro-sur (Guerrero, Hidalgo, Michoacán, Morelos, Puebla, Querétaro y Tlaxcala) y sur-sureste (Campeche, Chiapas, Oaxaca, Quintana Roo, Tabasco, Veracruz y Yucatán).</w:t>
      </w:r>
      <w:r>
        <w:rPr>
          <w:sz w:val="16"/>
          <w:szCs w:val="16"/>
        </w:rPr>
        <w:t xml:space="preserve"> La división corresponde a la Ley del Sistema Nacional de Información Estadística y Geográfica p</w:t>
      </w:r>
      <w:r>
        <w:rPr>
          <w:color w:val="000000"/>
          <w:sz w:val="16"/>
          <w:szCs w:val="16"/>
          <w:lang w:eastAsia="es-MX"/>
        </w:rPr>
        <w:t>ara los fines estadísticos deseados. Además, corresponde a características económicas y geográficas homogéneas para las entidades que conforman cada región.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0F57A9FD" w:rsidR="009D653F" w:rsidRPr="007325AE" w:rsidRDefault="006A5FA6" w:rsidP="00E84787">
    <w:pPr>
      <w:pStyle w:val="Encabezado"/>
      <w:tabs>
        <w:tab w:val="clear" w:pos="4320"/>
        <w:tab w:val="clear" w:pos="8640"/>
      </w:tabs>
      <w:jc w:val="right"/>
      <w:rPr>
        <w:rFonts w:ascii="Arial Black" w:hAnsi="Arial Black"/>
        <w:b/>
        <w:color w:val="07BFBA"/>
      </w:rPr>
    </w:pPr>
    <w:r w:rsidRPr="007325AE">
      <w:rPr>
        <w:rFonts w:ascii="Arial Black" w:hAnsi="Arial Black"/>
        <w:b/>
        <w:noProof/>
        <w:color w:val="07BFBA"/>
      </w:rPr>
      <mc:AlternateContent>
        <mc:Choice Requires="wpg">
          <w:drawing>
            <wp:anchor distT="0" distB="0" distL="114300" distR="114300" simplePos="0" relativeHeight="251658240" behindDoc="1" locked="0" layoutInCell="1" allowOverlap="1" wp14:anchorId="1454B621" wp14:editId="592587E6">
              <wp:simplePos x="0" y="0"/>
              <wp:positionH relativeFrom="column">
                <wp:posOffset>-720090</wp:posOffset>
              </wp:positionH>
              <wp:positionV relativeFrom="paragraph">
                <wp:posOffset>-180340</wp:posOffset>
              </wp:positionV>
              <wp:extent cx="7768590" cy="1227455"/>
              <wp:effectExtent l="0" t="0" r="3810" b="0"/>
              <wp:wrapNone/>
              <wp:docPr id="802304702" name="Grupo 5"/>
              <wp:cNvGraphicFramePr/>
              <a:graphic xmlns:a="http://schemas.openxmlformats.org/drawingml/2006/main">
                <a:graphicData uri="http://schemas.microsoft.com/office/word/2010/wordprocessingGroup">
                  <wpg:wgp>
                    <wpg:cNvGrpSpPr/>
                    <wpg:grpSpPr>
                      <a:xfrm>
                        <a:off x="0" y="0"/>
                        <a:ext cx="7768590" cy="1227455"/>
                        <a:chOff x="0" y="0"/>
                        <a:chExt cx="7768590" cy="1227455"/>
                      </a:xfrm>
                    </wpg:grpSpPr>
                    <pic:pic xmlns:pic="http://schemas.openxmlformats.org/drawingml/2006/picture">
                      <pic:nvPicPr>
                        <pic:cNvPr id="41085300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1163354351"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6890" y="460858"/>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w:pict>
            <v:group w14:anchorId="64E0CBBF" id="Grupo 5" o:spid="_x0000_s1026" style="position:absolute;margin-left:-56.7pt;margin-top:-14.2pt;width:611.7pt;height:96.65pt;z-index:-251658240"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GlsbHVzdHJhdG9yOkNyZWF0b3JTdWJUb29sPkFk&#10;b2JlIElsbHVzdHJhdG9yPC9pbGx1c3RyYXRvcjpDcmVhdG9yU3ViVG9vbD4KICAgICAgICAgPHBk&#10;ZjpQcm9kdWNlcj5BZG9iZSBQREYgbGlicmFyeSAxNS4wMDwvcGRmOlByb2R1Y2Vy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AAAAAAACVV+kn9XVMazbXzV+Qm3r6ZMlsOr/H3YOtYk0N2LZdWybC6u65hT2x1&#10;klnj/u27DJbdHSK/+R+2t1cKSzUnaiUu0AAAAAAAAAAAAAA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">
                <v:imagedata r:id="rId3" o:title="Gráfico, Icono&#10;&#10;Descripción generada automáticamente"/>
              </v:shape>
              <v:shape id="Imagen 277445007" o:spid="_x0000_s1028" type="#_x0000_t75" style="position:absolute;left:7168;top:4608;width:1590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">
                <v:imagedata r:id="rId4" o:title="" croptop="1051f" cropbottom="1051f"/>
              </v:shape>
            </v:group>
          </w:pict>
        </mc:Fallback>
      </mc:AlternateContent>
    </w:r>
    <w:r w:rsidR="009D653F" w:rsidRPr="007325AE">
      <w:rPr>
        <w:rFonts w:ascii="Arial Black" w:hAnsi="Arial Black"/>
        <w:b/>
        <w:color w:val="07BFBA"/>
      </w:rPr>
      <w:t>BOLETÍN DE INDICADOR</w:t>
    </w:r>
    <w:r w:rsidR="00C56C5B">
      <w:rPr>
        <w:rFonts w:ascii="Arial Black" w:hAnsi="Arial Black"/>
        <w:b/>
        <w:color w:val="07BFBA"/>
      </w:rPr>
      <w:t xml:space="preserve"> </w:t>
    </w:r>
    <w:r w:rsidR="002A5722">
      <w:rPr>
        <w:rFonts w:ascii="Arial Black" w:hAnsi="Arial Black"/>
        <w:b/>
        <w:color w:val="07BFBA"/>
      </w:rPr>
      <w:t>643</w:t>
    </w:r>
    <w:r w:rsidR="00C56C5B" w:rsidRPr="00831CF4">
      <w:rPr>
        <w:rFonts w:ascii="Arial Black" w:hAnsi="Arial Black"/>
        <w:b/>
        <w:color w:val="07BFBA"/>
      </w:rPr>
      <w:t>/2</w:t>
    </w:r>
    <w:r w:rsidR="00046E13">
      <w:rPr>
        <w:rFonts w:ascii="Arial Black" w:hAnsi="Arial Black"/>
        <w:b/>
        <w:color w:val="07BFBA"/>
      </w:rPr>
      <w:t>6</w:t>
    </w:r>
  </w:p>
  <w:p w14:paraId="33E53F3E" w14:textId="77777777" w:rsidR="00311F8C" w:rsidRPr="007325AE" w:rsidRDefault="00311F8C" w:rsidP="00E84787">
    <w:pPr>
      <w:pStyle w:val="Encabezado"/>
      <w:tabs>
        <w:tab w:val="clear" w:pos="4320"/>
        <w:tab w:val="clear" w:pos="8640"/>
      </w:tabs>
      <w:spacing w:before="240"/>
      <w:jc w:val="right"/>
      <w:rPr>
        <w:b/>
        <w:bCs/>
        <w:noProof/>
        <w:color w:val="404040"/>
      </w:rPr>
    </w:pPr>
    <w:r w:rsidRPr="007325AE">
      <w:rPr>
        <w:b/>
        <w:bCs/>
        <w:noProof/>
        <w:color w:val="404040"/>
      </w:rPr>
      <w:t>INDICADOR TRIMESTRAL DE LA ACTIVIDAD</w:t>
    </w:r>
  </w:p>
  <w:p w14:paraId="54738DD5" w14:textId="7CB7FB38" w:rsidR="00C463BA" w:rsidRDefault="00311F8C" w:rsidP="00E84787">
    <w:pPr>
      <w:pStyle w:val="Encabezado"/>
      <w:tabs>
        <w:tab w:val="clear" w:pos="4320"/>
        <w:tab w:val="clear" w:pos="8640"/>
      </w:tabs>
      <w:jc w:val="right"/>
      <w:rPr>
        <w:b/>
        <w:bCs/>
        <w:noProof/>
        <w:color w:val="404040"/>
      </w:rPr>
    </w:pPr>
    <w:r w:rsidRPr="007325AE">
      <w:rPr>
        <w:b/>
        <w:bCs/>
        <w:noProof/>
        <w:color w:val="404040"/>
      </w:rPr>
      <w:t>ECONÓMICA ESTATAL (ITAEE)</w:t>
    </w:r>
  </w:p>
  <w:p w14:paraId="38A66BE0" w14:textId="72E843EA" w:rsidR="002350DB" w:rsidRPr="007325AE" w:rsidRDefault="00780E9F" w:rsidP="00E84787">
    <w:pPr>
      <w:pStyle w:val="Encabezado"/>
      <w:tabs>
        <w:tab w:val="clear" w:pos="4320"/>
        <w:tab w:val="clear" w:pos="8640"/>
      </w:tabs>
      <w:jc w:val="right"/>
      <w:rPr>
        <w:b/>
        <w:color w:val="404040"/>
      </w:rPr>
    </w:pPr>
    <w:r>
      <w:rPr>
        <w:b/>
        <w:bCs/>
        <w:noProof/>
        <w:color w:val="404040"/>
      </w:rPr>
      <w:t>BAJA CALIFORNIA SUR</w:t>
    </w:r>
  </w:p>
  <w:p w14:paraId="5B29BBFA" w14:textId="7B18A08E" w:rsidR="009D653F" w:rsidRPr="007325AE" w:rsidRDefault="00882A4F" w:rsidP="00E84787">
    <w:pPr>
      <w:pStyle w:val="Encabezado"/>
      <w:tabs>
        <w:tab w:val="clear" w:pos="4320"/>
        <w:tab w:val="clear" w:pos="8640"/>
      </w:tabs>
      <w:jc w:val="right"/>
      <w:rPr>
        <w:bCs/>
        <w:color w:val="404040"/>
      </w:rPr>
    </w:pPr>
    <w:r>
      <w:rPr>
        <w:bCs/>
        <w:color w:val="404040"/>
      </w:rPr>
      <w:t>29</w:t>
    </w:r>
    <w:r w:rsidR="007325AE">
      <w:rPr>
        <w:bCs/>
        <w:color w:val="404040"/>
      </w:rPr>
      <w:t xml:space="preserve"> de </w:t>
    </w:r>
    <w:r w:rsidR="0084387E">
      <w:rPr>
        <w:bCs/>
        <w:color w:val="404040"/>
      </w:rPr>
      <w:t>octubre</w:t>
    </w:r>
    <w:r w:rsidR="005D4AF4" w:rsidRPr="007325AE">
      <w:rPr>
        <w:bCs/>
        <w:color w:val="404040"/>
      </w:rPr>
      <w:t xml:space="preserve"> </w:t>
    </w:r>
    <w:r w:rsidR="003E5CAB" w:rsidRPr="007325AE">
      <w:rPr>
        <w:bCs/>
        <w:color w:val="404040"/>
      </w:rPr>
      <w:t>de</w:t>
    </w:r>
    <w:r w:rsidR="009D653F" w:rsidRPr="007325AE">
      <w:rPr>
        <w:bCs/>
        <w:color w:val="404040"/>
      </w:rPr>
      <w:t xml:space="preserve"> 202</w:t>
    </w:r>
    <w:r w:rsidR="005D4AF4">
      <w:rPr>
        <w:bCs/>
        <w:color w:val="404040"/>
      </w:rPr>
      <w:t>6</w:t>
    </w:r>
  </w:p>
  <w:p w14:paraId="426703C4" w14:textId="28E68AAE" w:rsidR="00A21624" w:rsidRPr="007325AE" w:rsidRDefault="009D653F" w:rsidP="00E84787">
    <w:pPr>
      <w:pStyle w:val="Encabezado"/>
      <w:tabs>
        <w:tab w:val="clear" w:pos="4320"/>
        <w:tab w:val="clear" w:pos="8640"/>
      </w:tabs>
      <w:jc w:val="right"/>
      <w:rPr>
        <w:bCs/>
        <w:color w:val="404040"/>
      </w:rPr>
    </w:pPr>
    <w:r w:rsidRPr="007325AE">
      <w:rPr>
        <w:bCs/>
        <w:color w:val="404040"/>
      </w:rPr>
      <w:t xml:space="preserve">Página </w:t>
    </w:r>
    <w:r w:rsidRPr="007325AE">
      <w:rPr>
        <w:bCs/>
        <w:color w:val="404040"/>
      </w:rPr>
      <w:fldChar w:fldCharType="begin"/>
    </w:r>
    <w:r w:rsidRPr="007325AE">
      <w:rPr>
        <w:bCs/>
        <w:color w:val="404040"/>
      </w:rPr>
      <w:instrText xml:space="preserve"> PAGE  \* Arabic </w:instrText>
    </w:r>
    <w:r w:rsidRPr="007325AE">
      <w:rPr>
        <w:bCs/>
        <w:color w:val="404040"/>
      </w:rPr>
      <w:fldChar w:fldCharType="separate"/>
    </w:r>
    <w:r w:rsidRPr="007325AE">
      <w:rPr>
        <w:bCs/>
        <w:color w:val="404040"/>
      </w:rPr>
      <w:t>1</w:t>
    </w:r>
    <w:r w:rsidRPr="007325AE">
      <w:rPr>
        <w:bCs/>
        <w:color w:val="404040"/>
      </w:rPr>
      <w:fldChar w:fldCharType="end"/>
    </w:r>
    <w:r w:rsidRPr="007325AE">
      <w:rPr>
        <w:bCs/>
        <w:color w:val="404040"/>
      </w:rPr>
      <w:t>/</w:t>
    </w:r>
    <w:r w:rsidR="0048518E" w:rsidRPr="007325AE">
      <w:rPr>
        <w:bCs/>
        <w:color w:val="404040"/>
      </w:rPr>
      <w:t>1</w:t>
    </w:r>
    <w:r w:rsidR="00D63C73" w:rsidRPr="007325AE">
      <w:rPr>
        <w:bCs/>
        <w:color w:val="40404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71271AE"/>
    <w:multiLevelType w:val="hybridMultilevel"/>
    <w:tmpl w:val="8A987FEE"/>
    <w:lvl w:ilvl="0" w:tplc="609CC2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5" w15:restartNumberingAfterBreak="0">
    <w:nsid w:val="0B3F19FA"/>
    <w:multiLevelType w:val="hybridMultilevel"/>
    <w:tmpl w:val="B388F7A8"/>
    <w:lvl w:ilvl="0" w:tplc="0C32261E">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7"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0" w15:restartNumberingAfterBreak="0">
    <w:nsid w:val="18E07E62"/>
    <w:multiLevelType w:val="hybridMultilevel"/>
    <w:tmpl w:val="A01859F8"/>
    <w:lvl w:ilvl="0" w:tplc="CCB83306">
      <w:start w:val="1"/>
      <w:numFmt w:val="upperRoman"/>
      <w:lvlText w:val="%1I."/>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261F2BAE"/>
    <w:multiLevelType w:val="singleLevel"/>
    <w:tmpl w:val="FFFFFFFF"/>
    <w:lvl w:ilvl="0">
      <w:numFmt w:val="decimal"/>
      <w:lvlText w:val="*"/>
      <w:lvlJc w:val="left"/>
    </w:lvl>
  </w:abstractNum>
  <w:abstractNum w:abstractNumId="15"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6"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7" w15:restartNumberingAfterBreak="0">
    <w:nsid w:val="2C8D6BF8"/>
    <w:multiLevelType w:val="hybridMultilevel"/>
    <w:tmpl w:val="C450D3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82931C1"/>
    <w:multiLevelType w:val="hybridMultilevel"/>
    <w:tmpl w:val="D04C7B3A"/>
    <w:lvl w:ilvl="0" w:tplc="FFFFFFFF">
      <w:start w:val="1"/>
      <w:numFmt w:val="bullet"/>
      <w:lvlText w:val=""/>
      <w:lvlJc w:val="left"/>
      <w:pPr>
        <w:tabs>
          <w:tab w:val="num" w:pos="1723"/>
        </w:tabs>
        <w:ind w:left="1723" w:hanging="360"/>
      </w:pPr>
      <w:rPr>
        <w:rFonts w:ascii="Symbol" w:hAnsi="Symbol" w:hint="default"/>
      </w:rPr>
    </w:lvl>
    <w:lvl w:ilvl="1" w:tplc="FFFFFFFF" w:tentative="1">
      <w:start w:val="1"/>
      <w:numFmt w:val="bullet"/>
      <w:lvlText w:val="o"/>
      <w:lvlJc w:val="left"/>
      <w:pPr>
        <w:tabs>
          <w:tab w:val="num" w:pos="2443"/>
        </w:tabs>
        <w:ind w:left="2443" w:hanging="360"/>
      </w:pPr>
      <w:rPr>
        <w:rFonts w:ascii="Courier New" w:hAnsi="Courier New" w:hint="default"/>
      </w:rPr>
    </w:lvl>
    <w:lvl w:ilvl="2" w:tplc="FFFFFFFF" w:tentative="1">
      <w:start w:val="1"/>
      <w:numFmt w:val="bullet"/>
      <w:lvlText w:val=""/>
      <w:lvlJc w:val="left"/>
      <w:pPr>
        <w:tabs>
          <w:tab w:val="num" w:pos="3163"/>
        </w:tabs>
        <w:ind w:left="3163" w:hanging="360"/>
      </w:pPr>
      <w:rPr>
        <w:rFonts w:ascii="Wingdings" w:hAnsi="Wingdings" w:hint="default"/>
      </w:rPr>
    </w:lvl>
    <w:lvl w:ilvl="3" w:tplc="FFFFFFFF" w:tentative="1">
      <w:start w:val="1"/>
      <w:numFmt w:val="bullet"/>
      <w:lvlText w:val=""/>
      <w:lvlJc w:val="left"/>
      <w:pPr>
        <w:tabs>
          <w:tab w:val="num" w:pos="3883"/>
        </w:tabs>
        <w:ind w:left="3883" w:hanging="360"/>
      </w:pPr>
      <w:rPr>
        <w:rFonts w:ascii="Symbol" w:hAnsi="Symbol" w:hint="default"/>
      </w:rPr>
    </w:lvl>
    <w:lvl w:ilvl="4" w:tplc="FFFFFFFF" w:tentative="1">
      <w:start w:val="1"/>
      <w:numFmt w:val="bullet"/>
      <w:lvlText w:val="o"/>
      <w:lvlJc w:val="left"/>
      <w:pPr>
        <w:tabs>
          <w:tab w:val="num" w:pos="4603"/>
        </w:tabs>
        <w:ind w:left="4603" w:hanging="360"/>
      </w:pPr>
      <w:rPr>
        <w:rFonts w:ascii="Courier New" w:hAnsi="Courier New" w:hint="default"/>
      </w:rPr>
    </w:lvl>
    <w:lvl w:ilvl="5" w:tplc="FFFFFFFF" w:tentative="1">
      <w:start w:val="1"/>
      <w:numFmt w:val="bullet"/>
      <w:lvlText w:val=""/>
      <w:lvlJc w:val="left"/>
      <w:pPr>
        <w:tabs>
          <w:tab w:val="num" w:pos="5323"/>
        </w:tabs>
        <w:ind w:left="5323" w:hanging="360"/>
      </w:pPr>
      <w:rPr>
        <w:rFonts w:ascii="Wingdings" w:hAnsi="Wingdings" w:hint="default"/>
      </w:rPr>
    </w:lvl>
    <w:lvl w:ilvl="6" w:tplc="FFFFFFFF" w:tentative="1">
      <w:start w:val="1"/>
      <w:numFmt w:val="bullet"/>
      <w:lvlText w:val=""/>
      <w:lvlJc w:val="left"/>
      <w:pPr>
        <w:tabs>
          <w:tab w:val="num" w:pos="6043"/>
        </w:tabs>
        <w:ind w:left="6043" w:hanging="360"/>
      </w:pPr>
      <w:rPr>
        <w:rFonts w:ascii="Symbol" w:hAnsi="Symbol" w:hint="default"/>
      </w:rPr>
    </w:lvl>
    <w:lvl w:ilvl="7" w:tplc="FFFFFFFF" w:tentative="1">
      <w:start w:val="1"/>
      <w:numFmt w:val="bullet"/>
      <w:lvlText w:val="o"/>
      <w:lvlJc w:val="left"/>
      <w:pPr>
        <w:tabs>
          <w:tab w:val="num" w:pos="6763"/>
        </w:tabs>
        <w:ind w:left="6763" w:hanging="360"/>
      </w:pPr>
      <w:rPr>
        <w:rFonts w:ascii="Courier New" w:hAnsi="Courier New" w:hint="default"/>
      </w:rPr>
    </w:lvl>
    <w:lvl w:ilvl="8" w:tplc="FFFFFFFF" w:tentative="1">
      <w:start w:val="1"/>
      <w:numFmt w:val="bullet"/>
      <w:lvlText w:val=""/>
      <w:lvlJc w:val="left"/>
      <w:pPr>
        <w:tabs>
          <w:tab w:val="num" w:pos="7483"/>
        </w:tabs>
        <w:ind w:left="7483" w:hanging="360"/>
      </w:pPr>
      <w:rPr>
        <w:rFonts w:ascii="Wingdings" w:hAnsi="Wingdings" w:hint="default"/>
      </w:rPr>
    </w:lvl>
  </w:abstractNum>
  <w:abstractNum w:abstractNumId="22"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CA65FA4"/>
    <w:multiLevelType w:val="hybridMultilevel"/>
    <w:tmpl w:val="6E0A0A3A"/>
    <w:lvl w:ilvl="0" w:tplc="C99265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7"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961592E"/>
    <w:multiLevelType w:val="hybridMultilevel"/>
    <w:tmpl w:val="683AD13C"/>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3F0DA8"/>
    <w:multiLevelType w:val="hybridMultilevel"/>
    <w:tmpl w:val="C466FEE4"/>
    <w:lvl w:ilvl="0" w:tplc="2BEA138A">
      <w:start w:val="1"/>
      <w:numFmt w:val="upperRoman"/>
      <w:lvlText w:val="%1."/>
      <w:lvlJc w:val="center"/>
      <w:pPr>
        <w:ind w:left="1440" w:hanging="360"/>
      </w:pPr>
      <w:rPr>
        <w:rFonts w:ascii="Arial" w:hAnsi="Arial" w:hint="default"/>
        <w:b/>
        <w:bCs w:val="0"/>
        <w:i w:val="0"/>
        <w:sz w:val="26"/>
        <w:szCs w:val="26"/>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0"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55E36E8"/>
    <w:multiLevelType w:val="hybridMultilevel"/>
    <w:tmpl w:val="7C0C4F44"/>
    <w:lvl w:ilvl="0" w:tplc="32903B5A">
      <w:start w:val="1"/>
      <w:numFmt w:val="decimal"/>
      <w:lvlText w:val="%1"/>
      <w:lvlJc w:val="left"/>
      <w:pPr>
        <w:ind w:left="700" w:hanging="570"/>
      </w:pPr>
      <w:rPr>
        <w:rFonts w:hint="default"/>
        <w:vertAlign w:val="superscript"/>
      </w:rPr>
    </w:lvl>
    <w:lvl w:ilvl="1" w:tplc="080A0019" w:tentative="1">
      <w:start w:val="1"/>
      <w:numFmt w:val="lowerLetter"/>
      <w:lvlText w:val="%2."/>
      <w:lvlJc w:val="left"/>
      <w:pPr>
        <w:ind w:left="1210" w:hanging="360"/>
      </w:pPr>
    </w:lvl>
    <w:lvl w:ilvl="2" w:tplc="080A001B" w:tentative="1">
      <w:start w:val="1"/>
      <w:numFmt w:val="lowerRoman"/>
      <w:lvlText w:val="%3."/>
      <w:lvlJc w:val="right"/>
      <w:pPr>
        <w:ind w:left="1930" w:hanging="180"/>
      </w:pPr>
    </w:lvl>
    <w:lvl w:ilvl="3" w:tplc="080A000F" w:tentative="1">
      <w:start w:val="1"/>
      <w:numFmt w:val="decimal"/>
      <w:lvlText w:val="%4."/>
      <w:lvlJc w:val="left"/>
      <w:pPr>
        <w:ind w:left="2650" w:hanging="360"/>
      </w:pPr>
    </w:lvl>
    <w:lvl w:ilvl="4" w:tplc="080A0019" w:tentative="1">
      <w:start w:val="1"/>
      <w:numFmt w:val="lowerLetter"/>
      <w:lvlText w:val="%5."/>
      <w:lvlJc w:val="left"/>
      <w:pPr>
        <w:ind w:left="3370" w:hanging="360"/>
      </w:pPr>
    </w:lvl>
    <w:lvl w:ilvl="5" w:tplc="080A001B" w:tentative="1">
      <w:start w:val="1"/>
      <w:numFmt w:val="lowerRoman"/>
      <w:lvlText w:val="%6."/>
      <w:lvlJc w:val="right"/>
      <w:pPr>
        <w:ind w:left="4090" w:hanging="180"/>
      </w:pPr>
    </w:lvl>
    <w:lvl w:ilvl="6" w:tplc="080A000F" w:tentative="1">
      <w:start w:val="1"/>
      <w:numFmt w:val="decimal"/>
      <w:lvlText w:val="%7."/>
      <w:lvlJc w:val="left"/>
      <w:pPr>
        <w:ind w:left="4810" w:hanging="360"/>
      </w:pPr>
    </w:lvl>
    <w:lvl w:ilvl="7" w:tplc="080A0019" w:tentative="1">
      <w:start w:val="1"/>
      <w:numFmt w:val="lowerLetter"/>
      <w:lvlText w:val="%8."/>
      <w:lvlJc w:val="left"/>
      <w:pPr>
        <w:ind w:left="5530" w:hanging="360"/>
      </w:pPr>
    </w:lvl>
    <w:lvl w:ilvl="8" w:tplc="080A001B" w:tentative="1">
      <w:start w:val="1"/>
      <w:numFmt w:val="lowerRoman"/>
      <w:lvlText w:val="%9."/>
      <w:lvlJc w:val="right"/>
      <w:pPr>
        <w:ind w:left="6250" w:hanging="180"/>
      </w:pPr>
    </w:lvl>
  </w:abstractNum>
  <w:abstractNum w:abstractNumId="32"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B5D3E61"/>
    <w:multiLevelType w:val="hybridMultilevel"/>
    <w:tmpl w:val="7F94EAB0"/>
    <w:lvl w:ilvl="0" w:tplc="FEA24B6C">
      <w:start w:val="1"/>
      <w:numFmt w:val="upperRoman"/>
      <w:lvlText w:val="%1."/>
      <w:lvlJc w:val="center"/>
      <w:pPr>
        <w:ind w:left="1080" w:hanging="720"/>
      </w:pPr>
      <w:rPr>
        <w:rFonts w:ascii="Arial" w:hAnsi="Arial" w:hint="default"/>
        <w:b/>
        <w:bCs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5"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45199D"/>
    <w:multiLevelType w:val="hybridMultilevel"/>
    <w:tmpl w:val="BBB47BDC"/>
    <w:lvl w:ilvl="0" w:tplc="7C007F22">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8"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9"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0"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41" w15:restartNumberingAfterBreak="0">
    <w:nsid w:val="7B3D36FD"/>
    <w:multiLevelType w:val="hybridMultilevel"/>
    <w:tmpl w:val="B8A8B8C0"/>
    <w:lvl w:ilvl="0" w:tplc="80CA5218">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3"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4"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11"/>
  </w:num>
  <w:num w:numId="4" w16cid:durableId="342636439">
    <w:abstractNumId w:val="14"/>
  </w:num>
  <w:num w:numId="5" w16cid:durableId="183635469">
    <w:abstractNumId w:val="18"/>
  </w:num>
  <w:num w:numId="6" w16cid:durableId="1134955158">
    <w:abstractNumId w:val="8"/>
  </w:num>
  <w:num w:numId="7" w16cid:durableId="1409694789">
    <w:abstractNumId w:val="12"/>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8"/>
  </w:num>
  <w:num w:numId="12" w16cid:durableId="1006903845">
    <w:abstractNumId w:val="42"/>
  </w:num>
  <w:num w:numId="13" w16cid:durableId="1837380934">
    <w:abstractNumId w:val="44"/>
  </w:num>
  <w:num w:numId="14" w16cid:durableId="244530762">
    <w:abstractNumId w:val="24"/>
  </w:num>
  <w:num w:numId="15" w16cid:durableId="853884109">
    <w:abstractNumId w:val="19"/>
  </w:num>
  <w:num w:numId="16" w16cid:durableId="1402023993">
    <w:abstractNumId w:val="32"/>
  </w:num>
  <w:num w:numId="17" w16cid:durableId="1596593957">
    <w:abstractNumId w:val="22"/>
  </w:num>
  <w:num w:numId="18" w16cid:durableId="1841851081">
    <w:abstractNumId w:val="30"/>
  </w:num>
  <w:num w:numId="19" w16cid:durableId="1896815982">
    <w:abstractNumId w:val="13"/>
  </w:num>
  <w:num w:numId="20" w16cid:durableId="1931036205">
    <w:abstractNumId w:val="0"/>
  </w:num>
  <w:num w:numId="21" w16cid:durableId="1024136314">
    <w:abstractNumId w:val="20"/>
  </w:num>
  <w:num w:numId="22" w16cid:durableId="735782815">
    <w:abstractNumId w:val="7"/>
  </w:num>
  <w:num w:numId="23" w16cid:durableId="1303459433">
    <w:abstractNumId w:val="26"/>
  </w:num>
  <w:num w:numId="24" w16cid:durableId="1036662141">
    <w:abstractNumId w:val="25"/>
  </w:num>
  <w:num w:numId="25" w16cid:durableId="1478835282">
    <w:abstractNumId w:val="34"/>
  </w:num>
  <w:num w:numId="26" w16cid:durableId="1899777076">
    <w:abstractNumId w:val="39"/>
  </w:num>
  <w:num w:numId="27" w16cid:durableId="898368160">
    <w:abstractNumId w:val="16"/>
  </w:num>
  <w:num w:numId="28" w16cid:durableId="895969903">
    <w:abstractNumId w:val="15"/>
  </w:num>
  <w:num w:numId="29" w16cid:durableId="847670419">
    <w:abstractNumId w:val="3"/>
  </w:num>
  <w:num w:numId="30" w16cid:durableId="638532938">
    <w:abstractNumId w:val="9"/>
  </w:num>
  <w:num w:numId="31" w16cid:durableId="2035962378">
    <w:abstractNumId w:val="27"/>
  </w:num>
  <w:num w:numId="32" w16cid:durableId="1262690454">
    <w:abstractNumId w:val="35"/>
  </w:num>
  <w:num w:numId="33" w16cid:durableId="1069420810">
    <w:abstractNumId w:val="4"/>
  </w:num>
  <w:num w:numId="34" w16cid:durableId="65618249">
    <w:abstractNumId w:val="43"/>
  </w:num>
  <w:num w:numId="35" w16cid:durableId="1740325805">
    <w:abstractNumId w:val="40"/>
  </w:num>
  <w:num w:numId="36" w16cid:durableId="1722288168">
    <w:abstractNumId w:val="6"/>
  </w:num>
  <w:num w:numId="37" w16cid:durableId="302197107">
    <w:abstractNumId w:val="37"/>
  </w:num>
  <w:num w:numId="38" w16cid:durableId="461969374">
    <w:abstractNumId w:val="21"/>
  </w:num>
  <w:num w:numId="39" w16cid:durableId="1892842944">
    <w:abstractNumId w:val="28"/>
  </w:num>
  <w:num w:numId="40" w16cid:durableId="929503071">
    <w:abstractNumId w:val="41"/>
  </w:num>
  <w:num w:numId="41" w16cid:durableId="637222073">
    <w:abstractNumId w:val="17"/>
  </w:num>
  <w:num w:numId="42" w16cid:durableId="375278304">
    <w:abstractNumId w:val="36"/>
  </w:num>
  <w:num w:numId="43" w16cid:durableId="1215122255">
    <w:abstractNumId w:val="33"/>
  </w:num>
  <w:num w:numId="44" w16cid:durableId="1972897860">
    <w:abstractNumId w:val="31"/>
  </w:num>
  <w:num w:numId="45" w16cid:durableId="468128432">
    <w:abstractNumId w:val="10"/>
  </w:num>
  <w:num w:numId="46" w16cid:durableId="118571454">
    <w:abstractNumId w:val="29"/>
  </w:num>
  <w:num w:numId="47" w16cid:durableId="1257400446">
    <w:abstractNumId w:val="23"/>
  </w:num>
  <w:num w:numId="48" w16cid:durableId="1205947203">
    <w:abstractNumId w:val="5"/>
  </w:num>
  <w:num w:numId="49" w16cid:durableId="145077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pt-B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6B7"/>
    <w:rsid w:val="00000BEA"/>
    <w:rsid w:val="00000D42"/>
    <w:rsid w:val="0000180F"/>
    <w:rsid w:val="00001FB3"/>
    <w:rsid w:val="00002379"/>
    <w:rsid w:val="00002466"/>
    <w:rsid w:val="00002605"/>
    <w:rsid w:val="00002665"/>
    <w:rsid w:val="000027BD"/>
    <w:rsid w:val="00002B26"/>
    <w:rsid w:val="00002FD9"/>
    <w:rsid w:val="00003B70"/>
    <w:rsid w:val="00003C25"/>
    <w:rsid w:val="00003C68"/>
    <w:rsid w:val="00003D9B"/>
    <w:rsid w:val="00004013"/>
    <w:rsid w:val="00004291"/>
    <w:rsid w:val="000042CB"/>
    <w:rsid w:val="0000458A"/>
    <w:rsid w:val="00004BF1"/>
    <w:rsid w:val="00004D58"/>
    <w:rsid w:val="00005009"/>
    <w:rsid w:val="000050C6"/>
    <w:rsid w:val="000056F9"/>
    <w:rsid w:val="00005940"/>
    <w:rsid w:val="00005EB0"/>
    <w:rsid w:val="00006620"/>
    <w:rsid w:val="00006652"/>
    <w:rsid w:val="0000684A"/>
    <w:rsid w:val="00006B5A"/>
    <w:rsid w:val="00006B9D"/>
    <w:rsid w:val="00006DE4"/>
    <w:rsid w:val="00006E66"/>
    <w:rsid w:val="000076D4"/>
    <w:rsid w:val="000078B1"/>
    <w:rsid w:val="00007A1A"/>
    <w:rsid w:val="00010A59"/>
    <w:rsid w:val="000112A7"/>
    <w:rsid w:val="0001151F"/>
    <w:rsid w:val="0001160F"/>
    <w:rsid w:val="00011840"/>
    <w:rsid w:val="00011AC0"/>
    <w:rsid w:val="00011BD3"/>
    <w:rsid w:val="0001201C"/>
    <w:rsid w:val="00012278"/>
    <w:rsid w:val="00012A27"/>
    <w:rsid w:val="00012E16"/>
    <w:rsid w:val="0001302A"/>
    <w:rsid w:val="000132A4"/>
    <w:rsid w:val="00013319"/>
    <w:rsid w:val="00013BF2"/>
    <w:rsid w:val="00013C3E"/>
    <w:rsid w:val="00013E55"/>
    <w:rsid w:val="0001447E"/>
    <w:rsid w:val="000144BA"/>
    <w:rsid w:val="000144ED"/>
    <w:rsid w:val="00014BA2"/>
    <w:rsid w:val="00014E1E"/>
    <w:rsid w:val="00014FBD"/>
    <w:rsid w:val="00015137"/>
    <w:rsid w:val="00015302"/>
    <w:rsid w:val="00015A5A"/>
    <w:rsid w:val="00016590"/>
    <w:rsid w:val="0001686F"/>
    <w:rsid w:val="00016B4E"/>
    <w:rsid w:val="00016BCD"/>
    <w:rsid w:val="00016CD6"/>
    <w:rsid w:val="00016D3A"/>
    <w:rsid w:val="0001718D"/>
    <w:rsid w:val="000176AC"/>
    <w:rsid w:val="00017B51"/>
    <w:rsid w:val="00017DF3"/>
    <w:rsid w:val="00020AF5"/>
    <w:rsid w:val="00021432"/>
    <w:rsid w:val="00021492"/>
    <w:rsid w:val="000216A3"/>
    <w:rsid w:val="00021926"/>
    <w:rsid w:val="0002195E"/>
    <w:rsid w:val="000219FC"/>
    <w:rsid w:val="00021E62"/>
    <w:rsid w:val="00022563"/>
    <w:rsid w:val="000228C4"/>
    <w:rsid w:val="00022C2F"/>
    <w:rsid w:val="00022CA3"/>
    <w:rsid w:val="00025324"/>
    <w:rsid w:val="00025DCB"/>
    <w:rsid w:val="000260EE"/>
    <w:rsid w:val="00026698"/>
    <w:rsid w:val="00026745"/>
    <w:rsid w:val="000268DB"/>
    <w:rsid w:val="0002696A"/>
    <w:rsid w:val="00026998"/>
    <w:rsid w:val="00026B3C"/>
    <w:rsid w:val="00026B52"/>
    <w:rsid w:val="00026F8D"/>
    <w:rsid w:val="000274DB"/>
    <w:rsid w:val="00027D1F"/>
    <w:rsid w:val="00027EBA"/>
    <w:rsid w:val="0003031B"/>
    <w:rsid w:val="00030480"/>
    <w:rsid w:val="0003065F"/>
    <w:rsid w:val="000308BA"/>
    <w:rsid w:val="00030D10"/>
    <w:rsid w:val="00030F55"/>
    <w:rsid w:val="0003119F"/>
    <w:rsid w:val="00031231"/>
    <w:rsid w:val="000314D3"/>
    <w:rsid w:val="00031BCF"/>
    <w:rsid w:val="00031CEA"/>
    <w:rsid w:val="00031F45"/>
    <w:rsid w:val="000320C6"/>
    <w:rsid w:val="00032714"/>
    <w:rsid w:val="00032891"/>
    <w:rsid w:val="00032B16"/>
    <w:rsid w:val="00033603"/>
    <w:rsid w:val="00033A14"/>
    <w:rsid w:val="00033ACC"/>
    <w:rsid w:val="0003447A"/>
    <w:rsid w:val="000344A5"/>
    <w:rsid w:val="00034BC3"/>
    <w:rsid w:val="0003507D"/>
    <w:rsid w:val="000353F3"/>
    <w:rsid w:val="00035600"/>
    <w:rsid w:val="000357CC"/>
    <w:rsid w:val="00035991"/>
    <w:rsid w:val="00035B2D"/>
    <w:rsid w:val="00035DA7"/>
    <w:rsid w:val="00036196"/>
    <w:rsid w:val="00036581"/>
    <w:rsid w:val="00036599"/>
    <w:rsid w:val="00036D72"/>
    <w:rsid w:val="00037089"/>
    <w:rsid w:val="00037177"/>
    <w:rsid w:val="00037381"/>
    <w:rsid w:val="00037CC4"/>
    <w:rsid w:val="0004066E"/>
    <w:rsid w:val="00040766"/>
    <w:rsid w:val="00040F75"/>
    <w:rsid w:val="00041E29"/>
    <w:rsid w:val="00041FF7"/>
    <w:rsid w:val="0004225C"/>
    <w:rsid w:val="00042A47"/>
    <w:rsid w:val="00042E89"/>
    <w:rsid w:val="00043535"/>
    <w:rsid w:val="00043B32"/>
    <w:rsid w:val="00043E2B"/>
    <w:rsid w:val="00044296"/>
    <w:rsid w:val="00044699"/>
    <w:rsid w:val="00044700"/>
    <w:rsid w:val="00044C5E"/>
    <w:rsid w:val="00044F7F"/>
    <w:rsid w:val="00044FA9"/>
    <w:rsid w:val="0004500F"/>
    <w:rsid w:val="000450E9"/>
    <w:rsid w:val="0004529C"/>
    <w:rsid w:val="0004596A"/>
    <w:rsid w:val="00045AF1"/>
    <w:rsid w:val="00045B2C"/>
    <w:rsid w:val="00045C6D"/>
    <w:rsid w:val="00045D18"/>
    <w:rsid w:val="00045E9B"/>
    <w:rsid w:val="00046139"/>
    <w:rsid w:val="000465BF"/>
    <w:rsid w:val="00046822"/>
    <w:rsid w:val="00046A78"/>
    <w:rsid w:val="00046AB6"/>
    <w:rsid w:val="00046D06"/>
    <w:rsid w:val="00046E13"/>
    <w:rsid w:val="000471CD"/>
    <w:rsid w:val="0004735D"/>
    <w:rsid w:val="0004744D"/>
    <w:rsid w:val="0004777C"/>
    <w:rsid w:val="000501E0"/>
    <w:rsid w:val="000507D2"/>
    <w:rsid w:val="00050934"/>
    <w:rsid w:val="00050FB5"/>
    <w:rsid w:val="00051C72"/>
    <w:rsid w:val="00051D1C"/>
    <w:rsid w:val="00051D9E"/>
    <w:rsid w:val="00052216"/>
    <w:rsid w:val="00052784"/>
    <w:rsid w:val="00052F04"/>
    <w:rsid w:val="00052F1E"/>
    <w:rsid w:val="0005322C"/>
    <w:rsid w:val="00053631"/>
    <w:rsid w:val="000536D2"/>
    <w:rsid w:val="00053B2C"/>
    <w:rsid w:val="00053D27"/>
    <w:rsid w:val="00053EB7"/>
    <w:rsid w:val="00053FEE"/>
    <w:rsid w:val="000540AE"/>
    <w:rsid w:val="0005430F"/>
    <w:rsid w:val="0005463E"/>
    <w:rsid w:val="00054A4F"/>
    <w:rsid w:val="00054BE5"/>
    <w:rsid w:val="00055047"/>
    <w:rsid w:val="00055B54"/>
    <w:rsid w:val="00055C9B"/>
    <w:rsid w:val="00056182"/>
    <w:rsid w:val="0005680F"/>
    <w:rsid w:val="00056F51"/>
    <w:rsid w:val="000573F5"/>
    <w:rsid w:val="0005740F"/>
    <w:rsid w:val="00057F37"/>
    <w:rsid w:val="00057FCD"/>
    <w:rsid w:val="000602B0"/>
    <w:rsid w:val="0006045B"/>
    <w:rsid w:val="0006056C"/>
    <w:rsid w:val="000605ED"/>
    <w:rsid w:val="00060A90"/>
    <w:rsid w:val="00060C62"/>
    <w:rsid w:val="0006176B"/>
    <w:rsid w:val="0006228A"/>
    <w:rsid w:val="00063614"/>
    <w:rsid w:val="00063838"/>
    <w:rsid w:val="0006433F"/>
    <w:rsid w:val="000646BA"/>
    <w:rsid w:val="000648D8"/>
    <w:rsid w:val="00064BBC"/>
    <w:rsid w:val="00064E9D"/>
    <w:rsid w:val="00064FDB"/>
    <w:rsid w:val="00065106"/>
    <w:rsid w:val="000651F1"/>
    <w:rsid w:val="00065708"/>
    <w:rsid w:val="00065A07"/>
    <w:rsid w:val="00065BC1"/>
    <w:rsid w:val="0006634F"/>
    <w:rsid w:val="00066638"/>
    <w:rsid w:val="00066EA7"/>
    <w:rsid w:val="00066F41"/>
    <w:rsid w:val="00067112"/>
    <w:rsid w:val="0006782D"/>
    <w:rsid w:val="00067976"/>
    <w:rsid w:val="00067D76"/>
    <w:rsid w:val="00067FCA"/>
    <w:rsid w:val="0007012A"/>
    <w:rsid w:val="0007017F"/>
    <w:rsid w:val="00070431"/>
    <w:rsid w:val="000705F3"/>
    <w:rsid w:val="00070669"/>
    <w:rsid w:val="000707FF"/>
    <w:rsid w:val="00070864"/>
    <w:rsid w:val="0007134A"/>
    <w:rsid w:val="0007145A"/>
    <w:rsid w:val="0007165A"/>
    <w:rsid w:val="000718A1"/>
    <w:rsid w:val="00071F0D"/>
    <w:rsid w:val="00071F33"/>
    <w:rsid w:val="000725AC"/>
    <w:rsid w:val="00072B18"/>
    <w:rsid w:val="000730F3"/>
    <w:rsid w:val="00073491"/>
    <w:rsid w:val="000739D2"/>
    <w:rsid w:val="00073E58"/>
    <w:rsid w:val="00073EF4"/>
    <w:rsid w:val="000748B1"/>
    <w:rsid w:val="000753EC"/>
    <w:rsid w:val="0007567F"/>
    <w:rsid w:val="00075B3A"/>
    <w:rsid w:val="00075DEC"/>
    <w:rsid w:val="00076234"/>
    <w:rsid w:val="000767F7"/>
    <w:rsid w:val="00076EE9"/>
    <w:rsid w:val="000771E3"/>
    <w:rsid w:val="000774FA"/>
    <w:rsid w:val="00077545"/>
    <w:rsid w:val="00077763"/>
    <w:rsid w:val="00077C46"/>
    <w:rsid w:val="00077ECE"/>
    <w:rsid w:val="0008027F"/>
    <w:rsid w:val="0008060A"/>
    <w:rsid w:val="0008084D"/>
    <w:rsid w:val="000809B5"/>
    <w:rsid w:val="00080D54"/>
    <w:rsid w:val="00080DC3"/>
    <w:rsid w:val="00081417"/>
    <w:rsid w:val="000814ED"/>
    <w:rsid w:val="0008175A"/>
    <w:rsid w:val="0008195B"/>
    <w:rsid w:val="00081973"/>
    <w:rsid w:val="00082187"/>
    <w:rsid w:val="0008254D"/>
    <w:rsid w:val="000826F7"/>
    <w:rsid w:val="00082AE3"/>
    <w:rsid w:val="00082F11"/>
    <w:rsid w:val="0008325D"/>
    <w:rsid w:val="000834DD"/>
    <w:rsid w:val="000834F9"/>
    <w:rsid w:val="00083769"/>
    <w:rsid w:val="000838EB"/>
    <w:rsid w:val="00083FB5"/>
    <w:rsid w:val="000843D7"/>
    <w:rsid w:val="00084687"/>
    <w:rsid w:val="00084A57"/>
    <w:rsid w:val="00084B97"/>
    <w:rsid w:val="00084BED"/>
    <w:rsid w:val="00084EDB"/>
    <w:rsid w:val="00084FF2"/>
    <w:rsid w:val="000850FA"/>
    <w:rsid w:val="0008524D"/>
    <w:rsid w:val="00085314"/>
    <w:rsid w:val="000856E9"/>
    <w:rsid w:val="000857E4"/>
    <w:rsid w:val="00085CF4"/>
    <w:rsid w:val="00085E34"/>
    <w:rsid w:val="00085F5E"/>
    <w:rsid w:val="00086295"/>
    <w:rsid w:val="00086EDE"/>
    <w:rsid w:val="0008756B"/>
    <w:rsid w:val="000875A5"/>
    <w:rsid w:val="00087B0E"/>
    <w:rsid w:val="00087CFE"/>
    <w:rsid w:val="00087DB7"/>
    <w:rsid w:val="00087F01"/>
    <w:rsid w:val="0009025D"/>
    <w:rsid w:val="00090B52"/>
    <w:rsid w:val="00090B9C"/>
    <w:rsid w:val="00090CF7"/>
    <w:rsid w:val="00090D7B"/>
    <w:rsid w:val="00090E7C"/>
    <w:rsid w:val="00091474"/>
    <w:rsid w:val="000915F7"/>
    <w:rsid w:val="00091C23"/>
    <w:rsid w:val="00091EEF"/>
    <w:rsid w:val="00092298"/>
    <w:rsid w:val="00092764"/>
    <w:rsid w:val="0009292F"/>
    <w:rsid w:val="00092C02"/>
    <w:rsid w:val="00092F4C"/>
    <w:rsid w:val="000939F8"/>
    <w:rsid w:val="0009421A"/>
    <w:rsid w:val="00094496"/>
    <w:rsid w:val="00094FE3"/>
    <w:rsid w:val="000950E7"/>
    <w:rsid w:val="00095360"/>
    <w:rsid w:val="00095361"/>
    <w:rsid w:val="000954A2"/>
    <w:rsid w:val="000955AA"/>
    <w:rsid w:val="00095781"/>
    <w:rsid w:val="000957BC"/>
    <w:rsid w:val="00095A6A"/>
    <w:rsid w:val="00095BAC"/>
    <w:rsid w:val="00095EA0"/>
    <w:rsid w:val="00096737"/>
    <w:rsid w:val="00096F5B"/>
    <w:rsid w:val="00097AEA"/>
    <w:rsid w:val="00097C0A"/>
    <w:rsid w:val="00097C29"/>
    <w:rsid w:val="00097C41"/>
    <w:rsid w:val="00097FE0"/>
    <w:rsid w:val="000A0344"/>
    <w:rsid w:val="000A0823"/>
    <w:rsid w:val="000A0EF3"/>
    <w:rsid w:val="000A1655"/>
    <w:rsid w:val="000A19CF"/>
    <w:rsid w:val="000A1E7C"/>
    <w:rsid w:val="000A1F9D"/>
    <w:rsid w:val="000A21D6"/>
    <w:rsid w:val="000A260D"/>
    <w:rsid w:val="000A28FB"/>
    <w:rsid w:val="000A2B67"/>
    <w:rsid w:val="000A2F4F"/>
    <w:rsid w:val="000A31EF"/>
    <w:rsid w:val="000A3354"/>
    <w:rsid w:val="000A3733"/>
    <w:rsid w:val="000A403F"/>
    <w:rsid w:val="000A43B0"/>
    <w:rsid w:val="000A45F0"/>
    <w:rsid w:val="000A4880"/>
    <w:rsid w:val="000A4A28"/>
    <w:rsid w:val="000A4D4C"/>
    <w:rsid w:val="000A4FEA"/>
    <w:rsid w:val="000A538C"/>
    <w:rsid w:val="000A53E6"/>
    <w:rsid w:val="000A5727"/>
    <w:rsid w:val="000A574B"/>
    <w:rsid w:val="000A5B04"/>
    <w:rsid w:val="000A5E2A"/>
    <w:rsid w:val="000A614E"/>
    <w:rsid w:val="000A61D5"/>
    <w:rsid w:val="000A6416"/>
    <w:rsid w:val="000A643B"/>
    <w:rsid w:val="000A682B"/>
    <w:rsid w:val="000A707A"/>
    <w:rsid w:val="000A754D"/>
    <w:rsid w:val="000A78BA"/>
    <w:rsid w:val="000A7BB9"/>
    <w:rsid w:val="000A7F9A"/>
    <w:rsid w:val="000B0710"/>
    <w:rsid w:val="000B0E46"/>
    <w:rsid w:val="000B1790"/>
    <w:rsid w:val="000B1C11"/>
    <w:rsid w:val="000B1D13"/>
    <w:rsid w:val="000B29B8"/>
    <w:rsid w:val="000B2A27"/>
    <w:rsid w:val="000B2BEA"/>
    <w:rsid w:val="000B3013"/>
    <w:rsid w:val="000B325A"/>
    <w:rsid w:val="000B34BA"/>
    <w:rsid w:val="000B380F"/>
    <w:rsid w:val="000B3BFC"/>
    <w:rsid w:val="000B4292"/>
    <w:rsid w:val="000B46F6"/>
    <w:rsid w:val="000B473C"/>
    <w:rsid w:val="000B4A6A"/>
    <w:rsid w:val="000B50FB"/>
    <w:rsid w:val="000B515D"/>
    <w:rsid w:val="000B5587"/>
    <w:rsid w:val="000B5A74"/>
    <w:rsid w:val="000B5C4E"/>
    <w:rsid w:val="000B5FA3"/>
    <w:rsid w:val="000B6AF6"/>
    <w:rsid w:val="000B6F37"/>
    <w:rsid w:val="000B7A65"/>
    <w:rsid w:val="000B7F0C"/>
    <w:rsid w:val="000B7FF2"/>
    <w:rsid w:val="000C04CE"/>
    <w:rsid w:val="000C0E36"/>
    <w:rsid w:val="000C1051"/>
    <w:rsid w:val="000C13BF"/>
    <w:rsid w:val="000C1F04"/>
    <w:rsid w:val="000C2477"/>
    <w:rsid w:val="000C2892"/>
    <w:rsid w:val="000C2B3C"/>
    <w:rsid w:val="000C2D4D"/>
    <w:rsid w:val="000C305A"/>
    <w:rsid w:val="000C30D7"/>
    <w:rsid w:val="000C3105"/>
    <w:rsid w:val="000C34DD"/>
    <w:rsid w:val="000C354E"/>
    <w:rsid w:val="000C37BC"/>
    <w:rsid w:val="000C38E4"/>
    <w:rsid w:val="000C3B6E"/>
    <w:rsid w:val="000C482F"/>
    <w:rsid w:val="000C4992"/>
    <w:rsid w:val="000C4CF1"/>
    <w:rsid w:val="000C4FA1"/>
    <w:rsid w:val="000C5299"/>
    <w:rsid w:val="000C5468"/>
    <w:rsid w:val="000C55CC"/>
    <w:rsid w:val="000C5852"/>
    <w:rsid w:val="000C5A24"/>
    <w:rsid w:val="000C5D0E"/>
    <w:rsid w:val="000C5DB2"/>
    <w:rsid w:val="000C6081"/>
    <w:rsid w:val="000C60C9"/>
    <w:rsid w:val="000C6641"/>
    <w:rsid w:val="000C66A1"/>
    <w:rsid w:val="000C6A4A"/>
    <w:rsid w:val="000C6AFD"/>
    <w:rsid w:val="000C702C"/>
    <w:rsid w:val="000D05E9"/>
    <w:rsid w:val="000D06FA"/>
    <w:rsid w:val="000D0B60"/>
    <w:rsid w:val="000D0BD6"/>
    <w:rsid w:val="000D0DDA"/>
    <w:rsid w:val="000D0ED5"/>
    <w:rsid w:val="000D113E"/>
    <w:rsid w:val="000D1169"/>
    <w:rsid w:val="000D121C"/>
    <w:rsid w:val="000D15C5"/>
    <w:rsid w:val="000D1687"/>
    <w:rsid w:val="000D1DAF"/>
    <w:rsid w:val="000D1DF4"/>
    <w:rsid w:val="000D28A5"/>
    <w:rsid w:val="000D2CD8"/>
    <w:rsid w:val="000D31C1"/>
    <w:rsid w:val="000D36B2"/>
    <w:rsid w:val="000D36BF"/>
    <w:rsid w:val="000D39FD"/>
    <w:rsid w:val="000D3E10"/>
    <w:rsid w:val="000D47E1"/>
    <w:rsid w:val="000D4833"/>
    <w:rsid w:val="000D49D2"/>
    <w:rsid w:val="000D4A88"/>
    <w:rsid w:val="000D4BBC"/>
    <w:rsid w:val="000D4D90"/>
    <w:rsid w:val="000D4E26"/>
    <w:rsid w:val="000D4F00"/>
    <w:rsid w:val="000D5000"/>
    <w:rsid w:val="000D5176"/>
    <w:rsid w:val="000D5AC6"/>
    <w:rsid w:val="000D5EDB"/>
    <w:rsid w:val="000D6C0F"/>
    <w:rsid w:val="000D6F1E"/>
    <w:rsid w:val="000D7A95"/>
    <w:rsid w:val="000D7BBD"/>
    <w:rsid w:val="000E039A"/>
    <w:rsid w:val="000E03C0"/>
    <w:rsid w:val="000E0654"/>
    <w:rsid w:val="000E0EA9"/>
    <w:rsid w:val="000E13AF"/>
    <w:rsid w:val="000E19B3"/>
    <w:rsid w:val="000E1CA2"/>
    <w:rsid w:val="000E28E2"/>
    <w:rsid w:val="000E2970"/>
    <w:rsid w:val="000E2B40"/>
    <w:rsid w:val="000E35A3"/>
    <w:rsid w:val="000E369A"/>
    <w:rsid w:val="000E3CC1"/>
    <w:rsid w:val="000E3DA6"/>
    <w:rsid w:val="000E45BC"/>
    <w:rsid w:val="000E49B2"/>
    <w:rsid w:val="000E4CDF"/>
    <w:rsid w:val="000E5331"/>
    <w:rsid w:val="000E535E"/>
    <w:rsid w:val="000E5526"/>
    <w:rsid w:val="000E56FA"/>
    <w:rsid w:val="000E59FC"/>
    <w:rsid w:val="000E5A5A"/>
    <w:rsid w:val="000E5D6B"/>
    <w:rsid w:val="000E5FE0"/>
    <w:rsid w:val="000E62A5"/>
    <w:rsid w:val="000E62DF"/>
    <w:rsid w:val="000E6D5D"/>
    <w:rsid w:val="000E7022"/>
    <w:rsid w:val="000E7168"/>
    <w:rsid w:val="000E7248"/>
    <w:rsid w:val="000E7575"/>
    <w:rsid w:val="000E76DD"/>
    <w:rsid w:val="000E79E5"/>
    <w:rsid w:val="000F04CC"/>
    <w:rsid w:val="000F05D5"/>
    <w:rsid w:val="000F13A0"/>
    <w:rsid w:val="000F1BD1"/>
    <w:rsid w:val="000F1DEB"/>
    <w:rsid w:val="000F1F7A"/>
    <w:rsid w:val="000F202E"/>
    <w:rsid w:val="000F2E14"/>
    <w:rsid w:val="000F3025"/>
    <w:rsid w:val="000F30DD"/>
    <w:rsid w:val="000F3491"/>
    <w:rsid w:val="000F3986"/>
    <w:rsid w:val="000F39D9"/>
    <w:rsid w:val="000F3C45"/>
    <w:rsid w:val="000F3C91"/>
    <w:rsid w:val="000F3DE6"/>
    <w:rsid w:val="000F424D"/>
    <w:rsid w:val="000F448C"/>
    <w:rsid w:val="000F44E7"/>
    <w:rsid w:val="000F49F1"/>
    <w:rsid w:val="000F4A5C"/>
    <w:rsid w:val="000F4C41"/>
    <w:rsid w:val="000F4FA7"/>
    <w:rsid w:val="000F50B5"/>
    <w:rsid w:val="000F52D1"/>
    <w:rsid w:val="000F536A"/>
    <w:rsid w:val="000F537C"/>
    <w:rsid w:val="000F541D"/>
    <w:rsid w:val="000F5AD1"/>
    <w:rsid w:val="000F5C8B"/>
    <w:rsid w:val="000F63C7"/>
    <w:rsid w:val="000F64D7"/>
    <w:rsid w:val="000F69FA"/>
    <w:rsid w:val="000F6F6D"/>
    <w:rsid w:val="000F7577"/>
    <w:rsid w:val="000F7974"/>
    <w:rsid w:val="000F79E0"/>
    <w:rsid w:val="000F7ECD"/>
    <w:rsid w:val="000F7F0E"/>
    <w:rsid w:val="000F7F38"/>
    <w:rsid w:val="000F7FB5"/>
    <w:rsid w:val="0010019B"/>
    <w:rsid w:val="00100317"/>
    <w:rsid w:val="001004C1"/>
    <w:rsid w:val="001004EE"/>
    <w:rsid w:val="00100C42"/>
    <w:rsid w:val="001011EC"/>
    <w:rsid w:val="00101391"/>
    <w:rsid w:val="001017C1"/>
    <w:rsid w:val="00101A86"/>
    <w:rsid w:val="00101E92"/>
    <w:rsid w:val="00101F40"/>
    <w:rsid w:val="00102298"/>
    <w:rsid w:val="00102C79"/>
    <w:rsid w:val="00102EC2"/>
    <w:rsid w:val="0010321B"/>
    <w:rsid w:val="001036EE"/>
    <w:rsid w:val="00103847"/>
    <w:rsid w:val="00103913"/>
    <w:rsid w:val="00104AB7"/>
    <w:rsid w:val="00105234"/>
    <w:rsid w:val="00105316"/>
    <w:rsid w:val="001057E1"/>
    <w:rsid w:val="00105E16"/>
    <w:rsid w:val="00105E2B"/>
    <w:rsid w:val="0010619C"/>
    <w:rsid w:val="0010664D"/>
    <w:rsid w:val="00106A20"/>
    <w:rsid w:val="00106D16"/>
    <w:rsid w:val="00107B62"/>
    <w:rsid w:val="00107D86"/>
    <w:rsid w:val="00110510"/>
    <w:rsid w:val="001105B9"/>
    <w:rsid w:val="0011076D"/>
    <w:rsid w:val="00110DB1"/>
    <w:rsid w:val="00110DF0"/>
    <w:rsid w:val="0011149E"/>
    <w:rsid w:val="001114D0"/>
    <w:rsid w:val="00111703"/>
    <w:rsid w:val="001119D9"/>
    <w:rsid w:val="00111AA3"/>
    <w:rsid w:val="00111F29"/>
    <w:rsid w:val="00111F40"/>
    <w:rsid w:val="00112688"/>
    <w:rsid w:val="00113348"/>
    <w:rsid w:val="00113404"/>
    <w:rsid w:val="001134B4"/>
    <w:rsid w:val="00113D35"/>
    <w:rsid w:val="00113DE8"/>
    <w:rsid w:val="0011424C"/>
    <w:rsid w:val="0011474B"/>
    <w:rsid w:val="0011478A"/>
    <w:rsid w:val="001149C9"/>
    <w:rsid w:val="00114AF7"/>
    <w:rsid w:val="00114B56"/>
    <w:rsid w:val="00114B96"/>
    <w:rsid w:val="00114E47"/>
    <w:rsid w:val="00115123"/>
    <w:rsid w:val="00115A20"/>
    <w:rsid w:val="00115F66"/>
    <w:rsid w:val="00116560"/>
    <w:rsid w:val="00116647"/>
    <w:rsid w:val="00116A85"/>
    <w:rsid w:val="00116CA9"/>
    <w:rsid w:val="00116F84"/>
    <w:rsid w:val="00117471"/>
    <w:rsid w:val="00117BB9"/>
    <w:rsid w:val="00117D38"/>
    <w:rsid w:val="00117D7A"/>
    <w:rsid w:val="00120112"/>
    <w:rsid w:val="001201B0"/>
    <w:rsid w:val="001203C6"/>
    <w:rsid w:val="00120EA1"/>
    <w:rsid w:val="00121789"/>
    <w:rsid w:val="0012181E"/>
    <w:rsid w:val="00121E0C"/>
    <w:rsid w:val="00122048"/>
    <w:rsid w:val="001224BA"/>
    <w:rsid w:val="001228A0"/>
    <w:rsid w:val="00122B7D"/>
    <w:rsid w:val="00122DEA"/>
    <w:rsid w:val="00122DFC"/>
    <w:rsid w:val="00123C48"/>
    <w:rsid w:val="00123EFF"/>
    <w:rsid w:val="001241F7"/>
    <w:rsid w:val="00124D1A"/>
    <w:rsid w:val="001251AF"/>
    <w:rsid w:val="0012523B"/>
    <w:rsid w:val="0012526F"/>
    <w:rsid w:val="0012554D"/>
    <w:rsid w:val="00125654"/>
    <w:rsid w:val="00125974"/>
    <w:rsid w:val="00125BC8"/>
    <w:rsid w:val="00125D0D"/>
    <w:rsid w:val="00125D9D"/>
    <w:rsid w:val="00125DC1"/>
    <w:rsid w:val="001263E8"/>
    <w:rsid w:val="00127810"/>
    <w:rsid w:val="0012798A"/>
    <w:rsid w:val="001300A8"/>
    <w:rsid w:val="001301E6"/>
    <w:rsid w:val="001304F2"/>
    <w:rsid w:val="00130C4C"/>
    <w:rsid w:val="00130F93"/>
    <w:rsid w:val="00131198"/>
    <w:rsid w:val="001313EB"/>
    <w:rsid w:val="00131C29"/>
    <w:rsid w:val="00131CCF"/>
    <w:rsid w:val="00131E42"/>
    <w:rsid w:val="00131E80"/>
    <w:rsid w:val="0013222E"/>
    <w:rsid w:val="001322B2"/>
    <w:rsid w:val="0013279C"/>
    <w:rsid w:val="001328D2"/>
    <w:rsid w:val="00133484"/>
    <w:rsid w:val="001337A8"/>
    <w:rsid w:val="00133CE6"/>
    <w:rsid w:val="00134045"/>
    <w:rsid w:val="001345AC"/>
    <w:rsid w:val="001345C4"/>
    <w:rsid w:val="00134904"/>
    <w:rsid w:val="001349AB"/>
    <w:rsid w:val="00134A36"/>
    <w:rsid w:val="00134BB0"/>
    <w:rsid w:val="00134F4E"/>
    <w:rsid w:val="00134FB0"/>
    <w:rsid w:val="001350AC"/>
    <w:rsid w:val="001352A5"/>
    <w:rsid w:val="001352EC"/>
    <w:rsid w:val="0013543B"/>
    <w:rsid w:val="001357FC"/>
    <w:rsid w:val="00135A2E"/>
    <w:rsid w:val="00135E0B"/>
    <w:rsid w:val="001360FB"/>
    <w:rsid w:val="001361A8"/>
    <w:rsid w:val="001362EC"/>
    <w:rsid w:val="001365A5"/>
    <w:rsid w:val="001368CC"/>
    <w:rsid w:val="00136AB1"/>
    <w:rsid w:val="00136BA7"/>
    <w:rsid w:val="001370C1"/>
    <w:rsid w:val="00137196"/>
    <w:rsid w:val="001372CA"/>
    <w:rsid w:val="00137AFD"/>
    <w:rsid w:val="00137EBB"/>
    <w:rsid w:val="0014012A"/>
    <w:rsid w:val="001405D6"/>
    <w:rsid w:val="00140AD8"/>
    <w:rsid w:val="00140BE4"/>
    <w:rsid w:val="00141130"/>
    <w:rsid w:val="001411DE"/>
    <w:rsid w:val="00141399"/>
    <w:rsid w:val="00141962"/>
    <w:rsid w:val="00141A0B"/>
    <w:rsid w:val="00141AF4"/>
    <w:rsid w:val="00141F00"/>
    <w:rsid w:val="00142241"/>
    <w:rsid w:val="00142A85"/>
    <w:rsid w:val="00142C36"/>
    <w:rsid w:val="00142E09"/>
    <w:rsid w:val="0014377B"/>
    <w:rsid w:val="00143D3A"/>
    <w:rsid w:val="00143E85"/>
    <w:rsid w:val="00144D09"/>
    <w:rsid w:val="0014542A"/>
    <w:rsid w:val="00145808"/>
    <w:rsid w:val="00145F65"/>
    <w:rsid w:val="001460E0"/>
    <w:rsid w:val="00146902"/>
    <w:rsid w:val="00146DFA"/>
    <w:rsid w:val="00147068"/>
    <w:rsid w:val="00147B68"/>
    <w:rsid w:val="00147BB3"/>
    <w:rsid w:val="0015018D"/>
    <w:rsid w:val="00150228"/>
    <w:rsid w:val="001502C3"/>
    <w:rsid w:val="001504E8"/>
    <w:rsid w:val="00150536"/>
    <w:rsid w:val="0015172E"/>
    <w:rsid w:val="00151ADE"/>
    <w:rsid w:val="00152D63"/>
    <w:rsid w:val="00152DCD"/>
    <w:rsid w:val="001533B2"/>
    <w:rsid w:val="001534CA"/>
    <w:rsid w:val="0015369A"/>
    <w:rsid w:val="0015386A"/>
    <w:rsid w:val="00153E85"/>
    <w:rsid w:val="001540F9"/>
    <w:rsid w:val="00154107"/>
    <w:rsid w:val="00154330"/>
    <w:rsid w:val="00154E90"/>
    <w:rsid w:val="001553D8"/>
    <w:rsid w:val="001557A9"/>
    <w:rsid w:val="00155878"/>
    <w:rsid w:val="0015599D"/>
    <w:rsid w:val="00155A36"/>
    <w:rsid w:val="0015694E"/>
    <w:rsid w:val="001569A5"/>
    <w:rsid w:val="001569B1"/>
    <w:rsid w:val="001572AC"/>
    <w:rsid w:val="001573F1"/>
    <w:rsid w:val="0015755C"/>
    <w:rsid w:val="001600C9"/>
    <w:rsid w:val="00160308"/>
    <w:rsid w:val="001604E1"/>
    <w:rsid w:val="0016052B"/>
    <w:rsid w:val="00160957"/>
    <w:rsid w:val="00160B56"/>
    <w:rsid w:val="0016159C"/>
    <w:rsid w:val="00161833"/>
    <w:rsid w:val="00161E62"/>
    <w:rsid w:val="00161F05"/>
    <w:rsid w:val="00162797"/>
    <w:rsid w:val="00162A20"/>
    <w:rsid w:val="00162C49"/>
    <w:rsid w:val="00163025"/>
    <w:rsid w:val="00163515"/>
    <w:rsid w:val="0016370B"/>
    <w:rsid w:val="00163928"/>
    <w:rsid w:val="00164660"/>
    <w:rsid w:val="00164760"/>
    <w:rsid w:val="0016487E"/>
    <w:rsid w:val="00164CD1"/>
    <w:rsid w:val="0016528B"/>
    <w:rsid w:val="001655BD"/>
    <w:rsid w:val="00165810"/>
    <w:rsid w:val="00165A24"/>
    <w:rsid w:val="00165E36"/>
    <w:rsid w:val="0016614B"/>
    <w:rsid w:val="001665FD"/>
    <w:rsid w:val="0016686D"/>
    <w:rsid w:val="00166D6D"/>
    <w:rsid w:val="00167104"/>
    <w:rsid w:val="0016723A"/>
    <w:rsid w:val="001678BE"/>
    <w:rsid w:val="00167A72"/>
    <w:rsid w:val="001705B4"/>
    <w:rsid w:val="0017080F"/>
    <w:rsid w:val="00170972"/>
    <w:rsid w:val="00170BD4"/>
    <w:rsid w:val="001711E3"/>
    <w:rsid w:val="00171F36"/>
    <w:rsid w:val="00172464"/>
    <w:rsid w:val="00172600"/>
    <w:rsid w:val="00172614"/>
    <w:rsid w:val="00172672"/>
    <w:rsid w:val="00172AA4"/>
    <w:rsid w:val="0017308E"/>
    <w:rsid w:val="00173309"/>
    <w:rsid w:val="0017357E"/>
    <w:rsid w:val="001735A8"/>
    <w:rsid w:val="00173881"/>
    <w:rsid w:val="00173C90"/>
    <w:rsid w:val="001740E5"/>
    <w:rsid w:val="001741F4"/>
    <w:rsid w:val="00174587"/>
    <w:rsid w:val="0017474C"/>
    <w:rsid w:val="00174783"/>
    <w:rsid w:val="00175CF4"/>
    <w:rsid w:val="00175D59"/>
    <w:rsid w:val="001763FA"/>
    <w:rsid w:val="001763FC"/>
    <w:rsid w:val="00176592"/>
    <w:rsid w:val="001768FD"/>
    <w:rsid w:val="0017695A"/>
    <w:rsid w:val="00176A27"/>
    <w:rsid w:val="00176A60"/>
    <w:rsid w:val="00176B20"/>
    <w:rsid w:val="00176E7D"/>
    <w:rsid w:val="00177026"/>
    <w:rsid w:val="00177187"/>
    <w:rsid w:val="001773BC"/>
    <w:rsid w:val="001774E6"/>
    <w:rsid w:val="00177F98"/>
    <w:rsid w:val="00180475"/>
    <w:rsid w:val="00180887"/>
    <w:rsid w:val="00180A83"/>
    <w:rsid w:val="00180D65"/>
    <w:rsid w:val="001813AB"/>
    <w:rsid w:val="001819C6"/>
    <w:rsid w:val="00181B78"/>
    <w:rsid w:val="0018211C"/>
    <w:rsid w:val="001821F8"/>
    <w:rsid w:val="0018246A"/>
    <w:rsid w:val="00182CBE"/>
    <w:rsid w:val="00182EBE"/>
    <w:rsid w:val="001831B3"/>
    <w:rsid w:val="0018334A"/>
    <w:rsid w:val="0018396A"/>
    <w:rsid w:val="00183E55"/>
    <w:rsid w:val="001845FA"/>
    <w:rsid w:val="0018521A"/>
    <w:rsid w:val="0018522B"/>
    <w:rsid w:val="00185425"/>
    <w:rsid w:val="00185457"/>
    <w:rsid w:val="001854A8"/>
    <w:rsid w:val="001854BC"/>
    <w:rsid w:val="00185B67"/>
    <w:rsid w:val="00185D40"/>
    <w:rsid w:val="0018660B"/>
    <w:rsid w:val="00186C17"/>
    <w:rsid w:val="00187284"/>
    <w:rsid w:val="0018761A"/>
    <w:rsid w:val="0018787A"/>
    <w:rsid w:val="00187A73"/>
    <w:rsid w:val="00187FD1"/>
    <w:rsid w:val="00190098"/>
    <w:rsid w:val="00190180"/>
    <w:rsid w:val="001908C1"/>
    <w:rsid w:val="00190A43"/>
    <w:rsid w:val="00190D0B"/>
    <w:rsid w:val="001912FB"/>
    <w:rsid w:val="00191608"/>
    <w:rsid w:val="00191664"/>
    <w:rsid w:val="00192065"/>
    <w:rsid w:val="00193C1B"/>
    <w:rsid w:val="00194085"/>
    <w:rsid w:val="001941AA"/>
    <w:rsid w:val="00194F73"/>
    <w:rsid w:val="001951D5"/>
    <w:rsid w:val="00195EC2"/>
    <w:rsid w:val="00195F99"/>
    <w:rsid w:val="0019638E"/>
    <w:rsid w:val="00196502"/>
    <w:rsid w:val="0019676B"/>
    <w:rsid w:val="00196BF1"/>
    <w:rsid w:val="00197041"/>
    <w:rsid w:val="001979A3"/>
    <w:rsid w:val="00197FE3"/>
    <w:rsid w:val="001A016C"/>
    <w:rsid w:val="001A0422"/>
    <w:rsid w:val="001A060B"/>
    <w:rsid w:val="001A0BEE"/>
    <w:rsid w:val="001A0C8F"/>
    <w:rsid w:val="001A0FF5"/>
    <w:rsid w:val="001A102F"/>
    <w:rsid w:val="001A1970"/>
    <w:rsid w:val="001A1A27"/>
    <w:rsid w:val="001A1A61"/>
    <w:rsid w:val="001A1B39"/>
    <w:rsid w:val="001A1ED0"/>
    <w:rsid w:val="001A1EFA"/>
    <w:rsid w:val="001A1FAC"/>
    <w:rsid w:val="001A1FC1"/>
    <w:rsid w:val="001A27EE"/>
    <w:rsid w:val="001A2EA2"/>
    <w:rsid w:val="001A35A6"/>
    <w:rsid w:val="001A368A"/>
    <w:rsid w:val="001A3963"/>
    <w:rsid w:val="001A3BD3"/>
    <w:rsid w:val="001A41DF"/>
    <w:rsid w:val="001A43F5"/>
    <w:rsid w:val="001A4B66"/>
    <w:rsid w:val="001A4CA5"/>
    <w:rsid w:val="001A4E0E"/>
    <w:rsid w:val="001A4E8C"/>
    <w:rsid w:val="001A4EF7"/>
    <w:rsid w:val="001A4F6E"/>
    <w:rsid w:val="001A5A21"/>
    <w:rsid w:val="001A5A62"/>
    <w:rsid w:val="001A5ABD"/>
    <w:rsid w:val="001A5CE0"/>
    <w:rsid w:val="001A5CF7"/>
    <w:rsid w:val="001A5F5A"/>
    <w:rsid w:val="001A60E2"/>
    <w:rsid w:val="001A61EF"/>
    <w:rsid w:val="001A6417"/>
    <w:rsid w:val="001A69F0"/>
    <w:rsid w:val="001A75E7"/>
    <w:rsid w:val="001A79AA"/>
    <w:rsid w:val="001A7ACF"/>
    <w:rsid w:val="001A7C06"/>
    <w:rsid w:val="001A7C3B"/>
    <w:rsid w:val="001A7F95"/>
    <w:rsid w:val="001B0292"/>
    <w:rsid w:val="001B07B0"/>
    <w:rsid w:val="001B0992"/>
    <w:rsid w:val="001B0AC4"/>
    <w:rsid w:val="001B0E89"/>
    <w:rsid w:val="001B109A"/>
    <w:rsid w:val="001B1120"/>
    <w:rsid w:val="001B14DC"/>
    <w:rsid w:val="001B15E2"/>
    <w:rsid w:val="001B163A"/>
    <w:rsid w:val="001B22AA"/>
    <w:rsid w:val="001B253D"/>
    <w:rsid w:val="001B277C"/>
    <w:rsid w:val="001B277F"/>
    <w:rsid w:val="001B2C6A"/>
    <w:rsid w:val="001B2F19"/>
    <w:rsid w:val="001B35B2"/>
    <w:rsid w:val="001B35ED"/>
    <w:rsid w:val="001B3634"/>
    <w:rsid w:val="001B369D"/>
    <w:rsid w:val="001B4355"/>
    <w:rsid w:val="001B450E"/>
    <w:rsid w:val="001B46DB"/>
    <w:rsid w:val="001B4C4E"/>
    <w:rsid w:val="001B4F75"/>
    <w:rsid w:val="001B503D"/>
    <w:rsid w:val="001B517A"/>
    <w:rsid w:val="001B5DDB"/>
    <w:rsid w:val="001B62D3"/>
    <w:rsid w:val="001B6315"/>
    <w:rsid w:val="001B6640"/>
    <w:rsid w:val="001B6AB8"/>
    <w:rsid w:val="001B7087"/>
    <w:rsid w:val="001B74F4"/>
    <w:rsid w:val="001B75DC"/>
    <w:rsid w:val="001B7B83"/>
    <w:rsid w:val="001B7D8B"/>
    <w:rsid w:val="001C0136"/>
    <w:rsid w:val="001C0566"/>
    <w:rsid w:val="001C0573"/>
    <w:rsid w:val="001C081A"/>
    <w:rsid w:val="001C0A10"/>
    <w:rsid w:val="001C0A6E"/>
    <w:rsid w:val="001C0AD1"/>
    <w:rsid w:val="001C0BCC"/>
    <w:rsid w:val="001C117D"/>
    <w:rsid w:val="001C120F"/>
    <w:rsid w:val="001C151F"/>
    <w:rsid w:val="001C1B4F"/>
    <w:rsid w:val="001C1F9C"/>
    <w:rsid w:val="001C226A"/>
    <w:rsid w:val="001C236E"/>
    <w:rsid w:val="001C2966"/>
    <w:rsid w:val="001C29C0"/>
    <w:rsid w:val="001C29E7"/>
    <w:rsid w:val="001C3119"/>
    <w:rsid w:val="001C32C6"/>
    <w:rsid w:val="001C34FF"/>
    <w:rsid w:val="001C3E2D"/>
    <w:rsid w:val="001C47BB"/>
    <w:rsid w:val="001C48C7"/>
    <w:rsid w:val="001C4A9E"/>
    <w:rsid w:val="001C581F"/>
    <w:rsid w:val="001C5F84"/>
    <w:rsid w:val="001C674A"/>
    <w:rsid w:val="001C6CAB"/>
    <w:rsid w:val="001C6CC1"/>
    <w:rsid w:val="001C6EDD"/>
    <w:rsid w:val="001C7130"/>
    <w:rsid w:val="001C72FC"/>
    <w:rsid w:val="001C7B74"/>
    <w:rsid w:val="001C7E70"/>
    <w:rsid w:val="001D0068"/>
    <w:rsid w:val="001D01C6"/>
    <w:rsid w:val="001D092F"/>
    <w:rsid w:val="001D1298"/>
    <w:rsid w:val="001D1AEF"/>
    <w:rsid w:val="001D244E"/>
    <w:rsid w:val="001D24F1"/>
    <w:rsid w:val="001D286C"/>
    <w:rsid w:val="001D3031"/>
    <w:rsid w:val="001D33B8"/>
    <w:rsid w:val="001D3775"/>
    <w:rsid w:val="001D3897"/>
    <w:rsid w:val="001D3AD1"/>
    <w:rsid w:val="001D3F50"/>
    <w:rsid w:val="001D403E"/>
    <w:rsid w:val="001D45D2"/>
    <w:rsid w:val="001D478B"/>
    <w:rsid w:val="001D4816"/>
    <w:rsid w:val="001D4910"/>
    <w:rsid w:val="001D4970"/>
    <w:rsid w:val="001D57E6"/>
    <w:rsid w:val="001D5F02"/>
    <w:rsid w:val="001D6178"/>
    <w:rsid w:val="001D6186"/>
    <w:rsid w:val="001D62AF"/>
    <w:rsid w:val="001D62CE"/>
    <w:rsid w:val="001D637E"/>
    <w:rsid w:val="001D6652"/>
    <w:rsid w:val="001D6811"/>
    <w:rsid w:val="001D69E5"/>
    <w:rsid w:val="001D6B3D"/>
    <w:rsid w:val="001D6ED5"/>
    <w:rsid w:val="001D7104"/>
    <w:rsid w:val="001E00C9"/>
    <w:rsid w:val="001E00CD"/>
    <w:rsid w:val="001E021E"/>
    <w:rsid w:val="001E0360"/>
    <w:rsid w:val="001E075F"/>
    <w:rsid w:val="001E0933"/>
    <w:rsid w:val="001E0E13"/>
    <w:rsid w:val="001E14CB"/>
    <w:rsid w:val="001E14E8"/>
    <w:rsid w:val="001E1627"/>
    <w:rsid w:val="001E18BD"/>
    <w:rsid w:val="001E1A7C"/>
    <w:rsid w:val="001E1DBA"/>
    <w:rsid w:val="001E1EF2"/>
    <w:rsid w:val="001E290B"/>
    <w:rsid w:val="001E3321"/>
    <w:rsid w:val="001E385F"/>
    <w:rsid w:val="001E39E4"/>
    <w:rsid w:val="001E45E7"/>
    <w:rsid w:val="001E490C"/>
    <w:rsid w:val="001E4B87"/>
    <w:rsid w:val="001E4C68"/>
    <w:rsid w:val="001E4D2B"/>
    <w:rsid w:val="001E50FD"/>
    <w:rsid w:val="001E5310"/>
    <w:rsid w:val="001E5529"/>
    <w:rsid w:val="001E5920"/>
    <w:rsid w:val="001E59DC"/>
    <w:rsid w:val="001E5DD7"/>
    <w:rsid w:val="001E5EEE"/>
    <w:rsid w:val="001E5F4A"/>
    <w:rsid w:val="001E6553"/>
    <w:rsid w:val="001E7358"/>
    <w:rsid w:val="001E76C3"/>
    <w:rsid w:val="001E7964"/>
    <w:rsid w:val="001E7C72"/>
    <w:rsid w:val="001E7EDD"/>
    <w:rsid w:val="001F02CD"/>
    <w:rsid w:val="001F0B7F"/>
    <w:rsid w:val="001F0CD0"/>
    <w:rsid w:val="001F0F71"/>
    <w:rsid w:val="001F1279"/>
    <w:rsid w:val="001F15B1"/>
    <w:rsid w:val="001F19D1"/>
    <w:rsid w:val="001F1B69"/>
    <w:rsid w:val="001F1C8F"/>
    <w:rsid w:val="001F1D9A"/>
    <w:rsid w:val="001F2354"/>
    <w:rsid w:val="001F2740"/>
    <w:rsid w:val="001F2C3A"/>
    <w:rsid w:val="001F2C6B"/>
    <w:rsid w:val="001F2CC5"/>
    <w:rsid w:val="001F3531"/>
    <w:rsid w:val="001F3550"/>
    <w:rsid w:val="001F3696"/>
    <w:rsid w:val="001F379E"/>
    <w:rsid w:val="001F3F85"/>
    <w:rsid w:val="001F42FF"/>
    <w:rsid w:val="001F44B4"/>
    <w:rsid w:val="001F44D3"/>
    <w:rsid w:val="001F4510"/>
    <w:rsid w:val="001F4A9F"/>
    <w:rsid w:val="001F4BA5"/>
    <w:rsid w:val="001F58D3"/>
    <w:rsid w:val="001F5957"/>
    <w:rsid w:val="001F59C6"/>
    <w:rsid w:val="001F60DA"/>
    <w:rsid w:val="001F65A4"/>
    <w:rsid w:val="001F65E0"/>
    <w:rsid w:val="001F6B53"/>
    <w:rsid w:val="001F6ED1"/>
    <w:rsid w:val="001F6EE3"/>
    <w:rsid w:val="001F700D"/>
    <w:rsid w:val="001F7362"/>
    <w:rsid w:val="001F75A9"/>
    <w:rsid w:val="001F7AE9"/>
    <w:rsid w:val="001F7CBF"/>
    <w:rsid w:val="001F7CFD"/>
    <w:rsid w:val="0020084F"/>
    <w:rsid w:val="002011D5"/>
    <w:rsid w:val="00201467"/>
    <w:rsid w:val="002019D6"/>
    <w:rsid w:val="00201B14"/>
    <w:rsid w:val="00201C2D"/>
    <w:rsid w:val="00202014"/>
    <w:rsid w:val="0020233B"/>
    <w:rsid w:val="002025F9"/>
    <w:rsid w:val="00202E6B"/>
    <w:rsid w:val="00202F63"/>
    <w:rsid w:val="00202FA0"/>
    <w:rsid w:val="00203367"/>
    <w:rsid w:val="00203C06"/>
    <w:rsid w:val="00203DA7"/>
    <w:rsid w:val="0020437F"/>
    <w:rsid w:val="00204438"/>
    <w:rsid w:val="00204508"/>
    <w:rsid w:val="0020474D"/>
    <w:rsid w:val="00204A44"/>
    <w:rsid w:val="00204B47"/>
    <w:rsid w:val="00204BFC"/>
    <w:rsid w:val="00204F6E"/>
    <w:rsid w:val="00204FAB"/>
    <w:rsid w:val="002054AD"/>
    <w:rsid w:val="00206147"/>
    <w:rsid w:val="002064F3"/>
    <w:rsid w:val="00206652"/>
    <w:rsid w:val="002069A8"/>
    <w:rsid w:val="00206B2B"/>
    <w:rsid w:val="00206C70"/>
    <w:rsid w:val="00206EE7"/>
    <w:rsid w:val="00207765"/>
    <w:rsid w:val="0020789A"/>
    <w:rsid w:val="00207936"/>
    <w:rsid w:val="00207AA6"/>
    <w:rsid w:val="00207C83"/>
    <w:rsid w:val="002103B6"/>
    <w:rsid w:val="00210869"/>
    <w:rsid w:val="002116AD"/>
    <w:rsid w:val="00211999"/>
    <w:rsid w:val="002119E9"/>
    <w:rsid w:val="00211B44"/>
    <w:rsid w:val="00212012"/>
    <w:rsid w:val="002120A6"/>
    <w:rsid w:val="002122B8"/>
    <w:rsid w:val="002123A4"/>
    <w:rsid w:val="002126CD"/>
    <w:rsid w:val="00212A54"/>
    <w:rsid w:val="00212EC9"/>
    <w:rsid w:val="00213255"/>
    <w:rsid w:val="00213694"/>
    <w:rsid w:val="00213773"/>
    <w:rsid w:val="00213A90"/>
    <w:rsid w:val="00213B0E"/>
    <w:rsid w:val="00213CBC"/>
    <w:rsid w:val="002141CF"/>
    <w:rsid w:val="002141FB"/>
    <w:rsid w:val="00214258"/>
    <w:rsid w:val="00214447"/>
    <w:rsid w:val="002146CA"/>
    <w:rsid w:val="002147D6"/>
    <w:rsid w:val="00214A2A"/>
    <w:rsid w:val="00214BEB"/>
    <w:rsid w:val="002154C2"/>
    <w:rsid w:val="0021575B"/>
    <w:rsid w:val="00215783"/>
    <w:rsid w:val="00215B8C"/>
    <w:rsid w:val="00215D33"/>
    <w:rsid w:val="0021669B"/>
    <w:rsid w:val="002166C7"/>
    <w:rsid w:val="00216876"/>
    <w:rsid w:val="002168C9"/>
    <w:rsid w:val="00217451"/>
    <w:rsid w:val="002200D2"/>
    <w:rsid w:val="0022018A"/>
    <w:rsid w:val="00220846"/>
    <w:rsid w:val="00220ADA"/>
    <w:rsid w:val="00220B7B"/>
    <w:rsid w:val="00221074"/>
    <w:rsid w:val="002213D9"/>
    <w:rsid w:val="0022180E"/>
    <w:rsid w:val="0022184E"/>
    <w:rsid w:val="00221B60"/>
    <w:rsid w:val="002220BA"/>
    <w:rsid w:val="00222546"/>
    <w:rsid w:val="00222671"/>
    <w:rsid w:val="00222691"/>
    <w:rsid w:val="00222796"/>
    <w:rsid w:val="002227B3"/>
    <w:rsid w:val="002227F5"/>
    <w:rsid w:val="00222CE3"/>
    <w:rsid w:val="002235D7"/>
    <w:rsid w:val="002239C4"/>
    <w:rsid w:val="00223FB0"/>
    <w:rsid w:val="00224107"/>
    <w:rsid w:val="0022410F"/>
    <w:rsid w:val="00224617"/>
    <w:rsid w:val="00224B00"/>
    <w:rsid w:val="00225591"/>
    <w:rsid w:val="00225690"/>
    <w:rsid w:val="0022574F"/>
    <w:rsid w:val="00225910"/>
    <w:rsid w:val="0022593A"/>
    <w:rsid w:val="00225B52"/>
    <w:rsid w:val="00225CE3"/>
    <w:rsid w:val="00225D3F"/>
    <w:rsid w:val="002260D7"/>
    <w:rsid w:val="00226496"/>
    <w:rsid w:val="002266A8"/>
    <w:rsid w:val="002269E8"/>
    <w:rsid w:val="00226B17"/>
    <w:rsid w:val="0022712B"/>
    <w:rsid w:val="002273DB"/>
    <w:rsid w:val="0022740B"/>
    <w:rsid w:val="002276A4"/>
    <w:rsid w:val="00227843"/>
    <w:rsid w:val="00227A99"/>
    <w:rsid w:val="00227C8B"/>
    <w:rsid w:val="002300AC"/>
    <w:rsid w:val="00230A44"/>
    <w:rsid w:val="00230A52"/>
    <w:rsid w:val="00230BC4"/>
    <w:rsid w:val="00230FA5"/>
    <w:rsid w:val="00231131"/>
    <w:rsid w:val="00231167"/>
    <w:rsid w:val="0023170E"/>
    <w:rsid w:val="00231839"/>
    <w:rsid w:val="00231AD5"/>
    <w:rsid w:val="00232371"/>
    <w:rsid w:val="00232423"/>
    <w:rsid w:val="0023262B"/>
    <w:rsid w:val="00232A4E"/>
    <w:rsid w:val="0023307F"/>
    <w:rsid w:val="00233A7D"/>
    <w:rsid w:val="00233A82"/>
    <w:rsid w:val="00234035"/>
    <w:rsid w:val="002346C6"/>
    <w:rsid w:val="0023476D"/>
    <w:rsid w:val="0023482B"/>
    <w:rsid w:val="0023482C"/>
    <w:rsid w:val="00234AA4"/>
    <w:rsid w:val="00234BFD"/>
    <w:rsid w:val="00234C7F"/>
    <w:rsid w:val="00234E62"/>
    <w:rsid w:val="00234F8F"/>
    <w:rsid w:val="002350DB"/>
    <w:rsid w:val="00235214"/>
    <w:rsid w:val="00235A33"/>
    <w:rsid w:val="00235AD3"/>
    <w:rsid w:val="0023658F"/>
    <w:rsid w:val="002365F6"/>
    <w:rsid w:val="00236872"/>
    <w:rsid w:val="00236890"/>
    <w:rsid w:val="002368C0"/>
    <w:rsid w:val="002369FD"/>
    <w:rsid w:val="00236AA1"/>
    <w:rsid w:val="00236AC0"/>
    <w:rsid w:val="00236BDE"/>
    <w:rsid w:val="00236CC2"/>
    <w:rsid w:val="00236CDE"/>
    <w:rsid w:val="0023763A"/>
    <w:rsid w:val="00237D7D"/>
    <w:rsid w:val="002404D1"/>
    <w:rsid w:val="00240513"/>
    <w:rsid w:val="002405C8"/>
    <w:rsid w:val="0024064F"/>
    <w:rsid w:val="002406F6"/>
    <w:rsid w:val="00240ECB"/>
    <w:rsid w:val="002415DA"/>
    <w:rsid w:val="00241857"/>
    <w:rsid w:val="00242006"/>
    <w:rsid w:val="0024285E"/>
    <w:rsid w:val="00242997"/>
    <w:rsid w:val="00242F79"/>
    <w:rsid w:val="00242FA8"/>
    <w:rsid w:val="0024307E"/>
    <w:rsid w:val="0024310E"/>
    <w:rsid w:val="00243161"/>
    <w:rsid w:val="00243204"/>
    <w:rsid w:val="002436E9"/>
    <w:rsid w:val="0024393A"/>
    <w:rsid w:val="00243AC5"/>
    <w:rsid w:val="00243C6A"/>
    <w:rsid w:val="00243F11"/>
    <w:rsid w:val="0024405D"/>
    <w:rsid w:val="00244317"/>
    <w:rsid w:val="00244516"/>
    <w:rsid w:val="00244745"/>
    <w:rsid w:val="00244A0C"/>
    <w:rsid w:val="00244CF8"/>
    <w:rsid w:val="002454F0"/>
    <w:rsid w:val="002456C9"/>
    <w:rsid w:val="002456FB"/>
    <w:rsid w:val="00245AA2"/>
    <w:rsid w:val="00245B9E"/>
    <w:rsid w:val="002465AC"/>
    <w:rsid w:val="002465EC"/>
    <w:rsid w:val="00246614"/>
    <w:rsid w:val="00246724"/>
    <w:rsid w:val="00246907"/>
    <w:rsid w:val="00246A93"/>
    <w:rsid w:val="00246B28"/>
    <w:rsid w:val="00246C0E"/>
    <w:rsid w:val="00246C85"/>
    <w:rsid w:val="00246EC9"/>
    <w:rsid w:val="00246FE9"/>
    <w:rsid w:val="00247130"/>
    <w:rsid w:val="0024723E"/>
    <w:rsid w:val="00247760"/>
    <w:rsid w:val="002477A7"/>
    <w:rsid w:val="00247D26"/>
    <w:rsid w:val="00247E6F"/>
    <w:rsid w:val="00247FD9"/>
    <w:rsid w:val="0025003A"/>
    <w:rsid w:val="00250260"/>
    <w:rsid w:val="00250FD5"/>
    <w:rsid w:val="00251167"/>
    <w:rsid w:val="002511BA"/>
    <w:rsid w:val="00251A55"/>
    <w:rsid w:val="00252682"/>
    <w:rsid w:val="002526B9"/>
    <w:rsid w:val="00252770"/>
    <w:rsid w:val="00252DD3"/>
    <w:rsid w:val="00252E6B"/>
    <w:rsid w:val="0025338F"/>
    <w:rsid w:val="00253572"/>
    <w:rsid w:val="0025394F"/>
    <w:rsid w:val="002539AA"/>
    <w:rsid w:val="00253B15"/>
    <w:rsid w:val="00253B97"/>
    <w:rsid w:val="002544CB"/>
    <w:rsid w:val="00254724"/>
    <w:rsid w:val="00255BAA"/>
    <w:rsid w:val="00255BE1"/>
    <w:rsid w:val="00255D8E"/>
    <w:rsid w:val="0025607F"/>
    <w:rsid w:val="0025646F"/>
    <w:rsid w:val="00256584"/>
    <w:rsid w:val="00256C48"/>
    <w:rsid w:val="00256D20"/>
    <w:rsid w:val="00256ED6"/>
    <w:rsid w:val="00256EF8"/>
    <w:rsid w:val="002570D5"/>
    <w:rsid w:val="00257177"/>
    <w:rsid w:val="00257305"/>
    <w:rsid w:val="00257730"/>
    <w:rsid w:val="00257803"/>
    <w:rsid w:val="00257B74"/>
    <w:rsid w:val="00257CCE"/>
    <w:rsid w:val="00257CD8"/>
    <w:rsid w:val="002604FD"/>
    <w:rsid w:val="00260F56"/>
    <w:rsid w:val="002610D8"/>
    <w:rsid w:val="0026151A"/>
    <w:rsid w:val="00261A6C"/>
    <w:rsid w:val="00262720"/>
    <w:rsid w:val="002629E2"/>
    <w:rsid w:val="00262BA8"/>
    <w:rsid w:val="00262BC8"/>
    <w:rsid w:val="002636D4"/>
    <w:rsid w:val="002641D9"/>
    <w:rsid w:val="002643C5"/>
    <w:rsid w:val="00264917"/>
    <w:rsid w:val="00264D97"/>
    <w:rsid w:val="0026510C"/>
    <w:rsid w:val="002651EC"/>
    <w:rsid w:val="00265DC2"/>
    <w:rsid w:val="002660A9"/>
    <w:rsid w:val="002660F1"/>
    <w:rsid w:val="0026638C"/>
    <w:rsid w:val="00266632"/>
    <w:rsid w:val="002668AF"/>
    <w:rsid w:val="00266F00"/>
    <w:rsid w:val="002670EF"/>
    <w:rsid w:val="002671A2"/>
    <w:rsid w:val="00267A38"/>
    <w:rsid w:val="00267EE2"/>
    <w:rsid w:val="00267F5F"/>
    <w:rsid w:val="002702F4"/>
    <w:rsid w:val="00270965"/>
    <w:rsid w:val="00270A01"/>
    <w:rsid w:val="00270EC6"/>
    <w:rsid w:val="00271A07"/>
    <w:rsid w:val="00271E5D"/>
    <w:rsid w:val="00272082"/>
    <w:rsid w:val="002720FE"/>
    <w:rsid w:val="002720FF"/>
    <w:rsid w:val="00272C8F"/>
    <w:rsid w:val="002731BB"/>
    <w:rsid w:val="0027349D"/>
    <w:rsid w:val="00273516"/>
    <w:rsid w:val="00273985"/>
    <w:rsid w:val="00273B82"/>
    <w:rsid w:val="00273E7A"/>
    <w:rsid w:val="00274372"/>
    <w:rsid w:val="0027475A"/>
    <w:rsid w:val="00274E9A"/>
    <w:rsid w:val="00274F5F"/>
    <w:rsid w:val="0027549F"/>
    <w:rsid w:val="002754B7"/>
    <w:rsid w:val="0027559C"/>
    <w:rsid w:val="00275F56"/>
    <w:rsid w:val="002765B7"/>
    <w:rsid w:val="00276EAA"/>
    <w:rsid w:val="0027735F"/>
    <w:rsid w:val="00277713"/>
    <w:rsid w:val="00277B81"/>
    <w:rsid w:val="00277DBC"/>
    <w:rsid w:val="00277E73"/>
    <w:rsid w:val="00277F64"/>
    <w:rsid w:val="002801A3"/>
    <w:rsid w:val="00280550"/>
    <w:rsid w:val="0028067C"/>
    <w:rsid w:val="00281063"/>
    <w:rsid w:val="00281676"/>
    <w:rsid w:val="00281C41"/>
    <w:rsid w:val="00281E32"/>
    <w:rsid w:val="002823B9"/>
    <w:rsid w:val="00282479"/>
    <w:rsid w:val="0028276E"/>
    <w:rsid w:val="002827F3"/>
    <w:rsid w:val="002829BD"/>
    <w:rsid w:val="00282A6C"/>
    <w:rsid w:val="00282B3E"/>
    <w:rsid w:val="00282C1F"/>
    <w:rsid w:val="00282C67"/>
    <w:rsid w:val="00282C6C"/>
    <w:rsid w:val="00282F99"/>
    <w:rsid w:val="002832DF"/>
    <w:rsid w:val="00283451"/>
    <w:rsid w:val="002835E8"/>
    <w:rsid w:val="00283B7F"/>
    <w:rsid w:val="0028435E"/>
    <w:rsid w:val="0028468D"/>
    <w:rsid w:val="0028470C"/>
    <w:rsid w:val="00284B5F"/>
    <w:rsid w:val="00284EAE"/>
    <w:rsid w:val="002851E6"/>
    <w:rsid w:val="0028560C"/>
    <w:rsid w:val="00285879"/>
    <w:rsid w:val="0028596B"/>
    <w:rsid w:val="00285FB9"/>
    <w:rsid w:val="00286219"/>
    <w:rsid w:val="00286579"/>
    <w:rsid w:val="002867FC"/>
    <w:rsid w:val="00286A03"/>
    <w:rsid w:val="00287514"/>
    <w:rsid w:val="0028791B"/>
    <w:rsid w:val="00287C57"/>
    <w:rsid w:val="00287E44"/>
    <w:rsid w:val="00287F79"/>
    <w:rsid w:val="00290024"/>
    <w:rsid w:val="00290044"/>
    <w:rsid w:val="002900A9"/>
    <w:rsid w:val="00290153"/>
    <w:rsid w:val="00290585"/>
    <w:rsid w:val="00290C43"/>
    <w:rsid w:val="00290C90"/>
    <w:rsid w:val="00290DCB"/>
    <w:rsid w:val="00291260"/>
    <w:rsid w:val="002916DB"/>
    <w:rsid w:val="0029190A"/>
    <w:rsid w:val="00292220"/>
    <w:rsid w:val="00292877"/>
    <w:rsid w:val="00293047"/>
    <w:rsid w:val="00293271"/>
    <w:rsid w:val="00293422"/>
    <w:rsid w:val="00293472"/>
    <w:rsid w:val="00293587"/>
    <w:rsid w:val="00293896"/>
    <w:rsid w:val="00293C63"/>
    <w:rsid w:val="00293C65"/>
    <w:rsid w:val="00293D08"/>
    <w:rsid w:val="00293E51"/>
    <w:rsid w:val="00293E84"/>
    <w:rsid w:val="00293ED1"/>
    <w:rsid w:val="0029418C"/>
    <w:rsid w:val="00294214"/>
    <w:rsid w:val="00294599"/>
    <w:rsid w:val="002949F6"/>
    <w:rsid w:val="00294A06"/>
    <w:rsid w:val="00294DD1"/>
    <w:rsid w:val="00294FFB"/>
    <w:rsid w:val="002954FD"/>
    <w:rsid w:val="002958FA"/>
    <w:rsid w:val="00296242"/>
    <w:rsid w:val="0029627F"/>
    <w:rsid w:val="002963EC"/>
    <w:rsid w:val="00296CE6"/>
    <w:rsid w:val="002973DF"/>
    <w:rsid w:val="00297D6A"/>
    <w:rsid w:val="002A0190"/>
    <w:rsid w:val="002A0983"/>
    <w:rsid w:val="002A0BF5"/>
    <w:rsid w:val="002A0C81"/>
    <w:rsid w:val="002A1128"/>
    <w:rsid w:val="002A158C"/>
    <w:rsid w:val="002A1739"/>
    <w:rsid w:val="002A1C9E"/>
    <w:rsid w:val="002A1FBF"/>
    <w:rsid w:val="002A24EB"/>
    <w:rsid w:val="002A2C5E"/>
    <w:rsid w:val="002A2D66"/>
    <w:rsid w:val="002A4206"/>
    <w:rsid w:val="002A428E"/>
    <w:rsid w:val="002A432F"/>
    <w:rsid w:val="002A46FA"/>
    <w:rsid w:val="002A46FD"/>
    <w:rsid w:val="002A4737"/>
    <w:rsid w:val="002A4916"/>
    <w:rsid w:val="002A5227"/>
    <w:rsid w:val="002A53C5"/>
    <w:rsid w:val="002A5722"/>
    <w:rsid w:val="002A57BC"/>
    <w:rsid w:val="002A581C"/>
    <w:rsid w:val="002A72C8"/>
    <w:rsid w:val="002A78AA"/>
    <w:rsid w:val="002B00FE"/>
    <w:rsid w:val="002B0E27"/>
    <w:rsid w:val="002B10B6"/>
    <w:rsid w:val="002B10D3"/>
    <w:rsid w:val="002B1113"/>
    <w:rsid w:val="002B1867"/>
    <w:rsid w:val="002B1BD1"/>
    <w:rsid w:val="002B1EA3"/>
    <w:rsid w:val="002B2A55"/>
    <w:rsid w:val="002B2DA9"/>
    <w:rsid w:val="002B30C8"/>
    <w:rsid w:val="002B31FA"/>
    <w:rsid w:val="002B3280"/>
    <w:rsid w:val="002B33D5"/>
    <w:rsid w:val="002B3434"/>
    <w:rsid w:val="002B3A06"/>
    <w:rsid w:val="002B4383"/>
    <w:rsid w:val="002B4552"/>
    <w:rsid w:val="002B4C84"/>
    <w:rsid w:val="002B4E76"/>
    <w:rsid w:val="002B55DA"/>
    <w:rsid w:val="002B5746"/>
    <w:rsid w:val="002B58C7"/>
    <w:rsid w:val="002B5D7E"/>
    <w:rsid w:val="002B5F21"/>
    <w:rsid w:val="002B63D3"/>
    <w:rsid w:val="002B6815"/>
    <w:rsid w:val="002B6AB1"/>
    <w:rsid w:val="002B6CBF"/>
    <w:rsid w:val="002B71D1"/>
    <w:rsid w:val="002B73DE"/>
    <w:rsid w:val="002B78CF"/>
    <w:rsid w:val="002B78D2"/>
    <w:rsid w:val="002B7A50"/>
    <w:rsid w:val="002B7ECC"/>
    <w:rsid w:val="002C0144"/>
    <w:rsid w:val="002C0CAC"/>
    <w:rsid w:val="002C1475"/>
    <w:rsid w:val="002C1500"/>
    <w:rsid w:val="002C1F28"/>
    <w:rsid w:val="002C23CF"/>
    <w:rsid w:val="002C254B"/>
    <w:rsid w:val="002C25DE"/>
    <w:rsid w:val="002C262F"/>
    <w:rsid w:val="002C27E8"/>
    <w:rsid w:val="002C2ACB"/>
    <w:rsid w:val="002C2F60"/>
    <w:rsid w:val="002C373F"/>
    <w:rsid w:val="002C391F"/>
    <w:rsid w:val="002C39C4"/>
    <w:rsid w:val="002C3EC2"/>
    <w:rsid w:val="002C41CB"/>
    <w:rsid w:val="002C47E2"/>
    <w:rsid w:val="002C5C58"/>
    <w:rsid w:val="002C61B5"/>
    <w:rsid w:val="002C6A1A"/>
    <w:rsid w:val="002C6B67"/>
    <w:rsid w:val="002C73EE"/>
    <w:rsid w:val="002C7660"/>
    <w:rsid w:val="002C7718"/>
    <w:rsid w:val="002C77AD"/>
    <w:rsid w:val="002C77DB"/>
    <w:rsid w:val="002C77F7"/>
    <w:rsid w:val="002C7CD4"/>
    <w:rsid w:val="002C7FC6"/>
    <w:rsid w:val="002D0321"/>
    <w:rsid w:val="002D06A5"/>
    <w:rsid w:val="002D0E7A"/>
    <w:rsid w:val="002D1089"/>
    <w:rsid w:val="002D129E"/>
    <w:rsid w:val="002D155B"/>
    <w:rsid w:val="002D1A33"/>
    <w:rsid w:val="002D1AD3"/>
    <w:rsid w:val="002D2065"/>
    <w:rsid w:val="002D2768"/>
    <w:rsid w:val="002D3337"/>
    <w:rsid w:val="002D3C49"/>
    <w:rsid w:val="002D40A5"/>
    <w:rsid w:val="002D47E5"/>
    <w:rsid w:val="002D48E1"/>
    <w:rsid w:val="002D4DF7"/>
    <w:rsid w:val="002D53DF"/>
    <w:rsid w:val="002D5847"/>
    <w:rsid w:val="002D5B3B"/>
    <w:rsid w:val="002D61C8"/>
    <w:rsid w:val="002D629E"/>
    <w:rsid w:val="002D6967"/>
    <w:rsid w:val="002D6E7A"/>
    <w:rsid w:val="002D6E9A"/>
    <w:rsid w:val="002D6F57"/>
    <w:rsid w:val="002D70C3"/>
    <w:rsid w:val="002D726B"/>
    <w:rsid w:val="002D75DB"/>
    <w:rsid w:val="002D7F19"/>
    <w:rsid w:val="002E0067"/>
    <w:rsid w:val="002E02D0"/>
    <w:rsid w:val="002E0489"/>
    <w:rsid w:val="002E04C0"/>
    <w:rsid w:val="002E0544"/>
    <w:rsid w:val="002E1DF4"/>
    <w:rsid w:val="002E2C3B"/>
    <w:rsid w:val="002E3B9B"/>
    <w:rsid w:val="002E3BD3"/>
    <w:rsid w:val="002E3C37"/>
    <w:rsid w:val="002E3CD0"/>
    <w:rsid w:val="002E4BA7"/>
    <w:rsid w:val="002E4D3D"/>
    <w:rsid w:val="002E4DD1"/>
    <w:rsid w:val="002E505C"/>
    <w:rsid w:val="002E59FB"/>
    <w:rsid w:val="002E5A77"/>
    <w:rsid w:val="002E5CA7"/>
    <w:rsid w:val="002E6377"/>
    <w:rsid w:val="002E64C3"/>
    <w:rsid w:val="002E668B"/>
    <w:rsid w:val="002E70AB"/>
    <w:rsid w:val="002E7113"/>
    <w:rsid w:val="002E7235"/>
    <w:rsid w:val="002E7822"/>
    <w:rsid w:val="002E7C80"/>
    <w:rsid w:val="002E7DEA"/>
    <w:rsid w:val="002E7FAC"/>
    <w:rsid w:val="002F01B0"/>
    <w:rsid w:val="002F024B"/>
    <w:rsid w:val="002F0276"/>
    <w:rsid w:val="002F039E"/>
    <w:rsid w:val="002F0B42"/>
    <w:rsid w:val="002F10E7"/>
    <w:rsid w:val="002F11F9"/>
    <w:rsid w:val="002F1274"/>
    <w:rsid w:val="002F13E0"/>
    <w:rsid w:val="002F16CB"/>
    <w:rsid w:val="002F1742"/>
    <w:rsid w:val="002F197C"/>
    <w:rsid w:val="002F1AB0"/>
    <w:rsid w:val="002F238B"/>
    <w:rsid w:val="002F2626"/>
    <w:rsid w:val="002F2799"/>
    <w:rsid w:val="002F3038"/>
    <w:rsid w:val="002F3C64"/>
    <w:rsid w:val="002F4431"/>
    <w:rsid w:val="002F4687"/>
    <w:rsid w:val="002F47E7"/>
    <w:rsid w:val="002F510D"/>
    <w:rsid w:val="002F5F61"/>
    <w:rsid w:val="002F63E6"/>
    <w:rsid w:val="002F7729"/>
    <w:rsid w:val="002F794D"/>
    <w:rsid w:val="002F7D2A"/>
    <w:rsid w:val="002F7E4E"/>
    <w:rsid w:val="00300081"/>
    <w:rsid w:val="0030023E"/>
    <w:rsid w:val="0030059B"/>
    <w:rsid w:val="00300812"/>
    <w:rsid w:val="0030094D"/>
    <w:rsid w:val="00300D44"/>
    <w:rsid w:val="00300FC5"/>
    <w:rsid w:val="00301277"/>
    <w:rsid w:val="00301837"/>
    <w:rsid w:val="003018AA"/>
    <w:rsid w:val="003019CD"/>
    <w:rsid w:val="00301FCA"/>
    <w:rsid w:val="003023BE"/>
    <w:rsid w:val="00302DA3"/>
    <w:rsid w:val="0030341B"/>
    <w:rsid w:val="003034D2"/>
    <w:rsid w:val="0030373E"/>
    <w:rsid w:val="00303A1B"/>
    <w:rsid w:val="00303F56"/>
    <w:rsid w:val="003045BE"/>
    <w:rsid w:val="00304E8C"/>
    <w:rsid w:val="0030518C"/>
    <w:rsid w:val="00305204"/>
    <w:rsid w:val="003054E0"/>
    <w:rsid w:val="00305F09"/>
    <w:rsid w:val="00305F53"/>
    <w:rsid w:val="003060F3"/>
    <w:rsid w:val="0030612A"/>
    <w:rsid w:val="00306794"/>
    <w:rsid w:val="003068EC"/>
    <w:rsid w:val="00306C01"/>
    <w:rsid w:val="0030759B"/>
    <w:rsid w:val="003076C4"/>
    <w:rsid w:val="003079A6"/>
    <w:rsid w:val="003103C4"/>
    <w:rsid w:val="003106C8"/>
    <w:rsid w:val="00310B73"/>
    <w:rsid w:val="00310E3F"/>
    <w:rsid w:val="00311270"/>
    <w:rsid w:val="0031175D"/>
    <w:rsid w:val="00311800"/>
    <w:rsid w:val="003119DD"/>
    <w:rsid w:val="00311F8C"/>
    <w:rsid w:val="003120E7"/>
    <w:rsid w:val="00312297"/>
    <w:rsid w:val="003124C8"/>
    <w:rsid w:val="00313367"/>
    <w:rsid w:val="0031354F"/>
    <w:rsid w:val="003138CF"/>
    <w:rsid w:val="00314614"/>
    <w:rsid w:val="00314739"/>
    <w:rsid w:val="00314773"/>
    <w:rsid w:val="003149C2"/>
    <w:rsid w:val="00314F8A"/>
    <w:rsid w:val="003151F3"/>
    <w:rsid w:val="003152FA"/>
    <w:rsid w:val="003154DB"/>
    <w:rsid w:val="003156BC"/>
    <w:rsid w:val="00316198"/>
    <w:rsid w:val="00316512"/>
    <w:rsid w:val="00316779"/>
    <w:rsid w:val="00316A45"/>
    <w:rsid w:val="00316C18"/>
    <w:rsid w:val="00316C5F"/>
    <w:rsid w:val="00316C7C"/>
    <w:rsid w:val="00317AB7"/>
    <w:rsid w:val="00317DA5"/>
    <w:rsid w:val="003200B7"/>
    <w:rsid w:val="003201D0"/>
    <w:rsid w:val="003205E0"/>
    <w:rsid w:val="003207AE"/>
    <w:rsid w:val="00321017"/>
    <w:rsid w:val="00321386"/>
    <w:rsid w:val="00321788"/>
    <w:rsid w:val="00321848"/>
    <w:rsid w:val="00321AF7"/>
    <w:rsid w:val="00321CB3"/>
    <w:rsid w:val="00321D35"/>
    <w:rsid w:val="00321FA7"/>
    <w:rsid w:val="00322341"/>
    <w:rsid w:val="0032244A"/>
    <w:rsid w:val="00322AFC"/>
    <w:rsid w:val="0032345B"/>
    <w:rsid w:val="003235FE"/>
    <w:rsid w:val="00323CBA"/>
    <w:rsid w:val="00324A1E"/>
    <w:rsid w:val="00324FF5"/>
    <w:rsid w:val="00325656"/>
    <w:rsid w:val="003256A0"/>
    <w:rsid w:val="00325BAB"/>
    <w:rsid w:val="0032608F"/>
    <w:rsid w:val="003265DE"/>
    <w:rsid w:val="00326A08"/>
    <w:rsid w:val="00327314"/>
    <w:rsid w:val="00327355"/>
    <w:rsid w:val="003273D2"/>
    <w:rsid w:val="003275D6"/>
    <w:rsid w:val="0032761B"/>
    <w:rsid w:val="0032767E"/>
    <w:rsid w:val="003277C6"/>
    <w:rsid w:val="00327845"/>
    <w:rsid w:val="0032788D"/>
    <w:rsid w:val="00327B0E"/>
    <w:rsid w:val="003302CF"/>
    <w:rsid w:val="00330559"/>
    <w:rsid w:val="00330B86"/>
    <w:rsid w:val="00330DB5"/>
    <w:rsid w:val="00330E34"/>
    <w:rsid w:val="00331306"/>
    <w:rsid w:val="00331659"/>
    <w:rsid w:val="003319C5"/>
    <w:rsid w:val="00331A58"/>
    <w:rsid w:val="003320F9"/>
    <w:rsid w:val="003327BD"/>
    <w:rsid w:val="00332CD4"/>
    <w:rsid w:val="0033308D"/>
    <w:rsid w:val="003338EB"/>
    <w:rsid w:val="00333D21"/>
    <w:rsid w:val="00334446"/>
    <w:rsid w:val="0033444C"/>
    <w:rsid w:val="00334725"/>
    <w:rsid w:val="00334739"/>
    <w:rsid w:val="00334A38"/>
    <w:rsid w:val="00334AF1"/>
    <w:rsid w:val="003353D5"/>
    <w:rsid w:val="003354CA"/>
    <w:rsid w:val="00335A53"/>
    <w:rsid w:val="00335E6E"/>
    <w:rsid w:val="0033617F"/>
    <w:rsid w:val="00336413"/>
    <w:rsid w:val="00336686"/>
    <w:rsid w:val="0033683C"/>
    <w:rsid w:val="00337311"/>
    <w:rsid w:val="003379A4"/>
    <w:rsid w:val="00337BB0"/>
    <w:rsid w:val="00337CB6"/>
    <w:rsid w:val="00337DCF"/>
    <w:rsid w:val="003403AE"/>
    <w:rsid w:val="003405B9"/>
    <w:rsid w:val="0034064A"/>
    <w:rsid w:val="0034067D"/>
    <w:rsid w:val="00340913"/>
    <w:rsid w:val="003409BD"/>
    <w:rsid w:val="00340F65"/>
    <w:rsid w:val="00341008"/>
    <w:rsid w:val="0034111B"/>
    <w:rsid w:val="00342077"/>
    <w:rsid w:val="00342559"/>
    <w:rsid w:val="0034255C"/>
    <w:rsid w:val="00342D1A"/>
    <w:rsid w:val="0034328B"/>
    <w:rsid w:val="0034339B"/>
    <w:rsid w:val="00343860"/>
    <w:rsid w:val="0034390F"/>
    <w:rsid w:val="00343AB5"/>
    <w:rsid w:val="00343CCF"/>
    <w:rsid w:val="003440F9"/>
    <w:rsid w:val="0034438F"/>
    <w:rsid w:val="003448AF"/>
    <w:rsid w:val="00344BD5"/>
    <w:rsid w:val="00344CEF"/>
    <w:rsid w:val="00344F44"/>
    <w:rsid w:val="0034511C"/>
    <w:rsid w:val="00345191"/>
    <w:rsid w:val="00345505"/>
    <w:rsid w:val="0034550A"/>
    <w:rsid w:val="00345B7B"/>
    <w:rsid w:val="00345C93"/>
    <w:rsid w:val="0034620C"/>
    <w:rsid w:val="00346579"/>
    <w:rsid w:val="00346C50"/>
    <w:rsid w:val="00346E63"/>
    <w:rsid w:val="003474B3"/>
    <w:rsid w:val="003475BA"/>
    <w:rsid w:val="00347A1B"/>
    <w:rsid w:val="00347CA3"/>
    <w:rsid w:val="00347F9F"/>
    <w:rsid w:val="00350CA1"/>
    <w:rsid w:val="00351026"/>
    <w:rsid w:val="00351032"/>
    <w:rsid w:val="0035149A"/>
    <w:rsid w:val="0035150B"/>
    <w:rsid w:val="00351668"/>
    <w:rsid w:val="00351CE8"/>
    <w:rsid w:val="00352775"/>
    <w:rsid w:val="003527F4"/>
    <w:rsid w:val="00352F14"/>
    <w:rsid w:val="003530B3"/>
    <w:rsid w:val="003532DF"/>
    <w:rsid w:val="00353744"/>
    <w:rsid w:val="00353F13"/>
    <w:rsid w:val="003549E9"/>
    <w:rsid w:val="00354C43"/>
    <w:rsid w:val="0035546F"/>
    <w:rsid w:val="003554BD"/>
    <w:rsid w:val="003554CE"/>
    <w:rsid w:val="00355A25"/>
    <w:rsid w:val="00356586"/>
    <w:rsid w:val="00356792"/>
    <w:rsid w:val="00356C59"/>
    <w:rsid w:val="00356DA5"/>
    <w:rsid w:val="00356DB7"/>
    <w:rsid w:val="00356F22"/>
    <w:rsid w:val="003571E2"/>
    <w:rsid w:val="00360107"/>
    <w:rsid w:val="00360545"/>
    <w:rsid w:val="0036097F"/>
    <w:rsid w:val="00360A82"/>
    <w:rsid w:val="00361062"/>
    <w:rsid w:val="003610F5"/>
    <w:rsid w:val="003616F4"/>
    <w:rsid w:val="00361B60"/>
    <w:rsid w:val="00361CD5"/>
    <w:rsid w:val="00361DE0"/>
    <w:rsid w:val="003628D5"/>
    <w:rsid w:val="003628E9"/>
    <w:rsid w:val="00362B5E"/>
    <w:rsid w:val="003638E9"/>
    <w:rsid w:val="003641CC"/>
    <w:rsid w:val="003643A5"/>
    <w:rsid w:val="0036443D"/>
    <w:rsid w:val="003644CA"/>
    <w:rsid w:val="003647FD"/>
    <w:rsid w:val="00364D97"/>
    <w:rsid w:val="003652A3"/>
    <w:rsid w:val="0036533F"/>
    <w:rsid w:val="00365370"/>
    <w:rsid w:val="00365C7D"/>
    <w:rsid w:val="003661C9"/>
    <w:rsid w:val="00366598"/>
    <w:rsid w:val="0036693A"/>
    <w:rsid w:val="00366AFA"/>
    <w:rsid w:val="00366C31"/>
    <w:rsid w:val="00366E4E"/>
    <w:rsid w:val="0036725C"/>
    <w:rsid w:val="003676E5"/>
    <w:rsid w:val="003676EA"/>
    <w:rsid w:val="00367886"/>
    <w:rsid w:val="00367AD9"/>
    <w:rsid w:val="00367CC7"/>
    <w:rsid w:val="00370219"/>
    <w:rsid w:val="0037051E"/>
    <w:rsid w:val="00370859"/>
    <w:rsid w:val="00370DE5"/>
    <w:rsid w:val="00370E59"/>
    <w:rsid w:val="00371208"/>
    <w:rsid w:val="003718D9"/>
    <w:rsid w:val="0037207D"/>
    <w:rsid w:val="00372389"/>
    <w:rsid w:val="00372564"/>
    <w:rsid w:val="00372644"/>
    <w:rsid w:val="00372B18"/>
    <w:rsid w:val="0037334A"/>
    <w:rsid w:val="003734B3"/>
    <w:rsid w:val="003736C5"/>
    <w:rsid w:val="003737F3"/>
    <w:rsid w:val="00373D8A"/>
    <w:rsid w:val="00373E1E"/>
    <w:rsid w:val="00373EC2"/>
    <w:rsid w:val="0037443B"/>
    <w:rsid w:val="00374D3E"/>
    <w:rsid w:val="0037525E"/>
    <w:rsid w:val="00375820"/>
    <w:rsid w:val="00375B14"/>
    <w:rsid w:val="00375D85"/>
    <w:rsid w:val="00375E4D"/>
    <w:rsid w:val="00375E50"/>
    <w:rsid w:val="003760FD"/>
    <w:rsid w:val="003769D5"/>
    <w:rsid w:val="00376A9C"/>
    <w:rsid w:val="00377475"/>
    <w:rsid w:val="003774BC"/>
    <w:rsid w:val="0037752D"/>
    <w:rsid w:val="00377A8C"/>
    <w:rsid w:val="00380027"/>
    <w:rsid w:val="0038053C"/>
    <w:rsid w:val="0038054C"/>
    <w:rsid w:val="003805E1"/>
    <w:rsid w:val="0038061C"/>
    <w:rsid w:val="00381137"/>
    <w:rsid w:val="00381168"/>
    <w:rsid w:val="003818D1"/>
    <w:rsid w:val="00381BE5"/>
    <w:rsid w:val="00381E3D"/>
    <w:rsid w:val="003820DA"/>
    <w:rsid w:val="003823B4"/>
    <w:rsid w:val="003825F4"/>
    <w:rsid w:val="00383110"/>
    <w:rsid w:val="00383181"/>
    <w:rsid w:val="003831C2"/>
    <w:rsid w:val="00383338"/>
    <w:rsid w:val="0038339B"/>
    <w:rsid w:val="003834FA"/>
    <w:rsid w:val="0038369B"/>
    <w:rsid w:val="00383701"/>
    <w:rsid w:val="00383761"/>
    <w:rsid w:val="003837F6"/>
    <w:rsid w:val="00383BC1"/>
    <w:rsid w:val="003840B4"/>
    <w:rsid w:val="00384187"/>
    <w:rsid w:val="0038458A"/>
    <w:rsid w:val="0038468A"/>
    <w:rsid w:val="00384701"/>
    <w:rsid w:val="00384744"/>
    <w:rsid w:val="00384900"/>
    <w:rsid w:val="00384D8F"/>
    <w:rsid w:val="00384DCE"/>
    <w:rsid w:val="00384EF8"/>
    <w:rsid w:val="00384F29"/>
    <w:rsid w:val="00385547"/>
    <w:rsid w:val="003861D3"/>
    <w:rsid w:val="003865E7"/>
    <w:rsid w:val="0038679F"/>
    <w:rsid w:val="00386891"/>
    <w:rsid w:val="00386A21"/>
    <w:rsid w:val="0038726A"/>
    <w:rsid w:val="0038735C"/>
    <w:rsid w:val="003874B4"/>
    <w:rsid w:val="00387631"/>
    <w:rsid w:val="00387823"/>
    <w:rsid w:val="00387954"/>
    <w:rsid w:val="00387C94"/>
    <w:rsid w:val="00390044"/>
    <w:rsid w:val="0039009A"/>
    <w:rsid w:val="003903FB"/>
    <w:rsid w:val="00390644"/>
    <w:rsid w:val="0039066F"/>
    <w:rsid w:val="00390D50"/>
    <w:rsid w:val="00390EAD"/>
    <w:rsid w:val="00390EAF"/>
    <w:rsid w:val="00391A79"/>
    <w:rsid w:val="00391B86"/>
    <w:rsid w:val="00391CBB"/>
    <w:rsid w:val="00391D7C"/>
    <w:rsid w:val="00391D90"/>
    <w:rsid w:val="00391DDE"/>
    <w:rsid w:val="0039208E"/>
    <w:rsid w:val="003923A6"/>
    <w:rsid w:val="0039257A"/>
    <w:rsid w:val="0039290C"/>
    <w:rsid w:val="00393231"/>
    <w:rsid w:val="003936D4"/>
    <w:rsid w:val="0039372B"/>
    <w:rsid w:val="0039383D"/>
    <w:rsid w:val="0039433B"/>
    <w:rsid w:val="003946B9"/>
    <w:rsid w:val="0039471E"/>
    <w:rsid w:val="00394888"/>
    <w:rsid w:val="003948BF"/>
    <w:rsid w:val="00394917"/>
    <w:rsid w:val="00394FE8"/>
    <w:rsid w:val="00395069"/>
    <w:rsid w:val="0039531D"/>
    <w:rsid w:val="003955AD"/>
    <w:rsid w:val="00395A0A"/>
    <w:rsid w:val="00396911"/>
    <w:rsid w:val="00396943"/>
    <w:rsid w:val="00396A80"/>
    <w:rsid w:val="00396C46"/>
    <w:rsid w:val="00397854"/>
    <w:rsid w:val="003979E8"/>
    <w:rsid w:val="00397BC5"/>
    <w:rsid w:val="00397BF1"/>
    <w:rsid w:val="003A0756"/>
    <w:rsid w:val="003A0A67"/>
    <w:rsid w:val="003A0E1D"/>
    <w:rsid w:val="003A1273"/>
    <w:rsid w:val="003A1596"/>
    <w:rsid w:val="003A1C56"/>
    <w:rsid w:val="003A1FEA"/>
    <w:rsid w:val="003A24A7"/>
    <w:rsid w:val="003A2DAC"/>
    <w:rsid w:val="003A2DB7"/>
    <w:rsid w:val="003A2E86"/>
    <w:rsid w:val="003A344A"/>
    <w:rsid w:val="003A3622"/>
    <w:rsid w:val="003A36D4"/>
    <w:rsid w:val="003A3C3F"/>
    <w:rsid w:val="003A4139"/>
    <w:rsid w:val="003A4409"/>
    <w:rsid w:val="003A495B"/>
    <w:rsid w:val="003A4B2F"/>
    <w:rsid w:val="003A4C4A"/>
    <w:rsid w:val="003A4F9E"/>
    <w:rsid w:val="003A5033"/>
    <w:rsid w:val="003A53AA"/>
    <w:rsid w:val="003A54CF"/>
    <w:rsid w:val="003A5A21"/>
    <w:rsid w:val="003A5AFD"/>
    <w:rsid w:val="003A5B38"/>
    <w:rsid w:val="003A5E50"/>
    <w:rsid w:val="003A5EEB"/>
    <w:rsid w:val="003A5F81"/>
    <w:rsid w:val="003A6983"/>
    <w:rsid w:val="003A6F11"/>
    <w:rsid w:val="003A6FFB"/>
    <w:rsid w:val="003A701E"/>
    <w:rsid w:val="003A7161"/>
    <w:rsid w:val="003A7200"/>
    <w:rsid w:val="003A75C6"/>
    <w:rsid w:val="003A7814"/>
    <w:rsid w:val="003A79FF"/>
    <w:rsid w:val="003A7B9B"/>
    <w:rsid w:val="003A7DFF"/>
    <w:rsid w:val="003A7E2C"/>
    <w:rsid w:val="003A7E72"/>
    <w:rsid w:val="003B00E9"/>
    <w:rsid w:val="003B02DF"/>
    <w:rsid w:val="003B0656"/>
    <w:rsid w:val="003B0A8B"/>
    <w:rsid w:val="003B0FB2"/>
    <w:rsid w:val="003B1083"/>
    <w:rsid w:val="003B12DB"/>
    <w:rsid w:val="003B1346"/>
    <w:rsid w:val="003B1C5D"/>
    <w:rsid w:val="003B1DA1"/>
    <w:rsid w:val="003B1EAD"/>
    <w:rsid w:val="003B1F1C"/>
    <w:rsid w:val="003B23A8"/>
    <w:rsid w:val="003B24A2"/>
    <w:rsid w:val="003B24DD"/>
    <w:rsid w:val="003B2BCD"/>
    <w:rsid w:val="003B32BE"/>
    <w:rsid w:val="003B3822"/>
    <w:rsid w:val="003B3BAD"/>
    <w:rsid w:val="003B3F02"/>
    <w:rsid w:val="003B3F64"/>
    <w:rsid w:val="003B40DF"/>
    <w:rsid w:val="003B4312"/>
    <w:rsid w:val="003B45DC"/>
    <w:rsid w:val="003B4644"/>
    <w:rsid w:val="003B49D4"/>
    <w:rsid w:val="003B4B26"/>
    <w:rsid w:val="003B4E29"/>
    <w:rsid w:val="003B5306"/>
    <w:rsid w:val="003B5757"/>
    <w:rsid w:val="003B59A4"/>
    <w:rsid w:val="003B5CB7"/>
    <w:rsid w:val="003B5DDD"/>
    <w:rsid w:val="003B5E92"/>
    <w:rsid w:val="003B5F7C"/>
    <w:rsid w:val="003B6179"/>
    <w:rsid w:val="003B626E"/>
    <w:rsid w:val="003B69D0"/>
    <w:rsid w:val="003B6F9F"/>
    <w:rsid w:val="003B7713"/>
    <w:rsid w:val="003B772D"/>
    <w:rsid w:val="003B7926"/>
    <w:rsid w:val="003B7B4D"/>
    <w:rsid w:val="003C0125"/>
    <w:rsid w:val="003C03F7"/>
    <w:rsid w:val="003C05CD"/>
    <w:rsid w:val="003C0A97"/>
    <w:rsid w:val="003C0FE5"/>
    <w:rsid w:val="003C14B6"/>
    <w:rsid w:val="003C1CAF"/>
    <w:rsid w:val="003C22D4"/>
    <w:rsid w:val="003C29AF"/>
    <w:rsid w:val="003C2E73"/>
    <w:rsid w:val="003C36B1"/>
    <w:rsid w:val="003C3984"/>
    <w:rsid w:val="003C3BC5"/>
    <w:rsid w:val="003C3C6C"/>
    <w:rsid w:val="003C3F73"/>
    <w:rsid w:val="003C40A2"/>
    <w:rsid w:val="003C46BB"/>
    <w:rsid w:val="003C48D9"/>
    <w:rsid w:val="003C5428"/>
    <w:rsid w:val="003C5519"/>
    <w:rsid w:val="003C5A97"/>
    <w:rsid w:val="003C616B"/>
    <w:rsid w:val="003C622E"/>
    <w:rsid w:val="003C681D"/>
    <w:rsid w:val="003C6BED"/>
    <w:rsid w:val="003C6C96"/>
    <w:rsid w:val="003C76F4"/>
    <w:rsid w:val="003C7899"/>
    <w:rsid w:val="003C7965"/>
    <w:rsid w:val="003C7B7E"/>
    <w:rsid w:val="003C7D06"/>
    <w:rsid w:val="003C7EF7"/>
    <w:rsid w:val="003D06BD"/>
    <w:rsid w:val="003D0E1F"/>
    <w:rsid w:val="003D113B"/>
    <w:rsid w:val="003D1182"/>
    <w:rsid w:val="003D1AE0"/>
    <w:rsid w:val="003D2045"/>
    <w:rsid w:val="003D22DA"/>
    <w:rsid w:val="003D2A32"/>
    <w:rsid w:val="003D358C"/>
    <w:rsid w:val="003D3779"/>
    <w:rsid w:val="003D3B8B"/>
    <w:rsid w:val="003D4254"/>
    <w:rsid w:val="003D425A"/>
    <w:rsid w:val="003D4824"/>
    <w:rsid w:val="003D4866"/>
    <w:rsid w:val="003D507A"/>
    <w:rsid w:val="003D554B"/>
    <w:rsid w:val="003D5F76"/>
    <w:rsid w:val="003D6065"/>
    <w:rsid w:val="003D61F5"/>
    <w:rsid w:val="003D6280"/>
    <w:rsid w:val="003D66CB"/>
    <w:rsid w:val="003D687A"/>
    <w:rsid w:val="003D6D57"/>
    <w:rsid w:val="003D6E45"/>
    <w:rsid w:val="003D7125"/>
    <w:rsid w:val="003D7820"/>
    <w:rsid w:val="003D7A2D"/>
    <w:rsid w:val="003D7C91"/>
    <w:rsid w:val="003E0227"/>
    <w:rsid w:val="003E043F"/>
    <w:rsid w:val="003E07F1"/>
    <w:rsid w:val="003E08BE"/>
    <w:rsid w:val="003E0B24"/>
    <w:rsid w:val="003E0E8C"/>
    <w:rsid w:val="003E113F"/>
    <w:rsid w:val="003E1418"/>
    <w:rsid w:val="003E1867"/>
    <w:rsid w:val="003E1ABA"/>
    <w:rsid w:val="003E20CB"/>
    <w:rsid w:val="003E2169"/>
    <w:rsid w:val="003E23B1"/>
    <w:rsid w:val="003E26DE"/>
    <w:rsid w:val="003E2E74"/>
    <w:rsid w:val="003E3238"/>
    <w:rsid w:val="003E460B"/>
    <w:rsid w:val="003E47F5"/>
    <w:rsid w:val="003E4979"/>
    <w:rsid w:val="003E4B79"/>
    <w:rsid w:val="003E4B85"/>
    <w:rsid w:val="003E5231"/>
    <w:rsid w:val="003E5764"/>
    <w:rsid w:val="003E581F"/>
    <w:rsid w:val="003E59A3"/>
    <w:rsid w:val="003E5CAB"/>
    <w:rsid w:val="003E5F16"/>
    <w:rsid w:val="003E634D"/>
    <w:rsid w:val="003E644F"/>
    <w:rsid w:val="003E64BB"/>
    <w:rsid w:val="003E6AC1"/>
    <w:rsid w:val="003E6B73"/>
    <w:rsid w:val="003E73DF"/>
    <w:rsid w:val="003E7EEA"/>
    <w:rsid w:val="003F00D8"/>
    <w:rsid w:val="003F01E7"/>
    <w:rsid w:val="003F0AEA"/>
    <w:rsid w:val="003F0C6E"/>
    <w:rsid w:val="003F0CC1"/>
    <w:rsid w:val="003F110F"/>
    <w:rsid w:val="003F14F2"/>
    <w:rsid w:val="003F18CF"/>
    <w:rsid w:val="003F19FC"/>
    <w:rsid w:val="003F1B53"/>
    <w:rsid w:val="003F2BFE"/>
    <w:rsid w:val="003F3667"/>
    <w:rsid w:val="003F3A44"/>
    <w:rsid w:val="003F3B3F"/>
    <w:rsid w:val="003F450F"/>
    <w:rsid w:val="003F49D1"/>
    <w:rsid w:val="003F5548"/>
    <w:rsid w:val="003F5732"/>
    <w:rsid w:val="003F5A5B"/>
    <w:rsid w:val="003F5F0A"/>
    <w:rsid w:val="003F603A"/>
    <w:rsid w:val="003F6DF4"/>
    <w:rsid w:val="003F7022"/>
    <w:rsid w:val="003F7263"/>
    <w:rsid w:val="003F7D77"/>
    <w:rsid w:val="0040000D"/>
    <w:rsid w:val="00400237"/>
    <w:rsid w:val="004005DE"/>
    <w:rsid w:val="00400626"/>
    <w:rsid w:val="00400A5E"/>
    <w:rsid w:val="00400F1D"/>
    <w:rsid w:val="00400FB8"/>
    <w:rsid w:val="00401089"/>
    <w:rsid w:val="004015B0"/>
    <w:rsid w:val="004016AD"/>
    <w:rsid w:val="00401A15"/>
    <w:rsid w:val="00401A45"/>
    <w:rsid w:val="00401C5B"/>
    <w:rsid w:val="00401DB1"/>
    <w:rsid w:val="004020FB"/>
    <w:rsid w:val="0040230D"/>
    <w:rsid w:val="004024C2"/>
    <w:rsid w:val="0040265B"/>
    <w:rsid w:val="004028D0"/>
    <w:rsid w:val="00402940"/>
    <w:rsid w:val="00403226"/>
    <w:rsid w:val="0040342B"/>
    <w:rsid w:val="00403827"/>
    <w:rsid w:val="004040E3"/>
    <w:rsid w:val="00404C9B"/>
    <w:rsid w:val="00404D4D"/>
    <w:rsid w:val="00405132"/>
    <w:rsid w:val="00405F25"/>
    <w:rsid w:val="004068A2"/>
    <w:rsid w:val="00406FCE"/>
    <w:rsid w:val="00407731"/>
    <w:rsid w:val="00407CDA"/>
    <w:rsid w:val="00407F71"/>
    <w:rsid w:val="004100FD"/>
    <w:rsid w:val="0041029D"/>
    <w:rsid w:val="00410347"/>
    <w:rsid w:val="004104BF"/>
    <w:rsid w:val="0041068A"/>
    <w:rsid w:val="004108D7"/>
    <w:rsid w:val="00410DEC"/>
    <w:rsid w:val="00410E70"/>
    <w:rsid w:val="0041138F"/>
    <w:rsid w:val="004118D5"/>
    <w:rsid w:val="00411BAF"/>
    <w:rsid w:val="00411F7B"/>
    <w:rsid w:val="0041209E"/>
    <w:rsid w:val="004125D6"/>
    <w:rsid w:val="00412EF3"/>
    <w:rsid w:val="00413162"/>
    <w:rsid w:val="004133CD"/>
    <w:rsid w:val="00413549"/>
    <w:rsid w:val="00413FCD"/>
    <w:rsid w:val="0041439E"/>
    <w:rsid w:val="00414538"/>
    <w:rsid w:val="00414647"/>
    <w:rsid w:val="0041479C"/>
    <w:rsid w:val="00414F9A"/>
    <w:rsid w:val="00415ECC"/>
    <w:rsid w:val="00415EF5"/>
    <w:rsid w:val="00416787"/>
    <w:rsid w:val="00416D86"/>
    <w:rsid w:val="00416DF7"/>
    <w:rsid w:val="004170FC"/>
    <w:rsid w:val="00417BFC"/>
    <w:rsid w:val="00417E9C"/>
    <w:rsid w:val="00417F13"/>
    <w:rsid w:val="004203CA"/>
    <w:rsid w:val="004208D7"/>
    <w:rsid w:val="00420BE6"/>
    <w:rsid w:val="00420CA2"/>
    <w:rsid w:val="00421878"/>
    <w:rsid w:val="004219C1"/>
    <w:rsid w:val="004228EE"/>
    <w:rsid w:val="00422BB1"/>
    <w:rsid w:val="00422BF9"/>
    <w:rsid w:val="00422D87"/>
    <w:rsid w:val="0042325A"/>
    <w:rsid w:val="0042336F"/>
    <w:rsid w:val="004234EF"/>
    <w:rsid w:val="00423884"/>
    <w:rsid w:val="00423CA0"/>
    <w:rsid w:val="00423E69"/>
    <w:rsid w:val="004242F2"/>
    <w:rsid w:val="0042441F"/>
    <w:rsid w:val="004249DB"/>
    <w:rsid w:val="00424C6D"/>
    <w:rsid w:val="00424C76"/>
    <w:rsid w:val="00424EE4"/>
    <w:rsid w:val="00425554"/>
    <w:rsid w:val="0042556A"/>
    <w:rsid w:val="00425B68"/>
    <w:rsid w:val="00425C9F"/>
    <w:rsid w:val="004268A5"/>
    <w:rsid w:val="0042695F"/>
    <w:rsid w:val="00426F4F"/>
    <w:rsid w:val="0042707F"/>
    <w:rsid w:val="0042776F"/>
    <w:rsid w:val="00427A9D"/>
    <w:rsid w:val="00427AD9"/>
    <w:rsid w:val="00427D02"/>
    <w:rsid w:val="004300E1"/>
    <w:rsid w:val="00430294"/>
    <w:rsid w:val="004309CF"/>
    <w:rsid w:val="00430B44"/>
    <w:rsid w:val="00430F27"/>
    <w:rsid w:val="0043104B"/>
    <w:rsid w:val="0043173F"/>
    <w:rsid w:val="004317C2"/>
    <w:rsid w:val="0043181D"/>
    <w:rsid w:val="00431824"/>
    <w:rsid w:val="00431AE7"/>
    <w:rsid w:val="00431D88"/>
    <w:rsid w:val="00431DC7"/>
    <w:rsid w:val="004325BF"/>
    <w:rsid w:val="0043274C"/>
    <w:rsid w:val="004328E4"/>
    <w:rsid w:val="00432937"/>
    <w:rsid w:val="00433460"/>
    <w:rsid w:val="00433550"/>
    <w:rsid w:val="00433D87"/>
    <w:rsid w:val="00433E32"/>
    <w:rsid w:val="00433ECE"/>
    <w:rsid w:val="00434370"/>
    <w:rsid w:val="004347A7"/>
    <w:rsid w:val="00434800"/>
    <w:rsid w:val="00434A79"/>
    <w:rsid w:val="00434B3D"/>
    <w:rsid w:val="00434F9C"/>
    <w:rsid w:val="004355FA"/>
    <w:rsid w:val="00435F09"/>
    <w:rsid w:val="00435F6F"/>
    <w:rsid w:val="00436225"/>
    <w:rsid w:val="00436548"/>
    <w:rsid w:val="0043682C"/>
    <w:rsid w:val="00436C20"/>
    <w:rsid w:val="004373A1"/>
    <w:rsid w:val="00437401"/>
    <w:rsid w:val="00440392"/>
    <w:rsid w:val="00440396"/>
    <w:rsid w:val="00440502"/>
    <w:rsid w:val="0044058F"/>
    <w:rsid w:val="004412E5"/>
    <w:rsid w:val="004414C8"/>
    <w:rsid w:val="004415FC"/>
    <w:rsid w:val="004416A4"/>
    <w:rsid w:val="00441989"/>
    <w:rsid w:val="00441BF6"/>
    <w:rsid w:val="00442112"/>
    <w:rsid w:val="00442822"/>
    <w:rsid w:val="00442B37"/>
    <w:rsid w:val="00442E3E"/>
    <w:rsid w:val="00442FA9"/>
    <w:rsid w:val="0044357E"/>
    <w:rsid w:val="004437F3"/>
    <w:rsid w:val="00443866"/>
    <w:rsid w:val="00443A3A"/>
    <w:rsid w:val="00443AE0"/>
    <w:rsid w:val="00443D1A"/>
    <w:rsid w:val="00443E6D"/>
    <w:rsid w:val="004442B1"/>
    <w:rsid w:val="004443FB"/>
    <w:rsid w:val="004446A3"/>
    <w:rsid w:val="004446B2"/>
    <w:rsid w:val="0044476D"/>
    <w:rsid w:val="00445064"/>
    <w:rsid w:val="00445172"/>
    <w:rsid w:val="00445472"/>
    <w:rsid w:val="004464C3"/>
    <w:rsid w:val="00447189"/>
    <w:rsid w:val="00447603"/>
    <w:rsid w:val="00447999"/>
    <w:rsid w:val="00447AC5"/>
    <w:rsid w:val="00447BDB"/>
    <w:rsid w:val="00447E54"/>
    <w:rsid w:val="00447EAD"/>
    <w:rsid w:val="0045009E"/>
    <w:rsid w:val="004504A7"/>
    <w:rsid w:val="004504E7"/>
    <w:rsid w:val="004505D9"/>
    <w:rsid w:val="00450899"/>
    <w:rsid w:val="004508B7"/>
    <w:rsid w:val="00450FE9"/>
    <w:rsid w:val="00451A7B"/>
    <w:rsid w:val="004522A6"/>
    <w:rsid w:val="00452870"/>
    <w:rsid w:val="0045291E"/>
    <w:rsid w:val="004529D7"/>
    <w:rsid w:val="00452A11"/>
    <w:rsid w:val="00453687"/>
    <w:rsid w:val="00453BF4"/>
    <w:rsid w:val="00453D89"/>
    <w:rsid w:val="00453E34"/>
    <w:rsid w:val="004541EE"/>
    <w:rsid w:val="00454571"/>
    <w:rsid w:val="004553C2"/>
    <w:rsid w:val="0045592A"/>
    <w:rsid w:val="0045592E"/>
    <w:rsid w:val="00455AE9"/>
    <w:rsid w:val="00455AFA"/>
    <w:rsid w:val="00456308"/>
    <w:rsid w:val="004566BE"/>
    <w:rsid w:val="0045682E"/>
    <w:rsid w:val="004568B4"/>
    <w:rsid w:val="00457142"/>
    <w:rsid w:val="004573A4"/>
    <w:rsid w:val="00457493"/>
    <w:rsid w:val="00457958"/>
    <w:rsid w:val="004605F4"/>
    <w:rsid w:val="00460FC2"/>
    <w:rsid w:val="0046115F"/>
    <w:rsid w:val="0046148D"/>
    <w:rsid w:val="00461535"/>
    <w:rsid w:val="00461AD3"/>
    <w:rsid w:val="00461AD5"/>
    <w:rsid w:val="00461DCE"/>
    <w:rsid w:val="0046203B"/>
    <w:rsid w:val="00462496"/>
    <w:rsid w:val="004625A3"/>
    <w:rsid w:val="004627CF"/>
    <w:rsid w:val="004628E6"/>
    <w:rsid w:val="004628EF"/>
    <w:rsid w:val="00462977"/>
    <w:rsid w:val="004629DE"/>
    <w:rsid w:val="00462DBA"/>
    <w:rsid w:val="00462ED4"/>
    <w:rsid w:val="004631FA"/>
    <w:rsid w:val="004635B7"/>
    <w:rsid w:val="0046365B"/>
    <w:rsid w:val="00463750"/>
    <w:rsid w:val="00464027"/>
    <w:rsid w:val="004641CB"/>
    <w:rsid w:val="0046443B"/>
    <w:rsid w:val="00464661"/>
    <w:rsid w:val="0046466D"/>
    <w:rsid w:val="004647D8"/>
    <w:rsid w:val="00464BC7"/>
    <w:rsid w:val="004651B8"/>
    <w:rsid w:val="00465580"/>
    <w:rsid w:val="00465972"/>
    <w:rsid w:val="00465A36"/>
    <w:rsid w:val="00465AC9"/>
    <w:rsid w:val="00465B80"/>
    <w:rsid w:val="00465C81"/>
    <w:rsid w:val="00465E7E"/>
    <w:rsid w:val="0046695A"/>
    <w:rsid w:val="00466BB5"/>
    <w:rsid w:val="004672E8"/>
    <w:rsid w:val="0046758F"/>
    <w:rsid w:val="004677E9"/>
    <w:rsid w:val="00467F74"/>
    <w:rsid w:val="004701CF"/>
    <w:rsid w:val="00470535"/>
    <w:rsid w:val="00471183"/>
    <w:rsid w:val="0047123C"/>
    <w:rsid w:val="004714F6"/>
    <w:rsid w:val="00471E38"/>
    <w:rsid w:val="0047289C"/>
    <w:rsid w:val="00472E22"/>
    <w:rsid w:val="00472F67"/>
    <w:rsid w:val="00473625"/>
    <w:rsid w:val="004739A1"/>
    <w:rsid w:val="00473CB2"/>
    <w:rsid w:val="004740AA"/>
    <w:rsid w:val="00474254"/>
    <w:rsid w:val="004742B5"/>
    <w:rsid w:val="0047430D"/>
    <w:rsid w:val="00474EA6"/>
    <w:rsid w:val="00474FDF"/>
    <w:rsid w:val="0047502E"/>
    <w:rsid w:val="004751CC"/>
    <w:rsid w:val="00475688"/>
    <w:rsid w:val="004758F6"/>
    <w:rsid w:val="004759E3"/>
    <w:rsid w:val="00475C51"/>
    <w:rsid w:val="00476123"/>
    <w:rsid w:val="00476161"/>
    <w:rsid w:val="00476658"/>
    <w:rsid w:val="00476814"/>
    <w:rsid w:val="00476E34"/>
    <w:rsid w:val="00476EE1"/>
    <w:rsid w:val="00477163"/>
    <w:rsid w:val="004774A5"/>
    <w:rsid w:val="00477898"/>
    <w:rsid w:val="00477B0E"/>
    <w:rsid w:val="00480195"/>
    <w:rsid w:val="00480757"/>
    <w:rsid w:val="00480921"/>
    <w:rsid w:val="00481420"/>
    <w:rsid w:val="00481688"/>
    <w:rsid w:val="00481CC8"/>
    <w:rsid w:val="00481FD4"/>
    <w:rsid w:val="004820E0"/>
    <w:rsid w:val="004822CA"/>
    <w:rsid w:val="0048261A"/>
    <w:rsid w:val="00482779"/>
    <w:rsid w:val="00482A1F"/>
    <w:rsid w:val="00483193"/>
    <w:rsid w:val="004835F1"/>
    <w:rsid w:val="0048385A"/>
    <w:rsid w:val="00483A8E"/>
    <w:rsid w:val="00483F95"/>
    <w:rsid w:val="00484D20"/>
    <w:rsid w:val="00484FC8"/>
    <w:rsid w:val="004850C1"/>
    <w:rsid w:val="0048518E"/>
    <w:rsid w:val="00486F54"/>
    <w:rsid w:val="00487038"/>
    <w:rsid w:val="004871B4"/>
    <w:rsid w:val="004876DD"/>
    <w:rsid w:val="004903B3"/>
    <w:rsid w:val="00490C4F"/>
    <w:rsid w:val="004915E6"/>
    <w:rsid w:val="0049178A"/>
    <w:rsid w:val="004917FC"/>
    <w:rsid w:val="00491C1D"/>
    <w:rsid w:val="00491DF1"/>
    <w:rsid w:val="00491E36"/>
    <w:rsid w:val="00491FE1"/>
    <w:rsid w:val="00491FF1"/>
    <w:rsid w:val="00492535"/>
    <w:rsid w:val="00492696"/>
    <w:rsid w:val="00492EBB"/>
    <w:rsid w:val="00493435"/>
    <w:rsid w:val="00493535"/>
    <w:rsid w:val="0049355C"/>
    <w:rsid w:val="0049357D"/>
    <w:rsid w:val="004937CB"/>
    <w:rsid w:val="00494B28"/>
    <w:rsid w:val="00494E2E"/>
    <w:rsid w:val="0049527B"/>
    <w:rsid w:val="004955A9"/>
    <w:rsid w:val="00495CF9"/>
    <w:rsid w:val="00495EAF"/>
    <w:rsid w:val="00495FFF"/>
    <w:rsid w:val="0049613A"/>
    <w:rsid w:val="0049626A"/>
    <w:rsid w:val="00496705"/>
    <w:rsid w:val="00496900"/>
    <w:rsid w:val="00496A9F"/>
    <w:rsid w:val="00496F34"/>
    <w:rsid w:val="00497270"/>
    <w:rsid w:val="00497358"/>
    <w:rsid w:val="0049792E"/>
    <w:rsid w:val="00497AC9"/>
    <w:rsid w:val="00497B2E"/>
    <w:rsid w:val="00497D6F"/>
    <w:rsid w:val="00497E80"/>
    <w:rsid w:val="00497FA5"/>
    <w:rsid w:val="004A0036"/>
    <w:rsid w:val="004A03B3"/>
    <w:rsid w:val="004A04D5"/>
    <w:rsid w:val="004A0792"/>
    <w:rsid w:val="004A0B15"/>
    <w:rsid w:val="004A0DF4"/>
    <w:rsid w:val="004A1387"/>
    <w:rsid w:val="004A1B07"/>
    <w:rsid w:val="004A21D8"/>
    <w:rsid w:val="004A2757"/>
    <w:rsid w:val="004A2DE9"/>
    <w:rsid w:val="004A2E04"/>
    <w:rsid w:val="004A31CF"/>
    <w:rsid w:val="004A3226"/>
    <w:rsid w:val="004A399F"/>
    <w:rsid w:val="004A3A04"/>
    <w:rsid w:val="004A3FA3"/>
    <w:rsid w:val="004A4096"/>
    <w:rsid w:val="004A40C1"/>
    <w:rsid w:val="004A4133"/>
    <w:rsid w:val="004A4692"/>
    <w:rsid w:val="004A502C"/>
    <w:rsid w:val="004A5582"/>
    <w:rsid w:val="004A669F"/>
    <w:rsid w:val="004A6842"/>
    <w:rsid w:val="004A718C"/>
    <w:rsid w:val="004A79AC"/>
    <w:rsid w:val="004A7B46"/>
    <w:rsid w:val="004A7DBE"/>
    <w:rsid w:val="004A7F94"/>
    <w:rsid w:val="004B0209"/>
    <w:rsid w:val="004B08AC"/>
    <w:rsid w:val="004B0B18"/>
    <w:rsid w:val="004B0D88"/>
    <w:rsid w:val="004B0E03"/>
    <w:rsid w:val="004B0FF1"/>
    <w:rsid w:val="004B14D9"/>
    <w:rsid w:val="004B1569"/>
    <w:rsid w:val="004B1574"/>
    <w:rsid w:val="004B1632"/>
    <w:rsid w:val="004B206E"/>
    <w:rsid w:val="004B229E"/>
    <w:rsid w:val="004B271B"/>
    <w:rsid w:val="004B29C2"/>
    <w:rsid w:val="004B29E1"/>
    <w:rsid w:val="004B2C52"/>
    <w:rsid w:val="004B2F46"/>
    <w:rsid w:val="004B3675"/>
    <w:rsid w:val="004B395D"/>
    <w:rsid w:val="004B3D50"/>
    <w:rsid w:val="004B4194"/>
    <w:rsid w:val="004B457E"/>
    <w:rsid w:val="004B4C9D"/>
    <w:rsid w:val="004B5447"/>
    <w:rsid w:val="004B55F0"/>
    <w:rsid w:val="004B56C3"/>
    <w:rsid w:val="004B5E0F"/>
    <w:rsid w:val="004B6377"/>
    <w:rsid w:val="004B656C"/>
    <w:rsid w:val="004B6928"/>
    <w:rsid w:val="004B6AA6"/>
    <w:rsid w:val="004B754D"/>
    <w:rsid w:val="004B79FA"/>
    <w:rsid w:val="004B7D94"/>
    <w:rsid w:val="004C0FB7"/>
    <w:rsid w:val="004C104B"/>
    <w:rsid w:val="004C12B2"/>
    <w:rsid w:val="004C164A"/>
    <w:rsid w:val="004C1B81"/>
    <w:rsid w:val="004C2811"/>
    <w:rsid w:val="004C2C65"/>
    <w:rsid w:val="004C2E14"/>
    <w:rsid w:val="004C2FE3"/>
    <w:rsid w:val="004C305A"/>
    <w:rsid w:val="004C31B4"/>
    <w:rsid w:val="004C333D"/>
    <w:rsid w:val="004C35EF"/>
    <w:rsid w:val="004C37ED"/>
    <w:rsid w:val="004C3BCF"/>
    <w:rsid w:val="004C4049"/>
    <w:rsid w:val="004C45B3"/>
    <w:rsid w:val="004C4829"/>
    <w:rsid w:val="004C4D30"/>
    <w:rsid w:val="004C4EAB"/>
    <w:rsid w:val="004C4F4F"/>
    <w:rsid w:val="004C5570"/>
    <w:rsid w:val="004C5BD0"/>
    <w:rsid w:val="004C5D52"/>
    <w:rsid w:val="004C5DB0"/>
    <w:rsid w:val="004C60D8"/>
    <w:rsid w:val="004C62EE"/>
    <w:rsid w:val="004C66C3"/>
    <w:rsid w:val="004C6A0D"/>
    <w:rsid w:val="004C6EEB"/>
    <w:rsid w:val="004C7E0C"/>
    <w:rsid w:val="004D0C1E"/>
    <w:rsid w:val="004D0FCC"/>
    <w:rsid w:val="004D1000"/>
    <w:rsid w:val="004D130A"/>
    <w:rsid w:val="004D1561"/>
    <w:rsid w:val="004D1ACF"/>
    <w:rsid w:val="004D1D27"/>
    <w:rsid w:val="004D1F09"/>
    <w:rsid w:val="004D2B3F"/>
    <w:rsid w:val="004D2EC3"/>
    <w:rsid w:val="004D2FF6"/>
    <w:rsid w:val="004D3FD6"/>
    <w:rsid w:val="004D405F"/>
    <w:rsid w:val="004D55CA"/>
    <w:rsid w:val="004D5A27"/>
    <w:rsid w:val="004D5F0E"/>
    <w:rsid w:val="004D6626"/>
    <w:rsid w:val="004D6758"/>
    <w:rsid w:val="004D6D6D"/>
    <w:rsid w:val="004D732E"/>
    <w:rsid w:val="004D79B4"/>
    <w:rsid w:val="004D7AB4"/>
    <w:rsid w:val="004D7B1A"/>
    <w:rsid w:val="004E0830"/>
    <w:rsid w:val="004E169C"/>
    <w:rsid w:val="004E1BF0"/>
    <w:rsid w:val="004E1C22"/>
    <w:rsid w:val="004E1E51"/>
    <w:rsid w:val="004E1E6A"/>
    <w:rsid w:val="004E220F"/>
    <w:rsid w:val="004E257C"/>
    <w:rsid w:val="004E28E1"/>
    <w:rsid w:val="004E2B01"/>
    <w:rsid w:val="004E3017"/>
    <w:rsid w:val="004E32BB"/>
    <w:rsid w:val="004E330F"/>
    <w:rsid w:val="004E34C7"/>
    <w:rsid w:val="004E356A"/>
    <w:rsid w:val="004E35A8"/>
    <w:rsid w:val="004E375D"/>
    <w:rsid w:val="004E3850"/>
    <w:rsid w:val="004E3C29"/>
    <w:rsid w:val="004E3FC1"/>
    <w:rsid w:val="004E44CE"/>
    <w:rsid w:val="004E4813"/>
    <w:rsid w:val="004E4C28"/>
    <w:rsid w:val="004E58EA"/>
    <w:rsid w:val="004E5F65"/>
    <w:rsid w:val="004E6C7A"/>
    <w:rsid w:val="004E74D3"/>
    <w:rsid w:val="004E7615"/>
    <w:rsid w:val="004E79F7"/>
    <w:rsid w:val="004E7CDF"/>
    <w:rsid w:val="004E7E27"/>
    <w:rsid w:val="004F00E5"/>
    <w:rsid w:val="004F02AF"/>
    <w:rsid w:val="004F0681"/>
    <w:rsid w:val="004F078C"/>
    <w:rsid w:val="004F1087"/>
    <w:rsid w:val="004F1324"/>
    <w:rsid w:val="004F1A03"/>
    <w:rsid w:val="004F1A8F"/>
    <w:rsid w:val="004F1B7A"/>
    <w:rsid w:val="004F1C06"/>
    <w:rsid w:val="004F1C7D"/>
    <w:rsid w:val="004F1D24"/>
    <w:rsid w:val="004F1DD7"/>
    <w:rsid w:val="004F1F27"/>
    <w:rsid w:val="004F21D2"/>
    <w:rsid w:val="004F2540"/>
    <w:rsid w:val="004F2641"/>
    <w:rsid w:val="004F27F3"/>
    <w:rsid w:val="004F29B9"/>
    <w:rsid w:val="004F2B8E"/>
    <w:rsid w:val="004F2C85"/>
    <w:rsid w:val="004F2FA3"/>
    <w:rsid w:val="004F3106"/>
    <w:rsid w:val="004F32BF"/>
    <w:rsid w:val="004F3C22"/>
    <w:rsid w:val="004F3CC7"/>
    <w:rsid w:val="004F3E6A"/>
    <w:rsid w:val="004F4110"/>
    <w:rsid w:val="004F469D"/>
    <w:rsid w:val="004F4B4C"/>
    <w:rsid w:val="004F5346"/>
    <w:rsid w:val="004F548C"/>
    <w:rsid w:val="004F5768"/>
    <w:rsid w:val="004F5773"/>
    <w:rsid w:val="004F5C09"/>
    <w:rsid w:val="004F5E4E"/>
    <w:rsid w:val="004F6057"/>
    <w:rsid w:val="004F63CC"/>
    <w:rsid w:val="004F6678"/>
    <w:rsid w:val="004F6821"/>
    <w:rsid w:val="004F6B28"/>
    <w:rsid w:val="004F6C65"/>
    <w:rsid w:val="004F6D2E"/>
    <w:rsid w:val="004F6DC6"/>
    <w:rsid w:val="004F797A"/>
    <w:rsid w:val="004F7D4D"/>
    <w:rsid w:val="004F7F0F"/>
    <w:rsid w:val="004F7FBC"/>
    <w:rsid w:val="005001AE"/>
    <w:rsid w:val="005007E7"/>
    <w:rsid w:val="005010CB"/>
    <w:rsid w:val="005012FC"/>
    <w:rsid w:val="005015A6"/>
    <w:rsid w:val="005017E8"/>
    <w:rsid w:val="00501CDC"/>
    <w:rsid w:val="00501E6C"/>
    <w:rsid w:val="00501EBE"/>
    <w:rsid w:val="00503551"/>
    <w:rsid w:val="00503883"/>
    <w:rsid w:val="00503963"/>
    <w:rsid w:val="00503E65"/>
    <w:rsid w:val="00503F38"/>
    <w:rsid w:val="005043B1"/>
    <w:rsid w:val="005043FC"/>
    <w:rsid w:val="00504A55"/>
    <w:rsid w:val="00504B31"/>
    <w:rsid w:val="00505A1E"/>
    <w:rsid w:val="00505AC6"/>
    <w:rsid w:val="00505F08"/>
    <w:rsid w:val="005061A4"/>
    <w:rsid w:val="0050671D"/>
    <w:rsid w:val="0050672C"/>
    <w:rsid w:val="0050692B"/>
    <w:rsid w:val="00506C0C"/>
    <w:rsid w:val="00506C4C"/>
    <w:rsid w:val="0050700E"/>
    <w:rsid w:val="00507366"/>
    <w:rsid w:val="00507909"/>
    <w:rsid w:val="005079D7"/>
    <w:rsid w:val="00507A37"/>
    <w:rsid w:val="00507B2A"/>
    <w:rsid w:val="00507D3E"/>
    <w:rsid w:val="00510A22"/>
    <w:rsid w:val="00510D8A"/>
    <w:rsid w:val="00511D6B"/>
    <w:rsid w:val="00511EBC"/>
    <w:rsid w:val="00511FBC"/>
    <w:rsid w:val="005125D5"/>
    <w:rsid w:val="00512CA1"/>
    <w:rsid w:val="00512D51"/>
    <w:rsid w:val="00512DBC"/>
    <w:rsid w:val="00512E95"/>
    <w:rsid w:val="00513FD8"/>
    <w:rsid w:val="00514381"/>
    <w:rsid w:val="00514674"/>
    <w:rsid w:val="0051477F"/>
    <w:rsid w:val="00514C46"/>
    <w:rsid w:val="00514DDC"/>
    <w:rsid w:val="005151C3"/>
    <w:rsid w:val="005157C5"/>
    <w:rsid w:val="00515BCF"/>
    <w:rsid w:val="00516083"/>
    <w:rsid w:val="0051635A"/>
    <w:rsid w:val="0051646E"/>
    <w:rsid w:val="005166C3"/>
    <w:rsid w:val="00516A18"/>
    <w:rsid w:val="00516BD0"/>
    <w:rsid w:val="00516EA5"/>
    <w:rsid w:val="00517606"/>
    <w:rsid w:val="005179DA"/>
    <w:rsid w:val="00517E2A"/>
    <w:rsid w:val="00520152"/>
    <w:rsid w:val="00520AD7"/>
    <w:rsid w:val="00520C1C"/>
    <w:rsid w:val="00520D1C"/>
    <w:rsid w:val="00521439"/>
    <w:rsid w:val="00522133"/>
    <w:rsid w:val="0052248F"/>
    <w:rsid w:val="0052292E"/>
    <w:rsid w:val="005229C6"/>
    <w:rsid w:val="00522A3A"/>
    <w:rsid w:val="005232E0"/>
    <w:rsid w:val="0052373B"/>
    <w:rsid w:val="00523836"/>
    <w:rsid w:val="00523CFF"/>
    <w:rsid w:val="00523E00"/>
    <w:rsid w:val="0052439F"/>
    <w:rsid w:val="005243EB"/>
    <w:rsid w:val="0052538E"/>
    <w:rsid w:val="0052549C"/>
    <w:rsid w:val="00525789"/>
    <w:rsid w:val="00525890"/>
    <w:rsid w:val="005258E2"/>
    <w:rsid w:val="00526452"/>
    <w:rsid w:val="00526816"/>
    <w:rsid w:val="00526996"/>
    <w:rsid w:val="00526B0D"/>
    <w:rsid w:val="00526B5F"/>
    <w:rsid w:val="00526C25"/>
    <w:rsid w:val="00526F09"/>
    <w:rsid w:val="0052733A"/>
    <w:rsid w:val="00527DF9"/>
    <w:rsid w:val="00527F4F"/>
    <w:rsid w:val="00530512"/>
    <w:rsid w:val="00530799"/>
    <w:rsid w:val="00530A31"/>
    <w:rsid w:val="00530CEA"/>
    <w:rsid w:val="00531000"/>
    <w:rsid w:val="0053109F"/>
    <w:rsid w:val="005311E8"/>
    <w:rsid w:val="005312C4"/>
    <w:rsid w:val="0053133A"/>
    <w:rsid w:val="00531822"/>
    <w:rsid w:val="00531A95"/>
    <w:rsid w:val="00531AF5"/>
    <w:rsid w:val="00531D7A"/>
    <w:rsid w:val="005326D0"/>
    <w:rsid w:val="005327CB"/>
    <w:rsid w:val="00532800"/>
    <w:rsid w:val="005328BC"/>
    <w:rsid w:val="00532A80"/>
    <w:rsid w:val="00532FDA"/>
    <w:rsid w:val="0053316E"/>
    <w:rsid w:val="00533E26"/>
    <w:rsid w:val="00533EE8"/>
    <w:rsid w:val="0053417D"/>
    <w:rsid w:val="005343C1"/>
    <w:rsid w:val="0053490C"/>
    <w:rsid w:val="005349A0"/>
    <w:rsid w:val="00535585"/>
    <w:rsid w:val="005357C2"/>
    <w:rsid w:val="00536028"/>
    <w:rsid w:val="0053628E"/>
    <w:rsid w:val="00536A58"/>
    <w:rsid w:val="00536AB4"/>
    <w:rsid w:val="00536ED4"/>
    <w:rsid w:val="00536F48"/>
    <w:rsid w:val="00537022"/>
    <w:rsid w:val="00537060"/>
    <w:rsid w:val="00537127"/>
    <w:rsid w:val="0053727D"/>
    <w:rsid w:val="0053764B"/>
    <w:rsid w:val="00537958"/>
    <w:rsid w:val="005400AE"/>
    <w:rsid w:val="005405B1"/>
    <w:rsid w:val="0054069F"/>
    <w:rsid w:val="00540E14"/>
    <w:rsid w:val="00541307"/>
    <w:rsid w:val="00541B0B"/>
    <w:rsid w:val="00541B60"/>
    <w:rsid w:val="00541CFE"/>
    <w:rsid w:val="00541DB8"/>
    <w:rsid w:val="00541F9A"/>
    <w:rsid w:val="00542599"/>
    <w:rsid w:val="00542EB4"/>
    <w:rsid w:val="0054348D"/>
    <w:rsid w:val="0054351C"/>
    <w:rsid w:val="0054362E"/>
    <w:rsid w:val="00543774"/>
    <w:rsid w:val="00543833"/>
    <w:rsid w:val="00543E4D"/>
    <w:rsid w:val="00544601"/>
    <w:rsid w:val="0054474B"/>
    <w:rsid w:val="005448B9"/>
    <w:rsid w:val="00544C51"/>
    <w:rsid w:val="00545136"/>
    <w:rsid w:val="005452C1"/>
    <w:rsid w:val="00545698"/>
    <w:rsid w:val="00545B42"/>
    <w:rsid w:val="00545F1B"/>
    <w:rsid w:val="0054612B"/>
    <w:rsid w:val="005466DF"/>
    <w:rsid w:val="00546773"/>
    <w:rsid w:val="00547753"/>
    <w:rsid w:val="005479F5"/>
    <w:rsid w:val="00547D90"/>
    <w:rsid w:val="005501E4"/>
    <w:rsid w:val="005506E4"/>
    <w:rsid w:val="005508EF"/>
    <w:rsid w:val="00550B41"/>
    <w:rsid w:val="005510E3"/>
    <w:rsid w:val="00551582"/>
    <w:rsid w:val="0055173F"/>
    <w:rsid w:val="005517FD"/>
    <w:rsid w:val="005519EE"/>
    <w:rsid w:val="00551AE8"/>
    <w:rsid w:val="00551D57"/>
    <w:rsid w:val="00552AFD"/>
    <w:rsid w:val="00552E11"/>
    <w:rsid w:val="00552FEB"/>
    <w:rsid w:val="0055326B"/>
    <w:rsid w:val="005532A3"/>
    <w:rsid w:val="00553395"/>
    <w:rsid w:val="00553567"/>
    <w:rsid w:val="005538EF"/>
    <w:rsid w:val="0055400F"/>
    <w:rsid w:val="00554019"/>
    <w:rsid w:val="00554300"/>
    <w:rsid w:val="005548DD"/>
    <w:rsid w:val="005549C2"/>
    <w:rsid w:val="00554DDC"/>
    <w:rsid w:val="00554E6A"/>
    <w:rsid w:val="00555425"/>
    <w:rsid w:val="00555500"/>
    <w:rsid w:val="00555CEE"/>
    <w:rsid w:val="00555FC3"/>
    <w:rsid w:val="00556027"/>
    <w:rsid w:val="00556340"/>
    <w:rsid w:val="0055643A"/>
    <w:rsid w:val="00556461"/>
    <w:rsid w:val="00556506"/>
    <w:rsid w:val="0055659A"/>
    <w:rsid w:val="00556731"/>
    <w:rsid w:val="00556AC0"/>
    <w:rsid w:val="00556CBE"/>
    <w:rsid w:val="00557401"/>
    <w:rsid w:val="0055747C"/>
    <w:rsid w:val="00557D41"/>
    <w:rsid w:val="00557F5B"/>
    <w:rsid w:val="00557FE2"/>
    <w:rsid w:val="00560729"/>
    <w:rsid w:val="005608D4"/>
    <w:rsid w:val="00560A86"/>
    <w:rsid w:val="00561C64"/>
    <w:rsid w:val="00561D64"/>
    <w:rsid w:val="00562173"/>
    <w:rsid w:val="0056218D"/>
    <w:rsid w:val="0056255F"/>
    <w:rsid w:val="00562B5F"/>
    <w:rsid w:val="00562E4D"/>
    <w:rsid w:val="00562EAD"/>
    <w:rsid w:val="00563222"/>
    <w:rsid w:val="00563322"/>
    <w:rsid w:val="00563333"/>
    <w:rsid w:val="00563406"/>
    <w:rsid w:val="0056367C"/>
    <w:rsid w:val="00563AEB"/>
    <w:rsid w:val="00563CAA"/>
    <w:rsid w:val="005642AA"/>
    <w:rsid w:val="00564321"/>
    <w:rsid w:val="00564775"/>
    <w:rsid w:val="00564C79"/>
    <w:rsid w:val="00565150"/>
    <w:rsid w:val="00565C21"/>
    <w:rsid w:val="00565CAE"/>
    <w:rsid w:val="00565DD0"/>
    <w:rsid w:val="00566C28"/>
    <w:rsid w:val="00566EBC"/>
    <w:rsid w:val="005673A1"/>
    <w:rsid w:val="00567500"/>
    <w:rsid w:val="0056753D"/>
    <w:rsid w:val="005675E2"/>
    <w:rsid w:val="00567707"/>
    <w:rsid w:val="00567811"/>
    <w:rsid w:val="00567CDA"/>
    <w:rsid w:val="00567DEE"/>
    <w:rsid w:val="00567E8F"/>
    <w:rsid w:val="00570163"/>
    <w:rsid w:val="005701B3"/>
    <w:rsid w:val="005702BD"/>
    <w:rsid w:val="005704B1"/>
    <w:rsid w:val="00570699"/>
    <w:rsid w:val="005709FC"/>
    <w:rsid w:val="00570EF4"/>
    <w:rsid w:val="005718A2"/>
    <w:rsid w:val="005719AC"/>
    <w:rsid w:val="0057259F"/>
    <w:rsid w:val="00572749"/>
    <w:rsid w:val="005727EB"/>
    <w:rsid w:val="005739F4"/>
    <w:rsid w:val="00573A7F"/>
    <w:rsid w:val="00573EE1"/>
    <w:rsid w:val="00573EEA"/>
    <w:rsid w:val="0057406C"/>
    <w:rsid w:val="005744B2"/>
    <w:rsid w:val="00575051"/>
    <w:rsid w:val="005758E3"/>
    <w:rsid w:val="00575FAA"/>
    <w:rsid w:val="00576035"/>
    <w:rsid w:val="00576069"/>
    <w:rsid w:val="0057617D"/>
    <w:rsid w:val="00576AD5"/>
    <w:rsid w:val="00576D35"/>
    <w:rsid w:val="005775C0"/>
    <w:rsid w:val="005777C8"/>
    <w:rsid w:val="00577AD5"/>
    <w:rsid w:val="00577F23"/>
    <w:rsid w:val="00580414"/>
    <w:rsid w:val="00580A50"/>
    <w:rsid w:val="00580A72"/>
    <w:rsid w:val="0058107B"/>
    <w:rsid w:val="0058149F"/>
    <w:rsid w:val="0058161B"/>
    <w:rsid w:val="005817A5"/>
    <w:rsid w:val="00581B22"/>
    <w:rsid w:val="00581DF3"/>
    <w:rsid w:val="0058256F"/>
    <w:rsid w:val="00582853"/>
    <w:rsid w:val="00582893"/>
    <w:rsid w:val="00582C76"/>
    <w:rsid w:val="00583496"/>
    <w:rsid w:val="00583706"/>
    <w:rsid w:val="00583A87"/>
    <w:rsid w:val="00583AF1"/>
    <w:rsid w:val="00583CCB"/>
    <w:rsid w:val="00583D99"/>
    <w:rsid w:val="00583D9F"/>
    <w:rsid w:val="0058403B"/>
    <w:rsid w:val="00584270"/>
    <w:rsid w:val="005842BA"/>
    <w:rsid w:val="005843E6"/>
    <w:rsid w:val="005845FA"/>
    <w:rsid w:val="00584AC0"/>
    <w:rsid w:val="00585019"/>
    <w:rsid w:val="0058568B"/>
    <w:rsid w:val="00585C21"/>
    <w:rsid w:val="00585CE7"/>
    <w:rsid w:val="00585FAC"/>
    <w:rsid w:val="00586080"/>
    <w:rsid w:val="005860BC"/>
    <w:rsid w:val="0058648E"/>
    <w:rsid w:val="00586B7C"/>
    <w:rsid w:val="00586E72"/>
    <w:rsid w:val="00586F8F"/>
    <w:rsid w:val="005874CD"/>
    <w:rsid w:val="00587515"/>
    <w:rsid w:val="00587597"/>
    <w:rsid w:val="00587A79"/>
    <w:rsid w:val="00587AAF"/>
    <w:rsid w:val="00587B8C"/>
    <w:rsid w:val="00587DF6"/>
    <w:rsid w:val="00590753"/>
    <w:rsid w:val="00590918"/>
    <w:rsid w:val="00590D18"/>
    <w:rsid w:val="00590EDD"/>
    <w:rsid w:val="005913C2"/>
    <w:rsid w:val="005914F0"/>
    <w:rsid w:val="00591653"/>
    <w:rsid w:val="00591988"/>
    <w:rsid w:val="00591EBD"/>
    <w:rsid w:val="0059217A"/>
    <w:rsid w:val="005921C8"/>
    <w:rsid w:val="005922A3"/>
    <w:rsid w:val="0059239E"/>
    <w:rsid w:val="0059249D"/>
    <w:rsid w:val="005924C4"/>
    <w:rsid w:val="005924DB"/>
    <w:rsid w:val="005929E8"/>
    <w:rsid w:val="00592A2E"/>
    <w:rsid w:val="00592BF2"/>
    <w:rsid w:val="005930CE"/>
    <w:rsid w:val="00593155"/>
    <w:rsid w:val="0059353B"/>
    <w:rsid w:val="005937E5"/>
    <w:rsid w:val="005938DB"/>
    <w:rsid w:val="005949FB"/>
    <w:rsid w:val="00594C1A"/>
    <w:rsid w:val="00594E4A"/>
    <w:rsid w:val="00595106"/>
    <w:rsid w:val="0059552E"/>
    <w:rsid w:val="00595692"/>
    <w:rsid w:val="005956E4"/>
    <w:rsid w:val="0059573E"/>
    <w:rsid w:val="00595789"/>
    <w:rsid w:val="00595B7B"/>
    <w:rsid w:val="00596020"/>
    <w:rsid w:val="0059632F"/>
    <w:rsid w:val="005967A2"/>
    <w:rsid w:val="005971A2"/>
    <w:rsid w:val="00597799"/>
    <w:rsid w:val="005977F9"/>
    <w:rsid w:val="00597BA8"/>
    <w:rsid w:val="005A0038"/>
    <w:rsid w:val="005A01E7"/>
    <w:rsid w:val="005A02C8"/>
    <w:rsid w:val="005A030B"/>
    <w:rsid w:val="005A09E5"/>
    <w:rsid w:val="005A1473"/>
    <w:rsid w:val="005A19FF"/>
    <w:rsid w:val="005A1A96"/>
    <w:rsid w:val="005A2074"/>
    <w:rsid w:val="005A24AE"/>
    <w:rsid w:val="005A2711"/>
    <w:rsid w:val="005A3394"/>
    <w:rsid w:val="005A373C"/>
    <w:rsid w:val="005A3AD9"/>
    <w:rsid w:val="005A403A"/>
    <w:rsid w:val="005A41F7"/>
    <w:rsid w:val="005A43BE"/>
    <w:rsid w:val="005A4624"/>
    <w:rsid w:val="005A5011"/>
    <w:rsid w:val="005A508D"/>
    <w:rsid w:val="005A51B3"/>
    <w:rsid w:val="005A5F3B"/>
    <w:rsid w:val="005A60BA"/>
    <w:rsid w:val="005A6E09"/>
    <w:rsid w:val="005A7550"/>
    <w:rsid w:val="005A761B"/>
    <w:rsid w:val="005A79F3"/>
    <w:rsid w:val="005A7B94"/>
    <w:rsid w:val="005A7E0E"/>
    <w:rsid w:val="005B05A2"/>
    <w:rsid w:val="005B096F"/>
    <w:rsid w:val="005B0987"/>
    <w:rsid w:val="005B0E8E"/>
    <w:rsid w:val="005B0FB5"/>
    <w:rsid w:val="005B1191"/>
    <w:rsid w:val="005B1205"/>
    <w:rsid w:val="005B1486"/>
    <w:rsid w:val="005B1D3B"/>
    <w:rsid w:val="005B2088"/>
    <w:rsid w:val="005B2466"/>
    <w:rsid w:val="005B2BBB"/>
    <w:rsid w:val="005B2BF5"/>
    <w:rsid w:val="005B2F06"/>
    <w:rsid w:val="005B2FD3"/>
    <w:rsid w:val="005B37D0"/>
    <w:rsid w:val="005B3BD1"/>
    <w:rsid w:val="005B41B3"/>
    <w:rsid w:val="005B41BF"/>
    <w:rsid w:val="005B4289"/>
    <w:rsid w:val="005B434F"/>
    <w:rsid w:val="005B47AD"/>
    <w:rsid w:val="005B5926"/>
    <w:rsid w:val="005B5A74"/>
    <w:rsid w:val="005B5D00"/>
    <w:rsid w:val="005B5DBE"/>
    <w:rsid w:val="005B66DA"/>
    <w:rsid w:val="005B6927"/>
    <w:rsid w:val="005B698D"/>
    <w:rsid w:val="005B6B33"/>
    <w:rsid w:val="005B6B72"/>
    <w:rsid w:val="005B6BFD"/>
    <w:rsid w:val="005B7331"/>
    <w:rsid w:val="005B75B6"/>
    <w:rsid w:val="005B789E"/>
    <w:rsid w:val="005B7F6E"/>
    <w:rsid w:val="005C02AD"/>
    <w:rsid w:val="005C043D"/>
    <w:rsid w:val="005C0A0C"/>
    <w:rsid w:val="005C0C11"/>
    <w:rsid w:val="005C12AC"/>
    <w:rsid w:val="005C1C90"/>
    <w:rsid w:val="005C1CEF"/>
    <w:rsid w:val="005C1EF5"/>
    <w:rsid w:val="005C25B4"/>
    <w:rsid w:val="005C27DD"/>
    <w:rsid w:val="005C33D3"/>
    <w:rsid w:val="005C3964"/>
    <w:rsid w:val="005C3AFB"/>
    <w:rsid w:val="005C428A"/>
    <w:rsid w:val="005C4330"/>
    <w:rsid w:val="005C4787"/>
    <w:rsid w:val="005C4997"/>
    <w:rsid w:val="005C5113"/>
    <w:rsid w:val="005C54B8"/>
    <w:rsid w:val="005C557C"/>
    <w:rsid w:val="005C56B7"/>
    <w:rsid w:val="005C592C"/>
    <w:rsid w:val="005C59BB"/>
    <w:rsid w:val="005C5CDF"/>
    <w:rsid w:val="005C631C"/>
    <w:rsid w:val="005C677E"/>
    <w:rsid w:val="005C6CD0"/>
    <w:rsid w:val="005C7072"/>
    <w:rsid w:val="005C759E"/>
    <w:rsid w:val="005C76FC"/>
    <w:rsid w:val="005C785E"/>
    <w:rsid w:val="005C78D5"/>
    <w:rsid w:val="005D00B6"/>
    <w:rsid w:val="005D0122"/>
    <w:rsid w:val="005D0A78"/>
    <w:rsid w:val="005D0EC4"/>
    <w:rsid w:val="005D0F17"/>
    <w:rsid w:val="005D101F"/>
    <w:rsid w:val="005D1247"/>
    <w:rsid w:val="005D1D60"/>
    <w:rsid w:val="005D205D"/>
    <w:rsid w:val="005D2111"/>
    <w:rsid w:val="005D290E"/>
    <w:rsid w:val="005D2F54"/>
    <w:rsid w:val="005D33D2"/>
    <w:rsid w:val="005D344E"/>
    <w:rsid w:val="005D353D"/>
    <w:rsid w:val="005D3FD5"/>
    <w:rsid w:val="005D4AF4"/>
    <w:rsid w:val="005D593D"/>
    <w:rsid w:val="005D5AC4"/>
    <w:rsid w:val="005D5CE2"/>
    <w:rsid w:val="005D5D35"/>
    <w:rsid w:val="005D63A5"/>
    <w:rsid w:val="005D64AA"/>
    <w:rsid w:val="005D6591"/>
    <w:rsid w:val="005D69A4"/>
    <w:rsid w:val="005D7938"/>
    <w:rsid w:val="005D79B5"/>
    <w:rsid w:val="005D7BDA"/>
    <w:rsid w:val="005E0243"/>
    <w:rsid w:val="005E069A"/>
    <w:rsid w:val="005E0A1F"/>
    <w:rsid w:val="005E0D35"/>
    <w:rsid w:val="005E0DEA"/>
    <w:rsid w:val="005E0FF7"/>
    <w:rsid w:val="005E1058"/>
    <w:rsid w:val="005E1667"/>
    <w:rsid w:val="005E17B3"/>
    <w:rsid w:val="005E1990"/>
    <w:rsid w:val="005E1BB5"/>
    <w:rsid w:val="005E1BD6"/>
    <w:rsid w:val="005E1D1D"/>
    <w:rsid w:val="005E20D0"/>
    <w:rsid w:val="005E23C7"/>
    <w:rsid w:val="005E2400"/>
    <w:rsid w:val="005E2594"/>
    <w:rsid w:val="005E2A51"/>
    <w:rsid w:val="005E2A79"/>
    <w:rsid w:val="005E2D15"/>
    <w:rsid w:val="005E2EDB"/>
    <w:rsid w:val="005E2FB1"/>
    <w:rsid w:val="005E31B6"/>
    <w:rsid w:val="005E328E"/>
    <w:rsid w:val="005E376E"/>
    <w:rsid w:val="005E3850"/>
    <w:rsid w:val="005E3EB4"/>
    <w:rsid w:val="005E3FEB"/>
    <w:rsid w:val="005E40C8"/>
    <w:rsid w:val="005E43DF"/>
    <w:rsid w:val="005E455E"/>
    <w:rsid w:val="005E47B6"/>
    <w:rsid w:val="005E48DE"/>
    <w:rsid w:val="005E566F"/>
    <w:rsid w:val="005E5EB1"/>
    <w:rsid w:val="005E610E"/>
    <w:rsid w:val="005E64AF"/>
    <w:rsid w:val="005E6BE9"/>
    <w:rsid w:val="005E71A5"/>
    <w:rsid w:val="005E7221"/>
    <w:rsid w:val="005E740C"/>
    <w:rsid w:val="005E777B"/>
    <w:rsid w:val="005E793F"/>
    <w:rsid w:val="005F03D5"/>
    <w:rsid w:val="005F0860"/>
    <w:rsid w:val="005F0C9C"/>
    <w:rsid w:val="005F14A7"/>
    <w:rsid w:val="005F1B20"/>
    <w:rsid w:val="005F1E18"/>
    <w:rsid w:val="005F1E6A"/>
    <w:rsid w:val="005F26FC"/>
    <w:rsid w:val="005F27E0"/>
    <w:rsid w:val="005F29C0"/>
    <w:rsid w:val="005F2A66"/>
    <w:rsid w:val="005F2A93"/>
    <w:rsid w:val="005F2B32"/>
    <w:rsid w:val="005F3176"/>
    <w:rsid w:val="005F3549"/>
    <w:rsid w:val="005F3D56"/>
    <w:rsid w:val="005F3D8C"/>
    <w:rsid w:val="005F3EC6"/>
    <w:rsid w:val="005F44BD"/>
    <w:rsid w:val="005F514D"/>
    <w:rsid w:val="005F54B4"/>
    <w:rsid w:val="005F5576"/>
    <w:rsid w:val="005F57AB"/>
    <w:rsid w:val="005F5A4E"/>
    <w:rsid w:val="005F5A6F"/>
    <w:rsid w:val="005F5BE9"/>
    <w:rsid w:val="005F5C6D"/>
    <w:rsid w:val="005F5E8E"/>
    <w:rsid w:val="005F60E6"/>
    <w:rsid w:val="005F61DD"/>
    <w:rsid w:val="005F634C"/>
    <w:rsid w:val="005F63D8"/>
    <w:rsid w:val="005F75FA"/>
    <w:rsid w:val="005F764A"/>
    <w:rsid w:val="0060008E"/>
    <w:rsid w:val="006005C1"/>
    <w:rsid w:val="00600B42"/>
    <w:rsid w:val="00600CE1"/>
    <w:rsid w:val="0060101F"/>
    <w:rsid w:val="006011A0"/>
    <w:rsid w:val="00601735"/>
    <w:rsid w:val="00601C1B"/>
    <w:rsid w:val="00601CF8"/>
    <w:rsid w:val="00602705"/>
    <w:rsid w:val="00602A78"/>
    <w:rsid w:val="00602BCA"/>
    <w:rsid w:val="0060305F"/>
    <w:rsid w:val="006034C7"/>
    <w:rsid w:val="00604617"/>
    <w:rsid w:val="00604730"/>
    <w:rsid w:val="006047B0"/>
    <w:rsid w:val="006049CE"/>
    <w:rsid w:val="00604AE3"/>
    <w:rsid w:val="00604C38"/>
    <w:rsid w:val="00604D1B"/>
    <w:rsid w:val="006052A3"/>
    <w:rsid w:val="006053D8"/>
    <w:rsid w:val="006057CF"/>
    <w:rsid w:val="006059A0"/>
    <w:rsid w:val="00605A1A"/>
    <w:rsid w:val="00606054"/>
    <w:rsid w:val="0060611E"/>
    <w:rsid w:val="006063E0"/>
    <w:rsid w:val="0060660B"/>
    <w:rsid w:val="00606906"/>
    <w:rsid w:val="00606EE7"/>
    <w:rsid w:val="00606FAA"/>
    <w:rsid w:val="006073FF"/>
    <w:rsid w:val="0060795B"/>
    <w:rsid w:val="00607C10"/>
    <w:rsid w:val="006103B7"/>
    <w:rsid w:val="006103D0"/>
    <w:rsid w:val="00610C4B"/>
    <w:rsid w:val="00611BA6"/>
    <w:rsid w:val="006120BB"/>
    <w:rsid w:val="00612140"/>
    <w:rsid w:val="006129CC"/>
    <w:rsid w:val="00612D19"/>
    <w:rsid w:val="0061330F"/>
    <w:rsid w:val="00613401"/>
    <w:rsid w:val="00613641"/>
    <w:rsid w:val="00613A0B"/>
    <w:rsid w:val="00613BED"/>
    <w:rsid w:val="00614139"/>
    <w:rsid w:val="00614483"/>
    <w:rsid w:val="0061478C"/>
    <w:rsid w:val="0061516E"/>
    <w:rsid w:val="006151BC"/>
    <w:rsid w:val="00615204"/>
    <w:rsid w:val="006154F0"/>
    <w:rsid w:val="006156F3"/>
    <w:rsid w:val="00615E77"/>
    <w:rsid w:val="00616221"/>
    <w:rsid w:val="00616278"/>
    <w:rsid w:val="006162A3"/>
    <w:rsid w:val="00616436"/>
    <w:rsid w:val="006164FB"/>
    <w:rsid w:val="00616618"/>
    <w:rsid w:val="00616C7D"/>
    <w:rsid w:val="0061735F"/>
    <w:rsid w:val="00617A4A"/>
    <w:rsid w:val="00617EEA"/>
    <w:rsid w:val="006205E1"/>
    <w:rsid w:val="006205F3"/>
    <w:rsid w:val="006208EE"/>
    <w:rsid w:val="0062091D"/>
    <w:rsid w:val="00620ABF"/>
    <w:rsid w:val="00620C44"/>
    <w:rsid w:val="00620E4E"/>
    <w:rsid w:val="00620FB9"/>
    <w:rsid w:val="0062100E"/>
    <w:rsid w:val="00621166"/>
    <w:rsid w:val="006211A5"/>
    <w:rsid w:val="00621529"/>
    <w:rsid w:val="006219BC"/>
    <w:rsid w:val="00621EF4"/>
    <w:rsid w:val="00622134"/>
    <w:rsid w:val="006226AF"/>
    <w:rsid w:val="00622789"/>
    <w:rsid w:val="00623148"/>
    <w:rsid w:val="006233C1"/>
    <w:rsid w:val="006235B3"/>
    <w:rsid w:val="00623D75"/>
    <w:rsid w:val="006242E1"/>
    <w:rsid w:val="00624649"/>
    <w:rsid w:val="006248A2"/>
    <w:rsid w:val="006249A7"/>
    <w:rsid w:val="006249D1"/>
    <w:rsid w:val="00624D4F"/>
    <w:rsid w:val="006251B8"/>
    <w:rsid w:val="0062543B"/>
    <w:rsid w:val="00625713"/>
    <w:rsid w:val="00625B22"/>
    <w:rsid w:val="00625C53"/>
    <w:rsid w:val="00625F83"/>
    <w:rsid w:val="00626415"/>
    <w:rsid w:val="00626447"/>
    <w:rsid w:val="0062692A"/>
    <w:rsid w:val="006272FA"/>
    <w:rsid w:val="0062768B"/>
    <w:rsid w:val="00627827"/>
    <w:rsid w:val="00627A49"/>
    <w:rsid w:val="00627AF9"/>
    <w:rsid w:val="00627D2B"/>
    <w:rsid w:val="00627D60"/>
    <w:rsid w:val="00627E30"/>
    <w:rsid w:val="00627E4E"/>
    <w:rsid w:val="00630169"/>
    <w:rsid w:val="006303FC"/>
    <w:rsid w:val="006309D1"/>
    <w:rsid w:val="00630E40"/>
    <w:rsid w:val="006312AF"/>
    <w:rsid w:val="00631575"/>
    <w:rsid w:val="00631716"/>
    <w:rsid w:val="0063179F"/>
    <w:rsid w:val="006317A4"/>
    <w:rsid w:val="00632259"/>
    <w:rsid w:val="00632765"/>
    <w:rsid w:val="00632A30"/>
    <w:rsid w:val="00632DD8"/>
    <w:rsid w:val="00633216"/>
    <w:rsid w:val="00633701"/>
    <w:rsid w:val="006338DA"/>
    <w:rsid w:val="0063390C"/>
    <w:rsid w:val="00633A5E"/>
    <w:rsid w:val="00633F74"/>
    <w:rsid w:val="00634CEA"/>
    <w:rsid w:val="00635641"/>
    <w:rsid w:val="00635AEB"/>
    <w:rsid w:val="00635F76"/>
    <w:rsid w:val="006366EC"/>
    <w:rsid w:val="006367B7"/>
    <w:rsid w:val="00636E0F"/>
    <w:rsid w:val="00636EF8"/>
    <w:rsid w:val="00636FEF"/>
    <w:rsid w:val="0063715F"/>
    <w:rsid w:val="006371D4"/>
    <w:rsid w:val="006377DB"/>
    <w:rsid w:val="006404EE"/>
    <w:rsid w:val="006405A2"/>
    <w:rsid w:val="00640699"/>
    <w:rsid w:val="0064083A"/>
    <w:rsid w:val="0064096C"/>
    <w:rsid w:val="006417E0"/>
    <w:rsid w:val="006418D2"/>
    <w:rsid w:val="006419D4"/>
    <w:rsid w:val="00641E1E"/>
    <w:rsid w:val="00642453"/>
    <w:rsid w:val="00642C54"/>
    <w:rsid w:val="00643299"/>
    <w:rsid w:val="006438BE"/>
    <w:rsid w:val="006440C1"/>
    <w:rsid w:val="006443B2"/>
    <w:rsid w:val="00644F66"/>
    <w:rsid w:val="00645210"/>
    <w:rsid w:val="0064522C"/>
    <w:rsid w:val="00645348"/>
    <w:rsid w:val="00645914"/>
    <w:rsid w:val="00645933"/>
    <w:rsid w:val="006459B3"/>
    <w:rsid w:val="00645D57"/>
    <w:rsid w:val="00646970"/>
    <w:rsid w:val="00646FDD"/>
    <w:rsid w:val="006476BA"/>
    <w:rsid w:val="00647883"/>
    <w:rsid w:val="00647C38"/>
    <w:rsid w:val="00647D39"/>
    <w:rsid w:val="006500A2"/>
    <w:rsid w:val="00650528"/>
    <w:rsid w:val="0065058D"/>
    <w:rsid w:val="006509A2"/>
    <w:rsid w:val="00650C5E"/>
    <w:rsid w:val="00651147"/>
    <w:rsid w:val="0065131D"/>
    <w:rsid w:val="0065197E"/>
    <w:rsid w:val="00651DC1"/>
    <w:rsid w:val="00651FD6"/>
    <w:rsid w:val="0065234B"/>
    <w:rsid w:val="00652384"/>
    <w:rsid w:val="00652426"/>
    <w:rsid w:val="00652480"/>
    <w:rsid w:val="0065252C"/>
    <w:rsid w:val="0065299F"/>
    <w:rsid w:val="00652D51"/>
    <w:rsid w:val="00653678"/>
    <w:rsid w:val="00653761"/>
    <w:rsid w:val="00653A1C"/>
    <w:rsid w:val="00653A46"/>
    <w:rsid w:val="00653AC4"/>
    <w:rsid w:val="00653C52"/>
    <w:rsid w:val="00653D93"/>
    <w:rsid w:val="006540C1"/>
    <w:rsid w:val="00654118"/>
    <w:rsid w:val="0065460C"/>
    <w:rsid w:val="00654642"/>
    <w:rsid w:val="00654A84"/>
    <w:rsid w:val="00654AF4"/>
    <w:rsid w:val="00654CB8"/>
    <w:rsid w:val="00655105"/>
    <w:rsid w:val="0065528B"/>
    <w:rsid w:val="0065561D"/>
    <w:rsid w:val="00655995"/>
    <w:rsid w:val="006559AA"/>
    <w:rsid w:val="00655D2D"/>
    <w:rsid w:val="00655F61"/>
    <w:rsid w:val="006562F3"/>
    <w:rsid w:val="006565D3"/>
    <w:rsid w:val="006569F2"/>
    <w:rsid w:val="00656F36"/>
    <w:rsid w:val="00656F87"/>
    <w:rsid w:val="00656FC3"/>
    <w:rsid w:val="00657478"/>
    <w:rsid w:val="00657693"/>
    <w:rsid w:val="00657861"/>
    <w:rsid w:val="00657906"/>
    <w:rsid w:val="00657B05"/>
    <w:rsid w:val="00657B97"/>
    <w:rsid w:val="00660010"/>
    <w:rsid w:val="00660083"/>
    <w:rsid w:val="00660680"/>
    <w:rsid w:val="00660BFB"/>
    <w:rsid w:val="00660E23"/>
    <w:rsid w:val="00660F41"/>
    <w:rsid w:val="00661DE5"/>
    <w:rsid w:val="00662A70"/>
    <w:rsid w:val="00662AF9"/>
    <w:rsid w:val="00662C14"/>
    <w:rsid w:val="00662C97"/>
    <w:rsid w:val="00662CBB"/>
    <w:rsid w:val="00662F3E"/>
    <w:rsid w:val="0066314F"/>
    <w:rsid w:val="0066368C"/>
    <w:rsid w:val="0066398B"/>
    <w:rsid w:val="00663F53"/>
    <w:rsid w:val="0066486A"/>
    <w:rsid w:val="00664A2B"/>
    <w:rsid w:val="00664AAA"/>
    <w:rsid w:val="00664CDB"/>
    <w:rsid w:val="00664D18"/>
    <w:rsid w:val="00664D5F"/>
    <w:rsid w:val="00664E4F"/>
    <w:rsid w:val="006650DE"/>
    <w:rsid w:val="0066527F"/>
    <w:rsid w:val="006655BB"/>
    <w:rsid w:val="00666754"/>
    <w:rsid w:val="0066685A"/>
    <w:rsid w:val="00666AEA"/>
    <w:rsid w:val="00666D37"/>
    <w:rsid w:val="0066706E"/>
    <w:rsid w:val="0066754C"/>
    <w:rsid w:val="006676BE"/>
    <w:rsid w:val="00667754"/>
    <w:rsid w:val="00667D71"/>
    <w:rsid w:val="00667FB2"/>
    <w:rsid w:val="00670D2E"/>
    <w:rsid w:val="00671280"/>
    <w:rsid w:val="006715AD"/>
    <w:rsid w:val="00671F8A"/>
    <w:rsid w:val="0067269F"/>
    <w:rsid w:val="006726CB"/>
    <w:rsid w:val="0067272F"/>
    <w:rsid w:val="0067276D"/>
    <w:rsid w:val="00672E8B"/>
    <w:rsid w:val="00672FC9"/>
    <w:rsid w:val="00673632"/>
    <w:rsid w:val="00673733"/>
    <w:rsid w:val="00673881"/>
    <w:rsid w:val="00673BA4"/>
    <w:rsid w:val="00674C5D"/>
    <w:rsid w:val="00674ED8"/>
    <w:rsid w:val="00675533"/>
    <w:rsid w:val="00675793"/>
    <w:rsid w:val="006759A7"/>
    <w:rsid w:val="00675A1D"/>
    <w:rsid w:val="00675C5E"/>
    <w:rsid w:val="00676816"/>
    <w:rsid w:val="00676851"/>
    <w:rsid w:val="00676F0B"/>
    <w:rsid w:val="006773D1"/>
    <w:rsid w:val="006775DC"/>
    <w:rsid w:val="006801BB"/>
    <w:rsid w:val="006802E3"/>
    <w:rsid w:val="00680CC6"/>
    <w:rsid w:val="0068122E"/>
    <w:rsid w:val="00681322"/>
    <w:rsid w:val="00682059"/>
    <w:rsid w:val="0068241B"/>
    <w:rsid w:val="006829A7"/>
    <w:rsid w:val="00682A44"/>
    <w:rsid w:val="006834BE"/>
    <w:rsid w:val="00683889"/>
    <w:rsid w:val="006838CA"/>
    <w:rsid w:val="00683B59"/>
    <w:rsid w:val="00683CC8"/>
    <w:rsid w:val="006842A2"/>
    <w:rsid w:val="006848BB"/>
    <w:rsid w:val="00684A44"/>
    <w:rsid w:val="00685002"/>
    <w:rsid w:val="00685054"/>
    <w:rsid w:val="00685075"/>
    <w:rsid w:val="00685339"/>
    <w:rsid w:val="00685597"/>
    <w:rsid w:val="00685685"/>
    <w:rsid w:val="006856C1"/>
    <w:rsid w:val="00685716"/>
    <w:rsid w:val="006857EA"/>
    <w:rsid w:val="006859F4"/>
    <w:rsid w:val="00685FC6"/>
    <w:rsid w:val="006862D8"/>
    <w:rsid w:val="00686338"/>
    <w:rsid w:val="0068731C"/>
    <w:rsid w:val="00687893"/>
    <w:rsid w:val="0069038B"/>
    <w:rsid w:val="006904AD"/>
    <w:rsid w:val="006905D5"/>
    <w:rsid w:val="006905F1"/>
    <w:rsid w:val="006912E6"/>
    <w:rsid w:val="006914E9"/>
    <w:rsid w:val="00691815"/>
    <w:rsid w:val="00691822"/>
    <w:rsid w:val="006918A2"/>
    <w:rsid w:val="00691E51"/>
    <w:rsid w:val="006920CA"/>
    <w:rsid w:val="00692419"/>
    <w:rsid w:val="006927F0"/>
    <w:rsid w:val="00692C4E"/>
    <w:rsid w:val="0069311E"/>
    <w:rsid w:val="006936DB"/>
    <w:rsid w:val="00693801"/>
    <w:rsid w:val="006943D0"/>
    <w:rsid w:val="006943E4"/>
    <w:rsid w:val="006944B8"/>
    <w:rsid w:val="0069456C"/>
    <w:rsid w:val="00694706"/>
    <w:rsid w:val="00694C99"/>
    <w:rsid w:val="00694DF8"/>
    <w:rsid w:val="00694F6F"/>
    <w:rsid w:val="00694FA0"/>
    <w:rsid w:val="00694FCB"/>
    <w:rsid w:val="006956E0"/>
    <w:rsid w:val="00695D95"/>
    <w:rsid w:val="00695DDA"/>
    <w:rsid w:val="00696136"/>
    <w:rsid w:val="006961F4"/>
    <w:rsid w:val="00696243"/>
    <w:rsid w:val="006962E6"/>
    <w:rsid w:val="0069657D"/>
    <w:rsid w:val="00696619"/>
    <w:rsid w:val="00696709"/>
    <w:rsid w:val="00696A8E"/>
    <w:rsid w:val="0069703E"/>
    <w:rsid w:val="00697208"/>
    <w:rsid w:val="006972F8"/>
    <w:rsid w:val="00697A32"/>
    <w:rsid w:val="006A06E3"/>
    <w:rsid w:val="006A0B03"/>
    <w:rsid w:val="006A0ECA"/>
    <w:rsid w:val="006A11F4"/>
    <w:rsid w:val="006A14A8"/>
    <w:rsid w:val="006A182D"/>
    <w:rsid w:val="006A1ADF"/>
    <w:rsid w:val="006A23AC"/>
    <w:rsid w:val="006A26DF"/>
    <w:rsid w:val="006A2835"/>
    <w:rsid w:val="006A2F7F"/>
    <w:rsid w:val="006A3411"/>
    <w:rsid w:val="006A3A19"/>
    <w:rsid w:val="006A3B9E"/>
    <w:rsid w:val="006A3D6D"/>
    <w:rsid w:val="006A3D73"/>
    <w:rsid w:val="006A3F3C"/>
    <w:rsid w:val="006A43EA"/>
    <w:rsid w:val="006A471A"/>
    <w:rsid w:val="006A5290"/>
    <w:rsid w:val="006A5C11"/>
    <w:rsid w:val="006A5FA6"/>
    <w:rsid w:val="006A61A5"/>
    <w:rsid w:val="006A6290"/>
    <w:rsid w:val="006A676B"/>
    <w:rsid w:val="006A6770"/>
    <w:rsid w:val="006A6A1A"/>
    <w:rsid w:val="006A6BAB"/>
    <w:rsid w:val="006A6C28"/>
    <w:rsid w:val="006A777A"/>
    <w:rsid w:val="006A7AE9"/>
    <w:rsid w:val="006A7C9D"/>
    <w:rsid w:val="006A7D74"/>
    <w:rsid w:val="006A7F1D"/>
    <w:rsid w:val="006B0264"/>
    <w:rsid w:val="006B04CF"/>
    <w:rsid w:val="006B0BF0"/>
    <w:rsid w:val="006B0D7E"/>
    <w:rsid w:val="006B1E59"/>
    <w:rsid w:val="006B269C"/>
    <w:rsid w:val="006B2995"/>
    <w:rsid w:val="006B2F13"/>
    <w:rsid w:val="006B3335"/>
    <w:rsid w:val="006B33FB"/>
    <w:rsid w:val="006B3EFD"/>
    <w:rsid w:val="006B40C8"/>
    <w:rsid w:val="006B472A"/>
    <w:rsid w:val="006B4B80"/>
    <w:rsid w:val="006B4F50"/>
    <w:rsid w:val="006B5149"/>
    <w:rsid w:val="006B549F"/>
    <w:rsid w:val="006B54EB"/>
    <w:rsid w:val="006B65CB"/>
    <w:rsid w:val="006B6F1D"/>
    <w:rsid w:val="006B765D"/>
    <w:rsid w:val="006B767F"/>
    <w:rsid w:val="006B7702"/>
    <w:rsid w:val="006B77ED"/>
    <w:rsid w:val="006C01F4"/>
    <w:rsid w:val="006C0683"/>
    <w:rsid w:val="006C06DC"/>
    <w:rsid w:val="006C07EA"/>
    <w:rsid w:val="006C0867"/>
    <w:rsid w:val="006C10B7"/>
    <w:rsid w:val="006C12F3"/>
    <w:rsid w:val="006C1503"/>
    <w:rsid w:val="006C1875"/>
    <w:rsid w:val="006C215A"/>
    <w:rsid w:val="006C2196"/>
    <w:rsid w:val="006C24C7"/>
    <w:rsid w:val="006C273C"/>
    <w:rsid w:val="006C2FF1"/>
    <w:rsid w:val="006C374A"/>
    <w:rsid w:val="006C3A0F"/>
    <w:rsid w:val="006C3B9C"/>
    <w:rsid w:val="006C479E"/>
    <w:rsid w:val="006C4A29"/>
    <w:rsid w:val="006C4A5F"/>
    <w:rsid w:val="006C54EE"/>
    <w:rsid w:val="006C565D"/>
    <w:rsid w:val="006C57FE"/>
    <w:rsid w:val="006C5AB5"/>
    <w:rsid w:val="006C6854"/>
    <w:rsid w:val="006C6DB0"/>
    <w:rsid w:val="006C6E36"/>
    <w:rsid w:val="006C705E"/>
    <w:rsid w:val="006C7216"/>
    <w:rsid w:val="006C7266"/>
    <w:rsid w:val="006C791E"/>
    <w:rsid w:val="006C7EAA"/>
    <w:rsid w:val="006D045E"/>
    <w:rsid w:val="006D05F4"/>
    <w:rsid w:val="006D0930"/>
    <w:rsid w:val="006D0B6D"/>
    <w:rsid w:val="006D1549"/>
    <w:rsid w:val="006D16EC"/>
    <w:rsid w:val="006D1A5F"/>
    <w:rsid w:val="006D1D33"/>
    <w:rsid w:val="006D1F0A"/>
    <w:rsid w:val="006D2486"/>
    <w:rsid w:val="006D2638"/>
    <w:rsid w:val="006D3429"/>
    <w:rsid w:val="006D366D"/>
    <w:rsid w:val="006D381C"/>
    <w:rsid w:val="006D39CE"/>
    <w:rsid w:val="006D39EA"/>
    <w:rsid w:val="006D3CE0"/>
    <w:rsid w:val="006D4801"/>
    <w:rsid w:val="006D487E"/>
    <w:rsid w:val="006D4A33"/>
    <w:rsid w:val="006D4C75"/>
    <w:rsid w:val="006D4D40"/>
    <w:rsid w:val="006D4D9B"/>
    <w:rsid w:val="006D53DF"/>
    <w:rsid w:val="006D5412"/>
    <w:rsid w:val="006D54F7"/>
    <w:rsid w:val="006D55C1"/>
    <w:rsid w:val="006D5604"/>
    <w:rsid w:val="006D5666"/>
    <w:rsid w:val="006D58BA"/>
    <w:rsid w:val="006D5CDA"/>
    <w:rsid w:val="006D6287"/>
    <w:rsid w:val="006D65F5"/>
    <w:rsid w:val="006D6D76"/>
    <w:rsid w:val="006D6ECE"/>
    <w:rsid w:val="006D789B"/>
    <w:rsid w:val="006D7902"/>
    <w:rsid w:val="006D7BEA"/>
    <w:rsid w:val="006D7C9D"/>
    <w:rsid w:val="006D7CD6"/>
    <w:rsid w:val="006D7D85"/>
    <w:rsid w:val="006E045E"/>
    <w:rsid w:val="006E04C4"/>
    <w:rsid w:val="006E09E9"/>
    <w:rsid w:val="006E0B21"/>
    <w:rsid w:val="006E166F"/>
    <w:rsid w:val="006E171B"/>
    <w:rsid w:val="006E19F2"/>
    <w:rsid w:val="006E1A8F"/>
    <w:rsid w:val="006E1B99"/>
    <w:rsid w:val="006E204E"/>
    <w:rsid w:val="006E2460"/>
    <w:rsid w:val="006E24C1"/>
    <w:rsid w:val="006E2536"/>
    <w:rsid w:val="006E2963"/>
    <w:rsid w:val="006E2C6D"/>
    <w:rsid w:val="006E32F2"/>
    <w:rsid w:val="006E33D2"/>
    <w:rsid w:val="006E374B"/>
    <w:rsid w:val="006E3B50"/>
    <w:rsid w:val="006E44D3"/>
    <w:rsid w:val="006E4705"/>
    <w:rsid w:val="006E470D"/>
    <w:rsid w:val="006E49DF"/>
    <w:rsid w:val="006E4BC0"/>
    <w:rsid w:val="006E4E07"/>
    <w:rsid w:val="006E4E81"/>
    <w:rsid w:val="006E5353"/>
    <w:rsid w:val="006E58CF"/>
    <w:rsid w:val="006E5AF0"/>
    <w:rsid w:val="006E6241"/>
    <w:rsid w:val="006E645F"/>
    <w:rsid w:val="006E6991"/>
    <w:rsid w:val="006E6F3D"/>
    <w:rsid w:val="006E6FC2"/>
    <w:rsid w:val="006F04B6"/>
    <w:rsid w:val="006F067D"/>
    <w:rsid w:val="006F0E63"/>
    <w:rsid w:val="006F117D"/>
    <w:rsid w:val="006F1195"/>
    <w:rsid w:val="006F1200"/>
    <w:rsid w:val="006F13F3"/>
    <w:rsid w:val="006F191B"/>
    <w:rsid w:val="006F1DBD"/>
    <w:rsid w:val="006F1E00"/>
    <w:rsid w:val="006F253F"/>
    <w:rsid w:val="006F2B9E"/>
    <w:rsid w:val="006F2D49"/>
    <w:rsid w:val="006F301F"/>
    <w:rsid w:val="006F3419"/>
    <w:rsid w:val="006F3B49"/>
    <w:rsid w:val="006F3FDE"/>
    <w:rsid w:val="006F4327"/>
    <w:rsid w:val="006F4661"/>
    <w:rsid w:val="006F46DE"/>
    <w:rsid w:val="006F48EA"/>
    <w:rsid w:val="006F4F6A"/>
    <w:rsid w:val="006F51E0"/>
    <w:rsid w:val="006F5682"/>
    <w:rsid w:val="006F572D"/>
    <w:rsid w:val="006F5813"/>
    <w:rsid w:val="006F5820"/>
    <w:rsid w:val="006F5847"/>
    <w:rsid w:val="006F5B1A"/>
    <w:rsid w:val="006F5F76"/>
    <w:rsid w:val="006F6790"/>
    <w:rsid w:val="006F6963"/>
    <w:rsid w:val="006F707D"/>
    <w:rsid w:val="006F7ADB"/>
    <w:rsid w:val="006F7E4E"/>
    <w:rsid w:val="00700821"/>
    <w:rsid w:val="00700FEB"/>
    <w:rsid w:val="007010A7"/>
    <w:rsid w:val="007011D1"/>
    <w:rsid w:val="007011D8"/>
    <w:rsid w:val="00701ABE"/>
    <w:rsid w:val="00702723"/>
    <w:rsid w:val="00702788"/>
    <w:rsid w:val="00702BCA"/>
    <w:rsid w:val="0070303A"/>
    <w:rsid w:val="0070328F"/>
    <w:rsid w:val="007038ED"/>
    <w:rsid w:val="00703EFA"/>
    <w:rsid w:val="00704346"/>
    <w:rsid w:val="00704404"/>
    <w:rsid w:val="00704464"/>
    <w:rsid w:val="00704527"/>
    <w:rsid w:val="00704894"/>
    <w:rsid w:val="0070522E"/>
    <w:rsid w:val="0070526E"/>
    <w:rsid w:val="00705BD7"/>
    <w:rsid w:val="00705C06"/>
    <w:rsid w:val="00706130"/>
    <w:rsid w:val="007061EC"/>
    <w:rsid w:val="00706461"/>
    <w:rsid w:val="0070678B"/>
    <w:rsid w:val="007068C5"/>
    <w:rsid w:val="00706995"/>
    <w:rsid w:val="00706C3A"/>
    <w:rsid w:val="00706E1E"/>
    <w:rsid w:val="00707057"/>
    <w:rsid w:val="007071D4"/>
    <w:rsid w:val="0070728F"/>
    <w:rsid w:val="0070788E"/>
    <w:rsid w:val="00707C37"/>
    <w:rsid w:val="00707DF8"/>
    <w:rsid w:val="00710164"/>
    <w:rsid w:val="00710167"/>
    <w:rsid w:val="0071054F"/>
    <w:rsid w:val="00710595"/>
    <w:rsid w:val="00710870"/>
    <w:rsid w:val="007110B3"/>
    <w:rsid w:val="00711A27"/>
    <w:rsid w:val="00712020"/>
    <w:rsid w:val="00712026"/>
    <w:rsid w:val="007121C0"/>
    <w:rsid w:val="00712638"/>
    <w:rsid w:val="0071276A"/>
    <w:rsid w:val="00712B22"/>
    <w:rsid w:val="00712D93"/>
    <w:rsid w:val="007139BF"/>
    <w:rsid w:val="00713C11"/>
    <w:rsid w:val="00714406"/>
    <w:rsid w:val="00714A38"/>
    <w:rsid w:val="00714A85"/>
    <w:rsid w:val="00714B10"/>
    <w:rsid w:val="00714B64"/>
    <w:rsid w:val="00714BA7"/>
    <w:rsid w:val="00714DBE"/>
    <w:rsid w:val="00714E26"/>
    <w:rsid w:val="00714F03"/>
    <w:rsid w:val="0071535B"/>
    <w:rsid w:val="00715C06"/>
    <w:rsid w:val="00715E95"/>
    <w:rsid w:val="007166F7"/>
    <w:rsid w:val="00716D4E"/>
    <w:rsid w:val="0071717E"/>
    <w:rsid w:val="0071735C"/>
    <w:rsid w:val="00717763"/>
    <w:rsid w:val="00717A65"/>
    <w:rsid w:val="00720A2C"/>
    <w:rsid w:val="00720B85"/>
    <w:rsid w:val="00720C22"/>
    <w:rsid w:val="00720C6E"/>
    <w:rsid w:val="00720E58"/>
    <w:rsid w:val="00720E79"/>
    <w:rsid w:val="00720F9E"/>
    <w:rsid w:val="0072119E"/>
    <w:rsid w:val="00721DAA"/>
    <w:rsid w:val="007220A0"/>
    <w:rsid w:val="007226B1"/>
    <w:rsid w:val="00722AC4"/>
    <w:rsid w:val="00722BE6"/>
    <w:rsid w:val="00722CD9"/>
    <w:rsid w:val="00722DC9"/>
    <w:rsid w:val="00722EF9"/>
    <w:rsid w:val="007232F1"/>
    <w:rsid w:val="00723F60"/>
    <w:rsid w:val="0072406F"/>
    <w:rsid w:val="0072454A"/>
    <w:rsid w:val="007245B1"/>
    <w:rsid w:val="0072484E"/>
    <w:rsid w:val="00724952"/>
    <w:rsid w:val="007249F8"/>
    <w:rsid w:val="00724CD4"/>
    <w:rsid w:val="00724CFE"/>
    <w:rsid w:val="0072502E"/>
    <w:rsid w:val="00725CA6"/>
    <w:rsid w:val="00725D1A"/>
    <w:rsid w:val="00725DF3"/>
    <w:rsid w:val="00725F4D"/>
    <w:rsid w:val="00726B7D"/>
    <w:rsid w:val="00727271"/>
    <w:rsid w:val="00727285"/>
    <w:rsid w:val="00727380"/>
    <w:rsid w:val="00727D91"/>
    <w:rsid w:val="00727E44"/>
    <w:rsid w:val="00730152"/>
    <w:rsid w:val="007301B7"/>
    <w:rsid w:val="0073071A"/>
    <w:rsid w:val="00730DD2"/>
    <w:rsid w:val="00730E03"/>
    <w:rsid w:val="007310E4"/>
    <w:rsid w:val="00731129"/>
    <w:rsid w:val="007313F9"/>
    <w:rsid w:val="00731D9E"/>
    <w:rsid w:val="0073251A"/>
    <w:rsid w:val="007325AE"/>
    <w:rsid w:val="007326C6"/>
    <w:rsid w:val="00732732"/>
    <w:rsid w:val="00732DBF"/>
    <w:rsid w:val="007330AB"/>
    <w:rsid w:val="007338F2"/>
    <w:rsid w:val="0073392C"/>
    <w:rsid w:val="0073397C"/>
    <w:rsid w:val="00733F0C"/>
    <w:rsid w:val="00733F67"/>
    <w:rsid w:val="00734051"/>
    <w:rsid w:val="007341BF"/>
    <w:rsid w:val="0073435D"/>
    <w:rsid w:val="00734519"/>
    <w:rsid w:val="0073458B"/>
    <w:rsid w:val="00734B84"/>
    <w:rsid w:val="00735524"/>
    <w:rsid w:val="00735D08"/>
    <w:rsid w:val="00735D2A"/>
    <w:rsid w:val="00735DED"/>
    <w:rsid w:val="00735EBF"/>
    <w:rsid w:val="007365ED"/>
    <w:rsid w:val="00736709"/>
    <w:rsid w:val="00736927"/>
    <w:rsid w:val="007373D2"/>
    <w:rsid w:val="0073779C"/>
    <w:rsid w:val="00737930"/>
    <w:rsid w:val="00737A4B"/>
    <w:rsid w:val="00737FC3"/>
    <w:rsid w:val="00740008"/>
    <w:rsid w:val="007408EF"/>
    <w:rsid w:val="00741219"/>
    <w:rsid w:val="007412B9"/>
    <w:rsid w:val="00741355"/>
    <w:rsid w:val="00741C56"/>
    <w:rsid w:val="00741C83"/>
    <w:rsid w:val="00741D83"/>
    <w:rsid w:val="00741E9A"/>
    <w:rsid w:val="00742891"/>
    <w:rsid w:val="00742977"/>
    <w:rsid w:val="00742C3D"/>
    <w:rsid w:val="00742DAD"/>
    <w:rsid w:val="007430F6"/>
    <w:rsid w:val="00743455"/>
    <w:rsid w:val="007435B8"/>
    <w:rsid w:val="007435EC"/>
    <w:rsid w:val="0074361B"/>
    <w:rsid w:val="00744271"/>
    <w:rsid w:val="007444AE"/>
    <w:rsid w:val="007447C6"/>
    <w:rsid w:val="007449FE"/>
    <w:rsid w:val="00744CEC"/>
    <w:rsid w:val="0074556A"/>
    <w:rsid w:val="007457BC"/>
    <w:rsid w:val="00745A05"/>
    <w:rsid w:val="00745F8E"/>
    <w:rsid w:val="00746452"/>
    <w:rsid w:val="0074646C"/>
    <w:rsid w:val="00746564"/>
    <w:rsid w:val="00746721"/>
    <w:rsid w:val="00746EF3"/>
    <w:rsid w:val="00747741"/>
    <w:rsid w:val="00747C00"/>
    <w:rsid w:val="007505F4"/>
    <w:rsid w:val="007507D9"/>
    <w:rsid w:val="00750979"/>
    <w:rsid w:val="00751313"/>
    <w:rsid w:val="007514AA"/>
    <w:rsid w:val="00751760"/>
    <w:rsid w:val="007517B6"/>
    <w:rsid w:val="007518C9"/>
    <w:rsid w:val="00751ED0"/>
    <w:rsid w:val="0075218A"/>
    <w:rsid w:val="00752238"/>
    <w:rsid w:val="00752DE0"/>
    <w:rsid w:val="00752E14"/>
    <w:rsid w:val="007533FD"/>
    <w:rsid w:val="00753BDA"/>
    <w:rsid w:val="00753DA5"/>
    <w:rsid w:val="00754182"/>
    <w:rsid w:val="00754E53"/>
    <w:rsid w:val="0075502B"/>
    <w:rsid w:val="00755633"/>
    <w:rsid w:val="00755639"/>
    <w:rsid w:val="00755B6F"/>
    <w:rsid w:val="0075639D"/>
    <w:rsid w:val="0075651D"/>
    <w:rsid w:val="00756A17"/>
    <w:rsid w:val="00756B41"/>
    <w:rsid w:val="00757624"/>
    <w:rsid w:val="007576EC"/>
    <w:rsid w:val="00757957"/>
    <w:rsid w:val="00757D73"/>
    <w:rsid w:val="00760978"/>
    <w:rsid w:val="007609DE"/>
    <w:rsid w:val="007609FD"/>
    <w:rsid w:val="00760C90"/>
    <w:rsid w:val="00760D42"/>
    <w:rsid w:val="00761A0D"/>
    <w:rsid w:val="00761C22"/>
    <w:rsid w:val="00761C5E"/>
    <w:rsid w:val="00761C82"/>
    <w:rsid w:val="00761E24"/>
    <w:rsid w:val="00762034"/>
    <w:rsid w:val="0076236A"/>
    <w:rsid w:val="007623B0"/>
    <w:rsid w:val="00762A7D"/>
    <w:rsid w:val="00763020"/>
    <w:rsid w:val="0076392A"/>
    <w:rsid w:val="007639E2"/>
    <w:rsid w:val="00763B9E"/>
    <w:rsid w:val="00764218"/>
    <w:rsid w:val="00764246"/>
    <w:rsid w:val="00764588"/>
    <w:rsid w:val="007648FE"/>
    <w:rsid w:val="00764B39"/>
    <w:rsid w:val="00764B90"/>
    <w:rsid w:val="007662CC"/>
    <w:rsid w:val="007663A9"/>
    <w:rsid w:val="007664EA"/>
    <w:rsid w:val="007665D7"/>
    <w:rsid w:val="007667C4"/>
    <w:rsid w:val="00767032"/>
    <w:rsid w:val="007670FC"/>
    <w:rsid w:val="00767282"/>
    <w:rsid w:val="007678B9"/>
    <w:rsid w:val="00767DDD"/>
    <w:rsid w:val="00767F7F"/>
    <w:rsid w:val="007703EA"/>
    <w:rsid w:val="00770610"/>
    <w:rsid w:val="00770875"/>
    <w:rsid w:val="00770A2A"/>
    <w:rsid w:val="00770C49"/>
    <w:rsid w:val="00770D1B"/>
    <w:rsid w:val="007711D3"/>
    <w:rsid w:val="0077130E"/>
    <w:rsid w:val="007713D7"/>
    <w:rsid w:val="00771BF6"/>
    <w:rsid w:val="007721DD"/>
    <w:rsid w:val="0077249A"/>
    <w:rsid w:val="0077262C"/>
    <w:rsid w:val="00772A29"/>
    <w:rsid w:val="00772E6E"/>
    <w:rsid w:val="007738AF"/>
    <w:rsid w:val="00773B3E"/>
    <w:rsid w:val="00773D04"/>
    <w:rsid w:val="00773E65"/>
    <w:rsid w:val="00773E8E"/>
    <w:rsid w:val="00773EE9"/>
    <w:rsid w:val="007741B0"/>
    <w:rsid w:val="007745D3"/>
    <w:rsid w:val="007746DC"/>
    <w:rsid w:val="00774A6A"/>
    <w:rsid w:val="00774CD2"/>
    <w:rsid w:val="00775233"/>
    <w:rsid w:val="0077558B"/>
    <w:rsid w:val="007756E4"/>
    <w:rsid w:val="00775865"/>
    <w:rsid w:val="00776667"/>
    <w:rsid w:val="00776874"/>
    <w:rsid w:val="0077726C"/>
    <w:rsid w:val="0077768F"/>
    <w:rsid w:val="00777AAB"/>
    <w:rsid w:val="007800FD"/>
    <w:rsid w:val="00780108"/>
    <w:rsid w:val="007802D3"/>
    <w:rsid w:val="007805C9"/>
    <w:rsid w:val="007809C9"/>
    <w:rsid w:val="00780AF5"/>
    <w:rsid w:val="00780CC2"/>
    <w:rsid w:val="00780E9F"/>
    <w:rsid w:val="00780FF9"/>
    <w:rsid w:val="00781785"/>
    <w:rsid w:val="007825A0"/>
    <w:rsid w:val="0078285C"/>
    <w:rsid w:val="007829A6"/>
    <w:rsid w:val="00782B30"/>
    <w:rsid w:val="00782FEE"/>
    <w:rsid w:val="00783489"/>
    <w:rsid w:val="0078359B"/>
    <w:rsid w:val="00783A36"/>
    <w:rsid w:val="00783A44"/>
    <w:rsid w:val="00783D15"/>
    <w:rsid w:val="00784063"/>
    <w:rsid w:val="007845D4"/>
    <w:rsid w:val="007846EE"/>
    <w:rsid w:val="00784DF0"/>
    <w:rsid w:val="00784E6C"/>
    <w:rsid w:val="00785A38"/>
    <w:rsid w:val="00785A9B"/>
    <w:rsid w:val="00785C2A"/>
    <w:rsid w:val="00785CCB"/>
    <w:rsid w:val="007862A9"/>
    <w:rsid w:val="0078668F"/>
    <w:rsid w:val="007867F3"/>
    <w:rsid w:val="00786815"/>
    <w:rsid w:val="007868C8"/>
    <w:rsid w:val="00786DAA"/>
    <w:rsid w:val="0078700E"/>
    <w:rsid w:val="00787312"/>
    <w:rsid w:val="00787339"/>
    <w:rsid w:val="00787352"/>
    <w:rsid w:val="0078753E"/>
    <w:rsid w:val="00787615"/>
    <w:rsid w:val="00787B59"/>
    <w:rsid w:val="00787F86"/>
    <w:rsid w:val="007900A9"/>
    <w:rsid w:val="00790C1F"/>
    <w:rsid w:val="00790C61"/>
    <w:rsid w:val="007910C3"/>
    <w:rsid w:val="00791110"/>
    <w:rsid w:val="0079124F"/>
    <w:rsid w:val="00791250"/>
    <w:rsid w:val="0079150D"/>
    <w:rsid w:val="00791715"/>
    <w:rsid w:val="00791DE1"/>
    <w:rsid w:val="00792065"/>
    <w:rsid w:val="00792419"/>
    <w:rsid w:val="00792A1D"/>
    <w:rsid w:val="00793181"/>
    <w:rsid w:val="0079319C"/>
    <w:rsid w:val="00793276"/>
    <w:rsid w:val="007936BD"/>
    <w:rsid w:val="007936C1"/>
    <w:rsid w:val="00793AE6"/>
    <w:rsid w:val="00793D0B"/>
    <w:rsid w:val="00793D45"/>
    <w:rsid w:val="00794820"/>
    <w:rsid w:val="00794B14"/>
    <w:rsid w:val="00794BBF"/>
    <w:rsid w:val="0079532A"/>
    <w:rsid w:val="007953E7"/>
    <w:rsid w:val="00795E20"/>
    <w:rsid w:val="00796240"/>
    <w:rsid w:val="00796787"/>
    <w:rsid w:val="00796C3E"/>
    <w:rsid w:val="007975BD"/>
    <w:rsid w:val="007979AB"/>
    <w:rsid w:val="00797B7E"/>
    <w:rsid w:val="007A05A2"/>
    <w:rsid w:val="007A0715"/>
    <w:rsid w:val="007A0833"/>
    <w:rsid w:val="007A0B42"/>
    <w:rsid w:val="007A0DFC"/>
    <w:rsid w:val="007A10D6"/>
    <w:rsid w:val="007A12EE"/>
    <w:rsid w:val="007A138C"/>
    <w:rsid w:val="007A1834"/>
    <w:rsid w:val="007A1856"/>
    <w:rsid w:val="007A1DBD"/>
    <w:rsid w:val="007A1E52"/>
    <w:rsid w:val="007A2497"/>
    <w:rsid w:val="007A26B6"/>
    <w:rsid w:val="007A2A4D"/>
    <w:rsid w:val="007A2A5A"/>
    <w:rsid w:val="007A2B58"/>
    <w:rsid w:val="007A31B2"/>
    <w:rsid w:val="007A34BD"/>
    <w:rsid w:val="007A3629"/>
    <w:rsid w:val="007A385C"/>
    <w:rsid w:val="007A38F5"/>
    <w:rsid w:val="007A3D24"/>
    <w:rsid w:val="007A4860"/>
    <w:rsid w:val="007A4CAF"/>
    <w:rsid w:val="007A4EE3"/>
    <w:rsid w:val="007A4F7B"/>
    <w:rsid w:val="007A5054"/>
    <w:rsid w:val="007A522E"/>
    <w:rsid w:val="007A57F9"/>
    <w:rsid w:val="007A5841"/>
    <w:rsid w:val="007A61E4"/>
    <w:rsid w:val="007A6668"/>
    <w:rsid w:val="007A6A39"/>
    <w:rsid w:val="007A704A"/>
    <w:rsid w:val="007A7242"/>
    <w:rsid w:val="007A7AFB"/>
    <w:rsid w:val="007B0222"/>
    <w:rsid w:val="007B036E"/>
    <w:rsid w:val="007B0851"/>
    <w:rsid w:val="007B12B0"/>
    <w:rsid w:val="007B1392"/>
    <w:rsid w:val="007B15C9"/>
    <w:rsid w:val="007B1785"/>
    <w:rsid w:val="007B1DA8"/>
    <w:rsid w:val="007B209B"/>
    <w:rsid w:val="007B215A"/>
    <w:rsid w:val="007B22DC"/>
    <w:rsid w:val="007B230A"/>
    <w:rsid w:val="007B24F0"/>
    <w:rsid w:val="007B29F7"/>
    <w:rsid w:val="007B2A52"/>
    <w:rsid w:val="007B2A73"/>
    <w:rsid w:val="007B34DC"/>
    <w:rsid w:val="007B34E9"/>
    <w:rsid w:val="007B3A4D"/>
    <w:rsid w:val="007B3A98"/>
    <w:rsid w:val="007B4008"/>
    <w:rsid w:val="007B49C4"/>
    <w:rsid w:val="007B4D74"/>
    <w:rsid w:val="007B4DC6"/>
    <w:rsid w:val="007B4EA9"/>
    <w:rsid w:val="007B503A"/>
    <w:rsid w:val="007B5132"/>
    <w:rsid w:val="007B5734"/>
    <w:rsid w:val="007B5A9F"/>
    <w:rsid w:val="007B69B8"/>
    <w:rsid w:val="007B69E8"/>
    <w:rsid w:val="007B6C17"/>
    <w:rsid w:val="007B6CF7"/>
    <w:rsid w:val="007B743C"/>
    <w:rsid w:val="007B7704"/>
    <w:rsid w:val="007C009E"/>
    <w:rsid w:val="007C0165"/>
    <w:rsid w:val="007C048B"/>
    <w:rsid w:val="007C0508"/>
    <w:rsid w:val="007C057E"/>
    <w:rsid w:val="007C1541"/>
    <w:rsid w:val="007C15C1"/>
    <w:rsid w:val="007C19DF"/>
    <w:rsid w:val="007C25F8"/>
    <w:rsid w:val="007C2724"/>
    <w:rsid w:val="007C2F98"/>
    <w:rsid w:val="007C30AE"/>
    <w:rsid w:val="007C3637"/>
    <w:rsid w:val="007C3702"/>
    <w:rsid w:val="007C3FF1"/>
    <w:rsid w:val="007C4483"/>
    <w:rsid w:val="007C44DC"/>
    <w:rsid w:val="007C4545"/>
    <w:rsid w:val="007C45F7"/>
    <w:rsid w:val="007C46D1"/>
    <w:rsid w:val="007C47C2"/>
    <w:rsid w:val="007C4822"/>
    <w:rsid w:val="007C491B"/>
    <w:rsid w:val="007C4DEF"/>
    <w:rsid w:val="007C4F09"/>
    <w:rsid w:val="007C5294"/>
    <w:rsid w:val="007C5440"/>
    <w:rsid w:val="007C5468"/>
    <w:rsid w:val="007C55F1"/>
    <w:rsid w:val="007C56AF"/>
    <w:rsid w:val="007C58AB"/>
    <w:rsid w:val="007C5A4C"/>
    <w:rsid w:val="007C5BF3"/>
    <w:rsid w:val="007C5E27"/>
    <w:rsid w:val="007C6148"/>
    <w:rsid w:val="007C6900"/>
    <w:rsid w:val="007C69A9"/>
    <w:rsid w:val="007C6C60"/>
    <w:rsid w:val="007C6D07"/>
    <w:rsid w:val="007C7039"/>
    <w:rsid w:val="007C745C"/>
    <w:rsid w:val="007C7578"/>
    <w:rsid w:val="007C76E4"/>
    <w:rsid w:val="007C7C53"/>
    <w:rsid w:val="007C7E7C"/>
    <w:rsid w:val="007C7F4C"/>
    <w:rsid w:val="007D00E5"/>
    <w:rsid w:val="007D065E"/>
    <w:rsid w:val="007D0940"/>
    <w:rsid w:val="007D0A94"/>
    <w:rsid w:val="007D0B22"/>
    <w:rsid w:val="007D0BD6"/>
    <w:rsid w:val="007D0D5B"/>
    <w:rsid w:val="007D1258"/>
    <w:rsid w:val="007D143D"/>
    <w:rsid w:val="007D1727"/>
    <w:rsid w:val="007D1B92"/>
    <w:rsid w:val="007D240D"/>
    <w:rsid w:val="007D25B9"/>
    <w:rsid w:val="007D261C"/>
    <w:rsid w:val="007D29AD"/>
    <w:rsid w:val="007D2BD3"/>
    <w:rsid w:val="007D2BE8"/>
    <w:rsid w:val="007D3066"/>
    <w:rsid w:val="007D356E"/>
    <w:rsid w:val="007D36F6"/>
    <w:rsid w:val="007D3C4D"/>
    <w:rsid w:val="007D421B"/>
    <w:rsid w:val="007D4490"/>
    <w:rsid w:val="007D4579"/>
    <w:rsid w:val="007D47F2"/>
    <w:rsid w:val="007D51EB"/>
    <w:rsid w:val="007D542E"/>
    <w:rsid w:val="007D58BB"/>
    <w:rsid w:val="007D5B42"/>
    <w:rsid w:val="007D6365"/>
    <w:rsid w:val="007D646F"/>
    <w:rsid w:val="007D6835"/>
    <w:rsid w:val="007D6A93"/>
    <w:rsid w:val="007D7CDE"/>
    <w:rsid w:val="007D7DC7"/>
    <w:rsid w:val="007D7EFB"/>
    <w:rsid w:val="007E01AF"/>
    <w:rsid w:val="007E0772"/>
    <w:rsid w:val="007E0D31"/>
    <w:rsid w:val="007E0E04"/>
    <w:rsid w:val="007E0EF9"/>
    <w:rsid w:val="007E1FC2"/>
    <w:rsid w:val="007E21D9"/>
    <w:rsid w:val="007E2943"/>
    <w:rsid w:val="007E2BDD"/>
    <w:rsid w:val="007E2C44"/>
    <w:rsid w:val="007E3313"/>
    <w:rsid w:val="007E4144"/>
    <w:rsid w:val="007E45CA"/>
    <w:rsid w:val="007E48C0"/>
    <w:rsid w:val="007E4967"/>
    <w:rsid w:val="007E4DA9"/>
    <w:rsid w:val="007E5885"/>
    <w:rsid w:val="007E5A9D"/>
    <w:rsid w:val="007E5E29"/>
    <w:rsid w:val="007E61B7"/>
    <w:rsid w:val="007E64FF"/>
    <w:rsid w:val="007E6910"/>
    <w:rsid w:val="007E6A29"/>
    <w:rsid w:val="007E6C52"/>
    <w:rsid w:val="007E6F62"/>
    <w:rsid w:val="007E6FEA"/>
    <w:rsid w:val="007E7796"/>
    <w:rsid w:val="007E7C7B"/>
    <w:rsid w:val="007E7CD0"/>
    <w:rsid w:val="007E7E0F"/>
    <w:rsid w:val="007E7F8F"/>
    <w:rsid w:val="007F015E"/>
    <w:rsid w:val="007F1160"/>
    <w:rsid w:val="007F1717"/>
    <w:rsid w:val="007F19B9"/>
    <w:rsid w:val="007F21B0"/>
    <w:rsid w:val="007F24A3"/>
    <w:rsid w:val="007F250C"/>
    <w:rsid w:val="007F2773"/>
    <w:rsid w:val="007F28F6"/>
    <w:rsid w:val="007F2B9C"/>
    <w:rsid w:val="007F2DE9"/>
    <w:rsid w:val="007F2E07"/>
    <w:rsid w:val="007F2FDB"/>
    <w:rsid w:val="007F341B"/>
    <w:rsid w:val="007F34E7"/>
    <w:rsid w:val="007F3682"/>
    <w:rsid w:val="007F3AA2"/>
    <w:rsid w:val="007F3B45"/>
    <w:rsid w:val="007F3D8D"/>
    <w:rsid w:val="007F3E3E"/>
    <w:rsid w:val="007F3E43"/>
    <w:rsid w:val="007F3EB6"/>
    <w:rsid w:val="007F4651"/>
    <w:rsid w:val="007F4A9E"/>
    <w:rsid w:val="007F4ABC"/>
    <w:rsid w:val="007F4B8D"/>
    <w:rsid w:val="007F4CC8"/>
    <w:rsid w:val="007F4D45"/>
    <w:rsid w:val="007F510F"/>
    <w:rsid w:val="007F53A8"/>
    <w:rsid w:val="007F53B9"/>
    <w:rsid w:val="007F53D5"/>
    <w:rsid w:val="007F5448"/>
    <w:rsid w:val="007F545B"/>
    <w:rsid w:val="007F59B2"/>
    <w:rsid w:val="007F5F3D"/>
    <w:rsid w:val="007F5F62"/>
    <w:rsid w:val="007F6607"/>
    <w:rsid w:val="007F7368"/>
    <w:rsid w:val="007F74F6"/>
    <w:rsid w:val="007F7865"/>
    <w:rsid w:val="007F7D7E"/>
    <w:rsid w:val="007F7E6C"/>
    <w:rsid w:val="007F7E6E"/>
    <w:rsid w:val="007F7FB3"/>
    <w:rsid w:val="0080026A"/>
    <w:rsid w:val="00800340"/>
    <w:rsid w:val="00800549"/>
    <w:rsid w:val="00800845"/>
    <w:rsid w:val="00800953"/>
    <w:rsid w:val="00801255"/>
    <w:rsid w:val="0080197B"/>
    <w:rsid w:val="00801C1F"/>
    <w:rsid w:val="00801C4F"/>
    <w:rsid w:val="00801FC3"/>
    <w:rsid w:val="00801FD0"/>
    <w:rsid w:val="008021D3"/>
    <w:rsid w:val="00802849"/>
    <w:rsid w:val="00802971"/>
    <w:rsid w:val="00802E49"/>
    <w:rsid w:val="00803316"/>
    <w:rsid w:val="008038E3"/>
    <w:rsid w:val="008038F6"/>
    <w:rsid w:val="008040C5"/>
    <w:rsid w:val="00804558"/>
    <w:rsid w:val="00804712"/>
    <w:rsid w:val="008047AE"/>
    <w:rsid w:val="00804942"/>
    <w:rsid w:val="00804B21"/>
    <w:rsid w:val="00804CF4"/>
    <w:rsid w:val="00804D15"/>
    <w:rsid w:val="00804FC7"/>
    <w:rsid w:val="00805483"/>
    <w:rsid w:val="008054D1"/>
    <w:rsid w:val="00805578"/>
    <w:rsid w:val="008056A1"/>
    <w:rsid w:val="0080585D"/>
    <w:rsid w:val="00805D6F"/>
    <w:rsid w:val="00805EFB"/>
    <w:rsid w:val="00806273"/>
    <w:rsid w:val="0080649E"/>
    <w:rsid w:val="0080657B"/>
    <w:rsid w:val="0080661F"/>
    <w:rsid w:val="008067A6"/>
    <w:rsid w:val="00806EFD"/>
    <w:rsid w:val="00806F98"/>
    <w:rsid w:val="00807074"/>
    <w:rsid w:val="00807228"/>
    <w:rsid w:val="00807562"/>
    <w:rsid w:val="008076FE"/>
    <w:rsid w:val="00807E43"/>
    <w:rsid w:val="00807F69"/>
    <w:rsid w:val="00810368"/>
    <w:rsid w:val="00810536"/>
    <w:rsid w:val="008108B5"/>
    <w:rsid w:val="00810A25"/>
    <w:rsid w:val="00810BE7"/>
    <w:rsid w:val="00811336"/>
    <w:rsid w:val="0081165D"/>
    <w:rsid w:val="00811B28"/>
    <w:rsid w:val="00812061"/>
    <w:rsid w:val="00812522"/>
    <w:rsid w:val="0081270F"/>
    <w:rsid w:val="00812862"/>
    <w:rsid w:val="00812A05"/>
    <w:rsid w:val="00812A7A"/>
    <w:rsid w:val="00812B10"/>
    <w:rsid w:val="00812DC8"/>
    <w:rsid w:val="00812EBA"/>
    <w:rsid w:val="0081362B"/>
    <w:rsid w:val="00813F2B"/>
    <w:rsid w:val="0081450B"/>
    <w:rsid w:val="0081467F"/>
    <w:rsid w:val="0081492C"/>
    <w:rsid w:val="00814994"/>
    <w:rsid w:val="00815251"/>
    <w:rsid w:val="00815339"/>
    <w:rsid w:val="0081591F"/>
    <w:rsid w:val="00815A99"/>
    <w:rsid w:val="00815E5B"/>
    <w:rsid w:val="00815FAF"/>
    <w:rsid w:val="008160D1"/>
    <w:rsid w:val="008162B3"/>
    <w:rsid w:val="0081640D"/>
    <w:rsid w:val="00816829"/>
    <w:rsid w:val="0081687A"/>
    <w:rsid w:val="008169A1"/>
    <w:rsid w:val="00817119"/>
    <w:rsid w:val="00817211"/>
    <w:rsid w:val="00817879"/>
    <w:rsid w:val="00820160"/>
    <w:rsid w:val="0082022B"/>
    <w:rsid w:val="0082041D"/>
    <w:rsid w:val="0082047E"/>
    <w:rsid w:val="00820C3D"/>
    <w:rsid w:val="00820E0E"/>
    <w:rsid w:val="00821237"/>
    <w:rsid w:val="008216DA"/>
    <w:rsid w:val="008217C3"/>
    <w:rsid w:val="00821868"/>
    <w:rsid w:val="008219B8"/>
    <w:rsid w:val="00821ECA"/>
    <w:rsid w:val="00822414"/>
    <w:rsid w:val="00822C0D"/>
    <w:rsid w:val="00822CB9"/>
    <w:rsid w:val="00822E28"/>
    <w:rsid w:val="00822E2C"/>
    <w:rsid w:val="00823116"/>
    <w:rsid w:val="0082350E"/>
    <w:rsid w:val="00823594"/>
    <w:rsid w:val="008235E9"/>
    <w:rsid w:val="00823658"/>
    <w:rsid w:val="008239BF"/>
    <w:rsid w:val="00823B36"/>
    <w:rsid w:val="008243B0"/>
    <w:rsid w:val="008244DA"/>
    <w:rsid w:val="0082488C"/>
    <w:rsid w:val="008251E7"/>
    <w:rsid w:val="00825417"/>
    <w:rsid w:val="008257E8"/>
    <w:rsid w:val="008262BC"/>
    <w:rsid w:val="008266A2"/>
    <w:rsid w:val="008267AE"/>
    <w:rsid w:val="008271AC"/>
    <w:rsid w:val="00827521"/>
    <w:rsid w:val="00827AA2"/>
    <w:rsid w:val="0083030A"/>
    <w:rsid w:val="00830B33"/>
    <w:rsid w:val="0083118A"/>
    <w:rsid w:val="00831784"/>
    <w:rsid w:val="00831CF4"/>
    <w:rsid w:val="00831D02"/>
    <w:rsid w:val="008326E1"/>
    <w:rsid w:val="00832727"/>
    <w:rsid w:val="00832F9F"/>
    <w:rsid w:val="008337C1"/>
    <w:rsid w:val="00833C67"/>
    <w:rsid w:val="00833D30"/>
    <w:rsid w:val="0083415A"/>
    <w:rsid w:val="0083451D"/>
    <w:rsid w:val="00834CF6"/>
    <w:rsid w:val="00834F23"/>
    <w:rsid w:val="00834F8C"/>
    <w:rsid w:val="00835035"/>
    <w:rsid w:val="0083519E"/>
    <w:rsid w:val="00835303"/>
    <w:rsid w:val="008353B6"/>
    <w:rsid w:val="008354F7"/>
    <w:rsid w:val="00835696"/>
    <w:rsid w:val="00835ADD"/>
    <w:rsid w:val="00835F79"/>
    <w:rsid w:val="00836A67"/>
    <w:rsid w:val="00836CEB"/>
    <w:rsid w:val="00836F42"/>
    <w:rsid w:val="00837446"/>
    <w:rsid w:val="00840650"/>
    <w:rsid w:val="00840BBE"/>
    <w:rsid w:val="00840C36"/>
    <w:rsid w:val="00840C84"/>
    <w:rsid w:val="00840EAF"/>
    <w:rsid w:val="008410C2"/>
    <w:rsid w:val="008414FF"/>
    <w:rsid w:val="008416BF"/>
    <w:rsid w:val="008416FD"/>
    <w:rsid w:val="0084188F"/>
    <w:rsid w:val="00841946"/>
    <w:rsid w:val="008420A3"/>
    <w:rsid w:val="00842611"/>
    <w:rsid w:val="00842659"/>
    <w:rsid w:val="008426CD"/>
    <w:rsid w:val="0084293A"/>
    <w:rsid w:val="00842C44"/>
    <w:rsid w:val="0084339E"/>
    <w:rsid w:val="0084354C"/>
    <w:rsid w:val="0084364A"/>
    <w:rsid w:val="0084375D"/>
    <w:rsid w:val="0084387E"/>
    <w:rsid w:val="008440D8"/>
    <w:rsid w:val="0084416F"/>
    <w:rsid w:val="00844462"/>
    <w:rsid w:val="008448FA"/>
    <w:rsid w:val="008449FE"/>
    <w:rsid w:val="00844A62"/>
    <w:rsid w:val="00844D8D"/>
    <w:rsid w:val="00845515"/>
    <w:rsid w:val="00845520"/>
    <w:rsid w:val="008456FF"/>
    <w:rsid w:val="008459B7"/>
    <w:rsid w:val="00845FC4"/>
    <w:rsid w:val="008461B0"/>
    <w:rsid w:val="00846333"/>
    <w:rsid w:val="00846859"/>
    <w:rsid w:val="00846B10"/>
    <w:rsid w:val="00846C17"/>
    <w:rsid w:val="00846C9F"/>
    <w:rsid w:val="00846D16"/>
    <w:rsid w:val="00846F4C"/>
    <w:rsid w:val="008471AF"/>
    <w:rsid w:val="0085044B"/>
    <w:rsid w:val="008508D9"/>
    <w:rsid w:val="00850E2D"/>
    <w:rsid w:val="00850EE1"/>
    <w:rsid w:val="0085165B"/>
    <w:rsid w:val="0085179C"/>
    <w:rsid w:val="008518FA"/>
    <w:rsid w:val="00851903"/>
    <w:rsid w:val="00851993"/>
    <w:rsid w:val="00851B3F"/>
    <w:rsid w:val="00851DCB"/>
    <w:rsid w:val="00851E0C"/>
    <w:rsid w:val="00851F5F"/>
    <w:rsid w:val="00851F8A"/>
    <w:rsid w:val="00852142"/>
    <w:rsid w:val="0085278F"/>
    <w:rsid w:val="008528CF"/>
    <w:rsid w:val="00852A3A"/>
    <w:rsid w:val="00852BA9"/>
    <w:rsid w:val="00853510"/>
    <w:rsid w:val="00853E5B"/>
    <w:rsid w:val="00854029"/>
    <w:rsid w:val="00854123"/>
    <w:rsid w:val="0085428F"/>
    <w:rsid w:val="0085429D"/>
    <w:rsid w:val="008542D1"/>
    <w:rsid w:val="00854465"/>
    <w:rsid w:val="008544BD"/>
    <w:rsid w:val="00854946"/>
    <w:rsid w:val="00854976"/>
    <w:rsid w:val="00854993"/>
    <w:rsid w:val="00854B62"/>
    <w:rsid w:val="00854B77"/>
    <w:rsid w:val="00854B7E"/>
    <w:rsid w:val="00854E58"/>
    <w:rsid w:val="008558ED"/>
    <w:rsid w:val="00855CFC"/>
    <w:rsid w:val="00855FD5"/>
    <w:rsid w:val="00856049"/>
    <w:rsid w:val="0085632A"/>
    <w:rsid w:val="008568BB"/>
    <w:rsid w:val="00856C6B"/>
    <w:rsid w:val="00856E96"/>
    <w:rsid w:val="00856F5E"/>
    <w:rsid w:val="0085731F"/>
    <w:rsid w:val="00857822"/>
    <w:rsid w:val="00857C93"/>
    <w:rsid w:val="0086066C"/>
    <w:rsid w:val="00860D51"/>
    <w:rsid w:val="008611C1"/>
    <w:rsid w:val="0086151A"/>
    <w:rsid w:val="0086173C"/>
    <w:rsid w:val="0086187E"/>
    <w:rsid w:val="00861DA4"/>
    <w:rsid w:val="00861EC4"/>
    <w:rsid w:val="00862330"/>
    <w:rsid w:val="0086254A"/>
    <w:rsid w:val="0086264B"/>
    <w:rsid w:val="008626E9"/>
    <w:rsid w:val="008626EB"/>
    <w:rsid w:val="00862EFD"/>
    <w:rsid w:val="008634ED"/>
    <w:rsid w:val="008638FB"/>
    <w:rsid w:val="00863CC8"/>
    <w:rsid w:val="00863FE8"/>
    <w:rsid w:val="0086444C"/>
    <w:rsid w:val="008644B1"/>
    <w:rsid w:val="00864675"/>
    <w:rsid w:val="008646EC"/>
    <w:rsid w:val="00864768"/>
    <w:rsid w:val="00864B19"/>
    <w:rsid w:val="00864F62"/>
    <w:rsid w:val="0086534E"/>
    <w:rsid w:val="008658AB"/>
    <w:rsid w:val="00865B18"/>
    <w:rsid w:val="00865DAD"/>
    <w:rsid w:val="00865FCE"/>
    <w:rsid w:val="00866182"/>
    <w:rsid w:val="0086672E"/>
    <w:rsid w:val="00866BB4"/>
    <w:rsid w:val="00866CC3"/>
    <w:rsid w:val="00866CF2"/>
    <w:rsid w:val="008671A5"/>
    <w:rsid w:val="008675EC"/>
    <w:rsid w:val="008679CE"/>
    <w:rsid w:val="00867B12"/>
    <w:rsid w:val="00867DA7"/>
    <w:rsid w:val="008705A8"/>
    <w:rsid w:val="008710E2"/>
    <w:rsid w:val="008712CF"/>
    <w:rsid w:val="0087185F"/>
    <w:rsid w:val="008718FC"/>
    <w:rsid w:val="00871CC2"/>
    <w:rsid w:val="00871F4F"/>
    <w:rsid w:val="0087200D"/>
    <w:rsid w:val="00872131"/>
    <w:rsid w:val="008723B8"/>
    <w:rsid w:val="008725F5"/>
    <w:rsid w:val="0087282A"/>
    <w:rsid w:val="00872B20"/>
    <w:rsid w:val="00872C87"/>
    <w:rsid w:val="00872D42"/>
    <w:rsid w:val="00873147"/>
    <w:rsid w:val="0087357A"/>
    <w:rsid w:val="00873664"/>
    <w:rsid w:val="00873C1E"/>
    <w:rsid w:val="00873CD6"/>
    <w:rsid w:val="00873DE6"/>
    <w:rsid w:val="00873FBF"/>
    <w:rsid w:val="00874178"/>
    <w:rsid w:val="00874272"/>
    <w:rsid w:val="008743DF"/>
    <w:rsid w:val="00874C66"/>
    <w:rsid w:val="00874F67"/>
    <w:rsid w:val="008756B7"/>
    <w:rsid w:val="0087579C"/>
    <w:rsid w:val="00875CC0"/>
    <w:rsid w:val="00875F4F"/>
    <w:rsid w:val="00876116"/>
    <w:rsid w:val="008762D8"/>
    <w:rsid w:val="008766DD"/>
    <w:rsid w:val="008771F3"/>
    <w:rsid w:val="008772D9"/>
    <w:rsid w:val="00877A05"/>
    <w:rsid w:val="00877A58"/>
    <w:rsid w:val="00877B29"/>
    <w:rsid w:val="00880585"/>
    <w:rsid w:val="008805CE"/>
    <w:rsid w:val="008808B9"/>
    <w:rsid w:val="008809B4"/>
    <w:rsid w:val="00880B30"/>
    <w:rsid w:val="00880B6E"/>
    <w:rsid w:val="00880BE1"/>
    <w:rsid w:val="00880F1D"/>
    <w:rsid w:val="00881002"/>
    <w:rsid w:val="00881147"/>
    <w:rsid w:val="0088172A"/>
    <w:rsid w:val="00881D54"/>
    <w:rsid w:val="00881F90"/>
    <w:rsid w:val="00882433"/>
    <w:rsid w:val="00882A4F"/>
    <w:rsid w:val="00882F50"/>
    <w:rsid w:val="008831EB"/>
    <w:rsid w:val="00884487"/>
    <w:rsid w:val="00884AFE"/>
    <w:rsid w:val="00885056"/>
    <w:rsid w:val="008851C4"/>
    <w:rsid w:val="0088541F"/>
    <w:rsid w:val="0088559D"/>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0B85"/>
    <w:rsid w:val="008913E6"/>
    <w:rsid w:val="0089160E"/>
    <w:rsid w:val="008921B1"/>
    <w:rsid w:val="00892687"/>
    <w:rsid w:val="008927B2"/>
    <w:rsid w:val="00892A00"/>
    <w:rsid w:val="00893067"/>
    <w:rsid w:val="00893386"/>
    <w:rsid w:val="0089351C"/>
    <w:rsid w:val="0089363C"/>
    <w:rsid w:val="00893657"/>
    <w:rsid w:val="00893671"/>
    <w:rsid w:val="0089399B"/>
    <w:rsid w:val="00893C24"/>
    <w:rsid w:val="00893DF6"/>
    <w:rsid w:val="00894076"/>
    <w:rsid w:val="008941FB"/>
    <w:rsid w:val="00894291"/>
    <w:rsid w:val="008943D1"/>
    <w:rsid w:val="00894565"/>
    <w:rsid w:val="008947A1"/>
    <w:rsid w:val="00894A9C"/>
    <w:rsid w:val="00894EAE"/>
    <w:rsid w:val="008950D6"/>
    <w:rsid w:val="00895B46"/>
    <w:rsid w:val="00896474"/>
    <w:rsid w:val="00896DBC"/>
    <w:rsid w:val="00897677"/>
    <w:rsid w:val="00897B59"/>
    <w:rsid w:val="00897C6C"/>
    <w:rsid w:val="00897D1A"/>
    <w:rsid w:val="008A0905"/>
    <w:rsid w:val="008A0B02"/>
    <w:rsid w:val="008A0E0D"/>
    <w:rsid w:val="008A0F2E"/>
    <w:rsid w:val="008A1473"/>
    <w:rsid w:val="008A155C"/>
    <w:rsid w:val="008A180E"/>
    <w:rsid w:val="008A1978"/>
    <w:rsid w:val="008A197C"/>
    <w:rsid w:val="008A1AA8"/>
    <w:rsid w:val="008A20DA"/>
    <w:rsid w:val="008A23D3"/>
    <w:rsid w:val="008A2545"/>
    <w:rsid w:val="008A2591"/>
    <w:rsid w:val="008A2636"/>
    <w:rsid w:val="008A2B22"/>
    <w:rsid w:val="008A2EA5"/>
    <w:rsid w:val="008A35DB"/>
    <w:rsid w:val="008A3AF9"/>
    <w:rsid w:val="008A3E24"/>
    <w:rsid w:val="008A3FBE"/>
    <w:rsid w:val="008A4013"/>
    <w:rsid w:val="008A41F6"/>
    <w:rsid w:val="008A46A0"/>
    <w:rsid w:val="008A493B"/>
    <w:rsid w:val="008A4C9C"/>
    <w:rsid w:val="008A4E15"/>
    <w:rsid w:val="008A55A4"/>
    <w:rsid w:val="008A58EA"/>
    <w:rsid w:val="008A5CF2"/>
    <w:rsid w:val="008A6041"/>
    <w:rsid w:val="008A60F8"/>
    <w:rsid w:val="008A616C"/>
    <w:rsid w:val="008A6570"/>
    <w:rsid w:val="008A65D8"/>
    <w:rsid w:val="008A69FE"/>
    <w:rsid w:val="008A6EC7"/>
    <w:rsid w:val="008A6F36"/>
    <w:rsid w:val="008A7286"/>
    <w:rsid w:val="008A7309"/>
    <w:rsid w:val="008A7346"/>
    <w:rsid w:val="008A7B50"/>
    <w:rsid w:val="008B00E5"/>
    <w:rsid w:val="008B0641"/>
    <w:rsid w:val="008B0ACA"/>
    <w:rsid w:val="008B0EB7"/>
    <w:rsid w:val="008B138E"/>
    <w:rsid w:val="008B1782"/>
    <w:rsid w:val="008B1C78"/>
    <w:rsid w:val="008B1F87"/>
    <w:rsid w:val="008B264F"/>
    <w:rsid w:val="008B28BD"/>
    <w:rsid w:val="008B2990"/>
    <w:rsid w:val="008B2E96"/>
    <w:rsid w:val="008B2F53"/>
    <w:rsid w:val="008B3006"/>
    <w:rsid w:val="008B3139"/>
    <w:rsid w:val="008B382E"/>
    <w:rsid w:val="008B3B50"/>
    <w:rsid w:val="008B3D47"/>
    <w:rsid w:val="008B3ED9"/>
    <w:rsid w:val="008B44CB"/>
    <w:rsid w:val="008B46D2"/>
    <w:rsid w:val="008B4BCF"/>
    <w:rsid w:val="008B4E16"/>
    <w:rsid w:val="008B4FB7"/>
    <w:rsid w:val="008B5253"/>
    <w:rsid w:val="008B53B8"/>
    <w:rsid w:val="008B53D8"/>
    <w:rsid w:val="008B576D"/>
    <w:rsid w:val="008B589E"/>
    <w:rsid w:val="008B59B7"/>
    <w:rsid w:val="008B63BE"/>
    <w:rsid w:val="008B640E"/>
    <w:rsid w:val="008B6505"/>
    <w:rsid w:val="008B6636"/>
    <w:rsid w:val="008B688D"/>
    <w:rsid w:val="008B698F"/>
    <w:rsid w:val="008B6C72"/>
    <w:rsid w:val="008B70EE"/>
    <w:rsid w:val="008B715C"/>
    <w:rsid w:val="008B75B8"/>
    <w:rsid w:val="008B78AE"/>
    <w:rsid w:val="008B79A9"/>
    <w:rsid w:val="008C07A1"/>
    <w:rsid w:val="008C088F"/>
    <w:rsid w:val="008C08EA"/>
    <w:rsid w:val="008C0A0C"/>
    <w:rsid w:val="008C0BB9"/>
    <w:rsid w:val="008C0EAD"/>
    <w:rsid w:val="008C1442"/>
    <w:rsid w:val="008C1693"/>
    <w:rsid w:val="008C19D9"/>
    <w:rsid w:val="008C1A5E"/>
    <w:rsid w:val="008C1A81"/>
    <w:rsid w:val="008C1DBF"/>
    <w:rsid w:val="008C29FE"/>
    <w:rsid w:val="008C2E6A"/>
    <w:rsid w:val="008C2F99"/>
    <w:rsid w:val="008C32CA"/>
    <w:rsid w:val="008C3650"/>
    <w:rsid w:val="008C3967"/>
    <w:rsid w:val="008C4138"/>
    <w:rsid w:val="008C431E"/>
    <w:rsid w:val="008C47A8"/>
    <w:rsid w:val="008C54BD"/>
    <w:rsid w:val="008C54C4"/>
    <w:rsid w:val="008C5AF1"/>
    <w:rsid w:val="008C6056"/>
    <w:rsid w:val="008C656A"/>
    <w:rsid w:val="008C6628"/>
    <w:rsid w:val="008C6717"/>
    <w:rsid w:val="008C69C9"/>
    <w:rsid w:val="008C6E38"/>
    <w:rsid w:val="008C6F75"/>
    <w:rsid w:val="008C7306"/>
    <w:rsid w:val="008C7C18"/>
    <w:rsid w:val="008C7CC4"/>
    <w:rsid w:val="008D047D"/>
    <w:rsid w:val="008D0B4C"/>
    <w:rsid w:val="008D0EE0"/>
    <w:rsid w:val="008D14C4"/>
    <w:rsid w:val="008D1964"/>
    <w:rsid w:val="008D211D"/>
    <w:rsid w:val="008D221A"/>
    <w:rsid w:val="008D24D6"/>
    <w:rsid w:val="008D24E1"/>
    <w:rsid w:val="008D280C"/>
    <w:rsid w:val="008D2C08"/>
    <w:rsid w:val="008D30DF"/>
    <w:rsid w:val="008D369E"/>
    <w:rsid w:val="008D3A11"/>
    <w:rsid w:val="008D3ABB"/>
    <w:rsid w:val="008D3AFB"/>
    <w:rsid w:val="008D3E6A"/>
    <w:rsid w:val="008D4C4F"/>
    <w:rsid w:val="008D5379"/>
    <w:rsid w:val="008D53E2"/>
    <w:rsid w:val="008D5908"/>
    <w:rsid w:val="008D5AF1"/>
    <w:rsid w:val="008D5CCA"/>
    <w:rsid w:val="008D60A9"/>
    <w:rsid w:val="008D641F"/>
    <w:rsid w:val="008D670F"/>
    <w:rsid w:val="008D695D"/>
    <w:rsid w:val="008D6A6E"/>
    <w:rsid w:val="008D781F"/>
    <w:rsid w:val="008D7DBE"/>
    <w:rsid w:val="008D7FB9"/>
    <w:rsid w:val="008E02A0"/>
    <w:rsid w:val="008E02B7"/>
    <w:rsid w:val="008E0338"/>
    <w:rsid w:val="008E0DF6"/>
    <w:rsid w:val="008E1106"/>
    <w:rsid w:val="008E1B1D"/>
    <w:rsid w:val="008E202C"/>
    <w:rsid w:val="008E20BE"/>
    <w:rsid w:val="008E22AB"/>
    <w:rsid w:val="008E22FD"/>
    <w:rsid w:val="008E241B"/>
    <w:rsid w:val="008E27A1"/>
    <w:rsid w:val="008E29EC"/>
    <w:rsid w:val="008E2AC1"/>
    <w:rsid w:val="008E3096"/>
    <w:rsid w:val="008E330C"/>
    <w:rsid w:val="008E332F"/>
    <w:rsid w:val="008E35FC"/>
    <w:rsid w:val="008E4114"/>
    <w:rsid w:val="008E41C7"/>
    <w:rsid w:val="008E45EA"/>
    <w:rsid w:val="008E4A1A"/>
    <w:rsid w:val="008E4D19"/>
    <w:rsid w:val="008E5592"/>
    <w:rsid w:val="008E5E01"/>
    <w:rsid w:val="008E6093"/>
    <w:rsid w:val="008E659F"/>
    <w:rsid w:val="008E681C"/>
    <w:rsid w:val="008E687D"/>
    <w:rsid w:val="008E69A3"/>
    <w:rsid w:val="008E6F26"/>
    <w:rsid w:val="008E706F"/>
    <w:rsid w:val="008E76A5"/>
    <w:rsid w:val="008E7CC9"/>
    <w:rsid w:val="008E7E4C"/>
    <w:rsid w:val="008E7FE4"/>
    <w:rsid w:val="008F00B0"/>
    <w:rsid w:val="008F02A1"/>
    <w:rsid w:val="008F0E69"/>
    <w:rsid w:val="008F1212"/>
    <w:rsid w:val="008F12FF"/>
    <w:rsid w:val="008F1E55"/>
    <w:rsid w:val="008F20A8"/>
    <w:rsid w:val="008F27B9"/>
    <w:rsid w:val="008F2840"/>
    <w:rsid w:val="008F2B5F"/>
    <w:rsid w:val="008F2B79"/>
    <w:rsid w:val="008F35D7"/>
    <w:rsid w:val="008F3A14"/>
    <w:rsid w:val="008F3D3E"/>
    <w:rsid w:val="008F3F31"/>
    <w:rsid w:val="008F4144"/>
    <w:rsid w:val="008F41B4"/>
    <w:rsid w:val="008F4655"/>
    <w:rsid w:val="008F4779"/>
    <w:rsid w:val="008F542B"/>
    <w:rsid w:val="008F5670"/>
    <w:rsid w:val="008F599F"/>
    <w:rsid w:val="008F5D6D"/>
    <w:rsid w:val="008F5F80"/>
    <w:rsid w:val="008F63CF"/>
    <w:rsid w:val="008F63DF"/>
    <w:rsid w:val="008F64E5"/>
    <w:rsid w:val="008F677E"/>
    <w:rsid w:val="008F6810"/>
    <w:rsid w:val="008F6B43"/>
    <w:rsid w:val="008F74F7"/>
    <w:rsid w:val="008F75CD"/>
    <w:rsid w:val="008F7C28"/>
    <w:rsid w:val="00900054"/>
    <w:rsid w:val="009002A7"/>
    <w:rsid w:val="0090034D"/>
    <w:rsid w:val="00900C16"/>
    <w:rsid w:val="00900D91"/>
    <w:rsid w:val="00900EC7"/>
    <w:rsid w:val="00900FFC"/>
    <w:rsid w:val="0090114C"/>
    <w:rsid w:val="009011BC"/>
    <w:rsid w:val="009011F9"/>
    <w:rsid w:val="00901244"/>
    <w:rsid w:val="00901979"/>
    <w:rsid w:val="00901A96"/>
    <w:rsid w:val="00902357"/>
    <w:rsid w:val="0090242A"/>
    <w:rsid w:val="0090249B"/>
    <w:rsid w:val="00902568"/>
    <w:rsid w:val="0090289A"/>
    <w:rsid w:val="00902A3A"/>
    <w:rsid w:val="00902C85"/>
    <w:rsid w:val="00902CCE"/>
    <w:rsid w:val="00902F5B"/>
    <w:rsid w:val="00902FDE"/>
    <w:rsid w:val="009030F7"/>
    <w:rsid w:val="009034D9"/>
    <w:rsid w:val="00903D45"/>
    <w:rsid w:val="00903D48"/>
    <w:rsid w:val="00904059"/>
    <w:rsid w:val="0090426B"/>
    <w:rsid w:val="00904443"/>
    <w:rsid w:val="00904497"/>
    <w:rsid w:val="009046C9"/>
    <w:rsid w:val="009046DC"/>
    <w:rsid w:val="009046F1"/>
    <w:rsid w:val="00904883"/>
    <w:rsid w:val="00904B0A"/>
    <w:rsid w:val="00904F84"/>
    <w:rsid w:val="009050E7"/>
    <w:rsid w:val="009054BC"/>
    <w:rsid w:val="0090552A"/>
    <w:rsid w:val="009055DD"/>
    <w:rsid w:val="00905996"/>
    <w:rsid w:val="0090616A"/>
    <w:rsid w:val="00906177"/>
    <w:rsid w:val="0090618D"/>
    <w:rsid w:val="00906527"/>
    <w:rsid w:val="0090669C"/>
    <w:rsid w:val="009068EC"/>
    <w:rsid w:val="00906BD9"/>
    <w:rsid w:val="00906EA0"/>
    <w:rsid w:val="00907D95"/>
    <w:rsid w:val="00907F4C"/>
    <w:rsid w:val="0091006A"/>
    <w:rsid w:val="00910995"/>
    <w:rsid w:val="00910B57"/>
    <w:rsid w:val="0091128D"/>
    <w:rsid w:val="0091148A"/>
    <w:rsid w:val="00911E50"/>
    <w:rsid w:val="00912347"/>
    <w:rsid w:val="0091268D"/>
    <w:rsid w:val="009129C1"/>
    <w:rsid w:val="009137B3"/>
    <w:rsid w:val="00913B74"/>
    <w:rsid w:val="00913BA9"/>
    <w:rsid w:val="00913EBB"/>
    <w:rsid w:val="00914025"/>
    <w:rsid w:val="009141BB"/>
    <w:rsid w:val="009146F6"/>
    <w:rsid w:val="00914B55"/>
    <w:rsid w:val="00914DC4"/>
    <w:rsid w:val="00914FE4"/>
    <w:rsid w:val="00915099"/>
    <w:rsid w:val="00915261"/>
    <w:rsid w:val="00915329"/>
    <w:rsid w:val="0091588C"/>
    <w:rsid w:val="00915C91"/>
    <w:rsid w:val="00915DB5"/>
    <w:rsid w:val="00915DF4"/>
    <w:rsid w:val="00916068"/>
    <w:rsid w:val="00916BF5"/>
    <w:rsid w:val="00916CCB"/>
    <w:rsid w:val="00916D2C"/>
    <w:rsid w:val="009171CC"/>
    <w:rsid w:val="00917D81"/>
    <w:rsid w:val="00917DB8"/>
    <w:rsid w:val="009200F8"/>
    <w:rsid w:val="00920411"/>
    <w:rsid w:val="00920EC8"/>
    <w:rsid w:val="00921102"/>
    <w:rsid w:val="00921305"/>
    <w:rsid w:val="00921497"/>
    <w:rsid w:val="00921783"/>
    <w:rsid w:val="009217D9"/>
    <w:rsid w:val="00921AC8"/>
    <w:rsid w:val="0092206F"/>
    <w:rsid w:val="00922482"/>
    <w:rsid w:val="00922A2B"/>
    <w:rsid w:val="009232FE"/>
    <w:rsid w:val="00923600"/>
    <w:rsid w:val="0092489B"/>
    <w:rsid w:val="009249E3"/>
    <w:rsid w:val="00924A6C"/>
    <w:rsid w:val="00924AED"/>
    <w:rsid w:val="00924C80"/>
    <w:rsid w:val="00924ED4"/>
    <w:rsid w:val="00924F63"/>
    <w:rsid w:val="0092525D"/>
    <w:rsid w:val="00925450"/>
    <w:rsid w:val="00925C18"/>
    <w:rsid w:val="00926543"/>
    <w:rsid w:val="0092687B"/>
    <w:rsid w:val="009269ED"/>
    <w:rsid w:val="00926A6A"/>
    <w:rsid w:val="00926B8F"/>
    <w:rsid w:val="009271AB"/>
    <w:rsid w:val="00927281"/>
    <w:rsid w:val="009273B8"/>
    <w:rsid w:val="00927888"/>
    <w:rsid w:val="00927A20"/>
    <w:rsid w:val="00930298"/>
    <w:rsid w:val="009302A6"/>
    <w:rsid w:val="00930D15"/>
    <w:rsid w:val="009311F5"/>
    <w:rsid w:val="00931325"/>
    <w:rsid w:val="009319DC"/>
    <w:rsid w:val="00931AAD"/>
    <w:rsid w:val="00931C0E"/>
    <w:rsid w:val="00931E6D"/>
    <w:rsid w:val="009322B5"/>
    <w:rsid w:val="0093286C"/>
    <w:rsid w:val="00932B97"/>
    <w:rsid w:val="00932D04"/>
    <w:rsid w:val="00932DDA"/>
    <w:rsid w:val="00932E9E"/>
    <w:rsid w:val="009331BA"/>
    <w:rsid w:val="009333C0"/>
    <w:rsid w:val="00933A65"/>
    <w:rsid w:val="00933B8A"/>
    <w:rsid w:val="00934141"/>
    <w:rsid w:val="009341AA"/>
    <w:rsid w:val="0093429A"/>
    <w:rsid w:val="009350EE"/>
    <w:rsid w:val="0093518A"/>
    <w:rsid w:val="009352D3"/>
    <w:rsid w:val="009355BB"/>
    <w:rsid w:val="009355FC"/>
    <w:rsid w:val="00935789"/>
    <w:rsid w:val="00935818"/>
    <w:rsid w:val="009358AF"/>
    <w:rsid w:val="009359C5"/>
    <w:rsid w:val="00935CFA"/>
    <w:rsid w:val="00936075"/>
    <w:rsid w:val="00936157"/>
    <w:rsid w:val="009361E8"/>
    <w:rsid w:val="00936247"/>
    <w:rsid w:val="00936501"/>
    <w:rsid w:val="009366AD"/>
    <w:rsid w:val="009366EC"/>
    <w:rsid w:val="00936EEA"/>
    <w:rsid w:val="00936F05"/>
    <w:rsid w:val="00937496"/>
    <w:rsid w:val="009377A1"/>
    <w:rsid w:val="00937C7D"/>
    <w:rsid w:val="00940850"/>
    <w:rsid w:val="00940B1D"/>
    <w:rsid w:val="00941178"/>
    <w:rsid w:val="0094130E"/>
    <w:rsid w:val="00941340"/>
    <w:rsid w:val="009419FD"/>
    <w:rsid w:val="0094243B"/>
    <w:rsid w:val="009425EB"/>
    <w:rsid w:val="009428A4"/>
    <w:rsid w:val="00943034"/>
    <w:rsid w:val="00943157"/>
    <w:rsid w:val="0094362E"/>
    <w:rsid w:val="0094368C"/>
    <w:rsid w:val="00943893"/>
    <w:rsid w:val="00943B61"/>
    <w:rsid w:val="00944086"/>
    <w:rsid w:val="00944312"/>
    <w:rsid w:val="0094432A"/>
    <w:rsid w:val="009443DC"/>
    <w:rsid w:val="00944487"/>
    <w:rsid w:val="00944AE2"/>
    <w:rsid w:val="0094526B"/>
    <w:rsid w:val="009455A6"/>
    <w:rsid w:val="009456EB"/>
    <w:rsid w:val="00945E7E"/>
    <w:rsid w:val="00945E8F"/>
    <w:rsid w:val="009463FD"/>
    <w:rsid w:val="009467FD"/>
    <w:rsid w:val="00946905"/>
    <w:rsid w:val="00946D2E"/>
    <w:rsid w:val="00946E64"/>
    <w:rsid w:val="009472F6"/>
    <w:rsid w:val="009473F4"/>
    <w:rsid w:val="0094783F"/>
    <w:rsid w:val="00947B1F"/>
    <w:rsid w:val="009502BC"/>
    <w:rsid w:val="00950B18"/>
    <w:rsid w:val="00950C55"/>
    <w:rsid w:val="00950CB3"/>
    <w:rsid w:val="00951B38"/>
    <w:rsid w:val="00951F51"/>
    <w:rsid w:val="009520ED"/>
    <w:rsid w:val="00952237"/>
    <w:rsid w:val="0095267E"/>
    <w:rsid w:val="00952CC3"/>
    <w:rsid w:val="00952EBB"/>
    <w:rsid w:val="00952F24"/>
    <w:rsid w:val="00952FD9"/>
    <w:rsid w:val="0095370E"/>
    <w:rsid w:val="00953B5D"/>
    <w:rsid w:val="00953D3D"/>
    <w:rsid w:val="00953ECE"/>
    <w:rsid w:val="00953F42"/>
    <w:rsid w:val="00953F68"/>
    <w:rsid w:val="00953F86"/>
    <w:rsid w:val="00954231"/>
    <w:rsid w:val="009543D8"/>
    <w:rsid w:val="00954409"/>
    <w:rsid w:val="009545D6"/>
    <w:rsid w:val="00954608"/>
    <w:rsid w:val="00954F67"/>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C1"/>
    <w:rsid w:val="009602BA"/>
    <w:rsid w:val="00960701"/>
    <w:rsid w:val="00960856"/>
    <w:rsid w:val="00960D3A"/>
    <w:rsid w:val="00960F79"/>
    <w:rsid w:val="009615D7"/>
    <w:rsid w:val="00961B7F"/>
    <w:rsid w:val="00961CDF"/>
    <w:rsid w:val="009624CE"/>
    <w:rsid w:val="00962C35"/>
    <w:rsid w:val="00962D17"/>
    <w:rsid w:val="00963068"/>
    <w:rsid w:val="00963CE6"/>
    <w:rsid w:val="00963D17"/>
    <w:rsid w:val="00963D45"/>
    <w:rsid w:val="009640B5"/>
    <w:rsid w:val="00964459"/>
    <w:rsid w:val="009657D5"/>
    <w:rsid w:val="00965F9F"/>
    <w:rsid w:val="00966141"/>
    <w:rsid w:val="0096620D"/>
    <w:rsid w:val="009662EC"/>
    <w:rsid w:val="00966333"/>
    <w:rsid w:val="00966611"/>
    <w:rsid w:val="0096661F"/>
    <w:rsid w:val="00966833"/>
    <w:rsid w:val="009669CC"/>
    <w:rsid w:val="00966C18"/>
    <w:rsid w:val="009672BE"/>
    <w:rsid w:val="00967517"/>
    <w:rsid w:val="009675EB"/>
    <w:rsid w:val="00967655"/>
    <w:rsid w:val="009679FE"/>
    <w:rsid w:val="00967DD4"/>
    <w:rsid w:val="00967E53"/>
    <w:rsid w:val="009706DC"/>
    <w:rsid w:val="00970E13"/>
    <w:rsid w:val="00970F12"/>
    <w:rsid w:val="00970F1A"/>
    <w:rsid w:val="009710BF"/>
    <w:rsid w:val="00971874"/>
    <w:rsid w:val="009719FF"/>
    <w:rsid w:val="00971DE3"/>
    <w:rsid w:val="00971E8F"/>
    <w:rsid w:val="00971F83"/>
    <w:rsid w:val="00972061"/>
    <w:rsid w:val="0097245C"/>
    <w:rsid w:val="009725FE"/>
    <w:rsid w:val="0097282B"/>
    <w:rsid w:val="00972DAC"/>
    <w:rsid w:val="0097392D"/>
    <w:rsid w:val="00973A35"/>
    <w:rsid w:val="00973D06"/>
    <w:rsid w:val="00974623"/>
    <w:rsid w:val="00974A1E"/>
    <w:rsid w:val="0097559A"/>
    <w:rsid w:val="009759FA"/>
    <w:rsid w:val="00975D48"/>
    <w:rsid w:val="009763BA"/>
    <w:rsid w:val="00976546"/>
    <w:rsid w:val="009765F1"/>
    <w:rsid w:val="00976FCF"/>
    <w:rsid w:val="00976FF7"/>
    <w:rsid w:val="009804EA"/>
    <w:rsid w:val="00980BAC"/>
    <w:rsid w:val="00980C22"/>
    <w:rsid w:val="00980DF0"/>
    <w:rsid w:val="00980F3F"/>
    <w:rsid w:val="00981D1C"/>
    <w:rsid w:val="0098219E"/>
    <w:rsid w:val="00982214"/>
    <w:rsid w:val="009823D4"/>
    <w:rsid w:val="00982474"/>
    <w:rsid w:val="009826A9"/>
    <w:rsid w:val="00982E9C"/>
    <w:rsid w:val="00982FF8"/>
    <w:rsid w:val="00983285"/>
    <w:rsid w:val="0098350A"/>
    <w:rsid w:val="009838AB"/>
    <w:rsid w:val="00983F25"/>
    <w:rsid w:val="00984672"/>
    <w:rsid w:val="00984B8A"/>
    <w:rsid w:val="00984C11"/>
    <w:rsid w:val="00984F97"/>
    <w:rsid w:val="00984FAF"/>
    <w:rsid w:val="0098569D"/>
    <w:rsid w:val="00985A09"/>
    <w:rsid w:val="00986277"/>
    <w:rsid w:val="009866A3"/>
    <w:rsid w:val="009866A5"/>
    <w:rsid w:val="009867EA"/>
    <w:rsid w:val="0098693D"/>
    <w:rsid w:val="00986ACF"/>
    <w:rsid w:val="00986B3A"/>
    <w:rsid w:val="00986B79"/>
    <w:rsid w:val="00986D0D"/>
    <w:rsid w:val="009871C7"/>
    <w:rsid w:val="0099011F"/>
    <w:rsid w:val="00990343"/>
    <w:rsid w:val="009905E1"/>
    <w:rsid w:val="0099064C"/>
    <w:rsid w:val="0099078A"/>
    <w:rsid w:val="0099097F"/>
    <w:rsid w:val="00990C73"/>
    <w:rsid w:val="0099105E"/>
    <w:rsid w:val="0099120D"/>
    <w:rsid w:val="009913A7"/>
    <w:rsid w:val="009916FA"/>
    <w:rsid w:val="00991974"/>
    <w:rsid w:val="009919BF"/>
    <w:rsid w:val="00992097"/>
    <w:rsid w:val="00992585"/>
    <w:rsid w:val="00992869"/>
    <w:rsid w:val="00992914"/>
    <w:rsid w:val="009929BC"/>
    <w:rsid w:val="00992C47"/>
    <w:rsid w:val="00992E82"/>
    <w:rsid w:val="00993776"/>
    <w:rsid w:val="00993832"/>
    <w:rsid w:val="009938CB"/>
    <w:rsid w:val="00993F15"/>
    <w:rsid w:val="009944B9"/>
    <w:rsid w:val="00994503"/>
    <w:rsid w:val="00994587"/>
    <w:rsid w:val="009947D5"/>
    <w:rsid w:val="00994B69"/>
    <w:rsid w:val="00994E90"/>
    <w:rsid w:val="009950B2"/>
    <w:rsid w:val="0099551B"/>
    <w:rsid w:val="009955E2"/>
    <w:rsid w:val="00995629"/>
    <w:rsid w:val="009959A5"/>
    <w:rsid w:val="00995B64"/>
    <w:rsid w:val="00995C16"/>
    <w:rsid w:val="00996206"/>
    <w:rsid w:val="0099625A"/>
    <w:rsid w:val="0099635A"/>
    <w:rsid w:val="009965BC"/>
    <w:rsid w:val="0099662E"/>
    <w:rsid w:val="00996D1F"/>
    <w:rsid w:val="00996F51"/>
    <w:rsid w:val="00997258"/>
    <w:rsid w:val="0099797A"/>
    <w:rsid w:val="009979DC"/>
    <w:rsid w:val="00997C19"/>
    <w:rsid w:val="009A0415"/>
    <w:rsid w:val="009A043E"/>
    <w:rsid w:val="009A04CD"/>
    <w:rsid w:val="009A0CE8"/>
    <w:rsid w:val="009A0D6F"/>
    <w:rsid w:val="009A177E"/>
    <w:rsid w:val="009A1AE9"/>
    <w:rsid w:val="009A1BC8"/>
    <w:rsid w:val="009A1F1E"/>
    <w:rsid w:val="009A22E6"/>
    <w:rsid w:val="009A2486"/>
    <w:rsid w:val="009A2690"/>
    <w:rsid w:val="009A32BE"/>
    <w:rsid w:val="009A3307"/>
    <w:rsid w:val="009A3520"/>
    <w:rsid w:val="009A3547"/>
    <w:rsid w:val="009A39D1"/>
    <w:rsid w:val="009A39FF"/>
    <w:rsid w:val="009A3CB5"/>
    <w:rsid w:val="009A3EAF"/>
    <w:rsid w:val="009A3F33"/>
    <w:rsid w:val="009A4AA6"/>
    <w:rsid w:val="009A4ACB"/>
    <w:rsid w:val="009A54D4"/>
    <w:rsid w:val="009A5501"/>
    <w:rsid w:val="009A5AE0"/>
    <w:rsid w:val="009A5C6C"/>
    <w:rsid w:val="009A6376"/>
    <w:rsid w:val="009A6621"/>
    <w:rsid w:val="009A6AEA"/>
    <w:rsid w:val="009A6CC5"/>
    <w:rsid w:val="009A7AD0"/>
    <w:rsid w:val="009B02AD"/>
    <w:rsid w:val="009B05B4"/>
    <w:rsid w:val="009B19F3"/>
    <w:rsid w:val="009B1E09"/>
    <w:rsid w:val="009B1F3A"/>
    <w:rsid w:val="009B21AC"/>
    <w:rsid w:val="009B2766"/>
    <w:rsid w:val="009B3241"/>
    <w:rsid w:val="009B32F0"/>
    <w:rsid w:val="009B32F1"/>
    <w:rsid w:val="009B3655"/>
    <w:rsid w:val="009B3CEC"/>
    <w:rsid w:val="009B3EB4"/>
    <w:rsid w:val="009B3F21"/>
    <w:rsid w:val="009B40C6"/>
    <w:rsid w:val="009B42BE"/>
    <w:rsid w:val="009B4D23"/>
    <w:rsid w:val="009B4F0B"/>
    <w:rsid w:val="009B58CF"/>
    <w:rsid w:val="009B5973"/>
    <w:rsid w:val="009B5B48"/>
    <w:rsid w:val="009B5D0E"/>
    <w:rsid w:val="009B5DE4"/>
    <w:rsid w:val="009B5EDD"/>
    <w:rsid w:val="009B6237"/>
    <w:rsid w:val="009B62E6"/>
    <w:rsid w:val="009B67C4"/>
    <w:rsid w:val="009B6A3F"/>
    <w:rsid w:val="009B6C5A"/>
    <w:rsid w:val="009B71E1"/>
    <w:rsid w:val="009B7A0A"/>
    <w:rsid w:val="009C0448"/>
    <w:rsid w:val="009C0615"/>
    <w:rsid w:val="009C0CF8"/>
    <w:rsid w:val="009C0ED7"/>
    <w:rsid w:val="009C125A"/>
    <w:rsid w:val="009C1AC7"/>
    <w:rsid w:val="009C1B2E"/>
    <w:rsid w:val="009C1EB2"/>
    <w:rsid w:val="009C2375"/>
    <w:rsid w:val="009C2675"/>
    <w:rsid w:val="009C2839"/>
    <w:rsid w:val="009C28D4"/>
    <w:rsid w:val="009C294A"/>
    <w:rsid w:val="009C2DC4"/>
    <w:rsid w:val="009C2EC8"/>
    <w:rsid w:val="009C3042"/>
    <w:rsid w:val="009C32C2"/>
    <w:rsid w:val="009C386A"/>
    <w:rsid w:val="009C3E76"/>
    <w:rsid w:val="009C3E9C"/>
    <w:rsid w:val="009C3EF2"/>
    <w:rsid w:val="009C43D6"/>
    <w:rsid w:val="009C4566"/>
    <w:rsid w:val="009C4A32"/>
    <w:rsid w:val="009C5908"/>
    <w:rsid w:val="009C599C"/>
    <w:rsid w:val="009C63AB"/>
    <w:rsid w:val="009C6667"/>
    <w:rsid w:val="009C6961"/>
    <w:rsid w:val="009C69D0"/>
    <w:rsid w:val="009C69F4"/>
    <w:rsid w:val="009C6AAC"/>
    <w:rsid w:val="009C6DBE"/>
    <w:rsid w:val="009C7163"/>
    <w:rsid w:val="009C77A3"/>
    <w:rsid w:val="009C7E87"/>
    <w:rsid w:val="009D019B"/>
    <w:rsid w:val="009D079B"/>
    <w:rsid w:val="009D1082"/>
    <w:rsid w:val="009D10BE"/>
    <w:rsid w:val="009D1687"/>
    <w:rsid w:val="009D2055"/>
    <w:rsid w:val="009D20AC"/>
    <w:rsid w:val="009D20C9"/>
    <w:rsid w:val="009D21C8"/>
    <w:rsid w:val="009D2397"/>
    <w:rsid w:val="009D26D8"/>
    <w:rsid w:val="009D2B35"/>
    <w:rsid w:val="009D30F9"/>
    <w:rsid w:val="009D3192"/>
    <w:rsid w:val="009D31C0"/>
    <w:rsid w:val="009D322C"/>
    <w:rsid w:val="009D3340"/>
    <w:rsid w:val="009D334F"/>
    <w:rsid w:val="009D3527"/>
    <w:rsid w:val="009D372A"/>
    <w:rsid w:val="009D385B"/>
    <w:rsid w:val="009D386B"/>
    <w:rsid w:val="009D3A26"/>
    <w:rsid w:val="009D3BAC"/>
    <w:rsid w:val="009D3EDD"/>
    <w:rsid w:val="009D48BA"/>
    <w:rsid w:val="009D4A7D"/>
    <w:rsid w:val="009D4B7E"/>
    <w:rsid w:val="009D4CBC"/>
    <w:rsid w:val="009D4D48"/>
    <w:rsid w:val="009D4DC6"/>
    <w:rsid w:val="009D4E15"/>
    <w:rsid w:val="009D5106"/>
    <w:rsid w:val="009D5D38"/>
    <w:rsid w:val="009D5D42"/>
    <w:rsid w:val="009D5E99"/>
    <w:rsid w:val="009D653F"/>
    <w:rsid w:val="009D66B9"/>
    <w:rsid w:val="009D69F3"/>
    <w:rsid w:val="009D6B77"/>
    <w:rsid w:val="009D6CE1"/>
    <w:rsid w:val="009D6F44"/>
    <w:rsid w:val="009D70F7"/>
    <w:rsid w:val="009D7869"/>
    <w:rsid w:val="009D7E18"/>
    <w:rsid w:val="009E0AB5"/>
    <w:rsid w:val="009E0C62"/>
    <w:rsid w:val="009E12E3"/>
    <w:rsid w:val="009E14B2"/>
    <w:rsid w:val="009E16F2"/>
    <w:rsid w:val="009E1750"/>
    <w:rsid w:val="009E19AB"/>
    <w:rsid w:val="009E1D15"/>
    <w:rsid w:val="009E1DFA"/>
    <w:rsid w:val="009E2115"/>
    <w:rsid w:val="009E23ED"/>
    <w:rsid w:val="009E255E"/>
    <w:rsid w:val="009E26BC"/>
    <w:rsid w:val="009E28DC"/>
    <w:rsid w:val="009E2E71"/>
    <w:rsid w:val="009E322C"/>
    <w:rsid w:val="009E3352"/>
    <w:rsid w:val="009E3479"/>
    <w:rsid w:val="009E387D"/>
    <w:rsid w:val="009E453D"/>
    <w:rsid w:val="009E45F8"/>
    <w:rsid w:val="009E4A16"/>
    <w:rsid w:val="009E5013"/>
    <w:rsid w:val="009E526A"/>
    <w:rsid w:val="009E526D"/>
    <w:rsid w:val="009E567C"/>
    <w:rsid w:val="009E56B0"/>
    <w:rsid w:val="009E5917"/>
    <w:rsid w:val="009E6223"/>
    <w:rsid w:val="009E6390"/>
    <w:rsid w:val="009E665A"/>
    <w:rsid w:val="009E6C75"/>
    <w:rsid w:val="009E725F"/>
    <w:rsid w:val="009E7954"/>
    <w:rsid w:val="009E79CF"/>
    <w:rsid w:val="009E7F2E"/>
    <w:rsid w:val="009F009C"/>
    <w:rsid w:val="009F0345"/>
    <w:rsid w:val="009F04F2"/>
    <w:rsid w:val="009F060A"/>
    <w:rsid w:val="009F0A8F"/>
    <w:rsid w:val="009F2161"/>
    <w:rsid w:val="009F231C"/>
    <w:rsid w:val="009F23E3"/>
    <w:rsid w:val="009F2512"/>
    <w:rsid w:val="009F29F3"/>
    <w:rsid w:val="009F2C7D"/>
    <w:rsid w:val="009F30E5"/>
    <w:rsid w:val="009F4094"/>
    <w:rsid w:val="009F40CE"/>
    <w:rsid w:val="009F4848"/>
    <w:rsid w:val="009F4BDF"/>
    <w:rsid w:val="009F4CDA"/>
    <w:rsid w:val="009F52CE"/>
    <w:rsid w:val="009F563B"/>
    <w:rsid w:val="009F59BF"/>
    <w:rsid w:val="009F5D42"/>
    <w:rsid w:val="009F5F68"/>
    <w:rsid w:val="009F6394"/>
    <w:rsid w:val="009F63B9"/>
    <w:rsid w:val="009F67B9"/>
    <w:rsid w:val="009F70CE"/>
    <w:rsid w:val="009F7462"/>
    <w:rsid w:val="009F776E"/>
    <w:rsid w:val="009F7FAE"/>
    <w:rsid w:val="00A00B19"/>
    <w:rsid w:val="00A00CE3"/>
    <w:rsid w:val="00A00F42"/>
    <w:rsid w:val="00A01519"/>
    <w:rsid w:val="00A0195A"/>
    <w:rsid w:val="00A0268F"/>
    <w:rsid w:val="00A02D3C"/>
    <w:rsid w:val="00A02EE8"/>
    <w:rsid w:val="00A02F6C"/>
    <w:rsid w:val="00A032EA"/>
    <w:rsid w:val="00A034B9"/>
    <w:rsid w:val="00A0408F"/>
    <w:rsid w:val="00A044E8"/>
    <w:rsid w:val="00A04E68"/>
    <w:rsid w:val="00A057AB"/>
    <w:rsid w:val="00A05975"/>
    <w:rsid w:val="00A05DDC"/>
    <w:rsid w:val="00A05EAA"/>
    <w:rsid w:val="00A0608D"/>
    <w:rsid w:val="00A060BE"/>
    <w:rsid w:val="00A0615B"/>
    <w:rsid w:val="00A0695E"/>
    <w:rsid w:val="00A069DD"/>
    <w:rsid w:val="00A07487"/>
    <w:rsid w:val="00A07845"/>
    <w:rsid w:val="00A07D26"/>
    <w:rsid w:val="00A07D2F"/>
    <w:rsid w:val="00A10254"/>
    <w:rsid w:val="00A1036E"/>
    <w:rsid w:val="00A104A1"/>
    <w:rsid w:val="00A10D80"/>
    <w:rsid w:val="00A10FC7"/>
    <w:rsid w:val="00A11671"/>
    <w:rsid w:val="00A117EF"/>
    <w:rsid w:val="00A1187C"/>
    <w:rsid w:val="00A11EEF"/>
    <w:rsid w:val="00A120CB"/>
    <w:rsid w:val="00A12CCC"/>
    <w:rsid w:val="00A12D1A"/>
    <w:rsid w:val="00A12E07"/>
    <w:rsid w:val="00A12F3D"/>
    <w:rsid w:val="00A131EC"/>
    <w:rsid w:val="00A1369F"/>
    <w:rsid w:val="00A13A4E"/>
    <w:rsid w:val="00A15566"/>
    <w:rsid w:val="00A158B3"/>
    <w:rsid w:val="00A1595D"/>
    <w:rsid w:val="00A15AC9"/>
    <w:rsid w:val="00A15B2D"/>
    <w:rsid w:val="00A15FF6"/>
    <w:rsid w:val="00A163CD"/>
    <w:rsid w:val="00A165FB"/>
    <w:rsid w:val="00A16778"/>
    <w:rsid w:val="00A16910"/>
    <w:rsid w:val="00A16ACD"/>
    <w:rsid w:val="00A16B57"/>
    <w:rsid w:val="00A171BF"/>
    <w:rsid w:val="00A20207"/>
    <w:rsid w:val="00A20224"/>
    <w:rsid w:val="00A20D6F"/>
    <w:rsid w:val="00A21424"/>
    <w:rsid w:val="00A21624"/>
    <w:rsid w:val="00A218FB"/>
    <w:rsid w:val="00A2198E"/>
    <w:rsid w:val="00A21997"/>
    <w:rsid w:val="00A21A06"/>
    <w:rsid w:val="00A21CBC"/>
    <w:rsid w:val="00A21E67"/>
    <w:rsid w:val="00A220FF"/>
    <w:rsid w:val="00A22EE6"/>
    <w:rsid w:val="00A23A98"/>
    <w:rsid w:val="00A241EE"/>
    <w:rsid w:val="00A24217"/>
    <w:rsid w:val="00A24255"/>
    <w:rsid w:val="00A24456"/>
    <w:rsid w:val="00A244E9"/>
    <w:rsid w:val="00A24622"/>
    <w:rsid w:val="00A246A3"/>
    <w:rsid w:val="00A25543"/>
    <w:rsid w:val="00A259A8"/>
    <w:rsid w:val="00A25ABB"/>
    <w:rsid w:val="00A25E39"/>
    <w:rsid w:val="00A26499"/>
    <w:rsid w:val="00A267B5"/>
    <w:rsid w:val="00A267F3"/>
    <w:rsid w:val="00A26827"/>
    <w:rsid w:val="00A26D47"/>
    <w:rsid w:val="00A26DA7"/>
    <w:rsid w:val="00A26E58"/>
    <w:rsid w:val="00A26F41"/>
    <w:rsid w:val="00A26F88"/>
    <w:rsid w:val="00A26FEE"/>
    <w:rsid w:val="00A275D1"/>
    <w:rsid w:val="00A277FD"/>
    <w:rsid w:val="00A27B57"/>
    <w:rsid w:val="00A27EC4"/>
    <w:rsid w:val="00A3071F"/>
    <w:rsid w:val="00A30BC2"/>
    <w:rsid w:val="00A313B3"/>
    <w:rsid w:val="00A31CE5"/>
    <w:rsid w:val="00A31D00"/>
    <w:rsid w:val="00A31F9C"/>
    <w:rsid w:val="00A31FE7"/>
    <w:rsid w:val="00A32051"/>
    <w:rsid w:val="00A32328"/>
    <w:rsid w:val="00A32AE0"/>
    <w:rsid w:val="00A32B77"/>
    <w:rsid w:val="00A32BB4"/>
    <w:rsid w:val="00A3367C"/>
    <w:rsid w:val="00A33798"/>
    <w:rsid w:val="00A33BE0"/>
    <w:rsid w:val="00A33CCF"/>
    <w:rsid w:val="00A33DA2"/>
    <w:rsid w:val="00A351F8"/>
    <w:rsid w:val="00A3561C"/>
    <w:rsid w:val="00A35D65"/>
    <w:rsid w:val="00A362D0"/>
    <w:rsid w:val="00A36901"/>
    <w:rsid w:val="00A36CF6"/>
    <w:rsid w:val="00A36EC5"/>
    <w:rsid w:val="00A37250"/>
    <w:rsid w:val="00A37703"/>
    <w:rsid w:val="00A37793"/>
    <w:rsid w:val="00A37DDD"/>
    <w:rsid w:val="00A37EDA"/>
    <w:rsid w:val="00A4035D"/>
    <w:rsid w:val="00A40648"/>
    <w:rsid w:val="00A408E6"/>
    <w:rsid w:val="00A40A26"/>
    <w:rsid w:val="00A40C00"/>
    <w:rsid w:val="00A413A3"/>
    <w:rsid w:val="00A41C19"/>
    <w:rsid w:val="00A4213E"/>
    <w:rsid w:val="00A4218F"/>
    <w:rsid w:val="00A43248"/>
    <w:rsid w:val="00A43270"/>
    <w:rsid w:val="00A44522"/>
    <w:rsid w:val="00A44C3B"/>
    <w:rsid w:val="00A452AE"/>
    <w:rsid w:val="00A4539E"/>
    <w:rsid w:val="00A458FF"/>
    <w:rsid w:val="00A46080"/>
    <w:rsid w:val="00A461CB"/>
    <w:rsid w:val="00A46252"/>
    <w:rsid w:val="00A46675"/>
    <w:rsid w:val="00A4683E"/>
    <w:rsid w:val="00A46C0C"/>
    <w:rsid w:val="00A46C6C"/>
    <w:rsid w:val="00A46EB1"/>
    <w:rsid w:val="00A46EBA"/>
    <w:rsid w:val="00A471B7"/>
    <w:rsid w:val="00A4777E"/>
    <w:rsid w:val="00A47961"/>
    <w:rsid w:val="00A47A54"/>
    <w:rsid w:val="00A47C59"/>
    <w:rsid w:val="00A50BDC"/>
    <w:rsid w:val="00A50FEC"/>
    <w:rsid w:val="00A5125F"/>
    <w:rsid w:val="00A5183F"/>
    <w:rsid w:val="00A51FC3"/>
    <w:rsid w:val="00A52AD4"/>
    <w:rsid w:val="00A52D33"/>
    <w:rsid w:val="00A53062"/>
    <w:rsid w:val="00A532FC"/>
    <w:rsid w:val="00A53624"/>
    <w:rsid w:val="00A53C0C"/>
    <w:rsid w:val="00A53D8E"/>
    <w:rsid w:val="00A540F1"/>
    <w:rsid w:val="00A544FA"/>
    <w:rsid w:val="00A546D4"/>
    <w:rsid w:val="00A54D3D"/>
    <w:rsid w:val="00A54F72"/>
    <w:rsid w:val="00A5551B"/>
    <w:rsid w:val="00A563AA"/>
    <w:rsid w:val="00A565B6"/>
    <w:rsid w:val="00A567E2"/>
    <w:rsid w:val="00A56806"/>
    <w:rsid w:val="00A56F64"/>
    <w:rsid w:val="00A57008"/>
    <w:rsid w:val="00A57F15"/>
    <w:rsid w:val="00A57F8E"/>
    <w:rsid w:val="00A60066"/>
    <w:rsid w:val="00A60146"/>
    <w:rsid w:val="00A60179"/>
    <w:rsid w:val="00A610A5"/>
    <w:rsid w:val="00A613BE"/>
    <w:rsid w:val="00A61782"/>
    <w:rsid w:val="00A61FDA"/>
    <w:rsid w:val="00A62958"/>
    <w:rsid w:val="00A62AC7"/>
    <w:rsid w:val="00A63850"/>
    <w:rsid w:val="00A64023"/>
    <w:rsid w:val="00A64787"/>
    <w:rsid w:val="00A648E9"/>
    <w:rsid w:val="00A64EA6"/>
    <w:rsid w:val="00A64EEB"/>
    <w:rsid w:val="00A65C38"/>
    <w:rsid w:val="00A6654A"/>
    <w:rsid w:val="00A66592"/>
    <w:rsid w:val="00A66C0D"/>
    <w:rsid w:val="00A66FCB"/>
    <w:rsid w:val="00A67322"/>
    <w:rsid w:val="00A6764D"/>
    <w:rsid w:val="00A676B5"/>
    <w:rsid w:val="00A678C2"/>
    <w:rsid w:val="00A67934"/>
    <w:rsid w:val="00A67D4A"/>
    <w:rsid w:val="00A70199"/>
    <w:rsid w:val="00A703AE"/>
    <w:rsid w:val="00A703CD"/>
    <w:rsid w:val="00A70415"/>
    <w:rsid w:val="00A709AE"/>
    <w:rsid w:val="00A70DCB"/>
    <w:rsid w:val="00A70E5B"/>
    <w:rsid w:val="00A71E2D"/>
    <w:rsid w:val="00A71FD1"/>
    <w:rsid w:val="00A720C2"/>
    <w:rsid w:val="00A72253"/>
    <w:rsid w:val="00A7248F"/>
    <w:rsid w:val="00A726DC"/>
    <w:rsid w:val="00A72733"/>
    <w:rsid w:val="00A7282C"/>
    <w:rsid w:val="00A72BC8"/>
    <w:rsid w:val="00A72C04"/>
    <w:rsid w:val="00A72E16"/>
    <w:rsid w:val="00A72FE2"/>
    <w:rsid w:val="00A73341"/>
    <w:rsid w:val="00A73766"/>
    <w:rsid w:val="00A73F96"/>
    <w:rsid w:val="00A748ED"/>
    <w:rsid w:val="00A74C88"/>
    <w:rsid w:val="00A75386"/>
    <w:rsid w:val="00A7586A"/>
    <w:rsid w:val="00A7593A"/>
    <w:rsid w:val="00A7597F"/>
    <w:rsid w:val="00A75B2B"/>
    <w:rsid w:val="00A75D3F"/>
    <w:rsid w:val="00A75EB1"/>
    <w:rsid w:val="00A764CD"/>
    <w:rsid w:val="00A768C8"/>
    <w:rsid w:val="00A76C21"/>
    <w:rsid w:val="00A771CB"/>
    <w:rsid w:val="00A77553"/>
    <w:rsid w:val="00A77727"/>
    <w:rsid w:val="00A77A30"/>
    <w:rsid w:val="00A77E0E"/>
    <w:rsid w:val="00A8004B"/>
    <w:rsid w:val="00A803FE"/>
    <w:rsid w:val="00A80D6B"/>
    <w:rsid w:val="00A80DB3"/>
    <w:rsid w:val="00A80FA9"/>
    <w:rsid w:val="00A811B7"/>
    <w:rsid w:val="00A8153C"/>
    <w:rsid w:val="00A818FB"/>
    <w:rsid w:val="00A81A53"/>
    <w:rsid w:val="00A81BE3"/>
    <w:rsid w:val="00A8226A"/>
    <w:rsid w:val="00A82941"/>
    <w:rsid w:val="00A82B36"/>
    <w:rsid w:val="00A832FD"/>
    <w:rsid w:val="00A834D6"/>
    <w:rsid w:val="00A83994"/>
    <w:rsid w:val="00A83DBC"/>
    <w:rsid w:val="00A84178"/>
    <w:rsid w:val="00A846B9"/>
    <w:rsid w:val="00A84746"/>
    <w:rsid w:val="00A847AE"/>
    <w:rsid w:val="00A8480F"/>
    <w:rsid w:val="00A84D2C"/>
    <w:rsid w:val="00A85084"/>
    <w:rsid w:val="00A855FE"/>
    <w:rsid w:val="00A85670"/>
    <w:rsid w:val="00A85836"/>
    <w:rsid w:val="00A85B3E"/>
    <w:rsid w:val="00A85E79"/>
    <w:rsid w:val="00A85F29"/>
    <w:rsid w:val="00A8613B"/>
    <w:rsid w:val="00A86203"/>
    <w:rsid w:val="00A865FB"/>
    <w:rsid w:val="00A86D62"/>
    <w:rsid w:val="00A87242"/>
    <w:rsid w:val="00A87740"/>
    <w:rsid w:val="00A87982"/>
    <w:rsid w:val="00A87C2F"/>
    <w:rsid w:val="00A904F2"/>
    <w:rsid w:val="00A907C8"/>
    <w:rsid w:val="00A90A9D"/>
    <w:rsid w:val="00A90D04"/>
    <w:rsid w:val="00A911A0"/>
    <w:rsid w:val="00A91363"/>
    <w:rsid w:val="00A91450"/>
    <w:rsid w:val="00A9162F"/>
    <w:rsid w:val="00A91B0D"/>
    <w:rsid w:val="00A91B63"/>
    <w:rsid w:val="00A920B1"/>
    <w:rsid w:val="00A92564"/>
    <w:rsid w:val="00A925A2"/>
    <w:rsid w:val="00A92949"/>
    <w:rsid w:val="00A92954"/>
    <w:rsid w:val="00A92C54"/>
    <w:rsid w:val="00A92D1A"/>
    <w:rsid w:val="00A92DB9"/>
    <w:rsid w:val="00A93429"/>
    <w:rsid w:val="00A93738"/>
    <w:rsid w:val="00A937B4"/>
    <w:rsid w:val="00A9401F"/>
    <w:rsid w:val="00A94084"/>
    <w:rsid w:val="00A9446E"/>
    <w:rsid w:val="00A94AD0"/>
    <w:rsid w:val="00A94B4A"/>
    <w:rsid w:val="00A94C69"/>
    <w:rsid w:val="00A953A8"/>
    <w:rsid w:val="00A960CA"/>
    <w:rsid w:val="00A966C0"/>
    <w:rsid w:val="00A96852"/>
    <w:rsid w:val="00A96B2E"/>
    <w:rsid w:val="00A96C21"/>
    <w:rsid w:val="00A96D6C"/>
    <w:rsid w:val="00A9791D"/>
    <w:rsid w:val="00A97A54"/>
    <w:rsid w:val="00A97B20"/>
    <w:rsid w:val="00A97D4A"/>
    <w:rsid w:val="00A97DB8"/>
    <w:rsid w:val="00AA0209"/>
    <w:rsid w:val="00AA0303"/>
    <w:rsid w:val="00AA037A"/>
    <w:rsid w:val="00AA03A6"/>
    <w:rsid w:val="00AA0923"/>
    <w:rsid w:val="00AA0C5E"/>
    <w:rsid w:val="00AA0CDF"/>
    <w:rsid w:val="00AA1128"/>
    <w:rsid w:val="00AA1200"/>
    <w:rsid w:val="00AA1A7C"/>
    <w:rsid w:val="00AA1ADA"/>
    <w:rsid w:val="00AA1D26"/>
    <w:rsid w:val="00AA20B3"/>
    <w:rsid w:val="00AA23BF"/>
    <w:rsid w:val="00AA2A7D"/>
    <w:rsid w:val="00AA2A91"/>
    <w:rsid w:val="00AA2A95"/>
    <w:rsid w:val="00AA2B3A"/>
    <w:rsid w:val="00AA2ECC"/>
    <w:rsid w:val="00AA3495"/>
    <w:rsid w:val="00AA3975"/>
    <w:rsid w:val="00AA3A3E"/>
    <w:rsid w:val="00AA3B94"/>
    <w:rsid w:val="00AA3C94"/>
    <w:rsid w:val="00AA41D4"/>
    <w:rsid w:val="00AA4203"/>
    <w:rsid w:val="00AA4673"/>
    <w:rsid w:val="00AA4775"/>
    <w:rsid w:val="00AA488F"/>
    <w:rsid w:val="00AA4B4C"/>
    <w:rsid w:val="00AA4E1D"/>
    <w:rsid w:val="00AA530A"/>
    <w:rsid w:val="00AA5515"/>
    <w:rsid w:val="00AA553A"/>
    <w:rsid w:val="00AA567F"/>
    <w:rsid w:val="00AA583C"/>
    <w:rsid w:val="00AA648A"/>
    <w:rsid w:val="00AA65CF"/>
    <w:rsid w:val="00AA6693"/>
    <w:rsid w:val="00AA6A88"/>
    <w:rsid w:val="00AA6BC6"/>
    <w:rsid w:val="00AA6C0F"/>
    <w:rsid w:val="00AA6F86"/>
    <w:rsid w:val="00AA6FE6"/>
    <w:rsid w:val="00AA7242"/>
    <w:rsid w:val="00AA793A"/>
    <w:rsid w:val="00AB02DD"/>
    <w:rsid w:val="00AB045C"/>
    <w:rsid w:val="00AB05BB"/>
    <w:rsid w:val="00AB090C"/>
    <w:rsid w:val="00AB0CD9"/>
    <w:rsid w:val="00AB0F68"/>
    <w:rsid w:val="00AB0F9A"/>
    <w:rsid w:val="00AB1160"/>
    <w:rsid w:val="00AB1411"/>
    <w:rsid w:val="00AB142E"/>
    <w:rsid w:val="00AB1C10"/>
    <w:rsid w:val="00AB1E0D"/>
    <w:rsid w:val="00AB208E"/>
    <w:rsid w:val="00AB212D"/>
    <w:rsid w:val="00AB2F1F"/>
    <w:rsid w:val="00AB32C1"/>
    <w:rsid w:val="00AB3552"/>
    <w:rsid w:val="00AB414A"/>
    <w:rsid w:val="00AB4649"/>
    <w:rsid w:val="00AB49C3"/>
    <w:rsid w:val="00AB4E52"/>
    <w:rsid w:val="00AB55F8"/>
    <w:rsid w:val="00AB5624"/>
    <w:rsid w:val="00AB5DF2"/>
    <w:rsid w:val="00AB6243"/>
    <w:rsid w:val="00AB688E"/>
    <w:rsid w:val="00AB6C4D"/>
    <w:rsid w:val="00AB7633"/>
    <w:rsid w:val="00AB7866"/>
    <w:rsid w:val="00AC0289"/>
    <w:rsid w:val="00AC0894"/>
    <w:rsid w:val="00AC1D3B"/>
    <w:rsid w:val="00AC1D7C"/>
    <w:rsid w:val="00AC1FE9"/>
    <w:rsid w:val="00AC2035"/>
    <w:rsid w:val="00AC226A"/>
    <w:rsid w:val="00AC246C"/>
    <w:rsid w:val="00AC26BF"/>
    <w:rsid w:val="00AC2FB2"/>
    <w:rsid w:val="00AC32FB"/>
    <w:rsid w:val="00AC34C0"/>
    <w:rsid w:val="00AC3ADE"/>
    <w:rsid w:val="00AC3F58"/>
    <w:rsid w:val="00AC445F"/>
    <w:rsid w:val="00AC45FF"/>
    <w:rsid w:val="00AC4C92"/>
    <w:rsid w:val="00AC4D38"/>
    <w:rsid w:val="00AC4E28"/>
    <w:rsid w:val="00AC4E71"/>
    <w:rsid w:val="00AC4F7E"/>
    <w:rsid w:val="00AC521A"/>
    <w:rsid w:val="00AC5700"/>
    <w:rsid w:val="00AC5A64"/>
    <w:rsid w:val="00AC6196"/>
    <w:rsid w:val="00AC630A"/>
    <w:rsid w:val="00AC7042"/>
    <w:rsid w:val="00AC752F"/>
    <w:rsid w:val="00AC7B8D"/>
    <w:rsid w:val="00AC7D54"/>
    <w:rsid w:val="00AC7E49"/>
    <w:rsid w:val="00AD099F"/>
    <w:rsid w:val="00AD0AEE"/>
    <w:rsid w:val="00AD1525"/>
    <w:rsid w:val="00AD169F"/>
    <w:rsid w:val="00AD16B8"/>
    <w:rsid w:val="00AD1A22"/>
    <w:rsid w:val="00AD1C10"/>
    <w:rsid w:val="00AD2565"/>
    <w:rsid w:val="00AD2CE1"/>
    <w:rsid w:val="00AD2E7B"/>
    <w:rsid w:val="00AD2F8F"/>
    <w:rsid w:val="00AD3550"/>
    <w:rsid w:val="00AD3685"/>
    <w:rsid w:val="00AD3798"/>
    <w:rsid w:val="00AD3A40"/>
    <w:rsid w:val="00AD3D71"/>
    <w:rsid w:val="00AD3F4F"/>
    <w:rsid w:val="00AD403C"/>
    <w:rsid w:val="00AD4153"/>
    <w:rsid w:val="00AD4281"/>
    <w:rsid w:val="00AD477D"/>
    <w:rsid w:val="00AD4838"/>
    <w:rsid w:val="00AD5420"/>
    <w:rsid w:val="00AD55ED"/>
    <w:rsid w:val="00AD56CF"/>
    <w:rsid w:val="00AD5AE5"/>
    <w:rsid w:val="00AD5DDB"/>
    <w:rsid w:val="00AD5E3E"/>
    <w:rsid w:val="00AD60B8"/>
    <w:rsid w:val="00AD60EF"/>
    <w:rsid w:val="00AD612C"/>
    <w:rsid w:val="00AD734C"/>
    <w:rsid w:val="00AD7770"/>
    <w:rsid w:val="00AD7922"/>
    <w:rsid w:val="00AD7C7D"/>
    <w:rsid w:val="00AE0164"/>
    <w:rsid w:val="00AE0413"/>
    <w:rsid w:val="00AE05BF"/>
    <w:rsid w:val="00AE07D2"/>
    <w:rsid w:val="00AE0D38"/>
    <w:rsid w:val="00AE0D8D"/>
    <w:rsid w:val="00AE1EC6"/>
    <w:rsid w:val="00AE1F6E"/>
    <w:rsid w:val="00AE21C3"/>
    <w:rsid w:val="00AE23C8"/>
    <w:rsid w:val="00AE265A"/>
    <w:rsid w:val="00AE308D"/>
    <w:rsid w:val="00AE36D1"/>
    <w:rsid w:val="00AE3DDB"/>
    <w:rsid w:val="00AE4A64"/>
    <w:rsid w:val="00AE52FB"/>
    <w:rsid w:val="00AE55C8"/>
    <w:rsid w:val="00AE5771"/>
    <w:rsid w:val="00AE59FC"/>
    <w:rsid w:val="00AE6542"/>
    <w:rsid w:val="00AE6AAF"/>
    <w:rsid w:val="00AE6E2E"/>
    <w:rsid w:val="00AE6E97"/>
    <w:rsid w:val="00AE758E"/>
    <w:rsid w:val="00AE7973"/>
    <w:rsid w:val="00AE7F69"/>
    <w:rsid w:val="00AF059D"/>
    <w:rsid w:val="00AF077D"/>
    <w:rsid w:val="00AF0787"/>
    <w:rsid w:val="00AF0992"/>
    <w:rsid w:val="00AF0C7C"/>
    <w:rsid w:val="00AF0D62"/>
    <w:rsid w:val="00AF0EB3"/>
    <w:rsid w:val="00AF11F8"/>
    <w:rsid w:val="00AF1281"/>
    <w:rsid w:val="00AF14C8"/>
    <w:rsid w:val="00AF1F4F"/>
    <w:rsid w:val="00AF23D9"/>
    <w:rsid w:val="00AF290E"/>
    <w:rsid w:val="00AF29D9"/>
    <w:rsid w:val="00AF29FA"/>
    <w:rsid w:val="00AF2CA1"/>
    <w:rsid w:val="00AF37D5"/>
    <w:rsid w:val="00AF381B"/>
    <w:rsid w:val="00AF3895"/>
    <w:rsid w:val="00AF3B84"/>
    <w:rsid w:val="00AF3E05"/>
    <w:rsid w:val="00AF3F63"/>
    <w:rsid w:val="00AF4345"/>
    <w:rsid w:val="00AF44BF"/>
    <w:rsid w:val="00AF463B"/>
    <w:rsid w:val="00AF4AD3"/>
    <w:rsid w:val="00AF4CC5"/>
    <w:rsid w:val="00AF4D6D"/>
    <w:rsid w:val="00AF4FEF"/>
    <w:rsid w:val="00AF5319"/>
    <w:rsid w:val="00AF5CE6"/>
    <w:rsid w:val="00AF603D"/>
    <w:rsid w:val="00AF608B"/>
    <w:rsid w:val="00AF650A"/>
    <w:rsid w:val="00AF6A59"/>
    <w:rsid w:val="00AF6C59"/>
    <w:rsid w:val="00AF71D6"/>
    <w:rsid w:val="00AF73B1"/>
    <w:rsid w:val="00AF75A9"/>
    <w:rsid w:val="00AF7BDD"/>
    <w:rsid w:val="00B0009E"/>
    <w:rsid w:val="00B006F0"/>
    <w:rsid w:val="00B00917"/>
    <w:rsid w:val="00B00F8C"/>
    <w:rsid w:val="00B00FEC"/>
    <w:rsid w:val="00B01693"/>
    <w:rsid w:val="00B01B75"/>
    <w:rsid w:val="00B0205C"/>
    <w:rsid w:val="00B02145"/>
    <w:rsid w:val="00B0256F"/>
    <w:rsid w:val="00B02F0C"/>
    <w:rsid w:val="00B030F5"/>
    <w:rsid w:val="00B03776"/>
    <w:rsid w:val="00B03ED8"/>
    <w:rsid w:val="00B0401D"/>
    <w:rsid w:val="00B04179"/>
    <w:rsid w:val="00B042D2"/>
    <w:rsid w:val="00B04B35"/>
    <w:rsid w:val="00B04D98"/>
    <w:rsid w:val="00B04E8D"/>
    <w:rsid w:val="00B04EF9"/>
    <w:rsid w:val="00B04F50"/>
    <w:rsid w:val="00B0542F"/>
    <w:rsid w:val="00B05A05"/>
    <w:rsid w:val="00B05B87"/>
    <w:rsid w:val="00B06495"/>
    <w:rsid w:val="00B064F1"/>
    <w:rsid w:val="00B0654F"/>
    <w:rsid w:val="00B06ACE"/>
    <w:rsid w:val="00B06D89"/>
    <w:rsid w:val="00B06DA3"/>
    <w:rsid w:val="00B07013"/>
    <w:rsid w:val="00B071D5"/>
    <w:rsid w:val="00B0733E"/>
    <w:rsid w:val="00B10045"/>
    <w:rsid w:val="00B107AE"/>
    <w:rsid w:val="00B109DF"/>
    <w:rsid w:val="00B10E7D"/>
    <w:rsid w:val="00B10EEF"/>
    <w:rsid w:val="00B10EF0"/>
    <w:rsid w:val="00B118E1"/>
    <w:rsid w:val="00B11A39"/>
    <w:rsid w:val="00B11A5F"/>
    <w:rsid w:val="00B11A9A"/>
    <w:rsid w:val="00B11F1F"/>
    <w:rsid w:val="00B120CF"/>
    <w:rsid w:val="00B1210E"/>
    <w:rsid w:val="00B1243E"/>
    <w:rsid w:val="00B12940"/>
    <w:rsid w:val="00B129A4"/>
    <w:rsid w:val="00B129BD"/>
    <w:rsid w:val="00B12BDA"/>
    <w:rsid w:val="00B12CE6"/>
    <w:rsid w:val="00B12D62"/>
    <w:rsid w:val="00B131F4"/>
    <w:rsid w:val="00B132F8"/>
    <w:rsid w:val="00B135AC"/>
    <w:rsid w:val="00B135BB"/>
    <w:rsid w:val="00B1367A"/>
    <w:rsid w:val="00B13BE0"/>
    <w:rsid w:val="00B13D2B"/>
    <w:rsid w:val="00B13F2E"/>
    <w:rsid w:val="00B14011"/>
    <w:rsid w:val="00B14793"/>
    <w:rsid w:val="00B148F7"/>
    <w:rsid w:val="00B15075"/>
    <w:rsid w:val="00B15774"/>
    <w:rsid w:val="00B158B2"/>
    <w:rsid w:val="00B15CFE"/>
    <w:rsid w:val="00B15DB9"/>
    <w:rsid w:val="00B1634D"/>
    <w:rsid w:val="00B16B86"/>
    <w:rsid w:val="00B16E95"/>
    <w:rsid w:val="00B1780E"/>
    <w:rsid w:val="00B17F47"/>
    <w:rsid w:val="00B200D3"/>
    <w:rsid w:val="00B2060E"/>
    <w:rsid w:val="00B20DCF"/>
    <w:rsid w:val="00B20F8A"/>
    <w:rsid w:val="00B215EB"/>
    <w:rsid w:val="00B21A5C"/>
    <w:rsid w:val="00B22023"/>
    <w:rsid w:val="00B22522"/>
    <w:rsid w:val="00B2288A"/>
    <w:rsid w:val="00B237FA"/>
    <w:rsid w:val="00B23BF0"/>
    <w:rsid w:val="00B24102"/>
    <w:rsid w:val="00B24D66"/>
    <w:rsid w:val="00B25165"/>
    <w:rsid w:val="00B258AF"/>
    <w:rsid w:val="00B260D9"/>
    <w:rsid w:val="00B264B0"/>
    <w:rsid w:val="00B26CDB"/>
    <w:rsid w:val="00B26ECF"/>
    <w:rsid w:val="00B27444"/>
    <w:rsid w:val="00B274AA"/>
    <w:rsid w:val="00B2752B"/>
    <w:rsid w:val="00B27734"/>
    <w:rsid w:val="00B27771"/>
    <w:rsid w:val="00B27787"/>
    <w:rsid w:val="00B277A3"/>
    <w:rsid w:val="00B27833"/>
    <w:rsid w:val="00B278D7"/>
    <w:rsid w:val="00B300B8"/>
    <w:rsid w:val="00B300D6"/>
    <w:rsid w:val="00B30188"/>
    <w:rsid w:val="00B303DC"/>
    <w:rsid w:val="00B304A4"/>
    <w:rsid w:val="00B3091E"/>
    <w:rsid w:val="00B30AF2"/>
    <w:rsid w:val="00B312C2"/>
    <w:rsid w:val="00B31602"/>
    <w:rsid w:val="00B3174B"/>
    <w:rsid w:val="00B3181A"/>
    <w:rsid w:val="00B319FE"/>
    <w:rsid w:val="00B3232C"/>
    <w:rsid w:val="00B331B8"/>
    <w:rsid w:val="00B334B4"/>
    <w:rsid w:val="00B33786"/>
    <w:rsid w:val="00B337A4"/>
    <w:rsid w:val="00B33B37"/>
    <w:rsid w:val="00B34725"/>
    <w:rsid w:val="00B35468"/>
    <w:rsid w:val="00B355F0"/>
    <w:rsid w:val="00B3578C"/>
    <w:rsid w:val="00B3595B"/>
    <w:rsid w:val="00B35AA1"/>
    <w:rsid w:val="00B35E63"/>
    <w:rsid w:val="00B369C4"/>
    <w:rsid w:val="00B36D9E"/>
    <w:rsid w:val="00B37019"/>
    <w:rsid w:val="00B37311"/>
    <w:rsid w:val="00B37387"/>
    <w:rsid w:val="00B373FB"/>
    <w:rsid w:val="00B37975"/>
    <w:rsid w:val="00B409A4"/>
    <w:rsid w:val="00B4106F"/>
    <w:rsid w:val="00B418A1"/>
    <w:rsid w:val="00B41BE7"/>
    <w:rsid w:val="00B424F7"/>
    <w:rsid w:val="00B42568"/>
    <w:rsid w:val="00B4316E"/>
    <w:rsid w:val="00B4339F"/>
    <w:rsid w:val="00B436BD"/>
    <w:rsid w:val="00B4376E"/>
    <w:rsid w:val="00B4381B"/>
    <w:rsid w:val="00B4383C"/>
    <w:rsid w:val="00B4403D"/>
    <w:rsid w:val="00B44317"/>
    <w:rsid w:val="00B447F3"/>
    <w:rsid w:val="00B44CAA"/>
    <w:rsid w:val="00B456A5"/>
    <w:rsid w:val="00B45847"/>
    <w:rsid w:val="00B460A1"/>
    <w:rsid w:val="00B46275"/>
    <w:rsid w:val="00B464C7"/>
    <w:rsid w:val="00B464FA"/>
    <w:rsid w:val="00B4658A"/>
    <w:rsid w:val="00B4733F"/>
    <w:rsid w:val="00B4758E"/>
    <w:rsid w:val="00B47CBB"/>
    <w:rsid w:val="00B502BC"/>
    <w:rsid w:val="00B5083E"/>
    <w:rsid w:val="00B50A1F"/>
    <w:rsid w:val="00B50ADB"/>
    <w:rsid w:val="00B50B87"/>
    <w:rsid w:val="00B50C2D"/>
    <w:rsid w:val="00B50FD1"/>
    <w:rsid w:val="00B515B6"/>
    <w:rsid w:val="00B51604"/>
    <w:rsid w:val="00B517DA"/>
    <w:rsid w:val="00B5197B"/>
    <w:rsid w:val="00B51C2A"/>
    <w:rsid w:val="00B51F64"/>
    <w:rsid w:val="00B5248D"/>
    <w:rsid w:val="00B52868"/>
    <w:rsid w:val="00B53B4E"/>
    <w:rsid w:val="00B53C5F"/>
    <w:rsid w:val="00B53CFF"/>
    <w:rsid w:val="00B53F86"/>
    <w:rsid w:val="00B53FF7"/>
    <w:rsid w:val="00B54A43"/>
    <w:rsid w:val="00B54ADC"/>
    <w:rsid w:val="00B54BD8"/>
    <w:rsid w:val="00B54C55"/>
    <w:rsid w:val="00B5508A"/>
    <w:rsid w:val="00B55138"/>
    <w:rsid w:val="00B558D7"/>
    <w:rsid w:val="00B5596C"/>
    <w:rsid w:val="00B56204"/>
    <w:rsid w:val="00B569B2"/>
    <w:rsid w:val="00B56FBD"/>
    <w:rsid w:val="00B5715A"/>
    <w:rsid w:val="00B572A7"/>
    <w:rsid w:val="00B57327"/>
    <w:rsid w:val="00B573F7"/>
    <w:rsid w:val="00B57F2F"/>
    <w:rsid w:val="00B57FE9"/>
    <w:rsid w:val="00B6002D"/>
    <w:rsid w:val="00B6010B"/>
    <w:rsid w:val="00B60112"/>
    <w:rsid w:val="00B61262"/>
    <w:rsid w:val="00B61363"/>
    <w:rsid w:val="00B61469"/>
    <w:rsid w:val="00B6154C"/>
    <w:rsid w:val="00B615D8"/>
    <w:rsid w:val="00B6210A"/>
    <w:rsid w:val="00B6220A"/>
    <w:rsid w:val="00B62608"/>
    <w:rsid w:val="00B62743"/>
    <w:rsid w:val="00B629F3"/>
    <w:rsid w:val="00B630EB"/>
    <w:rsid w:val="00B6358B"/>
    <w:rsid w:val="00B63C08"/>
    <w:rsid w:val="00B64041"/>
    <w:rsid w:val="00B640CF"/>
    <w:rsid w:val="00B641C6"/>
    <w:rsid w:val="00B64780"/>
    <w:rsid w:val="00B654AD"/>
    <w:rsid w:val="00B65828"/>
    <w:rsid w:val="00B65E01"/>
    <w:rsid w:val="00B6625D"/>
    <w:rsid w:val="00B662BF"/>
    <w:rsid w:val="00B665BB"/>
    <w:rsid w:val="00B66800"/>
    <w:rsid w:val="00B668CA"/>
    <w:rsid w:val="00B66AB0"/>
    <w:rsid w:val="00B66D54"/>
    <w:rsid w:val="00B66E77"/>
    <w:rsid w:val="00B672D9"/>
    <w:rsid w:val="00B673B0"/>
    <w:rsid w:val="00B677D7"/>
    <w:rsid w:val="00B67A93"/>
    <w:rsid w:val="00B7095E"/>
    <w:rsid w:val="00B70C27"/>
    <w:rsid w:val="00B70ED8"/>
    <w:rsid w:val="00B710E0"/>
    <w:rsid w:val="00B7162D"/>
    <w:rsid w:val="00B71DA0"/>
    <w:rsid w:val="00B71E56"/>
    <w:rsid w:val="00B71F90"/>
    <w:rsid w:val="00B7203E"/>
    <w:rsid w:val="00B72438"/>
    <w:rsid w:val="00B727DF"/>
    <w:rsid w:val="00B72CF9"/>
    <w:rsid w:val="00B72EE9"/>
    <w:rsid w:val="00B730F2"/>
    <w:rsid w:val="00B73637"/>
    <w:rsid w:val="00B73942"/>
    <w:rsid w:val="00B73D34"/>
    <w:rsid w:val="00B742C1"/>
    <w:rsid w:val="00B74720"/>
    <w:rsid w:val="00B74AA2"/>
    <w:rsid w:val="00B74C99"/>
    <w:rsid w:val="00B74DC7"/>
    <w:rsid w:val="00B75032"/>
    <w:rsid w:val="00B750D5"/>
    <w:rsid w:val="00B7591C"/>
    <w:rsid w:val="00B75D1D"/>
    <w:rsid w:val="00B75DB8"/>
    <w:rsid w:val="00B75E98"/>
    <w:rsid w:val="00B75F68"/>
    <w:rsid w:val="00B76340"/>
    <w:rsid w:val="00B76A3F"/>
    <w:rsid w:val="00B76A7D"/>
    <w:rsid w:val="00B76B06"/>
    <w:rsid w:val="00B76CE1"/>
    <w:rsid w:val="00B76DA3"/>
    <w:rsid w:val="00B76DEB"/>
    <w:rsid w:val="00B776D5"/>
    <w:rsid w:val="00B77B7E"/>
    <w:rsid w:val="00B804DE"/>
    <w:rsid w:val="00B805D0"/>
    <w:rsid w:val="00B80744"/>
    <w:rsid w:val="00B80979"/>
    <w:rsid w:val="00B81296"/>
    <w:rsid w:val="00B81382"/>
    <w:rsid w:val="00B818AA"/>
    <w:rsid w:val="00B81B66"/>
    <w:rsid w:val="00B81BC2"/>
    <w:rsid w:val="00B81C2F"/>
    <w:rsid w:val="00B81C75"/>
    <w:rsid w:val="00B81D8F"/>
    <w:rsid w:val="00B81EEF"/>
    <w:rsid w:val="00B81F26"/>
    <w:rsid w:val="00B821DC"/>
    <w:rsid w:val="00B82628"/>
    <w:rsid w:val="00B82EBA"/>
    <w:rsid w:val="00B8344D"/>
    <w:rsid w:val="00B8350E"/>
    <w:rsid w:val="00B8352B"/>
    <w:rsid w:val="00B83812"/>
    <w:rsid w:val="00B83CC3"/>
    <w:rsid w:val="00B840BB"/>
    <w:rsid w:val="00B84898"/>
    <w:rsid w:val="00B84C9F"/>
    <w:rsid w:val="00B8525F"/>
    <w:rsid w:val="00B853BC"/>
    <w:rsid w:val="00B856E9"/>
    <w:rsid w:val="00B85774"/>
    <w:rsid w:val="00B85893"/>
    <w:rsid w:val="00B85BDF"/>
    <w:rsid w:val="00B85CD6"/>
    <w:rsid w:val="00B86429"/>
    <w:rsid w:val="00B8648F"/>
    <w:rsid w:val="00B866C7"/>
    <w:rsid w:val="00B86741"/>
    <w:rsid w:val="00B86EF1"/>
    <w:rsid w:val="00B86EFB"/>
    <w:rsid w:val="00B86FD6"/>
    <w:rsid w:val="00B8735F"/>
    <w:rsid w:val="00B87563"/>
    <w:rsid w:val="00B87EBC"/>
    <w:rsid w:val="00B87FF0"/>
    <w:rsid w:val="00B903AE"/>
    <w:rsid w:val="00B90825"/>
    <w:rsid w:val="00B9084F"/>
    <w:rsid w:val="00B90862"/>
    <w:rsid w:val="00B90DD5"/>
    <w:rsid w:val="00B91163"/>
    <w:rsid w:val="00B912EC"/>
    <w:rsid w:val="00B915DD"/>
    <w:rsid w:val="00B917AC"/>
    <w:rsid w:val="00B91B14"/>
    <w:rsid w:val="00B91F77"/>
    <w:rsid w:val="00B92126"/>
    <w:rsid w:val="00B92626"/>
    <w:rsid w:val="00B926AC"/>
    <w:rsid w:val="00B92E6B"/>
    <w:rsid w:val="00B93043"/>
    <w:rsid w:val="00B93431"/>
    <w:rsid w:val="00B93500"/>
    <w:rsid w:val="00B93522"/>
    <w:rsid w:val="00B93D97"/>
    <w:rsid w:val="00B93FBF"/>
    <w:rsid w:val="00B940B6"/>
    <w:rsid w:val="00B94392"/>
    <w:rsid w:val="00B94D75"/>
    <w:rsid w:val="00B95504"/>
    <w:rsid w:val="00B955F5"/>
    <w:rsid w:val="00B95663"/>
    <w:rsid w:val="00B95A36"/>
    <w:rsid w:val="00B95A93"/>
    <w:rsid w:val="00B95B92"/>
    <w:rsid w:val="00B95CCC"/>
    <w:rsid w:val="00B95E93"/>
    <w:rsid w:val="00B95F44"/>
    <w:rsid w:val="00B9611F"/>
    <w:rsid w:val="00B961EA"/>
    <w:rsid w:val="00B9650E"/>
    <w:rsid w:val="00B968FE"/>
    <w:rsid w:val="00B96D3C"/>
    <w:rsid w:val="00B97577"/>
    <w:rsid w:val="00B97B8F"/>
    <w:rsid w:val="00BA0965"/>
    <w:rsid w:val="00BA0FE9"/>
    <w:rsid w:val="00BA103F"/>
    <w:rsid w:val="00BA139F"/>
    <w:rsid w:val="00BA16BA"/>
    <w:rsid w:val="00BA1A0B"/>
    <w:rsid w:val="00BA1A82"/>
    <w:rsid w:val="00BA1B2C"/>
    <w:rsid w:val="00BA1D11"/>
    <w:rsid w:val="00BA1E22"/>
    <w:rsid w:val="00BA1E85"/>
    <w:rsid w:val="00BA359B"/>
    <w:rsid w:val="00BA3A93"/>
    <w:rsid w:val="00BA3DF2"/>
    <w:rsid w:val="00BA3E3F"/>
    <w:rsid w:val="00BA46E8"/>
    <w:rsid w:val="00BA4732"/>
    <w:rsid w:val="00BA4D05"/>
    <w:rsid w:val="00BA4D72"/>
    <w:rsid w:val="00BA4E1F"/>
    <w:rsid w:val="00BA4F45"/>
    <w:rsid w:val="00BA5165"/>
    <w:rsid w:val="00BA5599"/>
    <w:rsid w:val="00BA5A40"/>
    <w:rsid w:val="00BA5FD5"/>
    <w:rsid w:val="00BA62AB"/>
    <w:rsid w:val="00BA7E0B"/>
    <w:rsid w:val="00BB0053"/>
    <w:rsid w:val="00BB0118"/>
    <w:rsid w:val="00BB0DE3"/>
    <w:rsid w:val="00BB0EA0"/>
    <w:rsid w:val="00BB10CD"/>
    <w:rsid w:val="00BB10F0"/>
    <w:rsid w:val="00BB122E"/>
    <w:rsid w:val="00BB161D"/>
    <w:rsid w:val="00BB1A82"/>
    <w:rsid w:val="00BB1BDE"/>
    <w:rsid w:val="00BB1DD9"/>
    <w:rsid w:val="00BB20DC"/>
    <w:rsid w:val="00BB25B3"/>
    <w:rsid w:val="00BB25BB"/>
    <w:rsid w:val="00BB287A"/>
    <w:rsid w:val="00BB2DD8"/>
    <w:rsid w:val="00BB318A"/>
    <w:rsid w:val="00BB35FC"/>
    <w:rsid w:val="00BB3EB9"/>
    <w:rsid w:val="00BB4389"/>
    <w:rsid w:val="00BB4973"/>
    <w:rsid w:val="00BB4A6F"/>
    <w:rsid w:val="00BB4DA4"/>
    <w:rsid w:val="00BB4E26"/>
    <w:rsid w:val="00BB546C"/>
    <w:rsid w:val="00BB56B1"/>
    <w:rsid w:val="00BB5759"/>
    <w:rsid w:val="00BB5A30"/>
    <w:rsid w:val="00BB5B98"/>
    <w:rsid w:val="00BB6407"/>
    <w:rsid w:val="00BB718E"/>
    <w:rsid w:val="00BB7409"/>
    <w:rsid w:val="00BB7BAC"/>
    <w:rsid w:val="00BB7F7D"/>
    <w:rsid w:val="00BC009A"/>
    <w:rsid w:val="00BC057A"/>
    <w:rsid w:val="00BC0598"/>
    <w:rsid w:val="00BC08D8"/>
    <w:rsid w:val="00BC08FC"/>
    <w:rsid w:val="00BC0AC6"/>
    <w:rsid w:val="00BC1010"/>
    <w:rsid w:val="00BC13CC"/>
    <w:rsid w:val="00BC1799"/>
    <w:rsid w:val="00BC202D"/>
    <w:rsid w:val="00BC213B"/>
    <w:rsid w:val="00BC2821"/>
    <w:rsid w:val="00BC2964"/>
    <w:rsid w:val="00BC3112"/>
    <w:rsid w:val="00BC3776"/>
    <w:rsid w:val="00BC3916"/>
    <w:rsid w:val="00BC39C4"/>
    <w:rsid w:val="00BC3D8E"/>
    <w:rsid w:val="00BC3E6F"/>
    <w:rsid w:val="00BC3E7F"/>
    <w:rsid w:val="00BC41B5"/>
    <w:rsid w:val="00BC4C63"/>
    <w:rsid w:val="00BC53C2"/>
    <w:rsid w:val="00BC54D1"/>
    <w:rsid w:val="00BC58C5"/>
    <w:rsid w:val="00BC58C6"/>
    <w:rsid w:val="00BC5C9E"/>
    <w:rsid w:val="00BC6308"/>
    <w:rsid w:val="00BC63B9"/>
    <w:rsid w:val="00BC63FE"/>
    <w:rsid w:val="00BC666D"/>
    <w:rsid w:val="00BC67A4"/>
    <w:rsid w:val="00BC6AA4"/>
    <w:rsid w:val="00BC6B4D"/>
    <w:rsid w:val="00BC6C4F"/>
    <w:rsid w:val="00BC75C4"/>
    <w:rsid w:val="00BC76AA"/>
    <w:rsid w:val="00BC793F"/>
    <w:rsid w:val="00BD1290"/>
    <w:rsid w:val="00BD15B6"/>
    <w:rsid w:val="00BD1A5A"/>
    <w:rsid w:val="00BD1CFB"/>
    <w:rsid w:val="00BD29A3"/>
    <w:rsid w:val="00BD2AAB"/>
    <w:rsid w:val="00BD2ACF"/>
    <w:rsid w:val="00BD2B8F"/>
    <w:rsid w:val="00BD2F3F"/>
    <w:rsid w:val="00BD34A7"/>
    <w:rsid w:val="00BD35B9"/>
    <w:rsid w:val="00BD369D"/>
    <w:rsid w:val="00BD36EC"/>
    <w:rsid w:val="00BD4A52"/>
    <w:rsid w:val="00BD51CA"/>
    <w:rsid w:val="00BD5459"/>
    <w:rsid w:val="00BD59FB"/>
    <w:rsid w:val="00BD5CD2"/>
    <w:rsid w:val="00BD5F3C"/>
    <w:rsid w:val="00BD60E4"/>
    <w:rsid w:val="00BD6B0D"/>
    <w:rsid w:val="00BD77DE"/>
    <w:rsid w:val="00BD79C2"/>
    <w:rsid w:val="00BD7D1A"/>
    <w:rsid w:val="00BE0515"/>
    <w:rsid w:val="00BE1254"/>
    <w:rsid w:val="00BE1B27"/>
    <w:rsid w:val="00BE1F2E"/>
    <w:rsid w:val="00BE1FA7"/>
    <w:rsid w:val="00BE2AD7"/>
    <w:rsid w:val="00BE2BAA"/>
    <w:rsid w:val="00BE2FF7"/>
    <w:rsid w:val="00BE31DB"/>
    <w:rsid w:val="00BE38FD"/>
    <w:rsid w:val="00BE4972"/>
    <w:rsid w:val="00BE4DA5"/>
    <w:rsid w:val="00BE4F8D"/>
    <w:rsid w:val="00BE50E1"/>
    <w:rsid w:val="00BE590A"/>
    <w:rsid w:val="00BE5DC6"/>
    <w:rsid w:val="00BE5DED"/>
    <w:rsid w:val="00BE6179"/>
    <w:rsid w:val="00BE66A5"/>
    <w:rsid w:val="00BE6A22"/>
    <w:rsid w:val="00BE6C52"/>
    <w:rsid w:val="00BE6FA3"/>
    <w:rsid w:val="00BE71DF"/>
    <w:rsid w:val="00BE770F"/>
    <w:rsid w:val="00BE778C"/>
    <w:rsid w:val="00BE77C4"/>
    <w:rsid w:val="00BE7FE3"/>
    <w:rsid w:val="00BF01D4"/>
    <w:rsid w:val="00BF0463"/>
    <w:rsid w:val="00BF08C8"/>
    <w:rsid w:val="00BF0CFC"/>
    <w:rsid w:val="00BF11F8"/>
    <w:rsid w:val="00BF1B9B"/>
    <w:rsid w:val="00BF1DB3"/>
    <w:rsid w:val="00BF20FB"/>
    <w:rsid w:val="00BF2355"/>
    <w:rsid w:val="00BF2997"/>
    <w:rsid w:val="00BF2B28"/>
    <w:rsid w:val="00BF2B84"/>
    <w:rsid w:val="00BF3159"/>
    <w:rsid w:val="00BF3A7A"/>
    <w:rsid w:val="00BF4058"/>
    <w:rsid w:val="00BF4C22"/>
    <w:rsid w:val="00BF4CD1"/>
    <w:rsid w:val="00BF4DD7"/>
    <w:rsid w:val="00BF51E4"/>
    <w:rsid w:val="00BF5900"/>
    <w:rsid w:val="00BF59E2"/>
    <w:rsid w:val="00BF5DFD"/>
    <w:rsid w:val="00BF6043"/>
    <w:rsid w:val="00BF76ED"/>
    <w:rsid w:val="00BF774F"/>
    <w:rsid w:val="00BF7850"/>
    <w:rsid w:val="00C00156"/>
    <w:rsid w:val="00C003C3"/>
    <w:rsid w:val="00C006F6"/>
    <w:rsid w:val="00C00838"/>
    <w:rsid w:val="00C008C6"/>
    <w:rsid w:val="00C00BE6"/>
    <w:rsid w:val="00C00F80"/>
    <w:rsid w:val="00C01250"/>
    <w:rsid w:val="00C01619"/>
    <w:rsid w:val="00C02C01"/>
    <w:rsid w:val="00C02D7B"/>
    <w:rsid w:val="00C03041"/>
    <w:rsid w:val="00C03384"/>
    <w:rsid w:val="00C035DA"/>
    <w:rsid w:val="00C03815"/>
    <w:rsid w:val="00C041F4"/>
    <w:rsid w:val="00C04C59"/>
    <w:rsid w:val="00C0524E"/>
    <w:rsid w:val="00C05428"/>
    <w:rsid w:val="00C058A3"/>
    <w:rsid w:val="00C05E05"/>
    <w:rsid w:val="00C0670F"/>
    <w:rsid w:val="00C06B5A"/>
    <w:rsid w:val="00C06D95"/>
    <w:rsid w:val="00C0711F"/>
    <w:rsid w:val="00C071B2"/>
    <w:rsid w:val="00C077E1"/>
    <w:rsid w:val="00C079C7"/>
    <w:rsid w:val="00C07B2D"/>
    <w:rsid w:val="00C07EF8"/>
    <w:rsid w:val="00C07F83"/>
    <w:rsid w:val="00C107BE"/>
    <w:rsid w:val="00C10BD0"/>
    <w:rsid w:val="00C10C03"/>
    <w:rsid w:val="00C10CAF"/>
    <w:rsid w:val="00C112F7"/>
    <w:rsid w:val="00C1161D"/>
    <w:rsid w:val="00C117E7"/>
    <w:rsid w:val="00C11E13"/>
    <w:rsid w:val="00C12CC4"/>
    <w:rsid w:val="00C12CE6"/>
    <w:rsid w:val="00C12D9C"/>
    <w:rsid w:val="00C13208"/>
    <w:rsid w:val="00C13398"/>
    <w:rsid w:val="00C133F5"/>
    <w:rsid w:val="00C13413"/>
    <w:rsid w:val="00C1360E"/>
    <w:rsid w:val="00C13819"/>
    <w:rsid w:val="00C13CCA"/>
    <w:rsid w:val="00C142EA"/>
    <w:rsid w:val="00C1475A"/>
    <w:rsid w:val="00C14863"/>
    <w:rsid w:val="00C14AD2"/>
    <w:rsid w:val="00C14CA5"/>
    <w:rsid w:val="00C14E4D"/>
    <w:rsid w:val="00C14F3C"/>
    <w:rsid w:val="00C14FCC"/>
    <w:rsid w:val="00C15213"/>
    <w:rsid w:val="00C1538B"/>
    <w:rsid w:val="00C15750"/>
    <w:rsid w:val="00C15BE1"/>
    <w:rsid w:val="00C160D9"/>
    <w:rsid w:val="00C16B32"/>
    <w:rsid w:val="00C16FF1"/>
    <w:rsid w:val="00C17089"/>
    <w:rsid w:val="00C1715B"/>
    <w:rsid w:val="00C174EA"/>
    <w:rsid w:val="00C1757F"/>
    <w:rsid w:val="00C17A9F"/>
    <w:rsid w:val="00C17B74"/>
    <w:rsid w:val="00C17BCC"/>
    <w:rsid w:val="00C20001"/>
    <w:rsid w:val="00C20358"/>
    <w:rsid w:val="00C204E7"/>
    <w:rsid w:val="00C2053F"/>
    <w:rsid w:val="00C20A09"/>
    <w:rsid w:val="00C20AEB"/>
    <w:rsid w:val="00C20E0E"/>
    <w:rsid w:val="00C20F22"/>
    <w:rsid w:val="00C21336"/>
    <w:rsid w:val="00C2161D"/>
    <w:rsid w:val="00C21C05"/>
    <w:rsid w:val="00C21FF8"/>
    <w:rsid w:val="00C220F2"/>
    <w:rsid w:val="00C223A0"/>
    <w:rsid w:val="00C225E7"/>
    <w:rsid w:val="00C2398A"/>
    <w:rsid w:val="00C23BBD"/>
    <w:rsid w:val="00C23E3D"/>
    <w:rsid w:val="00C2455C"/>
    <w:rsid w:val="00C24638"/>
    <w:rsid w:val="00C2472C"/>
    <w:rsid w:val="00C24E22"/>
    <w:rsid w:val="00C2554A"/>
    <w:rsid w:val="00C26495"/>
    <w:rsid w:val="00C26B77"/>
    <w:rsid w:val="00C273ED"/>
    <w:rsid w:val="00C27447"/>
    <w:rsid w:val="00C27891"/>
    <w:rsid w:val="00C27D45"/>
    <w:rsid w:val="00C27D6F"/>
    <w:rsid w:val="00C300F5"/>
    <w:rsid w:val="00C30304"/>
    <w:rsid w:val="00C30395"/>
    <w:rsid w:val="00C30AED"/>
    <w:rsid w:val="00C30BEE"/>
    <w:rsid w:val="00C31073"/>
    <w:rsid w:val="00C3128B"/>
    <w:rsid w:val="00C312C4"/>
    <w:rsid w:val="00C314B5"/>
    <w:rsid w:val="00C32532"/>
    <w:rsid w:val="00C32570"/>
    <w:rsid w:val="00C329FF"/>
    <w:rsid w:val="00C32C1E"/>
    <w:rsid w:val="00C32D53"/>
    <w:rsid w:val="00C32F69"/>
    <w:rsid w:val="00C3312E"/>
    <w:rsid w:val="00C3346E"/>
    <w:rsid w:val="00C337CD"/>
    <w:rsid w:val="00C33CD5"/>
    <w:rsid w:val="00C33E8B"/>
    <w:rsid w:val="00C340CF"/>
    <w:rsid w:val="00C34101"/>
    <w:rsid w:val="00C348FE"/>
    <w:rsid w:val="00C34DDF"/>
    <w:rsid w:val="00C34EAC"/>
    <w:rsid w:val="00C34FBC"/>
    <w:rsid w:val="00C35087"/>
    <w:rsid w:val="00C35140"/>
    <w:rsid w:val="00C3523B"/>
    <w:rsid w:val="00C35947"/>
    <w:rsid w:val="00C3595E"/>
    <w:rsid w:val="00C35C46"/>
    <w:rsid w:val="00C36150"/>
    <w:rsid w:val="00C36836"/>
    <w:rsid w:val="00C36B6C"/>
    <w:rsid w:val="00C36FFE"/>
    <w:rsid w:val="00C37295"/>
    <w:rsid w:val="00C37B45"/>
    <w:rsid w:val="00C4061D"/>
    <w:rsid w:val="00C40A83"/>
    <w:rsid w:val="00C40D37"/>
    <w:rsid w:val="00C40F06"/>
    <w:rsid w:val="00C40FA8"/>
    <w:rsid w:val="00C412E1"/>
    <w:rsid w:val="00C413EC"/>
    <w:rsid w:val="00C416FD"/>
    <w:rsid w:val="00C41E73"/>
    <w:rsid w:val="00C41F28"/>
    <w:rsid w:val="00C41FA0"/>
    <w:rsid w:val="00C424ED"/>
    <w:rsid w:val="00C4271F"/>
    <w:rsid w:val="00C42A6C"/>
    <w:rsid w:val="00C42B60"/>
    <w:rsid w:val="00C42C3E"/>
    <w:rsid w:val="00C43292"/>
    <w:rsid w:val="00C43E4A"/>
    <w:rsid w:val="00C43FD4"/>
    <w:rsid w:val="00C44045"/>
    <w:rsid w:val="00C4445E"/>
    <w:rsid w:val="00C44846"/>
    <w:rsid w:val="00C44DB1"/>
    <w:rsid w:val="00C45A51"/>
    <w:rsid w:val="00C463BA"/>
    <w:rsid w:val="00C469E3"/>
    <w:rsid w:val="00C46CCD"/>
    <w:rsid w:val="00C46EBB"/>
    <w:rsid w:val="00C4705E"/>
    <w:rsid w:val="00C47155"/>
    <w:rsid w:val="00C47210"/>
    <w:rsid w:val="00C47902"/>
    <w:rsid w:val="00C47987"/>
    <w:rsid w:val="00C47B25"/>
    <w:rsid w:val="00C47CD2"/>
    <w:rsid w:val="00C47D56"/>
    <w:rsid w:val="00C50188"/>
    <w:rsid w:val="00C50821"/>
    <w:rsid w:val="00C510DE"/>
    <w:rsid w:val="00C51A91"/>
    <w:rsid w:val="00C51D72"/>
    <w:rsid w:val="00C52B13"/>
    <w:rsid w:val="00C52F64"/>
    <w:rsid w:val="00C53085"/>
    <w:rsid w:val="00C536E4"/>
    <w:rsid w:val="00C538AE"/>
    <w:rsid w:val="00C53C32"/>
    <w:rsid w:val="00C53E7A"/>
    <w:rsid w:val="00C53F3D"/>
    <w:rsid w:val="00C54492"/>
    <w:rsid w:val="00C544B6"/>
    <w:rsid w:val="00C54601"/>
    <w:rsid w:val="00C54815"/>
    <w:rsid w:val="00C54E26"/>
    <w:rsid w:val="00C54F8F"/>
    <w:rsid w:val="00C552AD"/>
    <w:rsid w:val="00C55509"/>
    <w:rsid w:val="00C5575B"/>
    <w:rsid w:val="00C55BC6"/>
    <w:rsid w:val="00C55D06"/>
    <w:rsid w:val="00C55DAB"/>
    <w:rsid w:val="00C564C9"/>
    <w:rsid w:val="00C5654E"/>
    <w:rsid w:val="00C568B9"/>
    <w:rsid w:val="00C56A84"/>
    <w:rsid w:val="00C56C5B"/>
    <w:rsid w:val="00C573C7"/>
    <w:rsid w:val="00C575E8"/>
    <w:rsid w:val="00C5777E"/>
    <w:rsid w:val="00C57A9A"/>
    <w:rsid w:val="00C57BA2"/>
    <w:rsid w:val="00C57D3D"/>
    <w:rsid w:val="00C57EB0"/>
    <w:rsid w:val="00C606C5"/>
    <w:rsid w:val="00C60984"/>
    <w:rsid w:val="00C60E33"/>
    <w:rsid w:val="00C6105E"/>
    <w:rsid w:val="00C6111A"/>
    <w:rsid w:val="00C615DC"/>
    <w:rsid w:val="00C61801"/>
    <w:rsid w:val="00C6182F"/>
    <w:rsid w:val="00C618DF"/>
    <w:rsid w:val="00C61F7C"/>
    <w:rsid w:val="00C623F5"/>
    <w:rsid w:val="00C6249B"/>
    <w:rsid w:val="00C62DC6"/>
    <w:rsid w:val="00C633F9"/>
    <w:rsid w:val="00C637BA"/>
    <w:rsid w:val="00C63BD8"/>
    <w:rsid w:val="00C65030"/>
    <w:rsid w:val="00C652A1"/>
    <w:rsid w:val="00C655E4"/>
    <w:rsid w:val="00C65738"/>
    <w:rsid w:val="00C6590A"/>
    <w:rsid w:val="00C65FFB"/>
    <w:rsid w:val="00C66663"/>
    <w:rsid w:val="00C668D8"/>
    <w:rsid w:val="00C66AAF"/>
    <w:rsid w:val="00C66BCD"/>
    <w:rsid w:val="00C66D75"/>
    <w:rsid w:val="00C66E74"/>
    <w:rsid w:val="00C67029"/>
    <w:rsid w:val="00C67091"/>
    <w:rsid w:val="00C670BF"/>
    <w:rsid w:val="00C6717B"/>
    <w:rsid w:val="00C67CCE"/>
    <w:rsid w:val="00C67E42"/>
    <w:rsid w:val="00C70B38"/>
    <w:rsid w:val="00C70B43"/>
    <w:rsid w:val="00C70D6B"/>
    <w:rsid w:val="00C70F10"/>
    <w:rsid w:val="00C71316"/>
    <w:rsid w:val="00C714F2"/>
    <w:rsid w:val="00C71A56"/>
    <w:rsid w:val="00C71D6E"/>
    <w:rsid w:val="00C7256E"/>
    <w:rsid w:val="00C72FA0"/>
    <w:rsid w:val="00C730CC"/>
    <w:rsid w:val="00C73705"/>
    <w:rsid w:val="00C73C33"/>
    <w:rsid w:val="00C73FB7"/>
    <w:rsid w:val="00C740DE"/>
    <w:rsid w:val="00C743E0"/>
    <w:rsid w:val="00C7532A"/>
    <w:rsid w:val="00C75721"/>
    <w:rsid w:val="00C760A6"/>
    <w:rsid w:val="00C762B7"/>
    <w:rsid w:val="00C763D3"/>
    <w:rsid w:val="00C7676F"/>
    <w:rsid w:val="00C76825"/>
    <w:rsid w:val="00C76D83"/>
    <w:rsid w:val="00C76F95"/>
    <w:rsid w:val="00C77B63"/>
    <w:rsid w:val="00C77C4B"/>
    <w:rsid w:val="00C77D50"/>
    <w:rsid w:val="00C77F77"/>
    <w:rsid w:val="00C80979"/>
    <w:rsid w:val="00C80996"/>
    <w:rsid w:val="00C80DC6"/>
    <w:rsid w:val="00C80F60"/>
    <w:rsid w:val="00C812A2"/>
    <w:rsid w:val="00C815E4"/>
    <w:rsid w:val="00C819F5"/>
    <w:rsid w:val="00C822CB"/>
    <w:rsid w:val="00C8290C"/>
    <w:rsid w:val="00C82CB0"/>
    <w:rsid w:val="00C83021"/>
    <w:rsid w:val="00C831FA"/>
    <w:rsid w:val="00C835DE"/>
    <w:rsid w:val="00C84958"/>
    <w:rsid w:val="00C84C25"/>
    <w:rsid w:val="00C8512B"/>
    <w:rsid w:val="00C85333"/>
    <w:rsid w:val="00C8565C"/>
    <w:rsid w:val="00C858C8"/>
    <w:rsid w:val="00C85A79"/>
    <w:rsid w:val="00C86242"/>
    <w:rsid w:val="00C8632D"/>
    <w:rsid w:val="00C86B22"/>
    <w:rsid w:val="00C86D3D"/>
    <w:rsid w:val="00C86D64"/>
    <w:rsid w:val="00C87CDD"/>
    <w:rsid w:val="00C87F44"/>
    <w:rsid w:val="00C909EE"/>
    <w:rsid w:val="00C90E27"/>
    <w:rsid w:val="00C91062"/>
    <w:rsid w:val="00C910ED"/>
    <w:rsid w:val="00C914C9"/>
    <w:rsid w:val="00C9156F"/>
    <w:rsid w:val="00C91E57"/>
    <w:rsid w:val="00C920BB"/>
    <w:rsid w:val="00C922E8"/>
    <w:rsid w:val="00C9291B"/>
    <w:rsid w:val="00C92FFA"/>
    <w:rsid w:val="00C93188"/>
    <w:rsid w:val="00C931B7"/>
    <w:rsid w:val="00C93950"/>
    <w:rsid w:val="00C9434D"/>
    <w:rsid w:val="00C94356"/>
    <w:rsid w:val="00C94446"/>
    <w:rsid w:val="00C94A1B"/>
    <w:rsid w:val="00C94EF3"/>
    <w:rsid w:val="00C952A9"/>
    <w:rsid w:val="00C9534F"/>
    <w:rsid w:val="00C9571A"/>
    <w:rsid w:val="00C95E98"/>
    <w:rsid w:val="00C95F67"/>
    <w:rsid w:val="00C961C0"/>
    <w:rsid w:val="00C964F6"/>
    <w:rsid w:val="00C965E4"/>
    <w:rsid w:val="00C96A33"/>
    <w:rsid w:val="00C96C96"/>
    <w:rsid w:val="00C971B0"/>
    <w:rsid w:val="00C9720C"/>
    <w:rsid w:val="00C9739A"/>
    <w:rsid w:val="00CA13BF"/>
    <w:rsid w:val="00CA13F7"/>
    <w:rsid w:val="00CA1463"/>
    <w:rsid w:val="00CA14DE"/>
    <w:rsid w:val="00CA1D38"/>
    <w:rsid w:val="00CA2595"/>
    <w:rsid w:val="00CA2A57"/>
    <w:rsid w:val="00CA2C4B"/>
    <w:rsid w:val="00CA30A9"/>
    <w:rsid w:val="00CA3312"/>
    <w:rsid w:val="00CA35EC"/>
    <w:rsid w:val="00CA3CB4"/>
    <w:rsid w:val="00CA3D36"/>
    <w:rsid w:val="00CA3EC4"/>
    <w:rsid w:val="00CA40DD"/>
    <w:rsid w:val="00CA4249"/>
    <w:rsid w:val="00CA4CF3"/>
    <w:rsid w:val="00CA4EF3"/>
    <w:rsid w:val="00CA5426"/>
    <w:rsid w:val="00CA575F"/>
    <w:rsid w:val="00CA57D4"/>
    <w:rsid w:val="00CA5CA5"/>
    <w:rsid w:val="00CA5F74"/>
    <w:rsid w:val="00CA6F7C"/>
    <w:rsid w:val="00CA7AC2"/>
    <w:rsid w:val="00CA7C8E"/>
    <w:rsid w:val="00CA7EEF"/>
    <w:rsid w:val="00CB0265"/>
    <w:rsid w:val="00CB0652"/>
    <w:rsid w:val="00CB085F"/>
    <w:rsid w:val="00CB095E"/>
    <w:rsid w:val="00CB0A8A"/>
    <w:rsid w:val="00CB0E18"/>
    <w:rsid w:val="00CB119B"/>
    <w:rsid w:val="00CB138C"/>
    <w:rsid w:val="00CB13CD"/>
    <w:rsid w:val="00CB1BD3"/>
    <w:rsid w:val="00CB21EF"/>
    <w:rsid w:val="00CB26B1"/>
    <w:rsid w:val="00CB2714"/>
    <w:rsid w:val="00CB2824"/>
    <w:rsid w:val="00CB2C75"/>
    <w:rsid w:val="00CB2F95"/>
    <w:rsid w:val="00CB30E7"/>
    <w:rsid w:val="00CB3270"/>
    <w:rsid w:val="00CB3823"/>
    <w:rsid w:val="00CB4C9B"/>
    <w:rsid w:val="00CB4DA4"/>
    <w:rsid w:val="00CB4F36"/>
    <w:rsid w:val="00CB557A"/>
    <w:rsid w:val="00CB5F95"/>
    <w:rsid w:val="00CB6108"/>
    <w:rsid w:val="00CB61CE"/>
    <w:rsid w:val="00CB644A"/>
    <w:rsid w:val="00CB65A6"/>
    <w:rsid w:val="00CB6EA0"/>
    <w:rsid w:val="00CB6FAF"/>
    <w:rsid w:val="00CB7071"/>
    <w:rsid w:val="00CB75C3"/>
    <w:rsid w:val="00CB75F9"/>
    <w:rsid w:val="00CB7D14"/>
    <w:rsid w:val="00CB7D9F"/>
    <w:rsid w:val="00CC07A1"/>
    <w:rsid w:val="00CC0824"/>
    <w:rsid w:val="00CC0840"/>
    <w:rsid w:val="00CC08D7"/>
    <w:rsid w:val="00CC0A9A"/>
    <w:rsid w:val="00CC0EA3"/>
    <w:rsid w:val="00CC155F"/>
    <w:rsid w:val="00CC156F"/>
    <w:rsid w:val="00CC17DC"/>
    <w:rsid w:val="00CC186A"/>
    <w:rsid w:val="00CC1AEE"/>
    <w:rsid w:val="00CC2B9C"/>
    <w:rsid w:val="00CC2BDD"/>
    <w:rsid w:val="00CC30D6"/>
    <w:rsid w:val="00CC326E"/>
    <w:rsid w:val="00CC3389"/>
    <w:rsid w:val="00CC3520"/>
    <w:rsid w:val="00CC378A"/>
    <w:rsid w:val="00CC38EE"/>
    <w:rsid w:val="00CC409F"/>
    <w:rsid w:val="00CC4867"/>
    <w:rsid w:val="00CC566D"/>
    <w:rsid w:val="00CC5CA4"/>
    <w:rsid w:val="00CC60CD"/>
    <w:rsid w:val="00CC6AA6"/>
    <w:rsid w:val="00CC6ACF"/>
    <w:rsid w:val="00CC6F63"/>
    <w:rsid w:val="00CC722F"/>
    <w:rsid w:val="00CC726E"/>
    <w:rsid w:val="00CC7476"/>
    <w:rsid w:val="00CC75EE"/>
    <w:rsid w:val="00CC7CE7"/>
    <w:rsid w:val="00CD0BAE"/>
    <w:rsid w:val="00CD1017"/>
    <w:rsid w:val="00CD129C"/>
    <w:rsid w:val="00CD12BA"/>
    <w:rsid w:val="00CD13BE"/>
    <w:rsid w:val="00CD181E"/>
    <w:rsid w:val="00CD1D10"/>
    <w:rsid w:val="00CD2688"/>
    <w:rsid w:val="00CD2B6B"/>
    <w:rsid w:val="00CD2C45"/>
    <w:rsid w:val="00CD2CD2"/>
    <w:rsid w:val="00CD347F"/>
    <w:rsid w:val="00CD387C"/>
    <w:rsid w:val="00CD474C"/>
    <w:rsid w:val="00CD4C49"/>
    <w:rsid w:val="00CD5589"/>
    <w:rsid w:val="00CD5A21"/>
    <w:rsid w:val="00CD5CCC"/>
    <w:rsid w:val="00CD6B16"/>
    <w:rsid w:val="00CD6B5E"/>
    <w:rsid w:val="00CD7045"/>
    <w:rsid w:val="00CD71C4"/>
    <w:rsid w:val="00CD739C"/>
    <w:rsid w:val="00CD7422"/>
    <w:rsid w:val="00CE0343"/>
    <w:rsid w:val="00CE0950"/>
    <w:rsid w:val="00CE0D96"/>
    <w:rsid w:val="00CE0FC5"/>
    <w:rsid w:val="00CE11D8"/>
    <w:rsid w:val="00CE1648"/>
    <w:rsid w:val="00CE1A90"/>
    <w:rsid w:val="00CE1BDF"/>
    <w:rsid w:val="00CE1C5C"/>
    <w:rsid w:val="00CE1CA9"/>
    <w:rsid w:val="00CE1E07"/>
    <w:rsid w:val="00CE2567"/>
    <w:rsid w:val="00CE25DD"/>
    <w:rsid w:val="00CE263A"/>
    <w:rsid w:val="00CE2A65"/>
    <w:rsid w:val="00CE2D19"/>
    <w:rsid w:val="00CE2E49"/>
    <w:rsid w:val="00CE3037"/>
    <w:rsid w:val="00CE32AD"/>
    <w:rsid w:val="00CE3361"/>
    <w:rsid w:val="00CE3435"/>
    <w:rsid w:val="00CE36E4"/>
    <w:rsid w:val="00CE3DCA"/>
    <w:rsid w:val="00CE3F49"/>
    <w:rsid w:val="00CE47E9"/>
    <w:rsid w:val="00CE4946"/>
    <w:rsid w:val="00CE49B0"/>
    <w:rsid w:val="00CE4D55"/>
    <w:rsid w:val="00CE4EA8"/>
    <w:rsid w:val="00CE5261"/>
    <w:rsid w:val="00CE5820"/>
    <w:rsid w:val="00CE584B"/>
    <w:rsid w:val="00CE5A0A"/>
    <w:rsid w:val="00CE5B72"/>
    <w:rsid w:val="00CE62C6"/>
    <w:rsid w:val="00CE6C5C"/>
    <w:rsid w:val="00CE7030"/>
    <w:rsid w:val="00CE72F6"/>
    <w:rsid w:val="00CE73DC"/>
    <w:rsid w:val="00CE7E82"/>
    <w:rsid w:val="00CE7F90"/>
    <w:rsid w:val="00CE7FF2"/>
    <w:rsid w:val="00CF063B"/>
    <w:rsid w:val="00CF0B25"/>
    <w:rsid w:val="00CF0C99"/>
    <w:rsid w:val="00CF0E8B"/>
    <w:rsid w:val="00CF1090"/>
    <w:rsid w:val="00CF12A2"/>
    <w:rsid w:val="00CF12DA"/>
    <w:rsid w:val="00CF185C"/>
    <w:rsid w:val="00CF18C7"/>
    <w:rsid w:val="00CF1AB9"/>
    <w:rsid w:val="00CF1B03"/>
    <w:rsid w:val="00CF1B1E"/>
    <w:rsid w:val="00CF1E58"/>
    <w:rsid w:val="00CF1F79"/>
    <w:rsid w:val="00CF22C6"/>
    <w:rsid w:val="00CF2B1C"/>
    <w:rsid w:val="00CF2B8E"/>
    <w:rsid w:val="00CF39B2"/>
    <w:rsid w:val="00CF3E3D"/>
    <w:rsid w:val="00CF4060"/>
    <w:rsid w:val="00CF52EB"/>
    <w:rsid w:val="00CF57AF"/>
    <w:rsid w:val="00CF585D"/>
    <w:rsid w:val="00CF5CA8"/>
    <w:rsid w:val="00CF675E"/>
    <w:rsid w:val="00CF6EA9"/>
    <w:rsid w:val="00CF70D5"/>
    <w:rsid w:val="00CF715E"/>
    <w:rsid w:val="00CF72BD"/>
    <w:rsid w:val="00CF767E"/>
    <w:rsid w:val="00CF78C0"/>
    <w:rsid w:val="00CF793A"/>
    <w:rsid w:val="00CF7A19"/>
    <w:rsid w:val="00CF7A51"/>
    <w:rsid w:val="00CF7BB5"/>
    <w:rsid w:val="00D00C54"/>
    <w:rsid w:val="00D015A8"/>
    <w:rsid w:val="00D01F47"/>
    <w:rsid w:val="00D024F9"/>
    <w:rsid w:val="00D027F9"/>
    <w:rsid w:val="00D032AA"/>
    <w:rsid w:val="00D03A3E"/>
    <w:rsid w:val="00D03B1A"/>
    <w:rsid w:val="00D03D46"/>
    <w:rsid w:val="00D03E97"/>
    <w:rsid w:val="00D04005"/>
    <w:rsid w:val="00D040BB"/>
    <w:rsid w:val="00D05501"/>
    <w:rsid w:val="00D056E9"/>
    <w:rsid w:val="00D05CB6"/>
    <w:rsid w:val="00D05E3B"/>
    <w:rsid w:val="00D060FC"/>
    <w:rsid w:val="00D061FC"/>
    <w:rsid w:val="00D06325"/>
    <w:rsid w:val="00D06DF0"/>
    <w:rsid w:val="00D072BF"/>
    <w:rsid w:val="00D07684"/>
    <w:rsid w:val="00D076A6"/>
    <w:rsid w:val="00D0789A"/>
    <w:rsid w:val="00D07F59"/>
    <w:rsid w:val="00D1026B"/>
    <w:rsid w:val="00D104B2"/>
    <w:rsid w:val="00D10875"/>
    <w:rsid w:val="00D10986"/>
    <w:rsid w:val="00D11877"/>
    <w:rsid w:val="00D1188C"/>
    <w:rsid w:val="00D11BB2"/>
    <w:rsid w:val="00D11BF3"/>
    <w:rsid w:val="00D120DE"/>
    <w:rsid w:val="00D123F2"/>
    <w:rsid w:val="00D124B3"/>
    <w:rsid w:val="00D1278D"/>
    <w:rsid w:val="00D12D14"/>
    <w:rsid w:val="00D12DAB"/>
    <w:rsid w:val="00D12F1F"/>
    <w:rsid w:val="00D13207"/>
    <w:rsid w:val="00D13358"/>
    <w:rsid w:val="00D1342C"/>
    <w:rsid w:val="00D13584"/>
    <w:rsid w:val="00D13F37"/>
    <w:rsid w:val="00D13FED"/>
    <w:rsid w:val="00D1421E"/>
    <w:rsid w:val="00D142DE"/>
    <w:rsid w:val="00D142FA"/>
    <w:rsid w:val="00D143C6"/>
    <w:rsid w:val="00D14873"/>
    <w:rsid w:val="00D14C06"/>
    <w:rsid w:val="00D14DAF"/>
    <w:rsid w:val="00D151F4"/>
    <w:rsid w:val="00D1564A"/>
    <w:rsid w:val="00D156AA"/>
    <w:rsid w:val="00D156E5"/>
    <w:rsid w:val="00D158B3"/>
    <w:rsid w:val="00D15A0B"/>
    <w:rsid w:val="00D15AF0"/>
    <w:rsid w:val="00D15D3B"/>
    <w:rsid w:val="00D16747"/>
    <w:rsid w:val="00D16B73"/>
    <w:rsid w:val="00D175C7"/>
    <w:rsid w:val="00D17E09"/>
    <w:rsid w:val="00D20886"/>
    <w:rsid w:val="00D2104F"/>
    <w:rsid w:val="00D21298"/>
    <w:rsid w:val="00D2133B"/>
    <w:rsid w:val="00D219C1"/>
    <w:rsid w:val="00D22D2E"/>
    <w:rsid w:val="00D22E00"/>
    <w:rsid w:val="00D234BD"/>
    <w:rsid w:val="00D240A6"/>
    <w:rsid w:val="00D24F1A"/>
    <w:rsid w:val="00D251E6"/>
    <w:rsid w:val="00D253DF"/>
    <w:rsid w:val="00D259B0"/>
    <w:rsid w:val="00D25A66"/>
    <w:rsid w:val="00D26097"/>
    <w:rsid w:val="00D261C5"/>
    <w:rsid w:val="00D26391"/>
    <w:rsid w:val="00D2699D"/>
    <w:rsid w:val="00D27747"/>
    <w:rsid w:val="00D27A36"/>
    <w:rsid w:val="00D27B2F"/>
    <w:rsid w:val="00D27BF7"/>
    <w:rsid w:val="00D30729"/>
    <w:rsid w:val="00D30D3B"/>
    <w:rsid w:val="00D30E9C"/>
    <w:rsid w:val="00D30EAF"/>
    <w:rsid w:val="00D30F60"/>
    <w:rsid w:val="00D3127E"/>
    <w:rsid w:val="00D314F6"/>
    <w:rsid w:val="00D31A4F"/>
    <w:rsid w:val="00D31D6C"/>
    <w:rsid w:val="00D31D99"/>
    <w:rsid w:val="00D31FAE"/>
    <w:rsid w:val="00D3248E"/>
    <w:rsid w:val="00D32CDD"/>
    <w:rsid w:val="00D32E0D"/>
    <w:rsid w:val="00D32E5B"/>
    <w:rsid w:val="00D3326D"/>
    <w:rsid w:val="00D333A0"/>
    <w:rsid w:val="00D33415"/>
    <w:rsid w:val="00D33748"/>
    <w:rsid w:val="00D33977"/>
    <w:rsid w:val="00D34097"/>
    <w:rsid w:val="00D34174"/>
    <w:rsid w:val="00D344BA"/>
    <w:rsid w:val="00D3455D"/>
    <w:rsid w:val="00D3471E"/>
    <w:rsid w:val="00D3544C"/>
    <w:rsid w:val="00D35C0A"/>
    <w:rsid w:val="00D361A1"/>
    <w:rsid w:val="00D3719F"/>
    <w:rsid w:val="00D371C8"/>
    <w:rsid w:val="00D373B0"/>
    <w:rsid w:val="00D379DB"/>
    <w:rsid w:val="00D4061B"/>
    <w:rsid w:val="00D41CAE"/>
    <w:rsid w:val="00D4225A"/>
    <w:rsid w:val="00D4284F"/>
    <w:rsid w:val="00D431DA"/>
    <w:rsid w:val="00D43450"/>
    <w:rsid w:val="00D434B9"/>
    <w:rsid w:val="00D43926"/>
    <w:rsid w:val="00D43D75"/>
    <w:rsid w:val="00D43F48"/>
    <w:rsid w:val="00D43F90"/>
    <w:rsid w:val="00D43FB1"/>
    <w:rsid w:val="00D44156"/>
    <w:rsid w:val="00D44198"/>
    <w:rsid w:val="00D441A2"/>
    <w:rsid w:val="00D4427C"/>
    <w:rsid w:val="00D445B3"/>
    <w:rsid w:val="00D44AD0"/>
    <w:rsid w:val="00D453B5"/>
    <w:rsid w:val="00D45977"/>
    <w:rsid w:val="00D4625E"/>
    <w:rsid w:val="00D463BF"/>
    <w:rsid w:val="00D46DBF"/>
    <w:rsid w:val="00D46E14"/>
    <w:rsid w:val="00D46F26"/>
    <w:rsid w:val="00D473E9"/>
    <w:rsid w:val="00D47408"/>
    <w:rsid w:val="00D4744B"/>
    <w:rsid w:val="00D47591"/>
    <w:rsid w:val="00D501C5"/>
    <w:rsid w:val="00D50F4A"/>
    <w:rsid w:val="00D51089"/>
    <w:rsid w:val="00D51095"/>
    <w:rsid w:val="00D52242"/>
    <w:rsid w:val="00D5228C"/>
    <w:rsid w:val="00D52B81"/>
    <w:rsid w:val="00D52E06"/>
    <w:rsid w:val="00D532C4"/>
    <w:rsid w:val="00D533BC"/>
    <w:rsid w:val="00D53650"/>
    <w:rsid w:val="00D53B41"/>
    <w:rsid w:val="00D53D80"/>
    <w:rsid w:val="00D5400C"/>
    <w:rsid w:val="00D54112"/>
    <w:rsid w:val="00D54129"/>
    <w:rsid w:val="00D541F5"/>
    <w:rsid w:val="00D54509"/>
    <w:rsid w:val="00D54A77"/>
    <w:rsid w:val="00D553C7"/>
    <w:rsid w:val="00D557EA"/>
    <w:rsid w:val="00D5648F"/>
    <w:rsid w:val="00D5651D"/>
    <w:rsid w:val="00D567A0"/>
    <w:rsid w:val="00D572D0"/>
    <w:rsid w:val="00D5786C"/>
    <w:rsid w:val="00D579A2"/>
    <w:rsid w:val="00D57B21"/>
    <w:rsid w:val="00D57B9A"/>
    <w:rsid w:val="00D60190"/>
    <w:rsid w:val="00D602D3"/>
    <w:rsid w:val="00D604CC"/>
    <w:rsid w:val="00D605A5"/>
    <w:rsid w:val="00D605B2"/>
    <w:rsid w:val="00D606A0"/>
    <w:rsid w:val="00D60A2F"/>
    <w:rsid w:val="00D60DAB"/>
    <w:rsid w:val="00D61087"/>
    <w:rsid w:val="00D6114F"/>
    <w:rsid w:val="00D61A8A"/>
    <w:rsid w:val="00D61F8C"/>
    <w:rsid w:val="00D62152"/>
    <w:rsid w:val="00D62369"/>
    <w:rsid w:val="00D623AA"/>
    <w:rsid w:val="00D62A24"/>
    <w:rsid w:val="00D62E43"/>
    <w:rsid w:val="00D62FA3"/>
    <w:rsid w:val="00D62FAC"/>
    <w:rsid w:val="00D635B0"/>
    <w:rsid w:val="00D637A9"/>
    <w:rsid w:val="00D63BE1"/>
    <w:rsid w:val="00D63C73"/>
    <w:rsid w:val="00D6403E"/>
    <w:rsid w:val="00D6486B"/>
    <w:rsid w:val="00D648A3"/>
    <w:rsid w:val="00D6520D"/>
    <w:rsid w:val="00D65280"/>
    <w:rsid w:val="00D65765"/>
    <w:rsid w:val="00D659F8"/>
    <w:rsid w:val="00D65D96"/>
    <w:rsid w:val="00D65F29"/>
    <w:rsid w:val="00D6616F"/>
    <w:rsid w:val="00D662AA"/>
    <w:rsid w:val="00D6699B"/>
    <w:rsid w:val="00D6708E"/>
    <w:rsid w:val="00D67254"/>
    <w:rsid w:val="00D7009E"/>
    <w:rsid w:val="00D7068C"/>
    <w:rsid w:val="00D7093C"/>
    <w:rsid w:val="00D70C63"/>
    <w:rsid w:val="00D710C5"/>
    <w:rsid w:val="00D71705"/>
    <w:rsid w:val="00D717AF"/>
    <w:rsid w:val="00D7187B"/>
    <w:rsid w:val="00D71888"/>
    <w:rsid w:val="00D71B45"/>
    <w:rsid w:val="00D72258"/>
    <w:rsid w:val="00D722C1"/>
    <w:rsid w:val="00D72437"/>
    <w:rsid w:val="00D726A5"/>
    <w:rsid w:val="00D7278A"/>
    <w:rsid w:val="00D727AC"/>
    <w:rsid w:val="00D72906"/>
    <w:rsid w:val="00D72AC2"/>
    <w:rsid w:val="00D72CAE"/>
    <w:rsid w:val="00D73784"/>
    <w:rsid w:val="00D738E2"/>
    <w:rsid w:val="00D73F28"/>
    <w:rsid w:val="00D74605"/>
    <w:rsid w:val="00D74660"/>
    <w:rsid w:val="00D74797"/>
    <w:rsid w:val="00D74968"/>
    <w:rsid w:val="00D749D2"/>
    <w:rsid w:val="00D74D9B"/>
    <w:rsid w:val="00D74F2E"/>
    <w:rsid w:val="00D750A2"/>
    <w:rsid w:val="00D750B3"/>
    <w:rsid w:val="00D753AC"/>
    <w:rsid w:val="00D75650"/>
    <w:rsid w:val="00D756E6"/>
    <w:rsid w:val="00D756E8"/>
    <w:rsid w:val="00D75B68"/>
    <w:rsid w:val="00D767BF"/>
    <w:rsid w:val="00D76A1D"/>
    <w:rsid w:val="00D76F8C"/>
    <w:rsid w:val="00D76FB3"/>
    <w:rsid w:val="00D779E7"/>
    <w:rsid w:val="00D801EB"/>
    <w:rsid w:val="00D80747"/>
    <w:rsid w:val="00D8099F"/>
    <w:rsid w:val="00D809FF"/>
    <w:rsid w:val="00D80AD2"/>
    <w:rsid w:val="00D80BA5"/>
    <w:rsid w:val="00D80E48"/>
    <w:rsid w:val="00D80EBA"/>
    <w:rsid w:val="00D810F2"/>
    <w:rsid w:val="00D811DC"/>
    <w:rsid w:val="00D81285"/>
    <w:rsid w:val="00D8133C"/>
    <w:rsid w:val="00D818EC"/>
    <w:rsid w:val="00D81B9A"/>
    <w:rsid w:val="00D81F38"/>
    <w:rsid w:val="00D822C6"/>
    <w:rsid w:val="00D8230F"/>
    <w:rsid w:val="00D82522"/>
    <w:rsid w:val="00D82890"/>
    <w:rsid w:val="00D82906"/>
    <w:rsid w:val="00D82D27"/>
    <w:rsid w:val="00D83CCC"/>
    <w:rsid w:val="00D843D6"/>
    <w:rsid w:val="00D85237"/>
    <w:rsid w:val="00D853C2"/>
    <w:rsid w:val="00D85475"/>
    <w:rsid w:val="00D85566"/>
    <w:rsid w:val="00D85583"/>
    <w:rsid w:val="00D85A2F"/>
    <w:rsid w:val="00D85A69"/>
    <w:rsid w:val="00D85FF7"/>
    <w:rsid w:val="00D86605"/>
    <w:rsid w:val="00D87A9E"/>
    <w:rsid w:val="00D87BDC"/>
    <w:rsid w:val="00D87CC9"/>
    <w:rsid w:val="00D87E1A"/>
    <w:rsid w:val="00D90145"/>
    <w:rsid w:val="00D9065E"/>
    <w:rsid w:val="00D9096B"/>
    <w:rsid w:val="00D90B19"/>
    <w:rsid w:val="00D90B9F"/>
    <w:rsid w:val="00D90D1C"/>
    <w:rsid w:val="00D90D5C"/>
    <w:rsid w:val="00D90ED4"/>
    <w:rsid w:val="00D90FF0"/>
    <w:rsid w:val="00D91018"/>
    <w:rsid w:val="00D91838"/>
    <w:rsid w:val="00D91E5A"/>
    <w:rsid w:val="00D92089"/>
    <w:rsid w:val="00D920E8"/>
    <w:rsid w:val="00D9257C"/>
    <w:rsid w:val="00D92722"/>
    <w:rsid w:val="00D92BF2"/>
    <w:rsid w:val="00D93295"/>
    <w:rsid w:val="00D9335B"/>
    <w:rsid w:val="00D9361A"/>
    <w:rsid w:val="00D93B16"/>
    <w:rsid w:val="00D93DAF"/>
    <w:rsid w:val="00D941AE"/>
    <w:rsid w:val="00D94BA4"/>
    <w:rsid w:val="00D94C90"/>
    <w:rsid w:val="00D94E5E"/>
    <w:rsid w:val="00D94F2C"/>
    <w:rsid w:val="00D95381"/>
    <w:rsid w:val="00D954BD"/>
    <w:rsid w:val="00D95FB3"/>
    <w:rsid w:val="00D96138"/>
    <w:rsid w:val="00D965AB"/>
    <w:rsid w:val="00D965BF"/>
    <w:rsid w:val="00D96B07"/>
    <w:rsid w:val="00D96BD2"/>
    <w:rsid w:val="00D96C5E"/>
    <w:rsid w:val="00D96F58"/>
    <w:rsid w:val="00D974EC"/>
    <w:rsid w:val="00D97594"/>
    <w:rsid w:val="00D97956"/>
    <w:rsid w:val="00DA002B"/>
    <w:rsid w:val="00DA0351"/>
    <w:rsid w:val="00DA037D"/>
    <w:rsid w:val="00DA0417"/>
    <w:rsid w:val="00DA059A"/>
    <w:rsid w:val="00DA0676"/>
    <w:rsid w:val="00DA077F"/>
    <w:rsid w:val="00DA08F0"/>
    <w:rsid w:val="00DA0A69"/>
    <w:rsid w:val="00DA0F27"/>
    <w:rsid w:val="00DA156A"/>
    <w:rsid w:val="00DA1A44"/>
    <w:rsid w:val="00DA1DA8"/>
    <w:rsid w:val="00DA22C1"/>
    <w:rsid w:val="00DA24B0"/>
    <w:rsid w:val="00DA2582"/>
    <w:rsid w:val="00DA2694"/>
    <w:rsid w:val="00DA38BB"/>
    <w:rsid w:val="00DA3B84"/>
    <w:rsid w:val="00DA3CF1"/>
    <w:rsid w:val="00DA3E6B"/>
    <w:rsid w:val="00DA3FAB"/>
    <w:rsid w:val="00DA4271"/>
    <w:rsid w:val="00DA4961"/>
    <w:rsid w:val="00DA4B0E"/>
    <w:rsid w:val="00DA50E4"/>
    <w:rsid w:val="00DA5BEB"/>
    <w:rsid w:val="00DA66B1"/>
    <w:rsid w:val="00DA69F8"/>
    <w:rsid w:val="00DA6BFD"/>
    <w:rsid w:val="00DA7261"/>
    <w:rsid w:val="00DA738C"/>
    <w:rsid w:val="00DA7645"/>
    <w:rsid w:val="00DA7696"/>
    <w:rsid w:val="00DA7E15"/>
    <w:rsid w:val="00DA7EE0"/>
    <w:rsid w:val="00DA7FC8"/>
    <w:rsid w:val="00DB02FF"/>
    <w:rsid w:val="00DB03D9"/>
    <w:rsid w:val="00DB0B92"/>
    <w:rsid w:val="00DB0C4D"/>
    <w:rsid w:val="00DB10BD"/>
    <w:rsid w:val="00DB1433"/>
    <w:rsid w:val="00DB1897"/>
    <w:rsid w:val="00DB197C"/>
    <w:rsid w:val="00DB1AAF"/>
    <w:rsid w:val="00DB1F14"/>
    <w:rsid w:val="00DB26B5"/>
    <w:rsid w:val="00DB2ABA"/>
    <w:rsid w:val="00DB2E31"/>
    <w:rsid w:val="00DB31ED"/>
    <w:rsid w:val="00DB35F3"/>
    <w:rsid w:val="00DB399E"/>
    <w:rsid w:val="00DB3AA0"/>
    <w:rsid w:val="00DB3C49"/>
    <w:rsid w:val="00DB41B9"/>
    <w:rsid w:val="00DB42C2"/>
    <w:rsid w:val="00DB42EA"/>
    <w:rsid w:val="00DB434B"/>
    <w:rsid w:val="00DB444B"/>
    <w:rsid w:val="00DB4459"/>
    <w:rsid w:val="00DB4564"/>
    <w:rsid w:val="00DB4628"/>
    <w:rsid w:val="00DB4714"/>
    <w:rsid w:val="00DB4788"/>
    <w:rsid w:val="00DB4D04"/>
    <w:rsid w:val="00DB510A"/>
    <w:rsid w:val="00DB5178"/>
    <w:rsid w:val="00DB5386"/>
    <w:rsid w:val="00DB5ABE"/>
    <w:rsid w:val="00DB5E7F"/>
    <w:rsid w:val="00DB6292"/>
    <w:rsid w:val="00DB632B"/>
    <w:rsid w:val="00DB6586"/>
    <w:rsid w:val="00DB67E7"/>
    <w:rsid w:val="00DB68BB"/>
    <w:rsid w:val="00DB6D2C"/>
    <w:rsid w:val="00DB6F55"/>
    <w:rsid w:val="00DB7289"/>
    <w:rsid w:val="00DB7806"/>
    <w:rsid w:val="00DB7E0D"/>
    <w:rsid w:val="00DB7F10"/>
    <w:rsid w:val="00DC1524"/>
    <w:rsid w:val="00DC1889"/>
    <w:rsid w:val="00DC1CA3"/>
    <w:rsid w:val="00DC2270"/>
    <w:rsid w:val="00DC2A33"/>
    <w:rsid w:val="00DC2DE8"/>
    <w:rsid w:val="00DC305E"/>
    <w:rsid w:val="00DC3214"/>
    <w:rsid w:val="00DC3537"/>
    <w:rsid w:val="00DC3579"/>
    <w:rsid w:val="00DC3A57"/>
    <w:rsid w:val="00DC3E0F"/>
    <w:rsid w:val="00DC41D8"/>
    <w:rsid w:val="00DC42FB"/>
    <w:rsid w:val="00DC43AE"/>
    <w:rsid w:val="00DC466F"/>
    <w:rsid w:val="00DC4841"/>
    <w:rsid w:val="00DC51EE"/>
    <w:rsid w:val="00DC5533"/>
    <w:rsid w:val="00DC5770"/>
    <w:rsid w:val="00DC5801"/>
    <w:rsid w:val="00DC59D7"/>
    <w:rsid w:val="00DC5BC0"/>
    <w:rsid w:val="00DC5CD6"/>
    <w:rsid w:val="00DC6198"/>
    <w:rsid w:val="00DC6861"/>
    <w:rsid w:val="00DC6D48"/>
    <w:rsid w:val="00DC6E13"/>
    <w:rsid w:val="00DC6E1B"/>
    <w:rsid w:val="00DC71FE"/>
    <w:rsid w:val="00DC734F"/>
    <w:rsid w:val="00DC75BB"/>
    <w:rsid w:val="00DC7EBE"/>
    <w:rsid w:val="00DD0B1D"/>
    <w:rsid w:val="00DD0DA2"/>
    <w:rsid w:val="00DD0F3F"/>
    <w:rsid w:val="00DD1011"/>
    <w:rsid w:val="00DD12EF"/>
    <w:rsid w:val="00DD1418"/>
    <w:rsid w:val="00DD157D"/>
    <w:rsid w:val="00DD158F"/>
    <w:rsid w:val="00DD16FB"/>
    <w:rsid w:val="00DD1B57"/>
    <w:rsid w:val="00DD1E9E"/>
    <w:rsid w:val="00DD206A"/>
    <w:rsid w:val="00DD2188"/>
    <w:rsid w:val="00DD232B"/>
    <w:rsid w:val="00DD235A"/>
    <w:rsid w:val="00DD2381"/>
    <w:rsid w:val="00DD28B6"/>
    <w:rsid w:val="00DD28EF"/>
    <w:rsid w:val="00DD2B1D"/>
    <w:rsid w:val="00DD2DB8"/>
    <w:rsid w:val="00DD3821"/>
    <w:rsid w:val="00DD391B"/>
    <w:rsid w:val="00DD43A8"/>
    <w:rsid w:val="00DD45D3"/>
    <w:rsid w:val="00DD47AB"/>
    <w:rsid w:val="00DD487B"/>
    <w:rsid w:val="00DD48F3"/>
    <w:rsid w:val="00DD4A77"/>
    <w:rsid w:val="00DD4E0C"/>
    <w:rsid w:val="00DD5A2A"/>
    <w:rsid w:val="00DD6001"/>
    <w:rsid w:val="00DD662B"/>
    <w:rsid w:val="00DD6C92"/>
    <w:rsid w:val="00DD6F89"/>
    <w:rsid w:val="00DD6F96"/>
    <w:rsid w:val="00DD7991"/>
    <w:rsid w:val="00DD79AE"/>
    <w:rsid w:val="00DD7BD4"/>
    <w:rsid w:val="00DE00CE"/>
    <w:rsid w:val="00DE01AB"/>
    <w:rsid w:val="00DE06E7"/>
    <w:rsid w:val="00DE0B85"/>
    <w:rsid w:val="00DE119F"/>
    <w:rsid w:val="00DE12BD"/>
    <w:rsid w:val="00DE1532"/>
    <w:rsid w:val="00DE179B"/>
    <w:rsid w:val="00DE1AC8"/>
    <w:rsid w:val="00DE2151"/>
    <w:rsid w:val="00DE2323"/>
    <w:rsid w:val="00DE28D5"/>
    <w:rsid w:val="00DE292D"/>
    <w:rsid w:val="00DE2AA3"/>
    <w:rsid w:val="00DE2FA7"/>
    <w:rsid w:val="00DE2FC0"/>
    <w:rsid w:val="00DE30BE"/>
    <w:rsid w:val="00DE30D1"/>
    <w:rsid w:val="00DE3B74"/>
    <w:rsid w:val="00DE401B"/>
    <w:rsid w:val="00DE40F7"/>
    <w:rsid w:val="00DE44B1"/>
    <w:rsid w:val="00DE47DF"/>
    <w:rsid w:val="00DE4D21"/>
    <w:rsid w:val="00DE5887"/>
    <w:rsid w:val="00DE5EA6"/>
    <w:rsid w:val="00DE5F41"/>
    <w:rsid w:val="00DE5FBB"/>
    <w:rsid w:val="00DE61FB"/>
    <w:rsid w:val="00DE6756"/>
    <w:rsid w:val="00DE6B6A"/>
    <w:rsid w:val="00DE6EFC"/>
    <w:rsid w:val="00DE730F"/>
    <w:rsid w:val="00DE731D"/>
    <w:rsid w:val="00DE73FD"/>
    <w:rsid w:val="00DE7A1D"/>
    <w:rsid w:val="00DE7C78"/>
    <w:rsid w:val="00DE7CAB"/>
    <w:rsid w:val="00DF0A8D"/>
    <w:rsid w:val="00DF0CBA"/>
    <w:rsid w:val="00DF0DD5"/>
    <w:rsid w:val="00DF0E97"/>
    <w:rsid w:val="00DF0E9F"/>
    <w:rsid w:val="00DF11F0"/>
    <w:rsid w:val="00DF1956"/>
    <w:rsid w:val="00DF19A5"/>
    <w:rsid w:val="00DF19ED"/>
    <w:rsid w:val="00DF1A5F"/>
    <w:rsid w:val="00DF1AD2"/>
    <w:rsid w:val="00DF1CFC"/>
    <w:rsid w:val="00DF1D62"/>
    <w:rsid w:val="00DF1E43"/>
    <w:rsid w:val="00DF2170"/>
    <w:rsid w:val="00DF27A8"/>
    <w:rsid w:val="00DF284F"/>
    <w:rsid w:val="00DF2912"/>
    <w:rsid w:val="00DF2A8C"/>
    <w:rsid w:val="00DF2D89"/>
    <w:rsid w:val="00DF2FC2"/>
    <w:rsid w:val="00DF3D62"/>
    <w:rsid w:val="00DF432F"/>
    <w:rsid w:val="00DF4786"/>
    <w:rsid w:val="00DF484A"/>
    <w:rsid w:val="00DF50DE"/>
    <w:rsid w:val="00DF572E"/>
    <w:rsid w:val="00DF593E"/>
    <w:rsid w:val="00DF596A"/>
    <w:rsid w:val="00DF5F36"/>
    <w:rsid w:val="00DF6DA6"/>
    <w:rsid w:val="00DF708D"/>
    <w:rsid w:val="00DF741E"/>
    <w:rsid w:val="00DF751C"/>
    <w:rsid w:val="00DF7A7A"/>
    <w:rsid w:val="00DF7EB3"/>
    <w:rsid w:val="00DF7EB8"/>
    <w:rsid w:val="00E0029F"/>
    <w:rsid w:val="00E0031E"/>
    <w:rsid w:val="00E006E6"/>
    <w:rsid w:val="00E00793"/>
    <w:rsid w:val="00E00FD5"/>
    <w:rsid w:val="00E01284"/>
    <w:rsid w:val="00E014E0"/>
    <w:rsid w:val="00E01956"/>
    <w:rsid w:val="00E01A81"/>
    <w:rsid w:val="00E01ED2"/>
    <w:rsid w:val="00E02047"/>
    <w:rsid w:val="00E023E5"/>
    <w:rsid w:val="00E02837"/>
    <w:rsid w:val="00E03175"/>
    <w:rsid w:val="00E04158"/>
    <w:rsid w:val="00E0443C"/>
    <w:rsid w:val="00E0482D"/>
    <w:rsid w:val="00E04B4F"/>
    <w:rsid w:val="00E0536A"/>
    <w:rsid w:val="00E0555F"/>
    <w:rsid w:val="00E05929"/>
    <w:rsid w:val="00E05EAA"/>
    <w:rsid w:val="00E06A69"/>
    <w:rsid w:val="00E06BCE"/>
    <w:rsid w:val="00E06F24"/>
    <w:rsid w:val="00E06FD6"/>
    <w:rsid w:val="00E074C1"/>
    <w:rsid w:val="00E07B79"/>
    <w:rsid w:val="00E07CDC"/>
    <w:rsid w:val="00E1006A"/>
    <w:rsid w:val="00E105B9"/>
    <w:rsid w:val="00E1079E"/>
    <w:rsid w:val="00E10F6A"/>
    <w:rsid w:val="00E112FA"/>
    <w:rsid w:val="00E12CED"/>
    <w:rsid w:val="00E133D1"/>
    <w:rsid w:val="00E13530"/>
    <w:rsid w:val="00E13762"/>
    <w:rsid w:val="00E137D4"/>
    <w:rsid w:val="00E13D2C"/>
    <w:rsid w:val="00E13EE3"/>
    <w:rsid w:val="00E14676"/>
    <w:rsid w:val="00E148CD"/>
    <w:rsid w:val="00E14B98"/>
    <w:rsid w:val="00E14E22"/>
    <w:rsid w:val="00E14F0E"/>
    <w:rsid w:val="00E14FF5"/>
    <w:rsid w:val="00E15260"/>
    <w:rsid w:val="00E15513"/>
    <w:rsid w:val="00E15713"/>
    <w:rsid w:val="00E15A59"/>
    <w:rsid w:val="00E15DC6"/>
    <w:rsid w:val="00E16682"/>
    <w:rsid w:val="00E1678A"/>
    <w:rsid w:val="00E16BCC"/>
    <w:rsid w:val="00E16F33"/>
    <w:rsid w:val="00E1723A"/>
    <w:rsid w:val="00E17549"/>
    <w:rsid w:val="00E1773D"/>
    <w:rsid w:val="00E17ACF"/>
    <w:rsid w:val="00E17BAE"/>
    <w:rsid w:val="00E17C9B"/>
    <w:rsid w:val="00E17E85"/>
    <w:rsid w:val="00E17E99"/>
    <w:rsid w:val="00E2002A"/>
    <w:rsid w:val="00E2055A"/>
    <w:rsid w:val="00E20771"/>
    <w:rsid w:val="00E208FE"/>
    <w:rsid w:val="00E20D6C"/>
    <w:rsid w:val="00E20D7C"/>
    <w:rsid w:val="00E21F2D"/>
    <w:rsid w:val="00E2260E"/>
    <w:rsid w:val="00E22A26"/>
    <w:rsid w:val="00E22B5D"/>
    <w:rsid w:val="00E22DD9"/>
    <w:rsid w:val="00E22EAA"/>
    <w:rsid w:val="00E2307E"/>
    <w:rsid w:val="00E23273"/>
    <w:rsid w:val="00E2336E"/>
    <w:rsid w:val="00E23655"/>
    <w:rsid w:val="00E23AB9"/>
    <w:rsid w:val="00E23AC4"/>
    <w:rsid w:val="00E23ADF"/>
    <w:rsid w:val="00E23D59"/>
    <w:rsid w:val="00E23ED2"/>
    <w:rsid w:val="00E23EEF"/>
    <w:rsid w:val="00E24241"/>
    <w:rsid w:val="00E2427B"/>
    <w:rsid w:val="00E2456D"/>
    <w:rsid w:val="00E247BB"/>
    <w:rsid w:val="00E247D5"/>
    <w:rsid w:val="00E24D8C"/>
    <w:rsid w:val="00E256F7"/>
    <w:rsid w:val="00E25995"/>
    <w:rsid w:val="00E25AB1"/>
    <w:rsid w:val="00E25C46"/>
    <w:rsid w:val="00E25D57"/>
    <w:rsid w:val="00E26257"/>
    <w:rsid w:val="00E264AD"/>
    <w:rsid w:val="00E26A60"/>
    <w:rsid w:val="00E26D47"/>
    <w:rsid w:val="00E26F6A"/>
    <w:rsid w:val="00E26FFC"/>
    <w:rsid w:val="00E27074"/>
    <w:rsid w:val="00E2777E"/>
    <w:rsid w:val="00E278C2"/>
    <w:rsid w:val="00E27C1F"/>
    <w:rsid w:val="00E27E1C"/>
    <w:rsid w:val="00E300F2"/>
    <w:rsid w:val="00E301AB"/>
    <w:rsid w:val="00E30B66"/>
    <w:rsid w:val="00E30BF9"/>
    <w:rsid w:val="00E31966"/>
    <w:rsid w:val="00E31A38"/>
    <w:rsid w:val="00E3203D"/>
    <w:rsid w:val="00E32AE4"/>
    <w:rsid w:val="00E32D6A"/>
    <w:rsid w:val="00E32FD0"/>
    <w:rsid w:val="00E33396"/>
    <w:rsid w:val="00E335C5"/>
    <w:rsid w:val="00E3374B"/>
    <w:rsid w:val="00E33B08"/>
    <w:rsid w:val="00E33D24"/>
    <w:rsid w:val="00E33D9F"/>
    <w:rsid w:val="00E33E8E"/>
    <w:rsid w:val="00E34706"/>
    <w:rsid w:val="00E349B8"/>
    <w:rsid w:val="00E34ED4"/>
    <w:rsid w:val="00E3535B"/>
    <w:rsid w:val="00E35580"/>
    <w:rsid w:val="00E3626F"/>
    <w:rsid w:val="00E36DD5"/>
    <w:rsid w:val="00E36E11"/>
    <w:rsid w:val="00E37219"/>
    <w:rsid w:val="00E3751A"/>
    <w:rsid w:val="00E377A6"/>
    <w:rsid w:val="00E37BF6"/>
    <w:rsid w:val="00E4005E"/>
    <w:rsid w:val="00E408EA"/>
    <w:rsid w:val="00E40A1E"/>
    <w:rsid w:val="00E41A5B"/>
    <w:rsid w:val="00E41CF2"/>
    <w:rsid w:val="00E41D23"/>
    <w:rsid w:val="00E42317"/>
    <w:rsid w:val="00E4297F"/>
    <w:rsid w:val="00E42988"/>
    <w:rsid w:val="00E43041"/>
    <w:rsid w:val="00E438F7"/>
    <w:rsid w:val="00E43AA0"/>
    <w:rsid w:val="00E43BD0"/>
    <w:rsid w:val="00E43C3D"/>
    <w:rsid w:val="00E43E29"/>
    <w:rsid w:val="00E43EE5"/>
    <w:rsid w:val="00E44373"/>
    <w:rsid w:val="00E4454B"/>
    <w:rsid w:val="00E4466B"/>
    <w:rsid w:val="00E44ACD"/>
    <w:rsid w:val="00E44CB9"/>
    <w:rsid w:val="00E452D8"/>
    <w:rsid w:val="00E45343"/>
    <w:rsid w:val="00E453C9"/>
    <w:rsid w:val="00E45B97"/>
    <w:rsid w:val="00E46274"/>
    <w:rsid w:val="00E46852"/>
    <w:rsid w:val="00E46AB1"/>
    <w:rsid w:val="00E46EA0"/>
    <w:rsid w:val="00E47134"/>
    <w:rsid w:val="00E479FF"/>
    <w:rsid w:val="00E47E39"/>
    <w:rsid w:val="00E47FF7"/>
    <w:rsid w:val="00E50043"/>
    <w:rsid w:val="00E50A19"/>
    <w:rsid w:val="00E511DA"/>
    <w:rsid w:val="00E51392"/>
    <w:rsid w:val="00E513F1"/>
    <w:rsid w:val="00E515B1"/>
    <w:rsid w:val="00E51662"/>
    <w:rsid w:val="00E5269A"/>
    <w:rsid w:val="00E529F3"/>
    <w:rsid w:val="00E52B8F"/>
    <w:rsid w:val="00E531D3"/>
    <w:rsid w:val="00E533DD"/>
    <w:rsid w:val="00E535D1"/>
    <w:rsid w:val="00E535E5"/>
    <w:rsid w:val="00E536FC"/>
    <w:rsid w:val="00E53AA6"/>
    <w:rsid w:val="00E53C1A"/>
    <w:rsid w:val="00E53C6C"/>
    <w:rsid w:val="00E53CB2"/>
    <w:rsid w:val="00E53D6A"/>
    <w:rsid w:val="00E53EE8"/>
    <w:rsid w:val="00E545D3"/>
    <w:rsid w:val="00E547E9"/>
    <w:rsid w:val="00E54898"/>
    <w:rsid w:val="00E548F2"/>
    <w:rsid w:val="00E551A4"/>
    <w:rsid w:val="00E55558"/>
    <w:rsid w:val="00E55BB8"/>
    <w:rsid w:val="00E56344"/>
    <w:rsid w:val="00E57196"/>
    <w:rsid w:val="00E57CED"/>
    <w:rsid w:val="00E57D4E"/>
    <w:rsid w:val="00E57DC4"/>
    <w:rsid w:val="00E57E87"/>
    <w:rsid w:val="00E57EAF"/>
    <w:rsid w:val="00E600D9"/>
    <w:rsid w:val="00E60DE1"/>
    <w:rsid w:val="00E61076"/>
    <w:rsid w:val="00E61812"/>
    <w:rsid w:val="00E618D1"/>
    <w:rsid w:val="00E61A15"/>
    <w:rsid w:val="00E61C1E"/>
    <w:rsid w:val="00E62CF0"/>
    <w:rsid w:val="00E62E5D"/>
    <w:rsid w:val="00E63096"/>
    <w:rsid w:val="00E633ED"/>
    <w:rsid w:val="00E637DF"/>
    <w:rsid w:val="00E63F93"/>
    <w:rsid w:val="00E6446D"/>
    <w:rsid w:val="00E64B76"/>
    <w:rsid w:val="00E65073"/>
    <w:rsid w:val="00E650E0"/>
    <w:rsid w:val="00E65AAC"/>
    <w:rsid w:val="00E65E8C"/>
    <w:rsid w:val="00E65F87"/>
    <w:rsid w:val="00E66098"/>
    <w:rsid w:val="00E66800"/>
    <w:rsid w:val="00E66A2B"/>
    <w:rsid w:val="00E66D78"/>
    <w:rsid w:val="00E66DCD"/>
    <w:rsid w:val="00E673C1"/>
    <w:rsid w:val="00E67C5C"/>
    <w:rsid w:val="00E67E55"/>
    <w:rsid w:val="00E70504"/>
    <w:rsid w:val="00E71198"/>
    <w:rsid w:val="00E71D91"/>
    <w:rsid w:val="00E71E4D"/>
    <w:rsid w:val="00E71E4F"/>
    <w:rsid w:val="00E72486"/>
    <w:rsid w:val="00E724EF"/>
    <w:rsid w:val="00E7250A"/>
    <w:rsid w:val="00E7264E"/>
    <w:rsid w:val="00E72651"/>
    <w:rsid w:val="00E728BD"/>
    <w:rsid w:val="00E72FC5"/>
    <w:rsid w:val="00E73275"/>
    <w:rsid w:val="00E7364E"/>
    <w:rsid w:val="00E73957"/>
    <w:rsid w:val="00E73C90"/>
    <w:rsid w:val="00E73D3A"/>
    <w:rsid w:val="00E7412C"/>
    <w:rsid w:val="00E743A1"/>
    <w:rsid w:val="00E74513"/>
    <w:rsid w:val="00E74688"/>
    <w:rsid w:val="00E7491F"/>
    <w:rsid w:val="00E74BC5"/>
    <w:rsid w:val="00E74F05"/>
    <w:rsid w:val="00E7518B"/>
    <w:rsid w:val="00E755A5"/>
    <w:rsid w:val="00E757B9"/>
    <w:rsid w:val="00E7593F"/>
    <w:rsid w:val="00E76497"/>
    <w:rsid w:val="00E76AC9"/>
    <w:rsid w:val="00E76C33"/>
    <w:rsid w:val="00E77B50"/>
    <w:rsid w:val="00E8011B"/>
    <w:rsid w:val="00E801FE"/>
    <w:rsid w:val="00E80768"/>
    <w:rsid w:val="00E80C67"/>
    <w:rsid w:val="00E80E1E"/>
    <w:rsid w:val="00E81225"/>
    <w:rsid w:val="00E81C6E"/>
    <w:rsid w:val="00E82135"/>
    <w:rsid w:val="00E82862"/>
    <w:rsid w:val="00E82A26"/>
    <w:rsid w:val="00E82CA0"/>
    <w:rsid w:val="00E82E17"/>
    <w:rsid w:val="00E82E8A"/>
    <w:rsid w:val="00E84324"/>
    <w:rsid w:val="00E84787"/>
    <w:rsid w:val="00E84AD4"/>
    <w:rsid w:val="00E84B58"/>
    <w:rsid w:val="00E84D20"/>
    <w:rsid w:val="00E84FEB"/>
    <w:rsid w:val="00E8534F"/>
    <w:rsid w:val="00E854EA"/>
    <w:rsid w:val="00E85EC9"/>
    <w:rsid w:val="00E85EF1"/>
    <w:rsid w:val="00E860EE"/>
    <w:rsid w:val="00E86456"/>
    <w:rsid w:val="00E86BAE"/>
    <w:rsid w:val="00E86DB6"/>
    <w:rsid w:val="00E876A3"/>
    <w:rsid w:val="00E8787B"/>
    <w:rsid w:val="00E87894"/>
    <w:rsid w:val="00E87DC5"/>
    <w:rsid w:val="00E903A5"/>
    <w:rsid w:val="00E90400"/>
    <w:rsid w:val="00E90A19"/>
    <w:rsid w:val="00E90B40"/>
    <w:rsid w:val="00E912AA"/>
    <w:rsid w:val="00E91460"/>
    <w:rsid w:val="00E915F1"/>
    <w:rsid w:val="00E916A7"/>
    <w:rsid w:val="00E9182A"/>
    <w:rsid w:val="00E918FB"/>
    <w:rsid w:val="00E91BC3"/>
    <w:rsid w:val="00E91C42"/>
    <w:rsid w:val="00E91E62"/>
    <w:rsid w:val="00E920D5"/>
    <w:rsid w:val="00E92341"/>
    <w:rsid w:val="00E92BD2"/>
    <w:rsid w:val="00E933B3"/>
    <w:rsid w:val="00E93635"/>
    <w:rsid w:val="00E93E2E"/>
    <w:rsid w:val="00E94225"/>
    <w:rsid w:val="00E943A6"/>
    <w:rsid w:val="00E9456F"/>
    <w:rsid w:val="00E94F06"/>
    <w:rsid w:val="00E9515A"/>
    <w:rsid w:val="00E95243"/>
    <w:rsid w:val="00E956CB"/>
    <w:rsid w:val="00E958AD"/>
    <w:rsid w:val="00E95A58"/>
    <w:rsid w:val="00E95CE8"/>
    <w:rsid w:val="00E960B8"/>
    <w:rsid w:val="00E96745"/>
    <w:rsid w:val="00E96AEE"/>
    <w:rsid w:val="00E96D1C"/>
    <w:rsid w:val="00E97375"/>
    <w:rsid w:val="00E977CB"/>
    <w:rsid w:val="00E977CE"/>
    <w:rsid w:val="00E97836"/>
    <w:rsid w:val="00E97990"/>
    <w:rsid w:val="00E97BB1"/>
    <w:rsid w:val="00E97D2F"/>
    <w:rsid w:val="00E97EA7"/>
    <w:rsid w:val="00E97FB1"/>
    <w:rsid w:val="00EA0408"/>
    <w:rsid w:val="00EA044D"/>
    <w:rsid w:val="00EA0ADD"/>
    <w:rsid w:val="00EA0E67"/>
    <w:rsid w:val="00EA1514"/>
    <w:rsid w:val="00EA16E1"/>
    <w:rsid w:val="00EA170C"/>
    <w:rsid w:val="00EA174F"/>
    <w:rsid w:val="00EA1767"/>
    <w:rsid w:val="00EA1F8E"/>
    <w:rsid w:val="00EA209C"/>
    <w:rsid w:val="00EA21F6"/>
    <w:rsid w:val="00EA2360"/>
    <w:rsid w:val="00EA272B"/>
    <w:rsid w:val="00EA2772"/>
    <w:rsid w:val="00EA27C6"/>
    <w:rsid w:val="00EA2DAE"/>
    <w:rsid w:val="00EA2F5D"/>
    <w:rsid w:val="00EA301E"/>
    <w:rsid w:val="00EA34AC"/>
    <w:rsid w:val="00EA3BA1"/>
    <w:rsid w:val="00EA3D5F"/>
    <w:rsid w:val="00EA4013"/>
    <w:rsid w:val="00EA41B9"/>
    <w:rsid w:val="00EA449C"/>
    <w:rsid w:val="00EA4F1E"/>
    <w:rsid w:val="00EA4F7D"/>
    <w:rsid w:val="00EA55A2"/>
    <w:rsid w:val="00EA5F9C"/>
    <w:rsid w:val="00EA633B"/>
    <w:rsid w:val="00EA659C"/>
    <w:rsid w:val="00EA6CA0"/>
    <w:rsid w:val="00EA7206"/>
    <w:rsid w:val="00EA78E0"/>
    <w:rsid w:val="00EB08A1"/>
    <w:rsid w:val="00EB0A68"/>
    <w:rsid w:val="00EB0E44"/>
    <w:rsid w:val="00EB0E6A"/>
    <w:rsid w:val="00EB0FE6"/>
    <w:rsid w:val="00EB1456"/>
    <w:rsid w:val="00EB16EB"/>
    <w:rsid w:val="00EB182C"/>
    <w:rsid w:val="00EB19D9"/>
    <w:rsid w:val="00EB1A00"/>
    <w:rsid w:val="00EB1FE4"/>
    <w:rsid w:val="00EB2287"/>
    <w:rsid w:val="00EB269D"/>
    <w:rsid w:val="00EB2E2E"/>
    <w:rsid w:val="00EB30E8"/>
    <w:rsid w:val="00EB344E"/>
    <w:rsid w:val="00EB397E"/>
    <w:rsid w:val="00EB3DFB"/>
    <w:rsid w:val="00EB400A"/>
    <w:rsid w:val="00EB42B4"/>
    <w:rsid w:val="00EB45D7"/>
    <w:rsid w:val="00EB47B3"/>
    <w:rsid w:val="00EB4926"/>
    <w:rsid w:val="00EB4B58"/>
    <w:rsid w:val="00EB4E5F"/>
    <w:rsid w:val="00EB5197"/>
    <w:rsid w:val="00EB51AD"/>
    <w:rsid w:val="00EB5629"/>
    <w:rsid w:val="00EB5734"/>
    <w:rsid w:val="00EB61A4"/>
    <w:rsid w:val="00EB6C13"/>
    <w:rsid w:val="00EB7133"/>
    <w:rsid w:val="00EB75E2"/>
    <w:rsid w:val="00EB75EB"/>
    <w:rsid w:val="00EB7605"/>
    <w:rsid w:val="00EB76CB"/>
    <w:rsid w:val="00EB77A0"/>
    <w:rsid w:val="00EB7D10"/>
    <w:rsid w:val="00EB7DDD"/>
    <w:rsid w:val="00EC01EA"/>
    <w:rsid w:val="00EC0655"/>
    <w:rsid w:val="00EC089D"/>
    <w:rsid w:val="00EC0DD3"/>
    <w:rsid w:val="00EC101A"/>
    <w:rsid w:val="00EC1394"/>
    <w:rsid w:val="00EC1E5C"/>
    <w:rsid w:val="00EC20D7"/>
    <w:rsid w:val="00EC226A"/>
    <w:rsid w:val="00EC229B"/>
    <w:rsid w:val="00EC25B6"/>
    <w:rsid w:val="00EC28DD"/>
    <w:rsid w:val="00EC2B80"/>
    <w:rsid w:val="00EC2ED0"/>
    <w:rsid w:val="00EC2EE6"/>
    <w:rsid w:val="00EC2F7B"/>
    <w:rsid w:val="00EC3012"/>
    <w:rsid w:val="00EC3713"/>
    <w:rsid w:val="00EC3780"/>
    <w:rsid w:val="00EC37A0"/>
    <w:rsid w:val="00EC3926"/>
    <w:rsid w:val="00EC3FA5"/>
    <w:rsid w:val="00EC4011"/>
    <w:rsid w:val="00EC44B6"/>
    <w:rsid w:val="00EC464E"/>
    <w:rsid w:val="00EC48E2"/>
    <w:rsid w:val="00EC5009"/>
    <w:rsid w:val="00EC552D"/>
    <w:rsid w:val="00EC5B93"/>
    <w:rsid w:val="00EC64A1"/>
    <w:rsid w:val="00EC6506"/>
    <w:rsid w:val="00EC6899"/>
    <w:rsid w:val="00EC69DD"/>
    <w:rsid w:val="00EC6B90"/>
    <w:rsid w:val="00EC6FCF"/>
    <w:rsid w:val="00EC7100"/>
    <w:rsid w:val="00EC774B"/>
    <w:rsid w:val="00EC78CC"/>
    <w:rsid w:val="00ED013B"/>
    <w:rsid w:val="00ED0E0A"/>
    <w:rsid w:val="00ED1009"/>
    <w:rsid w:val="00ED13EB"/>
    <w:rsid w:val="00ED1462"/>
    <w:rsid w:val="00ED14A1"/>
    <w:rsid w:val="00ED14BA"/>
    <w:rsid w:val="00ED14D7"/>
    <w:rsid w:val="00ED17FA"/>
    <w:rsid w:val="00ED1856"/>
    <w:rsid w:val="00ED18DB"/>
    <w:rsid w:val="00ED231F"/>
    <w:rsid w:val="00ED24B6"/>
    <w:rsid w:val="00ED25D2"/>
    <w:rsid w:val="00ED281D"/>
    <w:rsid w:val="00ED33F4"/>
    <w:rsid w:val="00ED35A5"/>
    <w:rsid w:val="00ED35C0"/>
    <w:rsid w:val="00ED3F0E"/>
    <w:rsid w:val="00ED3F38"/>
    <w:rsid w:val="00ED4124"/>
    <w:rsid w:val="00ED4269"/>
    <w:rsid w:val="00ED462A"/>
    <w:rsid w:val="00ED49DF"/>
    <w:rsid w:val="00ED5030"/>
    <w:rsid w:val="00ED5424"/>
    <w:rsid w:val="00ED547D"/>
    <w:rsid w:val="00ED596C"/>
    <w:rsid w:val="00ED5ACF"/>
    <w:rsid w:val="00ED612B"/>
    <w:rsid w:val="00ED642C"/>
    <w:rsid w:val="00ED7ADE"/>
    <w:rsid w:val="00ED7CA2"/>
    <w:rsid w:val="00EE0174"/>
    <w:rsid w:val="00EE01D1"/>
    <w:rsid w:val="00EE0205"/>
    <w:rsid w:val="00EE083C"/>
    <w:rsid w:val="00EE0D46"/>
    <w:rsid w:val="00EE0D6A"/>
    <w:rsid w:val="00EE12E9"/>
    <w:rsid w:val="00EE13A7"/>
    <w:rsid w:val="00EE1516"/>
    <w:rsid w:val="00EE2B55"/>
    <w:rsid w:val="00EE2D57"/>
    <w:rsid w:val="00EE3341"/>
    <w:rsid w:val="00EE3404"/>
    <w:rsid w:val="00EE3445"/>
    <w:rsid w:val="00EE365A"/>
    <w:rsid w:val="00EE426E"/>
    <w:rsid w:val="00EE4436"/>
    <w:rsid w:val="00EE4BBE"/>
    <w:rsid w:val="00EE5266"/>
    <w:rsid w:val="00EE546C"/>
    <w:rsid w:val="00EE563D"/>
    <w:rsid w:val="00EE58CA"/>
    <w:rsid w:val="00EE5CF8"/>
    <w:rsid w:val="00EE5D84"/>
    <w:rsid w:val="00EE5DFC"/>
    <w:rsid w:val="00EE60E7"/>
    <w:rsid w:val="00EE60F1"/>
    <w:rsid w:val="00EE633D"/>
    <w:rsid w:val="00EE6940"/>
    <w:rsid w:val="00EE6A20"/>
    <w:rsid w:val="00EE7503"/>
    <w:rsid w:val="00EE7636"/>
    <w:rsid w:val="00EE76AA"/>
    <w:rsid w:val="00EE7F14"/>
    <w:rsid w:val="00EF00A8"/>
    <w:rsid w:val="00EF02E6"/>
    <w:rsid w:val="00EF045D"/>
    <w:rsid w:val="00EF0718"/>
    <w:rsid w:val="00EF0908"/>
    <w:rsid w:val="00EF0983"/>
    <w:rsid w:val="00EF0C8C"/>
    <w:rsid w:val="00EF0E21"/>
    <w:rsid w:val="00EF0FE9"/>
    <w:rsid w:val="00EF12C8"/>
    <w:rsid w:val="00EF138D"/>
    <w:rsid w:val="00EF1821"/>
    <w:rsid w:val="00EF1943"/>
    <w:rsid w:val="00EF1ABA"/>
    <w:rsid w:val="00EF1D2F"/>
    <w:rsid w:val="00EF1ED9"/>
    <w:rsid w:val="00EF20C3"/>
    <w:rsid w:val="00EF231B"/>
    <w:rsid w:val="00EF2449"/>
    <w:rsid w:val="00EF2467"/>
    <w:rsid w:val="00EF256C"/>
    <w:rsid w:val="00EF2F48"/>
    <w:rsid w:val="00EF2F8B"/>
    <w:rsid w:val="00EF3393"/>
    <w:rsid w:val="00EF3C53"/>
    <w:rsid w:val="00EF3C6A"/>
    <w:rsid w:val="00EF3F1A"/>
    <w:rsid w:val="00EF463E"/>
    <w:rsid w:val="00EF47EF"/>
    <w:rsid w:val="00EF541D"/>
    <w:rsid w:val="00EF571F"/>
    <w:rsid w:val="00EF579C"/>
    <w:rsid w:val="00EF57BB"/>
    <w:rsid w:val="00EF585C"/>
    <w:rsid w:val="00EF5B95"/>
    <w:rsid w:val="00EF60B7"/>
    <w:rsid w:val="00EF613D"/>
    <w:rsid w:val="00EF63BF"/>
    <w:rsid w:val="00EF6AA3"/>
    <w:rsid w:val="00EF7569"/>
    <w:rsid w:val="00EF77B3"/>
    <w:rsid w:val="00EF7A7D"/>
    <w:rsid w:val="00F003AA"/>
    <w:rsid w:val="00F00465"/>
    <w:rsid w:val="00F0077B"/>
    <w:rsid w:val="00F00922"/>
    <w:rsid w:val="00F00A21"/>
    <w:rsid w:val="00F00A42"/>
    <w:rsid w:val="00F00B40"/>
    <w:rsid w:val="00F00EAC"/>
    <w:rsid w:val="00F0102C"/>
    <w:rsid w:val="00F0106B"/>
    <w:rsid w:val="00F0134D"/>
    <w:rsid w:val="00F0137B"/>
    <w:rsid w:val="00F0139C"/>
    <w:rsid w:val="00F0175F"/>
    <w:rsid w:val="00F01950"/>
    <w:rsid w:val="00F01E38"/>
    <w:rsid w:val="00F020E1"/>
    <w:rsid w:val="00F02164"/>
    <w:rsid w:val="00F0221D"/>
    <w:rsid w:val="00F025AE"/>
    <w:rsid w:val="00F02DE5"/>
    <w:rsid w:val="00F03012"/>
    <w:rsid w:val="00F03105"/>
    <w:rsid w:val="00F0324F"/>
    <w:rsid w:val="00F0347F"/>
    <w:rsid w:val="00F03846"/>
    <w:rsid w:val="00F03AA2"/>
    <w:rsid w:val="00F03D4D"/>
    <w:rsid w:val="00F04084"/>
    <w:rsid w:val="00F043F9"/>
    <w:rsid w:val="00F04CF2"/>
    <w:rsid w:val="00F04E02"/>
    <w:rsid w:val="00F0526C"/>
    <w:rsid w:val="00F05558"/>
    <w:rsid w:val="00F0595E"/>
    <w:rsid w:val="00F05A7B"/>
    <w:rsid w:val="00F06293"/>
    <w:rsid w:val="00F06454"/>
    <w:rsid w:val="00F0690A"/>
    <w:rsid w:val="00F06A72"/>
    <w:rsid w:val="00F06AA4"/>
    <w:rsid w:val="00F06CB2"/>
    <w:rsid w:val="00F06CE3"/>
    <w:rsid w:val="00F06E72"/>
    <w:rsid w:val="00F072E8"/>
    <w:rsid w:val="00F07C8A"/>
    <w:rsid w:val="00F07D8B"/>
    <w:rsid w:val="00F07FA5"/>
    <w:rsid w:val="00F104D0"/>
    <w:rsid w:val="00F10840"/>
    <w:rsid w:val="00F10F23"/>
    <w:rsid w:val="00F11175"/>
    <w:rsid w:val="00F11318"/>
    <w:rsid w:val="00F116E1"/>
    <w:rsid w:val="00F11E4F"/>
    <w:rsid w:val="00F11F00"/>
    <w:rsid w:val="00F120AC"/>
    <w:rsid w:val="00F126F2"/>
    <w:rsid w:val="00F1272B"/>
    <w:rsid w:val="00F13033"/>
    <w:rsid w:val="00F13232"/>
    <w:rsid w:val="00F132E7"/>
    <w:rsid w:val="00F13A85"/>
    <w:rsid w:val="00F13C6A"/>
    <w:rsid w:val="00F13C93"/>
    <w:rsid w:val="00F14182"/>
    <w:rsid w:val="00F14212"/>
    <w:rsid w:val="00F1446C"/>
    <w:rsid w:val="00F14895"/>
    <w:rsid w:val="00F148F1"/>
    <w:rsid w:val="00F14A1F"/>
    <w:rsid w:val="00F14BE6"/>
    <w:rsid w:val="00F14C11"/>
    <w:rsid w:val="00F14D95"/>
    <w:rsid w:val="00F15940"/>
    <w:rsid w:val="00F15A01"/>
    <w:rsid w:val="00F15D2C"/>
    <w:rsid w:val="00F15DA1"/>
    <w:rsid w:val="00F161D9"/>
    <w:rsid w:val="00F16582"/>
    <w:rsid w:val="00F169AE"/>
    <w:rsid w:val="00F169B8"/>
    <w:rsid w:val="00F16B9D"/>
    <w:rsid w:val="00F16CE1"/>
    <w:rsid w:val="00F17125"/>
    <w:rsid w:val="00F171DD"/>
    <w:rsid w:val="00F1727E"/>
    <w:rsid w:val="00F179EF"/>
    <w:rsid w:val="00F17E02"/>
    <w:rsid w:val="00F17E22"/>
    <w:rsid w:val="00F20017"/>
    <w:rsid w:val="00F20429"/>
    <w:rsid w:val="00F20444"/>
    <w:rsid w:val="00F20776"/>
    <w:rsid w:val="00F20B54"/>
    <w:rsid w:val="00F21051"/>
    <w:rsid w:val="00F2106E"/>
    <w:rsid w:val="00F21514"/>
    <w:rsid w:val="00F21AE7"/>
    <w:rsid w:val="00F21B8E"/>
    <w:rsid w:val="00F21CAF"/>
    <w:rsid w:val="00F21FFD"/>
    <w:rsid w:val="00F22155"/>
    <w:rsid w:val="00F223BD"/>
    <w:rsid w:val="00F223EA"/>
    <w:rsid w:val="00F22EE2"/>
    <w:rsid w:val="00F232DA"/>
    <w:rsid w:val="00F2330B"/>
    <w:rsid w:val="00F23587"/>
    <w:rsid w:val="00F23723"/>
    <w:rsid w:val="00F23BAD"/>
    <w:rsid w:val="00F2401F"/>
    <w:rsid w:val="00F2432F"/>
    <w:rsid w:val="00F24455"/>
    <w:rsid w:val="00F24481"/>
    <w:rsid w:val="00F24874"/>
    <w:rsid w:val="00F2495B"/>
    <w:rsid w:val="00F24980"/>
    <w:rsid w:val="00F249BD"/>
    <w:rsid w:val="00F24B20"/>
    <w:rsid w:val="00F24EF6"/>
    <w:rsid w:val="00F25C36"/>
    <w:rsid w:val="00F26145"/>
    <w:rsid w:val="00F26345"/>
    <w:rsid w:val="00F2634C"/>
    <w:rsid w:val="00F268AC"/>
    <w:rsid w:val="00F26D6D"/>
    <w:rsid w:val="00F27307"/>
    <w:rsid w:val="00F274E6"/>
    <w:rsid w:val="00F27A25"/>
    <w:rsid w:val="00F27BC4"/>
    <w:rsid w:val="00F27C95"/>
    <w:rsid w:val="00F3031B"/>
    <w:rsid w:val="00F30616"/>
    <w:rsid w:val="00F30910"/>
    <w:rsid w:val="00F30FED"/>
    <w:rsid w:val="00F31092"/>
    <w:rsid w:val="00F31673"/>
    <w:rsid w:val="00F3172C"/>
    <w:rsid w:val="00F319F9"/>
    <w:rsid w:val="00F31D7F"/>
    <w:rsid w:val="00F325D0"/>
    <w:rsid w:val="00F32AF9"/>
    <w:rsid w:val="00F32C09"/>
    <w:rsid w:val="00F33992"/>
    <w:rsid w:val="00F33B96"/>
    <w:rsid w:val="00F33BF2"/>
    <w:rsid w:val="00F33C71"/>
    <w:rsid w:val="00F346B1"/>
    <w:rsid w:val="00F3484E"/>
    <w:rsid w:val="00F34E84"/>
    <w:rsid w:val="00F34FB3"/>
    <w:rsid w:val="00F3591A"/>
    <w:rsid w:val="00F36323"/>
    <w:rsid w:val="00F368D8"/>
    <w:rsid w:val="00F36D3F"/>
    <w:rsid w:val="00F36D5D"/>
    <w:rsid w:val="00F36EA7"/>
    <w:rsid w:val="00F36F16"/>
    <w:rsid w:val="00F37507"/>
    <w:rsid w:val="00F37B1C"/>
    <w:rsid w:val="00F37D46"/>
    <w:rsid w:val="00F40042"/>
    <w:rsid w:val="00F402F3"/>
    <w:rsid w:val="00F4076B"/>
    <w:rsid w:val="00F40CC3"/>
    <w:rsid w:val="00F41179"/>
    <w:rsid w:val="00F41313"/>
    <w:rsid w:val="00F415F2"/>
    <w:rsid w:val="00F41A3C"/>
    <w:rsid w:val="00F42037"/>
    <w:rsid w:val="00F42246"/>
    <w:rsid w:val="00F423F6"/>
    <w:rsid w:val="00F42415"/>
    <w:rsid w:val="00F424D3"/>
    <w:rsid w:val="00F4284C"/>
    <w:rsid w:val="00F42A93"/>
    <w:rsid w:val="00F42FA8"/>
    <w:rsid w:val="00F432E2"/>
    <w:rsid w:val="00F435C6"/>
    <w:rsid w:val="00F43886"/>
    <w:rsid w:val="00F43E81"/>
    <w:rsid w:val="00F43FC2"/>
    <w:rsid w:val="00F443B0"/>
    <w:rsid w:val="00F444E7"/>
    <w:rsid w:val="00F447EA"/>
    <w:rsid w:val="00F44943"/>
    <w:rsid w:val="00F45159"/>
    <w:rsid w:val="00F453DF"/>
    <w:rsid w:val="00F45FDF"/>
    <w:rsid w:val="00F45FF9"/>
    <w:rsid w:val="00F4661B"/>
    <w:rsid w:val="00F46EEA"/>
    <w:rsid w:val="00F4737E"/>
    <w:rsid w:val="00F476A7"/>
    <w:rsid w:val="00F4784B"/>
    <w:rsid w:val="00F47D5F"/>
    <w:rsid w:val="00F47E5F"/>
    <w:rsid w:val="00F505C6"/>
    <w:rsid w:val="00F50623"/>
    <w:rsid w:val="00F511EE"/>
    <w:rsid w:val="00F51799"/>
    <w:rsid w:val="00F51D28"/>
    <w:rsid w:val="00F51E4D"/>
    <w:rsid w:val="00F52622"/>
    <w:rsid w:val="00F533F9"/>
    <w:rsid w:val="00F539AC"/>
    <w:rsid w:val="00F53D94"/>
    <w:rsid w:val="00F53E56"/>
    <w:rsid w:val="00F54014"/>
    <w:rsid w:val="00F5420D"/>
    <w:rsid w:val="00F54768"/>
    <w:rsid w:val="00F54ADC"/>
    <w:rsid w:val="00F553E8"/>
    <w:rsid w:val="00F55AA3"/>
    <w:rsid w:val="00F55DB2"/>
    <w:rsid w:val="00F55DFC"/>
    <w:rsid w:val="00F56C88"/>
    <w:rsid w:val="00F57BDA"/>
    <w:rsid w:val="00F57F43"/>
    <w:rsid w:val="00F60058"/>
    <w:rsid w:val="00F6066A"/>
    <w:rsid w:val="00F60688"/>
    <w:rsid w:val="00F60761"/>
    <w:rsid w:val="00F60D88"/>
    <w:rsid w:val="00F60DC0"/>
    <w:rsid w:val="00F61248"/>
    <w:rsid w:val="00F61281"/>
    <w:rsid w:val="00F613C3"/>
    <w:rsid w:val="00F617B5"/>
    <w:rsid w:val="00F61D87"/>
    <w:rsid w:val="00F62104"/>
    <w:rsid w:val="00F624BD"/>
    <w:rsid w:val="00F62635"/>
    <w:rsid w:val="00F626F5"/>
    <w:rsid w:val="00F62870"/>
    <w:rsid w:val="00F629DE"/>
    <w:rsid w:val="00F638B4"/>
    <w:rsid w:val="00F6394E"/>
    <w:rsid w:val="00F643C2"/>
    <w:rsid w:val="00F64A0B"/>
    <w:rsid w:val="00F64CAE"/>
    <w:rsid w:val="00F65001"/>
    <w:rsid w:val="00F6557B"/>
    <w:rsid w:val="00F658DA"/>
    <w:rsid w:val="00F65A0A"/>
    <w:rsid w:val="00F666B5"/>
    <w:rsid w:val="00F66F76"/>
    <w:rsid w:val="00F67275"/>
    <w:rsid w:val="00F6758A"/>
    <w:rsid w:val="00F67EF9"/>
    <w:rsid w:val="00F70011"/>
    <w:rsid w:val="00F704DC"/>
    <w:rsid w:val="00F713E2"/>
    <w:rsid w:val="00F7187B"/>
    <w:rsid w:val="00F718A4"/>
    <w:rsid w:val="00F71F54"/>
    <w:rsid w:val="00F723D7"/>
    <w:rsid w:val="00F72630"/>
    <w:rsid w:val="00F72698"/>
    <w:rsid w:val="00F728AA"/>
    <w:rsid w:val="00F728E5"/>
    <w:rsid w:val="00F72AD3"/>
    <w:rsid w:val="00F72C8A"/>
    <w:rsid w:val="00F72CA8"/>
    <w:rsid w:val="00F72D90"/>
    <w:rsid w:val="00F74073"/>
    <w:rsid w:val="00F741FA"/>
    <w:rsid w:val="00F7430B"/>
    <w:rsid w:val="00F74429"/>
    <w:rsid w:val="00F745D9"/>
    <w:rsid w:val="00F75050"/>
    <w:rsid w:val="00F7523E"/>
    <w:rsid w:val="00F759D7"/>
    <w:rsid w:val="00F7609A"/>
    <w:rsid w:val="00F76152"/>
    <w:rsid w:val="00F761AD"/>
    <w:rsid w:val="00F762F2"/>
    <w:rsid w:val="00F76924"/>
    <w:rsid w:val="00F76C8F"/>
    <w:rsid w:val="00F76FD6"/>
    <w:rsid w:val="00F77293"/>
    <w:rsid w:val="00F775EE"/>
    <w:rsid w:val="00F77C33"/>
    <w:rsid w:val="00F77D71"/>
    <w:rsid w:val="00F77F22"/>
    <w:rsid w:val="00F807C4"/>
    <w:rsid w:val="00F808F0"/>
    <w:rsid w:val="00F80927"/>
    <w:rsid w:val="00F80D74"/>
    <w:rsid w:val="00F81049"/>
    <w:rsid w:val="00F819E1"/>
    <w:rsid w:val="00F822A0"/>
    <w:rsid w:val="00F82B44"/>
    <w:rsid w:val="00F82B8B"/>
    <w:rsid w:val="00F834AE"/>
    <w:rsid w:val="00F83A8B"/>
    <w:rsid w:val="00F83B2E"/>
    <w:rsid w:val="00F84099"/>
    <w:rsid w:val="00F8412E"/>
    <w:rsid w:val="00F843F7"/>
    <w:rsid w:val="00F8476D"/>
    <w:rsid w:val="00F84932"/>
    <w:rsid w:val="00F84A59"/>
    <w:rsid w:val="00F84CCD"/>
    <w:rsid w:val="00F85501"/>
    <w:rsid w:val="00F856B7"/>
    <w:rsid w:val="00F856DE"/>
    <w:rsid w:val="00F85851"/>
    <w:rsid w:val="00F861D2"/>
    <w:rsid w:val="00F86769"/>
    <w:rsid w:val="00F8676D"/>
    <w:rsid w:val="00F86C16"/>
    <w:rsid w:val="00F86FBD"/>
    <w:rsid w:val="00F87272"/>
    <w:rsid w:val="00F874DD"/>
    <w:rsid w:val="00F8798B"/>
    <w:rsid w:val="00F87F91"/>
    <w:rsid w:val="00F9034D"/>
    <w:rsid w:val="00F90624"/>
    <w:rsid w:val="00F907AF"/>
    <w:rsid w:val="00F90E09"/>
    <w:rsid w:val="00F90E58"/>
    <w:rsid w:val="00F91633"/>
    <w:rsid w:val="00F91944"/>
    <w:rsid w:val="00F91CBC"/>
    <w:rsid w:val="00F91CEE"/>
    <w:rsid w:val="00F91E36"/>
    <w:rsid w:val="00F9216B"/>
    <w:rsid w:val="00F922ED"/>
    <w:rsid w:val="00F9338F"/>
    <w:rsid w:val="00F93A0A"/>
    <w:rsid w:val="00F93FB2"/>
    <w:rsid w:val="00F94296"/>
    <w:rsid w:val="00F945C1"/>
    <w:rsid w:val="00F94A71"/>
    <w:rsid w:val="00F94CCA"/>
    <w:rsid w:val="00F95156"/>
    <w:rsid w:val="00F9535C"/>
    <w:rsid w:val="00F95426"/>
    <w:rsid w:val="00F95499"/>
    <w:rsid w:val="00F95780"/>
    <w:rsid w:val="00F95968"/>
    <w:rsid w:val="00F95D44"/>
    <w:rsid w:val="00F95EFB"/>
    <w:rsid w:val="00F9624E"/>
    <w:rsid w:val="00F965FE"/>
    <w:rsid w:val="00F9660E"/>
    <w:rsid w:val="00F9687F"/>
    <w:rsid w:val="00F96923"/>
    <w:rsid w:val="00F96BCC"/>
    <w:rsid w:val="00F96D5D"/>
    <w:rsid w:val="00F96E26"/>
    <w:rsid w:val="00F970DB"/>
    <w:rsid w:val="00F975AA"/>
    <w:rsid w:val="00F9766C"/>
    <w:rsid w:val="00F97774"/>
    <w:rsid w:val="00FA008C"/>
    <w:rsid w:val="00FA01C6"/>
    <w:rsid w:val="00FA0431"/>
    <w:rsid w:val="00FA04B0"/>
    <w:rsid w:val="00FA0577"/>
    <w:rsid w:val="00FA086C"/>
    <w:rsid w:val="00FA0870"/>
    <w:rsid w:val="00FA0DAF"/>
    <w:rsid w:val="00FA0FFB"/>
    <w:rsid w:val="00FA1292"/>
    <w:rsid w:val="00FA1441"/>
    <w:rsid w:val="00FA1596"/>
    <w:rsid w:val="00FA1D00"/>
    <w:rsid w:val="00FA1FD7"/>
    <w:rsid w:val="00FA203F"/>
    <w:rsid w:val="00FA25F4"/>
    <w:rsid w:val="00FA2775"/>
    <w:rsid w:val="00FA2D6E"/>
    <w:rsid w:val="00FA2D95"/>
    <w:rsid w:val="00FA38A1"/>
    <w:rsid w:val="00FA3C01"/>
    <w:rsid w:val="00FA3F41"/>
    <w:rsid w:val="00FA4181"/>
    <w:rsid w:val="00FA4427"/>
    <w:rsid w:val="00FA4A3B"/>
    <w:rsid w:val="00FA4FDA"/>
    <w:rsid w:val="00FA589D"/>
    <w:rsid w:val="00FA5A4A"/>
    <w:rsid w:val="00FA62C1"/>
    <w:rsid w:val="00FA63DE"/>
    <w:rsid w:val="00FA6B17"/>
    <w:rsid w:val="00FA6F91"/>
    <w:rsid w:val="00FA71CD"/>
    <w:rsid w:val="00FA7860"/>
    <w:rsid w:val="00FA7BEF"/>
    <w:rsid w:val="00FB0060"/>
    <w:rsid w:val="00FB012F"/>
    <w:rsid w:val="00FB040E"/>
    <w:rsid w:val="00FB044E"/>
    <w:rsid w:val="00FB0A08"/>
    <w:rsid w:val="00FB0AD3"/>
    <w:rsid w:val="00FB0D58"/>
    <w:rsid w:val="00FB0F9A"/>
    <w:rsid w:val="00FB1081"/>
    <w:rsid w:val="00FB1730"/>
    <w:rsid w:val="00FB185F"/>
    <w:rsid w:val="00FB21EE"/>
    <w:rsid w:val="00FB226A"/>
    <w:rsid w:val="00FB22E6"/>
    <w:rsid w:val="00FB2305"/>
    <w:rsid w:val="00FB231D"/>
    <w:rsid w:val="00FB2322"/>
    <w:rsid w:val="00FB2386"/>
    <w:rsid w:val="00FB2506"/>
    <w:rsid w:val="00FB2985"/>
    <w:rsid w:val="00FB3022"/>
    <w:rsid w:val="00FB306B"/>
    <w:rsid w:val="00FB3212"/>
    <w:rsid w:val="00FB3784"/>
    <w:rsid w:val="00FB41DC"/>
    <w:rsid w:val="00FB49A4"/>
    <w:rsid w:val="00FB4A2E"/>
    <w:rsid w:val="00FB50C2"/>
    <w:rsid w:val="00FB529D"/>
    <w:rsid w:val="00FB56C5"/>
    <w:rsid w:val="00FB57EF"/>
    <w:rsid w:val="00FB59E5"/>
    <w:rsid w:val="00FB5E74"/>
    <w:rsid w:val="00FB5FB0"/>
    <w:rsid w:val="00FB6F0E"/>
    <w:rsid w:val="00FB73B9"/>
    <w:rsid w:val="00FB75D8"/>
    <w:rsid w:val="00FB7747"/>
    <w:rsid w:val="00FB7C86"/>
    <w:rsid w:val="00FB7E29"/>
    <w:rsid w:val="00FB7F55"/>
    <w:rsid w:val="00FC01A4"/>
    <w:rsid w:val="00FC06BF"/>
    <w:rsid w:val="00FC0AE4"/>
    <w:rsid w:val="00FC0B3F"/>
    <w:rsid w:val="00FC0E21"/>
    <w:rsid w:val="00FC1694"/>
    <w:rsid w:val="00FC176E"/>
    <w:rsid w:val="00FC18A5"/>
    <w:rsid w:val="00FC1C70"/>
    <w:rsid w:val="00FC1CF2"/>
    <w:rsid w:val="00FC1ED5"/>
    <w:rsid w:val="00FC2124"/>
    <w:rsid w:val="00FC2576"/>
    <w:rsid w:val="00FC25AC"/>
    <w:rsid w:val="00FC272A"/>
    <w:rsid w:val="00FC2A8A"/>
    <w:rsid w:val="00FC2E45"/>
    <w:rsid w:val="00FC351E"/>
    <w:rsid w:val="00FC35DE"/>
    <w:rsid w:val="00FC3E9C"/>
    <w:rsid w:val="00FC4398"/>
    <w:rsid w:val="00FC4401"/>
    <w:rsid w:val="00FC48D8"/>
    <w:rsid w:val="00FC4982"/>
    <w:rsid w:val="00FC4B62"/>
    <w:rsid w:val="00FC4BA2"/>
    <w:rsid w:val="00FC503B"/>
    <w:rsid w:val="00FC517A"/>
    <w:rsid w:val="00FC5301"/>
    <w:rsid w:val="00FC588B"/>
    <w:rsid w:val="00FC5B26"/>
    <w:rsid w:val="00FC5E55"/>
    <w:rsid w:val="00FC5F5C"/>
    <w:rsid w:val="00FC6028"/>
    <w:rsid w:val="00FC635D"/>
    <w:rsid w:val="00FC66B8"/>
    <w:rsid w:val="00FC6947"/>
    <w:rsid w:val="00FC6E6C"/>
    <w:rsid w:val="00FC6E74"/>
    <w:rsid w:val="00FC7029"/>
    <w:rsid w:val="00FC7186"/>
    <w:rsid w:val="00FC742F"/>
    <w:rsid w:val="00FC7C89"/>
    <w:rsid w:val="00FD0CFD"/>
    <w:rsid w:val="00FD0F61"/>
    <w:rsid w:val="00FD10DB"/>
    <w:rsid w:val="00FD1280"/>
    <w:rsid w:val="00FD143C"/>
    <w:rsid w:val="00FD190D"/>
    <w:rsid w:val="00FD1946"/>
    <w:rsid w:val="00FD1DFB"/>
    <w:rsid w:val="00FD2965"/>
    <w:rsid w:val="00FD2A64"/>
    <w:rsid w:val="00FD2CC3"/>
    <w:rsid w:val="00FD31C7"/>
    <w:rsid w:val="00FD324E"/>
    <w:rsid w:val="00FD3ABA"/>
    <w:rsid w:val="00FD3D61"/>
    <w:rsid w:val="00FD3D8B"/>
    <w:rsid w:val="00FD436D"/>
    <w:rsid w:val="00FD476B"/>
    <w:rsid w:val="00FD491D"/>
    <w:rsid w:val="00FD49DB"/>
    <w:rsid w:val="00FD5062"/>
    <w:rsid w:val="00FD506B"/>
    <w:rsid w:val="00FD556F"/>
    <w:rsid w:val="00FD57A5"/>
    <w:rsid w:val="00FD5FCA"/>
    <w:rsid w:val="00FD63EF"/>
    <w:rsid w:val="00FD6888"/>
    <w:rsid w:val="00FD6D64"/>
    <w:rsid w:val="00FD70C7"/>
    <w:rsid w:val="00FD7399"/>
    <w:rsid w:val="00FD764D"/>
    <w:rsid w:val="00FD7ACC"/>
    <w:rsid w:val="00FD7B35"/>
    <w:rsid w:val="00FD7BCD"/>
    <w:rsid w:val="00FD7C6C"/>
    <w:rsid w:val="00FD7CDC"/>
    <w:rsid w:val="00FD7F20"/>
    <w:rsid w:val="00FE01A6"/>
    <w:rsid w:val="00FE02F8"/>
    <w:rsid w:val="00FE0BA6"/>
    <w:rsid w:val="00FE0C38"/>
    <w:rsid w:val="00FE1445"/>
    <w:rsid w:val="00FE1493"/>
    <w:rsid w:val="00FE153E"/>
    <w:rsid w:val="00FE1769"/>
    <w:rsid w:val="00FE18D2"/>
    <w:rsid w:val="00FE18EF"/>
    <w:rsid w:val="00FE1CE2"/>
    <w:rsid w:val="00FE1DFC"/>
    <w:rsid w:val="00FE21B5"/>
    <w:rsid w:val="00FE233C"/>
    <w:rsid w:val="00FE235B"/>
    <w:rsid w:val="00FE2620"/>
    <w:rsid w:val="00FE262C"/>
    <w:rsid w:val="00FE27FE"/>
    <w:rsid w:val="00FE2852"/>
    <w:rsid w:val="00FE2A5D"/>
    <w:rsid w:val="00FE2F5F"/>
    <w:rsid w:val="00FE32FF"/>
    <w:rsid w:val="00FE393B"/>
    <w:rsid w:val="00FE4608"/>
    <w:rsid w:val="00FE4826"/>
    <w:rsid w:val="00FE5D3C"/>
    <w:rsid w:val="00FE5DD2"/>
    <w:rsid w:val="00FE633A"/>
    <w:rsid w:val="00FE66DF"/>
    <w:rsid w:val="00FE6845"/>
    <w:rsid w:val="00FE693B"/>
    <w:rsid w:val="00FE6AD1"/>
    <w:rsid w:val="00FE6C84"/>
    <w:rsid w:val="00FE772E"/>
    <w:rsid w:val="00FE78FD"/>
    <w:rsid w:val="00FE7BA2"/>
    <w:rsid w:val="00FF005E"/>
    <w:rsid w:val="00FF0429"/>
    <w:rsid w:val="00FF0586"/>
    <w:rsid w:val="00FF0724"/>
    <w:rsid w:val="00FF09BD"/>
    <w:rsid w:val="00FF0EDD"/>
    <w:rsid w:val="00FF110B"/>
    <w:rsid w:val="00FF12E6"/>
    <w:rsid w:val="00FF1744"/>
    <w:rsid w:val="00FF183A"/>
    <w:rsid w:val="00FF1A84"/>
    <w:rsid w:val="00FF1F34"/>
    <w:rsid w:val="00FF1FD3"/>
    <w:rsid w:val="00FF2265"/>
    <w:rsid w:val="00FF2DD8"/>
    <w:rsid w:val="00FF3108"/>
    <w:rsid w:val="00FF3223"/>
    <w:rsid w:val="00FF3496"/>
    <w:rsid w:val="00FF363E"/>
    <w:rsid w:val="00FF39FF"/>
    <w:rsid w:val="00FF3CA1"/>
    <w:rsid w:val="00FF4177"/>
    <w:rsid w:val="00FF43BA"/>
    <w:rsid w:val="00FF4553"/>
    <w:rsid w:val="00FF45D1"/>
    <w:rsid w:val="00FF4675"/>
    <w:rsid w:val="00FF48C8"/>
    <w:rsid w:val="00FF49EF"/>
    <w:rsid w:val="00FF4D69"/>
    <w:rsid w:val="00FF4EC2"/>
    <w:rsid w:val="00FF5142"/>
    <w:rsid w:val="00FF74AC"/>
    <w:rsid w:val="00FF74CE"/>
    <w:rsid w:val="00FF77EC"/>
    <w:rsid w:val="00FF7932"/>
    <w:rsid w:val="00FF7C7F"/>
    <w:rsid w:val="047A472E"/>
    <w:rsid w:val="0CA53C6D"/>
    <w:rsid w:val="0E60322C"/>
    <w:rsid w:val="12B4AF78"/>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2B4F6AC3-6DD3-4CA0-8F70-34E3A55D0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semiHidden/>
    <w:rsid w:val="00170972"/>
    <w:pPr>
      <w:shd w:val="clear" w:color="auto" w:fill="000080"/>
    </w:pPr>
    <w:rPr>
      <w:rFonts w:ascii="Tahoma" w:hAnsi="Tahoma" w:cs="Tahoma"/>
    </w:rPr>
  </w:style>
  <w:style w:type="paragraph" w:styleId="Textoindependiente2">
    <w:name w:val="Body Text 2"/>
    <w:basedOn w:val="Normal"/>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uiPriority w:val="99"/>
    <w:semiHidden/>
    <w:rsid w:val="00170972"/>
    <w:rPr>
      <w:rFonts w:ascii="Tahoma" w:hAnsi="Tahoma" w:cs="Tahoma"/>
      <w:sz w:val="16"/>
      <w:szCs w:val="16"/>
    </w:rPr>
  </w:style>
  <w:style w:type="paragraph" w:styleId="Textoindependiente3">
    <w:name w:val="Body Text 3"/>
    <w:basedOn w:val="Normal"/>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paragraph" w:customStyle="1" w:styleId="p01">
    <w:name w:val="p01"/>
    <w:basedOn w:val="Normal"/>
    <w:next w:val="p0"/>
    <w:rsid w:val="006C565D"/>
    <w:pPr>
      <w:keepLines/>
      <w:spacing w:before="240"/>
    </w:pPr>
    <w:rPr>
      <w:rFonts w:ascii="Univers" w:hAnsi="Univers" w:cs="Times New Roman"/>
      <w:color w:val="0000FF"/>
      <w:szCs w:val="20"/>
    </w:rPr>
  </w:style>
  <w:style w:type="character" w:customStyle="1" w:styleId="TextodegloboCar">
    <w:name w:val="Texto de globo Car"/>
    <w:basedOn w:val="Fuentedeprrafopredeter"/>
    <w:link w:val="Textodeglobo"/>
    <w:uiPriority w:val="99"/>
    <w:semiHidden/>
    <w:rsid w:val="00B50A1F"/>
    <w:rPr>
      <w:rFonts w:ascii="Tahoma" w:hAnsi="Tahoma" w:cs="Tahoma"/>
      <w:sz w:val="16"/>
      <w:szCs w:val="16"/>
      <w:lang w:val="es-ES_tradnl" w:eastAsia="es-ES"/>
    </w:rPr>
  </w:style>
  <w:style w:type="paragraph" w:customStyle="1" w:styleId="parrafo1">
    <w:name w:val="parrafo1"/>
    <w:basedOn w:val="p0"/>
    <w:rsid w:val="00996F51"/>
    <w:pPr>
      <w:keepLines w:val="0"/>
      <w:widowControl/>
      <w:spacing w:before="480"/>
      <w:ind w:left="426" w:right="443"/>
    </w:pPr>
    <w:rPr>
      <w:rFonts w:ascii="Arial" w:hAnsi="Arial" w:cs="Times New Roman"/>
      <w:snapToGrid/>
      <w:color w:val="auto"/>
      <w:szCs w:val="20"/>
      <w:lang w:val="es-MX"/>
    </w:rPr>
  </w:style>
  <w:style w:type="paragraph" w:customStyle="1" w:styleId="p02">
    <w:name w:val="p02"/>
    <w:basedOn w:val="Normal"/>
    <w:next w:val="p0"/>
    <w:rsid w:val="002D6E7A"/>
    <w:pPr>
      <w:keepLines/>
      <w:spacing w:before="240"/>
      <w:ind w:right="11"/>
    </w:pPr>
    <w:rPr>
      <w:rFonts w:ascii="Univers" w:hAnsi="Univers" w:cs="Times New Roman"/>
      <w:color w:val="0000FF"/>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7075">
      <w:bodyDiv w:val="1"/>
      <w:marLeft w:val="0"/>
      <w:marRight w:val="0"/>
      <w:marTop w:val="0"/>
      <w:marBottom w:val="0"/>
      <w:divBdr>
        <w:top w:val="none" w:sz="0" w:space="0" w:color="auto"/>
        <w:left w:val="none" w:sz="0" w:space="0" w:color="auto"/>
        <w:bottom w:val="none" w:sz="0" w:space="0" w:color="auto"/>
        <w:right w:val="none" w:sz="0" w:space="0" w:color="auto"/>
      </w:divBdr>
    </w:div>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8095704">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76096549">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166218550">
      <w:bodyDiv w:val="1"/>
      <w:marLeft w:val="0"/>
      <w:marRight w:val="0"/>
      <w:marTop w:val="0"/>
      <w:marBottom w:val="0"/>
      <w:divBdr>
        <w:top w:val="none" w:sz="0" w:space="0" w:color="auto"/>
        <w:left w:val="none" w:sz="0" w:space="0" w:color="auto"/>
        <w:bottom w:val="none" w:sz="0" w:space="0" w:color="auto"/>
        <w:right w:val="none" w:sz="0" w:space="0" w:color="auto"/>
      </w:divBdr>
    </w:div>
    <w:div w:id="170413798">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202863728">
      <w:bodyDiv w:val="1"/>
      <w:marLeft w:val="0"/>
      <w:marRight w:val="0"/>
      <w:marTop w:val="0"/>
      <w:marBottom w:val="0"/>
      <w:divBdr>
        <w:top w:val="none" w:sz="0" w:space="0" w:color="auto"/>
        <w:left w:val="none" w:sz="0" w:space="0" w:color="auto"/>
        <w:bottom w:val="none" w:sz="0" w:space="0" w:color="auto"/>
        <w:right w:val="none" w:sz="0" w:space="0" w:color="auto"/>
      </w:divBdr>
    </w:div>
    <w:div w:id="209877667">
      <w:bodyDiv w:val="1"/>
      <w:marLeft w:val="0"/>
      <w:marRight w:val="0"/>
      <w:marTop w:val="0"/>
      <w:marBottom w:val="0"/>
      <w:divBdr>
        <w:top w:val="none" w:sz="0" w:space="0" w:color="auto"/>
        <w:left w:val="none" w:sz="0" w:space="0" w:color="auto"/>
        <w:bottom w:val="none" w:sz="0" w:space="0" w:color="auto"/>
        <w:right w:val="none" w:sz="0" w:space="0" w:color="auto"/>
      </w:divBdr>
    </w:div>
    <w:div w:id="249000967">
      <w:bodyDiv w:val="1"/>
      <w:marLeft w:val="0"/>
      <w:marRight w:val="0"/>
      <w:marTop w:val="0"/>
      <w:marBottom w:val="0"/>
      <w:divBdr>
        <w:top w:val="none" w:sz="0" w:space="0" w:color="auto"/>
        <w:left w:val="none" w:sz="0" w:space="0" w:color="auto"/>
        <w:bottom w:val="none" w:sz="0" w:space="0" w:color="auto"/>
        <w:right w:val="none" w:sz="0" w:space="0" w:color="auto"/>
      </w:divBdr>
    </w:div>
    <w:div w:id="301232825">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327565005">
      <w:bodyDiv w:val="1"/>
      <w:marLeft w:val="0"/>
      <w:marRight w:val="0"/>
      <w:marTop w:val="0"/>
      <w:marBottom w:val="0"/>
      <w:divBdr>
        <w:top w:val="none" w:sz="0" w:space="0" w:color="auto"/>
        <w:left w:val="none" w:sz="0" w:space="0" w:color="auto"/>
        <w:bottom w:val="none" w:sz="0" w:space="0" w:color="auto"/>
        <w:right w:val="none" w:sz="0" w:space="0" w:color="auto"/>
      </w:divBdr>
    </w:div>
    <w:div w:id="375010850">
      <w:bodyDiv w:val="1"/>
      <w:marLeft w:val="0"/>
      <w:marRight w:val="0"/>
      <w:marTop w:val="0"/>
      <w:marBottom w:val="0"/>
      <w:divBdr>
        <w:top w:val="none" w:sz="0" w:space="0" w:color="auto"/>
        <w:left w:val="none" w:sz="0" w:space="0" w:color="auto"/>
        <w:bottom w:val="none" w:sz="0" w:space="0" w:color="auto"/>
        <w:right w:val="none" w:sz="0" w:space="0" w:color="auto"/>
      </w:divBdr>
    </w:div>
    <w:div w:id="379598829">
      <w:bodyDiv w:val="1"/>
      <w:marLeft w:val="0"/>
      <w:marRight w:val="0"/>
      <w:marTop w:val="0"/>
      <w:marBottom w:val="0"/>
      <w:divBdr>
        <w:top w:val="none" w:sz="0" w:space="0" w:color="auto"/>
        <w:left w:val="none" w:sz="0" w:space="0" w:color="auto"/>
        <w:bottom w:val="none" w:sz="0" w:space="0" w:color="auto"/>
        <w:right w:val="none" w:sz="0" w:space="0" w:color="auto"/>
      </w:divBdr>
    </w:div>
    <w:div w:id="39682338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3726975">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18256119">
      <w:bodyDiv w:val="1"/>
      <w:marLeft w:val="0"/>
      <w:marRight w:val="0"/>
      <w:marTop w:val="0"/>
      <w:marBottom w:val="0"/>
      <w:divBdr>
        <w:top w:val="none" w:sz="0" w:space="0" w:color="auto"/>
        <w:left w:val="none" w:sz="0" w:space="0" w:color="auto"/>
        <w:bottom w:val="none" w:sz="0" w:space="0" w:color="auto"/>
        <w:right w:val="none" w:sz="0" w:space="0" w:color="auto"/>
      </w:divBdr>
    </w:div>
    <w:div w:id="418647550">
      <w:bodyDiv w:val="1"/>
      <w:marLeft w:val="0"/>
      <w:marRight w:val="0"/>
      <w:marTop w:val="0"/>
      <w:marBottom w:val="0"/>
      <w:divBdr>
        <w:top w:val="none" w:sz="0" w:space="0" w:color="auto"/>
        <w:left w:val="none" w:sz="0" w:space="0" w:color="auto"/>
        <w:bottom w:val="none" w:sz="0" w:space="0" w:color="auto"/>
        <w:right w:val="none" w:sz="0" w:space="0" w:color="auto"/>
      </w:divBdr>
    </w:div>
    <w:div w:id="443228411">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527573641">
      <w:bodyDiv w:val="1"/>
      <w:marLeft w:val="0"/>
      <w:marRight w:val="0"/>
      <w:marTop w:val="0"/>
      <w:marBottom w:val="0"/>
      <w:divBdr>
        <w:top w:val="none" w:sz="0" w:space="0" w:color="auto"/>
        <w:left w:val="none" w:sz="0" w:space="0" w:color="auto"/>
        <w:bottom w:val="none" w:sz="0" w:space="0" w:color="auto"/>
        <w:right w:val="none" w:sz="0" w:space="0" w:color="auto"/>
      </w:divBdr>
    </w:div>
    <w:div w:id="532965753">
      <w:bodyDiv w:val="1"/>
      <w:marLeft w:val="0"/>
      <w:marRight w:val="0"/>
      <w:marTop w:val="0"/>
      <w:marBottom w:val="0"/>
      <w:divBdr>
        <w:top w:val="none" w:sz="0" w:space="0" w:color="auto"/>
        <w:left w:val="none" w:sz="0" w:space="0" w:color="auto"/>
        <w:bottom w:val="none" w:sz="0" w:space="0" w:color="auto"/>
        <w:right w:val="none" w:sz="0" w:space="0" w:color="auto"/>
      </w:divBdr>
    </w:div>
    <w:div w:id="588545278">
      <w:bodyDiv w:val="1"/>
      <w:marLeft w:val="0"/>
      <w:marRight w:val="0"/>
      <w:marTop w:val="0"/>
      <w:marBottom w:val="0"/>
      <w:divBdr>
        <w:top w:val="none" w:sz="0" w:space="0" w:color="auto"/>
        <w:left w:val="none" w:sz="0" w:space="0" w:color="auto"/>
        <w:bottom w:val="none" w:sz="0" w:space="0" w:color="auto"/>
        <w:right w:val="none" w:sz="0" w:space="0" w:color="auto"/>
      </w:divBdr>
    </w:div>
    <w:div w:id="593132956">
      <w:bodyDiv w:val="1"/>
      <w:marLeft w:val="0"/>
      <w:marRight w:val="0"/>
      <w:marTop w:val="0"/>
      <w:marBottom w:val="0"/>
      <w:divBdr>
        <w:top w:val="none" w:sz="0" w:space="0" w:color="auto"/>
        <w:left w:val="none" w:sz="0" w:space="0" w:color="auto"/>
        <w:bottom w:val="none" w:sz="0" w:space="0" w:color="auto"/>
        <w:right w:val="none" w:sz="0" w:space="0" w:color="auto"/>
      </w:divBdr>
    </w:div>
    <w:div w:id="603460500">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204938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755976133">
      <w:bodyDiv w:val="1"/>
      <w:marLeft w:val="0"/>
      <w:marRight w:val="0"/>
      <w:marTop w:val="0"/>
      <w:marBottom w:val="0"/>
      <w:divBdr>
        <w:top w:val="none" w:sz="0" w:space="0" w:color="auto"/>
        <w:left w:val="none" w:sz="0" w:space="0" w:color="auto"/>
        <w:bottom w:val="none" w:sz="0" w:space="0" w:color="auto"/>
        <w:right w:val="none" w:sz="0" w:space="0" w:color="auto"/>
      </w:divBdr>
    </w:div>
    <w:div w:id="758479753">
      <w:bodyDiv w:val="1"/>
      <w:marLeft w:val="0"/>
      <w:marRight w:val="0"/>
      <w:marTop w:val="0"/>
      <w:marBottom w:val="0"/>
      <w:divBdr>
        <w:top w:val="none" w:sz="0" w:space="0" w:color="auto"/>
        <w:left w:val="none" w:sz="0" w:space="0" w:color="auto"/>
        <w:bottom w:val="none" w:sz="0" w:space="0" w:color="auto"/>
        <w:right w:val="none" w:sz="0" w:space="0" w:color="auto"/>
      </w:divBdr>
    </w:div>
    <w:div w:id="763458210">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06701557">
      <w:bodyDiv w:val="1"/>
      <w:marLeft w:val="0"/>
      <w:marRight w:val="0"/>
      <w:marTop w:val="0"/>
      <w:marBottom w:val="0"/>
      <w:divBdr>
        <w:top w:val="none" w:sz="0" w:space="0" w:color="auto"/>
        <w:left w:val="none" w:sz="0" w:space="0" w:color="auto"/>
        <w:bottom w:val="none" w:sz="0" w:space="0" w:color="auto"/>
        <w:right w:val="none" w:sz="0" w:space="0" w:color="auto"/>
      </w:divBdr>
    </w:div>
    <w:div w:id="827094395">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5242837">
      <w:bodyDiv w:val="1"/>
      <w:marLeft w:val="0"/>
      <w:marRight w:val="0"/>
      <w:marTop w:val="0"/>
      <w:marBottom w:val="0"/>
      <w:divBdr>
        <w:top w:val="none" w:sz="0" w:space="0" w:color="auto"/>
        <w:left w:val="none" w:sz="0" w:space="0" w:color="auto"/>
        <w:bottom w:val="none" w:sz="0" w:space="0" w:color="auto"/>
        <w:right w:val="none" w:sz="0" w:space="0" w:color="auto"/>
      </w:divBdr>
    </w:div>
    <w:div w:id="861939119">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882903706">
      <w:bodyDiv w:val="1"/>
      <w:marLeft w:val="0"/>
      <w:marRight w:val="0"/>
      <w:marTop w:val="0"/>
      <w:marBottom w:val="0"/>
      <w:divBdr>
        <w:top w:val="none" w:sz="0" w:space="0" w:color="auto"/>
        <w:left w:val="none" w:sz="0" w:space="0" w:color="auto"/>
        <w:bottom w:val="none" w:sz="0" w:space="0" w:color="auto"/>
        <w:right w:val="none" w:sz="0" w:space="0" w:color="auto"/>
      </w:divBdr>
    </w:div>
    <w:div w:id="899636317">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53288763">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978464382">
      <w:bodyDiv w:val="1"/>
      <w:marLeft w:val="0"/>
      <w:marRight w:val="0"/>
      <w:marTop w:val="0"/>
      <w:marBottom w:val="0"/>
      <w:divBdr>
        <w:top w:val="none" w:sz="0" w:space="0" w:color="auto"/>
        <w:left w:val="none" w:sz="0" w:space="0" w:color="auto"/>
        <w:bottom w:val="none" w:sz="0" w:space="0" w:color="auto"/>
        <w:right w:val="none" w:sz="0" w:space="0" w:color="auto"/>
      </w:divBdr>
    </w:div>
    <w:div w:id="981270571">
      <w:bodyDiv w:val="1"/>
      <w:marLeft w:val="0"/>
      <w:marRight w:val="0"/>
      <w:marTop w:val="0"/>
      <w:marBottom w:val="0"/>
      <w:divBdr>
        <w:top w:val="none" w:sz="0" w:space="0" w:color="auto"/>
        <w:left w:val="none" w:sz="0" w:space="0" w:color="auto"/>
        <w:bottom w:val="none" w:sz="0" w:space="0" w:color="auto"/>
        <w:right w:val="none" w:sz="0" w:space="0" w:color="auto"/>
      </w:divBdr>
    </w:div>
    <w:div w:id="1012998228">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58435200">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89034815">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20102331">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192690757">
      <w:bodyDiv w:val="1"/>
      <w:marLeft w:val="0"/>
      <w:marRight w:val="0"/>
      <w:marTop w:val="0"/>
      <w:marBottom w:val="0"/>
      <w:divBdr>
        <w:top w:val="none" w:sz="0" w:space="0" w:color="auto"/>
        <w:left w:val="none" w:sz="0" w:space="0" w:color="auto"/>
        <w:bottom w:val="none" w:sz="0" w:space="0" w:color="auto"/>
        <w:right w:val="none" w:sz="0" w:space="0" w:color="auto"/>
      </w:divBdr>
    </w:div>
    <w:div w:id="1237932908">
      <w:bodyDiv w:val="1"/>
      <w:marLeft w:val="0"/>
      <w:marRight w:val="0"/>
      <w:marTop w:val="0"/>
      <w:marBottom w:val="0"/>
      <w:divBdr>
        <w:top w:val="none" w:sz="0" w:space="0" w:color="auto"/>
        <w:left w:val="none" w:sz="0" w:space="0" w:color="auto"/>
        <w:bottom w:val="none" w:sz="0" w:space="0" w:color="auto"/>
        <w:right w:val="none" w:sz="0" w:space="0" w:color="auto"/>
      </w:divBdr>
    </w:div>
    <w:div w:id="1245921548">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365717371">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56027314">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497768288">
      <w:bodyDiv w:val="1"/>
      <w:marLeft w:val="0"/>
      <w:marRight w:val="0"/>
      <w:marTop w:val="0"/>
      <w:marBottom w:val="0"/>
      <w:divBdr>
        <w:top w:val="none" w:sz="0" w:space="0" w:color="auto"/>
        <w:left w:val="none" w:sz="0" w:space="0" w:color="auto"/>
        <w:bottom w:val="none" w:sz="0" w:space="0" w:color="auto"/>
        <w:right w:val="none" w:sz="0" w:space="0" w:color="auto"/>
      </w:divBdr>
    </w:div>
    <w:div w:id="1511597956">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40241827">
      <w:bodyDiv w:val="1"/>
      <w:marLeft w:val="0"/>
      <w:marRight w:val="0"/>
      <w:marTop w:val="0"/>
      <w:marBottom w:val="0"/>
      <w:divBdr>
        <w:top w:val="none" w:sz="0" w:space="0" w:color="auto"/>
        <w:left w:val="none" w:sz="0" w:space="0" w:color="auto"/>
        <w:bottom w:val="none" w:sz="0" w:space="0" w:color="auto"/>
        <w:right w:val="none" w:sz="0" w:space="0" w:color="auto"/>
      </w:divBdr>
    </w:div>
    <w:div w:id="1544099114">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82761694">
      <w:bodyDiv w:val="1"/>
      <w:marLeft w:val="0"/>
      <w:marRight w:val="0"/>
      <w:marTop w:val="0"/>
      <w:marBottom w:val="0"/>
      <w:divBdr>
        <w:top w:val="none" w:sz="0" w:space="0" w:color="auto"/>
        <w:left w:val="none" w:sz="0" w:space="0" w:color="auto"/>
        <w:bottom w:val="none" w:sz="0" w:space="0" w:color="auto"/>
        <w:right w:val="none" w:sz="0" w:space="0" w:color="auto"/>
      </w:divBdr>
    </w:div>
    <w:div w:id="1591768300">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1014895">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22823939">
      <w:bodyDiv w:val="1"/>
      <w:marLeft w:val="0"/>
      <w:marRight w:val="0"/>
      <w:marTop w:val="0"/>
      <w:marBottom w:val="0"/>
      <w:divBdr>
        <w:top w:val="none" w:sz="0" w:space="0" w:color="auto"/>
        <w:left w:val="none" w:sz="0" w:space="0" w:color="auto"/>
        <w:bottom w:val="none" w:sz="0" w:space="0" w:color="auto"/>
        <w:right w:val="none" w:sz="0" w:space="0" w:color="auto"/>
      </w:divBdr>
    </w:div>
    <w:div w:id="1744450586">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783763391">
      <w:bodyDiv w:val="1"/>
      <w:marLeft w:val="0"/>
      <w:marRight w:val="0"/>
      <w:marTop w:val="0"/>
      <w:marBottom w:val="0"/>
      <w:divBdr>
        <w:top w:val="none" w:sz="0" w:space="0" w:color="auto"/>
        <w:left w:val="none" w:sz="0" w:space="0" w:color="auto"/>
        <w:bottom w:val="none" w:sz="0" w:space="0" w:color="auto"/>
        <w:right w:val="none" w:sz="0" w:space="0" w:color="auto"/>
      </w:divBdr>
    </w:div>
    <w:div w:id="18482106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03785911">
      <w:bodyDiv w:val="1"/>
      <w:marLeft w:val="0"/>
      <w:marRight w:val="0"/>
      <w:marTop w:val="0"/>
      <w:marBottom w:val="0"/>
      <w:divBdr>
        <w:top w:val="none" w:sz="0" w:space="0" w:color="auto"/>
        <w:left w:val="none" w:sz="0" w:space="0" w:color="auto"/>
        <w:bottom w:val="none" w:sz="0" w:space="0" w:color="auto"/>
        <w:right w:val="none" w:sz="0" w:space="0" w:color="auto"/>
      </w:divBdr>
    </w:div>
    <w:div w:id="1928490454">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1985743189">
      <w:bodyDiv w:val="1"/>
      <w:marLeft w:val="0"/>
      <w:marRight w:val="0"/>
      <w:marTop w:val="0"/>
      <w:marBottom w:val="0"/>
      <w:divBdr>
        <w:top w:val="none" w:sz="0" w:space="0" w:color="auto"/>
        <w:left w:val="none" w:sz="0" w:space="0" w:color="auto"/>
        <w:bottom w:val="none" w:sz="0" w:space="0" w:color="auto"/>
        <w:right w:val="none" w:sz="0" w:space="0" w:color="auto"/>
      </w:divBdr>
    </w:div>
    <w:div w:id="1987470983">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072657392">
      <w:bodyDiv w:val="1"/>
      <w:marLeft w:val="0"/>
      <w:marRight w:val="0"/>
      <w:marTop w:val="0"/>
      <w:marBottom w:val="0"/>
      <w:divBdr>
        <w:top w:val="none" w:sz="0" w:space="0" w:color="auto"/>
        <w:left w:val="none" w:sz="0" w:space="0" w:color="auto"/>
        <w:bottom w:val="none" w:sz="0" w:space="0" w:color="auto"/>
        <w:right w:val="none" w:sz="0" w:space="0" w:color="auto"/>
      </w:divBdr>
    </w:div>
    <w:div w:id="2085176822">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 w:id="214056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www.inegi.org.mx/programas/itaee/2018/" TargetMode="External"/><Relationship Id="rId39" Type="http://schemas.openxmlformats.org/officeDocument/2006/relationships/theme" Target="theme/theme1.xml"/><Relationship Id="rId21" Type="http://schemas.openxmlformats.org/officeDocument/2006/relationships/chart" Target="charts/chart11.xml"/><Relationship Id="rId34"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hyperlink" Target="https://www.youtube.com/user/INEGIInforma"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s://www.instagram.com/inegi_inform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image" Target="media/image3.png"/><Relationship Id="rId37"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1.png"/><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chart" Target="charts/chart9.xml"/><Relationship Id="rId31" Type="http://schemas.openxmlformats.org/officeDocument/2006/relationships/hyperlink" Target="https://twitter.com/INEGI_INFORM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yperlink" Target="https://www.facebook.com/INEGIInforma/" TargetMode="External"/><Relationship Id="rId30" Type="http://schemas.openxmlformats.org/officeDocument/2006/relationships/image" Target="media/image2.png"/><Relationship Id="rId35" Type="http://schemas.openxmlformats.org/officeDocument/2006/relationships/hyperlink" Target="http://www.inegi.org.m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4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2.xml"/><Relationship Id="rId1" Type="http://schemas.microsoft.com/office/2011/relationships/chartStyle" Target="style2.xml"/></Relationships>
</file>

<file path=word/charts/_rels/chart9.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336D80"/>
            </a:solidFill>
            <a:effectLst/>
          </c:spPr>
          <c:invertIfNegative val="0"/>
          <c:dPt>
            <c:idx val="0"/>
            <c:invertIfNegative val="0"/>
            <c:bubble3D val="0"/>
            <c:spPr>
              <a:solidFill>
                <a:srgbClr val="08989C"/>
              </a:solidFill>
              <a:effectLst/>
            </c:spPr>
            <c:extLst>
              <c:ext xmlns:c16="http://schemas.microsoft.com/office/drawing/2014/chart" uri="{C3380CC4-5D6E-409C-BE32-E72D297353CC}">
                <c16:uniqueId val="{00000001-D536-481D-9598-2A9768FCAA20}"/>
              </c:ext>
            </c:extLst>
          </c:dPt>
          <c:dPt>
            <c:idx val="1"/>
            <c:invertIfNegative val="0"/>
            <c:bubble3D val="0"/>
            <c:spPr>
              <a:solidFill>
                <a:srgbClr val="08989C"/>
              </a:solidFill>
              <a:effectLst/>
            </c:spPr>
            <c:extLst>
              <c:ext xmlns:c16="http://schemas.microsoft.com/office/drawing/2014/chart" uri="{C3380CC4-5D6E-409C-BE32-E72D297353CC}">
                <c16:uniqueId val="{00000003-D536-481D-9598-2A9768FCAA20}"/>
              </c:ext>
            </c:extLst>
          </c:dPt>
          <c:dPt>
            <c:idx val="2"/>
            <c:invertIfNegative val="0"/>
            <c:bubble3D val="0"/>
            <c:spPr>
              <a:solidFill>
                <a:srgbClr val="08989C"/>
              </a:solidFill>
              <a:effectLst/>
            </c:spPr>
            <c:extLst>
              <c:ext xmlns:c16="http://schemas.microsoft.com/office/drawing/2014/chart" uri="{C3380CC4-5D6E-409C-BE32-E72D297353CC}">
                <c16:uniqueId val="{00000005-D536-481D-9598-2A9768FCAA20}"/>
              </c:ext>
            </c:extLst>
          </c:dPt>
          <c:dPt>
            <c:idx val="3"/>
            <c:invertIfNegative val="0"/>
            <c:bubble3D val="0"/>
            <c:spPr>
              <a:solidFill>
                <a:srgbClr val="C0C0C0"/>
              </a:solidFill>
              <a:effectLst/>
            </c:spPr>
            <c:extLst>
              <c:ext xmlns:c16="http://schemas.microsoft.com/office/drawing/2014/chart" uri="{C3380CC4-5D6E-409C-BE32-E72D297353CC}">
                <c16:uniqueId val="{00000007-D536-481D-9598-2A9768FCAA20}"/>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'G1'!$D$17:$G$17</c:f>
              <c:strCache>
                <c:ptCount val="4"/>
                <c:pt idx="0">
                  <c:v>Terciarias</c:v>
                </c:pt>
                <c:pt idx="1">
                  <c:v>Secundarias</c:v>
                </c:pt>
                <c:pt idx="2">
                  <c:v>Primarias</c:v>
                </c:pt>
                <c:pt idx="3">
                  <c:v>Total</c:v>
                </c:pt>
              </c:strCache>
            </c:strRef>
          </c:cat>
          <c:val>
            <c:numRef>
              <c:f>'G1'!$D$18:$G$18</c:f>
              <c:numCache>
                <c:formatCode>0.0</c:formatCode>
                <c:ptCount val="4"/>
                <c:pt idx="0">
                  <c:v>2.876786896997757</c:v>
                </c:pt>
                <c:pt idx="1">
                  <c:v>-9.2792473774783844</c:v>
                </c:pt>
                <c:pt idx="2">
                  <c:v>86.871020692720123</c:v>
                </c:pt>
                <c:pt idx="3">
                  <c:v>2.8462133477978426</c:v>
                </c:pt>
              </c:numCache>
            </c:numRef>
          </c:val>
          <c:extLst>
            <c:ext xmlns:c16="http://schemas.microsoft.com/office/drawing/2014/chart" uri="{C3380CC4-5D6E-409C-BE32-E72D297353CC}">
              <c16:uniqueId val="{00000008-D536-481D-9598-2A9768FCAA20}"/>
            </c:ext>
          </c:extLst>
        </c:ser>
        <c:dLbls>
          <c:showLegendKey val="0"/>
          <c:showVal val="0"/>
          <c:showCatName val="0"/>
          <c:showSerName val="0"/>
          <c:showPercent val="0"/>
          <c:showBubbleSize val="0"/>
        </c:dLbls>
        <c:gapWidth val="45"/>
        <c:overlap val="100"/>
        <c:axId val="-1180146208"/>
        <c:axId val="-1180148928"/>
      </c:barChart>
      <c:catAx>
        <c:axId val="-1180146208"/>
        <c:scaling>
          <c:orientation val="minMax"/>
        </c:scaling>
        <c:delete val="0"/>
        <c:axPos val="l"/>
        <c:numFmt formatCode="General" sourceLinked="0"/>
        <c:majorTickMark val="none"/>
        <c:minorTickMark val="none"/>
        <c:tickLblPos val="low"/>
        <c:spPr>
          <a:noFill/>
          <a:ln w="19050">
            <a:solidFill>
              <a:srgbClr val="B72F05"/>
            </a:solidFill>
          </a:ln>
        </c:spPr>
        <c:crossAx val="-1180148928"/>
        <c:crosses val="autoZero"/>
        <c:auto val="1"/>
        <c:lblAlgn val="ctr"/>
        <c:lblOffset val="100"/>
        <c:noMultiLvlLbl val="0"/>
      </c:catAx>
      <c:valAx>
        <c:axId val="-1180148928"/>
        <c:scaling>
          <c:orientation val="minMax"/>
        </c:scaling>
        <c:delete val="0"/>
        <c:axPos val="b"/>
        <c:numFmt formatCode="0" sourceLinked="0"/>
        <c:majorTickMark val="out"/>
        <c:minorTickMark val="none"/>
        <c:tickLblPos val="nextTo"/>
        <c:crossAx val="-1180146208"/>
        <c:crosses val="autoZero"/>
        <c:crossBetween val="between"/>
      </c:valAx>
      <c:spPr>
        <a:noFill/>
        <a:ln>
          <a:noFill/>
        </a:ln>
      </c:spPr>
    </c:plotArea>
    <c:plotVisOnly val="1"/>
    <c:dispBlanksAs val="gap"/>
    <c:showDLblsOverMax val="0"/>
  </c:chart>
  <c:spPr>
    <a:ln>
      <a:noFill/>
    </a:ln>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8F04-4365-981E-9B456A31E45B}"/>
              </c:ext>
            </c:extLst>
          </c:dPt>
          <c:dPt>
            <c:idx val="1"/>
            <c:invertIfNegative val="0"/>
            <c:bubble3D val="0"/>
            <c:extLst>
              <c:ext xmlns:c16="http://schemas.microsoft.com/office/drawing/2014/chart" uri="{C3380CC4-5D6E-409C-BE32-E72D297353CC}">
                <c16:uniqueId val="{00000001-8F04-4365-981E-9B456A31E45B}"/>
              </c:ext>
            </c:extLst>
          </c:dPt>
          <c:dPt>
            <c:idx val="2"/>
            <c:invertIfNegative val="0"/>
            <c:bubble3D val="0"/>
            <c:extLst>
              <c:ext xmlns:c16="http://schemas.microsoft.com/office/drawing/2014/chart" uri="{C3380CC4-5D6E-409C-BE32-E72D297353CC}">
                <c16:uniqueId val="{00000002-8F04-4365-981E-9B456A31E45B}"/>
              </c:ext>
            </c:extLst>
          </c:dPt>
          <c:dPt>
            <c:idx val="3"/>
            <c:invertIfNegative val="0"/>
            <c:bubble3D val="0"/>
            <c:extLst>
              <c:ext xmlns:c16="http://schemas.microsoft.com/office/drawing/2014/chart" uri="{C3380CC4-5D6E-409C-BE32-E72D297353CC}">
                <c16:uniqueId val="{00000003-8F04-4365-981E-9B456A31E45B}"/>
              </c:ext>
            </c:extLst>
          </c:dPt>
          <c:dPt>
            <c:idx val="4"/>
            <c:invertIfNegative val="0"/>
            <c:bubble3D val="0"/>
            <c:extLst>
              <c:ext xmlns:c16="http://schemas.microsoft.com/office/drawing/2014/chart" uri="{C3380CC4-5D6E-409C-BE32-E72D297353CC}">
                <c16:uniqueId val="{00000004-8F04-4365-981E-9B456A31E45B}"/>
              </c:ext>
            </c:extLst>
          </c:dPt>
          <c:dPt>
            <c:idx val="5"/>
            <c:invertIfNegative val="0"/>
            <c:bubble3D val="0"/>
            <c:extLst>
              <c:ext xmlns:c16="http://schemas.microsoft.com/office/drawing/2014/chart" uri="{C3380CC4-5D6E-409C-BE32-E72D297353CC}">
                <c16:uniqueId val="{00000005-8F04-4365-981E-9B456A31E45B}"/>
              </c:ext>
            </c:extLst>
          </c:dPt>
          <c:dPt>
            <c:idx val="6"/>
            <c:invertIfNegative val="0"/>
            <c:bubble3D val="0"/>
            <c:extLst>
              <c:ext xmlns:c16="http://schemas.microsoft.com/office/drawing/2014/chart" uri="{C3380CC4-5D6E-409C-BE32-E72D297353CC}">
                <c16:uniqueId val="{00000006-8F04-4365-981E-9B456A31E45B}"/>
              </c:ext>
            </c:extLst>
          </c:dPt>
          <c:dPt>
            <c:idx val="7"/>
            <c:invertIfNegative val="0"/>
            <c:bubble3D val="0"/>
            <c:extLst>
              <c:ext xmlns:c16="http://schemas.microsoft.com/office/drawing/2014/chart" uri="{C3380CC4-5D6E-409C-BE32-E72D297353CC}">
                <c16:uniqueId val="{00000007-8F04-4365-981E-9B456A31E45B}"/>
              </c:ext>
            </c:extLst>
          </c:dPt>
          <c:dPt>
            <c:idx val="8"/>
            <c:invertIfNegative val="0"/>
            <c:bubble3D val="0"/>
            <c:extLst>
              <c:ext xmlns:c16="http://schemas.microsoft.com/office/drawing/2014/chart" uri="{C3380CC4-5D6E-409C-BE32-E72D297353CC}">
                <c16:uniqueId val="{00000008-8F04-4365-981E-9B456A31E45B}"/>
              </c:ext>
            </c:extLst>
          </c:dPt>
          <c:dPt>
            <c:idx val="9"/>
            <c:invertIfNegative val="0"/>
            <c:bubble3D val="0"/>
            <c:extLst>
              <c:ext xmlns:c16="http://schemas.microsoft.com/office/drawing/2014/chart" uri="{C3380CC4-5D6E-409C-BE32-E72D297353CC}">
                <c16:uniqueId val="{00000009-8F04-4365-981E-9B456A31E45B}"/>
              </c:ext>
            </c:extLst>
          </c:dPt>
          <c:dPt>
            <c:idx val="10"/>
            <c:invertIfNegative val="0"/>
            <c:bubble3D val="0"/>
            <c:extLst>
              <c:ext xmlns:c16="http://schemas.microsoft.com/office/drawing/2014/chart" uri="{C3380CC4-5D6E-409C-BE32-E72D297353CC}">
                <c16:uniqueId val="{0000000A-8F04-4365-981E-9B456A31E45B}"/>
              </c:ext>
            </c:extLst>
          </c:dPt>
          <c:dPt>
            <c:idx val="11"/>
            <c:invertIfNegative val="0"/>
            <c:bubble3D val="0"/>
            <c:extLst>
              <c:ext xmlns:c16="http://schemas.microsoft.com/office/drawing/2014/chart" uri="{C3380CC4-5D6E-409C-BE32-E72D297353CC}">
                <c16:uniqueId val="{0000000B-8F04-4365-981E-9B456A31E45B}"/>
              </c:ext>
            </c:extLst>
          </c:dPt>
          <c:dPt>
            <c:idx val="12"/>
            <c:invertIfNegative val="0"/>
            <c:bubble3D val="0"/>
            <c:extLst>
              <c:ext xmlns:c16="http://schemas.microsoft.com/office/drawing/2014/chart" uri="{C3380CC4-5D6E-409C-BE32-E72D297353CC}">
                <c16:uniqueId val="{0000000C-8F04-4365-981E-9B456A31E45B}"/>
              </c:ext>
            </c:extLst>
          </c:dPt>
          <c:dPt>
            <c:idx val="13"/>
            <c:invertIfNegative val="0"/>
            <c:bubble3D val="0"/>
            <c:extLst>
              <c:ext xmlns:c16="http://schemas.microsoft.com/office/drawing/2014/chart" uri="{C3380CC4-5D6E-409C-BE32-E72D297353CC}">
                <c16:uniqueId val="{0000000D-8F04-4365-981E-9B456A31E45B}"/>
              </c:ext>
            </c:extLst>
          </c:dPt>
          <c:dPt>
            <c:idx val="14"/>
            <c:invertIfNegative val="0"/>
            <c:bubble3D val="0"/>
            <c:extLst>
              <c:ext xmlns:c16="http://schemas.microsoft.com/office/drawing/2014/chart" uri="{C3380CC4-5D6E-409C-BE32-E72D297353CC}">
                <c16:uniqueId val="{0000000E-8F04-4365-981E-9B456A31E45B}"/>
              </c:ext>
            </c:extLst>
          </c:dPt>
          <c:dPt>
            <c:idx val="15"/>
            <c:invertIfNegative val="0"/>
            <c:bubble3D val="0"/>
            <c:extLst>
              <c:ext xmlns:c16="http://schemas.microsoft.com/office/drawing/2014/chart" uri="{C3380CC4-5D6E-409C-BE32-E72D297353CC}">
                <c16:uniqueId val="{0000000F-8F04-4365-981E-9B456A31E45B}"/>
              </c:ext>
            </c:extLst>
          </c:dPt>
          <c:dPt>
            <c:idx val="16"/>
            <c:invertIfNegative val="0"/>
            <c:bubble3D val="0"/>
            <c:extLst>
              <c:ext xmlns:c16="http://schemas.microsoft.com/office/drawing/2014/chart" uri="{C3380CC4-5D6E-409C-BE32-E72D297353CC}">
                <c16:uniqueId val="{00000010-8F04-4365-981E-9B456A31E45B}"/>
              </c:ext>
            </c:extLst>
          </c:dPt>
          <c:dPt>
            <c:idx val="17"/>
            <c:invertIfNegative val="0"/>
            <c:bubble3D val="0"/>
            <c:extLst>
              <c:ext xmlns:c16="http://schemas.microsoft.com/office/drawing/2014/chart" uri="{C3380CC4-5D6E-409C-BE32-E72D297353CC}">
                <c16:uniqueId val="{00000011-8F04-4365-981E-9B456A31E45B}"/>
              </c:ext>
            </c:extLst>
          </c:dPt>
          <c:dPt>
            <c:idx val="18"/>
            <c:invertIfNegative val="0"/>
            <c:bubble3D val="0"/>
            <c:extLst>
              <c:ext xmlns:c16="http://schemas.microsoft.com/office/drawing/2014/chart" uri="{C3380CC4-5D6E-409C-BE32-E72D297353CC}">
                <c16:uniqueId val="{00000012-8F04-4365-981E-9B456A31E45B}"/>
              </c:ext>
            </c:extLst>
          </c:dPt>
          <c:dPt>
            <c:idx val="19"/>
            <c:invertIfNegative val="0"/>
            <c:bubble3D val="0"/>
            <c:extLst>
              <c:ext xmlns:c16="http://schemas.microsoft.com/office/drawing/2014/chart" uri="{C3380CC4-5D6E-409C-BE32-E72D297353CC}">
                <c16:uniqueId val="{00000013-8F04-4365-981E-9B456A31E45B}"/>
              </c:ext>
            </c:extLst>
          </c:dPt>
          <c:dPt>
            <c:idx val="20"/>
            <c:invertIfNegative val="0"/>
            <c:bubble3D val="0"/>
            <c:extLst>
              <c:ext xmlns:c16="http://schemas.microsoft.com/office/drawing/2014/chart" uri="{C3380CC4-5D6E-409C-BE32-E72D297353CC}">
                <c16:uniqueId val="{00000014-8F04-4365-981E-9B456A31E45B}"/>
              </c:ext>
            </c:extLst>
          </c:dPt>
          <c:dPt>
            <c:idx val="21"/>
            <c:invertIfNegative val="0"/>
            <c:bubble3D val="0"/>
            <c:extLst>
              <c:ext xmlns:c16="http://schemas.microsoft.com/office/drawing/2014/chart" uri="{C3380CC4-5D6E-409C-BE32-E72D297353CC}">
                <c16:uniqueId val="{00000015-8F04-4365-981E-9B456A31E45B}"/>
              </c:ext>
            </c:extLst>
          </c:dPt>
          <c:dPt>
            <c:idx val="22"/>
            <c:invertIfNegative val="0"/>
            <c:bubble3D val="0"/>
            <c:extLst>
              <c:ext xmlns:c16="http://schemas.microsoft.com/office/drawing/2014/chart" uri="{C3380CC4-5D6E-409C-BE32-E72D297353CC}">
                <c16:uniqueId val="{00000016-8F04-4365-981E-9B456A31E45B}"/>
              </c:ext>
            </c:extLst>
          </c:dPt>
          <c:dPt>
            <c:idx val="23"/>
            <c:invertIfNegative val="0"/>
            <c:bubble3D val="0"/>
            <c:extLst>
              <c:ext xmlns:c16="http://schemas.microsoft.com/office/drawing/2014/chart" uri="{C3380CC4-5D6E-409C-BE32-E72D297353CC}">
                <c16:uniqueId val="{00000017-8F04-4365-981E-9B456A31E45B}"/>
              </c:ext>
            </c:extLst>
          </c:dPt>
          <c:dPt>
            <c:idx val="24"/>
            <c:invertIfNegative val="0"/>
            <c:bubble3D val="0"/>
            <c:extLst>
              <c:ext xmlns:c16="http://schemas.microsoft.com/office/drawing/2014/chart" uri="{C3380CC4-5D6E-409C-BE32-E72D297353CC}">
                <c16:uniqueId val="{00000018-8F04-4365-981E-9B456A31E45B}"/>
              </c:ext>
            </c:extLst>
          </c:dPt>
          <c:dPt>
            <c:idx val="25"/>
            <c:invertIfNegative val="0"/>
            <c:bubble3D val="0"/>
            <c:extLst>
              <c:ext xmlns:c16="http://schemas.microsoft.com/office/drawing/2014/chart" uri="{C3380CC4-5D6E-409C-BE32-E72D297353CC}">
                <c16:uniqueId val="{00000019-8F04-4365-981E-9B456A31E45B}"/>
              </c:ext>
            </c:extLst>
          </c:dPt>
          <c:dPt>
            <c:idx val="26"/>
            <c:invertIfNegative val="0"/>
            <c:bubble3D val="0"/>
            <c:extLst>
              <c:ext xmlns:c16="http://schemas.microsoft.com/office/drawing/2014/chart" uri="{C3380CC4-5D6E-409C-BE32-E72D297353CC}">
                <c16:uniqueId val="{0000001A-8F04-4365-981E-9B456A31E45B}"/>
              </c:ext>
            </c:extLst>
          </c:dPt>
          <c:dPt>
            <c:idx val="27"/>
            <c:invertIfNegative val="0"/>
            <c:bubble3D val="0"/>
            <c:extLst>
              <c:ext xmlns:c16="http://schemas.microsoft.com/office/drawing/2014/chart" uri="{C3380CC4-5D6E-409C-BE32-E72D297353CC}">
                <c16:uniqueId val="{0000001B-8F04-4365-981E-9B456A31E45B}"/>
              </c:ext>
            </c:extLst>
          </c:dPt>
          <c:dPt>
            <c:idx val="28"/>
            <c:invertIfNegative val="0"/>
            <c:bubble3D val="0"/>
            <c:extLst>
              <c:ext xmlns:c16="http://schemas.microsoft.com/office/drawing/2014/chart" uri="{C3380CC4-5D6E-409C-BE32-E72D297353CC}">
                <c16:uniqueId val="{0000001C-8F04-4365-981E-9B456A31E45B}"/>
              </c:ext>
            </c:extLst>
          </c:dPt>
          <c:dPt>
            <c:idx val="29"/>
            <c:invertIfNegative val="0"/>
            <c:bubble3D val="0"/>
            <c:extLst>
              <c:ext xmlns:c16="http://schemas.microsoft.com/office/drawing/2014/chart" uri="{C3380CC4-5D6E-409C-BE32-E72D297353CC}">
                <c16:uniqueId val="{0000001D-8F04-4365-981E-9B456A31E45B}"/>
              </c:ext>
            </c:extLst>
          </c:dPt>
          <c:dPt>
            <c:idx val="30"/>
            <c:invertIfNegative val="0"/>
            <c:bubble3D val="0"/>
            <c:extLst>
              <c:ext xmlns:c16="http://schemas.microsoft.com/office/drawing/2014/chart" uri="{C3380CC4-5D6E-409C-BE32-E72D297353CC}">
                <c16:uniqueId val="{0000001E-8F04-4365-981E-9B456A31E45B}"/>
              </c:ext>
            </c:extLst>
          </c:dPt>
          <c:dPt>
            <c:idx val="31"/>
            <c:invertIfNegative val="0"/>
            <c:bubble3D val="0"/>
            <c:extLst>
              <c:ext xmlns:c16="http://schemas.microsoft.com/office/drawing/2014/chart" uri="{C3380CC4-5D6E-409C-BE32-E72D297353CC}">
                <c16:uniqueId val="{0000001F-8F04-4365-981E-9B456A31E45B}"/>
              </c:ext>
            </c:extLst>
          </c:dPt>
          <c:dPt>
            <c:idx val="32"/>
            <c:invertIfNegative val="0"/>
            <c:bubble3D val="0"/>
            <c:extLst>
              <c:ext xmlns:c16="http://schemas.microsoft.com/office/drawing/2014/chart" uri="{C3380CC4-5D6E-409C-BE32-E72D297353CC}">
                <c16:uniqueId val="{00000020-8F04-4365-981E-9B456A31E45B}"/>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prim'!$F$4:$F$36</c:f>
              <c:numCache>
                <c:formatCode>0.0;\-0.0;;\ @</c:formatCode>
                <c:ptCount val="33"/>
                <c:pt idx="0">
                  <c:v>-38.627608625558885</c:v>
                </c:pt>
                <c:pt idx="1">
                  <c:v>-33.86356919799826</c:v>
                </c:pt>
                <c:pt idx="2">
                  <c:v>-12.973743114878474</c:v>
                </c:pt>
                <c:pt idx="3">
                  <c:v>-12.967509311664259</c:v>
                </c:pt>
                <c:pt idx="4">
                  <c:v>-10.763674769156125</c:v>
                </c:pt>
                <c:pt idx="5">
                  <c:v>-8.148867094999062</c:v>
                </c:pt>
                <c:pt idx="6">
                  <c:v>-7.6571799386430257</c:v>
                </c:pt>
                <c:pt idx="7">
                  <c:v>-5.3584445018718867</c:v>
                </c:pt>
                <c:pt idx="8">
                  <c:v>-5.0974486229051905</c:v>
                </c:pt>
                <c:pt idx="9">
                  <c:v>-4.3253081062576229</c:v>
                </c:pt>
                <c:pt idx="10">
                  <c:v>-2.5754184617876064</c:v>
                </c:pt>
                <c:pt idx="11">
                  <c:v>-1.6432052879615213</c:v>
                </c:pt>
                <c:pt idx="12">
                  <c:v>-0.81417977299304312</c:v>
                </c:pt>
                <c:pt idx="13">
                  <c:v>-0.10051748163009222</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8F04-4365-981E-9B456A31E45B}"/>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prim'!$G$4:$G$36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2.1277204454742673</c:v>
                </c:pt>
                <c:pt idx="15">
                  <c:v>2.8442652334020693</c:v>
                </c:pt>
                <c:pt idx="16">
                  <c:v>3.5089268320428744</c:v>
                </c:pt>
                <c:pt idx="17">
                  <c:v>4.6056691071644735</c:v>
                </c:pt>
                <c:pt idx="18">
                  <c:v>0</c:v>
                </c:pt>
                <c:pt idx="19">
                  <c:v>7.6252807702422558</c:v>
                </c:pt>
                <c:pt idx="20">
                  <c:v>7.7677263677991704</c:v>
                </c:pt>
                <c:pt idx="21">
                  <c:v>7.8836229955746973</c:v>
                </c:pt>
                <c:pt idx="22">
                  <c:v>8.5434786246047878</c:v>
                </c:pt>
                <c:pt idx="23">
                  <c:v>11.324146375006521</c:v>
                </c:pt>
                <c:pt idx="24">
                  <c:v>11.364124625577048</c:v>
                </c:pt>
                <c:pt idx="25">
                  <c:v>12.708464627547471</c:v>
                </c:pt>
                <c:pt idx="26">
                  <c:v>13.316201774144517</c:v>
                </c:pt>
                <c:pt idx="27">
                  <c:v>17.339894419597087</c:v>
                </c:pt>
                <c:pt idx="28">
                  <c:v>19.306756666226434</c:v>
                </c:pt>
                <c:pt idx="29">
                  <c:v>19.843655817352811</c:v>
                </c:pt>
                <c:pt idx="30">
                  <c:v>23.54609141882365</c:v>
                </c:pt>
                <c:pt idx="31">
                  <c:v>55.319360590996837</c:v>
                </c:pt>
                <c:pt idx="32">
                  <c:v>0</c:v>
                </c:pt>
              </c:numCache>
            </c:numRef>
          </c:val>
          <c:extLst>
            <c:ext xmlns:c16="http://schemas.microsoft.com/office/drawing/2014/chart" uri="{C3380CC4-5D6E-409C-BE32-E72D297353CC}">
              <c16:uniqueId val="{00000022-8F04-4365-981E-9B456A31E45B}"/>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4.8155801826365945</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3-8F04-4365-981E-9B456A31E45B}"/>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86.871020692720123</c:v>
                </c:pt>
              </c:numCache>
            </c:numRef>
          </c:val>
          <c:extLst>
            <c:ext xmlns:c16="http://schemas.microsoft.com/office/drawing/2014/chart" uri="{C3380CC4-5D6E-409C-BE32-E72D297353CC}">
              <c16:uniqueId val="{00000024-8F04-4365-981E-9B456A31E45B}"/>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crossAx val="-1574190608"/>
        <c:crosses val="autoZero"/>
        <c:auto val="0"/>
        <c:lblAlgn val="ctr"/>
        <c:lblOffset val="100"/>
        <c:noMultiLvlLbl val="0"/>
      </c:catAx>
      <c:valAx>
        <c:axId val="-1574190608"/>
        <c:scaling>
          <c:orientation val="minMax"/>
        </c:scaling>
        <c:delete val="0"/>
        <c:axPos val="b"/>
        <c:numFmt formatCode="#,##0" sourceLinked="0"/>
        <c:majorTickMark val="out"/>
        <c:minorTickMark val="none"/>
        <c:tickLblPos val="nextTo"/>
        <c:spPr>
          <a:noFill/>
        </c:spPr>
        <c:crossAx val="-1574192784"/>
        <c:crosses val="autoZero"/>
        <c:crossBetween val="between"/>
      </c:valAx>
      <c:spPr>
        <a:noFill/>
        <a:ln w="9525">
          <a:noFill/>
        </a:ln>
        <a:effectLst/>
      </c:spPr>
    </c:plotArea>
    <c:plotVisOnly val="0"/>
    <c:dispBlanksAs val="gap"/>
    <c:showDLblsOverMax val="0"/>
  </c:chart>
  <c:spPr>
    <a:noFill/>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8796739130434782"/>
          <c:y val="2.587037037037037E-2"/>
          <c:w val="0.57997584541062797"/>
          <c:h val="0.9264772222222221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5A52-4EA9-AD50-C2E3992817E6}"/>
              </c:ext>
            </c:extLst>
          </c:dPt>
          <c:dPt>
            <c:idx val="1"/>
            <c:invertIfNegative val="0"/>
            <c:bubble3D val="0"/>
            <c:extLst>
              <c:ext xmlns:c16="http://schemas.microsoft.com/office/drawing/2014/chart" uri="{C3380CC4-5D6E-409C-BE32-E72D297353CC}">
                <c16:uniqueId val="{00000001-5A52-4EA9-AD50-C2E3992817E6}"/>
              </c:ext>
            </c:extLst>
          </c:dPt>
          <c:dPt>
            <c:idx val="2"/>
            <c:invertIfNegative val="0"/>
            <c:bubble3D val="0"/>
            <c:extLst>
              <c:ext xmlns:c16="http://schemas.microsoft.com/office/drawing/2014/chart" uri="{C3380CC4-5D6E-409C-BE32-E72D297353CC}">
                <c16:uniqueId val="{00000002-5A52-4EA9-AD50-C2E3992817E6}"/>
              </c:ext>
            </c:extLst>
          </c:dPt>
          <c:dPt>
            <c:idx val="3"/>
            <c:invertIfNegative val="0"/>
            <c:bubble3D val="0"/>
            <c:extLst>
              <c:ext xmlns:c16="http://schemas.microsoft.com/office/drawing/2014/chart" uri="{C3380CC4-5D6E-409C-BE32-E72D297353CC}">
                <c16:uniqueId val="{00000003-5A52-4EA9-AD50-C2E3992817E6}"/>
              </c:ext>
            </c:extLst>
          </c:dPt>
          <c:dPt>
            <c:idx val="4"/>
            <c:invertIfNegative val="0"/>
            <c:bubble3D val="0"/>
            <c:extLst>
              <c:ext xmlns:c16="http://schemas.microsoft.com/office/drawing/2014/chart" uri="{C3380CC4-5D6E-409C-BE32-E72D297353CC}">
                <c16:uniqueId val="{00000004-5A52-4EA9-AD50-C2E3992817E6}"/>
              </c:ext>
            </c:extLst>
          </c:dPt>
          <c:dPt>
            <c:idx val="5"/>
            <c:invertIfNegative val="0"/>
            <c:bubble3D val="0"/>
            <c:extLst>
              <c:ext xmlns:c16="http://schemas.microsoft.com/office/drawing/2014/chart" uri="{C3380CC4-5D6E-409C-BE32-E72D297353CC}">
                <c16:uniqueId val="{00000005-5A52-4EA9-AD50-C2E3992817E6}"/>
              </c:ext>
            </c:extLst>
          </c:dPt>
          <c:dPt>
            <c:idx val="6"/>
            <c:invertIfNegative val="0"/>
            <c:bubble3D val="0"/>
            <c:extLst>
              <c:ext xmlns:c16="http://schemas.microsoft.com/office/drawing/2014/chart" uri="{C3380CC4-5D6E-409C-BE32-E72D297353CC}">
                <c16:uniqueId val="{00000006-5A52-4EA9-AD50-C2E3992817E6}"/>
              </c:ext>
            </c:extLst>
          </c:dPt>
          <c:dPt>
            <c:idx val="7"/>
            <c:invertIfNegative val="0"/>
            <c:bubble3D val="0"/>
            <c:extLst>
              <c:ext xmlns:c16="http://schemas.microsoft.com/office/drawing/2014/chart" uri="{C3380CC4-5D6E-409C-BE32-E72D297353CC}">
                <c16:uniqueId val="{00000007-5A52-4EA9-AD50-C2E3992817E6}"/>
              </c:ext>
            </c:extLst>
          </c:dPt>
          <c:dPt>
            <c:idx val="8"/>
            <c:invertIfNegative val="0"/>
            <c:bubble3D val="0"/>
            <c:extLst>
              <c:ext xmlns:c16="http://schemas.microsoft.com/office/drawing/2014/chart" uri="{C3380CC4-5D6E-409C-BE32-E72D297353CC}">
                <c16:uniqueId val="{00000008-5A52-4EA9-AD50-C2E3992817E6}"/>
              </c:ext>
            </c:extLst>
          </c:dPt>
          <c:dPt>
            <c:idx val="9"/>
            <c:invertIfNegative val="0"/>
            <c:bubble3D val="0"/>
            <c:extLst>
              <c:ext xmlns:c16="http://schemas.microsoft.com/office/drawing/2014/chart" uri="{C3380CC4-5D6E-409C-BE32-E72D297353CC}">
                <c16:uniqueId val="{00000009-5A52-4EA9-AD50-C2E3992817E6}"/>
              </c:ext>
            </c:extLst>
          </c:dPt>
          <c:dPt>
            <c:idx val="10"/>
            <c:invertIfNegative val="0"/>
            <c:bubble3D val="0"/>
            <c:extLst>
              <c:ext xmlns:c16="http://schemas.microsoft.com/office/drawing/2014/chart" uri="{C3380CC4-5D6E-409C-BE32-E72D297353CC}">
                <c16:uniqueId val="{0000000A-5A52-4EA9-AD50-C2E3992817E6}"/>
              </c:ext>
            </c:extLst>
          </c:dPt>
          <c:dPt>
            <c:idx val="11"/>
            <c:invertIfNegative val="0"/>
            <c:bubble3D val="0"/>
            <c:extLst>
              <c:ext xmlns:c16="http://schemas.microsoft.com/office/drawing/2014/chart" uri="{C3380CC4-5D6E-409C-BE32-E72D297353CC}">
                <c16:uniqueId val="{0000000B-5A52-4EA9-AD50-C2E3992817E6}"/>
              </c:ext>
            </c:extLst>
          </c:dPt>
          <c:dPt>
            <c:idx val="12"/>
            <c:invertIfNegative val="0"/>
            <c:bubble3D val="0"/>
            <c:extLst>
              <c:ext xmlns:c16="http://schemas.microsoft.com/office/drawing/2014/chart" uri="{C3380CC4-5D6E-409C-BE32-E72D297353CC}">
                <c16:uniqueId val="{0000000C-5A52-4EA9-AD50-C2E3992817E6}"/>
              </c:ext>
            </c:extLst>
          </c:dPt>
          <c:dPt>
            <c:idx val="13"/>
            <c:invertIfNegative val="0"/>
            <c:bubble3D val="0"/>
            <c:extLst>
              <c:ext xmlns:c16="http://schemas.microsoft.com/office/drawing/2014/chart" uri="{C3380CC4-5D6E-409C-BE32-E72D297353CC}">
                <c16:uniqueId val="{0000000D-5A52-4EA9-AD50-C2E3992817E6}"/>
              </c:ext>
            </c:extLst>
          </c:dPt>
          <c:dPt>
            <c:idx val="14"/>
            <c:invertIfNegative val="0"/>
            <c:bubble3D val="0"/>
            <c:extLst>
              <c:ext xmlns:c16="http://schemas.microsoft.com/office/drawing/2014/chart" uri="{C3380CC4-5D6E-409C-BE32-E72D297353CC}">
                <c16:uniqueId val="{0000000E-5A52-4EA9-AD50-C2E3992817E6}"/>
              </c:ext>
            </c:extLst>
          </c:dPt>
          <c:dPt>
            <c:idx val="15"/>
            <c:invertIfNegative val="0"/>
            <c:bubble3D val="0"/>
            <c:extLst>
              <c:ext xmlns:c16="http://schemas.microsoft.com/office/drawing/2014/chart" uri="{C3380CC4-5D6E-409C-BE32-E72D297353CC}">
                <c16:uniqueId val="{0000000F-5A52-4EA9-AD50-C2E3992817E6}"/>
              </c:ext>
            </c:extLst>
          </c:dPt>
          <c:dPt>
            <c:idx val="16"/>
            <c:invertIfNegative val="0"/>
            <c:bubble3D val="0"/>
            <c:extLst>
              <c:ext xmlns:c16="http://schemas.microsoft.com/office/drawing/2014/chart" uri="{C3380CC4-5D6E-409C-BE32-E72D297353CC}">
                <c16:uniqueId val="{00000010-5A52-4EA9-AD50-C2E3992817E6}"/>
              </c:ext>
            </c:extLst>
          </c:dPt>
          <c:dPt>
            <c:idx val="17"/>
            <c:invertIfNegative val="0"/>
            <c:bubble3D val="0"/>
            <c:extLst>
              <c:ext xmlns:c16="http://schemas.microsoft.com/office/drawing/2014/chart" uri="{C3380CC4-5D6E-409C-BE32-E72D297353CC}">
                <c16:uniqueId val="{00000011-5A52-4EA9-AD50-C2E3992817E6}"/>
              </c:ext>
            </c:extLst>
          </c:dPt>
          <c:dPt>
            <c:idx val="18"/>
            <c:invertIfNegative val="0"/>
            <c:bubble3D val="0"/>
            <c:extLst>
              <c:ext xmlns:c16="http://schemas.microsoft.com/office/drawing/2014/chart" uri="{C3380CC4-5D6E-409C-BE32-E72D297353CC}">
                <c16:uniqueId val="{00000012-5A52-4EA9-AD50-C2E3992817E6}"/>
              </c:ext>
            </c:extLst>
          </c:dPt>
          <c:dPt>
            <c:idx val="19"/>
            <c:invertIfNegative val="0"/>
            <c:bubble3D val="0"/>
            <c:extLst>
              <c:ext xmlns:c16="http://schemas.microsoft.com/office/drawing/2014/chart" uri="{C3380CC4-5D6E-409C-BE32-E72D297353CC}">
                <c16:uniqueId val="{00000013-5A52-4EA9-AD50-C2E3992817E6}"/>
              </c:ext>
            </c:extLst>
          </c:dPt>
          <c:dPt>
            <c:idx val="20"/>
            <c:invertIfNegative val="0"/>
            <c:bubble3D val="0"/>
            <c:extLst>
              <c:ext xmlns:c16="http://schemas.microsoft.com/office/drawing/2014/chart" uri="{C3380CC4-5D6E-409C-BE32-E72D297353CC}">
                <c16:uniqueId val="{00000014-5A52-4EA9-AD50-C2E3992817E6}"/>
              </c:ext>
            </c:extLst>
          </c:dPt>
          <c:dPt>
            <c:idx val="21"/>
            <c:invertIfNegative val="0"/>
            <c:bubble3D val="0"/>
            <c:extLst>
              <c:ext xmlns:c16="http://schemas.microsoft.com/office/drawing/2014/chart" uri="{C3380CC4-5D6E-409C-BE32-E72D297353CC}">
                <c16:uniqueId val="{00000015-5A52-4EA9-AD50-C2E3992817E6}"/>
              </c:ext>
            </c:extLst>
          </c:dPt>
          <c:dPt>
            <c:idx val="22"/>
            <c:invertIfNegative val="0"/>
            <c:bubble3D val="0"/>
            <c:extLst>
              <c:ext xmlns:c16="http://schemas.microsoft.com/office/drawing/2014/chart" uri="{C3380CC4-5D6E-409C-BE32-E72D297353CC}">
                <c16:uniqueId val="{00000016-5A52-4EA9-AD50-C2E3992817E6}"/>
              </c:ext>
            </c:extLst>
          </c:dPt>
          <c:dPt>
            <c:idx val="23"/>
            <c:invertIfNegative val="0"/>
            <c:bubble3D val="0"/>
            <c:extLst>
              <c:ext xmlns:c16="http://schemas.microsoft.com/office/drawing/2014/chart" uri="{C3380CC4-5D6E-409C-BE32-E72D297353CC}">
                <c16:uniqueId val="{00000017-5A52-4EA9-AD50-C2E3992817E6}"/>
              </c:ext>
            </c:extLst>
          </c:dPt>
          <c:dPt>
            <c:idx val="24"/>
            <c:invertIfNegative val="0"/>
            <c:bubble3D val="0"/>
            <c:extLst>
              <c:ext xmlns:c16="http://schemas.microsoft.com/office/drawing/2014/chart" uri="{C3380CC4-5D6E-409C-BE32-E72D297353CC}">
                <c16:uniqueId val="{00000018-5A52-4EA9-AD50-C2E3992817E6}"/>
              </c:ext>
            </c:extLst>
          </c:dPt>
          <c:dPt>
            <c:idx val="25"/>
            <c:invertIfNegative val="0"/>
            <c:bubble3D val="0"/>
            <c:extLst>
              <c:ext xmlns:c16="http://schemas.microsoft.com/office/drawing/2014/chart" uri="{C3380CC4-5D6E-409C-BE32-E72D297353CC}">
                <c16:uniqueId val="{00000019-5A52-4EA9-AD50-C2E3992817E6}"/>
              </c:ext>
            </c:extLst>
          </c:dPt>
          <c:dPt>
            <c:idx val="26"/>
            <c:invertIfNegative val="0"/>
            <c:bubble3D val="0"/>
            <c:extLst>
              <c:ext xmlns:c16="http://schemas.microsoft.com/office/drawing/2014/chart" uri="{C3380CC4-5D6E-409C-BE32-E72D297353CC}">
                <c16:uniqueId val="{0000001A-5A52-4EA9-AD50-C2E3992817E6}"/>
              </c:ext>
            </c:extLst>
          </c:dPt>
          <c:dPt>
            <c:idx val="27"/>
            <c:invertIfNegative val="0"/>
            <c:bubble3D val="0"/>
            <c:extLst>
              <c:ext xmlns:c16="http://schemas.microsoft.com/office/drawing/2014/chart" uri="{C3380CC4-5D6E-409C-BE32-E72D297353CC}">
                <c16:uniqueId val="{0000001B-5A52-4EA9-AD50-C2E3992817E6}"/>
              </c:ext>
            </c:extLst>
          </c:dPt>
          <c:dPt>
            <c:idx val="28"/>
            <c:invertIfNegative val="0"/>
            <c:bubble3D val="0"/>
            <c:extLst>
              <c:ext xmlns:c16="http://schemas.microsoft.com/office/drawing/2014/chart" uri="{C3380CC4-5D6E-409C-BE32-E72D297353CC}">
                <c16:uniqueId val="{0000001C-5A52-4EA9-AD50-C2E3992817E6}"/>
              </c:ext>
            </c:extLst>
          </c:dPt>
          <c:dPt>
            <c:idx val="29"/>
            <c:invertIfNegative val="0"/>
            <c:bubble3D val="0"/>
            <c:extLst>
              <c:ext xmlns:c16="http://schemas.microsoft.com/office/drawing/2014/chart" uri="{C3380CC4-5D6E-409C-BE32-E72D297353CC}">
                <c16:uniqueId val="{0000001D-5A52-4EA9-AD50-C2E3992817E6}"/>
              </c:ext>
            </c:extLst>
          </c:dPt>
          <c:dPt>
            <c:idx val="30"/>
            <c:invertIfNegative val="0"/>
            <c:bubble3D val="0"/>
            <c:extLst>
              <c:ext xmlns:c16="http://schemas.microsoft.com/office/drawing/2014/chart" uri="{C3380CC4-5D6E-409C-BE32-E72D297353CC}">
                <c16:uniqueId val="{0000001E-5A52-4EA9-AD50-C2E3992817E6}"/>
              </c:ext>
            </c:extLst>
          </c:dPt>
          <c:dPt>
            <c:idx val="31"/>
            <c:invertIfNegative val="0"/>
            <c:bubble3D val="0"/>
            <c:extLst>
              <c:ext xmlns:c16="http://schemas.microsoft.com/office/drawing/2014/chart" uri="{C3380CC4-5D6E-409C-BE32-E72D297353CC}">
                <c16:uniqueId val="{0000001F-5A52-4EA9-AD50-C2E3992817E6}"/>
              </c:ext>
            </c:extLst>
          </c:dPt>
          <c:dPt>
            <c:idx val="32"/>
            <c:invertIfNegative val="0"/>
            <c:bubble3D val="0"/>
            <c:extLst>
              <c:ext xmlns:c16="http://schemas.microsoft.com/office/drawing/2014/chart" uri="{C3380CC4-5D6E-409C-BE32-E72D297353CC}">
                <c16:uniqueId val="{00000020-5A52-4EA9-AD50-C2E3992817E6}"/>
              </c:ext>
            </c:extLst>
          </c:dPt>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sec'!$F$4:$F$36</c:f>
              <c:numCache>
                <c:formatCode>0.0;\-0.0;;\ @</c:formatCode>
                <c:ptCount val="33"/>
                <c:pt idx="0">
                  <c:v>-20.62383579825493</c:v>
                </c:pt>
                <c:pt idx="1">
                  <c:v>-19.785163227876595</c:v>
                </c:pt>
                <c:pt idx="2">
                  <c:v>0</c:v>
                </c:pt>
                <c:pt idx="3">
                  <c:v>-6.3158853450279082</c:v>
                </c:pt>
                <c:pt idx="4">
                  <c:v>-4.955665995065857</c:v>
                </c:pt>
                <c:pt idx="5">
                  <c:v>-4.4348642946159202</c:v>
                </c:pt>
                <c:pt idx="6">
                  <c:v>-4.4256543096581709</c:v>
                </c:pt>
                <c:pt idx="7">
                  <c:v>-4.2150529137470869</c:v>
                </c:pt>
                <c:pt idx="8">
                  <c:v>-2.8341561270445226</c:v>
                </c:pt>
                <c:pt idx="9">
                  <c:v>-2.6627643020843692</c:v>
                </c:pt>
                <c:pt idx="10">
                  <c:v>-0.46279883307049374</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5A52-4EA9-AD50-C2E3992817E6}"/>
            </c:ext>
          </c:extLst>
        </c:ser>
        <c:ser>
          <c:idx val="1"/>
          <c:order val="1"/>
          <c:spPr>
            <a:solidFill>
              <a:srgbClr val="08989C"/>
            </a:solidFill>
            <a:effectLst/>
            <a:scene3d>
              <a:camera prst="orthographicFront"/>
              <a:lightRig rig="threePt" dir="t">
                <a:rot lat="0" lon="0" rev="1200000"/>
              </a:lightRig>
            </a:scene3d>
            <a:sp3d/>
          </c:spPr>
          <c:invertIfNegative val="0"/>
          <c:dLbls>
            <c:dLbl>
              <c:idx val="32"/>
              <c:dLblPos val="outEnd"/>
              <c:showLegendKey val="0"/>
              <c:showVal val="1"/>
              <c:showCatName val="0"/>
              <c:showSerName val="0"/>
              <c:showPercent val="0"/>
              <c:showBubbleSize val="0"/>
              <c:extLst>
                <c:ext xmlns:c15="http://schemas.microsoft.com/office/drawing/2012/chart" uri="{CE6537A1-D6FC-4f65-9D91-7224C49458BB}">
                  <c15:layout>
                    <c:manualLayout>
                      <c:w val="6.6184299516908199E-2"/>
                      <c:h val="2.6329074074074067E-2"/>
                    </c:manualLayout>
                  </c15:layout>
                </c:ext>
                <c:ext xmlns:c16="http://schemas.microsoft.com/office/drawing/2014/chart" uri="{C3380CC4-5D6E-409C-BE32-E72D297353CC}">
                  <c16:uniqueId val="{00000022-5A52-4EA9-AD50-C2E3992817E6}"/>
                </c:ext>
              </c:extLst>
            </c:dLbl>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sec'!$G$4:$G$36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0.16162340710992851</c:v>
                </c:pt>
                <c:pt idx="12">
                  <c:v>0.35999215702935317</c:v>
                </c:pt>
                <c:pt idx="13">
                  <c:v>0.49102868299233648</c:v>
                </c:pt>
                <c:pt idx="14">
                  <c:v>0.51404446909231183</c:v>
                </c:pt>
                <c:pt idx="15">
                  <c:v>0.87278589894353331</c:v>
                </c:pt>
                <c:pt idx="16">
                  <c:v>0</c:v>
                </c:pt>
                <c:pt idx="17">
                  <c:v>1.4039959905298645</c:v>
                </c:pt>
                <c:pt idx="18">
                  <c:v>2.11814721148356</c:v>
                </c:pt>
                <c:pt idx="19">
                  <c:v>2.3719013482500912</c:v>
                </c:pt>
                <c:pt idx="20">
                  <c:v>3.0348266902058043</c:v>
                </c:pt>
                <c:pt idx="21">
                  <c:v>3.409923256889698</c:v>
                </c:pt>
                <c:pt idx="22">
                  <c:v>3.5387595616007701</c:v>
                </c:pt>
                <c:pt idx="23">
                  <c:v>3.6299103719044723</c:v>
                </c:pt>
                <c:pt idx="24">
                  <c:v>4.09202095443122</c:v>
                </c:pt>
                <c:pt idx="25">
                  <c:v>5.7035356499109326</c:v>
                </c:pt>
                <c:pt idx="26">
                  <c:v>6.6370908616450492</c:v>
                </c:pt>
                <c:pt idx="27">
                  <c:v>7.0167802214216692</c:v>
                </c:pt>
                <c:pt idx="28">
                  <c:v>7.8356722770799792</c:v>
                </c:pt>
                <c:pt idx="29">
                  <c:v>8.1527061660410709</c:v>
                </c:pt>
                <c:pt idx="30">
                  <c:v>9.2553375054174012</c:v>
                </c:pt>
                <c:pt idx="31">
                  <c:v>10.654030368748749</c:v>
                </c:pt>
                <c:pt idx="32">
                  <c:v>19.072642709661466</c:v>
                </c:pt>
              </c:numCache>
            </c:numRef>
          </c:val>
          <c:extLst>
            <c:ext xmlns:c16="http://schemas.microsoft.com/office/drawing/2014/chart" uri="{C3380CC4-5D6E-409C-BE32-E72D297353CC}">
              <c16:uniqueId val="{00000023-5A52-4EA9-AD50-C2E3992817E6}"/>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1.1378329674888903</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5A52-4EA9-AD50-C2E3992817E6}"/>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sec'!$E$4:$E$36</c:f>
              <c:numCache>
                <c:formatCode>0.0;\-0.0;;\ @</c:formatCode>
                <c:ptCount val="33"/>
                <c:pt idx="0">
                  <c:v>0</c:v>
                </c:pt>
                <c:pt idx="1">
                  <c:v>0</c:v>
                </c:pt>
                <c:pt idx="2">
                  <c:v>-9.2792473774783844</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5-5A52-4EA9-AD50-C2E3992817E6}"/>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a:solidFill>
                  <a:srgbClr val="4D565E"/>
                </a:solidFill>
              </a:defRPr>
            </a:pPr>
            <a:endParaRPr lang="es-MX"/>
          </a:p>
        </c:txPr>
        <c:crossAx val="-1574190608"/>
        <c:crosses val="autoZero"/>
        <c:auto val="0"/>
        <c:lblAlgn val="ctr"/>
        <c:lblOffset val="100"/>
        <c:noMultiLvlLbl val="0"/>
      </c:catAx>
      <c:valAx>
        <c:axId val="-1574190608"/>
        <c:scaling>
          <c:orientation val="minMax"/>
          <c:min val="-30"/>
        </c:scaling>
        <c:delete val="0"/>
        <c:axPos val="b"/>
        <c:numFmt formatCode="#,##0" sourceLinked="0"/>
        <c:majorTickMark val="out"/>
        <c:minorTickMark val="none"/>
        <c:tickLblPos val="nextTo"/>
        <c:spPr>
          <a:noFill/>
        </c:spPr>
        <c:txPr>
          <a:bodyPr/>
          <a:lstStyle/>
          <a:p>
            <a:pPr>
              <a:defRPr baseline="0">
                <a:solidFill>
                  <a:srgbClr val="4D565E"/>
                </a:solidFill>
              </a:defRPr>
            </a:pPr>
            <a:endParaRPr lang="es-MX"/>
          </a:p>
        </c:txPr>
        <c:crossAx val="-1574192784"/>
        <c:crosses val="autoZero"/>
        <c:crossBetween val="between"/>
      </c:valAx>
      <c:spPr>
        <a:noFill/>
        <a:ln w="9525">
          <a:noFill/>
        </a:ln>
        <a:effectLst/>
      </c:spPr>
    </c:plotArea>
    <c:plotVisOnly val="0"/>
    <c:dispBlanksAs val="gap"/>
    <c:showDLblsOverMax val="0"/>
  </c:chart>
  <c:spPr>
    <a:noFill/>
    <a:ln>
      <a:noFill/>
    </a:ln>
    <a:effectLst/>
  </c:spPr>
  <c:txPr>
    <a:bodyPr/>
    <a:lstStyle/>
    <a:p>
      <a:pPr>
        <a:defRPr sz="800">
          <a:latin typeface="Arial" panose="020B0604020202020204" pitchFamily="34" charset="0"/>
          <a:cs typeface="Arial" panose="020B0604020202020204" pitchFamily="34" charset="0"/>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8489975845410629"/>
          <c:y val="2.587037037037037E-2"/>
          <c:w val="0.58986908212560385"/>
          <c:h val="0.9264772222222221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B462-48D0-8B4D-71DAB81E612B}"/>
              </c:ext>
            </c:extLst>
          </c:dPt>
          <c:dPt>
            <c:idx val="1"/>
            <c:invertIfNegative val="0"/>
            <c:bubble3D val="0"/>
            <c:extLst>
              <c:ext xmlns:c16="http://schemas.microsoft.com/office/drawing/2014/chart" uri="{C3380CC4-5D6E-409C-BE32-E72D297353CC}">
                <c16:uniqueId val="{00000001-B462-48D0-8B4D-71DAB81E612B}"/>
              </c:ext>
            </c:extLst>
          </c:dPt>
          <c:dPt>
            <c:idx val="2"/>
            <c:invertIfNegative val="0"/>
            <c:bubble3D val="0"/>
            <c:extLst>
              <c:ext xmlns:c16="http://schemas.microsoft.com/office/drawing/2014/chart" uri="{C3380CC4-5D6E-409C-BE32-E72D297353CC}">
                <c16:uniqueId val="{00000002-B462-48D0-8B4D-71DAB81E612B}"/>
              </c:ext>
            </c:extLst>
          </c:dPt>
          <c:dPt>
            <c:idx val="3"/>
            <c:invertIfNegative val="0"/>
            <c:bubble3D val="0"/>
            <c:extLst>
              <c:ext xmlns:c16="http://schemas.microsoft.com/office/drawing/2014/chart" uri="{C3380CC4-5D6E-409C-BE32-E72D297353CC}">
                <c16:uniqueId val="{00000003-B462-48D0-8B4D-71DAB81E612B}"/>
              </c:ext>
            </c:extLst>
          </c:dPt>
          <c:dPt>
            <c:idx val="4"/>
            <c:invertIfNegative val="0"/>
            <c:bubble3D val="0"/>
            <c:extLst>
              <c:ext xmlns:c16="http://schemas.microsoft.com/office/drawing/2014/chart" uri="{C3380CC4-5D6E-409C-BE32-E72D297353CC}">
                <c16:uniqueId val="{00000004-B462-48D0-8B4D-71DAB81E612B}"/>
              </c:ext>
            </c:extLst>
          </c:dPt>
          <c:dPt>
            <c:idx val="5"/>
            <c:invertIfNegative val="0"/>
            <c:bubble3D val="0"/>
            <c:extLst>
              <c:ext xmlns:c16="http://schemas.microsoft.com/office/drawing/2014/chart" uri="{C3380CC4-5D6E-409C-BE32-E72D297353CC}">
                <c16:uniqueId val="{00000005-B462-48D0-8B4D-71DAB81E612B}"/>
              </c:ext>
            </c:extLst>
          </c:dPt>
          <c:dPt>
            <c:idx val="6"/>
            <c:invertIfNegative val="0"/>
            <c:bubble3D val="0"/>
            <c:extLst>
              <c:ext xmlns:c16="http://schemas.microsoft.com/office/drawing/2014/chart" uri="{C3380CC4-5D6E-409C-BE32-E72D297353CC}">
                <c16:uniqueId val="{00000006-B462-48D0-8B4D-71DAB81E612B}"/>
              </c:ext>
            </c:extLst>
          </c:dPt>
          <c:dPt>
            <c:idx val="7"/>
            <c:invertIfNegative val="0"/>
            <c:bubble3D val="0"/>
            <c:extLst>
              <c:ext xmlns:c16="http://schemas.microsoft.com/office/drawing/2014/chart" uri="{C3380CC4-5D6E-409C-BE32-E72D297353CC}">
                <c16:uniqueId val="{00000007-B462-48D0-8B4D-71DAB81E612B}"/>
              </c:ext>
            </c:extLst>
          </c:dPt>
          <c:dPt>
            <c:idx val="8"/>
            <c:invertIfNegative val="0"/>
            <c:bubble3D val="0"/>
            <c:extLst>
              <c:ext xmlns:c16="http://schemas.microsoft.com/office/drawing/2014/chart" uri="{C3380CC4-5D6E-409C-BE32-E72D297353CC}">
                <c16:uniqueId val="{00000008-B462-48D0-8B4D-71DAB81E612B}"/>
              </c:ext>
            </c:extLst>
          </c:dPt>
          <c:dPt>
            <c:idx val="9"/>
            <c:invertIfNegative val="0"/>
            <c:bubble3D val="0"/>
            <c:extLst>
              <c:ext xmlns:c16="http://schemas.microsoft.com/office/drawing/2014/chart" uri="{C3380CC4-5D6E-409C-BE32-E72D297353CC}">
                <c16:uniqueId val="{00000009-B462-48D0-8B4D-71DAB81E612B}"/>
              </c:ext>
            </c:extLst>
          </c:dPt>
          <c:dPt>
            <c:idx val="10"/>
            <c:invertIfNegative val="0"/>
            <c:bubble3D val="0"/>
            <c:extLst>
              <c:ext xmlns:c16="http://schemas.microsoft.com/office/drawing/2014/chart" uri="{C3380CC4-5D6E-409C-BE32-E72D297353CC}">
                <c16:uniqueId val="{0000000A-B462-48D0-8B4D-71DAB81E612B}"/>
              </c:ext>
            </c:extLst>
          </c:dPt>
          <c:dPt>
            <c:idx val="11"/>
            <c:invertIfNegative val="0"/>
            <c:bubble3D val="0"/>
            <c:extLst>
              <c:ext xmlns:c16="http://schemas.microsoft.com/office/drawing/2014/chart" uri="{C3380CC4-5D6E-409C-BE32-E72D297353CC}">
                <c16:uniqueId val="{0000000B-B462-48D0-8B4D-71DAB81E612B}"/>
              </c:ext>
            </c:extLst>
          </c:dPt>
          <c:dPt>
            <c:idx val="12"/>
            <c:invertIfNegative val="0"/>
            <c:bubble3D val="0"/>
            <c:extLst>
              <c:ext xmlns:c16="http://schemas.microsoft.com/office/drawing/2014/chart" uri="{C3380CC4-5D6E-409C-BE32-E72D297353CC}">
                <c16:uniqueId val="{0000000C-B462-48D0-8B4D-71DAB81E612B}"/>
              </c:ext>
            </c:extLst>
          </c:dPt>
          <c:dPt>
            <c:idx val="13"/>
            <c:invertIfNegative val="0"/>
            <c:bubble3D val="0"/>
            <c:extLst>
              <c:ext xmlns:c16="http://schemas.microsoft.com/office/drawing/2014/chart" uri="{C3380CC4-5D6E-409C-BE32-E72D297353CC}">
                <c16:uniqueId val="{0000000D-B462-48D0-8B4D-71DAB81E612B}"/>
              </c:ext>
            </c:extLst>
          </c:dPt>
          <c:dPt>
            <c:idx val="14"/>
            <c:invertIfNegative val="0"/>
            <c:bubble3D val="0"/>
            <c:extLst>
              <c:ext xmlns:c16="http://schemas.microsoft.com/office/drawing/2014/chart" uri="{C3380CC4-5D6E-409C-BE32-E72D297353CC}">
                <c16:uniqueId val="{0000000E-B462-48D0-8B4D-71DAB81E612B}"/>
              </c:ext>
            </c:extLst>
          </c:dPt>
          <c:dPt>
            <c:idx val="15"/>
            <c:invertIfNegative val="0"/>
            <c:bubble3D val="0"/>
            <c:extLst>
              <c:ext xmlns:c16="http://schemas.microsoft.com/office/drawing/2014/chart" uri="{C3380CC4-5D6E-409C-BE32-E72D297353CC}">
                <c16:uniqueId val="{0000000F-B462-48D0-8B4D-71DAB81E612B}"/>
              </c:ext>
            </c:extLst>
          </c:dPt>
          <c:dPt>
            <c:idx val="16"/>
            <c:invertIfNegative val="0"/>
            <c:bubble3D val="0"/>
            <c:extLst>
              <c:ext xmlns:c16="http://schemas.microsoft.com/office/drawing/2014/chart" uri="{C3380CC4-5D6E-409C-BE32-E72D297353CC}">
                <c16:uniqueId val="{00000010-B462-48D0-8B4D-71DAB81E612B}"/>
              </c:ext>
            </c:extLst>
          </c:dPt>
          <c:dPt>
            <c:idx val="17"/>
            <c:invertIfNegative val="0"/>
            <c:bubble3D val="0"/>
            <c:extLst>
              <c:ext xmlns:c16="http://schemas.microsoft.com/office/drawing/2014/chart" uri="{C3380CC4-5D6E-409C-BE32-E72D297353CC}">
                <c16:uniqueId val="{00000011-B462-48D0-8B4D-71DAB81E612B}"/>
              </c:ext>
            </c:extLst>
          </c:dPt>
          <c:dPt>
            <c:idx val="18"/>
            <c:invertIfNegative val="0"/>
            <c:bubble3D val="0"/>
            <c:extLst>
              <c:ext xmlns:c16="http://schemas.microsoft.com/office/drawing/2014/chart" uri="{C3380CC4-5D6E-409C-BE32-E72D297353CC}">
                <c16:uniqueId val="{00000012-B462-48D0-8B4D-71DAB81E612B}"/>
              </c:ext>
            </c:extLst>
          </c:dPt>
          <c:dPt>
            <c:idx val="19"/>
            <c:invertIfNegative val="0"/>
            <c:bubble3D val="0"/>
            <c:extLst>
              <c:ext xmlns:c16="http://schemas.microsoft.com/office/drawing/2014/chart" uri="{C3380CC4-5D6E-409C-BE32-E72D297353CC}">
                <c16:uniqueId val="{00000013-B462-48D0-8B4D-71DAB81E612B}"/>
              </c:ext>
            </c:extLst>
          </c:dPt>
          <c:dPt>
            <c:idx val="20"/>
            <c:invertIfNegative val="0"/>
            <c:bubble3D val="0"/>
            <c:extLst>
              <c:ext xmlns:c16="http://schemas.microsoft.com/office/drawing/2014/chart" uri="{C3380CC4-5D6E-409C-BE32-E72D297353CC}">
                <c16:uniqueId val="{00000014-B462-48D0-8B4D-71DAB81E612B}"/>
              </c:ext>
            </c:extLst>
          </c:dPt>
          <c:dPt>
            <c:idx val="21"/>
            <c:invertIfNegative val="0"/>
            <c:bubble3D val="0"/>
            <c:extLst>
              <c:ext xmlns:c16="http://schemas.microsoft.com/office/drawing/2014/chart" uri="{C3380CC4-5D6E-409C-BE32-E72D297353CC}">
                <c16:uniqueId val="{00000015-B462-48D0-8B4D-71DAB81E612B}"/>
              </c:ext>
            </c:extLst>
          </c:dPt>
          <c:dPt>
            <c:idx val="22"/>
            <c:invertIfNegative val="0"/>
            <c:bubble3D val="0"/>
            <c:extLst>
              <c:ext xmlns:c16="http://schemas.microsoft.com/office/drawing/2014/chart" uri="{C3380CC4-5D6E-409C-BE32-E72D297353CC}">
                <c16:uniqueId val="{00000016-B462-48D0-8B4D-71DAB81E612B}"/>
              </c:ext>
            </c:extLst>
          </c:dPt>
          <c:dPt>
            <c:idx val="23"/>
            <c:invertIfNegative val="0"/>
            <c:bubble3D val="0"/>
            <c:extLst>
              <c:ext xmlns:c16="http://schemas.microsoft.com/office/drawing/2014/chart" uri="{C3380CC4-5D6E-409C-BE32-E72D297353CC}">
                <c16:uniqueId val="{00000017-B462-48D0-8B4D-71DAB81E612B}"/>
              </c:ext>
            </c:extLst>
          </c:dPt>
          <c:dPt>
            <c:idx val="24"/>
            <c:invertIfNegative val="0"/>
            <c:bubble3D val="0"/>
            <c:extLst>
              <c:ext xmlns:c16="http://schemas.microsoft.com/office/drawing/2014/chart" uri="{C3380CC4-5D6E-409C-BE32-E72D297353CC}">
                <c16:uniqueId val="{00000018-B462-48D0-8B4D-71DAB81E612B}"/>
              </c:ext>
            </c:extLst>
          </c:dPt>
          <c:dPt>
            <c:idx val="25"/>
            <c:invertIfNegative val="0"/>
            <c:bubble3D val="0"/>
            <c:extLst>
              <c:ext xmlns:c16="http://schemas.microsoft.com/office/drawing/2014/chart" uri="{C3380CC4-5D6E-409C-BE32-E72D297353CC}">
                <c16:uniqueId val="{00000019-B462-48D0-8B4D-71DAB81E612B}"/>
              </c:ext>
            </c:extLst>
          </c:dPt>
          <c:dPt>
            <c:idx val="26"/>
            <c:invertIfNegative val="0"/>
            <c:bubble3D val="0"/>
            <c:extLst>
              <c:ext xmlns:c16="http://schemas.microsoft.com/office/drawing/2014/chart" uri="{C3380CC4-5D6E-409C-BE32-E72D297353CC}">
                <c16:uniqueId val="{0000001A-B462-48D0-8B4D-71DAB81E612B}"/>
              </c:ext>
            </c:extLst>
          </c:dPt>
          <c:dPt>
            <c:idx val="27"/>
            <c:invertIfNegative val="0"/>
            <c:bubble3D val="0"/>
            <c:extLst>
              <c:ext xmlns:c16="http://schemas.microsoft.com/office/drawing/2014/chart" uri="{C3380CC4-5D6E-409C-BE32-E72D297353CC}">
                <c16:uniqueId val="{0000001B-B462-48D0-8B4D-71DAB81E612B}"/>
              </c:ext>
            </c:extLst>
          </c:dPt>
          <c:dPt>
            <c:idx val="28"/>
            <c:invertIfNegative val="0"/>
            <c:bubble3D val="0"/>
            <c:extLst>
              <c:ext xmlns:c16="http://schemas.microsoft.com/office/drawing/2014/chart" uri="{C3380CC4-5D6E-409C-BE32-E72D297353CC}">
                <c16:uniqueId val="{0000001C-B462-48D0-8B4D-71DAB81E612B}"/>
              </c:ext>
            </c:extLst>
          </c:dPt>
          <c:dPt>
            <c:idx val="29"/>
            <c:invertIfNegative val="0"/>
            <c:bubble3D val="0"/>
            <c:extLst>
              <c:ext xmlns:c16="http://schemas.microsoft.com/office/drawing/2014/chart" uri="{C3380CC4-5D6E-409C-BE32-E72D297353CC}">
                <c16:uniqueId val="{0000001D-B462-48D0-8B4D-71DAB81E612B}"/>
              </c:ext>
            </c:extLst>
          </c:dPt>
          <c:dPt>
            <c:idx val="30"/>
            <c:invertIfNegative val="0"/>
            <c:bubble3D val="0"/>
            <c:extLst>
              <c:ext xmlns:c16="http://schemas.microsoft.com/office/drawing/2014/chart" uri="{C3380CC4-5D6E-409C-BE32-E72D297353CC}">
                <c16:uniqueId val="{0000001E-B462-48D0-8B4D-71DAB81E612B}"/>
              </c:ext>
            </c:extLst>
          </c:dPt>
          <c:dPt>
            <c:idx val="31"/>
            <c:invertIfNegative val="0"/>
            <c:bubble3D val="0"/>
            <c:extLst>
              <c:ext xmlns:c16="http://schemas.microsoft.com/office/drawing/2014/chart" uri="{C3380CC4-5D6E-409C-BE32-E72D297353CC}">
                <c16:uniqueId val="{0000001F-B462-48D0-8B4D-71DAB81E612B}"/>
              </c:ext>
            </c:extLst>
          </c:dPt>
          <c:dPt>
            <c:idx val="32"/>
            <c:invertIfNegative val="0"/>
            <c:bubble3D val="0"/>
            <c:extLst>
              <c:ext xmlns:c16="http://schemas.microsoft.com/office/drawing/2014/chart" uri="{C3380CC4-5D6E-409C-BE32-E72D297353CC}">
                <c16:uniqueId val="{00000020-B462-48D0-8B4D-71DAB81E612B}"/>
              </c:ext>
            </c:extLst>
          </c:dPt>
          <c:dLbls>
            <c:spPr>
              <a:noFill/>
              <a:ln>
                <a:noFill/>
              </a:ln>
              <a:effectLst/>
            </c:spPr>
            <c:txPr>
              <a:bodyPr/>
              <a:lstStyle/>
              <a:p>
                <a:pPr>
                  <a:defRPr sz="800" b="1" baseline="0">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ter'!$F$4:$F$36</c:f>
              <c:numCache>
                <c:formatCode>0.0;\-0.0;;\ @</c:formatCode>
                <c:ptCount val="33"/>
                <c:pt idx="0">
                  <c:v>-0.82628337340236158</c:v>
                </c:pt>
                <c:pt idx="1">
                  <c:v>-7.911323960733796E-2</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B462-48D0-8B4D-71DAB81E612B}"/>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ter'!$G$4:$G$36</c:f>
              <c:numCache>
                <c:formatCode>0.0;\-0.0;;\ @</c:formatCode>
                <c:ptCount val="33"/>
                <c:pt idx="0">
                  <c:v>0</c:v>
                </c:pt>
                <c:pt idx="1">
                  <c:v>0</c:v>
                </c:pt>
                <c:pt idx="2">
                  <c:v>0.9998726713572097</c:v>
                </c:pt>
                <c:pt idx="3">
                  <c:v>1.34663218889375</c:v>
                </c:pt>
                <c:pt idx="4">
                  <c:v>1.5184268778331074</c:v>
                </c:pt>
                <c:pt idx="5">
                  <c:v>1.6215451278453656</c:v>
                </c:pt>
                <c:pt idx="6">
                  <c:v>1.6343666461092567</c:v>
                </c:pt>
                <c:pt idx="7">
                  <c:v>1.908303670182022</c:v>
                </c:pt>
                <c:pt idx="8">
                  <c:v>1.9345986453565445</c:v>
                </c:pt>
                <c:pt idx="9">
                  <c:v>2.0234366132939101</c:v>
                </c:pt>
                <c:pt idx="10">
                  <c:v>2.0499612147184507</c:v>
                </c:pt>
                <c:pt idx="11">
                  <c:v>2.102542017035816</c:v>
                </c:pt>
                <c:pt idx="12">
                  <c:v>0</c:v>
                </c:pt>
                <c:pt idx="13">
                  <c:v>2.3799604891665496</c:v>
                </c:pt>
                <c:pt idx="14">
                  <c:v>2.4409920171245574</c:v>
                </c:pt>
                <c:pt idx="15">
                  <c:v>2.474283953298368</c:v>
                </c:pt>
                <c:pt idx="16">
                  <c:v>2.5715955711190759</c:v>
                </c:pt>
                <c:pt idx="17">
                  <c:v>2.5996769017210539</c:v>
                </c:pt>
                <c:pt idx="18">
                  <c:v>2.7757581246637102</c:v>
                </c:pt>
                <c:pt idx="19">
                  <c:v>0</c:v>
                </c:pt>
                <c:pt idx="20">
                  <c:v>2.9046499439471631</c:v>
                </c:pt>
                <c:pt idx="21">
                  <c:v>2.9728302051536417</c:v>
                </c:pt>
                <c:pt idx="22">
                  <c:v>3.0353245292531454</c:v>
                </c:pt>
                <c:pt idx="23">
                  <c:v>3.1219831851668545</c:v>
                </c:pt>
                <c:pt idx="24">
                  <c:v>3.165755190175858</c:v>
                </c:pt>
                <c:pt idx="25">
                  <c:v>3.2419893925203667</c:v>
                </c:pt>
                <c:pt idx="26">
                  <c:v>3.2629931350403041</c:v>
                </c:pt>
                <c:pt idx="27">
                  <c:v>3.287988070535647</c:v>
                </c:pt>
                <c:pt idx="28">
                  <c:v>3.3469835188274004</c:v>
                </c:pt>
                <c:pt idx="29">
                  <c:v>3.4732593632145239</c:v>
                </c:pt>
                <c:pt idx="30">
                  <c:v>3.5520592237953821</c:v>
                </c:pt>
                <c:pt idx="31">
                  <c:v>3.6862487315542296</c:v>
                </c:pt>
                <c:pt idx="32">
                  <c:v>5.4463670885019297</c:v>
                </c:pt>
              </c:numCache>
            </c:numRef>
          </c:val>
          <c:extLst>
            <c:ext xmlns:c16="http://schemas.microsoft.com/office/drawing/2014/chart" uri="{C3380CC4-5D6E-409C-BE32-E72D297353CC}">
              <c16:uniqueId val="{00000022-B462-48D0-8B4D-71DAB81E612B}"/>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2.3490402910842221</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3-B462-48D0-8B4D-71DAB81E612B}"/>
            </c:ext>
          </c:extLst>
        </c:ser>
        <c:ser>
          <c:idx val="3"/>
          <c:order val="3"/>
          <c:spPr>
            <a:solidFill>
              <a:srgbClr val="003057"/>
            </a:solidFill>
            <a:effectLst/>
            <a:scene3d>
              <a:camera prst="orthographicFront"/>
              <a:lightRig rig="threePt" dir="t">
                <a:rot lat="0" lon="0" rev="1200000"/>
              </a:lightRig>
            </a:scene3d>
            <a:sp3d/>
          </c:spPr>
          <c:invertIfNegative val="0"/>
          <c:dLbls>
            <c:dLbl>
              <c:idx val="32"/>
              <c:layout>
                <c:manualLayout>
                  <c:x val="-9.20289855072463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B462-48D0-8B4D-71DAB81E612B}"/>
                </c:ext>
              </c:extLst>
            </c:dLbl>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2.876786896997757</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5-B462-48D0-8B4D-71DAB81E612B}"/>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sz="800" b="0" i="0" baseline="0">
                <a:solidFill>
                  <a:srgbClr val="4D565E"/>
                </a:solidFill>
                <a:latin typeface="Arial" panose="020B0604020202020204" pitchFamily="34" charset="0"/>
                <a:cs typeface="Arial" panose="020B0604020202020204" pitchFamily="34" charset="0"/>
              </a:defRPr>
            </a:pPr>
            <a:endParaRPr lang="es-MX"/>
          </a:p>
        </c:txPr>
        <c:crossAx val="-1574190608"/>
        <c:crosses val="autoZero"/>
        <c:auto val="0"/>
        <c:lblAlgn val="ctr"/>
        <c:lblOffset val="100"/>
        <c:noMultiLvlLbl val="0"/>
      </c:catAx>
      <c:valAx>
        <c:axId val="-1574190608"/>
        <c:scaling>
          <c:orientation val="minMax"/>
        </c:scaling>
        <c:delete val="0"/>
        <c:axPos val="b"/>
        <c:numFmt formatCode="#,##0" sourceLinked="0"/>
        <c:majorTickMark val="out"/>
        <c:minorTickMark val="none"/>
        <c:tickLblPos val="nextTo"/>
        <c:spPr>
          <a:noFill/>
        </c:spPr>
        <c:txPr>
          <a:bodyPr/>
          <a:lstStyle/>
          <a:p>
            <a:pPr>
              <a:defRPr sz="800" b="0" i="0" baseline="0">
                <a:solidFill>
                  <a:srgbClr val="4D565E"/>
                </a:solidFill>
                <a:latin typeface="Arial" panose="020B0604020202020204" pitchFamily="34" charset="0"/>
                <a:cs typeface="Arial" panose="020B0604020202020204" pitchFamily="34" charset="0"/>
              </a:defRPr>
            </a:pPr>
            <a:endParaRPr lang="es-MX"/>
          </a:p>
        </c:txPr>
        <c:crossAx val="-1574192784"/>
        <c:crosses val="autoZero"/>
        <c:crossBetween val="between"/>
      </c:valAx>
      <c:spPr>
        <a:noFill/>
        <a:ln w="9525">
          <a:noFill/>
        </a:ln>
        <a:effectLst/>
      </c:spPr>
    </c:plotArea>
    <c:plotVisOnly val="0"/>
    <c:dispBlanksAs val="gap"/>
    <c:showDLblsOverMax val="0"/>
  </c:chart>
  <c:spPr>
    <a:noFill/>
    <a:ln>
      <a:noFill/>
    </a:ln>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54270833333333335"/>
          <c:y val="2.8652777777777777E-2"/>
          <c:w val="0.38999826388888897"/>
          <c:h val="0.92369481481481486"/>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BFE5-4DA0-AEA7-E128188936FD}"/>
              </c:ext>
            </c:extLst>
          </c:dPt>
          <c:dPt>
            <c:idx val="1"/>
            <c:invertIfNegative val="0"/>
            <c:bubble3D val="0"/>
            <c:extLst>
              <c:ext xmlns:c16="http://schemas.microsoft.com/office/drawing/2014/chart" uri="{C3380CC4-5D6E-409C-BE32-E72D297353CC}">
                <c16:uniqueId val="{00000001-BFE5-4DA0-AEA7-E128188936FD}"/>
              </c:ext>
            </c:extLst>
          </c:dPt>
          <c:dPt>
            <c:idx val="2"/>
            <c:invertIfNegative val="0"/>
            <c:bubble3D val="0"/>
            <c:extLst>
              <c:ext xmlns:c16="http://schemas.microsoft.com/office/drawing/2014/chart" uri="{C3380CC4-5D6E-409C-BE32-E72D297353CC}">
                <c16:uniqueId val="{00000002-BFE5-4DA0-AEA7-E128188936FD}"/>
              </c:ext>
            </c:extLst>
          </c:dPt>
          <c:dPt>
            <c:idx val="3"/>
            <c:invertIfNegative val="0"/>
            <c:bubble3D val="0"/>
            <c:extLst>
              <c:ext xmlns:c16="http://schemas.microsoft.com/office/drawing/2014/chart" uri="{C3380CC4-5D6E-409C-BE32-E72D297353CC}">
                <c16:uniqueId val="{00000003-BFE5-4DA0-AEA7-E128188936FD}"/>
              </c:ext>
            </c:extLst>
          </c:dPt>
          <c:dPt>
            <c:idx val="4"/>
            <c:invertIfNegative val="0"/>
            <c:bubble3D val="0"/>
            <c:extLst>
              <c:ext xmlns:c16="http://schemas.microsoft.com/office/drawing/2014/chart" uri="{C3380CC4-5D6E-409C-BE32-E72D297353CC}">
                <c16:uniqueId val="{00000004-BFE5-4DA0-AEA7-E128188936FD}"/>
              </c:ext>
            </c:extLst>
          </c:dPt>
          <c:dPt>
            <c:idx val="5"/>
            <c:invertIfNegative val="0"/>
            <c:bubble3D val="0"/>
            <c:extLst>
              <c:ext xmlns:c16="http://schemas.microsoft.com/office/drawing/2014/chart" uri="{C3380CC4-5D6E-409C-BE32-E72D297353CC}">
                <c16:uniqueId val="{00000005-BFE5-4DA0-AEA7-E128188936FD}"/>
              </c:ext>
            </c:extLst>
          </c:dPt>
          <c:dPt>
            <c:idx val="6"/>
            <c:invertIfNegative val="0"/>
            <c:bubble3D val="0"/>
            <c:extLst>
              <c:ext xmlns:c16="http://schemas.microsoft.com/office/drawing/2014/chart" uri="{C3380CC4-5D6E-409C-BE32-E72D297353CC}">
                <c16:uniqueId val="{00000006-BFE5-4DA0-AEA7-E128188936FD}"/>
              </c:ext>
            </c:extLst>
          </c:dPt>
          <c:dPt>
            <c:idx val="7"/>
            <c:invertIfNegative val="0"/>
            <c:bubble3D val="0"/>
            <c:extLst>
              <c:ext xmlns:c16="http://schemas.microsoft.com/office/drawing/2014/chart" uri="{C3380CC4-5D6E-409C-BE32-E72D297353CC}">
                <c16:uniqueId val="{00000007-BFE5-4DA0-AEA7-E128188936FD}"/>
              </c:ext>
            </c:extLst>
          </c:dPt>
          <c:dPt>
            <c:idx val="8"/>
            <c:invertIfNegative val="0"/>
            <c:bubble3D val="0"/>
            <c:extLst>
              <c:ext xmlns:c16="http://schemas.microsoft.com/office/drawing/2014/chart" uri="{C3380CC4-5D6E-409C-BE32-E72D297353CC}">
                <c16:uniqueId val="{00000008-BFE5-4DA0-AEA7-E128188936FD}"/>
              </c:ext>
            </c:extLst>
          </c:dPt>
          <c:dPt>
            <c:idx val="9"/>
            <c:invertIfNegative val="0"/>
            <c:bubble3D val="0"/>
            <c:extLst>
              <c:ext xmlns:c16="http://schemas.microsoft.com/office/drawing/2014/chart" uri="{C3380CC4-5D6E-409C-BE32-E72D297353CC}">
                <c16:uniqueId val="{00000009-BFE5-4DA0-AEA7-E128188936FD}"/>
              </c:ext>
            </c:extLst>
          </c:dPt>
          <c:dPt>
            <c:idx val="10"/>
            <c:invertIfNegative val="0"/>
            <c:bubble3D val="0"/>
            <c:extLst>
              <c:ext xmlns:c16="http://schemas.microsoft.com/office/drawing/2014/chart" uri="{C3380CC4-5D6E-409C-BE32-E72D297353CC}">
                <c16:uniqueId val="{0000000A-BFE5-4DA0-AEA7-E128188936FD}"/>
              </c:ext>
            </c:extLst>
          </c:dPt>
          <c:dPt>
            <c:idx val="11"/>
            <c:invertIfNegative val="0"/>
            <c:bubble3D val="0"/>
            <c:extLst>
              <c:ext xmlns:c16="http://schemas.microsoft.com/office/drawing/2014/chart" uri="{C3380CC4-5D6E-409C-BE32-E72D297353CC}">
                <c16:uniqueId val="{0000000B-BFE5-4DA0-AEA7-E128188936FD}"/>
              </c:ext>
            </c:extLst>
          </c:dPt>
          <c:dPt>
            <c:idx val="12"/>
            <c:invertIfNegative val="0"/>
            <c:bubble3D val="0"/>
            <c:extLst>
              <c:ext xmlns:c16="http://schemas.microsoft.com/office/drawing/2014/chart" uri="{C3380CC4-5D6E-409C-BE32-E72D297353CC}">
                <c16:uniqueId val="{0000000C-BFE5-4DA0-AEA7-E128188936FD}"/>
              </c:ext>
            </c:extLst>
          </c:dPt>
          <c:dPt>
            <c:idx val="13"/>
            <c:invertIfNegative val="0"/>
            <c:bubble3D val="0"/>
            <c:extLst>
              <c:ext xmlns:c16="http://schemas.microsoft.com/office/drawing/2014/chart" uri="{C3380CC4-5D6E-409C-BE32-E72D297353CC}">
                <c16:uniqueId val="{0000000D-BFE5-4DA0-AEA7-E128188936FD}"/>
              </c:ext>
            </c:extLst>
          </c:dPt>
          <c:dPt>
            <c:idx val="14"/>
            <c:invertIfNegative val="0"/>
            <c:bubble3D val="0"/>
            <c:extLst>
              <c:ext xmlns:c16="http://schemas.microsoft.com/office/drawing/2014/chart" uri="{C3380CC4-5D6E-409C-BE32-E72D297353CC}">
                <c16:uniqueId val="{0000000E-BFE5-4DA0-AEA7-E128188936FD}"/>
              </c:ext>
            </c:extLst>
          </c:dPt>
          <c:dPt>
            <c:idx val="15"/>
            <c:invertIfNegative val="0"/>
            <c:bubble3D val="0"/>
            <c:extLst>
              <c:ext xmlns:c16="http://schemas.microsoft.com/office/drawing/2014/chart" uri="{C3380CC4-5D6E-409C-BE32-E72D297353CC}">
                <c16:uniqueId val="{0000000F-BFE5-4DA0-AEA7-E128188936FD}"/>
              </c:ext>
            </c:extLst>
          </c:dPt>
          <c:dPt>
            <c:idx val="16"/>
            <c:invertIfNegative val="0"/>
            <c:bubble3D val="0"/>
            <c:extLst>
              <c:ext xmlns:c16="http://schemas.microsoft.com/office/drawing/2014/chart" uri="{C3380CC4-5D6E-409C-BE32-E72D297353CC}">
                <c16:uniqueId val="{00000010-BFE5-4DA0-AEA7-E128188936FD}"/>
              </c:ext>
            </c:extLst>
          </c:dPt>
          <c:dPt>
            <c:idx val="17"/>
            <c:invertIfNegative val="0"/>
            <c:bubble3D val="0"/>
            <c:extLst>
              <c:ext xmlns:c16="http://schemas.microsoft.com/office/drawing/2014/chart" uri="{C3380CC4-5D6E-409C-BE32-E72D297353CC}">
                <c16:uniqueId val="{00000011-BFE5-4DA0-AEA7-E128188936FD}"/>
              </c:ext>
            </c:extLst>
          </c:dPt>
          <c:dPt>
            <c:idx val="18"/>
            <c:invertIfNegative val="0"/>
            <c:bubble3D val="0"/>
            <c:extLst>
              <c:ext xmlns:c16="http://schemas.microsoft.com/office/drawing/2014/chart" uri="{C3380CC4-5D6E-409C-BE32-E72D297353CC}">
                <c16:uniqueId val="{00000012-BFE5-4DA0-AEA7-E128188936FD}"/>
              </c:ext>
            </c:extLst>
          </c:dPt>
          <c:dPt>
            <c:idx val="19"/>
            <c:invertIfNegative val="0"/>
            <c:bubble3D val="0"/>
            <c:extLst>
              <c:ext xmlns:c16="http://schemas.microsoft.com/office/drawing/2014/chart" uri="{C3380CC4-5D6E-409C-BE32-E72D297353CC}">
                <c16:uniqueId val="{00000013-BFE5-4DA0-AEA7-E128188936FD}"/>
              </c:ext>
            </c:extLst>
          </c:dPt>
          <c:dPt>
            <c:idx val="20"/>
            <c:invertIfNegative val="0"/>
            <c:bubble3D val="0"/>
            <c:extLst>
              <c:ext xmlns:c16="http://schemas.microsoft.com/office/drawing/2014/chart" uri="{C3380CC4-5D6E-409C-BE32-E72D297353CC}">
                <c16:uniqueId val="{00000014-BFE5-4DA0-AEA7-E128188936FD}"/>
              </c:ext>
            </c:extLst>
          </c:dPt>
          <c:dPt>
            <c:idx val="21"/>
            <c:invertIfNegative val="0"/>
            <c:bubble3D val="0"/>
            <c:extLst>
              <c:ext xmlns:c16="http://schemas.microsoft.com/office/drawing/2014/chart" uri="{C3380CC4-5D6E-409C-BE32-E72D297353CC}">
                <c16:uniqueId val="{00000015-BFE5-4DA0-AEA7-E128188936FD}"/>
              </c:ext>
            </c:extLst>
          </c:dPt>
          <c:dPt>
            <c:idx val="22"/>
            <c:invertIfNegative val="0"/>
            <c:bubble3D val="0"/>
            <c:extLst>
              <c:ext xmlns:c16="http://schemas.microsoft.com/office/drawing/2014/chart" uri="{C3380CC4-5D6E-409C-BE32-E72D297353CC}">
                <c16:uniqueId val="{00000016-BFE5-4DA0-AEA7-E128188936FD}"/>
              </c:ext>
            </c:extLst>
          </c:dPt>
          <c:dPt>
            <c:idx val="23"/>
            <c:invertIfNegative val="0"/>
            <c:bubble3D val="0"/>
            <c:extLst>
              <c:ext xmlns:c16="http://schemas.microsoft.com/office/drawing/2014/chart" uri="{C3380CC4-5D6E-409C-BE32-E72D297353CC}">
                <c16:uniqueId val="{00000017-BFE5-4DA0-AEA7-E128188936FD}"/>
              </c:ext>
            </c:extLst>
          </c:dPt>
          <c:dPt>
            <c:idx val="24"/>
            <c:invertIfNegative val="0"/>
            <c:bubble3D val="0"/>
            <c:extLst>
              <c:ext xmlns:c16="http://schemas.microsoft.com/office/drawing/2014/chart" uri="{C3380CC4-5D6E-409C-BE32-E72D297353CC}">
                <c16:uniqueId val="{00000018-BFE5-4DA0-AEA7-E128188936FD}"/>
              </c:ext>
            </c:extLst>
          </c:dPt>
          <c:dPt>
            <c:idx val="25"/>
            <c:invertIfNegative val="0"/>
            <c:bubble3D val="0"/>
            <c:extLst>
              <c:ext xmlns:c16="http://schemas.microsoft.com/office/drawing/2014/chart" uri="{C3380CC4-5D6E-409C-BE32-E72D297353CC}">
                <c16:uniqueId val="{00000019-BFE5-4DA0-AEA7-E128188936FD}"/>
              </c:ext>
            </c:extLst>
          </c:dPt>
          <c:dPt>
            <c:idx val="26"/>
            <c:invertIfNegative val="0"/>
            <c:bubble3D val="0"/>
            <c:extLst>
              <c:ext xmlns:c16="http://schemas.microsoft.com/office/drawing/2014/chart" uri="{C3380CC4-5D6E-409C-BE32-E72D297353CC}">
                <c16:uniqueId val="{0000001A-BFE5-4DA0-AEA7-E128188936FD}"/>
              </c:ext>
            </c:extLst>
          </c:dPt>
          <c:dPt>
            <c:idx val="27"/>
            <c:invertIfNegative val="0"/>
            <c:bubble3D val="0"/>
            <c:extLst>
              <c:ext xmlns:c16="http://schemas.microsoft.com/office/drawing/2014/chart" uri="{C3380CC4-5D6E-409C-BE32-E72D297353CC}">
                <c16:uniqueId val="{0000001B-BFE5-4DA0-AEA7-E128188936FD}"/>
              </c:ext>
            </c:extLst>
          </c:dPt>
          <c:dPt>
            <c:idx val="28"/>
            <c:invertIfNegative val="0"/>
            <c:bubble3D val="0"/>
            <c:extLst>
              <c:ext xmlns:c16="http://schemas.microsoft.com/office/drawing/2014/chart" uri="{C3380CC4-5D6E-409C-BE32-E72D297353CC}">
                <c16:uniqueId val="{0000001C-BFE5-4DA0-AEA7-E128188936FD}"/>
              </c:ext>
            </c:extLst>
          </c:dPt>
          <c:dPt>
            <c:idx val="29"/>
            <c:invertIfNegative val="0"/>
            <c:bubble3D val="0"/>
            <c:extLst>
              <c:ext xmlns:c16="http://schemas.microsoft.com/office/drawing/2014/chart" uri="{C3380CC4-5D6E-409C-BE32-E72D297353CC}">
                <c16:uniqueId val="{0000001D-BFE5-4DA0-AEA7-E128188936FD}"/>
              </c:ext>
            </c:extLst>
          </c:dPt>
          <c:dPt>
            <c:idx val="30"/>
            <c:invertIfNegative val="0"/>
            <c:bubble3D val="0"/>
            <c:extLst>
              <c:ext xmlns:c16="http://schemas.microsoft.com/office/drawing/2014/chart" uri="{C3380CC4-5D6E-409C-BE32-E72D297353CC}">
                <c16:uniqueId val="{0000001E-BFE5-4DA0-AEA7-E128188936FD}"/>
              </c:ext>
            </c:extLst>
          </c:dPt>
          <c:dPt>
            <c:idx val="31"/>
            <c:invertIfNegative val="0"/>
            <c:bubble3D val="0"/>
            <c:extLst>
              <c:ext xmlns:c16="http://schemas.microsoft.com/office/drawing/2014/chart" uri="{C3380CC4-5D6E-409C-BE32-E72D297353CC}">
                <c16:uniqueId val="{0000001F-BFE5-4DA0-AEA7-E128188936FD}"/>
              </c:ext>
            </c:extLst>
          </c:dPt>
          <c:dPt>
            <c:idx val="32"/>
            <c:invertIfNegative val="0"/>
            <c:bubble3D val="0"/>
            <c:extLst>
              <c:ext xmlns:c16="http://schemas.microsoft.com/office/drawing/2014/chart" uri="{C3380CC4-5D6E-409C-BE32-E72D297353CC}">
                <c16:uniqueId val="{00000020-BFE5-4DA0-AEA7-E128188936FD}"/>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pond'!$F$4:$F$36</c:f>
              <c:numCache>
                <c:formatCode>0.0;\-0.0;;\ @</c:formatCode>
                <c:ptCount val="33"/>
                <c:pt idx="0">
                  <c:v>-5.7421727277960031</c:v>
                </c:pt>
                <c:pt idx="1">
                  <c:v>-3.5334357450256562</c:v>
                </c:pt>
                <c:pt idx="2">
                  <c:v>-2.3664418270408305</c:v>
                </c:pt>
                <c:pt idx="3">
                  <c:v>-1.5986560948204982</c:v>
                </c:pt>
                <c:pt idx="4">
                  <c:v>-0.95968918880015508</c:v>
                </c:pt>
                <c:pt idx="5">
                  <c:v>-0.87378147563339326</c:v>
                </c:pt>
                <c:pt idx="6">
                  <c:v>-0.80652552483067552</c:v>
                </c:pt>
                <c:pt idx="7">
                  <c:v>-0.18570735388377102</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BFE5-4DA0-AEA7-E128188936FD}"/>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pond'!$G$4:$G$36</c:f>
              <c:numCache>
                <c:formatCode>0.0;\-0.0;;\ @</c:formatCode>
                <c:ptCount val="33"/>
                <c:pt idx="0">
                  <c:v>0</c:v>
                </c:pt>
                <c:pt idx="1">
                  <c:v>0</c:v>
                </c:pt>
                <c:pt idx="2">
                  <c:v>0</c:v>
                </c:pt>
                <c:pt idx="3">
                  <c:v>0</c:v>
                </c:pt>
                <c:pt idx="4">
                  <c:v>0</c:v>
                </c:pt>
                <c:pt idx="5">
                  <c:v>0</c:v>
                </c:pt>
                <c:pt idx="6">
                  <c:v>0</c:v>
                </c:pt>
                <c:pt idx="7">
                  <c:v>0</c:v>
                </c:pt>
                <c:pt idx="8">
                  <c:v>0.34511828328002991</c:v>
                </c:pt>
                <c:pt idx="9">
                  <c:v>0.4344107408057738</c:v>
                </c:pt>
                <c:pt idx="10">
                  <c:v>0.75934027174606911</c:v>
                </c:pt>
                <c:pt idx="11">
                  <c:v>0.81576406473520535</c:v>
                </c:pt>
                <c:pt idx="12">
                  <c:v>1.8991746400690772</c:v>
                </c:pt>
                <c:pt idx="13">
                  <c:v>1.9881056960234957</c:v>
                </c:pt>
                <c:pt idx="14">
                  <c:v>2.0070508745748157</c:v>
                </c:pt>
                <c:pt idx="15">
                  <c:v>0</c:v>
                </c:pt>
                <c:pt idx="16">
                  <c:v>2.0666302757771575</c:v>
                </c:pt>
                <c:pt idx="17">
                  <c:v>2.3330513916384916</c:v>
                </c:pt>
                <c:pt idx="18">
                  <c:v>2.3727990415225406</c:v>
                </c:pt>
                <c:pt idx="19">
                  <c:v>2.3782687402519116</c:v>
                </c:pt>
                <c:pt idx="20">
                  <c:v>2.5355933461864026</c:v>
                </c:pt>
                <c:pt idx="21">
                  <c:v>2.7068240905822307</c:v>
                </c:pt>
                <c:pt idx="22">
                  <c:v>0</c:v>
                </c:pt>
                <c:pt idx="23">
                  <c:v>3.2921058835145658</c:v>
                </c:pt>
                <c:pt idx="24">
                  <c:v>3.309680168385313</c:v>
                </c:pt>
                <c:pt idx="25">
                  <c:v>3.7050038932578104</c:v>
                </c:pt>
                <c:pt idx="26">
                  <c:v>3.8050144337682354</c:v>
                </c:pt>
                <c:pt idx="27">
                  <c:v>4.2571196470342159</c:v>
                </c:pt>
                <c:pt idx="28">
                  <c:v>4.4491649033915763</c:v>
                </c:pt>
                <c:pt idx="29">
                  <c:v>4.9746142964364708</c:v>
                </c:pt>
                <c:pt idx="30">
                  <c:v>5.0613086036231039</c:v>
                </c:pt>
                <c:pt idx="31">
                  <c:v>5.8362303436663154</c:v>
                </c:pt>
                <c:pt idx="32">
                  <c:v>9.4926209099057672</c:v>
                </c:pt>
              </c:numCache>
            </c:numRef>
          </c:val>
          <c:extLst>
            <c:ext xmlns:c16="http://schemas.microsoft.com/office/drawing/2014/chart" uri="{C3380CC4-5D6E-409C-BE32-E72D297353CC}">
              <c16:uniqueId val="{00000022-BFE5-4DA0-AEA7-E128188936FD}"/>
            </c:ext>
          </c:extLst>
        </c:ser>
        <c:ser>
          <c:idx val="2"/>
          <c:order val="2"/>
          <c:spPr>
            <a:solidFill>
              <a:srgbClr val="C0C0C0"/>
            </a:solidFill>
            <a:effectLst/>
            <a:scene3d>
              <a:camera prst="orthographicFront"/>
              <a:lightRig rig="threePt" dir="t">
                <a:rot lat="0" lon="0" rev="1200000"/>
              </a:lightRig>
            </a:scene3d>
            <a:sp3d/>
          </c:spPr>
          <c:invertIfNegative val="0"/>
          <c:dPt>
            <c:idx val="11"/>
            <c:invertIfNegative val="0"/>
            <c:bubble3D val="0"/>
            <c:extLst>
              <c:ext xmlns:c16="http://schemas.microsoft.com/office/drawing/2014/chart" uri="{C3380CC4-5D6E-409C-BE32-E72D297353CC}">
                <c16:uniqueId val="{00000023-BFE5-4DA0-AEA7-E128188936FD}"/>
              </c:ext>
            </c:extLst>
          </c:dPt>
          <c:dPt>
            <c:idx val="13"/>
            <c:invertIfNegative val="0"/>
            <c:bubble3D val="0"/>
            <c:extLst>
              <c:ext xmlns:c16="http://schemas.microsoft.com/office/drawing/2014/chart" uri="{C3380CC4-5D6E-409C-BE32-E72D297353CC}">
                <c16:uniqueId val="{00000024-BFE5-4DA0-AEA7-E128188936FD}"/>
              </c:ext>
            </c:extLst>
          </c:dPt>
          <c:dPt>
            <c:idx val="14"/>
            <c:invertIfNegative val="0"/>
            <c:bubble3D val="0"/>
            <c:extLst>
              <c:ext xmlns:c16="http://schemas.microsoft.com/office/drawing/2014/chart" uri="{C3380CC4-5D6E-409C-BE32-E72D297353CC}">
                <c16:uniqueId val="{00000025-BFE5-4DA0-AEA7-E128188936FD}"/>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2.0407087736795404</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6-BFE5-4DA0-AEA7-E128188936FD}"/>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2.8462133477978426</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7-BFE5-4DA0-AEA7-E128188936FD}"/>
            </c:ext>
          </c:extLst>
        </c:ser>
        <c:dLbls>
          <c:showLegendKey val="0"/>
          <c:showVal val="0"/>
          <c:showCatName val="0"/>
          <c:showSerName val="0"/>
          <c:showPercent val="0"/>
          <c:showBubbleSize val="0"/>
        </c:dLbls>
        <c:gapWidth val="45"/>
        <c:overlap val="100"/>
        <c:axId val="-1180158720"/>
        <c:axId val="-1180146752"/>
      </c:barChart>
      <c:catAx>
        <c:axId val="-1180158720"/>
        <c:scaling>
          <c:orientation val="minMax"/>
        </c:scaling>
        <c:delete val="0"/>
        <c:axPos val="l"/>
        <c:numFmt formatCode="General" sourceLinked="1"/>
        <c:majorTickMark val="none"/>
        <c:minorTickMark val="none"/>
        <c:tickLblPos val="low"/>
        <c:spPr>
          <a:ln w="19050">
            <a:solidFill>
              <a:srgbClr val="B72F05"/>
            </a:solidFill>
          </a:ln>
        </c:spPr>
        <c:crossAx val="-1180146752"/>
        <c:crosses val="autoZero"/>
        <c:auto val="0"/>
        <c:lblAlgn val="ctr"/>
        <c:lblOffset val="100"/>
        <c:noMultiLvlLbl val="0"/>
      </c:catAx>
      <c:valAx>
        <c:axId val="-1180146752"/>
        <c:scaling>
          <c:orientation val="minMax"/>
          <c:max val="10"/>
        </c:scaling>
        <c:delete val="0"/>
        <c:axPos val="b"/>
        <c:numFmt formatCode="#,##0" sourceLinked="0"/>
        <c:majorTickMark val="none"/>
        <c:minorTickMark val="none"/>
        <c:tickLblPos val="nextTo"/>
        <c:crossAx val="-1180158720"/>
        <c:crosses val="autoZero"/>
        <c:crossBetween val="between"/>
        <c:majorUnit val="5"/>
      </c:valAx>
      <c:spPr>
        <a:noFill/>
        <a:ln w="9525">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54550820577623482"/>
          <c:y val="2.8411481481481482E-2"/>
          <c:w val="0.38229251123570296"/>
          <c:h val="0.9239361111111110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894F-4E64-B92D-E151F07FC872}"/>
              </c:ext>
            </c:extLst>
          </c:dPt>
          <c:dPt>
            <c:idx val="1"/>
            <c:invertIfNegative val="0"/>
            <c:bubble3D val="0"/>
            <c:extLst>
              <c:ext xmlns:c16="http://schemas.microsoft.com/office/drawing/2014/chart" uri="{C3380CC4-5D6E-409C-BE32-E72D297353CC}">
                <c16:uniqueId val="{00000001-894F-4E64-B92D-E151F07FC872}"/>
              </c:ext>
            </c:extLst>
          </c:dPt>
          <c:dPt>
            <c:idx val="2"/>
            <c:invertIfNegative val="0"/>
            <c:bubble3D val="0"/>
            <c:extLst>
              <c:ext xmlns:c16="http://schemas.microsoft.com/office/drawing/2014/chart" uri="{C3380CC4-5D6E-409C-BE32-E72D297353CC}">
                <c16:uniqueId val="{00000002-894F-4E64-B92D-E151F07FC872}"/>
              </c:ext>
            </c:extLst>
          </c:dPt>
          <c:dPt>
            <c:idx val="3"/>
            <c:invertIfNegative val="0"/>
            <c:bubble3D val="0"/>
            <c:extLst>
              <c:ext xmlns:c16="http://schemas.microsoft.com/office/drawing/2014/chart" uri="{C3380CC4-5D6E-409C-BE32-E72D297353CC}">
                <c16:uniqueId val="{00000003-894F-4E64-B92D-E151F07FC872}"/>
              </c:ext>
            </c:extLst>
          </c:dPt>
          <c:dPt>
            <c:idx val="4"/>
            <c:invertIfNegative val="0"/>
            <c:bubble3D val="0"/>
            <c:extLst>
              <c:ext xmlns:c16="http://schemas.microsoft.com/office/drawing/2014/chart" uri="{C3380CC4-5D6E-409C-BE32-E72D297353CC}">
                <c16:uniqueId val="{00000004-894F-4E64-B92D-E151F07FC872}"/>
              </c:ext>
            </c:extLst>
          </c:dPt>
          <c:dPt>
            <c:idx val="5"/>
            <c:invertIfNegative val="0"/>
            <c:bubble3D val="0"/>
            <c:extLst>
              <c:ext xmlns:c16="http://schemas.microsoft.com/office/drawing/2014/chart" uri="{C3380CC4-5D6E-409C-BE32-E72D297353CC}">
                <c16:uniqueId val="{00000005-894F-4E64-B92D-E151F07FC872}"/>
              </c:ext>
            </c:extLst>
          </c:dPt>
          <c:dPt>
            <c:idx val="6"/>
            <c:invertIfNegative val="0"/>
            <c:bubble3D val="0"/>
            <c:extLst>
              <c:ext xmlns:c16="http://schemas.microsoft.com/office/drawing/2014/chart" uri="{C3380CC4-5D6E-409C-BE32-E72D297353CC}">
                <c16:uniqueId val="{00000006-894F-4E64-B92D-E151F07FC872}"/>
              </c:ext>
            </c:extLst>
          </c:dPt>
          <c:dPt>
            <c:idx val="7"/>
            <c:invertIfNegative val="0"/>
            <c:bubble3D val="0"/>
            <c:extLst>
              <c:ext xmlns:c16="http://schemas.microsoft.com/office/drawing/2014/chart" uri="{C3380CC4-5D6E-409C-BE32-E72D297353CC}">
                <c16:uniqueId val="{00000007-894F-4E64-B92D-E151F07FC872}"/>
              </c:ext>
            </c:extLst>
          </c:dPt>
          <c:dPt>
            <c:idx val="8"/>
            <c:invertIfNegative val="0"/>
            <c:bubble3D val="0"/>
            <c:extLst>
              <c:ext xmlns:c16="http://schemas.microsoft.com/office/drawing/2014/chart" uri="{C3380CC4-5D6E-409C-BE32-E72D297353CC}">
                <c16:uniqueId val="{00000008-894F-4E64-B92D-E151F07FC872}"/>
              </c:ext>
            </c:extLst>
          </c:dPt>
          <c:dPt>
            <c:idx val="9"/>
            <c:invertIfNegative val="0"/>
            <c:bubble3D val="0"/>
            <c:extLst>
              <c:ext xmlns:c16="http://schemas.microsoft.com/office/drawing/2014/chart" uri="{C3380CC4-5D6E-409C-BE32-E72D297353CC}">
                <c16:uniqueId val="{00000009-894F-4E64-B92D-E151F07FC872}"/>
              </c:ext>
            </c:extLst>
          </c:dPt>
          <c:dPt>
            <c:idx val="10"/>
            <c:invertIfNegative val="0"/>
            <c:bubble3D val="0"/>
            <c:extLst>
              <c:ext xmlns:c16="http://schemas.microsoft.com/office/drawing/2014/chart" uri="{C3380CC4-5D6E-409C-BE32-E72D297353CC}">
                <c16:uniqueId val="{0000000A-894F-4E64-B92D-E151F07FC872}"/>
              </c:ext>
            </c:extLst>
          </c:dPt>
          <c:dPt>
            <c:idx val="11"/>
            <c:invertIfNegative val="0"/>
            <c:bubble3D val="0"/>
            <c:extLst>
              <c:ext xmlns:c16="http://schemas.microsoft.com/office/drawing/2014/chart" uri="{C3380CC4-5D6E-409C-BE32-E72D297353CC}">
                <c16:uniqueId val="{0000000B-894F-4E64-B92D-E151F07FC872}"/>
              </c:ext>
            </c:extLst>
          </c:dPt>
          <c:dPt>
            <c:idx val="12"/>
            <c:invertIfNegative val="0"/>
            <c:bubble3D val="0"/>
            <c:extLst>
              <c:ext xmlns:c16="http://schemas.microsoft.com/office/drawing/2014/chart" uri="{C3380CC4-5D6E-409C-BE32-E72D297353CC}">
                <c16:uniqueId val="{0000000C-894F-4E64-B92D-E151F07FC872}"/>
              </c:ext>
            </c:extLst>
          </c:dPt>
          <c:dPt>
            <c:idx val="13"/>
            <c:invertIfNegative val="0"/>
            <c:bubble3D val="0"/>
            <c:extLst>
              <c:ext xmlns:c16="http://schemas.microsoft.com/office/drawing/2014/chart" uri="{C3380CC4-5D6E-409C-BE32-E72D297353CC}">
                <c16:uniqueId val="{0000000D-894F-4E64-B92D-E151F07FC872}"/>
              </c:ext>
            </c:extLst>
          </c:dPt>
          <c:dPt>
            <c:idx val="14"/>
            <c:invertIfNegative val="0"/>
            <c:bubble3D val="0"/>
            <c:extLst>
              <c:ext xmlns:c16="http://schemas.microsoft.com/office/drawing/2014/chart" uri="{C3380CC4-5D6E-409C-BE32-E72D297353CC}">
                <c16:uniqueId val="{0000000E-894F-4E64-B92D-E151F07FC872}"/>
              </c:ext>
            </c:extLst>
          </c:dPt>
          <c:dPt>
            <c:idx val="15"/>
            <c:invertIfNegative val="0"/>
            <c:bubble3D val="0"/>
            <c:extLst>
              <c:ext xmlns:c16="http://schemas.microsoft.com/office/drawing/2014/chart" uri="{C3380CC4-5D6E-409C-BE32-E72D297353CC}">
                <c16:uniqueId val="{0000000F-894F-4E64-B92D-E151F07FC872}"/>
              </c:ext>
            </c:extLst>
          </c:dPt>
          <c:dPt>
            <c:idx val="16"/>
            <c:invertIfNegative val="0"/>
            <c:bubble3D val="0"/>
            <c:extLst>
              <c:ext xmlns:c16="http://schemas.microsoft.com/office/drawing/2014/chart" uri="{C3380CC4-5D6E-409C-BE32-E72D297353CC}">
                <c16:uniqueId val="{00000010-894F-4E64-B92D-E151F07FC872}"/>
              </c:ext>
            </c:extLst>
          </c:dPt>
          <c:dPt>
            <c:idx val="17"/>
            <c:invertIfNegative val="0"/>
            <c:bubble3D val="0"/>
            <c:extLst>
              <c:ext xmlns:c16="http://schemas.microsoft.com/office/drawing/2014/chart" uri="{C3380CC4-5D6E-409C-BE32-E72D297353CC}">
                <c16:uniqueId val="{00000011-894F-4E64-B92D-E151F07FC872}"/>
              </c:ext>
            </c:extLst>
          </c:dPt>
          <c:dPt>
            <c:idx val="18"/>
            <c:invertIfNegative val="0"/>
            <c:bubble3D val="0"/>
            <c:extLst>
              <c:ext xmlns:c16="http://schemas.microsoft.com/office/drawing/2014/chart" uri="{C3380CC4-5D6E-409C-BE32-E72D297353CC}">
                <c16:uniqueId val="{00000012-894F-4E64-B92D-E151F07FC872}"/>
              </c:ext>
            </c:extLst>
          </c:dPt>
          <c:dPt>
            <c:idx val="19"/>
            <c:invertIfNegative val="0"/>
            <c:bubble3D val="0"/>
            <c:extLst>
              <c:ext xmlns:c16="http://schemas.microsoft.com/office/drawing/2014/chart" uri="{C3380CC4-5D6E-409C-BE32-E72D297353CC}">
                <c16:uniqueId val="{00000013-894F-4E64-B92D-E151F07FC872}"/>
              </c:ext>
            </c:extLst>
          </c:dPt>
          <c:dPt>
            <c:idx val="20"/>
            <c:invertIfNegative val="0"/>
            <c:bubble3D val="0"/>
            <c:extLst>
              <c:ext xmlns:c16="http://schemas.microsoft.com/office/drawing/2014/chart" uri="{C3380CC4-5D6E-409C-BE32-E72D297353CC}">
                <c16:uniqueId val="{00000014-894F-4E64-B92D-E151F07FC872}"/>
              </c:ext>
            </c:extLst>
          </c:dPt>
          <c:dPt>
            <c:idx val="21"/>
            <c:invertIfNegative val="0"/>
            <c:bubble3D val="0"/>
            <c:extLst>
              <c:ext xmlns:c16="http://schemas.microsoft.com/office/drawing/2014/chart" uri="{C3380CC4-5D6E-409C-BE32-E72D297353CC}">
                <c16:uniqueId val="{00000015-894F-4E64-B92D-E151F07FC872}"/>
              </c:ext>
            </c:extLst>
          </c:dPt>
          <c:dPt>
            <c:idx val="22"/>
            <c:invertIfNegative val="0"/>
            <c:bubble3D val="0"/>
            <c:extLst>
              <c:ext xmlns:c16="http://schemas.microsoft.com/office/drawing/2014/chart" uri="{C3380CC4-5D6E-409C-BE32-E72D297353CC}">
                <c16:uniqueId val="{00000016-894F-4E64-B92D-E151F07FC872}"/>
              </c:ext>
            </c:extLst>
          </c:dPt>
          <c:dPt>
            <c:idx val="23"/>
            <c:invertIfNegative val="0"/>
            <c:bubble3D val="0"/>
            <c:extLst>
              <c:ext xmlns:c16="http://schemas.microsoft.com/office/drawing/2014/chart" uri="{C3380CC4-5D6E-409C-BE32-E72D297353CC}">
                <c16:uniqueId val="{00000017-894F-4E64-B92D-E151F07FC872}"/>
              </c:ext>
            </c:extLst>
          </c:dPt>
          <c:dPt>
            <c:idx val="24"/>
            <c:invertIfNegative val="0"/>
            <c:bubble3D val="0"/>
            <c:extLst>
              <c:ext xmlns:c16="http://schemas.microsoft.com/office/drawing/2014/chart" uri="{C3380CC4-5D6E-409C-BE32-E72D297353CC}">
                <c16:uniqueId val="{00000018-894F-4E64-B92D-E151F07FC872}"/>
              </c:ext>
            </c:extLst>
          </c:dPt>
          <c:dPt>
            <c:idx val="25"/>
            <c:invertIfNegative val="0"/>
            <c:bubble3D val="0"/>
            <c:extLst>
              <c:ext xmlns:c16="http://schemas.microsoft.com/office/drawing/2014/chart" uri="{C3380CC4-5D6E-409C-BE32-E72D297353CC}">
                <c16:uniqueId val="{00000019-894F-4E64-B92D-E151F07FC872}"/>
              </c:ext>
            </c:extLst>
          </c:dPt>
          <c:dPt>
            <c:idx val="26"/>
            <c:invertIfNegative val="0"/>
            <c:bubble3D val="0"/>
            <c:extLst>
              <c:ext xmlns:c16="http://schemas.microsoft.com/office/drawing/2014/chart" uri="{C3380CC4-5D6E-409C-BE32-E72D297353CC}">
                <c16:uniqueId val="{0000001A-894F-4E64-B92D-E151F07FC872}"/>
              </c:ext>
            </c:extLst>
          </c:dPt>
          <c:dPt>
            <c:idx val="27"/>
            <c:invertIfNegative val="0"/>
            <c:bubble3D val="0"/>
            <c:extLst>
              <c:ext xmlns:c16="http://schemas.microsoft.com/office/drawing/2014/chart" uri="{C3380CC4-5D6E-409C-BE32-E72D297353CC}">
                <c16:uniqueId val="{0000001B-894F-4E64-B92D-E151F07FC872}"/>
              </c:ext>
            </c:extLst>
          </c:dPt>
          <c:dPt>
            <c:idx val="28"/>
            <c:invertIfNegative val="0"/>
            <c:bubble3D val="0"/>
            <c:extLst>
              <c:ext xmlns:c16="http://schemas.microsoft.com/office/drawing/2014/chart" uri="{C3380CC4-5D6E-409C-BE32-E72D297353CC}">
                <c16:uniqueId val="{0000001C-894F-4E64-B92D-E151F07FC872}"/>
              </c:ext>
            </c:extLst>
          </c:dPt>
          <c:dPt>
            <c:idx val="29"/>
            <c:invertIfNegative val="0"/>
            <c:bubble3D val="0"/>
            <c:extLst>
              <c:ext xmlns:c16="http://schemas.microsoft.com/office/drawing/2014/chart" uri="{C3380CC4-5D6E-409C-BE32-E72D297353CC}">
                <c16:uniqueId val="{0000001D-894F-4E64-B92D-E151F07FC872}"/>
              </c:ext>
            </c:extLst>
          </c:dPt>
          <c:dPt>
            <c:idx val="30"/>
            <c:invertIfNegative val="0"/>
            <c:bubble3D val="0"/>
            <c:extLst>
              <c:ext xmlns:c16="http://schemas.microsoft.com/office/drawing/2014/chart" uri="{C3380CC4-5D6E-409C-BE32-E72D297353CC}">
                <c16:uniqueId val="{0000001E-894F-4E64-B92D-E151F07FC872}"/>
              </c:ext>
            </c:extLst>
          </c:dPt>
          <c:dPt>
            <c:idx val="31"/>
            <c:invertIfNegative val="0"/>
            <c:bubble3D val="0"/>
            <c:extLst>
              <c:ext xmlns:c16="http://schemas.microsoft.com/office/drawing/2014/chart" uri="{C3380CC4-5D6E-409C-BE32-E72D297353CC}">
                <c16:uniqueId val="{0000001F-894F-4E64-B92D-E151F07FC872}"/>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pond'!$F$41:$F$72</c:f>
              <c:numCache>
                <c:formatCode>0.00;\-0.00;;\ @</c:formatCode>
                <c:ptCount val="32"/>
                <c:pt idx="0">
                  <c:v>-6.1384366059795629E-2</c:v>
                </c:pt>
                <c:pt idx="1">
                  <c:v>-5.6459203382474211E-2</c:v>
                </c:pt>
                <c:pt idx="2">
                  <c:v>-4.9008879950910841E-2</c:v>
                </c:pt>
                <c:pt idx="3">
                  <c:v>-3.9862847604272576E-2</c:v>
                </c:pt>
                <c:pt idx="4">
                  <c:v>-3.44210481909593E-2</c:v>
                </c:pt>
                <c:pt idx="5">
                  <c:v>-1.0603400547137997E-2</c:v>
                </c:pt>
                <c:pt idx="6">
                  <c:v>-6.9510818413639174E-3</c:v>
                </c:pt>
                <c:pt idx="7">
                  <c:v>-5.3963653756955495E-3</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20-894F-4E64-B92D-E151F07FC872}"/>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pond'!$G$41:$G$72</c:f>
              <c:numCache>
                <c:formatCode>0.00;\-0.00;;\ @</c:formatCode>
                <c:ptCount val="32"/>
                <c:pt idx="0">
                  <c:v>0</c:v>
                </c:pt>
                <c:pt idx="1">
                  <c:v>0</c:v>
                </c:pt>
                <c:pt idx="2">
                  <c:v>0</c:v>
                </c:pt>
                <c:pt idx="3">
                  <c:v>0</c:v>
                </c:pt>
                <c:pt idx="4">
                  <c:v>0</c:v>
                </c:pt>
                <c:pt idx="5">
                  <c:v>0</c:v>
                </c:pt>
                <c:pt idx="6">
                  <c:v>0</c:v>
                </c:pt>
                <c:pt idx="7">
                  <c:v>0</c:v>
                </c:pt>
                <c:pt idx="8">
                  <c:v>4.3976314589904151E-3</c:v>
                </c:pt>
                <c:pt idx="9">
                  <c:v>1.2365003456786129E-2</c:v>
                </c:pt>
                <c:pt idx="10">
                  <c:v>2.0500743333985969E-2</c:v>
                </c:pt>
                <c:pt idx="11">
                  <c:v>0</c:v>
                </c:pt>
                <c:pt idx="12">
                  <c:v>2.2668014947082336E-2</c:v>
                </c:pt>
                <c:pt idx="13">
                  <c:v>2.3227998418475133E-2</c:v>
                </c:pt>
                <c:pt idx="14">
                  <c:v>2.7146292283413118E-2</c:v>
                </c:pt>
                <c:pt idx="15">
                  <c:v>3.4797342871408038E-2</c:v>
                </c:pt>
                <c:pt idx="16">
                  <c:v>3.7492990269412663E-2</c:v>
                </c:pt>
                <c:pt idx="17">
                  <c:v>4.4628042362924419E-2</c:v>
                </c:pt>
                <c:pt idx="18">
                  <c:v>4.8435583373187277E-2</c:v>
                </c:pt>
                <c:pt idx="19">
                  <c:v>5.1578616247125481E-2</c:v>
                </c:pt>
                <c:pt idx="20">
                  <c:v>6.7695304057927924E-2</c:v>
                </c:pt>
                <c:pt idx="21">
                  <c:v>6.8448383973891011E-2</c:v>
                </c:pt>
                <c:pt idx="22">
                  <c:v>7.4891123841700463E-2</c:v>
                </c:pt>
                <c:pt idx="23">
                  <c:v>7.5752205230821629E-2</c:v>
                </c:pt>
                <c:pt idx="24">
                  <c:v>9.9327558741094196E-2</c:v>
                </c:pt>
                <c:pt idx="25">
                  <c:v>0.13731025697194982</c:v>
                </c:pt>
                <c:pt idx="26">
                  <c:v>0.1638591064358205</c:v>
                </c:pt>
                <c:pt idx="27">
                  <c:v>0.17222755512666271</c:v>
                </c:pt>
                <c:pt idx="28">
                  <c:v>0.17369819005902154</c:v>
                </c:pt>
                <c:pt idx="29">
                  <c:v>0.21363576557466205</c:v>
                </c:pt>
                <c:pt idx="30">
                  <c:v>0.3408673330857302</c:v>
                </c:pt>
                <c:pt idx="31">
                  <c:v>0.36864256536624357</c:v>
                </c:pt>
              </c:numCache>
            </c:numRef>
          </c:val>
          <c:extLst>
            <c:ext xmlns:c16="http://schemas.microsoft.com/office/drawing/2014/chart" uri="{C3380CC4-5D6E-409C-BE32-E72D297353CC}">
              <c16:uniqueId val="{00000021-894F-4E64-B92D-E151F07FC872}"/>
            </c:ext>
          </c:extLst>
        </c:ser>
        <c:ser>
          <c:idx val="2"/>
          <c:order val="2"/>
          <c:spPr>
            <a:solidFill>
              <a:srgbClr val="003057"/>
            </a:solidFill>
            <a:effectLst/>
            <a:scene3d>
              <a:camera prst="orthographicFront"/>
              <a:lightRig rig="threePt" dir="t">
                <a:rot lat="0" lon="0" rev="1200000"/>
              </a:lightRig>
            </a:scene3d>
            <a:sp3d/>
          </c:spPr>
          <c:invertIfNegative val="0"/>
          <c:dLbls>
            <c:dLbl>
              <c:idx val="0"/>
              <c:layout>
                <c:manualLayout>
                  <c:x val="-1.3229166666666667E-2"/>
                  <c:y val="-1.7246714344731083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894F-4E64-B92D-E151F07FC872}"/>
                </c:ext>
              </c:extLst>
            </c:dLbl>
            <c:dLbl>
              <c:idx val="4"/>
              <c:layout>
                <c:manualLayout>
                  <c:x val="-8.819444444444364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894F-4E64-B92D-E151F07FC872}"/>
                </c:ext>
              </c:extLst>
            </c:dLbl>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pond'!$E$41:$E$72</c:f>
              <c:numCache>
                <c:formatCode>0.00;\-0.00;;\ @</c:formatCode>
                <c:ptCount val="32"/>
                <c:pt idx="0">
                  <c:v>0</c:v>
                </c:pt>
                <c:pt idx="1">
                  <c:v>0</c:v>
                </c:pt>
                <c:pt idx="2">
                  <c:v>0</c:v>
                </c:pt>
                <c:pt idx="3">
                  <c:v>0</c:v>
                </c:pt>
                <c:pt idx="4">
                  <c:v>0</c:v>
                </c:pt>
                <c:pt idx="5">
                  <c:v>0</c:v>
                </c:pt>
                <c:pt idx="6">
                  <c:v>0</c:v>
                </c:pt>
                <c:pt idx="7">
                  <c:v>0</c:v>
                </c:pt>
                <c:pt idx="8">
                  <c:v>0</c:v>
                </c:pt>
                <c:pt idx="9">
                  <c:v>0</c:v>
                </c:pt>
                <c:pt idx="10">
                  <c:v>0</c:v>
                </c:pt>
                <c:pt idx="11">
                  <c:v>2.1202359143915075E-2</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24-894F-4E64-B92D-E151F07FC872}"/>
            </c:ext>
          </c:extLst>
        </c:ser>
        <c:dLbls>
          <c:showLegendKey val="0"/>
          <c:showVal val="0"/>
          <c:showCatName val="0"/>
          <c:showSerName val="0"/>
          <c:showPercent val="0"/>
          <c:showBubbleSize val="0"/>
        </c:dLbls>
        <c:gapWidth val="45"/>
        <c:overlap val="100"/>
        <c:axId val="-1180158176"/>
        <c:axId val="-1180157088"/>
      </c:barChart>
      <c:catAx>
        <c:axId val="-1180158176"/>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a:solidFill>
                  <a:srgbClr val="4D565E"/>
                </a:solidFill>
              </a:defRPr>
            </a:pPr>
            <a:endParaRPr lang="es-MX"/>
          </a:p>
        </c:txPr>
        <c:crossAx val="-1180157088"/>
        <c:crosses val="autoZero"/>
        <c:auto val="0"/>
        <c:lblAlgn val="ctr"/>
        <c:lblOffset val="100"/>
        <c:noMultiLvlLbl val="0"/>
      </c:catAx>
      <c:valAx>
        <c:axId val="-1180157088"/>
        <c:scaling>
          <c:orientation val="minMax"/>
        </c:scaling>
        <c:delete val="0"/>
        <c:axPos val="b"/>
        <c:numFmt formatCode="#,##0.0" sourceLinked="0"/>
        <c:majorTickMark val="none"/>
        <c:minorTickMark val="none"/>
        <c:tickLblPos val="nextTo"/>
        <c:txPr>
          <a:bodyPr/>
          <a:lstStyle/>
          <a:p>
            <a:pPr>
              <a:defRPr>
                <a:solidFill>
                  <a:srgbClr val="4D565E"/>
                </a:solidFill>
              </a:defRPr>
            </a:pPr>
            <a:endParaRPr lang="es-MX"/>
          </a:p>
        </c:txPr>
        <c:crossAx val="-1180158176"/>
        <c:crosses val="autoZero"/>
        <c:crossBetween val="between"/>
      </c:valAx>
      <c:spPr>
        <a:noFill/>
        <a:ln w="9525">
          <a:noFill/>
        </a:ln>
        <a:effectLst/>
      </c:spPr>
    </c:plotArea>
    <c:plotVisOnly val="0"/>
    <c:dispBlanksAs val="gap"/>
    <c:showDLblsOverMax val="0"/>
  </c:chart>
  <c:spPr>
    <a:ln>
      <a:noFill/>
    </a:ln>
    <a:effectLst/>
  </c:spPr>
  <c:txPr>
    <a:bodyPr/>
    <a:lstStyle/>
    <a:p>
      <a:pPr>
        <a:defRPr sz="800">
          <a:latin typeface="Arial" panose="020B0604020202020204" pitchFamily="34" charset="0"/>
          <a:cs typeface="Arial" panose="020B0604020202020204" pitchFamily="34" charset="0"/>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650B-49C1-B4CE-CC7B30C49A92}"/>
              </c:ext>
            </c:extLst>
          </c:dPt>
          <c:dPt>
            <c:idx val="1"/>
            <c:invertIfNegative val="0"/>
            <c:bubble3D val="0"/>
            <c:spPr>
              <a:solidFill>
                <a:srgbClr val="08989C"/>
              </a:solidFill>
              <a:ln>
                <a:noFill/>
              </a:ln>
              <a:effectLst/>
            </c:spPr>
            <c:extLst>
              <c:ext xmlns:c16="http://schemas.microsoft.com/office/drawing/2014/chart" uri="{C3380CC4-5D6E-409C-BE32-E72D297353CC}">
                <c16:uniqueId val="{00000003-650B-49C1-B4CE-CC7B30C49A92}"/>
              </c:ext>
            </c:extLst>
          </c:dPt>
          <c:dPt>
            <c:idx val="2"/>
            <c:invertIfNegative val="0"/>
            <c:bubble3D val="0"/>
            <c:spPr>
              <a:solidFill>
                <a:srgbClr val="08989C"/>
              </a:solidFill>
              <a:ln>
                <a:noFill/>
              </a:ln>
              <a:effectLst/>
            </c:spPr>
            <c:extLst>
              <c:ext xmlns:c16="http://schemas.microsoft.com/office/drawing/2014/chart" uri="{C3380CC4-5D6E-409C-BE32-E72D297353CC}">
                <c16:uniqueId val="{00000005-650B-49C1-B4CE-CC7B30C49A92}"/>
              </c:ext>
            </c:extLst>
          </c:dPt>
          <c:dPt>
            <c:idx val="3"/>
            <c:invertIfNegative val="0"/>
            <c:bubble3D val="0"/>
            <c:spPr>
              <a:solidFill>
                <a:srgbClr val="C0C0C0"/>
              </a:solidFill>
              <a:ln>
                <a:noFill/>
              </a:ln>
              <a:effectLst/>
            </c:spPr>
            <c:extLst>
              <c:ext xmlns:c16="http://schemas.microsoft.com/office/drawing/2014/chart" uri="{C3380CC4-5D6E-409C-BE32-E72D297353CC}">
                <c16:uniqueId val="{00000007-650B-49C1-B4CE-CC7B30C49A92}"/>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N'!$B$4:$B$7</c:f>
              <c:strCache>
                <c:ptCount val="4"/>
                <c:pt idx="0">
                  <c:v>Terciarias</c:v>
                </c:pt>
                <c:pt idx="1">
                  <c:v>Secundarias</c:v>
                </c:pt>
                <c:pt idx="2">
                  <c:v>Primarias</c:v>
                </c:pt>
                <c:pt idx="3">
                  <c:v>Total</c:v>
                </c:pt>
              </c:strCache>
            </c:strRef>
          </c:cat>
          <c:val>
            <c:numRef>
              <c:f>'G6-7 N'!$C$4:$C$7</c:f>
              <c:numCache>
                <c:formatCode>0.0</c:formatCode>
                <c:ptCount val="4"/>
                <c:pt idx="0">
                  <c:v>2.5302510321957357</c:v>
                </c:pt>
                <c:pt idx="1">
                  <c:v>-6.7863844261751183E-2</c:v>
                </c:pt>
                <c:pt idx="2">
                  <c:v>12.221069566902514</c:v>
                </c:pt>
                <c:pt idx="3">
                  <c:v>1.7169993321833203</c:v>
                </c:pt>
              </c:numCache>
            </c:numRef>
          </c:val>
          <c:extLst>
            <c:ext xmlns:c16="http://schemas.microsoft.com/office/drawing/2014/chart" uri="{C3380CC4-5D6E-409C-BE32-E72D297353CC}">
              <c16:uniqueId val="{00000008-650B-49C1-B4CE-CC7B30C49A92}"/>
            </c:ext>
          </c:extLst>
        </c:ser>
        <c:dLbls>
          <c:showLegendKey val="0"/>
          <c:showVal val="0"/>
          <c:showCatName val="0"/>
          <c:showSerName val="0"/>
          <c:showPercent val="0"/>
          <c:showBubbleSize val="0"/>
        </c:dLbls>
        <c:gapWidth val="25"/>
        <c:overlap val="100"/>
        <c:axId val="1002241072"/>
        <c:axId val="1002267952"/>
      </c:barChart>
      <c:catAx>
        <c:axId val="1002241072"/>
        <c:scaling>
          <c:orientation val="minMax"/>
        </c:scaling>
        <c:delete val="0"/>
        <c:axPos val="l"/>
        <c:numFmt formatCode="General" sourceLinked="1"/>
        <c:majorTickMark val="none"/>
        <c:minorTickMark val="none"/>
        <c:tickLblPos val="low"/>
        <c:spPr>
          <a:noFill/>
          <a:ln w="19050" cap="flat" cmpd="sng" algn="ctr">
            <a:solidFill>
              <a:srgbClr val="B72F05"/>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002267952"/>
        <c:crosses val="autoZero"/>
        <c:auto val="1"/>
        <c:lblAlgn val="ctr"/>
        <c:lblOffset val="100"/>
        <c:noMultiLvlLbl val="0"/>
      </c:catAx>
      <c:valAx>
        <c:axId val="1002267952"/>
        <c:scaling>
          <c:orientation val="minMax"/>
        </c:scaling>
        <c:delete val="0"/>
        <c:axPos val="b"/>
        <c:numFmt formatCode="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002241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MX"/>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dLbl>
              <c:idx val="0"/>
              <c:layout>
                <c:manualLayout>
                  <c:x val="-7.8602071443093797E-3"/>
                  <c:y val="-1.1585533506489863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70-46FA-87C1-7A53F4C88B60}"/>
                </c:ext>
              </c:extLst>
            </c:dLbl>
            <c:dLbl>
              <c:idx val="7"/>
              <c:layout>
                <c:manualLayout>
                  <c:x val="-7.8602071443093797E-3"/>
                  <c:y val="6.319454914669942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70-46FA-87C1-7A53F4C88B60}"/>
                </c:ext>
              </c:extLst>
            </c:dLbl>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N'!$Q$92:$Q$99</c:f>
              <c:strCache>
                <c:ptCount val="8"/>
                <c:pt idx="0">
                  <c:v>Coahuila de Zaragoza</c:v>
                </c:pt>
                <c:pt idx="1">
                  <c:v>Baja California</c:v>
                </c:pt>
                <c:pt idx="2">
                  <c:v>Baja California Sur</c:v>
                </c:pt>
                <c:pt idx="3">
                  <c:v>Chihuahua</c:v>
                </c:pt>
                <c:pt idx="4">
                  <c:v>Sonora</c:v>
                </c:pt>
                <c:pt idx="5">
                  <c:v>Sinaloa</c:v>
                </c:pt>
                <c:pt idx="6">
                  <c:v>Tamaulipas</c:v>
                </c:pt>
                <c:pt idx="7">
                  <c:v>Nuevo León</c:v>
                </c:pt>
              </c:strCache>
            </c:strRef>
          </c:cat>
          <c:val>
            <c:numRef>
              <c:f>'G6-7 N'!$S$92:$S$99</c:f>
              <c:numCache>
                <c:formatCode>0.00;\-0.00;;\ @</c:formatCode>
                <c:ptCount val="8"/>
                <c:pt idx="0">
                  <c:v>0</c:v>
                </c:pt>
                <c:pt idx="1">
                  <c:v>0</c:v>
                </c:pt>
                <c:pt idx="2">
                  <c:v>7.5336308375027874E-2</c:v>
                </c:pt>
                <c:pt idx="3">
                  <c:v>0</c:v>
                </c:pt>
                <c:pt idx="4">
                  <c:v>0</c:v>
                </c:pt>
                <c:pt idx="5">
                  <c:v>0</c:v>
                </c:pt>
                <c:pt idx="6">
                  <c:v>0</c:v>
                </c:pt>
                <c:pt idx="7">
                  <c:v>0</c:v>
                </c:pt>
              </c:numCache>
            </c:numRef>
          </c:val>
          <c:extLst>
            <c:ext xmlns:c16="http://schemas.microsoft.com/office/drawing/2014/chart" uri="{C3380CC4-5D6E-409C-BE32-E72D297353CC}">
              <c16:uniqueId val="{00000002-FE70-46FA-87C1-7A53F4C88B60}"/>
            </c:ext>
          </c:extLst>
        </c:ser>
        <c:ser>
          <c:idx val="1"/>
          <c:order val="1"/>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N'!$Q$92:$Q$99</c:f>
              <c:strCache>
                <c:ptCount val="8"/>
                <c:pt idx="0">
                  <c:v>Coahuila de Zaragoza</c:v>
                </c:pt>
                <c:pt idx="1">
                  <c:v>Baja California</c:v>
                </c:pt>
                <c:pt idx="2">
                  <c:v>Baja California Sur</c:v>
                </c:pt>
                <c:pt idx="3">
                  <c:v>Chihuahua</c:v>
                </c:pt>
                <c:pt idx="4">
                  <c:v>Sonora</c:v>
                </c:pt>
                <c:pt idx="5">
                  <c:v>Sinaloa</c:v>
                </c:pt>
                <c:pt idx="6">
                  <c:v>Tamaulipas</c:v>
                </c:pt>
                <c:pt idx="7">
                  <c:v>Nuevo León</c:v>
                </c:pt>
              </c:strCache>
            </c:strRef>
          </c:cat>
          <c:val>
            <c:numRef>
              <c:f>'G6-7 N'!$T$92:$T$99</c:f>
              <c:numCache>
                <c:formatCode>0.00;\-0.00;;\ @</c:formatCode>
                <c:ptCount val="8"/>
                <c:pt idx="0">
                  <c:v>-0.12230500782975476</c:v>
                </c:pt>
                <c:pt idx="1">
                  <c:v>-2.4698612149079542E-2</c:v>
                </c:pt>
                <c:pt idx="2">
                  <c:v>0</c:v>
                </c:pt>
                <c:pt idx="3">
                  <c:v>9.6456315677907925E-2</c:v>
                </c:pt>
                <c:pt idx="4">
                  <c:v>0.26916304240584543</c:v>
                </c:pt>
                <c:pt idx="5">
                  <c:v>0.35293108397351747</c:v>
                </c:pt>
                <c:pt idx="6">
                  <c:v>0.48789136114892745</c:v>
                </c:pt>
                <c:pt idx="7">
                  <c:v>0.58222484058092561</c:v>
                </c:pt>
              </c:numCache>
            </c:numRef>
          </c:val>
          <c:extLst>
            <c:ext xmlns:c16="http://schemas.microsoft.com/office/drawing/2014/chart" uri="{C3380CC4-5D6E-409C-BE32-E72D297353CC}">
              <c16:uniqueId val="{00000003-FE70-46FA-87C1-7A53F4C88B60}"/>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min val="-0.4"/>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2"/>
          <c:order val="0"/>
          <c:spPr>
            <a:solidFill>
              <a:srgbClr val="003057"/>
            </a:solidFill>
          </c:spPr>
          <c:invertIfNegative val="0"/>
          <c:cat>
            <c:strRef>
              <c:f>'G6-7 N'!$B$92:$B$99</c:f>
              <c:strCache>
                <c:ptCount val="8"/>
                <c:pt idx="0">
                  <c:v>Baja California</c:v>
                </c:pt>
                <c:pt idx="1">
                  <c:v>Nuevo León</c:v>
                </c:pt>
                <c:pt idx="2">
                  <c:v>Coahuila de Zaragoza</c:v>
                </c:pt>
                <c:pt idx="3">
                  <c:v>Tamaulipas</c:v>
                </c:pt>
                <c:pt idx="4">
                  <c:v>Baja California Sur</c:v>
                </c:pt>
                <c:pt idx="5">
                  <c:v>Sonora</c:v>
                </c:pt>
                <c:pt idx="6">
                  <c:v>Chihuahua</c:v>
                </c:pt>
                <c:pt idx="7">
                  <c:v>Sinaloa</c:v>
                </c:pt>
              </c:strCache>
            </c:strRef>
          </c:cat>
          <c:val>
            <c:numRef>
              <c:f>'G6-7 N'!$D$92:$D$99</c:f>
              <c:numCache>
                <c:formatCode>0.00;\-0.00;;\ @</c:formatCode>
                <c:ptCount val="8"/>
                <c:pt idx="0">
                  <c:v>0</c:v>
                </c:pt>
                <c:pt idx="1">
                  <c:v>0</c:v>
                </c:pt>
                <c:pt idx="2">
                  <c:v>0</c:v>
                </c:pt>
                <c:pt idx="3">
                  <c:v>0</c:v>
                </c:pt>
                <c:pt idx="4">
                  <c:v>1.8990655270866998</c:v>
                </c:pt>
                <c:pt idx="5">
                  <c:v>0</c:v>
                </c:pt>
                <c:pt idx="6">
                  <c:v>0</c:v>
                </c:pt>
                <c:pt idx="7">
                  <c:v>0</c:v>
                </c:pt>
              </c:numCache>
            </c:numRef>
          </c:val>
          <c:extLst>
            <c:ext xmlns:c16="http://schemas.microsoft.com/office/drawing/2014/chart" uri="{C3380CC4-5D6E-409C-BE32-E72D297353CC}">
              <c16:uniqueId val="{00000000-4BD5-451D-B04C-31C86C9DBBD3}"/>
            </c:ext>
          </c:extLst>
        </c:ser>
        <c:ser>
          <c:idx val="3"/>
          <c:order val="1"/>
          <c:spPr>
            <a:solidFill>
              <a:srgbClr val="08989C"/>
            </a:solidFill>
          </c:spPr>
          <c:invertIfNegative val="0"/>
          <c:cat>
            <c:strRef>
              <c:f>'G6-7 N'!$B$92:$B$99</c:f>
              <c:strCache>
                <c:ptCount val="8"/>
                <c:pt idx="0">
                  <c:v>Baja California</c:v>
                </c:pt>
                <c:pt idx="1">
                  <c:v>Nuevo León</c:v>
                </c:pt>
                <c:pt idx="2">
                  <c:v>Coahuila de Zaragoza</c:v>
                </c:pt>
                <c:pt idx="3">
                  <c:v>Tamaulipas</c:v>
                </c:pt>
                <c:pt idx="4">
                  <c:v>Baja California Sur</c:v>
                </c:pt>
                <c:pt idx="5">
                  <c:v>Sonora</c:v>
                </c:pt>
                <c:pt idx="6">
                  <c:v>Chihuahua</c:v>
                </c:pt>
                <c:pt idx="7">
                  <c:v>Sinaloa</c:v>
                </c:pt>
              </c:strCache>
            </c:strRef>
          </c:cat>
          <c:val>
            <c:numRef>
              <c:f>'G6-7 N'!$E$92:$E$99</c:f>
              <c:numCache>
                <c:formatCode>0.00;\-0.00;;\ @</c:formatCode>
                <c:ptCount val="8"/>
                <c:pt idx="0">
                  <c:v>-0.33564362196297809</c:v>
                </c:pt>
                <c:pt idx="1">
                  <c:v>0.18162833783189689</c:v>
                </c:pt>
                <c:pt idx="2">
                  <c:v>0.73935618031125916</c:v>
                </c:pt>
                <c:pt idx="3">
                  <c:v>1.3447179095500188</c:v>
                </c:pt>
                <c:pt idx="4">
                  <c:v>0</c:v>
                </c:pt>
                <c:pt idx="5">
                  <c:v>2.1028320100421936</c:v>
                </c:pt>
                <c:pt idx="6">
                  <c:v>2.3542859692739508</c:v>
                </c:pt>
                <c:pt idx="7">
                  <c:v>3.9348272547694916</c:v>
                </c:pt>
              </c:numCache>
            </c:numRef>
          </c:val>
          <c:extLst>
            <c:ext xmlns:c16="http://schemas.microsoft.com/office/drawing/2014/chart" uri="{C3380CC4-5D6E-409C-BE32-E72D297353CC}">
              <c16:uniqueId val="{00000001-4BD5-451D-B04C-31C86C9DBBD3}"/>
            </c:ext>
          </c:extLst>
        </c:ser>
        <c:ser>
          <c:idx val="0"/>
          <c:order val="2"/>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N'!$B$92:$B$99</c:f>
              <c:strCache>
                <c:ptCount val="8"/>
                <c:pt idx="0">
                  <c:v>Baja California</c:v>
                </c:pt>
                <c:pt idx="1">
                  <c:v>Nuevo León</c:v>
                </c:pt>
                <c:pt idx="2">
                  <c:v>Coahuila de Zaragoza</c:v>
                </c:pt>
                <c:pt idx="3">
                  <c:v>Tamaulipas</c:v>
                </c:pt>
                <c:pt idx="4">
                  <c:v>Baja California Sur</c:v>
                </c:pt>
                <c:pt idx="5">
                  <c:v>Sonora</c:v>
                </c:pt>
                <c:pt idx="6">
                  <c:v>Chihuahua</c:v>
                </c:pt>
                <c:pt idx="7">
                  <c:v>Sinaloa</c:v>
                </c:pt>
              </c:strCache>
            </c:strRef>
          </c:cat>
          <c:val>
            <c:numRef>
              <c:f>'G6-7 N'!$D$92:$D$99</c:f>
              <c:numCache>
                <c:formatCode>0.00;\-0.00;;\ @</c:formatCode>
                <c:ptCount val="8"/>
                <c:pt idx="0">
                  <c:v>0</c:v>
                </c:pt>
                <c:pt idx="1">
                  <c:v>0</c:v>
                </c:pt>
                <c:pt idx="2">
                  <c:v>0</c:v>
                </c:pt>
                <c:pt idx="3">
                  <c:v>0</c:v>
                </c:pt>
                <c:pt idx="4">
                  <c:v>1.8990655270866998</c:v>
                </c:pt>
                <c:pt idx="5">
                  <c:v>0</c:v>
                </c:pt>
                <c:pt idx="6">
                  <c:v>0</c:v>
                </c:pt>
                <c:pt idx="7">
                  <c:v>0</c:v>
                </c:pt>
              </c:numCache>
            </c:numRef>
          </c:val>
          <c:extLst>
            <c:ext xmlns:c16="http://schemas.microsoft.com/office/drawing/2014/chart" uri="{C3380CC4-5D6E-409C-BE32-E72D297353CC}">
              <c16:uniqueId val="{00000002-4BD5-451D-B04C-31C86C9DBBD3}"/>
            </c:ext>
          </c:extLst>
        </c:ser>
        <c:ser>
          <c:idx val="1"/>
          <c:order val="3"/>
          <c:spPr>
            <a:solidFill>
              <a:srgbClr val="08989C"/>
            </a:solidFill>
            <a:ln>
              <a:noFill/>
            </a:ln>
            <a:effectLst/>
          </c:spPr>
          <c:invertIfNegative val="0"/>
          <c:dLbls>
            <c:dLbl>
              <c:idx val="0"/>
              <c:layout>
                <c:manualLayout>
                  <c:x val="-1.6296528225789635E-2"/>
                  <c:y val="-1.1346522595217818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BD5-451D-B04C-31C86C9DBBD3}"/>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N'!$B$92:$B$99</c:f>
              <c:strCache>
                <c:ptCount val="8"/>
                <c:pt idx="0">
                  <c:v>Baja California</c:v>
                </c:pt>
                <c:pt idx="1">
                  <c:v>Nuevo León</c:v>
                </c:pt>
                <c:pt idx="2">
                  <c:v>Coahuila de Zaragoza</c:v>
                </c:pt>
                <c:pt idx="3">
                  <c:v>Tamaulipas</c:v>
                </c:pt>
                <c:pt idx="4">
                  <c:v>Baja California Sur</c:v>
                </c:pt>
                <c:pt idx="5">
                  <c:v>Sonora</c:v>
                </c:pt>
                <c:pt idx="6">
                  <c:v>Chihuahua</c:v>
                </c:pt>
                <c:pt idx="7">
                  <c:v>Sinaloa</c:v>
                </c:pt>
              </c:strCache>
            </c:strRef>
          </c:cat>
          <c:val>
            <c:numRef>
              <c:f>'G6-7 N'!$E$92:$E$99</c:f>
              <c:numCache>
                <c:formatCode>0.00;\-0.00;;\ @</c:formatCode>
                <c:ptCount val="8"/>
                <c:pt idx="0">
                  <c:v>-0.33564362196297809</c:v>
                </c:pt>
                <c:pt idx="1">
                  <c:v>0.18162833783189689</c:v>
                </c:pt>
                <c:pt idx="2">
                  <c:v>0.73935618031125916</c:v>
                </c:pt>
                <c:pt idx="3">
                  <c:v>1.3447179095500188</c:v>
                </c:pt>
                <c:pt idx="4">
                  <c:v>0</c:v>
                </c:pt>
                <c:pt idx="5">
                  <c:v>2.1028320100421936</c:v>
                </c:pt>
                <c:pt idx="6">
                  <c:v>2.3542859692739508</c:v>
                </c:pt>
                <c:pt idx="7">
                  <c:v>3.9348272547694916</c:v>
                </c:pt>
              </c:numCache>
            </c:numRef>
          </c:val>
          <c:extLst>
            <c:ext xmlns:c16="http://schemas.microsoft.com/office/drawing/2014/chart" uri="{C3380CC4-5D6E-409C-BE32-E72D297353CC}">
              <c16:uniqueId val="{00000004-4BD5-451D-B04C-31C86C9DBBD3}"/>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max val="5"/>
          <c:min val="-2"/>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majorUnit val="1"/>
      </c:valAx>
    </c:plotArea>
    <c:plotVisOnly val="1"/>
    <c:dispBlanksAs val="gap"/>
    <c:showDLblsOverMax val="0"/>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N'!$G$92:$G$99</c:f>
              <c:strCache>
                <c:ptCount val="8"/>
                <c:pt idx="0">
                  <c:v>Tamaulipas</c:v>
                </c:pt>
                <c:pt idx="1">
                  <c:v>Nuevo León</c:v>
                </c:pt>
                <c:pt idx="2">
                  <c:v>Sinaloa</c:v>
                </c:pt>
                <c:pt idx="3">
                  <c:v>Sonora</c:v>
                </c:pt>
                <c:pt idx="4">
                  <c:v>Baja California Sur</c:v>
                </c:pt>
                <c:pt idx="5">
                  <c:v>Chihuahua</c:v>
                </c:pt>
                <c:pt idx="6">
                  <c:v>Baja California</c:v>
                </c:pt>
                <c:pt idx="7">
                  <c:v>Coahuila de Zaragoza</c:v>
                </c:pt>
              </c:strCache>
            </c:strRef>
          </c:cat>
          <c:val>
            <c:numRef>
              <c:f>'G6-7 N'!$I$92:$I$99</c:f>
              <c:numCache>
                <c:formatCode>0.00;\-0.00;;\ @</c:formatCode>
                <c:ptCount val="8"/>
                <c:pt idx="0">
                  <c:v>0</c:v>
                </c:pt>
                <c:pt idx="1">
                  <c:v>0</c:v>
                </c:pt>
                <c:pt idx="2">
                  <c:v>0</c:v>
                </c:pt>
                <c:pt idx="3">
                  <c:v>0</c:v>
                </c:pt>
                <c:pt idx="4">
                  <c:v>-0.10565175577472478</c:v>
                </c:pt>
                <c:pt idx="5">
                  <c:v>0</c:v>
                </c:pt>
                <c:pt idx="6">
                  <c:v>0</c:v>
                </c:pt>
                <c:pt idx="7">
                  <c:v>0</c:v>
                </c:pt>
              </c:numCache>
            </c:numRef>
          </c:val>
          <c:extLst>
            <c:ext xmlns:c16="http://schemas.microsoft.com/office/drawing/2014/chart" uri="{C3380CC4-5D6E-409C-BE32-E72D297353CC}">
              <c16:uniqueId val="{00000000-88A2-481A-8F85-4D8D836FE30C}"/>
            </c:ext>
          </c:extLst>
        </c:ser>
        <c:ser>
          <c:idx val="1"/>
          <c:order val="1"/>
          <c:spPr>
            <a:solidFill>
              <a:srgbClr val="08989C"/>
            </a:solidFill>
            <a:ln>
              <a:noFill/>
            </a:ln>
            <a:effectLst/>
          </c:spPr>
          <c:invertIfNegative val="0"/>
          <c:dLbls>
            <c:dLbl>
              <c:idx val="0"/>
              <c:tx>
                <c:rich>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fld id="{71D923D0-D797-45CF-B7F9-A58C36970BA4}" type="VALUE">
                      <a:rPr lang="en-US">
                        <a:solidFill>
                          <a:srgbClr val="4D565E"/>
                        </a:solidFill>
                      </a:rPr>
                      <a:pPr>
                        <a:defRPr b="1">
                          <a:solidFill>
                            <a:schemeClr val="bg1"/>
                          </a:solidFill>
                        </a:defRPr>
                      </a:pPr>
                      <a:t>[VALOR]</a:t>
                    </a:fld>
                    <a:endParaRPr lang="es-MX"/>
                  </a:p>
                </c:rich>
              </c:tx>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8A2-481A-8F85-4D8D836FE30C}"/>
                </c:ext>
              </c:extLst>
            </c:dLbl>
            <c:dLbl>
              <c:idx val="7"/>
              <c:layout>
                <c:manualLayout>
                  <c:x val="-1.252019744449954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A2-481A-8F85-4D8D836FE30C}"/>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N'!$G$92:$G$99</c:f>
              <c:strCache>
                <c:ptCount val="8"/>
                <c:pt idx="0">
                  <c:v>Tamaulipas</c:v>
                </c:pt>
                <c:pt idx="1">
                  <c:v>Nuevo León</c:v>
                </c:pt>
                <c:pt idx="2">
                  <c:v>Sinaloa</c:v>
                </c:pt>
                <c:pt idx="3">
                  <c:v>Sonora</c:v>
                </c:pt>
                <c:pt idx="4">
                  <c:v>Baja California Sur</c:v>
                </c:pt>
                <c:pt idx="5">
                  <c:v>Chihuahua</c:v>
                </c:pt>
                <c:pt idx="6">
                  <c:v>Baja California</c:v>
                </c:pt>
                <c:pt idx="7">
                  <c:v>Coahuila de Zaragoza</c:v>
                </c:pt>
              </c:strCache>
            </c:strRef>
          </c:cat>
          <c:val>
            <c:numRef>
              <c:f>'G6-7 N'!$J$92:$J$99</c:f>
              <c:numCache>
                <c:formatCode>0.00;\-0.00;;\ @</c:formatCode>
                <c:ptCount val="8"/>
                <c:pt idx="0">
                  <c:v>0.73868692318940909</c:v>
                </c:pt>
                <c:pt idx="1">
                  <c:v>0.60534821334387567</c:v>
                </c:pt>
                <c:pt idx="2">
                  <c:v>0.12477342266276811</c:v>
                </c:pt>
                <c:pt idx="3">
                  <c:v>0.11130087891077463</c:v>
                </c:pt>
                <c:pt idx="4">
                  <c:v>0</c:v>
                </c:pt>
                <c:pt idx="5">
                  <c:v>-0.35422657363666171</c:v>
                </c:pt>
                <c:pt idx="6">
                  <c:v>-0.4020936874852995</c:v>
                </c:pt>
                <c:pt idx="7">
                  <c:v>-0.78600126547187965</c:v>
                </c:pt>
              </c:numCache>
            </c:numRef>
          </c:val>
          <c:extLst>
            <c:ext xmlns:c16="http://schemas.microsoft.com/office/drawing/2014/chart" uri="{C3380CC4-5D6E-409C-BE32-E72D297353CC}">
              <c16:uniqueId val="{00000003-88A2-481A-8F85-4D8D836FE30C}"/>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min val="-1.5"/>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N'!$L$92:$L$99</c:f>
              <c:strCache>
                <c:ptCount val="8"/>
                <c:pt idx="0">
                  <c:v>Baja California Sur</c:v>
                </c:pt>
                <c:pt idx="1">
                  <c:v>Tamaulipas</c:v>
                </c:pt>
                <c:pt idx="2">
                  <c:v>Sonora</c:v>
                </c:pt>
                <c:pt idx="3">
                  <c:v>Baja California</c:v>
                </c:pt>
                <c:pt idx="4">
                  <c:v>Sinaloa</c:v>
                </c:pt>
                <c:pt idx="5">
                  <c:v>Chihuahua</c:v>
                </c:pt>
                <c:pt idx="6">
                  <c:v>Coahuila de Zaragoza</c:v>
                </c:pt>
                <c:pt idx="7">
                  <c:v>Nuevo León</c:v>
                </c:pt>
              </c:strCache>
            </c:strRef>
          </c:cat>
          <c:val>
            <c:numRef>
              <c:f>'G6-7 N'!$N$92:$N$99</c:f>
              <c:numCache>
                <c:formatCode>0.00;\-0.00;;\ @</c:formatCode>
                <c:ptCount val="8"/>
                <c:pt idx="0">
                  <c:v>0.11209911759477245</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0-E43F-4437-82D5-140F763709B4}"/>
            </c:ext>
          </c:extLst>
        </c:ser>
        <c:ser>
          <c:idx val="1"/>
          <c:order val="1"/>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N'!$L$92:$L$99</c:f>
              <c:strCache>
                <c:ptCount val="8"/>
                <c:pt idx="0">
                  <c:v>Baja California Sur</c:v>
                </c:pt>
                <c:pt idx="1">
                  <c:v>Tamaulipas</c:v>
                </c:pt>
                <c:pt idx="2">
                  <c:v>Sonora</c:v>
                </c:pt>
                <c:pt idx="3">
                  <c:v>Baja California</c:v>
                </c:pt>
                <c:pt idx="4">
                  <c:v>Sinaloa</c:v>
                </c:pt>
                <c:pt idx="5">
                  <c:v>Chihuahua</c:v>
                </c:pt>
                <c:pt idx="6">
                  <c:v>Coahuila de Zaragoza</c:v>
                </c:pt>
                <c:pt idx="7">
                  <c:v>Nuevo León</c:v>
                </c:pt>
              </c:strCache>
            </c:strRef>
          </c:cat>
          <c:val>
            <c:numRef>
              <c:f>'G6-7 N'!$O$92:$O$99</c:f>
              <c:numCache>
                <c:formatCode>0.00;\-0.00;;\ @</c:formatCode>
                <c:ptCount val="8"/>
                <c:pt idx="0">
                  <c:v>0</c:v>
                </c:pt>
                <c:pt idx="1">
                  <c:v>0.23307967659254844</c:v>
                </c:pt>
                <c:pt idx="2">
                  <c:v>0.28659068790899889</c:v>
                </c:pt>
                <c:pt idx="3">
                  <c:v>0.29979558476205842</c:v>
                </c:pt>
                <c:pt idx="4">
                  <c:v>0.32198836228604721</c:v>
                </c:pt>
                <c:pt idx="5">
                  <c:v>0.32557012484160935</c:v>
                </c:pt>
                <c:pt idx="6">
                  <c:v>0.36350275722868614</c:v>
                </c:pt>
                <c:pt idx="7">
                  <c:v>0.58762472098100593</c:v>
                </c:pt>
              </c:numCache>
            </c:numRef>
          </c:val>
          <c:extLst>
            <c:ext xmlns:c16="http://schemas.microsoft.com/office/drawing/2014/chart" uri="{C3380CC4-5D6E-409C-BE32-E72D297353CC}">
              <c16:uniqueId val="{00000001-E43F-4437-82D5-140F763709B4}"/>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4D565E"/>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3927081982819446"/>
          <c:y val="1.6405877414391444E-2"/>
          <c:w val="0.62469639835620805"/>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3A30-4007-A6ED-6B95A313A28F}"/>
              </c:ext>
            </c:extLst>
          </c:dPt>
          <c:dPt>
            <c:idx val="1"/>
            <c:invertIfNegative val="0"/>
            <c:bubble3D val="0"/>
            <c:extLst>
              <c:ext xmlns:c16="http://schemas.microsoft.com/office/drawing/2014/chart" uri="{C3380CC4-5D6E-409C-BE32-E72D297353CC}">
                <c16:uniqueId val="{00000001-3A30-4007-A6ED-6B95A313A28F}"/>
              </c:ext>
            </c:extLst>
          </c:dPt>
          <c:dPt>
            <c:idx val="2"/>
            <c:invertIfNegative val="0"/>
            <c:bubble3D val="0"/>
            <c:extLst>
              <c:ext xmlns:c16="http://schemas.microsoft.com/office/drawing/2014/chart" uri="{C3380CC4-5D6E-409C-BE32-E72D297353CC}">
                <c16:uniqueId val="{00000002-3A30-4007-A6ED-6B95A313A28F}"/>
              </c:ext>
            </c:extLst>
          </c:dPt>
          <c:dPt>
            <c:idx val="3"/>
            <c:invertIfNegative val="0"/>
            <c:bubble3D val="0"/>
            <c:extLst>
              <c:ext xmlns:c16="http://schemas.microsoft.com/office/drawing/2014/chart" uri="{C3380CC4-5D6E-409C-BE32-E72D297353CC}">
                <c16:uniqueId val="{00000003-3A30-4007-A6ED-6B95A313A28F}"/>
              </c:ext>
            </c:extLst>
          </c:dPt>
          <c:dPt>
            <c:idx val="4"/>
            <c:invertIfNegative val="0"/>
            <c:bubble3D val="0"/>
            <c:extLst>
              <c:ext xmlns:c16="http://schemas.microsoft.com/office/drawing/2014/chart" uri="{C3380CC4-5D6E-409C-BE32-E72D297353CC}">
                <c16:uniqueId val="{00000004-3A30-4007-A6ED-6B95A313A28F}"/>
              </c:ext>
            </c:extLst>
          </c:dPt>
          <c:dPt>
            <c:idx val="5"/>
            <c:invertIfNegative val="0"/>
            <c:bubble3D val="0"/>
            <c:extLst>
              <c:ext xmlns:c16="http://schemas.microsoft.com/office/drawing/2014/chart" uri="{C3380CC4-5D6E-409C-BE32-E72D297353CC}">
                <c16:uniqueId val="{00000005-3A30-4007-A6ED-6B95A313A28F}"/>
              </c:ext>
            </c:extLst>
          </c:dPt>
          <c:dPt>
            <c:idx val="6"/>
            <c:invertIfNegative val="0"/>
            <c:bubble3D val="0"/>
            <c:extLst>
              <c:ext xmlns:c16="http://schemas.microsoft.com/office/drawing/2014/chart" uri="{C3380CC4-5D6E-409C-BE32-E72D297353CC}">
                <c16:uniqueId val="{00000006-3A30-4007-A6ED-6B95A313A28F}"/>
              </c:ext>
            </c:extLst>
          </c:dPt>
          <c:dPt>
            <c:idx val="7"/>
            <c:invertIfNegative val="0"/>
            <c:bubble3D val="0"/>
            <c:extLst>
              <c:ext xmlns:c16="http://schemas.microsoft.com/office/drawing/2014/chart" uri="{C3380CC4-5D6E-409C-BE32-E72D297353CC}">
                <c16:uniqueId val="{00000007-3A30-4007-A6ED-6B95A313A28F}"/>
              </c:ext>
            </c:extLst>
          </c:dPt>
          <c:dPt>
            <c:idx val="8"/>
            <c:invertIfNegative val="0"/>
            <c:bubble3D val="0"/>
            <c:extLst>
              <c:ext xmlns:c16="http://schemas.microsoft.com/office/drawing/2014/chart" uri="{C3380CC4-5D6E-409C-BE32-E72D297353CC}">
                <c16:uniqueId val="{00000008-3A30-4007-A6ED-6B95A313A28F}"/>
              </c:ext>
            </c:extLst>
          </c:dPt>
          <c:dPt>
            <c:idx val="9"/>
            <c:invertIfNegative val="0"/>
            <c:bubble3D val="0"/>
            <c:extLst>
              <c:ext xmlns:c16="http://schemas.microsoft.com/office/drawing/2014/chart" uri="{C3380CC4-5D6E-409C-BE32-E72D297353CC}">
                <c16:uniqueId val="{00000009-3A30-4007-A6ED-6B95A313A28F}"/>
              </c:ext>
            </c:extLst>
          </c:dPt>
          <c:dPt>
            <c:idx val="10"/>
            <c:invertIfNegative val="0"/>
            <c:bubble3D val="0"/>
            <c:extLst>
              <c:ext xmlns:c16="http://schemas.microsoft.com/office/drawing/2014/chart" uri="{C3380CC4-5D6E-409C-BE32-E72D297353CC}">
                <c16:uniqueId val="{0000000A-3A30-4007-A6ED-6B95A313A28F}"/>
              </c:ext>
            </c:extLst>
          </c:dPt>
          <c:dPt>
            <c:idx val="11"/>
            <c:invertIfNegative val="0"/>
            <c:bubble3D val="0"/>
            <c:extLst>
              <c:ext xmlns:c16="http://schemas.microsoft.com/office/drawing/2014/chart" uri="{C3380CC4-5D6E-409C-BE32-E72D297353CC}">
                <c16:uniqueId val="{0000000B-3A30-4007-A6ED-6B95A313A28F}"/>
              </c:ext>
            </c:extLst>
          </c:dPt>
          <c:dPt>
            <c:idx val="12"/>
            <c:invertIfNegative val="0"/>
            <c:bubble3D val="0"/>
            <c:extLst>
              <c:ext xmlns:c16="http://schemas.microsoft.com/office/drawing/2014/chart" uri="{C3380CC4-5D6E-409C-BE32-E72D297353CC}">
                <c16:uniqueId val="{0000000C-3A30-4007-A6ED-6B95A313A28F}"/>
              </c:ext>
            </c:extLst>
          </c:dPt>
          <c:dPt>
            <c:idx val="13"/>
            <c:invertIfNegative val="0"/>
            <c:bubble3D val="0"/>
            <c:extLst>
              <c:ext xmlns:c16="http://schemas.microsoft.com/office/drawing/2014/chart" uri="{C3380CC4-5D6E-409C-BE32-E72D297353CC}">
                <c16:uniqueId val="{0000000D-3A30-4007-A6ED-6B95A313A28F}"/>
              </c:ext>
            </c:extLst>
          </c:dPt>
          <c:dPt>
            <c:idx val="14"/>
            <c:invertIfNegative val="0"/>
            <c:bubble3D val="0"/>
            <c:extLst>
              <c:ext xmlns:c16="http://schemas.microsoft.com/office/drawing/2014/chart" uri="{C3380CC4-5D6E-409C-BE32-E72D297353CC}">
                <c16:uniqueId val="{0000000E-3A30-4007-A6ED-6B95A313A28F}"/>
              </c:ext>
            </c:extLst>
          </c:dPt>
          <c:dPt>
            <c:idx val="15"/>
            <c:invertIfNegative val="0"/>
            <c:bubble3D val="0"/>
            <c:extLst>
              <c:ext xmlns:c16="http://schemas.microsoft.com/office/drawing/2014/chart" uri="{C3380CC4-5D6E-409C-BE32-E72D297353CC}">
                <c16:uniqueId val="{0000000F-3A30-4007-A6ED-6B95A313A28F}"/>
              </c:ext>
            </c:extLst>
          </c:dPt>
          <c:dPt>
            <c:idx val="16"/>
            <c:invertIfNegative val="0"/>
            <c:bubble3D val="0"/>
            <c:extLst>
              <c:ext xmlns:c16="http://schemas.microsoft.com/office/drawing/2014/chart" uri="{C3380CC4-5D6E-409C-BE32-E72D297353CC}">
                <c16:uniqueId val="{00000010-3A30-4007-A6ED-6B95A313A28F}"/>
              </c:ext>
            </c:extLst>
          </c:dPt>
          <c:dPt>
            <c:idx val="17"/>
            <c:invertIfNegative val="0"/>
            <c:bubble3D val="0"/>
            <c:extLst>
              <c:ext xmlns:c16="http://schemas.microsoft.com/office/drawing/2014/chart" uri="{C3380CC4-5D6E-409C-BE32-E72D297353CC}">
                <c16:uniqueId val="{00000011-3A30-4007-A6ED-6B95A313A28F}"/>
              </c:ext>
            </c:extLst>
          </c:dPt>
          <c:dPt>
            <c:idx val="18"/>
            <c:invertIfNegative val="0"/>
            <c:bubble3D val="0"/>
            <c:extLst>
              <c:ext xmlns:c16="http://schemas.microsoft.com/office/drawing/2014/chart" uri="{C3380CC4-5D6E-409C-BE32-E72D297353CC}">
                <c16:uniqueId val="{00000012-3A30-4007-A6ED-6B95A313A28F}"/>
              </c:ext>
            </c:extLst>
          </c:dPt>
          <c:dPt>
            <c:idx val="19"/>
            <c:invertIfNegative val="0"/>
            <c:bubble3D val="0"/>
            <c:extLst>
              <c:ext xmlns:c16="http://schemas.microsoft.com/office/drawing/2014/chart" uri="{C3380CC4-5D6E-409C-BE32-E72D297353CC}">
                <c16:uniqueId val="{00000013-3A30-4007-A6ED-6B95A313A28F}"/>
              </c:ext>
            </c:extLst>
          </c:dPt>
          <c:dPt>
            <c:idx val="20"/>
            <c:invertIfNegative val="0"/>
            <c:bubble3D val="0"/>
            <c:extLst>
              <c:ext xmlns:c16="http://schemas.microsoft.com/office/drawing/2014/chart" uri="{C3380CC4-5D6E-409C-BE32-E72D297353CC}">
                <c16:uniqueId val="{00000014-3A30-4007-A6ED-6B95A313A28F}"/>
              </c:ext>
            </c:extLst>
          </c:dPt>
          <c:dPt>
            <c:idx val="21"/>
            <c:invertIfNegative val="0"/>
            <c:bubble3D val="0"/>
            <c:extLst>
              <c:ext xmlns:c16="http://schemas.microsoft.com/office/drawing/2014/chart" uri="{C3380CC4-5D6E-409C-BE32-E72D297353CC}">
                <c16:uniqueId val="{00000015-3A30-4007-A6ED-6B95A313A28F}"/>
              </c:ext>
            </c:extLst>
          </c:dPt>
          <c:dPt>
            <c:idx val="22"/>
            <c:invertIfNegative val="0"/>
            <c:bubble3D val="0"/>
            <c:extLst>
              <c:ext xmlns:c16="http://schemas.microsoft.com/office/drawing/2014/chart" uri="{C3380CC4-5D6E-409C-BE32-E72D297353CC}">
                <c16:uniqueId val="{00000016-3A30-4007-A6ED-6B95A313A28F}"/>
              </c:ext>
            </c:extLst>
          </c:dPt>
          <c:dPt>
            <c:idx val="23"/>
            <c:invertIfNegative val="0"/>
            <c:bubble3D val="0"/>
            <c:extLst>
              <c:ext xmlns:c16="http://schemas.microsoft.com/office/drawing/2014/chart" uri="{C3380CC4-5D6E-409C-BE32-E72D297353CC}">
                <c16:uniqueId val="{00000017-3A30-4007-A6ED-6B95A313A28F}"/>
              </c:ext>
            </c:extLst>
          </c:dPt>
          <c:dPt>
            <c:idx val="24"/>
            <c:invertIfNegative val="0"/>
            <c:bubble3D val="0"/>
            <c:extLst>
              <c:ext xmlns:c16="http://schemas.microsoft.com/office/drawing/2014/chart" uri="{C3380CC4-5D6E-409C-BE32-E72D297353CC}">
                <c16:uniqueId val="{00000018-3A30-4007-A6ED-6B95A313A28F}"/>
              </c:ext>
            </c:extLst>
          </c:dPt>
          <c:dPt>
            <c:idx val="25"/>
            <c:invertIfNegative val="0"/>
            <c:bubble3D val="0"/>
            <c:extLst>
              <c:ext xmlns:c16="http://schemas.microsoft.com/office/drawing/2014/chart" uri="{C3380CC4-5D6E-409C-BE32-E72D297353CC}">
                <c16:uniqueId val="{00000019-3A30-4007-A6ED-6B95A313A28F}"/>
              </c:ext>
            </c:extLst>
          </c:dPt>
          <c:dPt>
            <c:idx val="26"/>
            <c:invertIfNegative val="0"/>
            <c:bubble3D val="0"/>
            <c:extLst>
              <c:ext xmlns:c16="http://schemas.microsoft.com/office/drawing/2014/chart" uri="{C3380CC4-5D6E-409C-BE32-E72D297353CC}">
                <c16:uniqueId val="{0000001A-3A30-4007-A6ED-6B95A313A28F}"/>
              </c:ext>
            </c:extLst>
          </c:dPt>
          <c:dPt>
            <c:idx val="27"/>
            <c:invertIfNegative val="0"/>
            <c:bubble3D val="0"/>
            <c:extLst>
              <c:ext xmlns:c16="http://schemas.microsoft.com/office/drawing/2014/chart" uri="{C3380CC4-5D6E-409C-BE32-E72D297353CC}">
                <c16:uniqueId val="{0000001B-3A30-4007-A6ED-6B95A313A28F}"/>
              </c:ext>
            </c:extLst>
          </c:dPt>
          <c:dPt>
            <c:idx val="28"/>
            <c:invertIfNegative val="0"/>
            <c:bubble3D val="0"/>
            <c:extLst>
              <c:ext xmlns:c16="http://schemas.microsoft.com/office/drawing/2014/chart" uri="{C3380CC4-5D6E-409C-BE32-E72D297353CC}">
                <c16:uniqueId val="{0000001C-3A30-4007-A6ED-6B95A313A28F}"/>
              </c:ext>
            </c:extLst>
          </c:dPt>
          <c:dPt>
            <c:idx val="29"/>
            <c:invertIfNegative val="0"/>
            <c:bubble3D val="0"/>
            <c:extLst>
              <c:ext xmlns:c16="http://schemas.microsoft.com/office/drawing/2014/chart" uri="{C3380CC4-5D6E-409C-BE32-E72D297353CC}">
                <c16:uniqueId val="{0000001D-3A30-4007-A6ED-6B95A313A28F}"/>
              </c:ext>
            </c:extLst>
          </c:dPt>
          <c:dPt>
            <c:idx val="30"/>
            <c:invertIfNegative val="0"/>
            <c:bubble3D val="0"/>
            <c:extLst>
              <c:ext xmlns:c16="http://schemas.microsoft.com/office/drawing/2014/chart" uri="{C3380CC4-5D6E-409C-BE32-E72D297353CC}">
                <c16:uniqueId val="{0000001E-3A30-4007-A6ED-6B95A313A28F}"/>
              </c:ext>
            </c:extLst>
          </c:dPt>
          <c:dPt>
            <c:idx val="31"/>
            <c:invertIfNegative val="0"/>
            <c:bubble3D val="0"/>
            <c:extLst>
              <c:ext xmlns:c16="http://schemas.microsoft.com/office/drawing/2014/chart" uri="{C3380CC4-5D6E-409C-BE32-E72D297353CC}">
                <c16:uniqueId val="{0000001F-3A30-4007-A6ED-6B95A313A28F}"/>
              </c:ext>
            </c:extLst>
          </c:dPt>
          <c:dPt>
            <c:idx val="32"/>
            <c:invertIfNegative val="0"/>
            <c:bubble3D val="0"/>
            <c:extLst>
              <c:ext xmlns:c16="http://schemas.microsoft.com/office/drawing/2014/chart" uri="{C3380CC4-5D6E-409C-BE32-E72D297353CC}">
                <c16:uniqueId val="{00000020-3A30-4007-A6ED-6B95A313A28F}"/>
              </c:ext>
            </c:extLst>
          </c:dPt>
          <c:dLbls>
            <c:dLbl>
              <c:idx val="31"/>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1F-3A30-4007-A6ED-6B95A313A28F}"/>
                </c:ext>
              </c:extLst>
            </c:dLbl>
            <c:dLbl>
              <c:idx val="32"/>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0-3A30-4007-A6ED-6B95A313A28F}"/>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SinP'!$G$5:$G$37</c:f>
              <c:numCache>
                <c:formatCode>0.0;\-0.0;;\ @</c:formatCode>
                <c:ptCount val="33"/>
                <c:pt idx="0">
                  <c:v>0</c:v>
                </c:pt>
                <c:pt idx="1">
                  <c:v>0</c:v>
                </c:pt>
                <c:pt idx="2">
                  <c:v>0</c:v>
                </c:pt>
                <c:pt idx="3">
                  <c:v>0</c:v>
                </c:pt>
                <c:pt idx="4">
                  <c:v>0</c:v>
                </c:pt>
                <c:pt idx="5">
                  <c:v>0</c:v>
                </c:pt>
                <c:pt idx="6">
                  <c:v>0</c:v>
                </c:pt>
                <c:pt idx="7">
                  <c:v>0</c:v>
                </c:pt>
                <c:pt idx="8">
                  <c:v>0.34511828328002991</c:v>
                </c:pt>
                <c:pt idx="9">
                  <c:v>0.4344107408057738</c:v>
                </c:pt>
                <c:pt idx="10">
                  <c:v>0.75934027174606911</c:v>
                </c:pt>
                <c:pt idx="11">
                  <c:v>0.81576406473520535</c:v>
                </c:pt>
                <c:pt idx="12">
                  <c:v>1.9017847374332035</c:v>
                </c:pt>
                <c:pt idx="13">
                  <c:v>0</c:v>
                </c:pt>
                <c:pt idx="14">
                  <c:v>1.9881056960234957</c:v>
                </c:pt>
                <c:pt idx="15">
                  <c:v>2.0156579619072801</c:v>
                </c:pt>
                <c:pt idx="16">
                  <c:v>2.0666302757771575</c:v>
                </c:pt>
                <c:pt idx="17">
                  <c:v>2.1326078969710665</c:v>
                </c:pt>
                <c:pt idx="18">
                  <c:v>2.3330513916384916</c:v>
                </c:pt>
                <c:pt idx="19">
                  <c:v>2.3727990415225406</c:v>
                </c:pt>
                <c:pt idx="20">
                  <c:v>2.3782687402519116</c:v>
                </c:pt>
                <c:pt idx="21">
                  <c:v>2.5053823754722231</c:v>
                </c:pt>
                <c:pt idx="22">
                  <c:v>2.5355933461864026</c:v>
                </c:pt>
                <c:pt idx="23">
                  <c:v>2.7068240905822307</c:v>
                </c:pt>
                <c:pt idx="24">
                  <c:v>2.8462133477978426</c:v>
                </c:pt>
                <c:pt idx="25">
                  <c:v>2.9156962827485415</c:v>
                </c:pt>
                <c:pt idx="26">
                  <c:v>3.7050038932578104</c:v>
                </c:pt>
                <c:pt idx="27">
                  <c:v>3.7609727832327451</c:v>
                </c:pt>
                <c:pt idx="28">
                  <c:v>3.8050144337682354</c:v>
                </c:pt>
                <c:pt idx="29">
                  <c:v>4.2571196470342159</c:v>
                </c:pt>
                <c:pt idx="30">
                  <c:v>4.9746142964364708</c:v>
                </c:pt>
                <c:pt idx="31">
                  <c:v>5.8362303436663154</c:v>
                </c:pt>
                <c:pt idx="32">
                  <c:v>9.4926209099057672</c:v>
                </c:pt>
              </c:numCache>
            </c:numRef>
          </c:val>
          <c:extLst>
            <c:ext xmlns:c16="http://schemas.microsoft.com/office/drawing/2014/chart" uri="{C3380CC4-5D6E-409C-BE32-E72D297353CC}">
              <c16:uniqueId val="{00000021-3A30-4007-A6ED-6B95A313A28F}"/>
            </c:ext>
          </c:extLst>
        </c:ser>
        <c:ser>
          <c:idx val="2"/>
          <c:order val="1"/>
          <c:spPr>
            <a:solidFill>
              <a:srgbClr val="C0C0C0"/>
            </a:solidFill>
            <a:effectLst/>
            <a:scene3d>
              <a:camera prst="orthographicFront"/>
              <a:lightRig rig="threePt" dir="t">
                <a:rot lat="0" lon="0" rev="1200000"/>
              </a:lightRig>
            </a:scene3d>
            <a:sp3d/>
          </c:spPr>
          <c:invertIfNegative val="0"/>
          <c:dLbls>
            <c:spPr>
              <a:noFill/>
              <a:ln>
                <a:noFill/>
              </a:ln>
              <a:effectLst/>
            </c:spPr>
            <c:txPr>
              <a:bodyPr/>
              <a:lstStyle/>
              <a:p>
                <a:pPr>
                  <a:defRPr b="1"/>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SinP'!$D$5:$D$37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1.9278051619233025</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2-3A30-4007-A6ED-6B95A313A28F}"/>
            </c:ext>
          </c:extLst>
        </c:ser>
        <c:ser>
          <c:idx val="1"/>
          <c:order val="2"/>
          <c:spPr>
            <a:solidFill>
              <a:srgbClr val="08989C"/>
            </a:solidFill>
            <a:effectLst/>
            <a:scene3d>
              <a:camera prst="orthographicFront"/>
              <a:lightRig rig="threePt" dir="t">
                <a:rot lat="0" lon="0" rev="1200000"/>
              </a:lightRig>
            </a:scene3d>
            <a:sp3d/>
          </c:spPr>
          <c:invertIfNegative val="0"/>
          <c:dLbls>
            <c:dLbl>
              <c:idx val="0"/>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3-3A30-4007-A6ED-6B95A313A28F}"/>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SinP'!$F$5:$F$37</c:f>
              <c:numCache>
                <c:formatCode>0.0;\-0.0;;\ @</c:formatCode>
                <c:ptCount val="33"/>
                <c:pt idx="0">
                  <c:v>-5.7421727277960031</c:v>
                </c:pt>
                <c:pt idx="1">
                  <c:v>-3.5334357450256562</c:v>
                </c:pt>
                <c:pt idx="2">
                  <c:v>-2.3061497458840847</c:v>
                </c:pt>
                <c:pt idx="3">
                  <c:v>-1.569934711908104</c:v>
                </c:pt>
                <c:pt idx="4">
                  <c:v>-0.96063958247455616</c:v>
                </c:pt>
                <c:pt idx="5">
                  <c:v>-0.87378147563339326</c:v>
                </c:pt>
                <c:pt idx="6">
                  <c:v>-0.80652552483067552</c:v>
                </c:pt>
                <c:pt idx="7">
                  <c:v>-0.18570735388377102</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3A30-4007-A6ED-6B95A313A28F}"/>
            </c:ext>
          </c:extLst>
        </c:ser>
        <c:dLbls>
          <c:showLegendKey val="0"/>
          <c:showVal val="0"/>
          <c:showCatName val="0"/>
          <c:showSerName val="0"/>
          <c:showPercent val="0"/>
          <c:showBubbleSize val="0"/>
        </c:dLbls>
        <c:gapWidth val="46"/>
        <c:overlap val="100"/>
        <c:axId val="101332096"/>
        <c:axId val="101333632"/>
      </c:barChart>
      <c:catAx>
        <c:axId val="101332096"/>
        <c:scaling>
          <c:orientation val="minMax"/>
        </c:scaling>
        <c:delete val="0"/>
        <c:axPos val="l"/>
        <c:numFmt formatCode="General" sourceLinked="1"/>
        <c:majorTickMark val="none"/>
        <c:minorTickMark val="none"/>
        <c:tickLblPos val="low"/>
        <c:spPr>
          <a:ln w="19050">
            <a:solidFill>
              <a:srgbClr val="B72F05"/>
            </a:solidFill>
          </a:ln>
        </c:spPr>
        <c:crossAx val="101333632"/>
        <c:crosses val="autoZero"/>
        <c:auto val="0"/>
        <c:lblAlgn val="ctr"/>
        <c:lblOffset val="100"/>
        <c:noMultiLvlLbl val="0"/>
      </c:catAx>
      <c:valAx>
        <c:axId val="101333632"/>
        <c:scaling>
          <c:orientation val="minMax"/>
        </c:scaling>
        <c:delete val="0"/>
        <c:axPos val="b"/>
        <c:numFmt formatCode="#,##0" sourceLinked="0"/>
        <c:majorTickMark val="none"/>
        <c:minorTickMark val="none"/>
        <c:tickLblPos val="nextTo"/>
        <c:crossAx val="101332096"/>
        <c:crosses val="autoZero"/>
        <c:crossBetween val="between"/>
      </c:valAx>
      <c:spPr>
        <a:noFill/>
        <a:ln w="25400">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2962317459224416"/>
          <c:y val="1.6405877414391444E-2"/>
          <c:w val="0.63205758597754558"/>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95E8-460F-BA6C-EAB172637A7F}"/>
              </c:ext>
            </c:extLst>
          </c:dPt>
          <c:dPt>
            <c:idx val="1"/>
            <c:invertIfNegative val="0"/>
            <c:bubble3D val="0"/>
            <c:extLst>
              <c:ext xmlns:c16="http://schemas.microsoft.com/office/drawing/2014/chart" uri="{C3380CC4-5D6E-409C-BE32-E72D297353CC}">
                <c16:uniqueId val="{00000001-95E8-460F-BA6C-EAB172637A7F}"/>
              </c:ext>
            </c:extLst>
          </c:dPt>
          <c:dPt>
            <c:idx val="2"/>
            <c:invertIfNegative val="0"/>
            <c:bubble3D val="0"/>
            <c:extLst>
              <c:ext xmlns:c16="http://schemas.microsoft.com/office/drawing/2014/chart" uri="{C3380CC4-5D6E-409C-BE32-E72D297353CC}">
                <c16:uniqueId val="{00000002-95E8-460F-BA6C-EAB172637A7F}"/>
              </c:ext>
            </c:extLst>
          </c:dPt>
          <c:dPt>
            <c:idx val="3"/>
            <c:invertIfNegative val="0"/>
            <c:bubble3D val="0"/>
            <c:extLst>
              <c:ext xmlns:c16="http://schemas.microsoft.com/office/drawing/2014/chart" uri="{C3380CC4-5D6E-409C-BE32-E72D297353CC}">
                <c16:uniqueId val="{00000003-95E8-460F-BA6C-EAB172637A7F}"/>
              </c:ext>
            </c:extLst>
          </c:dPt>
          <c:dPt>
            <c:idx val="4"/>
            <c:invertIfNegative val="0"/>
            <c:bubble3D val="0"/>
            <c:extLst>
              <c:ext xmlns:c16="http://schemas.microsoft.com/office/drawing/2014/chart" uri="{C3380CC4-5D6E-409C-BE32-E72D297353CC}">
                <c16:uniqueId val="{00000004-95E8-460F-BA6C-EAB172637A7F}"/>
              </c:ext>
            </c:extLst>
          </c:dPt>
          <c:dPt>
            <c:idx val="5"/>
            <c:invertIfNegative val="0"/>
            <c:bubble3D val="0"/>
            <c:extLst>
              <c:ext xmlns:c16="http://schemas.microsoft.com/office/drawing/2014/chart" uri="{C3380CC4-5D6E-409C-BE32-E72D297353CC}">
                <c16:uniqueId val="{00000005-95E8-460F-BA6C-EAB172637A7F}"/>
              </c:ext>
            </c:extLst>
          </c:dPt>
          <c:dPt>
            <c:idx val="6"/>
            <c:invertIfNegative val="0"/>
            <c:bubble3D val="0"/>
            <c:extLst>
              <c:ext xmlns:c16="http://schemas.microsoft.com/office/drawing/2014/chart" uri="{C3380CC4-5D6E-409C-BE32-E72D297353CC}">
                <c16:uniqueId val="{00000006-95E8-460F-BA6C-EAB172637A7F}"/>
              </c:ext>
            </c:extLst>
          </c:dPt>
          <c:dPt>
            <c:idx val="7"/>
            <c:invertIfNegative val="0"/>
            <c:bubble3D val="0"/>
            <c:extLst>
              <c:ext xmlns:c16="http://schemas.microsoft.com/office/drawing/2014/chart" uri="{C3380CC4-5D6E-409C-BE32-E72D297353CC}">
                <c16:uniqueId val="{00000007-95E8-460F-BA6C-EAB172637A7F}"/>
              </c:ext>
            </c:extLst>
          </c:dPt>
          <c:dPt>
            <c:idx val="8"/>
            <c:invertIfNegative val="0"/>
            <c:bubble3D val="0"/>
            <c:extLst>
              <c:ext xmlns:c16="http://schemas.microsoft.com/office/drawing/2014/chart" uri="{C3380CC4-5D6E-409C-BE32-E72D297353CC}">
                <c16:uniqueId val="{00000008-95E8-460F-BA6C-EAB172637A7F}"/>
              </c:ext>
            </c:extLst>
          </c:dPt>
          <c:dPt>
            <c:idx val="9"/>
            <c:invertIfNegative val="0"/>
            <c:bubble3D val="0"/>
            <c:extLst>
              <c:ext xmlns:c16="http://schemas.microsoft.com/office/drawing/2014/chart" uri="{C3380CC4-5D6E-409C-BE32-E72D297353CC}">
                <c16:uniqueId val="{00000009-95E8-460F-BA6C-EAB172637A7F}"/>
              </c:ext>
            </c:extLst>
          </c:dPt>
          <c:dPt>
            <c:idx val="10"/>
            <c:invertIfNegative val="0"/>
            <c:bubble3D val="0"/>
            <c:extLst>
              <c:ext xmlns:c16="http://schemas.microsoft.com/office/drawing/2014/chart" uri="{C3380CC4-5D6E-409C-BE32-E72D297353CC}">
                <c16:uniqueId val="{0000000A-95E8-460F-BA6C-EAB172637A7F}"/>
              </c:ext>
            </c:extLst>
          </c:dPt>
          <c:dPt>
            <c:idx val="11"/>
            <c:invertIfNegative val="0"/>
            <c:bubble3D val="0"/>
            <c:extLst>
              <c:ext xmlns:c16="http://schemas.microsoft.com/office/drawing/2014/chart" uri="{C3380CC4-5D6E-409C-BE32-E72D297353CC}">
                <c16:uniqueId val="{0000000B-95E8-460F-BA6C-EAB172637A7F}"/>
              </c:ext>
            </c:extLst>
          </c:dPt>
          <c:dPt>
            <c:idx val="12"/>
            <c:invertIfNegative val="0"/>
            <c:bubble3D val="0"/>
            <c:extLst>
              <c:ext xmlns:c16="http://schemas.microsoft.com/office/drawing/2014/chart" uri="{C3380CC4-5D6E-409C-BE32-E72D297353CC}">
                <c16:uniqueId val="{0000000C-95E8-460F-BA6C-EAB172637A7F}"/>
              </c:ext>
            </c:extLst>
          </c:dPt>
          <c:dPt>
            <c:idx val="13"/>
            <c:invertIfNegative val="0"/>
            <c:bubble3D val="0"/>
            <c:extLst>
              <c:ext xmlns:c16="http://schemas.microsoft.com/office/drawing/2014/chart" uri="{C3380CC4-5D6E-409C-BE32-E72D297353CC}">
                <c16:uniqueId val="{0000000D-95E8-460F-BA6C-EAB172637A7F}"/>
              </c:ext>
            </c:extLst>
          </c:dPt>
          <c:dPt>
            <c:idx val="14"/>
            <c:invertIfNegative val="0"/>
            <c:bubble3D val="0"/>
            <c:extLst>
              <c:ext xmlns:c16="http://schemas.microsoft.com/office/drawing/2014/chart" uri="{C3380CC4-5D6E-409C-BE32-E72D297353CC}">
                <c16:uniqueId val="{0000000E-95E8-460F-BA6C-EAB172637A7F}"/>
              </c:ext>
            </c:extLst>
          </c:dPt>
          <c:dPt>
            <c:idx val="15"/>
            <c:invertIfNegative val="0"/>
            <c:bubble3D val="0"/>
            <c:extLst>
              <c:ext xmlns:c16="http://schemas.microsoft.com/office/drawing/2014/chart" uri="{C3380CC4-5D6E-409C-BE32-E72D297353CC}">
                <c16:uniqueId val="{0000000F-95E8-460F-BA6C-EAB172637A7F}"/>
              </c:ext>
            </c:extLst>
          </c:dPt>
          <c:dPt>
            <c:idx val="16"/>
            <c:invertIfNegative val="0"/>
            <c:bubble3D val="0"/>
            <c:extLst>
              <c:ext xmlns:c16="http://schemas.microsoft.com/office/drawing/2014/chart" uri="{C3380CC4-5D6E-409C-BE32-E72D297353CC}">
                <c16:uniqueId val="{00000010-95E8-460F-BA6C-EAB172637A7F}"/>
              </c:ext>
            </c:extLst>
          </c:dPt>
          <c:dPt>
            <c:idx val="17"/>
            <c:invertIfNegative val="0"/>
            <c:bubble3D val="0"/>
            <c:extLst>
              <c:ext xmlns:c16="http://schemas.microsoft.com/office/drawing/2014/chart" uri="{C3380CC4-5D6E-409C-BE32-E72D297353CC}">
                <c16:uniqueId val="{00000011-95E8-460F-BA6C-EAB172637A7F}"/>
              </c:ext>
            </c:extLst>
          </c:dPt>
          <c:dPt>
            <c:idx val="18"/>
            <c:invertIfNegative val="0"/>
            <c:bubble3D val="0"/>
            <c:extLst>
              <c:ext xmlns:c16="http://schemas.microsoft.com/office/drawing/2014/chart" uri="{C3380CC4-5D6E-409C-BE32-E72D297353CC}">
                <c16:uniqueId val="{00000012-95E8-460F-BA6C-EAB172637A7F}"/>
              </c:ext>
            </c:extLst>
          </c:dPt>
          <c:dPt>
            <c:idx val="19"/>
            <c:invertIfNegative val="0"/>
            <c:bubble3D val="0"/>
            <c:extLst>
              <c:ext xmlns:c16="http://schemas.microsoft.com/office/drawing/2014/chart" uri="{C3380CC4-5D6E-409C-BE32-E72D297353CC}">
                <c16:uniqueId val="{00000013-95E8-460F-BA6C-EAB172637A7F}"/>
              </c:ext>
            </c:extLst>
          </c:dPt>
          <c:dPt>
            <c:idx val="20"/>
            <c:invertIfNegative val="0"/>
            <c:bubble3D val="0"/>
            <c:extLst>
              <c:ext xmlns:c16="http://schemas.microsoft.com/office/drawing/2014/chart" uri="{C3380CC4-5D6E-409C-BE32-E72D297353CC}">
                <c16:uniqueId val="{00000014-95E8-460F-BA6C-EAB172637A7F}"/>
              </c:ext>
            </c:extLst>
          </c:dPt>
          <c:dPt>
            <c:idx val="21"/>
            <c:invertIfNegative val="0"/>
            <c:bubble3D val="0"/>
            <c:extLst>
              <c:ext xmlns:c16="http://schemas.microsoft.com/office/drawing/2014/chart" uri="{C3380CC4-5D6E-409C-BE32-E72D297353CC}">
                <c16:uniqueId val="{00000015-95E8-460F-BA6C-EAB172637A7F}"/>
              </c:ext>
            </c:extLst>
          </c:dPt>
          <c:dPt>
            <c:idx val="22"/>
            <c:invertIfNegative val="0"/>
            <c:bubble3D val="0"/>
            <c:extLst>
              <c:ext xmlns:c16="http://schemas.microsoft.com/office/drawing/2014/chart" uri="{C3380CC4-5D6E-409C-BE32-E72D297353CC}">
                <c16:uniqueId val="{00000016-95E8-460F-BA6C-EAB172637A7F}"/>
              </c:ext>
            </c:extLst>
          </c:dPt>
          <c:dPt>
            <c:idx val="23"/>
            <c:invertIfNegative val="0"/>
            <c:bubble3D val="0"/>
            <c:extLst>
              <c:ext xmlns:c16="http://schemas.microsoft.com/office/drawing/2014/chart" uri="{C3380CC4-5D6E-409C-BE32-E72D297353CC}">
                <c16:uniqueId val="{00000017-95E8-460F-BA6C-EAB172637A7F}"/>
              </c:ext>
            </c:extLst>
          </c:dPt>
          <c:dPt>
            <c:idx val="24"/>
            <c:invertIfNegative val="0"/>
            <c:bubble3D val="0"/>
            <c:extLst>
              <c:ext xmlns:c16="http://schemas.microsoft.com/office/drawing/2014/chart" uri="{C3380CC4-5D6E-409C-BE32-E72D297353CC}">
                <c16:uniqueId val="{00000018-95E8-460F-BA6C-EAB172637A7F}"/>
              </c:ext>
            </c:extLst>
          </c:dPt>
          <c:dPt>
            <c:idx val="25"/>
            <c:invertIfNegative val="0"/>
            <c:bubble3D val="0"/>
            <c:extLst>
              <c:ext xmlns:c16="http://schemas.microsoft.com/office/drawing/2014/chart" uri="{C3380CC4-5D6E-409C-BE32-E72D297353CC}">
                <c16:uniqueId val="{00000019-95E8-460F-BA6C-EAB172637A7F}"/>
              </c:ext>
            </c:extLst>
          </c:dPt>
          <c:dPt>
            <c:idx val="26"/>
            <c:invertIfNegative val="0"/>
            <c:bubble3D val="0"/>
            <c:extLst>
              <c:ext xmlns:c16="http://schemas.microsoft.com/office/drawing/2014/chart" uri="{C3380CC4-5D6E-409C-BE32-E72D297353CC}">
                <c16:uniqueId val="{0000001A-95E8-460F-BA6C-EAB172637A7F}"/>
              </c:ext>
            </c:extLst>
          </c:dPt>
          <c:dPt>
            <c:idx val="27"/>
            <c:invertIfNegative val="0"/>
            <c:bubble3D val="0"/>
            <c:extLst>
              <c:ext xmlns:c16="http://schemas.microsoft.com/office/drawing/2014/chart" uri="{C3380CC4-5D6E-409C-BE32-E72D297353CC}">
                <c16:uniqueId val="{0000001B-95E8-460F-BA6C-EAB172637A7F}"/>
              </c:ext>
            </c:extLst>
          </c:dPt>
          <c:dPt>
            <c:idx val="28"/>
            <c:invertIfNegative val="0"/>
            <c:bubble3D val="0"/>
            <c:extLst>
              <c:ext xmlns:c16="http://schemas.microsoft.com/office/drawing/2014/chart" uri="{C3380CC4-5D6E-409C-BE32-E72D297353CC}">
                <c16:uniqueId val="{0000001C-95E8-460F-BA6C-EAB172637A7F}"/>
              </c:ext>
            </c:extLst>
          </c:dPt>
          <c:dPt>
            <c:idx val="29"/>
            <c:invertIfNegative val="0"/>
            <c:bubble3D val="0"/>
            <c:extLst>
              <c:ext xmlns:c16="http://schemas.microsoft.com/office/drawing/2014/chart" uri="{C3380CC4-5D6E-409C-BE32-E72D297353CC}">
                <c16:uniqueId val="{0000001D-95E8-460F-BA6C-EAB172637A7F}"/>
              </c:ext>
            </c:extLst>
          </c:dPt>
          <c:dPt>
            <c:idx val="30"/>
            <c:invertIfNegative val="0"/>
            <c:bubble3D val="0"/>
            <c:extLst>
              <c:ext xmlns:c16="http://schemas.microsoft.com/office/drawing/2014/chart" uri="{C3380CC4-5D6E-409C-BE32-E72D297353CC}">
                <c16:uniqueId val="{0000001E-95E8-460F-BA6C-EAB172637A7F}"/>
              </c:ext>
            </c:extLst>
          </c:dPt>
          <c:dPt>
            <c:idx val="31"/>
            <c:invertIfNegative val="0"/>
            <c:bubble3D val="0"/>
            <c:extLst>
              <c:ext xmlns:c16="http://schemas.microsoft.com/office/drawing/2014/chart" uri="{C3380CC4-5D6E-409C-BE32-E72D297353CC}">
                <c16:uniqueId val="{0000001F-95E8-460F-BA6C-EAB172637A7F}"/>
              </c:ext>
            </c:extLst>
          </c:dPt>
          <c:dLbls>
            <c:dLbl>
              <c:idx val="8"/>
              <c:spPr/>
              <c:txPr>
                <a:bodyPr/>
                <a:lstStyle/>
                <a:p>
                  <a:pPr>
                    <a:defRPr b="1"/>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08-95E8-460F-BA6C-EAB172637A7F}"/>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'G8 Total SinP'!$I$5:$I$36</c:f>
              <c:strCache>
                <c:ptCount val="32"/>
                <c:pt idx="0">
                  <c:v>Morelos</c:v>
                </c:pt>
                <c:pt idx="1">
                  <c:v>Puebla</c:v>
                </c:pt>
                <c:pt idx="2">
                  <c:v>Quintana Roo</c:v>
                </c:pt>
                <c:pt idx="3">
                  <c:v>Coahuila de Zaragoza</c:v>
                </c:pt>
                <c:pt idx="4">
                  <c:v>Campeche</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Tabasco</c:v>
                </c:pt>
                <c:pt idx="16">
                  <c:v>Guerrero</c:v>
                </c:pt>
                <c:pt idx="17">
                  <c:v>Colima</c:v>
                </c:pt>
                <c:pt idx="18">
                  <c:v>Chiapas</c:v>
                </c:pt>
                <c:pt idx="19">
                  <c:v>San Luis Potosí</c:v>
                </c:pt>
                <c:pt idx="20">
                  <c:v>Querétaro</c:v>
                </c:pt>
                <c:pt idx="21">
                  <c:v>Tamaulipas</c:v>
                </c:pt>
                <c:pt idx="22">
                  <c:v>Yucatán</c:v>
                </c:pt>
                <c:pt idx="23">
                  <c:v>Oaxaca</c:v>
                </c:pt>
                <c:pt idx="24">
                  <c:v>Sonora</c:v>
                </c:pt>
                <c:pt idx="25">
                  <c:v>Sinaloa</c:v>
                </c:pt>
                <c:pt idx="26">
                  <c:v>Veracruz de Ignacio de la Llave</c:v>
                </c:pt>
                <c:pt idx="27">
                  <c:v>Nuevo León</c:v>
                </c:pt>
                <c:pt idx="28">
                  <c:v>Jalisco</c:v>
                </c:pt>
                <c:pt idx="29">
                  <c:v>Hidalgo</c:v>
                </c:pt>
                <c:pt idx="30">
                  <c:v>México</c:v>
                </c:pt>
                <c:pt idx="31">
                  <c:v>Ciudad de México</c:v>
                </c:pt>
              </c:strCache>
            </c:strRef>
          </c:cat>
          <c:val>
            <c:numRef>
              <c:f>'G8 Total SinP'!$J$5:$J$36</c:f>
              <c:numCache>
                <c:formatCode>0.00</c:formatCode>
                <c:ptCount val="32"/>
                <c:pt idx="0">
                  <c:v>-6.2897171549779543E-2</c:v>
                </c:pt>
                <c:pt idx="1">
                  <c:v>-5.6717333940729892E-2</c:v>
                </c:pt>
                <c:pt idx="2">
                  <c:v>-5.0216694047670894E-2</c:v>
                </c:pt>
                <c:pt idx="3">
                  <c:v>-3.5302497557158169E-2</c:v>
                </c:pt>
                <c:pt idx="4">
                  <c:v>-1.4837441278659177E-2</c:v>
                </c:pt>
                <c:pt idx="5">
                  <c:v>-1.0864719244224209E-2</c:v>
                </c:pt>
                <c:pt idx="6">
                  <c:v>-7.1223898705239704E-3</c:v>
                </c:pt>
                <c:pt idx="7">
                  <c:v>-5.5293577268482686E-3</c:v>
                </c:pt>
                <c:pt idx="8">
                  <c:v>4.5060102114500575E-3</c:v>
                </c:pt>
                <c:pt idx="9">
                  <c:v>1.2669736507134398E-2</c:v>
                </c:pt>
                <c:pt idx="10">
                  <c:v>2.1005980075116344E-2</c:v>
                </c:pt>
                <c:pt idx="11">
                  <c:v>2.1724887067104522E-2</c:v>
                </c:pt>
                <c:pt idx="12">
                  <c:v>2.3226663665969146E-2</c:v>
                </c:pt>
                <c:pt idx="13">
                  <c:v>2.3800447818613551E-2</c:v>
                </c:pt>
                <c:pt idx="14">
                  <c:v>2.7815307256363258E-2</c:v>
                </c:pt>
                <c:pt idx="15">
                  <c:v>3.3919461154953312E-2</c:v>
                </c:pt>
                <c:pt idx="16">
                  <c:v>3.5654916464029976E-2</c:v>
                </c:pt>
                <c:pt idx="17">
                  <c:v>3.8416997555897135E-2</c:v>
                </c:pt>
                <c:pt idx="18">
                  <c:v>4.5337987265540447E-2</c:v>
                </c:pt>
                <c:pt idx="19">
                  <c:v>4.5785368210291291E-2</c:v>
                </c:pt>
                <c:pt idx="20">
                  <c:v>4.9629268689838663E-2</c:v>
                </c:pt>
                <c:pt idx="21">
                  <c:v>6.4776531604285537E-2</c:v>
                </c:pt>
                <c:pt idx="22">
                  <c:v>6.9363641359403108E-2</c:v>
                </c:pt>
                <c:pt idx="23">
                  <c:v>7.0135280780080397E-2</c:v>
                </c:pt>
                <c:pt idx="24">
                  <c:v>7.761910325889515E-2</c:v>
                </c:pt>
                <c:pt idx="25">
                  <c:v>0.10177546666644205</c:v>
                </c:pt>
                <c:pt idx="26">
                  <c:v>0.15419951599966703</c:v>
                </c:pt>
                <c:pt idx="27">
                  <c:v>0.16848355041686777</c:v>
                </c:pt>
                <c:pt idx="28">
                  <c:v>0.1764720689604998</c:v>
                </c:pt>
                <c:pt idx="29">
                  <c:v>0.17797894739820444</c:v>
                </c:pt>
                <c:pt idx="30">
                  <c:v>0.34926794069884703</c:v>
                </c:pt>
                <c:pt idx="31">
                  <c:v>0.37772768805342033</c:v>
                </c:pt>
              </c:numCache>
            </c:numRef>
          </c:val>
          <c:extLst>
            <c:ext xmlns:c16="http://schemas.microsoft.com/office/drawing/2014/chart" uri="{C3380CC4-5D6E-409C-BE32-E72D297353CC}">
              <c16:uniqueId val="{00000020-95E8-460F-BA6C-EAB172637A7F}"/>
            </c:ext>
          </c:extLst>
        </c:ser>
        <c:dLbls>
          <c:showLegendKey val="0"/>
          <c:showVal val="0"/>
          <c:showCatName val="0"/>
          <c:showSerName val="0"/>
          <c:showPercent val="0"/>
          <c:showBubbleSize val="0"/>
        </c:dLbls>
        <c:gapWidth val="46"/>
        <c:overlap val="100"/>
        <c:axId val="101487360"/>
        <c:axId val="101488896"/>
      </c:barChart>
      <c:catAx>
        <c:axId val="101487360"/>
        <c:scaling>
          <c:orientation val="minMax"/>
        </c:scaling>
        <c:delete val="0"/>
        <c:axPos val="l"/>
        <c:numFmt formatCode="General" sourceLinked="1"/>
        <c:majorTickMark val="none"/>
        <c:minorTickMark val="none"/>
        <c:tickLblPos val="low"/>
        <c:spPr>
          <a:ln w="19050">
            <a:solidFill>
              <a:srgbClr val="B72F05"/>
            </a:solidFill>
          </a:ln>
        </c:spPr>
        <c:crossAx val="101488896"/>
        <c:crosses val="autoZero"/>
        <c:auto val="0"/>
        <c:lblAlgn val="ctr"/>
        <c:lblOffset val="100"/>
        <c:noMultiLvlLbl val="0"/>
      </c:catAx>
      <c:valAx>
        <c:axId val="101488896"/>
        <c:scaling>
          <c:orientation val="minMax"/>
          <c:min val="-0.2"/>
        </c:scaling>
        <c:delete val="0"/>
        <c:axPos val="b"/>
        <c:numFmt formatCode="#,##0.0" sourceLinked="0"/>
        <c:majorTickMark val="none"/>
        <c:minorTickMark val="none"/>
        <c:tickLblPos val="nextTo"/>
        <c:crossAx val="101487360"/>
        <c:crosses val="autoZero"/>
        <c:crossBetween val="between"/>
      </c:valAx>
      <c:spPr>
        <a:noFill/>
        <a:ln w="25400">
          <a:noFill/>
        </a:ln>
        <a:effectLst/>
      </c:spPr>
    </c:plotArea>
    <c:plotVisOnly val="1"/>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42865909090909093"/>
          <c:y val="1.8990552381288731E-2"/>
          <c:w val="0.56894286616161627"/>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D2E9-4559-8740-B0A518CF43CB}"/>
              </c:ext>
            </c:extLst>
          </c:dPt>
          <c:dPt>
            <c:idx val="1"/>
            <c:invertIfNegative val="0"/>
            <c:bubble3D val="0"/>
            <c:extLst>
              <c:ext xmlns:c16="http://schemas.microsoft.com/office/drawing/2014/chart" uri="{C3380CC4-5D6E-409C-BE32-E72D297353CC}">
                <c16:uniqueId val="{00000001-D2E9-4559-8740-B0A518CF43CB}"/>
              </c:ext>
            </c:extLst>
          </c:dPt>
          <c:dPt>
            <c:idx val="2"/>
            <c:invertIfNegative val="0"/>
            <c:bubble3D val="0"/>
            <c:extLst>
              <c:ext xmlns:c16="http://schemas.microsoft.com/office/drawing/2014/chart" uri="{C3380CC4-5D6E-409C-BE32-E72D297353CC}">
                <c16:uniqueId val="{00000002-D2E9-4559-8740-B0A518CF43CB}"/>
              </c:ext>
            </c:extLst>
          </c:dPt>
          <c:dPt>
            <c:idx val="3"/>
            <c:invertIfNegative val="0"/>
            <c:bubble3D val="0"/>
            <c:extLst>
              <c:ext xmlns:c16="http://schemas.microsoft.com/office/drawing/2014/chart" uri="{C3380CC4-5D6E-409C-BE32-E72D297353CC}">
                <c16:uniqueId val="{00000003-D2E9-4559-8740-B0A518CF43CB}"/>
              </c:ext>
            </c:extLst>
          </c:dPt>
          <c:dPt>
            <c:idx val="4"/>
            <c:invertIfNegative val="0"/>
            <c:bubble3D val="0"/>
            <c:extLst>
              <c:ext xmlns:c16="http://schemas.microsoft.com/office/drawing/2014/chart" uri="{C3380CC4-5D6E-409C-BE32-E72D297353CC}">
                <c16:uniqueId val="{00000004-D2E9-4559-8740-B0A518CF43CB}"/>
              </c:ext>
            </c:extLst>
          </c:dPt>
          <c:dPt>
            <c:idx val="5"/>
            <c:invertIfNegative val="0"/>
            <c:bubble3D val="0"/>
            <c:extLst>
              <c:ext xmlns:c16="http://schemas.microsoft.com/office/drawing/2014/chart" uri="{C3380CC4-5D6E-409C-BE32-E72D297353CC}">
                <c16:uniqueId val="{00000005-D2E9-4559-8740-B0A518CF43CB}"/>
              </c:ext>
            </c:extLst>
          </c:dPt>
          <c:dPt>
            <c:idx val="6"/>
            <c:invertIfNegative val="0"/>
            <c:bubble3D val="0"/>
            <c:extLst>
              <c:ext xmlns:c16="http://schemas.microsoft.com/office/drawing/2014/chart" uri="{C3380CC4-5D6E-409C-BE32-E72D297353CC}">
                <c16:uniqueId val="{00000006-D2E9-4559-8740-B0A518CF43CB}"/>
              </c:ext>
            </c:extLst>
          </c:dPt>
          <c:dPt>
            <c:idx val="7"/>
            <c:invertIfNegative val="0"/>
            <c:bubble3D val="0"/>
            <c:extLst>
              <c:ext xmlns:c16="http://schemas.microsoft.com/office/drawing/2014/chart" uri="{C3380CC4-5D6E-409C-BE32-E72D297353CC}">
                <c16:uniqueId val="{00000007-D2E9-4559-8740-B0A518CF43CB}"/>
              </c:ext>
            </c:extLst>
          </c:dPt>
          <c:dPt>
            <c:idx val="8"/>
            <c:invertIfNegative val="0"/>
            <c:bubble3D val="0"/>
            <c:extLst>
              <c:ext xmlns:c16="http://schemas.microsoft.com/office/drawing/2014/chart" uri="{C3380CC4-5D6E-409C-BE32-E72D297353CC}">
                <c16:uniqueId val="{00000008-D2E9-4559-8740-B0A518CF43CB}"/>
              </c:ext>
            </c:extLst>
          </c:dPt>
          <c:dPt>
            <c:idx val="9"/>
            <c:invertIfNegative val="0"/>
            <c:bubble3D val="0"/>
            <c:extLst>
              <c:ext xmlns:c16="http://schemas.microsoft.com/office/drawing/2014/chart" uri="{C3380CC4-5D6E-409C-BE32-E72D297353CC}">
                <c16:uniqueId val="{00000009-D2E9-4559-8740-B0A518CF43CB}"/>
              </c:ext>
            </c:extLst>
          </c:dPt>
          <c:dPt>
            <c:idx val="10"/>
            <c:invertIfNegative val="0"/>
            <c:bubble3D val="0"/>
            <c:extLst>
              <c:ext xmlns:c16="http://schemas.microsoft.com/office/drawing/2014/chart" uri="{C3380CC4-5D6E-409C-BE32-E72D297353CC}">
                <c16:uniqueId val="{0000000A-D2E9-4559-8740-B0A518CF43CB}"/>
              </c:ext>
            </c:extLst>
          </c:dPt>
          <c:dPt>
            <c:idx val="11"/>
            <c:invertIfNegative val="0"/>
            <c:bubble3D val="0"/>
            <c:extLst>
              <c:ext xmlns:c16="http://schemas.microsoft.com/office/drawing/2014/chart" uri="{C3380CC4-5D6E-409C-BE32-E72D297353CC}">
                <c16:uniqueId val="{0000000B-D2E9-4559-8740-B0A518CF43CB}"/>
              </c:ext>
            </c:extLst>
          </c:dPt>
          <c:dPt>
            <c:idx val="12"/>
            <c:invertIfNegative val="0"/>
            <c:bubble3D val="0"/>
            <c:extLst>
              <c:ext xmlns:c16="http://schemas.microsoft.com/office/drawing/2014/chart" uri="{C3380CC4-5D6E-409C-BE32-E72D297353CC}">
                <c16:uniqueId val="{0000000C-D2E9-4559-8740-B0A518CF43CB}"/>
              </c:ext>
            </c:extLst>
          </c:dPt>
          <c:dPt>
            <c:idx val="13"/>
            <c:invertIfNegative val="0"/>
            <c:bubble3D val="0"/>
            <c:extLst>
              <c:ext xmlns:c16="http://schemas.microsoft.com/office/drawing/2014/chart" uri="{C3380CC4-5D6E-409C-BE32-E72D297353CC}">
                <c16:uniqueId val="{0000000D-D2E9-4559-8740-B0A518CF43CB}"/>
              </c:ext>
            </c:extLst>
          </c:dPt>
          <c:dPt>
            <c:idx val="14"/>
            <c:invertIfNegative val="0"/>
            <c:bubble3D val="0"/>
            <c:extLst>
              <c:ext xmlns:c16="http://schemas.microsoft.com/office/drawing/2014/chart" uri="{C3380CC4-5D6E-409C-BE32-E72D297353CC}">
                <c16:uniqueId val="{0000000E-D2E9-4559-8740-B0A518CF43CB}"/>
              </c:ext>
            </c:extLst>
          </c:dPt>
          <c:dPt>
            <c:idx val="15"/>
            <c:invertIfNegative val="0"/>
            <c:bubble3D val="0"/>
            <c:extLst>
              <c:ext xmlns:c16="http://schemas.microsoft.com/office/drawing/2014/chart" uri="{C3380CC4-5D6E-409C-BE32-E72D297353CC}">
                <c16:uniqueId val="{0000000F-D2E9-4559-8740-B0A518CF43CB}"/>
              </c:ext>
            </c:extLst>
          </c:dPt>
          <c:dPt>
            <c:idx val="16"/>
            <c:invertIfNegative val="0"/>
            <c:bubble3D val="0"/>
            <c:extLst>
              <c:ext xmlns:c16="http://schemas.microsoft.com/office/drawing/2014/chart" uri="{C3380CC4-5D6E-409C-BE32-E72D297353CC}">
                <c16:uniqueId val="{00000010-D2E9-4559-8740-B0A518CF43CB}"/>
              </c:ext>
            </c:extLst>
          </c:dPt>
          <c:dPt>
            <c:idx val="17"/>
            <c:invertIfNegative val="0"/>
            <c:bubble3D val="0"/>
            <c:extLst>
              <c:ext xmlns:c16="http://schemas.microsoft.com/office/drawing/2014/chart" uri="{C3380CC4-5D6E-409C-BE32-E72D297353CC}">
                <c16:uniqueId val="{00000011-D2E9-4559-8740-B0A518CF43CB}"/>
              </c:ext>
            </c:extLst>
          </c:dPt>
          <c:dPt>
            <c:idx val="18"/>
            <c:invertIfNegative val="0"/>
            <c:bubble3D val="0"/>
            <c:extLst>
              <c:ext xmlns:c16="http://schemas.microsoft.com/office/drawing/2014/chart" uri="{C3380CC4-5D6E-409C-BE32-E72D297353CC}">
                <c16:uniqueId val="{00000012-D2E9-4559-8740-B0A518CF43CB}"/>
              </c:ext>
            </c:extLst>
          </c:dPt>
          <c:dPt>
            <c:idx val="19"/>
            <c:invertIfNegative val="0"/>
            <c:bubble3D val="0"/>
            <c:extLst>
              <c:ext xmlns:c16="http://schemas.microsoft.com/office/drawing/2014/chart" uri="{C3380CC4-5D6E-409C-BE32-E72D297353CC}">
                <c16:uniqueId val="{00000013-D2E9-4559-8740-B0A518CF43CB}"/>
              </c:ext>
            </c:extLst>
          </c:dPt>
          <c:dPt>
            <c:idx val="20"/>
            <c:invertIfNegative val="0"/>
            <c:bubble3D val="0"/>
            <c:extLst>
              <c:ext xmlns:c16="http://schemas.microsoft.com/office/drawing/2014/chart" uri="{C3380CC4-5D6E-409C-BE32-E72D297353CC}">
                <c16:uniqueId val="{00000014-D2E9-4559-8740-B0A518CF43CB}"/>
              </c:ext>
            </c:extLst>
          </c:dPt>
          <c:dPt>
            <c:idx val="21"/>
            <c:invertIfNegative val="0"/>
            <c:bubble3D val="0"/>
            <c:extLst>
              <c:ext xmlns:c16="http://schemas.microsoft.com/office/drawing/2014/chart" uri="{C3380CC4-5D6E-409C-BE32-E72D297353CC}">
                <c16:uniqueId val="{00000015-D2E9-4559-8740-B0A518CF43CB}"/>
              </c:ext>
            </c:extLst>
          </c:dPt>
          <c:dPt>
            <c:idx val="22"/>
            <c:invertIfNegative val="0"/>
            <c:bubble3D val="0"/>
            <c:extLst>
              <c:ext xmlns:c16="http://schemas.microsoft.com/office/drawing/2014/chart" uri="{C3380CC4-5D6E-409C-BE32-E72D297353CC}">
                <c16:uniqueId val="{00000016-D2E9-4559-8740-B0A518CF43CB}"/>
              </c:ext>
            </c:extLst>
          </c:dPt>
          <c:dPt>
            <c:idx val="23"/>
            <c:invertIfNegative val="0"/>
            <c:bubble3D val="0"/>
            <c:extLst>
              <c:ext xmlns:c16="http://schemas.microsoft.com/office/drawing/2014/chart" uri="{C3380CC4-5D6E-409C-BE32-E72D297353CC}">
                <c16:uniqueId val="{00000017-D2E9-4559-8740-B0A518CF43CB}"/>
              </c:ext>
            </c:extLst>
          </c:dPt>
          <c:dPt>
            <c:idx val="24"/>
            <c:invertIfNegative val="0"/>
            <c:bubble3D val="0"/>
            <c:extLst>
              <c:ext xmlns:c16="http://schemas.microsoft.com/office/drawing/2014/chart" uri="{C3380CC4-5D6E-409C-BE32-E72D297353CC}">
                <c16:uniqueId val="{00000018-D2E9-4559-8740-B0A518CF43CB}"/>
              </c:ext>
            </c:extLst>
          </c:dPt>
          <c:dPt>
            <c:idx val="25"/>
            <c:invertIfNegative val="0"/>
            <c:bubble3D val="0"/>
            <c:extLst>
              <c:ext xmlns:c16="http://schemas.microsoft.com/office/drawing/2014/chart" uri="{C3380CC4-5D6E-409C-BE32-E72D297353CC}">
                <c16:uniqueId val="{00000019-D2E9-4559-8740-B0A518CF43CB}"/>
              </c:ext>
            </c:extLst>
          </c:dPt>
          <c:dPt>
            <c:idx val="26"/>
            <c:invertIfNegative val="0"/>
            <c:bubble3D val="0"/>
            <c:extLst>
              <c:ext xmlns:c16="http://schemas.microsoft.com/office/drawing/2014/chart" uri="{C3380CC4-5D6E-409C-BE32-E72D297353CC}">
                <c16:uniqueId val="{0000001A-D2E9-4559-8740-B0A518CF43CB}"/>
              </c:ext>
            </c:extLst>
          </c:dPt>
          <c:dPt>
            <c:idx val="27"/>
            <c:invertIfNegative val="0"/>
            <c:bubble3D val="0"/>
            <c:extLst>
              <c:ext xmlns:c16="http://schemas.microsoft.com/office/drawing/2014/chart" uri="{C3380CC4-5D6E-409C-BE32-E72D297353CC}">
                <c16:uniqueId val="{0000001B-D2E9-4559-8740-B0A518CF43CB}"/>
              </c:ext>
            </c:extLst>
          </c:dPt>
          <c:dPt>
            <c:idx val="28"/>
            <c:invertIfNegative val="0"/>
            <c:bubble3D val="0"/>
            <c:extLst>
              <c:ext xmlns:c16="http://schemas.microsoft.com/office/drawing/2014/chart" uri="{C3380CC4-5D6E-409C-BE32-E72D297353CC}">
                <c16:uniqueId val="{0000001C-D2E9-4559-8740-B0A518CF43CB}"/>
              </c:ext>
            </c:extLst>
          </c:dPt>
          <c:dPt>
            <c:idx val="29"/>
            <c:invertIfNegative val="0"/>
            <c:bubble3D val="0"/>
            <c:extLst>
              <c:ext xmlns:c16="http://schemas.microsoft.com/office/drawing/2014/chart" uri="{C3380CC4-5D6E-409C-BE32-E72D297353CC}">
                <c16:uniqueId val="{0000001D-D2E9-4559-8740-B0A518CF43CB}"/>
              </c:ext>
            </c:extLst>
          </c:dPt>
          <c:dPt>
            <c:idx val="30"/>
            <c:invertIfNegative val="0"/>
            <c:bubble3D val="0"/>
            <c:extLst>
              <c:ext xmlns:c16="http://schemas.microsoft.com/office/drawing/2014/chart" uri="{C3380CC4-5D6E-409C-BE32-E72D297353CC}">
                <c16:uniqueId val="{0000001E-D2E9-4559-8740-B0A518CF43CB}"/>
              </c:ext>
            </c:extLst>
          </c:dPt>
          <c:dPt>
            <c:idx val="31"/>
            <c:invertIfNegative val="0"/>
            <c:bubble3D val="0"/>
            <c:extLst>
              <c:ext xmlns:c16="http://schemas.microsoft.com/office/drawing/2014/chart" uri="{C3380CC4-5D6E-409C-BE32-E72D297353CC}">
                <c16:uniqueId val="{0000001F-D2E9-4559-8740-B0A518CF43CB}"/>
              </c:ext>
            </c:extLst>
          </c:dPt>
          <c:dPt>
            <c:idx val="32"/>
            <c:invertIfNegative val="0"/>
            <c:bubble3D val="0"/>
            <c:extLst>
              <c:ext xmlns:c16="http://schemas.microsoft.com/office/drawing/2014/chart" uri="{C3380CC4-5D6E-409C-BE32-E72D297353CC}">
                <c16:uniqueId val="{00000020-D2E9-4559-8740-B0A518CF43CB}"/>
              </c:ext>
            </c:extLst>
          </c:dPt>
          <c:dLbls>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SinP'!$G$5:$G$37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0.16643343747864492</c:v>
                </c:pt>
                <c:pt idx="12">
                  <c:v>0.35999215702935317</c:v>
                </c:pt>
                <c:pt idx="13">
                  <c:v>0.49102868299233648</c:v>
                </c:pt>
                <c:pt idx="14">
                  <c:v>0.51404446909231183</c:v>
                </c:pt>
                <c:pt idx="15">
                  <c:v>0</c:v>
                </c:pt>
                <c:pt idx="16">
                  <c:v>0.87278589894353331</c:v>
                </c:pt>
                <c:pt idx="17">
                  <c:v>1.2267762423084889</c:v>
                </c:pt>
                <c:pt idx="18">
                  <c:v>1.2922301479233482</c:v>
                </c:pt>
                <c:pt idx="19">
                  <c:v>1.4039959905298645</c:v>
                </c:pt>
                <c:pt idx="20">
                  <c:v>1.5581372950842649</c:v>
                </c:pt>
                <c:pt idx="21">
                  <c:v>2.1385453284861171</c:v>
                </c:pt>
                <c:pt idx="22">
                  <c:v>2.3719013482500912</c:v>
                </c:pt>
                <c:pt idx="23">
                  <c:v>3.0348266902058043</c:v>
                </c:pt>
                <c:pt idx="24">
                  <c:v>3.409923256889698</c:v>
                </c:pt>
                <c:pt idx="25">
                  <c:v>4.09202095443122</c:v>
                </c:pt>
                <c:pt idx="26">
                  <c:v>4.953649398801403</c:v>
                </c:pt>
                <c:pt idx="27">
                  <c:v>5.7035356499109326</c:v>
                </c:pt>
                <c:pt idx="28">
                  <c:v>7.0167802214216692</c:v>
                </c:pt>
                <c:pt idx="29">
                  <c:v>7.8356722770799792</c:v>
                </c:pt>
                <c:pt idx="30">
                  <c:v>8.1527061660410709</c:v>
                </c:pt>
                <c:pt idx="31">
                  <c:v>10.654030368748749</c:v>
                </c:pt>
                <c:pt idx="32">
                  <c:v>19.072642709661466</c:v>
                </c:pt>
              </c:numCache>
            </c:numRef>
          </c:val>
          <c:extLst>
            <c:ext xmlns:c16="http://schemas.microsoft.com/office/drawing/2014/chart" uri="{C3380CC4-5D6E-409C-BE32-E72D297353CC}">
              <c16:uniqueId val="{00000021-D2E9-4559-8740-B0A518CF43CB}"/>
            </c:ext>
          </c:extLst>
        </c:ser>
        <c:ser>
          <c:idx val="2"/>
          <c:order val="1"/>
          <c:spPr>
            <a:solidFill>
              <a:srgbClr val="C0C0C0"/>
            </a:solidFill>
            <a:effectLst/>
            <a:scene3d>
              <a:camera prst="orthographicFront"/>
              <a:lightRig rig="threePt" dir="t">
                <a:rot lat="0" lon="0" rev="1200000"/>
              </a:lightRig>
            </a:scene3d>
            <a:sp3d/>
          </c:spPr>
          <c:invertIfNegative val="0"/>
          <c:dPt>
            <c:idx val="13"/>
            <c:invertIfNegative val="0"/>
            <c:bubble3D val="0"/>
            <c:extLst>
              <c:ext xmlns:c16="http://schemas.microsoft.com/office/drawing/2014/chart" uri="{C3380CC4-5D6E-409C-BE32-E72D297353CC}">
                <c16:uniqueId val="{00000022-D2E9-4559-8740-B0A518CF43CB}"/>
              </c:ext>
            </c:extLst>
          </c:dPt>
          <c:dPt>
            <c:idx val="17"/>
            <c:invertIfNegative val="0"/>
            <c:bubble3D val="0"/>
            <c:extLst>
              <c:ext xmlns:c16="http://schemas.microsoft.com/office/drawing/2014/chart" uri="{C3380CC4-5D6E-409C-BE32-E72D297353CC}">
                <c16:uniqueId val="{00000023-D2E9-4559-8740-B0A518CF43CB}"/>
              </c:ext>
            </c:extLst>
          </c:dPt>
          <c:dLbls>
            <c:spPr>
              <a:noFill/>
              <a:ln>
                <a:noFill/>
              </a:ln>
              <a:effectLst/>
            </c:spPr>
            <c:txPr>
              <a:bodyPr/>
              <a:lstStyle/>
              <a:p>
                <a:pPr>
                  <a:defRPr b="1"/>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SinP'!$D$5:$D$37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0.70225419287876889</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D2E9-4559-8740-B0A518CF43CB}"/>
            </c:ext>
          </c:extLst>
        </c:ser>
        <c:ser>
          <c:idx val="1"/>
          <c:order val="2"/>
          <c:spPr>
            <a:solidFill>
              <a:srgbClr val="08989C"/>
            </a:solidFill>
            <a:effectLst/>
            <a:scene3d>
              <a:camera prst="orthographicFront"/>
              <a:lightRig rig="threePt" dir="t">
                <a:rot lat="0" lon="0" rev="1200000"/>
              </a:lightRig>
            </a:scene3d>
            <a:sp3d/>
          </c:spPr>
          <c:invertIfNegative val="0"/>
          <c:dLbls>
            <c:dLbl>
              <c:idx val="0"/>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5-D2E9-4559-8740-B0A518CF43CB}"/>
                </c:ext>
              </c:extLst>
            </c:dLbl>
            <c:dLbl>
              <c:idx val="1"/>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6-D2E9-4559-8740-B0A518CF43CB}"/>
                </c:ext>
              </c:extLst>
            </c:dLbl>
            <c:dLbl>
              <c:idx val="2"/>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7-D2E9-4559-8740-B0A518CF43CB}"/>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SinP'!$F$5:$F$37</c:f>
              <c:numCache>
                <c:formatCode>0.0;\-0.0;;\ @</c:formatCode>
                <c:ptCount val="33"/>
                <c:pt idx="0">
                  <c:v>-20.62383579825493</c:v>
                </c:pt>
                <c:pt idx="1">
                  <c:v>-19.785163227876595</c:v>
                </c:pt>
                <c:pt idx="2">
                  <c:v>-12.626892183672823</c:v>
                </c:pt>
                <c:pt idx="3">
                  <c:v>-9.2792473774783844</c:v>
                </c:pt>
                <c:pt idx="4">
                  <c:v>-6.2561542485838686</c:v>
                </c:pt>
                <c:pt idx="5">
                  <c:v>-4.957802473838214</c:v>
                </c:pt>
                <c:pt idx="6">
                  <c:v>-4.4348642946159202</c:v>
                </c:pt>
                <c:pt idx="7">
                  <c:v>-4.4256543096581709</c:v>
                </c:pt>
                <c:pt idx="8">
                  <c:v>-2.8341561270445226</c:v>
                </c:pt>
                <c:pt idx="9">
                  <c:v>-2.6627643020843692</c:v>
                </c:pt>
                <c:pt idx="10">
                  <c:v>-0.46279883307049374</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8-D2E9-4559-8740-B0A518CF43CB}"/>
            </c:ext>
          </c:extLst>
        </c:ser>
        <c:dLbls>
          <c:showLegendKey val="0"/>
          <c:showVal val="0"/>
          <c:showCatName val="0"/>
          <c:showSerName val="0"/>
          <c:showPercent val="0"/>
          <c:showBubbleSize val="0"/>
        </c:dLbls>
        <c:gapWidth val="46"/>
        <c:overlap val="100"/>
        <c:axId val="101332096"/>
        <c:axId val="101333632"/>
      </c:barChart>
      <c:catAx>
        <c:axId val="101332096"/>
        <c:scaling>
          <c:orientation val="minMax"/>
        </c:scaling>
        <c:delete val="0"/>
        <c:axPos val="l"/>
        <c:numFmt formatCode="General" sourceLinked="1"/>
        <c:majorTickMark val="none"/>
        <c:minorTickMark val="none"/>
        <c:tickLblPos val="low"/>
        <c:spPr>
          <a:ln w="19050">
            <a:solidFill>
              <a:srgbClr val="B72F05"/>
            </a:solidFill>
          </a:ln>
        </c:spPr>
        <c:crossAx val="101333632"/>
        <c:crosses val="autoZero"/>
        <c:auto val="0"/>
        <c:lblAlgn val="ctr"/>
        <c:lblOffset val="100"/>
        <c:noMultiLvlLbl val="0"/>
      </c:catAx>
      <c:valAx>
        <c:axId val="101333632"/>
        <c:scaling>
          <c:orientation val="minMax"/>
          <c:min val="-40"/>
        </c:scaling>
        <c:delete val="0"/>
        <c:axPos val="b"/>
        <c:numFmt formatCode="#,##0" sourceLinked="0"/>
        <c:majorTickMark val="none"/>
        <c:minorTickMark val="none"/>
        <c:tickLblPos val="nextTo"/>
        <c:crossAx val="101332096"/>
        <c:crosses val="autoZero"/>
        <c:crossBetween val="between"/>
      </c:valAx>
      <c:spPr>
        <a:noFill/>
        <a:ln w="25400">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49522124183006538"/>
          <c:y val="1.6405877414391444E-2"/>
          <c:w val="0.55639836601307191"/>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82BC-48E3-954B-FE638463285C}"/>
              </c:ext>
            </c:extLst>
          </c:dPt>
          <c:dPt>
            <c:idx val="1"/>
            <c:invertIfNegative val="0"/>
            <c:bubble3D val="0"/>
            <c:extLst>
              <c:ext xmlns:c16="http://schemas.microsoft.com/office/drawing/2014/chart" uri="{C3380CC4-5D6E-409C-BE32-E72D297353CC}">
                <c16:uniqueId val="{00000001-82BC-48E3-954B-FE638463285C}"/>
              </c:ext>
            </c:extLst>
          </c:dPt>
          <c:dPt>
            <c:idx val="2"/>
            <c:invertIfNegative val="0"/>
            <c:bubble3D val="0"/>
            <c:extLst>
              <c:ext xmlns:c16="http://schemas.microsoft.com/office/drawing/2014/chart" uri="{C3380CC4-5D6E-409C-BE32-E72D297353CC}">
                <c16:uniqueId val="{00000002-82BC-48E3-954B-FE638463285C}"/>
              </c:ext>
            </c:extLst>
          </c:dPt>
          <c:dPt>
            <c:idx val="3"/>
            <c:invertIfNegative val="0"/>
            <c:bubble3D val="0"/>
            <c:extLst>
              <c:ext xmlns:c16="http://schemas.microsoft.com/office/drawing/2014/chart" uri="{C3380CC4-5D6E-409C-BE32-E72D297353CC}">
                <c16:uniqueId val="{00000003-82BC-48E3-954B-FE638463285C}"/>
              </c:ext>
            </c:extLst>
          </c:dPt>
          <c:dPt>
            <c:idx val="4"/>
            <c:invertIfNegative val="0"/>
            <c:bubble3D val="0"/>
            <c:extLst>
              <c:ext xmlns:c16="http://schemas.microsoft.com/office/drawing/2014/chart" uri="{C3380CC4-5D6E-409C-BE32-E72D297353CC}">
                <c16:uniqueId val="{00000004-82BC-48E3-954B-FE638463285C}"/>
              </c:ext>
            </c:extLst>
          </c:dPt>
          <c:dPt>
            <c:idx val="5"/>
            <c:invertIfNegative val="0"/>
            <c:bubble3D val="0"/>
            <c:extLst>
              <c:ext xmlns:c16="http://schemas.microsoft.com/office/drawing/2014/chart" uri="{C3380CC4-5D6E-409C-BE32-E72D297353CC}">
                <c16:uniqueId val="{00000005-82BC-48E3-954B-FE638463285C}"/>
              </c:ext>
            </c:extLst>
          </c:dPt>
          <c:dPt>
            <c:idx val="6"/>
            <c:invertIfNegative val="0"/>
            <c:bubble3D val="0"/>
            <c:extLst>
              <c:ext xmlns:c16="http://schemas.microsoft.com/office/drawing/2014/chart" uri="{C3380CC4-5D6E-409C-BE32-E72D297353CC}">
                <c16:uniqueId val="{00000006-82BC-48E3-954B-FE638463285C}"/>
              </c:ext>
            </c:extLst>
          </c:dPt>
          <c:dPt>
            <c:idx val="7"/>
            <c:invertIfNegative val="0"/>
            <c:bubble3D val="0"/>
            <c:extLst>
              <c:ext xmlns:c16="http://schemas.microsoft.com/office/drawing/2014/chart" uri="{C3380CC4-5D6E-409C-BE32-E72D297353CC}">
                <c16:uniqueId val="{00000007-82BC-48E3-954B-FE638463285C}"/>
              </c:ext>
            </c:extLst>
          </c:dPt>
          <c:dPt>
            <c:idx val="8"/>
            <c:invertIfNegative val="0"/>
            <c:bubble3D val="0"/>
            <c:extLst>
              <c:ext xmlns:c16="http://schemas.microsoft.com/office/drawing/2014/chart" uri="{C3380CC4-5D6E-409C-BE32-E72D297353CC}">
                <c16:uniqueId val="{00000008-82BC-48E3-954B-FE638463285C}"/>
              </c:ext>
            </c:extLst>
          </c:dPt>
          <c:dPt>
            <c:idx val="9"/>
            <c:invertIfNegative val="0"/>
            <c:bubble3D val="0"/>
            <c:extLst>
              <c:ext xmlns:c16="http://schemas.microsoft.com/office/drawing/2014/chart" uri="{C3380CC4-5D6E-409C-BE32-E72D297353CC}">
                <c16:uniqueId val="{00000009-82BC-48E3-954B-FE638463285C}"/>
              </c:ext>
            </c:extLst>
          </c:dPt>
          <c:dPt>
            <c:idx val="10"/>
            <c:invertIfNegative val="0"/>
            <c:bubble3D val="0"/>
            <c:extLst>
              <c:ext xmlns:c16="http://schemas.microsoft.com/office/drawing/2014/chart" uri="{C3380CC4-5D6E-409C-BE32-E72D297353CC}">
                <c16:uniqueId val="{0000000A-82BC-48E3-954B-FE638463285C}"/>
              </c:ext>
            </c:extLst>
          </c:dPt>
          <c:dPt>
            <c:idx val="11"/>
            <c:invertIfNegative val="0"/>
            <c:bubble3D val="0"/>
            <c:extLst>
              <c:ext xmlns:c16="http://schemas.microsoft.com/office/drawing/2014/chart" uri="{C3380CC4-5D6E-409C-BE32-E72D297353CC}">
                <c16:uniqueId val="{0000000B-82BC-48E3-954B-FE638463285C}"/>
              </c:ext>
            </c:extLst>
          </c:dPt>
          <c:dPt>
            <c:idx val="12"/>
            <c:invertIfNegative val="0"/>
            <c:bubble3D val="0"/>
            <c:extLst>
              <c:ext xmlns:c16="http://schemas.microsoft.com/office/drawing/2014/chart" uri="{C3380CC4-5D6E-409C-BE32-E72D297353CC}">
                <c16:uniqueId val="{0000000C-82BC-48E3-954B-FE638463285C}"/>
              </c:ext>
            </c:extLst>
          </c:dPt>
          <c:dPt>
            <c:idx val="13"/>
            <c:invertIfNegative val="0"/>
            <c:bubble3D val="0"/>
            <c:extLst>
              <c:ext xmlns:c16="http://schemas.microsoft.com/office/drawing/2014/chart" uri="{C3380CC4-5D6E-409C-BE32-E72D297353CC}">
                <c16:uniqueId val="{0000000D-82BC-48E3-954B-FE638463285C}"/>
              </c:ext>
            </c:extLst>
          </c:dPt>
          <c:dPt>
            <c:idx val="14"/>
            <c:invertIfNegative val="0"/>
            <c:bubble3D val="0"/>
            <c:extLst>
              <c:ext xmlns:c16="http://schemas.microsoft.com/office/drawing/2014/chart" uri="{C3380CC4-5D6E-409C-BE32-E72D297353CC}">
                <c16:uniqueId val="{0000000E-82BC-48E3-954B-FE638463285C}"/>
              </c:ext>
            </c:extLst>
          </c:dPt>
          <c:dPt>
            <c:idx val="15"/>
            <c:invertIfNegative val="0"/>
            <c:bubble3D val="0"/>
            <c:extLst>
              <c:ext xmlns:c16="http://schemas.microsoft.com/office/drawing/2014/chart" uri="{C3380CC4-5D6E-409C-BE32-E72D297353CC}">
                <c16:uniqueId val="{0000000F-82BC-48E3-954B-FE638463285C}"/>
              </c:ext>
            </c:extLst>
          </c:dPt>
          <c:dPt>
            <c:idx val="16"/>
            <c:invertIfNegative val="0"/>
            <c:bubble3D val="0"/>
            <c:extLst>
              <c:ext xmlns:c16="http://schemas.microsoft.com/office/drawing/2014/chart" uri="{C3380CC4-5D6E-409C-BE32-E72D297353CC}">
                <c16:uniqueId val="{00000010-82BC-48E3-954B-FE638463285C}"/>
              </c:ext>
            </c:extLst>
          </c:dPt>
          <c:dPt>
            <c:idx val="17"/>
            <c:invertIfNegative val="0"/>
            <c:bubble3D val="0"/>
            <c:extLst>
              <c:ext xmlns:c16="http://schemas.microsoft.com/office/drawing/2014/chart" uri="{C3380CC4-5D6E-409C-BE32-E72D297353CC}">
                <c16:uniqueId val="{00000011-82BC-48E3-954B-FE638463285C}"/>
              </c:ext>
            </c:extLst>
          </c:dPt>
          <c:dPt>
            <c:idx val="18"/>
            <c:invertIfNegative val="0"/>
            <c:bubble3D val="0"/>
            <c:extLst>
              <c:ext xmlns:c16="http://schemas.microsoft.com/office/drawing/2014/chart" uri="{C3380CC4-5D6E-409C-BE32-E72D297353CC}">
                <c16:uniqueId val="{00000012-82BC-48E3-954B-FE638463285C}"/>
              </c:ext>
            </c:extLst>
          </c:dPt>
          <c:dPt>
            <c:idx val="19"/>
            <c:invertIfNegative val="0"/>
            <c:bubble3D val="0"/>
            <c:extLst>
              <c:ext xmlns:c16="http://schemas.microsoft.com/office/drawing/2014/chart" uri="{C3380CC4-5D6E-409C-BE32-E72D297353CC}">
                <c16:uniqueId val="{00000013-82BC-48E3-954B-FE638463285C}"/>
              </c:ext>
            </c:extLst>
          </c:dPt>
          <c:dPt>
            <c:idx val="20"/>
            <c:invertIfNegative val="0"/>
            <c:bubble3D val="0"/>
            <c:extLst>
              <c:ext xmlns:c16="http://schemas.microsoft.com/office/drawing/2014/chart" uri="{C3380CC4-5D6E-409C-BE32-E72D297353CC}">
                <c16:uniqueId val="{00000014-82BC-48E3-954B-FE638463285C}"/>
              </c:ext>
            </c:extLst>
          </c:dPt>
          <c:dPt>
            <c:idx val="21"/>
            <c:invertIfNegative val="0"/>
            <c:bubble3D val="0"/>
            <c:extLst>
              <c:ext xmlns:c16="http://schemas.microsoft.com/office/drawing/2014/chart" uri="{C3380CC4-5D6E-409C-BE32-E72D297353CC}">
                <c16:uniqueId val="{00000015-82BC-48E3-954B-FE638463285C}"/>
              </c:ext>
            </c:extLst>
          </c:dPt>
          <c:dPt>
            <c:idx val="22"/>
            <c:invertIfNegative val="0"/>
            <c:bubble3D val="0"/>
            <c:extLst>
              <c:ext xmlns:c16="http://schemas.microsoft.com/office/drawing/2014/chart" uri="{C3380CC4-5D6E-409C-BE32-E72D297353CC}">
                <c16:uniqueId val="{00000016-82BC-48E3-954B-FE638463285C}"/>
              </c:ext>
            </c:extLst>
          </c:dPt>
          <c:dPt>
            <c:idx val="23"/>
            <c:invertIfNegative val="0"/>
            <c:bubble3D val="0"/>
            <c:extLst>
              <c:ext xmlns:c16="http://schemas.microsoft.com/office/drawing/2014/chart" uri="{C3380CC4-5D6E-409C-BE32-E72D297353CC}">
                <c16:uniqueId val="{00000017-82BC-48E3-954B-FE638463285C}"/>
              </c:ext>
            </c:extLst>
          </c:dPt>
          <c:dPt>
            <c:idx val="24"/>
            <c:invertIfNegative val="0"/>
            <c:bubble3D val="0"/>
            <c:extLst>
              <c:ext xmlns:c16="http://schemas.microsoft.com/office/drawing/2014/chart" uri="{C3380CC4-5D6E-409C-BE32-E72D297353CC}">
                <c16:uniqueId val="{00000018-82BC-48E3-954B-FE638463285C}"/>
              </c:ext>
            </c:extLst>
          </c:dPt>
          <c:dPt>
            <c:idx val="25"/>
            <c:invertIfNegative val="0"/>
            <c:bubble3D val="0"/>
            <c:extLst>
              <c:ext xmlns:c16="http://schemas.microsoft.com/office/drawing/2014/chart" uri="{C3380CC4-5D6E-409C-BE32-E72D297353CC}">
                <c16:uniqueId val="{00000019-82BC-48E3-954B-FE638463285C}"/>
              </c:ext>
            </c:extLst>
          </c:dPt>
          <c:dPt>
            <c:idx val="26"/>
            <c:invertIfNegative val="0"/>
            <c:bubble3D val="0"/>
            <c:extLst>
              <c:ext xmlns:c16="http://schemas.microsoft.com/office/drawing/2014/chart" uri="{C3380CC4-5D6E-409C-BE32-E72D297353CC}">
                <c16:uniqueId val="{0000001A-82BC-48E3-954B-FE638463285C}"/>
              </c:ext>
            </c:extLst>
          </c:dPt>
          <c:dPt>
            <c:idx val="27"/>
            <c:invertIfNegative val="0"/>
            <c:bubble3D val="0"/>
            <c:extLst>
              <c:ext xmlns:c16="http://schemas.microsoft.com/office/drawing/2014/chart" uri="{C3380CC4-5D6E-409C-BE32-E72D297353CC}">
                <c16:uniqueId val="{0000001B-82BC-48E3-954B-FE638463285C}"/>
              </c:ext>
            </c:extLst>
          </c:dPt>
          <c:dPt>
            <c:idx val="28"/>
            <c:invertIfNegative val="0"/>
            <c:bubble3D val="0"/>
            <c:extLst>
              <c:ext xmlns:c16="http://schemas.microsoft.com/office/drawing/2014/chart" uri="{C3380CC4-5D6E-409C-BE32-E72D297353CC}">
                <c16:uniqueId val="{0000001C-82BC-48E3-954B-FE638463285C}"/>
              </c:ext>
            </c:extLst>
          </c:dPt>
          <c:dPt>
            <c:idx val="29"/>
            <c:invertIfNegative val="0"/>
            <c:bubble3D val="0"/>
            <c:extLst>
              <c:ext xmlns:c16="http://schemas.microsoft.com/office/drawing/2014/chart" uri="{C3380CC4-5D6E-409C-BE32-E72D297353CC}">
                <c16:uniqueId val="{0000001D-82BC-48E3-954B-FE638463285C}"/>
              </c:ext>
            </c:extLst>
          </c:dPt>
          <c:dPt>
            <c:idx val="30"/>
            <c:invertIfNegative val="0"/>
            <c:bubble3D val="0"/>
            <c:extLst>
              <c:ext xmlns:c16="http://schemas.microsoft.com/office/drawing/2014/chart" uri="{C3380CC4-5D6E-409C-BE32-E72D297353CC}">
                <c16:uniqueId val="{0000001E-82BC-48E3-954B-FE638463285C}"/>
              </c:ext>
            </c:extLst>
          </c:dPt>
          <c:dPt>
            <c:idx val="31"/>
            <c:invertIfNegative val="0"/>
            <c:bubble3D val="0"/>
            <c:extLst>
              <c:ext xmlns:c16="http://schemas.microsoft.com/office/drawing/2014/chart" uri="{C3380CC4-5D6E-409C-BE32-E72D297353CC}">
                <c16:uniqueId val="{0000001F-82BC-48E3-954B-FE638463285C}"/>
              </c:ext>
            </c:extLst>
          </c:dPt>
          <c:dLbls>
            <c:dLbl>
              <c:idx val="8"/>
              <c:spPr/>
              <c:txPr>
                <a:bodyPr/>
                <a:lstStyle/>
                <a:p>
                  <a:pPr>
                    <a:defRPr b="1"/>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08-82BC-48E3-954B-FE638463285C}"/>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'G9 sec SinP'!$I$5:$I$36</c:f>
              <c:strCache>
                <c:ptCount val="32"/>
                <c:pt idx="0">
                  <c:v>Coahuila de Zaragoza</c:v>
                </c:pt>
                <c:pt idx="1">
                  <c:v>Puebla</c:v>
                </c:pt>
                <c:pt idx="2">
                  <c:v>Morelos</c:v>
                </c:pt>
                <c:pt idx="3">
                  <c:v>Baja California</c:v>
                </c:pt>
                <c:pt idx="4">
                  <c:v>Chihuahua</c:v>
                </c:pt>
                <c:pt idx="5">
                  <c:v>Quintana Roo</c:v>
                </c:pt>
                <c:pt idx="6">
                  <c:v>Campeche</c:v>
                </c:pt>
                <c:pt idx="7">
                  <c:v>Aguascalientes</c:v>
                </c:pt>
                <c:pt idx="8">
                  <c:v>Durango</c:v>
                </c:pt>
                <c:pt idx="9">
                  <c:v>Baja California Sur</c:v>
                </c:pt>
                <c:pt idx="10">
                  <c:v>Guanajuato</c:v>
                </c:pt>
                <c:pt idx="11">
                  <c:v>Zacatecas</c:v>
                </c:pt>
                <c:pt idx="12">
                  <c:v>San Luis Potosí</c:v>
                </c:pt>
                <c:pt idx="13">
                  <c:v>Tabasco</c:v>
                </c:pt>
                <c:pt idx="14">
                  <c:v>Guerrero</c:v>
                </c:pt>
                <c:pt idx="15">
                  <c:v>Chiapas</c:v>
                </c:pt>
                <c:pt idx="16">
                  <c:v>Querétaro</c:v>
                </c:pt>
                <c:pt idx="17">
                  <c:v>Tlaxcala</c:v>
                </c:pt>
                <c:pt idx="18">
                  <c:v>Ciudad de México</c:v>
                </c:pt>
                <c:pt idx="19">
                  <c:v>Nayarit</c:v>
                </c:pt>
                <c:pt idx="20">
                  <c:v>Sonora</c:v>
                </c:pt>
                <c:pt idx="21">
                  <c:v>Sinaloa</c:v>
                </c:pt>
                <c:pt idx="22">
                  <c:v>Michoacán de Ocampo</c:v>
                </c:pt>
                <c:pt idx="23">
                  <c:v>Tamaulipas</c:v>
                </c:pt>
                <c:pt idx="24">
                  <c:v>Colima</c:v>
                </c:pt>
                <c:pt idx="25">
                  <c:v>Yucatán</c:v>
                </c:pt>
                <c:pt idx="26">
                  <c:v>Jalisco</c:v>
                </c:pt>
                <c:pt idx="27">
                  <c:v>Oaxaca</c:v>
                </c:pt>
                <c:pt idx="28">
                  <c:v>Veracruz de Ignacio de la Llave</c:v>
                </c:pt>
                <c:pt idx="29">
                  <c:v>Nuevo León</c:v>
                </c:pt>
                <c:pt idx="30">
                  <c:v>Hidalgo</c:v>
                </c:pt>
                <c:pt idx="31">
                  <c:v>México</c:v>
                </c:pt>
              </c:strCache>
            </c:strRef>
          </c:cat>
          <c:val>
            <c:numRef>
              <c:f>'G9 sec SinP'!$J$5:$J$36</c:f>
              <c:numCache>
                <c:formatCode>0.00</c:formatCode>
                <c:ptCount val="32"/>
                <c:pt idx="0">
                  <c:v>-0.31652055342006774</c:v>
                </c:pt>
                <c:pt idx="1">
                  <c:v>-0.25496000615258241</c:v>
                </c:pt>
                <c:pt idx="2">
                  <c:v>-0.21235297020672692</c:v>
                </c:pt>
                <c:pt idx="3">
                  <c:v>-0.1618673716674934</c:v>
                </c:pt>
                <c:pt idx="4">
                  <c:v>-0.14259792240942479</c:v>
                </c:pt>
                <c:pt idx="5">
                  <c:v>-0.12373823547312636</c:v>
                </c:pt>
                <c:pt idx="6">
                  <c:v>-9.4944047749822999E-2</c:v>
                </c:pt>
                <c:pt idx="7">
                  <c:v>-8.572240510287199E-2</c:v>
                </c:pt>
                <c:pt idx="8">
                  <c:v>-7.2261306468200628E-2</c:v>
                </c:pt>
                <c:pt idx="9">
                  <c:v>-4.2531311859840742E-2</c:v>
                </c:pt>
                <c:pt idx="10">
                  <c:v>-2.9518536669907617E-2</c:v>
                </c:pt>
                <c:pt idx="11">
                  <c:v>4.1892256689279993E-3</c:v>
                </c:pt>
                <c:pt idx="12">
                  <c:v>6.460306288582158E-3</c:v>
                </c:pt>
                <c:pt idx="13">
                  <c:v>1.4093067170472578E-2</c:v>
                </c:pt>
                <c:pt idx="14">
                  <c:v>1.4470060706916246E-2</c:v>
                </c:pt>
                <c:pt idx="15">
                  <c:v>1.4524081369898616E-2</c:v>
                </c:pt>
                <c:pt idx="16">
                  <c:v>1.8308088089378855E-2</c:v>
                </c:pt>
                <c:pt idx="17">
                  <c:v>2.0080213925398421E-2</c:v>
                </c:pt>
                <c:pt idx="18">
                  <c:v>2.3380888416266152E-2</c:v>
                </c:pt>
                <c:pt idx="19">
                  <c:v>2.3888769918965391E-2</c:v>
                </c:pt>
                <c:pt idx="20">
                  <c:v>4.4805430411606985E-2</c:v>
                </c:pt>
                <c:pt idx="21">
                  <c:v>5.0228955611539963E-2</c:v>
                </c:pt>
                <c:pt idx="22">
                  <c:v>5.2497092454338652E-2</c:v>
                </c:pt>
                <c:pt idx="23">
                  <c:v>5.2698153014203143E-2</c:v>
                </c:pt>
                <c:pt idx="24">
                  <c:v>5.2904181844617051E-2</c:v>
                </c:pt>
                <c:pt idx="25">
                  <c:v>0.10278643820056564</c:v>
                </c:pt>
                <c:pt idx="26">
                  <c:v>0.10440456665443441</c:v>
                </c:pt>
                <c:pt idx="27">
                  <c:v>0.12007657351271223</c:v>
                </c:pt>
                <c:pt idx="28">
                  <c:v>0.16284030594596918</c:v>
                </c:pt>
                <c:pt idx="29">
                  <c:v>0.24557889818029988</c:v>
                </c:pt>
                <c:pt idx="30">
                  <c:v>0.44759096331702691</c:v>
                </c:pt>
                <c:pt idx="31">
                  <c:v>0.66346259935670493</c:v>
                </c:pt>
              </c:numCache>
            </c:numRef>
          </c:val>
          <c:extLst>
            <c:ext xmlns:c16="http://schemas.microsoft.com/office/drawing/2014/chart" uri="{C3380CC4-5D6E-409C-BE32-E72D297353CC}">
              <c16:uniqueId val="{00000020-82BC-48E3-954B-FE638463285C}"/>
            </c:ext>
          </c:extLst>
        </c:ser>
        <c:dLbls>
          <c:showLegendKey val="0"/>
          <c:showVal val="0"/>
          <c:showCatName val="0"/>
          <c:showSerName val="0"/>
          <c:showPercent val="0"/>
          <c:showBubbleSize val="0"/>
        </c:dLbls>
        <c:gapWidth val="46"/>
        <c:overlap val="100"/>
        <c:axId val="101487360"/>
        <c:axId val="101488896"/>
      </c:barChart>
      <c:catAx>
        <c:axId val="101487360"/>
        <c:scaling>
          <c:orientation val="minMax"/>
        </c:scaling>
        <c:delete val="0"/>
        <c:axPos val="l"/>
        <c:numFmt formatCode="General" sourceLinked="1"/>
        <c:majorTickMark val="none"/>
        <c:minorTickMark val="none"/>
        <c:tickLblPos val="low"/>
        <c:spPr>
          <a:ln w="19050">
            <a:solidFill>
              <a:srgbClr val="B72F05"/>
            </a:solidFill>
          </a:ln>
        </c:spPr>
        <c:crossAx val="101488896"/>
        <c:crosses val="autoZero"/>
        <c:auto val="0"/>
        <c:lblAlgn val="ctr"/>
        <c:lblOffset val="100"/>
        <c:noMultiLvlLbl val="0"/>
      </c:catAx>
      <c:valAx>
        <c:axId val="101488896"/>
        <c:scaling>
          <c:orientation val="minMax"/>
          <c:min val="-0.60000000000000009"/>
        </c:scaling>
        <c:delete val="0"/>
        <c:axPos val="b"/>
        <c:numFmt formatCode="#,##0.0" sourceLinked="0"/>
        <c:majorTickMark val="none"/>
        <c:minorTickMark val="none"/>
        <c:tickLblPos val="nextTo"/>
        <c:crossAx val="101487360"/>
        <c:crosses val="autoZero"/>
        <c:crossBetween val="between"/>
      </c:valAx>
      <c:spPr>
        <a:noFill/>
        <a:ln w="25400">
          <a:noFill/>
        </a:ln>
        <a:effectLst/>
      </c:spPr>
    </c:plotArea>
    <c:plotVisOnly val="1"/>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F72BD508CC36149B8091E22BE17AF69" ma:contentTypeVersion="3" ma:contentTypeDescription="Crear nuevo documento." ma:contentTypeScope="" ma:versionID="ec9fe6d11206b3c61a16cab4e437bdc2">
  <xsd:schema xmlns:xsd="http://www.w3.org/2001/XMLSchema" xmlns:xs="http://www.w3.org/2001/XMLSchema" xmlns:p="http://schemas.microsoft.com/office/2006/metadata/properties" xmlns:ns2="1263f9e2-3308-4d13-b9c5-c7441ef3fba7" targetNamespace="http://schemas.microsoft.com/office/2006/metadata/properties" ma:root="true" ma:fieldsID="ef13c0f1bed0fcc961f959f4c7ed402f" ns2:_="">
    <xsd:import namespace="1263f9e2-3308-4d13-b9c5-c7441ef3fb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3f9e2-3308-4d13-b9c5-c7441ef3fb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E9202F-60AD-435B-9339-2E31941DE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3f9e2-3308-4d13-b9c5-c7441ef3f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71B76D-B909-4141-A56D-EF6FAC9C9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59</TotalTime>
  <Pages>11</Pages>
  <Words>2330</Words>
  <Characters>12820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Indicador Trimestral de la Actividad Económica Estatal</vt:lpstr>
    </vt:vector>
  </TitlesOfParts>
  <Manager>INEGI</Manager>
  <Company>INEGI</Company>
  <LinksUpToDate>false</LinksUpToDate>
  <CharactersWithSpaces>15120</CharactersWithSpaces>
  <SharedDoc>false</SharedDoc>
  <HLinks>
    <vt:vector size="6" baseType="variant">
      <vt:variant>
        <vt:i4>7929955</vt:i4>
      </vt:variant>
      <vt:variant>
        <vt:i4>0</vt:i4>
      </vt:variant>
      <vt:variant>
        <vt:i4>0</vt:i4>
      </vt:variant>
      <vt:variant>
        <vt:i4>5</vt:i4>
      </vt:variant>
      <vt:variant>
        <vt:lpwstr>https://www.inegi.org.mx/programas/itaee/2018/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 Trimestral de la Actividad Económica Estatal</dc:title>
  <dc:subject>Indicador Trimestral de la Actividad Económica Estatal</dc:subject>
  <dc:creator>INEGI</dc:creator>
  <cp:keywords/>
  <dc:description/>
  <cp:lastModifiedBy>MARTINEZ GALINDO MINERVA JOAQUINA</cp:lastModifiedBy>
  <cp:revision>41</cp:revision>
  <cp:lastPrinted>2026-07-27T19:20:00Z</cp:lastPrinted>
  <dcterms:created xsi:type="dcterms:W3CDTF">2026-10-07T19:45:00Z</dcterms:created>
  <dcterms:modified xsi:type="dcterms:W3CDTF">2026-10-28T20:11:00Z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0x010100BF72BD508CC36149B8091E22BE17AF69</vt:lpwstr>
  </property>
</Properties>
</file>